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217" w:right="0" w:firstLine="0"/>
        <w:jc w:val="left"/>
        <w:rPr>
          <w:rFonts w:ascii="Times New Roman" w:eastAsia="Times New Roman"/>
          <w:b/>
          <w:i/>
          <w:sz w:val="21"/>
        </w:rPr>
      </w:pPr>
      <w:r>
        <w:rPr>
          <w:b/>
          <w:spacing w:val="-18"/>
          <w:sz w:val="21"/>
        </w:rPr>
        <w:t>附件 </w:t>
      </w:r>
      <w:r>
        <w:rPr>
          <w:rFonts w:ascii="Times New Roman" w:eastAsia="Times New Roman"/>
          <w:b/>
          <w:i/>
          <w:sz w:val="21"/>
        </w:rPr>
        <w:t>2-3</w:t>
      </w:r>
    </w:p>
    <w:p>
      <w:pPr>
        <w:spacing w:before="26"/>
        <w:ind w:left="217" w:right="0" w:firstLine="0"/>
        <w:jc w:val="left"/>
        <w:rPr>
          <w:rFonts w:ascii="仿宋" w:eastAsia="仿宋" w:hint="eastAsia"/>
          <w:sz w:val="18"/>
        </w:rPr>
      </w:pPr>
      <w:r>
        <w:rPr/>
        <w:br w:type="column"/>
      </w:r>
      <w:r>
        <w:rPr>
          <w:rFonts w:ascii="仿宋" w:eastAsia="仿宋" w:hint="eastAsia"/>
          <w:sz w:val="18"/>
        </w:rPr>
        <w:t>合众人寿〔2016〕疾病保险 005 号</w:t>
      </w:r>
    </w:p>
    <w:p>
      <w:pPr>
        <w:spacing w:after="0"/>
        <w:jc w:val="left"/>
        <w:rPr>
          <w:rFonts w:ascii="仿宋" w:eastAsia="仿宋" w:hint="eastAsia"/>
          <w:sz w:val="18"/>
        </w:rPr>
        <w:sectPr>
          <w:footerReference w:type="default" r:id="rId5"/>
          <w:type w:val="continuous"/>
          <w:pgSz w:w="11910" w:h="16840"/>
          <w:pgMar w:footer="991" w:top="240" w:bottom="1180" w:left="860" w:right="360"/>
          <w:pgNumType w:start="1"/>
          <w:cols w:num="2" w:equalWidth="0">
            <w:col w:w="974" w:space="6684"/>
            <w:col w:w="3032"/>
          </w:cols>
        </w:sectPr>
      </w:pPr>
    </w:p>
    <w:p>
      <w:pPr>
        <w:pStyle w:val="BodyText"/>
        <w:spacing w:before="12"/>
        <w:rPr>
          <w:rFonts w:ascii="仿宋"/>
          <w:sz w:val="27"/>
        </w:rPr>
      </w:pPr>
    </w:p>
    <w:p>
      <w:pPr>
        <w:spacing w:after="0"/>
        <w:rPr>
          <w:rFonts w:ascii="仿宋"/>
          <w:sz w:val="27"/>
        </w:rPr>
        <w:sectPr>
          <w:type w:val="continuous"/>
          <w:pgSz w:w="11910" w:h="16840"/>
          <w:pgMar w:top="240" w:bottom="1180" w:left="860" w:right="360"/>
        </w:sectPr>
      </w:pPr>
    </w:p>
    <w:p>
      <w:pPr>
        <w:pStyle w:val="Heading1"/>
        <w:ind w:left="2142"/>
      </w:pPr>
      <w:r>
        <w:rPr>
          <w:w w:val="95"/>
        </w:rPr>
        <w:t>合众附加爱宝贝重大疾病保险条款</w:t>
      </w:r>
    </w:p>
    <w:p>
      <w:pPr>
        <w:spacing w:before="73"/>
        <w:ind w:left="1984"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7"/>
        <w:ind w:left="2046"/>
        <w:jc w:val="center"/>
      </w:pPr>
      <w:r>
        <w:rPr/>
        <w:drawing>
          <wp:anchor distT="0" distB="0" distL="0" distR="0" allowOverlap="1" layoutInCell="1" locked="0" behindDoc="1" simplePos="0" relativeHeight="268384535">
            <wp:simplePos x="0" y="0"/>
            <wp:positionH relativeFrom="page">
              <wp:posOffset>609600</wp:posOffset>
            </wp:positionH>
            <wp:positionV relativeFrom="paragraph">
              <wp:posOffset>389788</wp:posOffset>
            </wp:positionV>
            <wp:extent cx="6339840" cy="819912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840" cy="819912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0"/>
          <w:w w:val="100"/>
          <w:position w:val="-7"/>
        </w:rPr>
        <w:t>．</w:t>
      </w:r>
      <w:r>
        <w:rPr>
          <w:spacing w:val="-152"/>
          <w:w w:val="100"/>
        </w:rPr>
        <w:t>指</w:t>
      </w:r>
      <w:r>
        <w:rPr>
          <w:spacing w:val="-60"/>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1"/>
          <w:w w:val="100"/>
          <w:position w:val="-7"/>
        </w:rPr>
        <w:t>．</w:t>
      </w:r>
      <w:r>
        <w:rPr>
          <w:spacing w:val="-152"/>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1"/>
          <w:w w:val="100"/>
          <w:position w:val="-7"/>
        </w:rPr>
        <w:t>．</w:t>
      </w:r>
      <w:r>
        <w:rPr>
          <w:spacing w:val="-152"/>
          <w:w w:val="100"/>
        </w:rPr>
        <w:t>条</w:t>
      </w:r>
      <w:r>
        <w:rPr>
          <w:spacing w:val="-61"/>
          <w:w w:val="100"/>
          <w:position w:val="-7"/>
        </w:rPr>
        <w:t>．</w:t>
      </w:r>
      <w:r>
        <w:rPr>
          <w:spacing w:val="-152"/>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1"/>
          <w:w w:val="100"/>
          <w:position w:val="-7"/>
        </w:rPr>
        <w:t>．</w:t>
      </w:r>
      <w:r>
        <w:rPr>
          <w:spacing w:val="-152"/>
          <w:w w:val="100"/>
        </w:rPr>
        <w:t>款</w:t>
      </w:r>
      <w:r>
        <w:rPr>
          <w:spacing w:val="-61"/>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Heading4"/>
        <w:tabs>
          <w:tab w:pos="1249" w:val="left" w:leader="none"/>
        </w:tabs>
        <w:spacing w:before="102"/>
        <w:ind w:left="239"/>
      </w:pP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您拥有的重要权益</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7"/>
        <w:rPr>
          <w:b/>
          <w:sz w:val="15"/>
        </w:rPr>
      </w:pPr>
    </w:p>
    <w:p>
      <w:pPr>
        <w:spacing w:before="0"/>
        <w:ind w:left="84" w:right="0" w:firstLine="0"/>
        <w:jc w:val="left"/>
        <w:rPr>
          <w:rFonts w:ascii="仿宋" w:eastAsia="仿宋" w:hint="eastAsia"/>
          <w:sz w:val="18"/>
        </w:rPr>
      </w:pPr>
      <w:r>
        <w:rPr/>
        <w:drawing>
          <wp:anchor distT="0" distB="0" distL="0" distR="0" allowOverlap="1" layoutInCell="1" locked="0" behindDoc="0" simplePos="0" relativeHeight="1048">
            <wp:simplePos x="0" y="0"/>
            <wp:positionH relativeFrom="page">
              <wp:posOffset>6041135</wp:posOffset>
            </wp:positionH>
            <wp:positionV relativeFrom="paragraph">
              <wp:posOffset>-765661</wp:posOffset>
            </wp:positionV>
            <wp:extent cx="725423" cy="7254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423" cy="725424"/>
                    </a:xfrm>
                    <a:prstGeom prst="rect">
                      <a:avLst/>
                    </a:prstGeom>
                  </pic:spPr>
                </pic:pic>
              </a:graphicData>
            </a:graphic>
          </wp:anchor>
        </w:drawing>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240" w:bottom="1180" w:left="860" w:right="360"/>
          <w:cols w:num="2" w:equalWidth="0">
            <w:col w:w="8203" w:space="40"/>
            <w:col w:w="2447"/>
          </w:cols>
        </w:sectPr>
      </w:pPr>
    </w:p>
    <w:p>
      <w:pPr>
        <w:pStyle w:val="ListParagraph"/>
        <w:numPr>
          <w:ilvl w:val="0"/>
          <w:numId w:val="1"/>
        </w:numPr>
        <w:tabs>
          <w:tab w:pos="1268" w:val="left" w:leader="none"/>
          <w:tab w:pos="1269" w:val="left" w:leader="none"/>
          <w:tab w:pos="9567" w:val="right" w:leader="dot"/>
        </w:tabs>
        <w:spacing w:line="240" w:lineRule="auto" w:before="26" w:after="0"/>
        <w:ind w:left="1268" w:right="0" w:hanging="396"/>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2"/>
          <w:sz w:val="21"/>
        </w:rPr>
        <w:t> </w:t>
      </w:r>
      <w:r>
        <w:rPr>
          <w:sz w:val="21"/>
        </w:rPr>
        <w:t>10</w:t>
      </w:r>
      <w:r>
        <w:rPr>
          <w:spacing w:val="-52"/>
          <w:sz w:val="21"/>
        </w:rPr>
        <w:t> </w:t>
      </w:r>
      <w:r>
        <w:rPr>
          <w:spacing w:val="-3"/>
          <w:sz w:val="21"/>
        </w:rPr>
        <w:t>天</w:t>
      </w:r>
      <w:r>
        <w:rPr>
          <w:sz w:val="21"/>
        </w:rPr>
        <w:t>（</w:t>
      </w:r>
      <w:r>
        <w:rPr>
          <w:spacing w:val="-3"/>
          <w:sz w:val="21"/>
        </w:rPr>
        <w:t>即</w:t>
      </w:r>
      <w:r>
        <w:rPr>
          <w:sz w:val="21"/>
        </w:rPr>
        <w:t>犹豫</w:t>
      </w:r>
      <w:r>
        <w:rPr>
          <w:spacing w:val="-3"/>
          <w:sz w:val="21"/>
        </w:rPr>
        <w:t>期）内</w:t>
      </w:r>
      <w:r>
        <w:rPr>
          <w:sz w:val="21"/>
        </w:rPr>
        <w:t>您若</w:t>
      </w:r>
      <w:r>
        <w:rPr>
          <w:spacing w:val="-3"/>
          <w:sz w:val="21"/>
        </w:rPr>
        <w:t>要</w:t>
      </w:r>
      <w:r>
        <w:rPr>
          <w:sz w:val="21"/>
        </w:rPr>
        <w:t>求退</w:t>
      </w:r>
      <w:r>
        <w:rPr>
          <w:spacing w:val="-3"/>
          <w:sz w:val="21"/>
        </w:rPr>
        <w:t>保，</w:t>
      </w:r>
      <w:r>
        <w:rPr>
          <w:sz w:val="21"/>
        </w:rPr>
        <w:t>我们仅</w:t>
      </w:r>
      <w:r>
        <w:rPr>
          <w:spacing w:val="-5"/>
          <w:sz w:val="21"/>
        </w:rPr>
        <w:t>扣</w:t>
      </w:r>
      <w:r>
        <w:rPr>
          <w:sz w:val="21"/>
        </w:rPr>
        <w:t>除工本费</w:t>
        <w:tab/>
        <w:t>1.4</w:t>
      </w:r>
    </w:p>
    <w:p>
      <w:pPr>
        <w:pStyle w:val="ListParagraph"/>
        <w:numPr>
          <w:ilvl w:val="0"/>
          <w:numId w:val="1"/>
        </w:numPr>
        <w:tabs>
          <w:tab w:pos="1268" w:val="left" w:leader="none"/>
          <w:tab w:pos="1269" w:val="left" w:leader="none"/>
          <w:tab w:pos="9563" w:val="right" w:leader="dot"/>
        </w:tabs>
        <w:spacing w:line="240" w:lineRule="auto" w:before="21" w:after="0"/>
        <w:ind w:left="1268" w:right="0" w:hanging="396"/>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8" w:val="left" w:leader="none"/>
          <w:tab w:pos="1269" w:val="left" w:leader="none"/>
          <w:tab w:pos="9563" w:val="right" w:leader="dot"/>
        </w:tabs>
        <w:spacing w:line="240" w:lineRule="auto" w:before="21" w:after="0"/>
        <w:ind w:left="1268" w:right="0" w:hanging="398"/>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保障</w:t>
      </w:r>
      <w:r>
        <w:rPr>
          <w:spacing w:val="-5"/>
          <w:sz w:val="21"/>
        </w:rPr>
        <w:t>在</w:t>
      </w:r>
      <w:r>
        <w:rPr>
          <w:sz w:val="21"/>
        </w:rPr>
        <w:t>保险</w:t>
      </w:r>
      <w:r>
        <w:rPr>
          <w:spacing w:val="-3"/>
          <w:sz w:val="21"/>
        </w:rPr>
        <w:t>责</w:t>
      </w:r>
      <w:r>
        <w:rPr>
          <w:sz w:val="21"/>
        </w:rPr>
        <w:t>任</w:t>
      </w:r>
      <w:r>
        <w:rPr>
          <w:spacing w:val="-3"/>
          <w:sz w:val="21"/>
        </w:rPr>
        <w:t>条</w:t>
      </w:r>
      <w:r>
        <w:rPr>
          <w:sz w:val="21"/>
        </w:rPr>
        <w:t>款中列明</w:t>
        <w:tab/>
        <w:t>2.3</w:t>
      </w:r>
    </w:p>
    <w:p>
      <w:pPr>
        <w:pStyle w:val="Heading4"/>
        <w:tabs>
          <w:tab w:pos="1249" w:val="left" w:leader="none"/>
        </w:tabs>
        <w:spacing w:before="42"/>
        <w:ind w:left="239"/>
      </w:pP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您应当特别注意的事项</w:t>
      </w:r>
    </w:p>
    <w:p>
      <w:pPr>
        <w:pStyle w:val="ListParagraph"/>
        <w:numPr>
          <w:ilvl w:val="0"/>
          <w:numId w:val="1"/>
        </w:numPr>
        <w:tabs>
          <w:tab w:pos="1259" w:val="left" w:leader="none"/>
          <w:tab w:pos="1260" w:val="left" w:leader="none"/>
          <w:tab w:pos="9555" w:val="right" w:leader="dot"/>
        </w:tabs>
        <w:spacing w:line="240" w:lineRule="auto" w:before="26" w:after="0"/>
        <w:ind w:left="1259" w:right="0" w:hanging="389"/>
        <w:jc w:val="left"/>
        <w:rPr>
          <w:sz w:val="21"/>
        </w:rPr>
      </w:pPr>
      <w:r>
        <w:rPr>
          <w:sz w:val="21"/>
        </w:rPr>
        <w:t>退保会给</w:t>
      </w:r>
      <w:r>
        <w:rPr>
          <w:spacing w:val="-5"/>
          <w:sz w:val="21"/>
        </w:rPr>
        <w:t>您</w:t>
      </w:r>
      <w:r>
        <w:rPr>
          <w:sz w:val="21"/>
        </w:rPr>
        <w:t>造</w:t>
      </w:r>
      <w:r>
        <w:rPr>
          <w:spacing w:val="-3"/>
          <w:sz w:val="21"/>
        </w:rPr>
        <w:t>成</w:t>
      </w:r>
      <w:r>
        <w:rPr>
          <w:sz w:val="21"/>
        </w:rPr>
        <w:t>一定</w:t>
      </w:r>
      <w:r>
        <w:rPr>
          <w:spacing w:val="-3"/>
          <w:sz w:val="21"/>
        </w:rPr>
        <w:t>的损</w:t>
      </w:r>
      <w:r>
        <w:rPr>
          <w:sz w:val="21"/>
        </w:rPr>
        <w:t>失，</w:t>
      </w:r>
      <w:r>
        <w:rPr>
          <w:spacing w:val="-3"/>
          <w:sz w:val="21"/>
        </w:rPr>
        <w:t>请</w:t>
      </w:r>
      <w:r>
        <w:rPr>
          <w:sz w:val="21"/>
        </w:rPr>
        <w:t>您</w:t>
      </w:r>
      <w:r>
        <w:rPr>
          <w:spacing w:val="-3"/>
          <w:sz w:val="21"/>
        </w:rPr>
        <w:t>慎</w:t>
      </w:r>
      <w:r>
        <w:rPr>
          <w:sz w:val="21"/>
        </w:rPr>
        <w:t>重决策</w:t>
        <w:tab/>
        <w:t>1.6</w:t>
      </w:r>
    </w:p>
    <w:p>
      <w:pPr>
        <w:pStyle w:val="ListParagraph"/>
        <w:numPr>
          <w:ilvl w:val="0"/>
          <w:numId w:val="1"/>
        </w:numPr>
        <w:tabs>
          <w:tab w:pos="1259" w:val="left" w:leader="none"/>
          <w:tab w:pos="1260" w:val="left" w:leader="none"/>
          <w:tab w:pos="9555" w:val="right" w:leader="dot"/>
        </w:tabs>
        <w:spacing w:line="240" w:lineRule="auto" w:before="22" w:after="0"/>
        <w:ind w:left="1259" w:right="0" w:hanging="389"/>
        <w:jc w:val="left"/>
        <w:rPr>
          <w:sz w:val="21"/>
        </w:rPr>
      </w:pPr>
      <w:r>
        <w:rPr>
          <w:sz w:val="21"/>
        </w:rPr>
        <w:t>本合同有</w:t>
      </w:r>
      <w:r>
        <w:rPr>
          <w:spacing w:val="-55"/>
          <w:sz w:val="21"/>
        </w:rPr>
        <w:t> </w:t>
      </w:r>
      <w:r>
        <w:rPr>
          <w:sz w:val="21"/>
        </w:rPr>
        <w:t>180</w:t>
      </w:r>
      <w:r>
        <w:rPr>
          <w:spacing w:val="-53"/>
          <w:sz w:val="21"/>
        </w:rPr>
        <w:t> </w:t>
      </w:r>
      <w:r>
        <w:rPr>
          <w:spacing w:val="-3"/>
          <w:sz w:val="21"/>
        </w:rPr>
        <w:t>天</w:t>
      </w:r>
      <w:r>
        <w:rPr>
          <w:sz w:val="21"/>
        </w:rPr>
        <w:t>的等</w:t>
      </w:r>
      <w:r>
        <w:rPr>
          <w:spacing w:val="-3"/>
          <w:sz w:val="21"/>
        </w:rPr>
        <w:t>待</w:t>
      </w:r>
      <w:r>
        <w:rPr>
          <w:sz w:val="21"/>
        </w:rPr>
        <w:t>期</w:t>
        <w:tab/>
        <w:t>2.3</w:t>
      </w:r>
    </w:p>
    <w:p>
      <w:pPr>
        <w:pStyle w:val="ListParagraph"/>
        <w:numPr>
          <w:ilvl w:val="0"/>
          <w:numId w:val="1"/>
        </w:numPr>
        <w:tabs>
          <w:tab w:pos="1268" w:val="left" w:leader="none"/>
          <w:tab w:pos="1269" w:val="left" w:leader="none"/>
          <w:tab w:pos="9563" w:val="right" w:leader="dot"/>
        </w:tabs>
        <w:spacing w:line="240" w:lineRule="auto" w:before="22" w:after="0"/>
        <w:ind w:left="1268"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8" w:val="left" w:leader="none"/>
          <w:tab w:pos="1269" w:val="left" w:leader="none"/>
          <w:tab w:pos="9563" w:val="right" w:leader="dot"/>
        </w:tabs>
        <w:spacing w:line="240" w:lineRule="auto" w:before="22" w:after="0"/>
        <w:ind w:left="1268" w:right="0" w:hanging="396"/>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268" w:val="left" w:leader="none"/>
          <w:tab w:pos="1269" w:val="left" w:leader="none"/>
          <w:tab w:pos="9563" w:val="right" w:leader="dot"/>
        </w:tabs>
        <w:spacing w:line="240" w:lineRule="auto" w:before="22" w:after="0"/>
        <w:ind w:left="1268" w:right="0" w:hanging="396"/>
        <w:jc w:val="left"/>
        <w:rPr>
          <w:sz w:val="21"/>
        </w:rPr>
      </w:pPr>
      <w:r>
        <w:rPr>
          <w:spacing w:val="-3"/>
          <w:sz w:val="21"/>
        </w:rPr>
        <w:t>您</w:t>
      </w:r>
      <w:r>
        <w:rPr>
          <w:sz w:val="21"/>
        </w:rPr>
        <w:t>应</w:t>
      </w:r>
      <w:r>
        <w:rPr>
          <w:spacing w:val="-3"/>
          <w:sz w:val="21"/>
        </w:rPr>
        <w:t>当</w:t>
      </w:r>
      <w:r>
        <w:rPr>
          <w:sz w:val="21"/>
        </w:rPr>
        <w:t>按</w:t>
      </w:r>
      <w:r>
        <w:rPr>
          <w:spacing w:val="-3"/>
          <w:sz w:val="21"/>
        </w:rPr>
        <w:t>时支</w:t>
      </w:r>
      <w:r>
        <w:rPr>
          <w:sz w:val="21"/>
        </w:rPr>
        <w:t>付保险费</w:t>
        <w:tab/>
        <w:t>4.1</w:t>
      </w:r>
    </w:p>
    <w:p>
      <w:pPr>
        <w:pStyle w:val="ListParagraph"/>
        <w:numPr>
          <w:ilvl w:val="0"/>
          <w:numId w:val="1"/>
        </w:numPr>
        <w:tabs>
          <w:tab w:pos="1268" w:val="left" w:leader="none"/>
          <w:tab w:pos="1269" w:val="left" w:leader="none"/>
          <w:tab w:pos="9563" w:val="right" w:leader="dot"/>
        </w:tabs>
        <w:spacing w:line="240" w:lineRule="auto" w:before="22" w:after="0"/>
        <w:ind w:left="1268" w:right="0" w:hanging="396"/>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8" w:val="left" w:leader="none"/>
          <w:tab w:pos="1269" w:val="left" w:leader="none"/>
          <w:tab w:pos="9354" w:val="right" w:leader="dot"/>
        </w:tabs>
        <w:spacing w:line="240" w:lineRule="auto" w:before="22" w:after="0"/>
        <w:ind w:left="1268" w:right="0" w:hanging="396"/>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要术语</w:t>
      </w:r>
      <w:r>
        <w:rPr>
          <w:spacing w:val="-3"/>
          <w:sz w:val="21"/>
        </w:rPr>
        <w:t>进行</w:t>
      </w:r>
      <w:r>
        <w:rPr>
          <w:sz w:val="21"/>
        </w:rPr>
        <w:t>了解</w:t>
      </w:r>
      <w:r>
        <w:rPr>
          <w:spacing w:val="-3"/>
          <w:sz w:val="21"/>
        </w:rPr>
        <w:t>释，</w:t>
      </w:r>
      <w:r>
        <w:rPr>
          <w:sz w:val="21"/>
        </w:rPr>
        <w:t>并作</w:t>
      </w:r>
      <w:r>
        <w:rPr>
          <w:spacing w:val="-3"/>
          <w:sz w:val="21"/>
        </w:rPr>
        <w:t>了</w:t>
      </w:r>
      <w:r>
        <w:rPr>
          <w:sz w:val="21"/>
        </w:rPr>
        <w:t>显著标</w:t>
      </w:r>
      <w:r>
        <w:rPr>
          <w:spacing w:val="-5"/>
          <w:sz w:val="21"/>
        </w:rPr>
        <w:t>识</w:t>
      </w:r>
      <w:r>
        <w:rPr>
          <w:sz w:val="21"/>
        </w:rPr>
        <w:t>，</w:t>
      </w:r>
      <w:r>
        <w:rPr>
          <w:spacing w:val="-3"/>
          <w:sz w:val="21"/>
        </w:rPr>
        <w:t>请</w:t>
      </w:r>
      <w:r>
        <w:rPr>
          <w:sz w:val="21"/>
        </w:rPr>
        <w:t>您注意</w:t>
        <w:tab/>
        <w:t>6</w:t>
      </w:r>
    </w:p>
    <w:p>
      <w:pPr>
        <w:pStyle w:val="Heading4"/>
        <w:tabs>
          <w:tab w:pos="1249" w:val="left" w:leader="none"/>
        </w:tabs>
        <w:spacing w:before="42"/>
        <w:ind w:left="239"/>
      </w:pP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3"/>
        </w:rPr>
        <w:t>条款是保险合同的重要内容，为充分保障您的权益，请您仔细阅读本条款。</w:t>
      </w:r>
    </w:p>
    <w:p>
      <w:pPr>
        <w:tabs>
          <w:tab w:pos="1249" w:val="left" w:leader="none"/>
        </w:tabs>
        <w:spacing w:before="47"/>
        <w:ind w:left="239"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z w:val="21"/>
        </w:rPr>
        <w:t>条款目录</w:t>
      </w:r>
    </w:p>
    <w:p>
      <w:pPr>
        <w:spacing w:after="0"/>
        <w:jc w:val="left"/>
        <w:rPr>
          <w:sz w:val="21"/>
        </w:rPr>
        <w:sectPr>
          <w:type w:val="continuous"/>
          <w:pgSz w:w="11910" w:h="16840"/>
          <w:pgMar w:top="240" w:bottom="1180" w:left="860" w:right="360"/>
        </w:sectPr>
      </w:pPr>
    </w:p>
    <w:p>
      <w:pPr>
        <w:pStyle w:val="Heading4"/>
        <w:spacing w:before="26"/>
        <w:ind w:left="347"/>
      </w:pPr>
      <w:r>
        <w:rPr/>
        <w:pict>
          <v:shape style="position:absolute;margin-left:63.140961pt;margin-top:20.085791pt;width:456pt;height:73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41"/>
                    <w:gridCol w:w="987"/>
                    <w:gridCol w:w="2367"/>
                    <w:gridCol w:w="1057"/>
                    <w:gridCol w:w="2151"/>
                  </w:tblGrid>
                  <w:tr>
                    <w:trPr>
                      <w:trHeight w:val="261" w:hRule="atLeast"/>
                    </w:trPr>
                    <w:tc>
                      <w:tcPr>
                        <w:tcW w:w="420" w:type="dxa"/>
                      </w:tcPr>
                      <w:p>
                        <w:pPr>
                          <w:pStyle w:val="TableParagraph"/>
                          <w:spacing w:line="211" w:lineRule="exact"/>
                          <w:ind w:left="50"/>
                          <w:rPr>
                            <w:sz w:val="21"/>
                          </w:rPr>
                        </w:pPr>
                        <w:r>
                          <w:rPr>
                            <w:sz w:val="21"/>
                          </w:rPr>
                          <w:t>1.1</w:t>
                        </w:r>
                      </w:p>
                    </w:tc>
                    <w:tc>
                      <w:tcPr>
                        <w:tcW w:w="2141" w:type="dxa"/>
                      </w:tcPr>
                      <w:p>
                        <w:pPr>
                          <w:pStyle w:val="TableParagraph"/>
                          <w:spacing w:line="211" w:lineRule="exact"/>
                          <w:ind w:left="52"/>
                          <w:rPr>
                            <w:sz w:val="21"/>
                          </w:rPr>
                        </w:pPr>
                        <w:r>
                          <w:rPr>
                            <w:sz w:val="21"/>
                          </w:rPr>
                          <w:t>投保范围</w:t>
                        </w:r>
                      </w:p>
                    </w:tc>
                    <w:tc>
                      <w:tcPr>
                        <w:tcW w:w="987" w:type="dxa"/>
                      </w:tcPr>
                      <w:p>
                        <w:pPr>
                          <w:pStyle w:val="TableParagraph"/>
                          <w:spacing w:line="211" w:lineRule="exact"/>
                          <w:ind w:right="51"/>
                          <w:jc w:val="right"/>
                          <w:rPr>
                            <w:sz w:val="21"/>
                          </w:rPr>
                        </w:pPr>
                        <w:r>
                          <w:rPr>
                            <w:sz w:val="21"/>
                          </w:rPr>
                          <w:t>4.1</w:t>
                        </w:r>
                      </w:p>
                    </w:tc>
                    <w:tc>
                      <w:tcPr>
                        <w:tcW w:w="2367" w:type="dxa"/>
                      </w:tcPr>
                      <w:p>
                        <w:pPr>
                          <w:pStyle w:val="TableParagraph"/>
                          <w:spacing w:line="211" w:lineRule="exact"/>
                          <w:ind w:left="51"/>
                          <w:rPr>
                            <w:sz w:val="21"/>
                          </w:rPr>
                        </w:pPr>
                        <w:r>
                          <w:rPr>
                            <w:sz w:val="21"/>
                          </w:rPr>
                          <w:t>保险费的支付</w:t>
                        </w:r>
                      </w:p>
                    </w:tc>
                    <w:tc>
                      <w:tcPr>
                        <w:tcW w:w="1057" w:type="dxa"/>
                      </w:tcPr>
                      <w:p>
                        <w:pPr>
                          <w:pStyle w:val="TableParagraph"/>
                          <w:spacing w:line="211" w:lineRule="exact"/>
                          <w:ind w:right="106"/>
                          <w:jc w:val="right"/>
                          <w:rPr>
                            <w:sz w:val="21"/>
                          </w:rPr>
                        </w:pPr>
                        <w:r>
                          <w:rPr>
                            <w:sz w:val="21"/>
                          </w:rPr>
                          <w:t>6.7</w:t>
                        </w:r>
                      </w:p>
                    </w:tc>
                    <w:tc>
                      <w:tcPr>
                        <w:tcW w:w="2151" w:type="dxa"/>
                      </w:tcPr>
                      <w:p>
                        <w:pPr>
                          <w:pStyle w:val="TableParagraph"/>
                          <w:spacing w:line="211" w:lineRule="exact"/>
                          <w:ind w:left="-3"/>
                          <w:rPr>
                            <w:sz w:val="21"/>
                          </w:rPr>
                        </w:pPr>
                        <w:r>
                          <w:rPr>
                            <w:sz w:val="21"/>
                          </w:rPr>
                          <w:t>骨和关节软骨恶性肿瘤</w:t>
                        </w:r>
                      </w:p>
                    </w:tc>
                  </w:tr>
                  <w:tr>
                    <w:trPr>
                      <w:trHeight w:val="312" w:hRule="atLeast"/>
                    </w:trPr>
                    <w:tc>
                      <w:tcPr>
                        <w:tcW w:w="420" w:type="dxa"/>
                      </w:tcPr>
                      <w:p>
                        <w:pPr>
                          <w:pStyle w:val="TableParagraph"/>
                          <w:spacing w:line="261" w:lineRule="exact"/>
                          <w:ind w:left="50"/>
                          <w:rPr>
                            <w:sz w:val="21"/>
                          </w:rPr>
                        </w:pPr>
                        <w:r>
                          <w:rPr>
                            <w:sz w:val="21"/>
                          </w:rPr>
                          <w:t>1.2</w:t>
                        </w:r>
                      </w:p>
                    </w:tc>
                    <w:tc>
                      <w:tcPr>
                        <w:tcW w:w="2141" w:type="dxa"/>
                      </w:tcPr>
                      <w:p>
                        <w:pPr>
                          <w:pStyle w:val="TableParagraph"/>
                          <w:spacing w:line="261" w:lineRule="exact"/>
                          <w:ind w:left="52"/>
                          <w:rPr>
                            <w:sz w:val="21"/>
                          </w:rPr>
                        </w:pPr>
                        <w:r>
                          <w:rPr>
                            <w:sz w:val="21"/>
                          </w:rPr>
                          <w:t>合同构成</w:t>
                        </w:r>
                      </w:p>
                    </w:tc>
                    <w:tc>
                      <w:tcPr>
                        <w:tcW w:w="987" w:type="dxa"/>
                      </w:tcPr>
                      <w:p>
                        <w:pPr>
                          <w:pStyle w:val="TableParagraph"/>
                          <w:spacing w:line="261" w:lineRule="exact"/>
                          <w:ind w:right="51"/>
                          <w:jc w:val="right"/>
                          <w:rPr>
                            <w:sz w:val="21"/>
                          </w:rPr>
                        </w:pPr>
                        <w:r>
                          <w:rPr>
                            <w:sz w:val="21"/>
                          </w:rPr>
                          <w:t>4.2</w:t>
                        </w:r>
                      </w:p>
                    </w:tc>
                    <w:tc>
                      <w:tcPr>
                        <w:tcW w:w="2367" w:type="dxa"/>
                      </w:tcPr>
                      <w:p>
                        <w:pPr>
                          <w:pStyle w:val="TableParagraph"/>
                          <w:spacing w:line="261" w:lineRule="exact"/>
                          <w:ind w:left="51"/>
                          <w:rPr>
                            <w:sz w:val="21"/>
                          </w:rPr>
                        </w:pPr>
                        <w:r>
                          <w:rPr>
                            <w:sz w:val="21"/>
                          </w:rPr>
                          <w:t>保险单的现金价值</w:t>
                        </w:r>
                      </w:p>
                    </w:tc>
                    <w:tc>
                      <w:tcPr>
                        <w:tcW w:w="1057" w:type="dxa"/>
                      </w:tcPr>
                      <w:p>
                        <w:pPr>
                          <w:pStyle w:val="TableParagraph"/>
                          <w:spacing w:line="261" w:lineRule="exact"/>
                          <w:ind w:right="106"/>
                          <w:jc w:val="right"/>
                          <w:rPr>
                            <w:sz w:val="21"/>
                          </w:rPr>
                        </w:pPr>
                        <w:r>
                          <w:rPr>
                            <w:sz w:val="21"/>
                          </w:rPr>
                          <w:t>6.8</w:t>
                        </w:r>
                      </w:p>
                    </w:tc>
                    <w:tc>
                      <w:tcPr>
                        <w:tcW w:w="2151" w:type="dxa"/>
                      </w:tcPr>
                      <w:p>
                        <w:pPr>
                          <w:pStyle w:val="TableParagraph"/>
                          <w:spacing w:line="261" w:lineRule="exact"/>
                          <w:ind w:left="-3"/>
                          <w:rPr>
                            <w:sz w:val="21"/>
                          </w:rPr>
                        </w:pPr>
                        <w:r>
                          <w:rPr>
                            <w:sz w:val="21"/>
                          </w:rPr>
                          <w:t>脑脊膜和脑恶性肿瘤</w:t>
                        </w:r>
                      </w:p>
                    </w:tc>
                  </w:tr>
                  <w:tr>
                    <w:trPr>
                      <w:trHeight w:val="312" w:hRule="atLeast"/>
                    </w:trPr>
                    <w:tc>
                      <w:tcPr>
                        <w:tcW w:w="420" w:type="dxa"/>
                      </w:tcPr>
                      <w:p>
                        <w:pPr>
                          <w:pStyle w:val="TableParagraph"/>
                          <w:spacing w:line="262" w:lineRule="exact"/>
                          <w:ind w:left="50"/>
                          <w:rPr>
                            <w:sz w:val="21"/>
                          </w:rPr>
                        </w:pPr>
                        <w:r>
                          <w:rPr>
                            <w:sz w:val="21"/>
                          </w:rPr>
                          <w:t>1.3</w:t>
                        </w:r>
                      </w:p>
                    </w:tc>
                    <w:tc>
                      <w:tcPr>
                        <w:tcW w:w="2141" w:type="dxa"/>
                      </w:tcPr>
                      <w:p>
                        <w:pPr>
                          <w:pStyle w:val="TableParagraph"/>
                          <w:spacing w:line="262" w:lineRule="exact"/>
                          <w:ind w:left="52"/>
                          <w:rPr>
                            <w:sz w:val="21"/>
                          </w:rPr>
                        </w:pPr>
                        <w:r>
                          <w:rPr>
                            <w:sz w:val="21"/>
                          </w:rPr>
                          <w:t>合同成立与生效</w:t>
                        </w:r>
                      </w:p>
                    </w:tc>
                    <w:tc>
                      <w:tcPr>
                        <w:tcW w:w="987" w:type="dxa"/>
                      </w:tcPr>
                      <w:p>
                        <w:pPr>
                          <w:pStyle w:val="TableParagraph"/>
                          <w:spacing w:line="262" w:lineRule="exact"/>
                          <w:ind w:right="51"/>
                          <w:jc w:val="right"/>
                          <w:rPr>
                            <w:sz w:val="21"/>
                          </w:rPr>
                        </w:pPr>
                        <w:r>
                          <w:rPr>
                            <w:sz w:val="21"/>
                          </w:rPr>
                          <w:t>4.3</w:t>
                        </w:r>
                      </w:p>
                    </w:tc>
                    <w:tc>
                      <w:tcPr>
                        <w:tcW w:w="2367" w:type="dxa"/>
                      </w:tcPr>
                      <w:p>
                        <w:pPr>
                          <w:pStyle w:val="TableParagraph"/>
                          <w:spacing w:line="262" w:lineRule="exact"/>
                          <w:ind w:left="51"/>
                          <w:rPr>
                            <w:sz w:val="21"/>
                          </w:rPr>
                        </w:pPr>
                        <w:r>
                          <w:rPr>
                            <w:sz w:val="21"/>
                          </w:rPr>
                          <w:t>宽限期</w:t>
                        </w:r>
                      </w:p>
                    </w:tc>
                    <w:tc>
                      <w:tcPr>
                        <w:tcW w:w="1057" w:type="dxa"/>
                      </w:tcPr>
                      <w:p>
                        <w:pPr>
                          <w:pStyle w:val="TableParagraph"/>
                          <w:spacing w:line="262" w:lineRule="exact"/>
                          <w:ind w:right="106"/>
                          <w:jc w:val="right"/>
                          <w:rPr>
                            <w:sz w:val="21"/>
                          </w:rPr>
                        </w:pPr>
                        <w:r>
                          <w:rPr>
                            <w:sz w:val="21"/>
                          </w:rPr>
                          <w:t>6.9</w:t>
                        </w:r>
                      </w:p>
                    </w:tc>
                    <w:tc>
                      <w:tcPr>
                        <w:tcW w:w="2151" w:type="dxa"/>
                      </w:tcPr>
                      <w:p>
                        <w:pPr>
                          <w:pStyle w:val="TableParagraph"/>
                          <w:spacing w:line="262" w:lineRule="exact"/>
                          <w:ind w:left="-3"/>
                          <w:rPr>
                            <w:sz w:val="21"/>
                          </w:rPr>
                        </w:pPr>
                        <w:r>
                          <w:rPr>
                            <w:sz w:val="21"/>
                          </w:rPr>
                          <w:t>白血病</w:t>
                        </w:r>
                      </w:p>
                    </w:tc>
                  </w:tr>
                  <w:tr>
                    <w:trPr>
                      <w:trHeight w:val="311" w:hRule="atLeast"/>
                    </w:trPr>
                    <w:tc>
                      <w:tcPr>
                        <w:tcW w:w="420" w:type="dxa"/>
                      </w:tcPr>
                      <w:p>
                        <w:pPr>
                          <w:pStyle w:val="TableParagraph"/>
                          <w:spacing w:line="261" w:lineRule="exact"/>
                          <w:ind w:left="50"/>
                          <w:rPr>
                            <w:sz w:val="21"/>
                          </w:rPr>
                        </w:pPr>
                        <w:r>
                          <w:rPr>
                            <w:sz w:val="21"/>
                          </w:rPr>
                          <w:t>1.4</w:t>
                        </w:r>
                      </w:p>
                    </w:tc>
                    <w:tc>
                      <w:tcPr>
                        <w:tcW w:w="2141" w:type="dxa"/>
                      </w:tcPr>
                      <w:p>
                        <w:pPr>
                          <w:pStyle w:val="TableParagraph"/>
                          <w:spacing w:line="261" w:lineRule="exact"/>
                          <w:ind w:left="52"/>
                          <w:rPr>
                            <w:sz w:val="21"/>
                          </w:rPr>
                        </w:pPr>
                        <w:r>
                          <w:rPr>
                            <w:sz w:val="21"/>
                          </w:rPr>
                          <w:t>犹豫期</w:t>
                        </w:r>
                      </w:p>
                    </w:tc>
                    <w:tc>
                      <w:tcPr>
                        <w:tcW w:w="987" w:type="dxa"/>
                      </w:tcPr>
                      <w:p>
                        <w:pPr>
                          <w:pStyle w:val="TableParagraph"/>
                          <w:spacing w:line="261" w:lineRule="exact"/>
                          <w:ind w:right="51"/>
                          <w:jc w:val="right"/>
                          <w:rPr>
                            <w:sz w:val="21"/>
                          </w:rPr>
                        </w:pPr>
                        <w:r>
                          <w:rPr>
                            <w:sz w:val="21"/>
                          </w:rPr>
                          <w:t>4.4</w:t>
                        </w:r>
                      </w:p>
                    </w:tc>
                    <w:tc>
                      <w:tcPr>
                        <w:tcW w:w="2367" w:type="dxa"/>
                      </w:tcPr>
                      <w:p>
                        <w:pPr>
                          <w:pStyle w:val="TableParagraph"/>
                          <w:spacing w:line="261" w:lineRule="exact"/>
                          <w:ind w:left="51"/>
                          <w:rPr>
                            <w:sz w:val="21"/>
                          </w:rPr>
                        </w:pPr>
                        <w:r>
                          <w:rPr>
                            <w:sz w:val="21"/>
                          </w:rPr>
                          <w:t>合同效力中止</w:t>
                        </w:r>
                      </w:p>
                    </w:tc>
                    <w:tc>
                      <w:tcPr>
                        <w:tcW w:w="1057" w:type="dxa"/>
                      </w:tcPr>
                      <w:p>
                        <w:pPr>
                          <w:pStyle w:val="TableParagraph"/>
                          <w:spacing w:line="261" w:lineRule="exact"/>
                          <w:jc w:val="right"/>
                          <w:rPr>
                            <w:sz w:val="21"/>
                          </w:rPr>
                        </w:pPr>
                        <w:r>
                          <w:rPr>
                            <w:sz w:val="21"/>
                          </w:rPr>
                          <w:t>6.10</w:t>
                        </w:r>
                      </w:p>
                    </w:tc>
                    <w:tc>
                      <w:tcPr>
                        <w:tcW w:w="2151" w:type="dxa"/>
                      </w:tcPr>
                      <w:p>
                        <w:pPr>
                          <w:pStyle w:val="TableParagraph"/>
                          <w:spacing w:line="261" w:lineRule="exact"/>
                          <w:ind w:left="100"/>
                          <w:rPr>
                            <w:sz w:val="21"/>
                          </w:rPr>
                        </w:pPr>
                        <w:r>
                          <w:rPr>
                            <w:sz w:val="21"/>
                          </w:rPr>
                          <w:t>毒品</w:t>
                        </w:r>
                      </w:p>
                    </w:tc>
                  </w:tr>
                  <w:tr>
                    <w:trPr>
                      <w:trHeight w:val="261" w:hRule="atLeast"/>
                    </w:trPr>
                    <w:tc>
                      <w:tcPr>
                        <w:tcW w:w="420" w:type="dxa"/>
                      </w:tcPr>
                      <w:p>
                        <w:pPr>
                          <w:pStyle w:val="TableParagraph"/>
                          <w:spacing w:line="242" w:lineRule="exact"/>
                          <w:ind w:left="50"/>
                          <w:rPr>
                            <w:sz w:val="21"/>
                          </w:rPr>
                        </w:pPr>
                        <w:r>
                          <w:rPr>
                            <w:sz w:val="21"/>
                          </w:rPr>
                          <w:t>1.5</w:t>
                        </w:r>
                      </w:p>
                    </w:tc>
                    <w:tc>
                      <w:tcPr>
                        <w:tcW w:w="2141" w:type="dxa"/>
                      </w:tcPr>
                      <w:p>
                        <w:pPr>
                          <w:pStyle w:val="TableParagraph"/>
                          <w:spacing w:line="242" w:lineRule="exact"/>
                          <w:ind w:left="52"/>
                          <w:rPr>
                            <w:sz w:val="21"/>
                          </w:rPr>
                        </w:pPr>
                        <w:r>
                          <w:rPr>
                            <w:sz w:val="21"/>
                          </w:rPr>
                          <w:t>合同内容变更</w:t>
                        </w:r>
                      </w:p>
                    </w:tc>
                    <w:tc>
                      <w:tcPr>
                        <w:tcW w:w="987" w:type="dxa"/>
                      </w:tcPr>
                      <w:p>
                        <w:pPr>
                          <w:pStyle w:val="TableParagraph"/>
                          <w:spacing w:line="242" w:lineRule="exact"/>
                          <w:ind w:right="51"/>
                          <w:jc w:val="right"/>
                          <w:rPr>
                            <w:sz w:val="21"/>
                          </w:rPr>
                        </w:pPr>
                        <w:r>
                          <w:rPr>
                            <w:sz w:val="21"/>
                          </w:rPr>
                          <w:t>4.5</w:t>
                        </w:r>
                      </w:p>
                    </w:tc>
                    <w:tc>
                      <w:tcPr>
                        <w:tcW w:w="2367" w:type="dxa"/>
                      </w:tcPr>
                      <w:p>
                        <w:pPr>
                          <w:pStyle w:val="TableParagraph"/>
                          <w:spacing w:line="242" w:lineRule="exact"/>
                          <w:ind w:left="51"/>
                          <w:rPr>
                            <w:sz w:val="21"/>
                          </w:rPr>
                        </w:pPr>
                        <w:r>
                          <w:rPr>
                            <w:sz w:val="21"/>
                          </w:rPr>
                          <w:t>合同效力恢复</w:t>
                        </w:r>
                      </w:p>
                    </w:tc>
                    <w:tc>
                      <w:tcPr>
                        <w:tcW w:w="1057" w:type="dxa"/>
                      </w:tcPr>
                      <w:p>
                        <w:pPr>
                          <w:pStyle w:val="TableParagraph"/>
                          <w:spacing w:line="242" w:lineRule="exact"/>
                          <w:jc w:val="right"/>
                          <w:rPr>
                            <w:sz w:val="21"/>
                          </w:rPr>
                        </w:pPr>
                        <w:r>
                          <w:rPr>
                            <w:sz w:val="21"/>
                          </w:rPr>
                          <w:t>6.11</w:t>
                        </w:r>
                      </w:p>
                    </w:tc>
                    <w:tc>
                      <w:tcPr>
                        <w:tcW w:w="2151" w:type="dxa"/>
                      </w:tcPr>
                      <w:p>
                        <w:pPr>
                          <w:pStyle w:val="TableParagraph"/>
                          <w:spacing w:line="242" w:lineRule="exact"/>
                          <w:ind w:left="100"/>
                          <w:rPr>
                            <w:sz w:val="21"/>
                          </w:rPr>
                        </w:pPr>
                        <w:r>
                          <w:rPr>
                            <w:sz w:val="21"/>
                          </w:rPr>
                          <w:t>酒后驾驶</w:t>
                        </w:r>
                      </w:p>
                    </w:tc>
                  </w:tr>
                </w:tbl>
                <w:p>
                  <w:pPr>
                    <w:pStyle w:val="BodyText"/>
                  </w:pPr>
                </w:p>
              </w:txbxContent>
            </v:textbox>
            <w10:wrap type="none"/>
          </v:shape>
        </w:pict>
      </w:r>
      <w:r>
        <w:rPr/>
        <w:t>1. 您与我们的合同</w:t>
      </w:r>
    </w:p>
    <w:p>
      <w:pPr>
        <w:pStyle w:val="ListParagraph"/>
        <w:numPr>
          <w:ilvl w:val="0"/>
          <w:numId w:val="2"/>
        </w:numPr>
        <w:tabs>
          <w:tab w:pos="665" w:val="left" w:leader="none"/>
        </w:tabs>
        <w:spacing w:line="240" w:lineRule="auto" w:before="26" w:after="0"/>
        <w:ind w:left="664" w:right="0" w:hanging="317"/>
        <w:jc w:val="left"/>
        <w:rPr>
          <w:b/>
          <w:sz w:val="21"/>
        </w:rPr>
      </w:pPr>
      <w:r>
        <w:rPr>
          <w:b/>
          <w:w w:val="100"/>
          <w:sz w:val="21"/>
        </w:rPr>
        <w:br w:type="column"/>
      </w:r>
      <w:r>
        <w:rPr>
          <w:b/>
          <w:spacing w:val="-1"/>
          <w:sz w:val="21"/>
        </w:rPr>
        <w:t>保险费的支付和现金价值权益</w:t>
      </w:r>
    </w:p>
    <w:p>
      <w:pPr>
        <w:pStyle w:val="BodyText"/>
        <w:spacing w:before="26"/>
        <w:ind w:left="347"/>
      </w:pPr>
      <w:r>
        <w:rPr/>
        <w:br w:type="column"/>
      </w:r>
      <w:r>
        <w:rPr/>
        <w:t>6.6 专科医生</w:t>
      </w:r>
    </w:p>
    <w:p>
      <w:pPr>
        <w:spacing w:after="0"/>
        <w:sectPr>
          <w:type w:val="continuous"/>
          <w:pgSz w:w="11910" w:h="16840"/>
          <w:pgMar w:top="240" w:bottom="1180" w:left="860" w:right="360"/>
          <w:cols w:num="3" w:equalWidth="0">
            <w:col w:w="2143" w:space="984"/>
            <w:col w:w="3408" w:space="68"/>
            <w:col w:w="408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ind w:left="452"/>
      </w:pPr>
      <w:r>
        <w:rPr/>
        <w:t>1.6 您解除合同的手续及风险</w:t>
      </w:r>
    </w:p>
    <w:p>
      <w:pPr>
        <w:pStyle w:val="Heading4"/>
        <w:spacing w:before="37"/>
        <w:ind w:left="347"/>
      </w:pPr>
      <w:r>
        <w:rPr/>
        <w:t>2. 我们提供的保障</w:t>
      </w:r>
    </w:p>
    <w:p>
      <w:pPr>
        <w:pStyle w:val="BodyText"/>
        <w:spacing w:before="37"/>
        <w:ind w:left="452"/>
      </w:pPr>
      <w:r>
        <w:rPr/>
        <w:t>2.1 保险金额</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4"/>
        <w:numPr>
          <w:ilvl w:val="0"/>
          <w:numId w:val="2"/>
        </w:numPr>
        <w:tabs>
          <w:tab w:pos="565" w:val="left" w:leader="none"/>
        </w:tabs>
        <w:spacing w:line="240" w:lineRule="auto" w:before="0" w:after="0"/>
        <w:ind w:left="564" w:right="0" w:hanging="316"/>
        <w:jc w:val="left"/>
      </w:pPr>
      <w:r>
        <w:rPr/>
        <w:t>其他事项</w:t>
      </w:r>
    </w:p>
    <w:p>
      <w:pPr>
        <w:pStyle w:val="ListParagraph"/>
        <w:numPr>
          <w:ilvl w:val="1"/>
          <w:numId w:val="2"/>
        </w:numPr>
        <w:tabs>
          <w:tab w:pos="777" w:val="left" w:leader="none"/>
        </w:tabs>
        <w:spacing w:line="240" w:lineRule="auto" w:before="37" w:after="0"/>
        <w:ind w:left="776" w:right="0" w:hanging="423"/>
        <w:jc w:val="left"/>
        <w:rPr>
          <w:sz w:val="21"/>
        </w:rPr>
      </w:pPr>
      <w:r>
        <w:rPr>
          <w:spacing w:val="-3"/>
          <w:sz w:val="21"/>
        </w:rPr>
        <w:t>明确说明与如实告知</w:t>
      </w:r>
    </w:p>
    <w:p>
      <w:pPr>
        <w:pStyle w:val="ListParagraph"/>
        <w:numPr>
          <w:ilvl w:val="1"/>
          <w:numId w:val="2"/>
        </w:numPr>
        <w:tabs>
          <w:tab w:pos="777" w:val="left" w:leader="none"/>
        </w:tabs>
        <w:spacing w:line="240" w:lineRule="auto" w:before="37" w:after="0"/>
        <w:ind w:left="776" w:right="0" w:hanging="423"/>
        <w:jc w:val="left"/>
        <w:rPr>
          <w:sz w:val="21"/>
        </w:rPr>
      </w:pPr>
      <w:r>
        <w:rPr>
          <w:spacing w:val="-3"/>
          <w:sz w:val="21"/>
        </w:rPr>
        <w:t>本公司合同解除权的限制</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ListParagraph"/>
        <w:numPr>
          <w:ilvl w:val="1"/>
          <w:numId w:val="3"/>
        </w:numPr>
        <w:tabs>
          <w:tab w:pos="873" w:val="left" w:leader="none"/>
        </w:tabs>
        <w:spacing w:line="240" w:lineRule="auto" w:before="0" w:after="0"/>
        <w:ind w:left="872" w:right="0" w:hanging="525"/>
        <w:jc w:val="left"/>
        <w:rPr>
          <w:sz w:val="21"/>
        </w:rPr>
      </w:pPr>
      <w:r>
        <w:rPr>
          <w:spacing w:val="-3"/>
          <w:sz w:val="21"/>
        </w:rPr>
        <w:t>无合法有效驾驶证驾驶</w:t>
      </w:r>
    </w:p>
    <w:p>
      <w:pPr>
        <w:pStyle w:val="ListParagraph"/>
        <w:numPr>
          <w:ilvl w:val="1"/>
          <w:numId w:val="3"/>
        </w:numPr>
        <w:tabs>
          <w:tab w:pos="873" w:val="left" w:leader="none"/>
        </w:tabs>
        <w:spacing w:line="240" w:lineRule="auto" w:before="37" w:after="0"/>
        <w:ind w:left="872" w:right="0" w:hanging="525"/>
        <w:jc w:val="left"/>
        <w:rPr>
          <w:sz w:val="21"/>
        </w:rPr>
      </w:pPr>
      <w:r>
        <w:rPr>
          <w:spacing w:val="-2"/>
          <w:sz w:val="21"/>
        </w:rPr>
        <w:t>无有效行驶证</w:t>
      </w:r>
    </w:p>
    <w:p>
      <w:pPr>
        <w:pStyle w:val="ListParagraph"/>
        <w:numPr>
          <w:ilvl w:val="1"/>
          <w:numId w:val="3"/>
        </w:numPr>
        <w:tabs>
          <w:tab w:pos="873" w:val="left" w:leader="none"/>
        </w:tabs>
        <w:spacing w:line="240" w:lineRule="auto" w:before="37" w:after="0"/>
        <w:ind w:left="872" w:right="0" w:hanging="525"/>
        <w:jc w:val="left"/>
        <w:rPr>
          <w:sz w:val="21"/>
        </w:rPr>
      </w:pPr>
      <w:r>
        <w:rPr>
          <w:spacing w:val="-2"/>
          <w:sz w:val="21"/>
        </w:rPr>
        <w:t>遗传性疾病</w:t>
      </w:r>
    </w:p>
    <w:p>
      <w:pPr>
        <w:spacing w:after="0" w:line="240" w:lineRule="auto"/>
        <w:jc w:val="left"/>
        <w:rPr>
          <w:sz w:val="21"/>
        </w:rPr>
        <w:sectPr>
          <w:type w:val="continuous"/>
          <w:pgSz w:w="11910" w:h="16840"/>
          <w:pgMar w:top="240" w:bottom="1180" w:left="860" w:right="360"/>
          <w:cols w:num="3" w:equalWidth="0">
            <w:col w:w="3187" w:space="40"/>
            <w:col w:w="3088" w:space="288"/>
            <w:col w:w="4087"/>
          </w:cols>
        </w:sectPr>
      </w:pPr>
    </w:p>
    <w:p>
      <w:pPr>
        <w:pStyle w:val="BodyText"/>
        <w:spacing w:before="9"/>
        <w:rPr>
          <w:sz w:val="7"/>
        </w:rPr>
      </w:pPr>
    </w:p>
    <w:tbl>
      <w:tblPr>
        <w:tblW w:w="0" w:type="auto"/>
        <w:jc w:val="left"/>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41"/>
        <w:gridCol w:w="987"/>
        <w:gridCol w:w="2157"/>
        <w:gridCol w:w="3832"/>
      </w:tblGrid>
      <w:tr>
        <w:trPr>
          <w:trHeight w:val="261" w:hRule="atLeast"/>
        </w:trPr>
        <w:tc>
          <w:tcPr>
            <w:tcW w:w="420" w:type="dxa"/>
          </w:tcPr>
          <w:p>
            <w:pPr>
              <w:pStyle w:val="TableParagraph"/>
              <w:spacing w:line="211" w:lineRule="exact"/>
              <w:ind w:left="50"/>
              <w:rPr>
                <w:sz w:val="21"/>
              </w:rPr>
            </w:pPr>
            <w:r>
              <w:rPr>
                <w:sz w:val="21"/>
              </w:rPr>
              <w:t>2.2</w:t>
            </w:r>
          </w:p>
        </w:tc>
        <w:tc>
          <w:tcPr>
            <w:tcW w:w="2141" w:type="dxa"/>
          </w:tcPr>
          <w:p>
            <w:pPr>
              <w:pStyle w:val="TableParagraph"/>
              <w:spacing w:line="211" w:lineRule="exact"/>
              <w:ind w:left="52"/>
              <w:rPr>
                <w:sz w:val="21"/>
              </w:rPr>
            </w:pPr>
            <w:r>
              <w:rPr>
                <w:sz w:val="21"/>
              </w:rPr>
              <w:t>保险期间</w:t>
            </w:r>
          </w:p>
        </w:tc>
        <w:tc>
          <w:tcPr>
            <w:tcW w:w="987" w:type="dxa"/>
          </w:tcPr>
          <w:p>
            <w:pPr>
              <w:pStyle w:val="TableParagraph"/>
              <w:spacing w:line="211" w:lineRule="exact"/>
              <w:ind w:right="51"/>
              <w:jc w:val="right"/>
              <w:rPr>
                <w:sz w:val="21"/>
              </w:rPr>
            </w:pPr>
            <w:r>
              <w:rPr>
                <w:sz w:val="21"/>
              </w:rPr>
              <w:t>5.3</w:t>
            </w:r>
          </w:p>
        </w:tc>
        <w:tc>
          <w:tcPr>
            <w:tcW w:w="2157" w:type="dxa"/>
          </w:tcPr>
          <w:p>
            <w:pPr>
              <w:pStyle w:val="TableParagraph"/>
              <w:spacing w:line="211" w:lineRule="exact"/>
              <w:ind w:left="51"/>
              <w:rPr>
                <w:sz w:val="21"/>
              </w:rPr>
            </w:pPr>
            <w:r>
              <w:rPr>
                <w:sz w:val="21"/>
              </w:rPr>
              <w:t>年龄性别错误</w:t>
            </w:r>
          </w:p>
        </w:tc>
        <w:tc>
          <w:tcPr>
            <w:tcW w:w="3832" w:type="dxa"/>
          </w:tcPr>
          <w:p>
            <w:pPr>
              <w:pStyle w:val="TableParagraph"/>
              <w:spacing w:line="211" w:lineRule="exact"/>
              <w:ind w:left="841"/>
              <w:rPr>
                <w:sz w:val="21"/>
              </w:rPr>
            </w:pPr>
            <w:r>
              <w:rPr>
                <w:sz w:val="21"/>
              </w:rPr>
              <w:t>6.15</w:t>
            </w:r>
            <w:r>
              <w:rPr>
                <w:spacing w:val="-12"/>
                <w:sz w:val="21"/>
              </w:rPr>
              <w:t> 先天性畸形、变形或染色体</w:t>
            </w:r>
          </w:p>
        </w:tc>
      </w:tr>
      <w:tr>
        <w:trPr>
          <w:trHeight w:val="312" w:hRule="atLeast"/>
        </w:trPr>
        <w:tc>
          <w:tcPr>
            <w:tcW w:w="420" w:type="dxa"/>
          </w:tcPr>
          <w:p>
            <w:pPr>
              <w:pStyle w:val="TableParagraph"/>
              <w:spacing w:line="262" w:lineRule="exact"/>
              <w:ind w:left="50"/>
              <w:rPr>
                <w:sz w:val="21"/>
              </w:rPr>
            </w:pPr>
            <w:r>
              <w:rPr>
                <w:sz w:val="21"/>
              </w:rPr>
              <w:t>2.3</w:t>
            </w:r>
          </w:p>
        </w:tc>
        <w:tc>
          <w:tcPr>
            <w:tcW w:w="2141" w:type="dxa"/>
          </w:tcPr>
          <w:p>
            <w:pPr>
              <w:pStyle w:val="TableParagraph"/>
              <w:spacing w:line="262" w:lineRule="exact"/>
              <w:ind w:left="52"/>
              <w:rPr>
                <w:sz w:val="21"/>
              </w:rPr>
            </w:pPr>
            <w:r>
              <w:rPr>
                <w:sz w:val="21"/>
              </w:rPr>
              <w:t>保险责任</w:t>
            </w:r>
          </w:p>
        </w:tc>
        <w:tc>
          <w:tcPr>
            <w:tcW w:w="987" w:type="dxa"/>
          </w:tcPr>
          <w:p>
            <w:pPr>
              <w:pStyle w:val="TableParagraph"/>
              <w:spacing w:line="262" w:lineRule="exact"/>
              <w:ind w:right="51"/>
              <w:jc w:val="right"/>
              <w:rPr>
                <w:sz w:val="21"/>
              </w:rPr>
            </w:pPr>
            <w:r>
              <w:rPr>
                <w:sz w:val="21"/>
              </w:rPr>
              <w:t>5.4</w:t>
            </w:r>
          </w:p>
        </w:tc>
        <w:tc>
          <w:tcPr>
            <w:tcW w:w="2157" w:type="dxa"/>
          </w:tcPr>
          <w:p>
            <w:pPr>
              <w:pStyle w:val="TableParagraph"/>
              <w:spacing w:line="262" w:lineRule="exact"/>
              <w:ind w:left="51"/>
              <w:rPr>
                <w:sz w:val="21"/>
              </w:rPr>
            </w:pPr>
            <w:r>
              <w:rPr>
                <w:sz w:val="21"/>
              </w:rPr>
              <w:t>未还款项</w:t>
            </w:r>
          </w:p>
        </w:tc>
        <w:tc>
          <w:tcPr>
            <w:tcW w:w="3832" w:type="dxa"/>
          </w:tcPr>
          <w:p>
            <w:pPr>
              <w:pStyle w:val="TableParagraph"/>
              <w:spacing w:line="262" w:lineRule="exact"/>
              <w:ind w:left="1350" w:right="2022"/>
              <w:jc w:val="center"/>
              <w:rPr>
                <w:sz w:val="21"/>
              </w:rPr>
            </w:pPr>
            <w:r>
              <w:rPr>
                <w:sz w:val="21"/>
              </w:rPr>
              <w:t>异常</w:t>
            </w:r>
          </w:p>
        </w:tc>
      </w:tr>
      <w:tr>
        <w:trPr>
          <w:trHeight w:val="311" w:hRule="atLeast"/>
        </w:trPr>
        <w:tc>
          <w:tcPr>
            <w:tcW w:w="420" w:type="dxa"/>
          </w:tcPr>
          <w:p>
            <w:pPr>
              <w:pStyle w:val="TableParagraph"/>
              <w:spacing w:line="261" w:lineRule="exact"/>
              <w:ind w:left="50"/>
              <w:rPr>
                <w:sz w:val="21"/>
              </w:rPr>
            </w:pPr>
            <w:r>
              <w:rPr>
                <w:sz w:val="21"/>
              </w:rPr>
              <w:t>2.4</w:t>
            </w:r>
          </w:p>
        </w:tc>
        <w:tc>
          <w:tcPr>
            <w:tcW w:w="2141" w:type="dxa"/>
          </w:tcPr>
          <w:p>
            <w:pPr>
              <w:pStyle w:val="TableParagraph"/>
              <w:spacing w:line="261" w:lineRule="exact"/>
              <w:ind w:left="52"/>
              <w:rPr>
                <w:sz w:val="21"/>
              </w:rPr>
            </w:pPr>
            <w:r>
              <w:rPr>
                <w:sz w:val="21"/>
              </w:rPr>
              <w:t>保险责任的免除</w:t>
            </w:r>
          </w:p>
        </w:tc>
        <w:tc>
          <w:tcPr>
            <w:tcW w:w="987" w:type="dxa"/>
          </w:tcPr>
          <w:p>
            <w:pPr>
              <w:pStyle w:val="TableParagraph"/>
              <w:spacing w:line="261" w:lineRule="exact"/>
              <w:ind w:right="51"/>
              <w:jc w:val="right"/>
              <w:rPr>
                <w:sz w:val="21"/>
              </w:rPr>
            </w:pPr>
            <w:r>
              <w:rPr>
                <w:sz w:val="21"/>
              </w:rPr>
              <w:t>5.5</w:t>
            </w:r>
          </w:p>
        </w:tc>
        <w:tc>
          <w:tcPr>
            <w:tcW w:w="2157" w:type="dxa"/>
          </w:tcPr>
          <w:p>
            <w:pPr>
              <w:pStyle w:val="TableParagraph"/>
              <w:spacing w:line="261" w:lineRule="exact"/>
              <w:ind w:left="51"/>
              <w:rPr>
                <w:sz w:val="21"/>
              </w:rPr>
            </w:pPr>
            <w:r>
              <w:rPr>
                <w:sz w:val="21"/>
              </w:rPr>
              <w:t>事故鉴定</w:t>
            </w:r>
          </w:p>
        </w:tc>
        <w:tc>
          <w:tcPr>
            <w:tcW w:w="3832" w:type="dxa"/>
          </w:tcPr>
          <w:p>
            <w:pPr>
              <w:pStyle w:val="TableParagraph"/>
              <w:spacing w:line="261" w:lineRule="exact"/>
              <w:ind w:left="841"/>
              <w:rPr>
                <w:sz w:val="21"/>
              </w:rPr>
            </w:pPr>
            <w:r>
              <w:rPr>
                <w:sz w:val="21"/>
              </w:rPr>
              <w:t>6.16 潜水</w:t>
            </w:r>
          </w:p>
        </w:tc>
      </w:tr>
      <w:tr>
        <w:trPr>
          <w:trHeight w:val="261" w:hRule="atLeast"/>
        </w:trPr>
        <w:tc>
          <w:tcPr>
            <w:tcW w:w="420" w:type="dxa"/>
          </w:tcPr>
          <w:p>
            <w:pPr>
              <w:pStyle w:val="TableParagraph"/>
              <w:spacing w:line="242" w:lineRule="exact"/>
              <w:ind w:left="50"/>
              <w:rPr>
                <w:sz w:val="21"/>
              </w:rPr>
            </w:pPr>
            <w:r>
              <w:rPr>
                <w:sz w:val="21"/>
              </w:rPr>
              <w:t>2.5</w:t>
            </w:r>
          </w:p>
        </w:tc>
        <w:tc>
          <w:tcPr>
            <w:tcW w:w="2141" w:type="dxa"/>
          </w:tcPr>
          <w:p>
            <w:pPr>
              <w:pStyle w:val="TableParagraph"/>
              <w:spacing w:line="242" w:lineRule="exact"/>
              <w:ind w:left="52"/>
              <w:rPr>
                <w:sz w:val="21"/>
              </w:rPr>
            </w:pPr>
            <w:r>
              <w:rPr>
                <w:sz w:val="21"/>
              </w:rPr>
              <w:t>保险责任的终止</w:t>
            </w:r>
          </w:p>
        </w:tc>
        <w:tc>
          <w:tcPr>
            <w:tcW w:w="987" w:type="dxa"/>
          </w:tcPr>
          <w:p>
            <w:pPr>
              <w:pStyle w:val="TableParagraph"/>
              <w:spacing w:line="242" w:lineRule="exact"/>
              <w:ind w:right="51"/>
              <w:jc w:val="right"/>
              <w:rPr>
                <w:sz w:val="21"/>
              </w:rPr>
            </w:pPr>
            <w:r>
              <w:rPr>
                <w:sz w:val="21"/>
              </w:rPr>
              <w:t>5.6</w:t>
            </w:r>
          </w:p>
        </w:tc>
        <w:tc>
          <w:tcPr>
            <w:tcW w:w="2157" w:type="dxa"/>
          </w:tcPr>
          <w:p>
            <w:pPr>
              <w:pStyle w:val="TableParagraph"/>
              <w:spacing w:line="242" w:lineRule="exact"/>
              <w:ind w:left="51"/>
              <w:rPr>
                <w:sz w:val="21"/>
              </w:rPr>
            </w:pPr>
            <w:r>
              <w:rPr>
                <w:sz w:val="21"/>
              </w:rPr>
              <w:t>争议处理</w:t>
            </w:r>
          </w:p>
        </w:tc>
        <w:tc>
          <w:tcPr>
            <w:tcW w:w="3832" w:type="dxa"/>
          </w:tcPr>
          <w:p>
            <w:pPr>
              <w:pStyle w:val="TableParagraph"/>
              <w:spacing w:line="242" w:lineRule="exact"/>
              <w:ind w:left="841"/>
              <w:rPr>
                <w:sz w:val="21"/>
              </w:rPr>
            </w:pPr>
            <w:r>
              <w:rPr>
                <w:sz w:val="21"/>
              </w:rPr>
              <w:t>6.17 攀岩</w:t>
            </w:r>
          </w:p>
        </w:tc>
      </w:tr>
    </w:tbl>
    <w:p>
      <w:pPr>
        <w:pStyle w:val="BodyText"/>
        <w:spacing w:before="4"/>
        <w:rPr>
          <w:sz w:val="5"/>
        </w:rPr>
      </w:pPr>
    </w:p>
    <w:p>
      <w:pPr>
        <w:spacing w:after="0"/>
        <w:rPr>
          <w:sz w:val="5"/>
        </w:rPr>
        <w:sectPr>
          <w:type w:val="continuous"/>
          <w:pgSz w:w="11910" w:h="16840"/>
          <w:pgMar w:top="240" w:bottom="1180" w:left="860" w:right="360"/>
        </w:sectPr>
      </w:pPr>
    </w:p>
    <w:p>
      <w:pPr>
        <w:pStyle w:val="Heading4"/>
        <w:spacing w:line="242" w:lineRule="exact"/>
        <w:ind w:left="347"/>
      </w:pPr>
      <w:r>
        <w:rPr/>
        <w:t>3.如何申请领取保险金</w:t>
      </w:r>
    </w:p>
    <w:p>
      <w:pPr>
        <w:pStyle w:val="BodyText"/>
        <w:spacing w:before="37"/>
        <w:ind w:left="452"/>
      </w:pPr>
      <w:r>
        <w:rPr/>
        <w:t>3.1 保险金受益人</w:t>
      </w:r>
    </w:p>
    <w:p>
      <w:pPr>
        <w:pStyle w:val="Heading4"/>
        <w:numPr>
          <w:ilvl w:val="0"/>
          <w:numId w:val="2"/>
        </w:numPr>
        <w:tabs>
          <w:tab w:pos="665" w:val="left" w:leader="none"/>
        </w:tabs>
        <w:spacing w:line="242" w:lineRule="exact" w:before="0" w:after="0"/>
        <w:ind w:left="664" w:right="0" w:hanging="317"/>
        <w:jc w:val="left"/>
      </w:pPr>
      <w:r>
        <w:rPr>
          <w:w w:val="100"/>
        </w:rPr>
        <w:br w:type="column"/>
      </w:r>
      <w:r>
        <w:rPr/>
        <w:t>释义</w:t>
      </w:r>
    </w:p>
    <w:p>
      <w:pPr>
        <w:pStyle w:val="ListParagraph"/>
        <w:numPr>
          <w:ilvl w:val="1"/>
          <w:numId w:val="2"/>
        </w:numPr>
        <w:tabs>
          <w:tab w:pos="876" w:val="left" w:leader="none"/>
        </w:tabs>
        <w:spacing w:line="240" w:lineRule="auto" w:before="37" w:after="0"/>
        <w:ind w:left="875" w:right="0" w:hanging="423"/>
        <w:jc w:val="left"/>
        <w:rPr>
          <w:sz w:val="21"/>
        </w:rPr>
      </w:pPr>
      <w:r>
        <w:rPr>
          <w:spacing w:val="-2"/>
          <w:sz w:val="21"/>
        </w:rPr>
        <w:t>周岁</w:t>
      </w:r>
    </w:p>
    <w:p>
      <w:pPr>
        <w:pStyle w:val="ListParagraph"/>
        <w:numPr>
          <w:ilvl w:val="1"/>
          <w:numId w:val="4"/>
        </w:numPr>
        <w:tabs>
          <w:tab w:pos="873" w:val="left" w:leader="none"/>
        </w:tabs>
        <w:spacing w:line="242" w:lineRule="exact" w:before="0" w:after="0"/>
        <w:ind w:left="872" w:right="0" w:hanging="525"/>
        <w:jc w:val="left"/>
        <w:rPr>
          <w:sz w:val="21"/>
        </w:rPr>
      </w:pPr>
      <w:r>
        <w:rPr>
          <w:w w:val="100"/>
          <w:sz w:val="21"/>
        </w:rPr>
        <w:br w:type="column"/>
      </w:r>
      <w:r>
        <w:rPr>
          <w:sz w:val="21"/>
        </w:rPr>
        <w:t>探险活动</w:t>
      </w:r>
    </w:p>
    <w:p>
      <w:pPr>
        <w:pStyle w:val="ListParagraph"/>
        <w:numPr>
          <w:ilvl w:val="1"/>
          <w:numId w:val="4"/>
        </w:numPr>
        <w:tabs>
          <w:tab w:pos="821" w:val="left" w:leader="none"/>
        </w:tabs>
        <w:spacing w:line="240" w:lineRule="auto" w:before="37" w:after="0"/>
        <w:ind w:left="820" w:right="0" w:hanging="473"/>
        <w:jc w:val="left"/>
        <w:rPr>
          <w:sz w:val="21"/>
        </w:rPr>
      </w:pPr>
      <w:r>
        <w:rPr>
          <w:spacing w:val="-2"/>
          <w:sz w:val="21"/>
        </w:rPr>
        <w:t>武术比赛</w:t>
      </w:r>
    </w:p>
    <w:p>
      <w:pPr>
        <w:spacing w:after="0" w:line="240" w:lineRule="auto"/>
        <w:jc w:val="left"/>
        <w:rPr>
          <w:sz w:val="21"/>
        </w:rPr>
        <w:sectPr>
          <w:type w:val="continuous"/>
          <w:pgSz w:w="11910" w:h="16840"/>
          <w:pgMar w:top="240" w:bottom="1180" w:left="860" w:right="360"/>
          <w:cols w:num="3" w:equalWidth="0">
            <w:col w:w="2460" w:space="668"/>
            <w:col w:w="1296" w:space="2179"/>
            <w:col w:w="4087"/>
          </w:cols>
        </w:sectPr>
      </w:pPr>
    </w:p>
    <w:p>
      <w:pPr>
        <w:pStyle w:val="BodyText"/>
        <w:spacing w:before="8" w:after="1"/>
        <w:rPr>
          <w:sz w:val="7"/>
        </w:rPr>
      </w:pPr>
    </w:p>
    <w:tbl>
      <w:tblPr>
        <w:tblW w:w="0" w:type="auto"/>
        <w:jc w:val="left"/>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36"/>
        <w:gridCol w:w="1093"/>
        <w:gridCol w:w="2157"/>
        <w:gridCol w:w="1318"/>
        <w:gridCol w:w="2514"/>
      </w:tblGrid>
      <w:tr>
        <w:trPr>
          <w:trHeight w:val="261" w:hRule="atLeast"/>
        </w:trPr>
        <w:tc>
          <w:tcPr>
            <w:tcW w:w="420" w:type="dxa"/>
          </w:tcPr>
          <w:p>
            <w:pPr>
              <w:pStyle w:val="TableParagraph"/>
              <w:spacing w:line="211" w:lineRule="exact"/>
              <w:ind w:left="50"/>
              <w:rPr>
                <w:sz w:val="21"/>
              </w:rPr>
            </w:pPr>
            <w:r>
              <w:rPr>
                <w:sz w:val="21"/>
              </w:rPr>
              <w:t>3.2</w:t>
            </w:r>
          </w:p>
        </w:tc>
        <w:tc>
          <w:tcPr>
            <w:tcW w:w="2036" w:type="dxa"/>
          </w:tcPr>
          <w:p>
            <w:pPr>
              <w:pStyle w:val="TableParagraph"/>
              <w:spacing w:line="211" w:lineRule="exact"/>
              <w:ind w:left="52"/>
              <w:rPr>
                <w:sz w:val="21"/>
              </w:rPr>
            </w:pPr>
            <w:r>
              <w:rPr>
                <w:sz w:val="21"/>
              </w:rPr>
              <w:t>保险事故通知</w:t>
            </w:r>
          </w:p>
        </w:tc>
        <w:tc>
          <w:tcPr>
            <w:tcW w:w="1093" w:type="dxa"/>
          </w:tcPr>
          <w:p>
            <w:pPr>
              <w:pStyle w:val="TableParagraph"/>
              <w:spacing w:line="211" w:lineRule="exact"/>
              <w:ind w:right="52"/>
              <w:jc w:val="right"/>
              <w:rPr>
                <w:sz w:val="21"/>
              </w:rPr>
            </w:pPr>
            <w:r>
              <w:rPr>
                <w:sz w:val="21"/>
              </w:rPr>
              <w:t>6.2</w:t>
            </w:r>
          </w:p>
        </w:tc>
        <w:tc>
          <w:tcPr>
            <w:tcW w:w="2157" w:type="dxa"/>
          </w:tcPr>
          <w:p>
            <w:pPr>
              <w:pStyle w:val="TableParagraph"/>
              <w:spacing w:line="211" w:lineRule="exact"/>
              <w:ind w:left="50"/>
              <w:rPr>
                <w:sz w:val="21"/>
              </w:rPr>
            </w:pPr>
            <w:r>
              <w:rPr>
                <w:sz w:val="21"/>
              </w:rPr>
              <w:t>有效身份证件</w:t>
            </w:r>
          </w:p>
        </w:tc>
        <w:tc>
          <w:tcPr>
            <w:tcW w:w="1318" w:type="dxa"/>
          </w:tcPr>
          <w:p>
            <w:pPr>
              <w:pStyle w:val="TableParagraph"/>
              <w:spacing w:line="211" w:lineRule="exact"/>
              <w:ind w:right="52"/>
              <w:jc w:val="right"/>
              <w:rPr>
                <w:sz w:val="21"/>
              </w:rPr>
            </w:pPr>
            <w:r>
              <w:rPr>
                <w:sz w:val="21"/>
              </w:rPr>
              <w:t>6.20</w:t>
            </w:r>
          </w:p>
        </w:tc>
        <w:tc>
          <w:tcPr>
            <w:tcW w:w="2514" w:type="dxa"/>
          </w:tcPr>
          <w:p>
            <w:pPr>
              <w:pStyle w:val="TableParagraph"/>
              <w:spacing w:line="211" w:lineRule="exact"/>
              <w:ind w:left="48"/>
              <w:rPr>
                <w:sz w:val="21"/>
              </w:rPr>
            </w:pPr>
            <w:r>
              <w:rPr>
                <w:sz w:val="21"/>
              </w:rPr>
              <w:t>本合同约定利率</w:t>
            </w:r>
          </w:p>
        </w:tc>
      </w:tr>
      <w:tr>
        <w:trPr>
          <w:trHeight w:val="312" w:hRule="atLeast"/>
        </w:trPr>
        <w:tc>
          <w:tcPr>
            <w:tcW w:w="420" w:type="dxa"/>
          </w:tcPr>
          <w:p>
            <w:pPr>
              <w:pStyle w:val="TableParagraph"/>
              <w:spacing w:line="261" w:lineRule="exact"/>
              <w:ind w:left="50"/>
              <w:rPr>
                <w:sz w:val="21"/>
              </w:rPr>
            </w:pPr>
            <w:r>
              <w:rPr>
                <w:sz w:val="21"/>
              </w:rPr>
              <w:t>3.3</w:t>
            </w:r>
          </w:p>
        </w:tc>
        <w:tc>
          <w:tcPr>
            <w:tcW w:w="2036" w:type="dxa"/>
          </w:tcPr>
          <w:p>
            <w:pPr>
              <w:pStyle w:val="TableParagraph"/>
              <w:spacing w:line="261" w:lineRule="exact"/>
              <w:ind w:left="52"/>
              <w:rPr>
                <w:sz w:val="21"/>
              </w:rPr>
            </w:pPr>
            <w:r>
              <w:rPr>
                <w:sz w:val="21"/>
              </w:rPr>
              <w:t>保险金申请</w:t>
            </w:r>
          </w:p>
        </w:tc>
        <w:tc>
          <w:tcPr>
            <w:tcW w:w="1093" w:type="dxa"/>
          </w:tcPr>
          <w:p>
            <w:pPr>
              <w:pStyle w:val="TableParagraph"/>
              <w:spacing w:line="261" w:lineRule="exact"/>
              <w:ind w:right="52"/>
              <w:jc w:val="right"/>
              <w:rPr>
                <w:sz w:val="21"/>
              </w:rPr>
            </w:pPr>
            <w:r>
              <w:rPr>
                <w:sz w:val="21"/>
              </w:rPr>
              <w:t>6.3</w:t>
            </w:r>
          </w:p>
        </w:tc>
        <w:tc>
          <w:tcPr>
            <w:tcW w:w="2157" w:type="dxa"/>
          </w:tcPr>
          <w:p>
            <w:pPr>
              <w:pStyle w:val="TableParagraph"/>
              <w:spacing w:line="261" w:lineRule="exact"/>
              <w:ind w:left="50"/>
              <w:rPr>
                <w:sz w:val="21"/>
              </w:rPr>
            </w:pPr>
            <w:r>
              <w:rPr>
                <w:sz w:val="21"/>
              </w:rPr>
              <w:t>现金价值</w:t>
            </w:r>
          </w:p>
        </w:tc>
        <w:tc>
          <w:tcPr>
            <w:tcW w:w="1318" w:type="dxa"/>
          </w:tcPr>
          <w:p>
            <w:pPr>
              <w:pStyle w:val="TableParagraph"/>
              <w:spacing w:line="261" w:lineRule="exact"/>
              <w:ind w:right="52"/>
              <w:jc w:val="right"/>
              <w:rPr>
                <w:sz w:val="21"/>
              </w:rPr>
            </w:pPr>
            <w:r>
              <w:rPr>
                <w:sz w:val="21"/>
              </w:rPr>
              <w:t>6.21</w:t>
            </w:r>
          </w:p>
        </w:tc>
        <w:tc>
          <w:tcPr>
            <w:tcW w:w="2514" w:type="dxa"/>
          </w:tcPr>
          <w:p>
            <w:pPr>
              <w:pStyle w:val="TableParagraph"/>
              <w:spacing w:line="261" w:lineRule="exact"/>
              <w:ind w:left="48"/>
              <w:rPr>
                <w:sz w:val="21"/>
              </w:rPr>
            </w:pPr>
            <w:r>
              <w:rPr>
                <w:sz w:val="21"/>
              </w:rPr>
              <w:t>本公司认可的医疗机构</w:t>
            </w:r>
          </w:p>
        </w:tc>
      </w:tr>
      <w:tr>
        <w:trPr>
          <w:trHeight w:val="312" w:hRule="atLeast"/>
        </w:trPr>
        <w:tc>
          <w:tcPr>
            <w:tcW w:w="420" w:type="dxa"/>
          </w:tcPr>
          <w:p>
            <w:pPr>
              <w:pStyle w:val="TableParagraph"/>
              <w:spacing w:line="262" w:lineRule="exact"/>
              <w:ind w:left="50"/>
              <w:rPr>
                <w:sz w:val="21"/>
              </w:rPr>
            </w:pPr>
            <w:r>
              <w:rPr>
                <w:sz w:val="21"/>
              </w:rPr>
              <w:t>3.4</w:t>
            </w:r>
          </w:p>
        </w:tc>
        <w:tc>
          <w:tcPr>
            <w:tcW w:w="2036" w:type="dxa"/>
          </w:tcPr>
          <w:p>
            <w:pPr>
              <w:pStyle w:val="TableParagraph"/>
              <w:spacing w:line="262" w:lineRule="exact"/>
              <w:ind w:left="52"/>
              <w:rPr>
                <w:sz w:val="21"/>
              </w:rPr>
            </w:pPr>
            <w:r>
              <w:rPr>
                <w:sz w:val="21"/>
              </w:rPr>
              <w:t>保险金的给付</w:t>
            </w:r>
          </w:p>
        </w:tc>
        <w:tc>
          <w:tcPr>
            <w:tcW w:w="1093" w:type="dxa"/>
          </w:tcPr>
          <w:p>
            <w:pPr>
              <w:pStyle w:val="TableParagraph"/>
              <w:spacing w:line="262" w:lineRule="exact"/>
              <w:ind w:right="52"/>
              <w:jc w:val="right"/>
              <w:rPr>
                <w:sz w:val="21"/>
              </w:rPr>
            </w:pPr>
            <w:r>
              <w:rPr>
                <w:sz w:val="21"/>
              </w:rPr>
              <w:t>6.4</w:t>
            </w:r>
          </w:p>
        </w:tc>
        <w:tc>
          <w:tcPr>
            <w:tcW w:w="2157" w:type="dxa"/>
          </w:tcPr>
          <w:p>
            <w:pPr>
              <w:pStyle w:val="TableParagraph"/>
              <w:spacing w:line="262" w:lineRule="exact"/>
              <w:ind w:left="50"/>
              <w:rPr>
                <w:sz w:val="21"/>
              </w:rPr>
            </w:pPr>
            <w:r>
              <w:rPr>
                <w:sz w:val="21"/>
              </w:rPr>
              <w:t>重大疾病</w:t>
            </w:r>
          </w:p>
        </w:tc>
        <w:tc>
          <w:tcPr>
            <w:tcW w:w="1318" w:type="dxa"/>
          </w:tcPr>
          <w:p>
            <w:pPr>
              <w:pStyle w:val="TableParagraph"/>
              <w:spacing w:line="262" w:lineRule="exact"/>
              <w:ind w:right="52"/>
              <w:jc w:val="right"/>
              <w:rPr>
                <w:sz w:val="21"/>
              </w:rPr>
            </w:pPr>
            <w:r>
              <w:rPr>
                <w:sz w:val="21"/>
              </w:rPr>
              <w:t>6.22</w:t>
            </w:r>
          </w:p>
        </w:tc>
        <w:tc>
          <w:tcPr>
            <w:tcW w:w="2514" w:type="dxa"/>
          </w:tcPr>
          <w:p>
            <w:pPr>
              <w:pStyle w:val="TableParagraph"/>
              <w:spacing w:line="262" w:lineRule="exact"/>
              <w:ind w:left="48"/>
              <w:rPr>
                <w:sz w:val="21"/>
              </w:rPr>
            </w:pPr>
            <w:r>
              <w:rPr>
                <w:sz w:val="21"/>
              </w:rPr>
              <w:t>肢体机能完全丧失</w:t>
            </w:r>
          </w:p>
        </w:tc>
      </w:tr>
      <w:tr>
        <w:trPr>
          <w:trHeight w:val="311" w:hRule="atLeast"/>
        </w:trPr>
        <w:tc>
          <w:tcPr>
            <w:tcW w:w="420" w:type="dxa"/>
          </w:tcPr>
          <w:p>
            <w:pPr>
              <w:pStyle w:val="TableParagraph"/>
              <w:spacing w:line="261" w:lineRule="exact"/>
              <w:ind w:left="50"/>
              <w:rPr>
                <w:sz w:val="21"/>
              </w:rPr>
            </w:pPr>
            <w:r>
              <w:rPr>
                <w:sz w:val="21"/>
              </w:rPr>
              <w:t>3.5</w:t>
            </w:r>
          </w:p>
        </w:tc>
        <w:tc>
          <w:tcPr>
            <w:tcW w:w="2036" w:type="dxa"/>
          </w:tcPr>
          <w:p>
            <w:pPr>
              <w:pStyle w:val="TableParagraph"/>
              <w:spacing w:line="261" w:lineRule="exact"/>
              <w:ind w:left="52"/>
              <w:rPr>
                <w:sz w:val="21"/>
              </w:rPr>
            </w:pPr>
            <w:r>
              <w:rPr>
                <w:sz w:val="21"/>
              </w:rPr>
              <w:t>诉讼时效</w:t>
            </w:r>
          </w:p>
        </w:tc>
        <w:tc>
          <w:tcPr>
            <w:tcW w:w="1093" w:type="dxa"/>
          </w:tcPr>
          <w:p>
            <w:pPr>
              <w:pStyle w:val="TableParagraph"/>
              <w:spacing w:line="261" w:lineRule="exact"/>
              <w:ind w:right="52"/>
              <w:jc w:val="right"/>
              <w:rPr>
                <w:sz w:val="21"/>
              </w:rPr>
            </w:pPr>
            <w:r>
              <w:rPr>
                <w:sz w:val="21"/>
              </w:rPr>
              <w:t>6.5</w:t>
            </w:r>
          </w:p>
        </w:tc>
        <w:tc>
          <w:tcPr>
            <w:tcW w:w="2157" w:type="dxa"/>
          </w:tcPr>
          <w:p>
            <w:pPr>
              <w:pStyle w:val="TableParagraph"/>
              <w:spacing w:line="261" w:lineRule="exact"/>
              <w:ind w:left="50"/>
              <w:rPr>
                <w:sz w:val="21"/>
              </w:rPr>
            </w:pPr>
            <w:r>
              <w:rPr>
                <w:sz w:val="21"/>
              </w:rPr>
              <w:t>意外伤害</w:t>
            </w:r>
          </w:p>
        </w:tc>
        <w:tc>
          <w:tcPr>
            <w:tcW w:w="1318" w:type="dxa"/>
          </w:tcPr>
          <w:p>
            <w:pPr>
              <w:pStyle w:val="TableParagraph"/>
              <w:spacing w:line="261" w:lineRule="exact"/>
              <w:ind w:right="52"/>
              <w:jc w:val="right"/>
              <w:rPr>
                <w:sz w:val="21"/>
              </w:rPr>
            </w:pPr>
            <w:r>
              <w:rPr>
                <w:sz w:val="21"/>
              </w:rPr>
              <w:t>6.23</w:t>
            </w:r>
          </w:p>
        </w:tc>
        <w:tc>
          <w:tcPr>
            <w:tcW w:w="2514" w:type="dxa"/>
          </w:tcPr>
          <w:p>
            <w:pPr>
              <w:pStyle w:val="TableParagraph"/>
              <w:spacing w:line="261" w:lineRule="exact"/>
              <w:ind w:left="57"/>
              <w:rPr>
                <w:sz w:val="21"/>
              </w:rPr>
            </w:pPr>
            <w:r>
              <w:rPr>
                <w:sz w:val="21"/>
              </w:rPr>
              <w:t>语言能力或咀嚼吞咽能力</w:t>
            </w:r>
          </w:p>
        </w:tc>
      </w:tr>
      <w:tr>
        <w:trPr>
          <w:trHeight w:val="311" w:hRule="atLeast"/>
        </w:trPr>
        <w:tc>
          <w:tcPr>
            <w:tcW w:w="420" w:type="dxa"/>
          </w:tcPr>
          <w:p>
            <w:pPr>
              <w:pStyle w:val="TableParagraph"/>
              <w:rPr>
                <w:rFonts w:ascii="Times New Roman"/>
                <w:sz w:val="20"/>
              </w:rPr>
            </w:pPr>
          </w:p>
        </w:tc>
        <w:tc>
          <w:tcPr>
            <w:tcW w:w="2036" w:type="dxa"/>
          </w:tcPr>
          <w:p>
            <w:pPr>
              <w:pStyle w:val="TableParagraph"/>
              <w:rPr>
                <w:rFonts w:ascii="Times New Roman"/>
                <w:sz w:val="20"/>
              </w:rPr>
            </w:pPr>
          </w:p>
        </w:tc>
        <w:tc>
          <w:tcPr>
            <w:tcW w:w="1093" w:type="dxa"/>
          </w:tcPr>
          <w:p>
            <w:pPr>
              <w:pStyle w:val="TableParagraph"/>
              <w:rPr>
                <w:rFonts w:ascii="Times New Roman"/>
                <w:sz w:val="20"/>
              </w:rPr>
            </w:pPr>
          </w:p>
        </w:tc>
        <w:tc>
          <w:tcPr>
            <w:tcW w:w="2157" w:type="dxa"/>
          </w:tcPr>
          <w:p>
            <w:pPr>
              <w:pStyle w:val="TableParagraph"/>
              <w:rPr>
                <w:rFonts w:ascii="Times New Roman"/>
                <w:sz w:val="20"/>
              </w:rPr>
            </w:pPr>
          </w:p>
        </w:tc>
        <w:tc>
          <w:tcPr>
            <w:tcW w:w="1318" w:type="dxa"/>
          </w:tcPr>
          <w:p>
            <w:pPr>
              <w:pStyle w:val="TableParagraph"/>
              <w:rPr>
                <w:rFonts w:ascii="Times New Roman"/>
                <w:sz w:val="20"/>
              </w:rPr>
            </w:pPr>
          </w:p>
        </w:tc>
        <w:tc>
          <w:tcPr>
            <w:tcW w:w="2514" w:type="dxa"/>
          </w:tcPr>
          <w:p>
            <w:pPr>
              <w:pStyle w:val="TableParagraph"/>
              <w:spacing w:line="261" w:lineRule="exact"/>
              <w:ind w:left="48"/>
              <w:rPr>
                <w:sz w:val="21"/>
              </w:rPr>
            </w:pPr>
            <w:r>
              <w:rPr>
                <w:sz w:val="21"/>
              </w:rPr>
              <w:t>完全丧失</w:t>
            </w:r>
          </w:p>
        </w:tc>
      </w:tr>
      <w:tr>
        <w:trPr>
          <w:trHeight w:val="261" w:hRule="atLeast"/>
        </w:trPr>
        <w:tc>
          <w:tcPr>
            <w:tcW w:w="420" w:type="dxa"/>
          </w:tcPr>
          <w:p>
            <w:pPr>
              <w:pStyle w:val="TableParagraph"/>
              <w:rPr>
                <w:rFonts w:ascii="Times New Roman"/>
                <w:sz w:val="18"/>
              </w:rPr>
            </w:pPr>
          </w:p>
        </w:tc>
        <w:tc>
          <w:tcPr>
            <w:tcW w:w="2036" w:type="dxa"/>
          </w:tcPr>
          <w:p>
            <w:pPr>
              <w:pStyle w:val="TableParagraph"/>
              <w:rPr>
                <w:rFonts w:ascii="Times New Roman"/>
                <w:sz w:val="18"/>
              </w:rPr>
            </w:pPr>
          </w:p>
        </w:tc>
        <w:tc>
          <w:tcPr>
            <w:tcW w:w="1093" w:type="dxa"/>
          </w:tcPr>
          <w:p>
            <w:pPr>
              <w:pStyle w:val="TableParagraph"/>
              <w:rPr>
                <w:rFonts w:ascii="Times New Roman"/>
                <w:sz w:val="18"/>
              </w:rPr>
            </w:pPr>
          </w:p>
        </w:tc>
        <w:tc>
          <w:tcPr>
            <w:tcW w:w="2157" w:type="dxa"/>
          </w:tcPr>
          <w:p>
            <w:pPr>
              <w:pStyle w:val="TableParagraph"/>
              <w:rPr>
                <w:rFonts w:ascii="Times New Roman"/>
                <w:sz w:val="18"/>
              </w:rPr>
            </w:pPr>
          </w:p>
        </w:tc>
        <w:tc>
          <w:tcPr>
            <w:tcW w:w="1318" w:type="dxa"/>
          </w:tcPr>
          <w:p>
            <w:pPr>
              <w:pStyle w:val="TableParagraph"/>
              <w:spacing w:line="242" w:lineRule="exact"/>
              <w:ind w:right="52"/>
              <w:jc w:val="right"/>
              <w:rPr>
                <w:sz w:val="21"/>
              </w:rPr>
            </w:pPr>
            <w:r>
              <w:rPr>
                <w:sz w:val="21"/>
              </w:rPr>
              <w:t>6.24</w:t>
            </w:r>
          </w:p>
        </w:tc>
        <w:tc>
          <w:tcPr>
            <w:tcW w:w="2514" w:type="dxa"/>
          </w:tcPr>
          <w:p>
            <w:pPr>
              <w:pStyle w:val="TableParagraph"/>
              <w:spacing w:line="242" w:lineRule="exact"/>
              <w:ind w:left="48"/>
              <w:rPr>
                <w:sz w:val="21"/>
              </w:rPr>
            </w:pPr>
            <w:r>
              <w:rPr>
                <w:sz w:val="21"/>
              </w:rPr>
              <w:t>六项基本日常生活活动</w:t>
            </w:r>
          </w:p>
        </w:tc>
      </w:tr>
    </w:tbl>
    <w:p>
      <w:pPr>
        <w:pStyle w:val="BodyText"/>
        <w:spacing w:before="37"/>
        <w:ind w:left="6949"/>
      </w:pPr>
      <w:r>
        <w:rPr/>
        <w:t>6.25 永久不可逆</w:t>
      </w:r>
    </w:p>
    <w:p>
      <w:pPr>
        <w:spacing w:after="0"/>
        <w:sectPr>
          <w:type w:val="continuous"/>
          <w:pgSz w:w="11910" w:h="16840"/>
          <w:pgMar w:top="240" w:bottom="1180" w:left="860" w:right="360"/>
        </w:sectPr>
      </w:pPr>
    </w:p>
    <w:p>
      <w:pPr>
        <w:pStyle w:val="BodyText"/>
        <w:spacing w:before="12"/>
        <w:rPr>
          <w:sz w:val="27"/>
        </w:rPr>
      </w:pPr>
    </w:p>
    <w:p>
      <w:pPr>
        <w:pStyle w:val="Heading1"/>
        <w:ind w:left="2694"/>
        <w:jc w:val="left"/>
      </w:pPr>
      <w:r>
        <w:rPr>
          <w:w w:val="95"/>
        </w:rPr>
        <w:t>合众附加爱宝贝重大疾病保险条款</w:t>
      </w:r>
    </w:p>
    <w:p>
      <w:pPr>
        <w:pStyle w:val="BodyText"/>
        <w:spacing w:before="5"/>
        <w:rPr>
          <w:rFonts w:ascii="微软雅黑"/>
          <w:b/>
          <w:sz w:val="23"/>
        </w:rPr>
      </w:pPr>
    </w:p>
    <w:p>
      <w:pPr>
        <w:pStyle w:val="BodyText"/>
        <w:ind w:left="217"/>
      </w:pPr>
      <w:r>
        <w:rPr/>
        <w:t>在本条款中，“您”指投保人，“我们”、“本公司”均指合众人寿保险股份有限公司。</w:t>
      </w:r>
    </w:p>
    <w:p>
      <w:pPr>
        <w:pStyle w:val="BodyText"/>
        <w:rPr>
          <w:sz w:val="20"/>
        </w:rPr>
      </w:pPr>
    </w:p>
    <w:p>
      <w:pPr>
        <w:pStyle w:val="Heading2"/>
        <w:numPr>
          <w:ilvl w:val="0"/>
          <w:numId w:val="5"/>
        </w:numPr>
        <w:tabs>
          <w:tab w:pos="1067" w:val="left" w:leader="none"/>
          <w:tab w:pos="1068" w:val="left" w:leader="none"/>
        </w:tabs>
        <w:spacing w:line="240" w:lineRule="auto" w:before="159" w:after="0"/>
        <w:ind w:left="1067" w:right="0" w:hanging="850"/>
        <w:jc w:val="left"/>
      </w:pPr>
      <w:r>
        <w:rPr/>
        <w:pict>
          <v:group style="position:absolute;margin-left:48.48pt;margin-top:35.322540pt;width:478pt;height:1pt;mso-position-horizontal-relative:page;mso-position-vertical-relative:paragraph;z-index:1096;mso-wrap-distance-left:0;mso-wrap-distance-right:0" coordorigin="970,706" coordsize="9560,20">
            <v:line style="position:absolute" from="970,716" to="1822,716" stroked="true" strokeweight=".96pt" strokecolor="#000000">
              <v:stroke dashstyle="solid"/>
            </v:line>
            <v:rect style="position:absolute;left:1821;top:706;width:20;height:20" filled="true" fillcolor="#000000" stroked="false">
              <v:fill type="solid"/>
            </v:rect>
            <v:line style="position:absolute" from="1841,716" to="3521,716" stroked="true" strokeweight=".96pt" strokecolor="#000000">
              <v:stroke dashstyle="solid"/>
            </v:line>
            <v:rect style="position:absolute;left:3520;top:706;width:20;height:20" filled="true" fillcolor="#000000" stroked="false">
              <v:fill type="solid"/>
            </v:rect>
            <v:line style="position:absolute" from="3540,716" to="10529,716" stroked="true" strokeweight=".96pt" strokecolor="#000000">
              <v:stroke dashstyle="solid"/>
            </v:line>
            <w10:wrap type="topAndBottom"/>
          </v:group>
        </w:pict>
      </w:r>
      <w:r>
        <w:rPr>
          <w:w w:val="95"/>
        </w:rPr>
        <w:t>您与我们的合同</w:t>
      </w:r>
    </w:p>
    <w:p>
      <w:pPr>
        <w:pStyle w:val="BodyText"/>
        <w:spacing w:before="13"/>
        <w:rPr>
          <w:b/>
          <w:sz w:val="9"/>
        </w:rPr>
      </w:pPr>
    </w:p>
    <w:p>
      <w:pPr>
        <w:pStyle w:val="ListParagraph"/>
        <w:numPr>
          <w:ilvl w:val="1"/>
          <w:numId w:val="6"/>
        </w:numPr>
        <w:tabs>
          <w:tab w:pos="1067" w:val="left" w:leader="none"/>
          <w:tab w:pos="1068" w:val="left" w:leader="none"/>
          <w:tab w:pos="2768" w:val="left" w:leader="none"/>
        </w:tabs>
        <w:spacing w:line="273" w:lineRule="auto" w:before="36" w:after="0"/>
        <w:ind w:left="2768" w:right="237" w:hanging="2551"/>
        <w:jc w:val="left"/>
        <w:rPr>
          <w:sz w:val="21"/>
        </w:rPr>
      </w:pPr>
      <w:r>
        <w:rPr>
          <w:b/>
          <w:sz w:val="21"/>
        </w:rPr>
        <w:t>投保范围</w:t>
        <w:tab/>
      </w:r>
      <w:r>
        <w:rPr>
          <w:sz w:val="21"/>
        </w:rPr>
        <w:t>凡</w:t>
      </w:r>
      <w:r>
        <w:rPr>
          <w:spacing w:val="-3"/>
          <w:sz w:val="21"/>
        </w:rPr>
        <w:t>年</w:t>
      </w:r>
      <w:r>
        <w:rPr>
          <w:sz w:val="21"/>
        </w:rPr>
        <w:t>满</w:t>
      </w:r>
      <w:r>
        <w:rPr>
          <w:spacing w:val="-43"/>
          <w:sz w:val="21"/>
        </w:rPr>
        <w:t> </w:t>
      </w:r>
      <w:r>
        <w:rPr>
          <w:sz w:val="21"/>
        </w:rPr>
        <w:t>18</w:t>
      </w:r>
      <w:r>
        <w:rPr>
          <w:spacing w:val="-46"/>
          <w:sz w:val="21"/>
        </w:rPr>
        <w:t> </w:t>
      </w:r>
      <w:r>
        <w:rPr>
          <w:b/>
          <w:sz w:val="21"/>
        </w:rPr>
        <w:t>周岁</w:t>
      </w:r>
      <w:r>
        <w:rPr>
          <w:spacing w:val="-3"/>
          <w:sz w:val="21"/>
        </w:rPr>
        <w:t>（</w:t>
      </w:r>
      <w:r>
        <w:rPr>
          <w:sz w:val="21"/>
        </w:rPr>
        <w:t>见</w:t>
      </w:r>
      <w:r>
        <w:rPr>
          <w:spacing w:val="-3"/>
          <w:sz w:val="21"/>
        </w:rPr>
        <w:t>释</w:t>
      </w:r>
      <w:r>
        <w:rPr>
          <w:sz w:val="21"/>
        </w:rPr>
        <w:t>义</w:t>
      </w:r>
      <w:r>
        <w:rPr>
          <w:spacing w:val="-43"/>
          <w:sz w:val="21"/>
        </w:rPr>
        <w:t> </w:t>
      </w:r>
      <w:r>
        <w:rPr>
          <w:sz w:val="21"/>
        </w:rPr>
        <w:t>6.1），具有完</w:t>
      </w:r>
      <w:r>
        <w:rPr>
          <w:spacing w:val="-5"/>
          <w:sz w:val="21"/>
        </w:rPr>
        <w:t>全</w:t>
      </w:r>
      <w:r>
        <w:rPr>
          <w:sz w:val="21"/>
        </w:rPr>
        <w:t>民事</w:t>
      </w:r>
      <w:r>
        <w:rPr>
          <w:spacing w:val="-3"/>
          <w:sz w:val="21"/>
        </w:rPr>
        <w:t>行</w:t>
      </w:r>
      <w:r>
        <w:rPr>
          <w:sz w:val="21"/>
        </w:rPr>
        <w:t>为能力</w:t>
      </w:r>
      <w:r>
        <w:rPr>
          <w:spacing w:val="-5"/>
          <w:sz w:val="21"/>
        </w:rPr>
        <w:t>且</w:t>
      </w:r>
      <w:r>
        <w:rPr>
          <w:sz w:val="21"/>
        </w:rPr>
        <w:t>在本保</w:t>
      </w:r>
      <w:r>
        <w:rPr>
          <w:spacing w:val="-5"/>
          <w:sz w:val="21"/>
        </w:rPr>
        <w:t>险</w:t>
      </w:r>
      <w:r>
        <w:rPr>
          <w:sz w:val="21"/>
        </w:rPr>
        <w:t>合</w:t>
      </w:r>
      <w:r>
        <w:rPr>
          <w:spacing w:val="-3"/>
          <w:sz w:val="21"/>
        </w:rPr>
        <w:t>同</w:t>
      </w:r>
      <w:r>
        <w:rPr>
          <w:sz w:val="21"/>
        </w:rPr>
        <w:t>订立时对</w:t>
      </w:r>
      <w:r>
        <w:rPr>
          <w:spacing w:val="-3"/>
          <w:sz w:val="21"/>
        </w:rPr>
        <w:t>被保</w:t>
      </w:r>
      <w:r>
        <w:rPr>
          <w:sz w:val="21"/>
        </w:rPr>
        <w:t>险人</w:t>
      </w:r>
      <w:r>
        <w:rPr>
          <w:spacing w:val="-3"/>
          <w:sz w:val="21"/>
        </w:rPr>
        <w:t>具有</w:t>
      </w:r>
      <w:r>
        <w:rPr>
          <w:sz w:val="21"/>
        </w:rPr>
        <w:t>保险利益</w:t>
      </w:r>
      <w:r>
        <w:rPr>
          <w:spacing w:val="-5"/>
          <w:sz w:val="21"/>
        </w:rPr>
        <w:t>的</w:t>
      </w:r>
      <w:r>
        <w:rPr>
          <w:sz w:val="21"/>
        </w:rPr>
        <w:t>人</w:t>
      </w:r>
      <w:r>
        <w:rPr>
          <w:spacing w:val="-3"/>
          <w:sz w:val="21"/>
        </w:rPr>
        <w:t>，</w:t>
      </w:r>
      <w:r>
        <w:rPr>
          <w:sz w:val="21"/>
        </w:rPr>
        <w:t>均</w:t>
      </w:r>
      <w:r>
        <w:rPr>
          <w:spacing w:val="-3"/>
          <w:sz w:val="21"/>
        </w:rPr>
        <w:t>可</w:t>
      </w:r>
      <w:r>
        <w:rPr>
          <w:sz w:val="21"/>
        </w:rPr>
        <w:t>以作为</w:t>
      </w:r>
      <w:r>
        <w:rPr>
          <w:spacing w:val="-5"/>
          <w:sz w:val="21"/>
        </w:rPr>
        <w:t>投</w:t>
      </w:r>
      <w:r>
        <w:rPr>
          <w:sz w:val="21"/>
        </w:rPr>
        <w:t>保人。</w:t>
      </w:r>
    </w:p>
    <w:p>
      <w:pPr>
        <w:pStyle w:val="BodyText"/>
        <w:spacing w:before="7"/>
        <w:ind w:left="2768"/>
      </w:pPr>
      <w:r>
        <w:rPr>
          <w:spacing w:val="-10"/>
        </w:rPr>
        <w:t>凡出生满 </w:t>
      </w:r>
      <w:r>
        <w:rPr/>
        <w:t>28</w:t>
      </w:r>
      <w:r>
        <w:rPr>
          <w:spacing w:val="-24"/>
        </w:rPr>
        <w:t> 天至 </w:t>
      </w:r>
      <w:r>
        <w:rPr/>
        <w:t>17</w:t>
      </w:r>
      <w:r>
        <w:rPr>
          <w:spacing w:val="-11"/>
        </w:rPr>
        <w:t> 周岁，符合本公司承保条件的人，均可作为被保险人。</w:t>
      </w:r>
    </w:p>
    <w:p>
      <w:pPr>
        <w:pStyle w:val="BodyText"/>
        <w:spacing w:before="8"/>
        <w:rPr>
          <w:sz w:val="26"/>
        </w:rPr>
      </w:pPr>
    </w:p>
    <w:p>
      <w:pPr>
        <w:pStyle w:val="ListParagraph"/>
        <w:numPr>
          <w:ilvl w:val="1"/>
          <w:numId w:val="6"/>
        </w:numPr>
        <w:tabs>
          <w:tab w:pos="1067" w:val="left" w:leader="none"/>
          <w:tab w:pos="1068" w:val="left" w:leader="none"/>
          <w:tab w:pos="2768" w:val="left" w:leader="none"/>
        </w:tabs>
        <w:spacing w:line="268" w:lineRule="auto" w:before="0" w:after="0"/>
        <w:ind w:left="2768" w:right="117" w:hanging="2551"/>
        <w:jc w:val="left"/>
        <w:rPr>
          <w:sz w:val="21"/>
        </w:rPr>
      </w:pPr>
      <w:r>
        <w:rPr>
          <w:b/>
          <w:sz w:val="21"/>
        </w:rPr>
        <w:t>合同构成</w:t>
        <w:tab/>
      </w:r>
      <w:r>
        <w:rPr>
          <w:sz w:val="21"/>
        </w:rPr>
        <w:t>本附加保险合同（以下简称“本附加合</w:t>
      </w:r>
      <w:r>
        <w:rPr>
          <w:spacing w:val="2"/>
          <w:sz w:val="21"/>
        </w:rPr>
        <w:t>同</w:t>
      </w:r>
      <w:r>
        <w:rPr>
          <w:sz w:val="21"/>
        </w:rPr>
        <w:t>”），需由合众爱宝贝</w:t>
      </w:r>
      <w:r>
        <w:rPr>
          <w:spacing w:val="2"/>
          <w:sz w:val="21"/>
        </w:rPr>
        <w:t>两</w:t>
      </w:r>
      <w:r>
        <w:rPr>
          <w:sz w:val="21"/>
        </w:rPr>
        <w:t>全保险 主保险</w:t>
      </w:r>
      <w:r>
        <w:rPr>
          <w:spacing w:val="-3"/>
          <w:sz w:val="21"/>
        </w:rPr>
        <w:t>合</w:t>
      </w:r>
      <w:r>
        <w:rPr>
          <w:spacing w:val="-8"/>
          <w:sz w:val="21"/>
        </w:rPr>
        <w:t>同</w:t>
      </w:r>
      <w:r>
        <w:rPr>
          <w:sz w:val="21"/>
        </w:rPr>
        <w:t>（</w:t>
      </w:r>
      <w:r>
        <w:rPr>
          <w:spacing w:val="-3"/>
          <w:sz w:val="21"/>
        </w:rPr>
        <w:t>以</w:t>
      </w:r>
      <w:r>
        <w:rPr>
          <w:sz w:val="21"/>
        </w:rPr>
        <w:t>下</w:t>
      </w:r>
      <w:r>
        <w:rPr>
          <w:spacing w:val="-3"/>
          <w:sz w:val="21"/>
        </w:rPr>
        <w:t>简</w:t>
      </w:r>
      <w:r>
        <w:rPr>
          <w:sz w:val="21"/>
        </w:rPr>
        <w:t>称</w:t>
      </w:r>
      <w:r>
        <w:rPr>
          <w:rFonts w:ascii="Times New Roman" w:hAnsi="Times New Roman" w:eastAsia="Times New Roman"/>
          <w:sz w:val="21"/>
        </w:rPr>
        <w:t>“</w:t>
      </w:r>
      <w:r>
        <w:rPr>
          <w:spacing w:val="-3"/>
          <w:sz w:val="21"/>
        </w:rPr>
        <w:t>主</w:t>
      </w:r>
      <w:r>
        <w:rPr>
          <w:sz w:val="21"/>
        </w:rPr>
        <w:t>合同</w:t>
      </w:r>
      <w:r>
        <w:rPr>
          <w:rFonts w:ascii="Times New Roman" w:hAnsi="Times New Roman" w:eastAsia="Times New Roman"/>
          <w:spacing w:val="-4"/>
          <w:sz w:val="21"/>
        </w:rPr>
        <w:t>”</w:t>
      </w:r>
      <w:r>
        <w:rPr>
          <w:spacing w:val="-4"/>
          <w:sz w:val="21"/>
        </w:rPr>
        <w:t>）</w:t>
      </w:r>
      <w:r>
        <w:rPr>
          <w:sz w:val="21"/>
        </w:rPr>
        <w:t>的</w:t>
      </w:r>
      <w:r>
        <w:rPr>
          <w:spacing w:val="-3"/>
          <w:sz w:val="21"/>
        </w:rPr>
        <w:t>投</w:t>
      </w:r>
      <w:r>
        <w:rPr>
          <w:sz w:val="21"/>
        </w:rPr>
        <w:t>保人提</w:t>
      </w:r>
      <w:r>
        <w:rPr>
          <w:spacing w:val="-5"/>
          <w:sz w:val="21"/>
        </w:rPr>
        <w:t>出</w:t>
      </w:r>
      <w:r>
        <w:rPr>
          <w:sz w:val="21"/>
        </w:rPr>
        <w:t>申</w:t>
      </w:r>
      <w:r>
        <w:rPr>
          <w:spacing w:val="-3"/>
          <w:sz w:val="21"/>
        </w:rPr>
        <w:t>请</w:t>
      </w:r>
      <w:r>
        <w:rPr>
          <w:spacing w:val="-5"/>
          <w:sz w:val="21"/>
        </w:rPr>
        <w:t>，</w:t>
      </w:r>
      <w:r>
        <w:rPr>
          <w:sz w:val="21"/>
        </w:rPr>
        <w:t>经</w:t>
      </w:r>
      <w:r>
        <w:rPr>
          <w:spacing w:val="-3"/>
          <w:sz w:val="21"/>
        </w:rPr>
        <w:t>我</w:t>
      </w:r>
      <w:r>
        <w:rPr>
          <w:sz w:val="21"/>
        </w:rPr>
        <w:t>们同意</w:t>
      </w:r>
      <w:r>
        <w:rPr>
          <w:spacing w:val="-5"/>
          <w:sz w:val="21"/>
        </w:rPr>
        <w:t>而</w:t>
      </w:r>
      <w:r>
        <w:rPr>
          <w:sz w:val="21"/>
        </w:rPr>
        <w:t>订</w:t>
      </w:r>
      <w:r>
        <w:rPr>
          <w:spacing w:val="-3"/>
          <w:sz w:val="21"/>
        </w:rPr>
        <w:t>立</w:t>
      </w:r>
      <w:r>
        <w:rPr>
          <w:sz w:val="21"/>
        </w:rPr>
        <w:t>。主合同</w:t>
      </w:r>
      <w:r>
        <w:rPr>
          <w:spacing w:val="-3"/>
          <w:sz w:val="21"/>
        </w:rPr>
        <w:t>所附</w:t>
      </w:r>
      <w:r>
        <w:rPr>
          <w:sz w:val="21"/>
        </w:rPr>
        <w:t>条</w:t>
      </w:r>
      <w:r>
        <w:rPr>
          <w:spacing w:val="-3"/>
          <w:sz w:val="21"/>
        </w:rPr>
        <w:t>款</w:t>
      </w:r>
      <w:r>
        <w:rPr>
          <w:sz w:val="21"/>
        </w:rPr>
        <w:t>、</w:t>
      </w:r>
      <w:r>
        <w:rPr>
          <w:spacing w:val="-3"/>
          <w:sz w:val="21"/>
        </w:rPr>
        <w:t>投</w:t>
      </w:r>
      <w:r>
        <w:rPr>
          <w:sz w:val="21"/>
        </w:rPr>
        <w:t>保书及与</w:t>
      </w:r>
      <w:r>
        <w:rPr>
          <w:spacing w:val="-5"/>
          <w:sz w:val="21"/>
        </w:rPr>
        <w:t>本</w:t>
      </w:r>
      <w:r>
        <w:rPr>
          <w:sz w:val="21"/>
        </w:rPr>
        <w:t>附加合</w:t>
      </w:r>
      <w:r>
        <w:rPr>
          <w:spacing w:val="-5"/>
          <w:sz w:val="21"/>
        </w:rPr>
        <w:t>同</w:t>
      </w:r>
      <w:r>
        <w:rPr>
          <w:sz w:val="21"/>
        </w:rPr>
        <w:t>有关的</w:t>
      </w:r>
      <w:r>
        <w:rPr>
          <w:spacing w:val="-5"/>
          <w:sz w:val="21"/>
        </w:rPr>
        <w:t>其</w:t>
      </w:r>
      <w:r>
        <w:rPr>
          <w:sz w:val="21"/>
        </w:rPr>
        <w:t>他投保文</w:t>
      </w:r>
      <w:r>
        <w:rPr>
          <w:spacing w:val="-5"/>
          <w:sz w:val="21"/>
        </w:rPr>
        <w:t>件</w:t>
      </w:r>
      <w:r>
        <w:rPr>
          <w:sz w:val="21"/>
        </w:rPr>
        <w:t>、合法</w:t>
      </w:r>
      <w:r>
        <w:rPr>
          <w:spacing w:val="-5"/>
          <w:sz w:val="21"/>
        </w:rPr>
        <w:t>有</w:t>
      </w:r>
      <w:r>
        <w:rPr>
          <w:sz w:val="21"/>
        </w:rPr>
        <w:t>效 的声</w:t>
      </w:r>
      <w:r>
        <w:rPr>
          <w:spacing w:val="-3"/>
          <w:sz w:val="21"/>
        </w:rPr>
        <w:t>明</w:t>
      </w:r>
      <w:r>
        <w:rPr>
          <w:sz w:val="21"/>
        </w:rPr>
        <w:t>、</w:t>
      </w:r>
      <w:r>
        <w:rPr>
          <w:spacing w:val="-3"/>
          <w:sz w:val="21"/>
        </w:rPr>
        <w:t>批</w:t>
      </w:r>
      <w:r>
        <w:rPr>
          <w:sz w:val="21"/>
        </w:rPr>
        <w:t>注</w:t>
      </w:r>
      <w:r>
        <w:rPr>
          <w:spacing w:val="-3"/>
          <w:sz w:val="21"/>
        </w:rPr>
        <w:t>、</w:t>
      </w:r>
      <w:r>
        <w:rPr>
          <w:sz w:val="21"/>
        </w:rPr>
        <w:t>附</w:t>
      </w:r>
      <w:r>
        <w:rPr>
          <w:spacing w:val="-3"/>
          <w:sz w:val="21"/>
        </w:rPr>
        <w:t>贴</w:t>
      </w:r>
      <w:r>
        <w:rPr>
          <w:sz w:val="21"/>
        </w:rPr>
        <w:t>批</w:t>
      </w:r>
      <w:r>
        <w:rPr>
          <w:spacing w:val="-3"/>
          <w:sz w:val="21"/>
        </w:rPr>
        <w:t>单</w:t>
      </w:r>
      <w:r>
        <w:rPr>
          <w:sz w:val="21"/>
        </w:rPr>
        <w:t>、其</w:t>
      </w:r>
      <w:r>
        <w:rPr>
          <w:spacing w:val="-3"/>
          <w:sz w:val="21"/>
        </w:rPr>
        <w:t>他</w:t>
      </w:r>
      <w:r>
        <w:rPr>
          <w:sz w:val="21"/>
        </w:rPr>
        <w:t>书面协</w:t>
      </w:r>
      <w:r>
        <w:rPr>
          <w:spacing w:val="-5"/>
          <w:sz w:val="21"/>
        </w:rPr>
        <w:t>议</w:t>
      </w:r>
      <w:r>
        <w:rPr>
          <w:sz w:val="21"/>
        </w:rPr>
        <w:t>，</w:t>
      </w:r>
      <w:r>
        <w:rPr>
          <w:spacing w:val="-3"/>
          <w:sz w:val="21"/>
        </w:rPr>
        <w:t>都</w:t>
      </w:r>
      <w:r>
        <w:rPr>
          <w:sz w:val="21"/>
        </w:rPr>
        <w:t>是</w:t>
      </w:r>
      <w:r>
        <w:rPr>
          <w:spacing w:val="-3"/>
          <w:sz w:val="21"/>
        </w:rPr>
        <w:t>本</w:t>
      </w:r>
      <w:r>
        <w:rPr>
          <w:sz w:val="21"/>
        </w:rPr>
        <w:t>附加合同</w:t>
      </w:r>
      <w:r>
        <w:rPr>
          <w:spacing w:val="-5"/>
          <w:sz w:val="21"/>
        </w:rPr>
        <w:t>的</w:t>
      </w:r>
      <w:r>
        <w:rPr>
          <w:sz w:val="21"/>
        </w:rPr>
        <w:t>构成部</w:t>
      </w:r>
      <w:r>
        <w:rPr>
          <w:spacing w:val="-5"/>
          <w:sz w:val="21"/>
        </w:rPr>
        <w:t>分</w:t>
      </w:r>
      <w:r>
        <w:rPr>
          <w:sz w:val="21"/>
        </w:rPr>
        <w:t>。 若主合</w:t>
      </w:r>
      <w:r>
        <w:rPr>
          <w:spacing w:val="-3"/>
          <w:sz w:val="21"/>
        </w:rPr>
        <w:t>同与</w:t>
      </w:r>
      <w:r>
        <w:rPr>
          <w:sz w:val="21"/>
        </w:rPr>
        <w:t>本附</w:t>
      </w:r>
      <w:r>
        <w:rPr>
          <w:spacing w:val="-3"/>
          <w:sz w:val="21"/>
        </w:rPr>
        <w:t>加合</w:t>
      </w:r>
      <w:r>
        <w:rPr>
          <w:sz w:val="21"/>
        </w:rPr>
        <w:t>同的条款</w:t>
      </w:r>
      <w:r>
        <w:rPr>
          <w:spacing w:val="-5"/>
          <w:sz w:val="21"/>
        </w:rPr>
        <w:t>互</w:t>
      </w:r>
      <w:r>
        <w:rPr>
          <w:sz w:val="21"/>
        </w:rPr>
        <w:t>有冲</w:t>
      </w:r>
      <w:r>
        <w:rPr>
          <w:spacing w:val="-3"/>
          <w:sz w:val="21"/>
        </w:rPr>
        <w:t>突，</w:t>
      </w:r>
      <w:r>
        <w:rPr>
          <w:sz w:val="21"/>
        </w:rPr>
        <w:t>则以本</w:t>
      </w:r>
      <w:r>
        <w:rPr>
          <w:spacing w:val="-5"/>
          <w:sz w:val="21"/>
        </w:rPr>
        <w:t>附</w:t>
      </w:r>
      <w:r>
        <w:rPr>
          <w:sz w:val="21"/>
        </w:rPr>
        <w:t>加合同的</w:t>
      </w:r>
      <w:r>
        <w:rPr>
          <w:spacing w:val="-5"/>
          <w:sz w:val="21"/>
        </w:rPr>
        <w:t>条</w:t>
      </w:r>
      <w:r>
        <w:rPr>
          <w:sz w:val="21"/>
        </w:rPr>
        <w:t>款为</w:t>
      </w:r>
      <w:r>
        <w:rPr>
          <w:spacing w:val="-3"/>
          <w:sz w:val="21"/>
        </w:rPr>
        <w:t>准</w:t>
      </w:r>
      <w:r>
        <w:rPr>
          <w:sz w:val="21"/>
        </w:rPr>
        <w:t>。</w:t>
      </w:r>
    </w:p>
    <w:p>
      <w:pPr>
        <w:pStyle w:val="BodyText"/>
        <w:spacing w:before="9"/>
        <w:rPr>
          <w:sz w:val="24"/>
        </w:rPr>
      </w:pPr>
    </w:p>
    <w:p>
      <w:pPr>
        <w:pStyle w:val="ListParagraph"/>
        <w:numPr>
          <w:ilvl w:val="1"/>
          <w:numId w:val="6"/>
        </w:numPr>
        <w:tabs>
          <w:tab w:pos="1068" w:val="left" w:leader="none"/>
        </w:tabs>
        <w:spacing w:line="273" w:lineRule="auto" w:before="0" w:after="0"/>
        <w:ind w:left="2768" w:right="289" w:hanging="2551"/>
        <w:jc w:val="both"/>
        <w:rPr>
          <w:sz w:val="21"/>
        </w:rPr>
      </w:pPr>
      <w:r>
        <w:rPr>
          <w:b/>
          <w:spacing w:val="5"/>
          <w:sz w:val="21"/>
        </w:rPr>
        <w:t>合同成立与生效 </w:t>
      </w:r>
      <w:r>
        <w:rPr>
          <w:spacing w:val="-5"/>
          <w:sz w:val="21"/>
        </w:rPr>
        <w:t>除另有约定外，本附加合同须与主合同同时投保，本附加合同的生效日与主合同相同，并在保险单上载明。本附加合同生效的日期为本公司开始承担保险责任的日期，保险合同生效日以后每年的对应日是保单周年日。保单年度、保险费约定支付日均以该日期计算。如果当月无对应的同一日， 则以该月最后一日作为对应日。</w:t>
      </w:r>
    </w:p>
    <w:p>
      <w:pPr>
        <w:pStyle w:val="BodyText"/>
        <w:spacing w:before="5"/>
        <w:rPr>
          <w:sz w:val="24"/>
        </w:rPr>
      </w:pPr>
    </w:p>
    <w:p>
      <w:pPr>
        <w:pStyle w:val="ListParagraph"/>
        <w:numPr>
          <w:ilvl w:val="1"/>
          <w:numId w:val="6"/>
        </w:numPr>
        <w:tabs>
          <w:tab w:pos="1067" w:val="left" w:leader="none"/>
          <w:tab w:pos="1068" w:val="left" w:leader="none"/>
          <w:tab w:pos="2768" w:val="left" w:leader="none"/>
        </w:tabs>
        <w:spacing w:line="273" w:lineRule="auto" w:before="0" w:after="0"/>
        <w:ind w:left="2768" w:right="114" w:hanging="2551"/>
        <w:jc w:val="left"/>
        <w:rPr>
          <w:sz w:val="21"/>
        </w:rPr>
      </w:pPr>
      <w:r>
        <w:rPr>
          <w:b/>
          <w:sz w:val="21"/>
        </w:rPr>
        <w:t>犹豫期</w:t>
        <w:tab/>
      </w:r>
      <w:r>
        <w:rPr>
          <w:sz w:val="21"/>
        </w:rPr>
        <w:t>为了使</w:t>
      </w:r>
      <w:r>
        <w:rPr>
          <w:spacing w:val="-3"/>
          <w:sz w:val="21"/>
        </w:rPr>
        <w:t>您充</w:t>
      </w:r>
      <w:r>
        <w:rPr>
          <w:sz w:val="21"/>
        </w:rPr>
        <w:t>分了</w:t>
      </w:r>
      <w:r>
        <w:rPr>
          <w:spacing w:val="-3"/>
          <w:sz w:val="21"/>
        </w:rPr>
        <w:t>解本</w:t>
      </w:r>
      <w:r>
        <w:rPr>
          <w:sz w:val="21"/>
        </w:rPr>
        <w:t>附加合同</w:t>
      </w:r>
      <w:r>
        <w:rPr>
          <w:spacing w:val="-5"/>
          <w:sz w:val="21"/>
        </w:rPr>
        <w:t>的</w:t>
      </w:r>
      <w:r>
        <w:rPr>
          <w:sz w:val="21"/>
        </w:rPr>
        <w:t>保障范</w:t>
      </w:r>
      <w:r>
        <w:rPr>
          <w:spacing w:val="-5"/>
          <w:sz w:val="21"/>
        </w:rPr>
        <w:t>围</w:t>
      </w:r>
      <w:r>
        <w:rPr>
          <w:sz w:val="21"/>
        </w:rPr>
        <w:t>，</w:t>
      </w:r>
      <w:r>
        <w:rPr>
          <w:spacing w:val="-3"/>
          <w:sz w:val="21"/>
        </w:rPr>
        <w:t>确</w:t>
      </w:r>
      <w:r>
        <w:rPr>
          <w:sz w:val="21"/>
        </w:rPr>
        <w:t>定</w:t>
      </w:r>
      <w:r>
        <w:rPr>
          <w:spacing w:val="-3"/>
          <w:sz w:val="21"/>
        </w:rPr>
        <w:t>选</w:t>
      </w:r>
      <w:r>
        <w:rPr>
          <w:sz w:val="21"/>
        </w:rPr>
        <w:t>择了合适</w:t>
      </w:r>
      <w:r>
        <w:rPr>
          <w:spacing w:val="-5"/>
          <w:sz w:val="21"/>
        </w:rPr>
        <w:t>的</w:t>
      </w:r>
      <w:r>
        <w:rPr>
          <w:sz w:val="21"/>
        </w:rPr>
        <w:t>保险金</w:t>
      </w:r>
      <w:r>
        <w:rPr>
          <w:spacing w:val="-5"/>
          <w:sz w:val="21"/>
        </w:rPr>
        <w:t>额</w:t>
      </w:r>
      <w:r>
        <w:rPr>
          <w:sz w:val="21"/>
        </w:rPr>
        <w:t>、 交费期</w:t>
      </w:r>
      <w:r>
        <w:rPr>
          <w:spacing w:val="-3"/>
          <w:sz w:val="21"/>
        </w:rPr>
        <w:t>限</w:t>
      </w:r>
      <w:r>
        <w:rPr>
          <w:spacing w:val="-15"/>
          <w:sz w:val="21"/>
        </w:rPr>
        <w:t>、</w:t>
      </w:r>
      <w:r>
        <w:rPr>
          <w:sz w:val="21"/>
        </w:rPr>
        <w:t>保险</w:t>
      </w:r>
      <w:r>
        <w:rPr>
          <w:spacing w:val="-3"/>
          <w:sz w:val="21"/>
        </w:rPr>
        <w:t>期间</w:t>
      </w:r>
      <w:r>
        <w:rPr>
          <w:sz w:val="21"/>
        </w:rPr>
        <w:t>和</w:t>
      </w:r>
      <w:r>
        <w:rPr>
          <w:spacing w:val="-3"/>
          <w:sz w:val="21"/>
        </w:rPr>
        <w:t>交</w:t>
      </w:r>
      <w:r>
        <w:rPr>
          <w:sz w:val="21"/>
        </w:rPr>
        <w:t>费金</w:t>
      </w:r>
      <w:r>
        <w:rPr>
          <w:spacing w:val="-3"/>
          <w:sz w:val="21"/>
        </w:rPr>
        <w:t>额</w:t>
      </w:r>
      <w:r>
        <w:rPr>
          <w:spacing w:val="-13"/>
          <w:sz w:val="21"/>
        </w:rPr>
        <w:t>，</w:t>
      </w:r>
      <w:r>
        <w:rPr>
          <w:sz w:val="21"/>
        </w:rPr>
        <w:t>自您</w:t>
      </w:r>
      <w:r>
        <w:rPr>
          <w:spacing w:val="-5"/>
          <w:sz w:val="21"/>
        </w:rPr>
        <w:t>签</w:t>
      </w:r>
      <w:r>
        <w:rPr>
          <w:sz w:val="21"/>
        </w:rPr>
        <w:t>收保险</w:t>
      </w:r>
      <w:r>
        <w:rPr>
          <w:spacing w:val="-5"/>
          <w:sz w:val="21"/>
        </w:rPr>
        <w:t>合</w:t>
      </w:r>
      <w:r>
        <w:rPr>
          <w:sz w:val="21"/>
        </w:rPr>
        <w:t>同之</w:t>
      </w:r>
      <w:r>
        <w:rPr>
          <w:spacing w:val="-3"/>
          <w:sz w:val="21"/>
        </w:rPr>
        <w:t>日</w:t>
      </w:r>
      <w:r>
        <w:rPr>
          <w:sz w:val="21"/>
        </w:rPr>
        <w:t>起</w:t>
      </w:r>
      <w:r>
        <w:rPr>
          <w:spacing w:val="-15"/>
          <w:sz w:val="21"/>
        </w:rPr>
        <w:t>，</w:t>
      </w:r>
      <w:r>
        <w:rPr>
          <w:sz w:val="21"/>
        </w:rPr>
        <w:t>有</w:t>
      </w:r>
      <w:r>
        <w:rPr>
          <w:spacing w:val="-45"/>
          <w:sz w:val="21"/>
        </w:rPr>
        <w:t> </w:t>
      </w:r>
      <w:r>
        <w:rPr>
          <w:sz w:val="21"/>
        </w:rPr>
        <w:t>10</w:t>
      </w:r>
      <w:r>
        <w:rPr>
          <w:spacing w:val="-47"/>
          <w:sz w:val="21"/>
        </w:rPr>
        <w:t> </w:t>
      </w:r>
      <w:r>
        <w:rPr>
          <w:sz w:val="21"/>
        </w:rPr>
        <w:t>天的犹豫期</w:t>
      </w:r>
      <w:r>
        <w:rPr>
          <w:spacing w:val="-3"/>
          <w:sz w:val="21"/>
        </w:rPr>
        <w:t>。</w:t>
      </w:r>
      <w:r>
        <w:rPr>
          <w:sz w:val="21"/>
        </w:rPr>
        <w:t>如</w:t>
      </w:r>
      <w:r>
        <w:rPr>
          <w:spacing w:val="-3"/>
          <w:sz w:val="21"/>
        </w:rPr>
        <w:t>果</w:t>
      </w:r>
      <w:r>
        <w:rPr>
          <w:sz w:val="21"/>
        </w:rPr>
        <w:t>您在</w:t>
      </w:r>
      <w:r>
        <w:rPr>
          <w:spacing w:val="-3"/>
          <w:sz w:val="21"/>
        </w:rPr>
        <w:t>此期</w:t>
      </w:r>
      <w:r>
        <w:rPr>
          <w:sz w:val="21"/>
        </w:rPr>
        <w:t>间提</w:t>
      </w:r>
      <w:r>
        <w:rPr>
          <w:spacing w:val="-3"/>
          <w:sz w:val="21"/>
        </w:rPr>
        <w:t>出</w:t>
      </w:r>
      <w:r>
        <w:rPr>
          <w:sz w:val="21"/>
        </w:rPr>
        <w:t>解</w:t>
      </w:r>
      <w:r>
        <w:rPr>
          <w:spacing w:val="-3"/>
          <w:sz w:val="21"/>
        </w:rPr>
        <w:t>除</w:t>
      </w:r>
      <w:r>
        <w:rPr>
          <w:sz w:val="21"/>
        </w:rPr>
        <w:t>本附</w:t>
      </w:r>
      <w:r>
        <w:rPr>
          <w:spacing w:val="-3"/>
          <w:sz w:val="21"/>
        </w:rPr>
        <w:t>加合</w:t>
      </w:r>
      <w:r>
        <w:rPr>
          <w:sz w:val="21"/>
        </w:rPr>
        <w:t>同</w:t>
      </w:r>
      <w:r>
        <w:rPr>
          <w:spacing w:val="-3"/>
          <w:sz w:val="21"/>
        </w:rPr>
        <w:t>，</w:t>
      </w:r>
      <w:r>
        <w:rPr>
          <w:sz w:val="21"/>
        </w:rPr>
        <w:t>须</w:t>
      </w:r>
      <w:r>
        <w:rPr>
          <w:spacing w:val="-3"/>
          <w:sz w:val="21"/>
        </w:rPr>
        <w:t>与</w:t>
      </w:r>
      <w:r>
        <w:rPr>
          <w:sz w:val="21"/>
        </w:rPr>
        <w:t>主合同一</w:t>
      </w:r>
      <w:r>
        <w:rPr>
          <w:spacing w:val="-5"/>
          <w:sz w:val="21"/>
        </w:rPr>
        <w:t>并</w:t>
      </w:r>
      <w:r>
        <w:rPr>
          <w:sz w:val="21"/>
        </w:rPr>
        <w:t>解</w:t>
      </w:r>
      <w:r>
        <w:rPr>
          <w:spacing w:val="-3"/>
          <w:sz w:val="21"/>
        </w:rPr>
        <w:t>除</w:t>
      </w:r>
      <w:r>
        <w:rPr>
          <w:sz w:val="21"/>
        </w:rPr>
        <w:t>，同时 需要填</w:t>
      </w:r>
      <w:r>
        <w:rPr>
          <w:spacing w:val="-3"/>
          <w:sz w:val="21"/>
        </w:rPr>
        <w:t>写书</w:t>
      </w:r>
      <w:r>
        <w:rPr>
          <w:sz w:val="21"/>
        </w:rPr>
        <w:t>面申</w:t>
      </w:r>
      <w:r>
        <w:rPr>
          <w:spacing w:val="-3"/>
          <w:sz w:val="21"/>
        </w:rPr>
        <w:t>请书</w:t>
      </w:r>
      <w:r>
        <w:rPr>
          <w:spacing w:val="-68"/>
          <w:sz w:val="21"/>
        </w:rPr>
        <w:t>，</w:t>
      </w:r>
      <w:r>
        <w:rPr>
          <w:sz w:val="21"/>
        </w:rPr>
        <w:t>并</w:t>
      </w:r>
      <w:r>
        <w:rPr>
          <w:spacing w:val="-3"/>
          <w:sz w:val="21"/>
        </w:rPr>
        <w:t>提</w:t>
      </w:r>
      <w:r>
        <w:rPr>
          <w:sz w:val="21"/>
        </w:rPr>
        <w:t>供您</w:t>
      </w:r>
      <w:r>
        <w:rPr>
          <w:spacing w:val="-3"/>
          <w:sz w:val="21"/>
        </w:rPr>
        <w:t>的</w:t>
      </w:r>
      <w:r>
        <w:rPr>
          <w:sz w:val="21"/>
        </w:rPr>
        <w:t>保险合</w:t>
      </w:r>
      <w:r>
        <w:rPr>
          <w:spacing w:val="-5"/>
          <w:sz w:val="21"/>
        </w:rPr>
        <w:t>同</w:t>
      </w:r>
      <w:r>
        <w:rPr>
          <w:spacing w:val="-3"/>
          <w:sz w:val="21"/>
        </w:rPr>
        <w:t>及</w:t>
      </w:r>
      <w:r>
        <w:rPr>
          <w:b/>
          <w:sz w:val="21"/>
        </w:rPr>
        <w:t>有效身份证</w:t>
      </w:r>
      <w:r>
        <w:rPr>
          <w:b/>
          <w:spacing w:val="-65"/>
          <w:sz w:val="21"/>
        </w:rPr>
        <w:t>件</w:t>
      </w:r>
      <w:r>
        <w:rPr>
          <w:spacing w:val="-3"/>
          <w:sz w:val="21"/>
        </w:rPr>
        <w:t>（</w:t>
      </w:r>
      <w:r>
        <w:rPr>
          <w:sz w:val="21"/>
        </w:rPr>
        <w:t>见</w:t>
      </w:r>
      <w:r>
        <w:rPr>
          <w:spacing w:val="-3"/>
          <w:sz w:val="21"/>
        </w:rPr>
        <w:t>释</w:t>
      </w:r>
      <w:r>
        <w:rPr>
          <w:sz w:val="21"/>
        </w:rPr>
        <w:t>义</w:t>
      </w:r>
      <w:r>
        <w:rPr>
          <w:spacing w:val="-26"/>
          <w:sz w:val="21"/>
        </w:rPr>
        <w:t> </w:t>
      </w:r>
      <w:r>
        <w:rPr>
          <w:spacing w:val="-14"/>
          <w:sz w:val="21"/>
        </w:rPr>
        <w:t>6.2）， </w:t>
      </w:r>
      <w:r>
        <w:rPr>
          <w:sz w:val="21"/>
        </w:rPr>
        <w:t>我们</w:t>
      </w:r>
      <w:r>
        <w:rPr>
          <w:spacing w:val="-3"/>
          <w:sz w:val="21"/>
        </w:rPr>
        <w:t>会</w:t>
      </w:r>
      <w:r>
        <w:rPr>
          <w:sz w:val="21"/>
        </w:rPr>
        <w:t>在</w:t>
      </w:r>
      <w:r>
        <w:rPr>
          <w:spacing w:val="-3"/>
          <w:sz w:val="21"/>
        </w:rPr>
        <w:t>扣</w:t>
      </w:r>
      <w:r>
        <w:rPr>
          <w:sz w:val="21"/>
        </w:rPr>
        <w:t>除不</w:t>
      </w:r>
      <w:r>
        <w:rPr>
          <w:spacing w:val="-3"/>
          <w:sz w:val="21"/>
        </w:rPr>
        <w:t>超过</w:t>
      </w:r>
      <w:r>
        <w:rPr>
          <w:sz w:val="21"/>
        </w:rPr>
        <w:t>人民</w:t>
      </w:r>
      <w:r>
        <w:rPr>
          <w:spacing w:val="31"/>
          <w:sz w:val="21"/>
        </w:rPr>
        <w:t>币</w:t>
      </w:r>
      <w:r>
        <w:rPr>
          <w:sz w:val="21"/>
        </w:rPr>
        <w:t>10</w:t>
      </w:r>
      <w:r>
        <w:rPr>
          <w:spacing w:val="-61"/>
          <w:sz w:val="21"/>
        </w:rPr>
        <w:t> </w:t>
      </w:r>
      <w:r>
        <w:rPr>
          <w:spacing w:val="-3"/>
          <w:sz w:val="21"/>
        </w:rPr>
        <w:t>元</w:t>
      </w:r>
      <w:r>
        <w:rPr>
          <w:sz w:val="21"/>
        </w:rPr>
        <w:t>的</w:t>
      </w:r>
      <w:r>
        <w:rPr>
          <w:spacing w:val="-3"/>
          <w:sz w:val="21"/>
        </w:rPr>
        <w:t>保</w:t>
      </w:r>
      <w:r>
        <w:rPr>
          <w:sz w:val="21"/>
        </w:rPr>
        <w:t>单工本</w:t>
      </w:r>
      <w:r>
        <w:rPr>
          <w:spacing w:val="-5"/>
          <w:sz w:val="21"/>
        </w:rPr>
        <w:t>费</w:t>
      </w:r>
      <w:r>
        <w:rPr>
          <w:sz w:val="21"/>
        </w:rPr>
        <w:t>后无息退</w:t>
      </w:r>
      <w:r>
        <w:rPr>
          <w:spacing w:val="-5"/>
          <w:sz w:val="21"/>
        </w:rPr>
        <w:t>还</w:t>
      </w:r>
      <w:r>
        <w:rPr>
          <w:sz w:val="21"/>
        </w:rPr>
        <w:t>您</w:t>
      </w:r>
      <w:r>
        <w:rPr>
          <w:spacing w:val="-3"/>
          <w:sz w:val="21"/>
        </w:rPr>
        <w:t>所</w:t>
      </w:r>
      <w:r>
        <w:rPr>
          <w:sz w:val="21"/>
        </w:rPr>
        <w:t>交</w:t>
      </w:r>
      <w:r>
        <w:rPr>
          <w:spacing w:val="-3"/>
          <w:sz w:val="21"/>
        </w:rPr>
        <w:t>的</w:t>
      </w:r>
      <w:r>
        <w:rPr>
          <w:sz w:val="21"/>
        </w:rPr>
        <w:t>本附加合同</w:t>
      </w:r>
      <w:r>
        <w:rPr>
          <w:spacing w:val="-3"/>
          <w:sz w:val="21"/>
        </w:rPr>
        <w:t>的</w:t>
      </w:r>
      <w:r>
        <w:rPr>
          <w:sz w:val="21"/>
        </w:rPr>
        <w:t>保</w:t>
      </w:r>
      <w:r>
        <w:rPr>
          <w:spacing w:val="-3"/>
          <w:sz w:val="21"/>
        </w:rPr>
        <w:t>险</w:t>
      </w:r>
      <w:r>
        <w:rPr>
          <w:sz w:val="21"/>
        </w:rPr>
        <w:t>费</w:t>
      </w:r>
      <w:r>
        <w:rPr>
          <w:spacing w:val="-3"/>
          <w:sz w:val="21"/>
        </w:rPr>
        <w:t>。</w:t>
      </w:r>
      <w:r>
        <w:rPr>
          <w:sz w:val="21"/>
        </w:rPr>
        <w:t>自</w:t>
      </w:r>
      <w:r>
        <w:rPr>
          <w:spacing w:val="-3"/>
          <w:sz w:val="21"/>
        </w:rPr>
        <w:t>我</w:t>
      </w:r>
      <w:r>
        <w:rPr>
          <w:sz w:val="21"/>
        </w:rPr>
        <w:t>们收</w:t>
      </w:r>
      <w:r>
        <w:rPr>
          <w:spacing w:val="-3"/>
          <w:sz w:val="21"/>
        </w:rPr>
        <w:t>到</w:t>
      </w:r>
      <w:r>
        <w:rPr>
          <w:sz w:val="21"/>
        </w:rPr>
        <w:t>您</w:t>
      </w:r>
      <w:r>
        <w:rPr>
          <w:spacing w:val="-3"/>
          <w:sz w:val="21"/>
        </w:rPr>
        <w:t>解</w:t>
      </w:r>
      <w:r>
        <w:rPr>
          <w:sz w:val="21"/>
        </w:rPr>
        <w:t>除合</w:t>
      </w:r>
      <w:r>
        <w:rPr>
          <w:spacing w:val="-3"/>
          <w:sz w:val="21"/>
        </w:rPr>
        <w:t>同的</w:t>
      </w:r>
      <w:r>
        <w:rPr>
          <w:sz w:val="21"/>
        </w:rPr>
        <w:t>书面申</w:t>
      </w:r>
      <w:r>
        <w:rPr>
          <w:spacing w:val="-5"/>
          <w:sz w:val="21"/>
        </w:rPr>
        <w:t>请</w:t>
      </w:r>
      <w:r>
        <w:rPr>
          <w:sz w:val="21"/>
        </w:rPr>
        <w:t>时起</w:t>
      </w:r>
      <w:r>
        <w:rPr>
          <w:spacing w:val="-3"/>
          <w:sz w:val="21"/>
        </w:rPr>
        <w:t>，</w:t>
      </w:r>
      <w:r>
        <w:rPr>
          <w:sz w:val="21"/>
        </w:rPr>
        <w:t>本</w:t>
      </w:r>
      <w:r>
        <w:rPr>
          <w:spacing w:val="-3"/>
          <w:sz w:val="21"/>
        </w:rPr>
        <w:t>附</w:t>
      </w:r>
      <w:r>
        <w:rPr>
          <w:sz w:val="21"/>
        </w:rPr>
        <w:t>加合</w:t>
      </w:r>
      <w:r>
        <w:rPr>
          <w:spacing w:val="-3"/>
          <w:sz w:val="21"/>
        </w:rPr>
        <w:t>同</w:t>
      </w:r>
      <w:r>
        <w:rPr>
          <w:sz w:val="21"/>
        </w:rPr>
        <w:t>即被 </w:t>
      </w:r>
      <w:r>
        <w:rPr>
          <w:spacing w:val="-1"/>
          <w:sz w:val="21"/>
        </w:rPr>
        <w:t>解</w:t>
      </w:r>
      <w:r>
        <w:rPr>
          <w:sz w:val="21"/>
        </w:rPr>
        <w:t>除</w:t>
      </w:r>
      <w:r>
        <w:rPr>
          <w:spacing w:val="-3"/>
          <w:sz w:val="21"/>
        </w:rPr>
        <w:t>。</w:t>
      </w:r>
      <w:r>
        <w:rPr>
          <w:sz w:val="21"/>
        </w:rPr>
        <w:t>对</w:t>
      </w:r>
      <w:r>
        <w:rPr>
          <w:spacing w:val="-3"/>
          <w:sz w:val="21"/>
        </w:rPr>
        <w:t>本</w:t>
      </w:r>
      <w:r>
        <w:rPr>
          <w:sz w:val="21"/>
        </w:rPr>
        <w:t>附加</w:t>
      </w:r>
      <w:r>
        <w:rPr>
          <w:spacing w:val="-3"/>
          <w:sz w:val="21"/>
        </w:rPr>
        <w:t>合同</w:t>
      </w:r>
      <w:r>
        <w:rPr>
          <w:sz w:val="21"/>
        </w:rPr>
        <w:t>解除前发</w:t>
      </w:r>
      <w:r>
        <w:rPr>
          <w:spacing w:val="-5"/>
          <w:sz w:val="21"/>
        </w:rPr>
        <w:t>生</w:t>
      </w:r>
      <w:r>
        <w:rPr>
          <w:sz w:val="21"/>
        </w:rPr>
        <w:t>的保险</w:t>
      </w:r>
      <w:r>
        <w:rPr>
          <w:spacing w:val="-5"/>
          <w:sz w:val="21"/>
        </w:rPr>
        <w:t>事</w:t>
      </w:r>
      <w:r>
        <w:rPr>
          <w:sz w:val="21"/>
        </w:rPr>
        <w:t>故</w:t>
      </w:r>
      <w:r>
        <w:rPr>
          <w:spacing w:val="-3"/>
          <w:sz w:val="21"/>
        </w:rPr>
        <w:t>我</w:t>
      </w:r>
      <w:r>
        <w:rPr>
          <w:sz w:val="21"/>
        </w:rPr>
        <w:t>们</w:t>
      </w:r>
      <w:r>
        <w:rPr>
          <w:spacing w:val="-3"/>
          <w:sz w:val="21"/>
        </w:rPr>
        <w:t>不</w:t>
      </w:r>
      <w:r>
        <w:rPr>
          <w:sz w:val="21"/>
        </w:rPr>
        <w:t>承担保险</w:t>
      </w:r>
      <w:r>
        <w:rPr>
          <w:spacing w:val="-5"/>
          <w:sz w:val="21"/>
        </w:rPr>
        <w:t>责</w:t>
      </w:r>
      <w:r>
        <w:rPr>
          <w:sz w:val="21"/>
        </w:rPr>
        <w:t>任。</w:t>
      </w:r>
    </w:p>
    <w:p>
      <w:pPr>
        <w:pStyle w:val="BodyText"/>
        <w:spacing w:before="4"/>
        <w:rPr>
          <w:sz w:val="27"/>
        </w:rPr>
      </w:pPr>
    </w:p>
    <w:p>
      <w:pPr>
        <w:pStyle w:val="ListParagraph"/>
        <w:numPr>
          <w:ilvl w:val="1"/>
          <w:numId w:val="6"/>
        </w:numPr>
        <w:tabs>
          <w:tab w:pos="1067" w:val="left" w:leader="none"/>
          <w:tab w:pos="1068" w:val="left" w:leader="none"/>
          <w:tab w:pos="2768" w:val="left" w:leader="none"/>
        </w:tabs>
        <w:spacing w:line="273" w:lineRule="auto" w:before="0" w:after="0"/>
        <w:ind w:left="2768" w:right="117" w:hanging="2551"/>
        <w:jc w:val="left"/>
        <w:rPr>
          <w:sz w:val="21"/>
        </w:rPr>
      </w:pPr>
      <w:r>
        <w:rPr>
          <w:b/>
          <w:sz w:val="21"/>
        </w:rPr>
        <w:t>合同内容变更</w:t>
        <w:tab/>
      </w:r>
      <w:r>
        <w:rPr>
          <w:spacing w:val="-1"/>
          <w:sz w:val="21"/>
        </w:rPr>
        <w:t>在</w:t>
      </w:r>
      <w:r>
        <w:rPr>
          <w:sz w:val="21"/>
        </w:rPr>
        <w:t>本附</w:t>
      </w:r>
      <w:r>
        <w:rPr>
          <w:spacing w:val="-3"/>
          <w:sz w:val="21"/>
        </w:rPr>
        <w:t>加合</w:t>
      </w:r>
      <w:r>
        <w:rPr>
          <w:sz w:val="21"/>
        </w:rPr>
        <w:t>同有</w:t>
      </w:r>
      <w:r>
        <w:rPr>
          <w:spacing w:val="-3"/>
          <w:sz w:val="21"/>
        </w:rPr>
        <w:t>效期</w:t>
      </w:r>
      <w:r>
        <w:rPr>
          <w:sz w:val="21"/>
        </w:rPr>
        <w:t>内</w:t>
      </w:r>
      <w:r>
        <w:rPr>
          <w:spacing w:val="-3"/>
          <w:sz w:val="21"/>
        </w:rPr>
        <w:t>，</w:t>
      </w:r>
      <w:r>
        <w:rPr>
          <w:sz w:val="21"/>
        </w:rPr>
        <w:t>经您</w:t>
      </w:r>
      <w:r>
        <w:rPr>
          <w:spacing w:val="-3"/>
          <w:sz w:val="21"/>
        </w:rPr>
        <w:t>与</w:t>
      </w:r>
      <w:r>
        <w:rPr>
          <w:sz w:val="21"/>
        </w:rPr>
        <w:t>我们协</w:t>
      </w:r>
      <w:r>
        <w:rPr>
          <w:spacing w:val="-5"/>
          <w:sz w:val="21"/>
        </w:rPr>
        <w:t>商</w:t>
      </w:r>
      <w:r>
        <w:rPr>
          <w:sz w:val="21"/>
        </w:rPr>
        <w:t>一</w:t>
      </w:r>
      <w:r>
        <w:rPr>
          <w:spacing w:val="-3"/>
          <w:sz w:val="21"/>
        </w:rPr>
        <w:t>致</w:t>
      </w:r>
      <w:r>
        <w:rPr>
          <w:sz w:val="21"/>
        </w:rPr>
        <w:t>，</w:t>
      </w:r>
      <w:r>
        <w:rPr>
          <w:spacing w:val="-3"/>
          <w:sz w:val="21"/>
        </w:rPr>
        <w:t>可</w:t>
      </w:r>
      <w:r>
        <w:rPr>
          <w:sz w:val="21"/>
        </w:rPr>
        <w:t>以变更本</w:t>
      </w:r>
      <w:r>
        <w:rPr>
          <w:spacing w:val="-5"/>
          <w:sz w:val="21"/>
        </w:rPr>
        <w:t>附</w:t>
      </w:r>
      <w:r>
        <w:rPr>
          <w:sz w:val="21"/>
        </w:rPr>
        <w:t>加合同</w:t>
      </w:r>
      <w:r>
        <w:rPr>
          <w:spacing w:val="-5"/>
          <w:sz w:val="21"/>
        </w:rPr>
        <w:t>的</w:t>
      </w:r>
      <w:r>
        <w:rPr>
          <w:sz w:val="21"/>
        </w:rPr>
        <w:t>有 关内</w:t>
      </w:r>
      <w:r>
        <w:rPr>
          <w:spacing w:val="-3"/>
          <w:sz w:val="21"/>
        </w:rPr>
        <w:t>容</w:t>
      </w:r>
      <w:r>
        <w:rPr>
          <w:sz w:val="21"/>
        </w:rPr>
        <w:t>。</w:t>
      </w:r>
      <w:r>
        <w:rPr>
          <w:spacing w:val="-3"/>
          <w:sz w:val="21"/>
        </w:rPr>
        <w:t>变</w:t>
      </w:r>
      <w:r>
        <w:rPr>
          <w:sz w:val="21"/>
        </w:rPr>
        <w:t>更本</w:t>
      </w:r>
      <w:r>
        <w:rPr>
          <w:spacing w:val="-3"/>
          <w:sz w:val="21"/>
        </w:rPr>
        <w:t>附加</w:t>
      </w:r>
      <w:r>
        <w:rPr>
          <w:sz w:val="21"/>
        </w:rPr>
        <w:t>合同</w:t>
      </w:r>
      <w:r>
        <w:rPr>
          <w:spacing w:val="-3"/>
          <w:sz w:val="21"/>
        </w:rPr>
        <w:t>的</w:t>
      </w:r>
      <w:r>
        <w:rPr>
          <w:sz w:val="21"/>
        </w:rPr>
        <w:t>，</w:t>
      </w:r>
      <w:r>
        <w:rPr>
          <w:spacing w:val="-3"/>
          <w:sz w:val="21"/>
        </w:rPr>
        <w:t>应</w:t>
      </w:r>
      <w:r>
        <w:rPr>
          <w:sz w:val="21"/>
        </w:rPr>
        <w:t>当由我</w:t>
      </w:r>
      <w:r>
        <w:rPr>
          <w:spacing w:val="-5"/>
          <w:sz w:val="21"/>
        </w:rPr>
        <w:t>们</w:t>
      </w:r>
      <w:r>
        <w:rPr>
          <w:sz w:val="21"/>
        </w:rPr>
        <w:t>在受理</w:t>
      </w:r>
      <w:r>
        <w:rPr>
          <w:spacing w:val="-5"/>
          <w:sz w:val="21"/>
        </w:rPr>
        <w:t>您</w:t>
      </w:r>
      <w:r>
        <w:rPr>
          <w:sz w:val="21"/>
        </w:rPr>
        <w:t>的申请后</w:t>
      </w:r>
      <w:r>
        <w:rPr>
          <w:spacing w:val="-5"/>
          <w:sz w:val="21"/>
        </w:rPr>
        <w:t>在</w:t>
      </w:r>
      <w:r>
        <w:rPr>
          <w:sz w:val="21"/>
        </w:rPr>
        <w:t>保险单</w:t>
      </w:r>
      <w:r>
        <w:rPr>
          <w:spacing w:val="-5"/>
          <w:sz w:val="21"/>
        </w:rPr>
        <w:t>或</w:t>
      </w:r>
      <w:r>
        <w:rPr>
          <w:sz w:val="21"/>
        </w:rPr>
        <w:t>者 其他保</w:t>
      </w:r>
      <w:r>
        <w:rPr>
          <w:spacing w:val="-3"/>
          <w:sz w:val="21"/>
        </w:rPr>
        <w:t>险凭</w:t>
      </w:r>
      <w:r>
        <w:rPr>
          <w:sz w:val="21"/>
        </w:rPr>
        <w:t>证上</w:t>
      </w:r>
      <w:r>
        <w:rPr>
          <w:spacing w:val="-3"/>
          <w:sz w:val="21"/>
        </w:rPr>
        <w:t>批注</w:t>
      </w:r>
      <w:r>
        <w:rPr>
          <w:sz w:val="21"/>
        </w:rPr>
        <w:t>或者附贴</w:t>
      </w:r>
      <w:r>
        <w:rPr>
          <w:spacing w:val="-5"/>
          <w:sz w:val="21"/>
        </w:rPr>
        <w:t>批</w:t>
      </w:r>
      <w:r>
        <w:rPr>
          <w:sz w:val="21"/>
        </w:rPr>
        <w:t>单</w:t>
      </w:r>
      <w:r>
        <w:rPr>
          <w:spacing w:val="-39"/>
          <w:sz w:val="21"/>
        </w:rPr>
        <w:t>，</w:t>
      </w:r>
      <w:r>
        <w:rPr>
          <w:sz w:val="21"/>
        </w:rPr>
        <w:t>或</w:t>
      </w:r>
      <w:r>
        <w:rPr>
          <w:spacing w:val="-3"/>
          <w:sz w:val="21"/>
        </w:rPr>
        <w:t>者</w:t>
      </w:r>
      <w:r>
        <w:rPr>
          <w:sz w:val="21"/>
        </w:rPr>
        <w:t>由您与</w:t>
      </w:r>
      <w:r>
        <w:rPr>
          <w:spacing w:val="-5"/>
          <w:sz w:val="21"/>
        </w:rPr>
        <w:t>我</w:t>
      </w:r>
      <w:r>
        <w:rPr>
          <w:sz w:val="21"/>
        </w:rPr>
        <w:t>们订</w:t>
      </w:r>
      <w:r>
        <w:rPr>
          <w:spacing w:val="-3"/>
          <w:sz w:val="21"/>
        </w:rPr>
        <w:t>立</w:t>
      </w:r>
      <w:r>
        <w:rPr>
          <w:sz w:val="21"/>
        </w:rPr>
        <w:t>书</w:t>
      </w:r>
      <w:r>
        <w:rPr>
          <w:spacing w:val="-3"/>
          <w:sz w:val="21"/>
        </w:rPr>
        <w:t>面</w:t>
      </w:r>
      <w:r>
        <w:rPr>
          <w:sz w:val="21"/>
        </w:rPr>
        <w:t>的变更</w:t>
      </w:r>
      <w:r>
        <w:rPr>
          <w:spacing w:val="-5"/>
          <w:sz w:val="21"/>
        </w:rPr>
        <w:t>协</w:t>
      </w:r>
      <w:r>
        <w:rPr>
          <w:spacing w:val="-3"/>
          <w:sz w:val="21"/>
        </w:rPr>
        <w:t>议</w:t>
      </w:r>
      <w:r>
        <w:rPr>
          <w:sz w:val="21"/>
        </w:rPr>
        <w:t>。</w:t>
      </w:r>
    </w:p>
    <w:p>
      <w:pPr>
        <w:pStyle w:val="BodyText"/>
        <w:rPr>
          <w:sz w:val="20"/>
        </w:rPr>
      </w:pPr>
    </w:p>
    <w:p>
      <w:pPr>
        <w:spacing w:after="0"/>
        <w:rPr>
          <w:sz w:val="20"/>
        </w:rPr>
        <w:sectPr>
          <w:headerReference w:type="default" r:id="rId8"/>
          <w:pgSz w:w="11910" w:h="16840"/>
          <w:pgMar w:header="335" w:footer="991" w:top="560" w:bottom="1180" w:left="860" w:right="1260"/>
        </w:sectPr>
      </w:pPr>
    </w:p>
    <w:p>
      <w:pPr>
        <w:pStyle w:val="BodyText"/>
        <w:spacing w:before="10"/>
        <w:rPr>
          <w:sz w:val="15"/>
        </w:rPr>
      </w:pPr>
    </w:p>
    <w:p>
      <w:pPr>
        <w:pStyle w:val="Heading4"/>
        <w:numPr>
          <w:ilvl w:val="1"/>
          <w:numId w:val="6"/>
        </w:numPr>
        <w:tabs>
          <w:tab w:pos="1067" w:val="left" w:leader="none"/>
          <w:tab w:pos="1068" w:val="left" w:leader="none"/>
        </w:tabs>
        <w:spacing w:line="273" w:lineRule="auto" w:before="0" w:after="0"/>
        <w:ind w:left="1067" w:right="0" w:hanging="850"/>
        <w:jc w:val="left"/>
      </w:pPr>
      <w:r>
        <w:rPr/>
        <w:t>您解除合同的手续及风险</w:t>
      </w:r>
    </w:p>
    <w:p>
      <w:pPr>
        <w:pStyle w:val="BodyText"/>
        <w:spacing w:before="10"/>
        <w:rPr>
          <w:b/>
          <w:sz w:val="15"/>
        </w:rPr>
      </w:pPr>
      <w:r>
        <w:rPr/>
        <w:br w:type="column"/>
      </w:r>
      <w:r>
        <w:rPr>
          <w:b/>
          <w:sz w:val="15"/>
        </w:rPr>
      </w:r>
    </w:p>
    <w:p>
      <w:pPr>
        <w:pStyle w:val="BodyText"/>
        <w:spacing w:line="273" w:lineRule="auto"/>
        <w:ind w:left="183" w:right="287"/>
        <w:jc w:val="both"/>
      </w:pPr>
      <w:r>
        <w:rPr/>
        <w:t>犹豫期届满且</w:t>
      </w:r>
      <w:r>
        <w:rPr>
          <w:rFonts w:ascii="黑体" w:eastAsia="黑体" w:hint="eastAsia"/>
        </w:rPr>
        <w:t>被保险人未发Th保险事故</w:t>
      </w:r>
      <w:r>
        <w:rPr/>
        <w:t>，您可申请解除本附加合同。申请解除本附加合同时，主合同需一并申请解除，请填写解除合同申请书并向我们提供下列资料：</w:t>
      </w:r>
    </w:p>
    <w:p>
      <w:pPr>
        <w:pStyle w:val="BodyText"/>
        <w:spacing w:before="7"/>
        <w:ind w:left="183"/>
      </w:pPr>
      <w:r>
        <w:rPr/>
        <w:t>（1）保险合同；</w:t>
      </w:r>
    </w:p>
    <w:p>
      <w:pPr>
        <w:pStyle w:val="BodyText"/>
        <w:spacing w:before="37"/>
        <w:ind w:left="183"/>
      </w:pPr>
      <w:r>
        <w:rPr/>
        <w:t>（2）您的有效身份证件。</w:t>
      </w:r>
    </w:p>
    <w:p>
      <w:pPr>
        <w:pStyle w:val="BodyText"/>
        <w:spacing w:line="273" w:lineRule="auto" w:before="37"/>
        <w:ind w:left="183" w:right="289"/>
      </w:pPr>
      <w:r>
        <w:rPr/>
        <w:t>自我们收到解除合同申请书时起，本附加合同终止。我们自收到解除合同申请书之日起 30 日内向您退还保险单的</w:t>
      </w:r>
      <w:r>
        <w:rPr>
          <w:b/>
        </w:rPr>
        <w:t>现金价值</w:t>
      </w:r>
      <w:r>
        <w:rPr/>
        <w:t>（见释义 6.3）。</w:t>
      </w:r>
    </w:p>
    <w:p>
      <w:pPr>
        <w:pStyle w:val="BodyText"/>
        <w:spacing w:before="7"/>
        <w:ind w:left="183"/>
        <w:jc w:val="both"/>
      </w:pPr>
      <w:r>
        <w:rPr/>
        <w:t>您在犹豫期后解除合同会遭受一定损失。</w:t>
      </w:r>
    </w:p>
    <w:p>
      <w:pPr>
        <w:spacing w:after="0"/>
        <w:jc w:val="both"/>
        <w:sectPr>
          <w:type w:val="continuous"/>
          <w:pgSz w:w="11910" w:h="16840"/>
          <w:pgMar w:top="240" w:bottom="1180" w:left="860" w:right="1260"/>
          <w:cols w:num="2" w:equalWidth="0">
            <w:col w:w="2546" w:space="40"/>
            <w:col w:w="7204"/>
          </w:cols>
        </w:sectPr>
      </w:pPr>
    </w:p>
    <w:p>
      <w:pPr>
        <w:pStyle w:val="BodyText"/>
        <w:spacing w:before="2"/>
        <w:rPr>
          <w:sz w:val="28"/>
        </w:rPr>
      </w:pPr>
    </w:p>
    <w:p>
      <w:pPr>
        <w:pStyle w:val="Heading2"/>
        <w:numPr>
          <w:ilvl w:val="0"/>
          <w:numId w:val="7"/>
        </w:numPr>
        <w:tabs>
          <w:tab w:pos="1067" w:val="left" w:leader="none"/>
          <w:tab w:pos="1068" w:val="left" w:leader="none"/>
        </w:tabs>
        <w:spacing w:line="240" w:lineRule="auto" w:before="75" w:after="0"/>
        <w:ind w:left="1067" w:right="0" w:hanging="850"/>
        <w:jc w:val="left"/>
      </w:pPr>
      <w:r>
        <w:rPr/>
        <w:pict>
          <v:group style="position:absolute;margin-left:48.48pt;margin-top:31.122513pt;width:478pt;height:1pt;mso-position-horizontal-relative:page;mso-position-vertical-relative:paragraph;z-index:1120;mso-wrap-distance-left:0;mso-wrap-distance-right:0" coordorigin="970,622" coordsize="9560,20">
            <v:line style="position:absolute" from="970,632" to="1822,632" stroked="true" strokeweight=".96pt" strokecolor="#000000">
              <v:stroke dashstyle="solid"/>
            </v:line>
            <v:rect style="position:absolute;left:1821;top:622;width:20;height:20" filled="true" fillcolor="#000000" stroked="false">
              <v:fill type="solid"/>
            </v:rect>
            <v:line style="position:absolute" from="1841,632" to="3521,632" stroked="true" strokeweight=".96pt" strokecolor="#000000">
              <v:stroke dashstyle="solid"/>
            </v:line>
            <v:rect style="position:absolute;left:3520;top:622;width:20;height:20" filled="true" fillcolor="#000000" stroked="false">
              <v:fill type="solid"/>
            </v:rect>
            <v:line style="position:absolute" from="3540,632" to="10529,632" stroked="true" strokeweight=".96pt" strokecolor="#000000">
              <v:stroke dashstyle="solid"/>
            </v:line>
            <w10:wrap type="topAndBottom"/>
          </v:group>
        </w:pict>
      </w:r>
      <w:r>
        <w:rPr>
          <w:w w:val="95"/>
        </w:rPr>
        <w:t>我们提供的保障</w:t>
      </w:r>
    </w:p>
    <w:p>
      <w:pPr>
        <w:pStyle w:val="BodyText"/>
        <w:rPr>
          <w:b/>
          <w:sz w:val="18"/>
        </w:rPr>
      </w:pPr>
    </w:p>
    <w:p>
      <w:pPr>
        <w:pStyle w:val="ListParagraph"/>
        <w:numPr>
          <w:ilvl w:val="1"/>
          <w:numId w:val="8"/>
        </w:numPr>
        <w:tabs>
          <w:tab w:pos="1067" w:val="left" w:leader="none"/>
          <w:tab w:pos="1068" w:val="left" w:leader="none"/>
          <w:tab w:pos="2768" w:val="left" w:leader="none"/>
        </w:tabs>
        <w:spacing w:line="273" w:lineRule="auto" w:before="37" w:after="0"/>
        <w:ind w:left="2768" w:right="287" w:hanging="2551"/>
        <w:jc w:val="left"/>
        <w:rPr>
          <w:sz w:val="21"/>
        </w:rPr>
      </w:pPr>
      <w:r>
        <w:rPr>
          <w:b/>
          <w:sz w:val="21"/>
        </w:rPr>
        <w:t>保险金额</w:t>
        <w:tab/>
      </w:r>
      <w:r>
        <w:rPr>
          <w:sz w:val="21"/>
        </w:rPr>
        <w:t>本附加</w:t>
      </w:r>
      <w:r>
        <w:rPr>
          <w:spacing w:val="-3"/>
          <w:sz w:val="21"/>
        </w:rPr>
        <w:t>合同</w:t>
      </w:r>
      <w:r>
        <w:rPr>
          <w:sz w:val="21"/>
        </w:rPr>
        <w:t>的保</w:t>
      </w:r>
      <w:r>
        <w:rPr>
          <w:spacing w:val="-3"/>
          <w:sz w:val="21"/>
        </w:rPr>
        <w:t>险金</w:t>
      </w:r>
      <w:r>
        <w:rPr>
          <w:sz w:val="21"/>
        </w:rPr>
        <w:t>额由您在</w:t>
      </w:r>
      <w:r>
        <w:rPr>
          <w:spacing w:val="-5"/>
          <w:sz w:val="21"/>
        </w:rPr>
        <w:t>投</w:t>
      </w:r>
      <w:r>
        <w:rPr>
          <w:sz w:val="21"/>
        </w:rPr>
        <w:t>保时与</w:t>
      </w:r>
      <w:r>
        <w:rPr>
          <w:spacing w:val="-5"/>
          <w:sz w:val="21"/>
        </w:rPr>
        <w:t>我</w:t>
      </w:r>
      <w:r>
        <w:rPr>
          <w:sz w:val="21"/>
        </w:rPr>
        <w:t>们约定</w:t>
      </w:r>
      <w:r>
        <w:rPr>
          <w:spacing w:val="-5"/>
          <w:sz w:val="21"/>
        </w:rPr>
        <w:t>并</w:t>
      </w:r>
      <w:r>
        <w:rPr>
          <w:sz w:val="21"/>
        </w:rPr>
        <w:t>在保险单</w:t>
      </w:r>
      <w:r>
        <w:rPr>
          <w:spacing w:val="-5"/>
          <w:sz w:val="21"/>
        </w:rPr>
        <w:t>上</w:t>
      </w:r>
      <w:r>
        <w:rPr>
          <w:sz w:val="21"/>
        </w:rPr>
        <w:t>载</w:t>
      </w:r>
      <w:r>
        <w:rPr>
          <w:spacing w:val="-3"/>
          <w:sz w:val="21"/>
        </w:rPr>
        <w:t>明</w:t>
      </w:r>
      <w:r>
        <w:rPr>
          <w:sz w:val="21"/>
        </w:rPr>
        <w:t>。若该 </w:t>
      </w:r>
      <w:r>
        <w:rPr>
          <w:spacing w:val="-1"/>
          <w:sz w:val="21"/>
        </w:rPr>
        <w:t>金</w:t>
      </w:r>
      <w:r>
        <w:rPr>
          <w:sz w:val="21"/>
        </w:rPr>
        <w:t>额发</w:t>
      </w:r>
      <w:r>
        <w:rPr>
          <w:spacing w:val="-3"/>
          <w:sz w:val="21"/>
        </w:rPr>
        <w:t>生变</w:t>
      </w:r>
      <w:r>
        <w:rPr>
          <w:sz w:val="21"/>
        </w:rPr>
        <w:t>更</w:t>
      </w:r>
      <w:r>
        <w:rPr>
          <w:spacing w:val="-3"/>
          <w:sz w:val="21"/>
        </w:rPr>
        <w:t>，</w:t>
      </w:r>
      <w:r>
        <w:rPr>
          <w:sz w:val="21"/>
        </w:rPr>
        <w:t>则</w:t>
      </w:r>
      <w:r>
        <w:rPr>
          <w:spacing w:val="-3"/>
          <w:sz w:val="21"/>
        </w:rPr>
        <w:t>以</w:t>
      </w:r>
      <w:r>
        <w:rPr>
          <w:sz w:val="21"/>
        </w:rPr>
        <w:t>变更后的</w:t>
      </w:r>
      <w:r>
        <w:rPr>
          <w:spacing w:val="-5"/>
          <w:sz w:val="21"/>
        </w:rPr>
        <w:t>金</w:t>
      </w:r>
      <w:r>
        <w:rPr>
          <w:sz w:val="21"/>
        </w:rPr>
        <w:t>额为保</w:t>
      </w:r>
      <w:r>
        <w:rPr>
          <w:spacing w:val="-5"/>
          <w:sz w:val="21"/>
        </w:rPr>
        <w:t>险</w:t>
      </w:r>
      <w:r>
        <w:rPr>
          <w:sz w:val="21"/>
        </w:rPr>
        <w:t>金</w:t>
      </w:r>
      <w:r>
        <w:rPr>
          <w:spacing w:val="-3"/>
          <w:sz w:val="21"/>
        </w:rPr>
        <w:t>额</w:t>
      </w:r>
      <w:r>
        <w:rPr>
          <w:sz w:val="21"/>
        </w:rPr>
        <w:t>。</w:t>
      </w:r>
    </w:p>
    <w:p>
      <w:pPr>
        <w:pStyle w:val="BodyText"/>
        <w:spacing w:before="5"/>
        <w:rPr>
          <w:sz w:val="24"/>
        </w:rPr>
      </w:pPr>
    </w:p>
    <w:p>
      <w:pPr>
        <w:pStyle w:val="ListParagraph"/>
        <w:numPr>
          <w:ilvl w:val="1"/>
          <w:numId w:val="8"/>
        </w:numPr>
        <w:tabs>
          <w:tab w:pos="1067" w:val="left" w:leader="none"/>
          <w:tab w:pos="1068" w:val="left" w:leader="none"/>
          <w:tab w:pos="2768" w:val="left" w:leader="none"/>
        </w:tabs>
        <w:spacing w:line="240" w:lineRule="auto" w:before="0" w:after="0"/>
        <w:ind w:left="2768" w:right="0" w:hanging="2551"/>
        <w:jc w:val="left"/>
        <w:rPr>
          <w:sz w:val="21"/>
        </w:rPr>
      </w:pPr>
      <w:r>
        <w:rPr>
          <w:b/>
          <w:sz w:val="21"/>
        </w:rPr>
        <w:t>保险期间</w:t>
        <w:tab/>
      </w:r>
      <w:r>
        <w:rPr>
          <w:sz w:val="21"/>
        </w:rPr>
        <w:t>本附加</w:t>
      </w:r>
      <w:r>
        <w:rPr>
          <w:spacing w:val="-3"/>
          <w:sz w:val="21"/>
        </w:rPr>
        <w:t>合同</w:t>
      </w:r>
      <w:r>
        <w:rPr>
          <w:sz w:val="21"/>
        </w:rPr>
        <w:t>的保</w:t>
      </w:r>
      <w:r>
        <w:rPr>
          <w:spacing w:val="-3"/>
          <w:sz w:val="21"/>
        </w:rPr>
        <w:t>险期</w:t>
      </w:r>
      <w:r>
        <w:rPr>
          <w:sz w:val="21"/>
        </w:rPr>
        <w:t>间与主合</w:t>
      </w:r>
      <w:r>
        <w:rPr>
          <w:spacing w:val="-5"/>
          <w:sz w:val="21"/>
        </w:rPr>
        <w:t>同</w:t>
      </w:r>
      <w:r>
        <w:rPr>
          <w:sz w:val="21"/>
        </w:rPr>
        <w:t>的保险</w:t>
      </w:r>
      <w:r>
        <w:rPr>
          <w:spacing w:val="-5"/>
          <w:sz w:val="21"/>
        </w:rPr>
        <w:t>期</w:t>
      </w:r>
      <w:r>
        <w:rPr>
          <w:sz w:val="21"/>
        </w:rPr>
        <w:t>间相</w:t>
      </w:r>
      <w:r>
        <w:rPr>
          <w:spacing w:val="-3"/>
          <w:sz w:val="21"/>
        </w:rPr>
        <w:t>同，</w:t>
      </w:r>
      <w:r>
        <w:rPr>
          <w:sz w:val="21"/>
        </w:rPr>
        <w:t>并在保险</w:t>
      </w:r>
      <w:r>
        <w:rPr>
          <w:spacing w:val="-5"/>
          <w:sz w:val="21"/>
        </w:rPr>
        <w:t>单</w:t>
      </w:r>
      <w:r>
        <w:rPr>
          <w:sz w:val="21"/>
        </w:rPr>
        <w:t>上载</w:t>
      </w:r>
      <w:r>
        <w:rPr>
          <w:spacing w:val="-3"/>
          <w:sz w:val="21"/>
        </w:rPr>
        <w:t>明</w:t>
      </w:r>
      <w:r>
        <w:rPr>
          <w:sz w:val="21"/>
        </w:rPr>
        <w:t>。</w:t>
      </w:r>
    </w:p>
    <w:p>
      <w:pPr>
        <w:pStyle w:val="BodyText"/>
        <w:spacing w:before="8"/>
        <w:rPr>
          <w:sz w:val="26"/>
        </w:rPr>
      </w:pPr>
    </w:p>
    <w:p>
      <w:pPr>
        <w:pStyle w:val="ListParagraph"/>
        <w:numPr>
          <w:ilvl w:val="1"/>
          <w:numId w:val="8"/>
        </w:numPr>
        <w:tabs>
          <w:tab w:pos="1067" w:val="left" w:leader="none"/>
          <w:tab w:pos="1068" w:val="left" w:leader="none"/>
          <w:tab w:pos="2768" w:val="left" w:leader="none"/>
        </w:tabs>
        <w:spacing w:line="240" w:lineRule="auto" w:before="0" w:after="0"/>
        <w:ind w:left="2768" w:right="0" w:hanging="2551"/>
        <w:jc w:val="left"/>
        <w:rPr>
          <w:sz w:val="21"/>
        </w:rPr>
      </w:pPr>
      <w:r>
        <w:rPr>
          <w:b/>
          <w:sz w:val="21"/>
        </w:rPr>
        <w:t>保险责任</w:t>
        <w:tab/>
      </w:r>
      <w:r>
        <w:rPr>
          <w:sz w:val="21"/>
        </w:rPr>
        <w:t>在本附</w:t>
      </w:r>
      <w:r>
        <w:rPr>
          <w:spacing w:val="-3"/>
          <w:sz w:val="21"/>
        </w:rPr>
        <w:t>加合</w:t>
      </w:r>
      <w:r>
        <w:rPr>
          <w:sz w:val="21"/>
        </w:rPr>
        <w:t>同保</w:t>
      </w:r>
      <w:r>
        <w:rPr>
          <w:spacing w:val="-3"/>
          <w:sz w:val="21"/>
        </w:rPr>
        <w:t>险期</w:t>
      </w:r>
      <w:r>
        <w:rPr>
          <w:sz w:val="21"/>
        </w:rPr>
        <w:t>间</w:t>
      </w:r>
      <w:r>
        <w:rPr>
          <w:spacing w:val="-3"/>
          <w:sz w:val="21"/>
        </w:rPr>
        <w:t>内</w:t>
      </w:r>
      <w:r>
        <w:rPr>
          <w:sz w:val="21"/>
        </w:rPr>
        <w:t>，我</w:t>
      </w:r>
      <w:r>
        <w:rPr>
          <w:spacing w:val="-3"/>
          <w:sz w:val="21"/>
        </w:rPr>
        <w:t>们</w:t>
      </w:r>
      <w:r>
        <w:rPr>
          <w:sz w:val="21"/>
        </w:rPr>
        <w:t>承担如</w:t>
      </w:r>
      <w:r>
        <w:rPr>
          <w:spacing w:val="-5"/>
          <w:sz w:val="21"/>
        </w:rPr>
        <w:t>下</w:t>
      </w:r>
      <w:r>
        <w:rPr>
          <w:sz w:val="21"/>
        </w:rPr>
        <w:t>保</w:t>
      </w:r>
      <w:r>
        <w:rPr>
          <w:spacing w:val="-3"/>
          <w:sz w:val="21"/>
        </w:rPr>
        <w:t>险</w:t>
      </w:r>
      <w:r>
        <w:rPr>
          <w:sz w:val="21"/>
        </w:rPr>
        <w:t>责</w:t>
      </w:r>
      <w:r>
        <w:rPr>
          <w:spacing w:val="-3"/>
          <w:sz w:val="21"/>
        </w:rPr>
        <w:t>任</w:t>
      </w:r>
      <w:r>
        <w:rPr>
          <w:sz w:val="21"/>
        </w:rPr>
        <w:t>：</w:t>
      </w:r>
    </w:p>
    <w:p>
      <w:pPr>
        <w:pStyle w:val="BodyText"/>
        <w:spacing w:before="9"/>
        <w:rPr>
          <w:sz w:val="26"/>
        </w:rPr>
      </w:pPr>
    </w:p>
    <w:p>
      <w:pPr>
        <w:pStyle w:val="BodyText"/>
        <w:spacing w:line="273" w:lineRule="auto"/>
        <w:ind w:left="2768" w:right="184" w:hanging="1702"/>
        <w:jc w:val="both"/>
        <w:rPr>
          <w:rFonts w:ascii="黑体" w:eastAsia="黑体" w:hint="eastAsia"/>
        </w:rPr>
      </w:pPr>
      <w:r>
        <w:rPr>
          <w:rFonts w:ascii="黑体" w:eastAsia="黑体" w:hint="eastAsia"/>
          <w:b/>
        </w:rPr>
        <w:t>等待期         </w:t>
      </w:r>
      <w:r>
        <w:rPr>
          <w:rFonts w:ascii="黑体" w:eastAsia="黑体" w:hint="eastAsia"/>
        </w:rPr>
        <w:t>被保险人在本附加合同Th效（或最后复效）之日起180天内因疾病初次发Th 本附加合同所定义的</w:t>
      </w:r>
      <w:r>
        <w:rPr>
          <w:rFonts w:ascii="黑体" w:eastAsia="黑体" w:hint="eastAsia"/>
          <w:b/>
        </w:rPr>
        <w:t>重大疾病</w:t>
      </w:r>
      <w:r>
        <w:rPr>
          <w:rFonts w:ascii="黑体" w:eastAsia="黑体" w:hint="eastAsia"/>
        </w:rPr>
        <w:t>（见释义6.4）或特定重大疾病，我们将无息返还您所交的本附加合同的保险费，本附加合同终止。这180天的时间称为等待期。被保险人因</w:t>
      </w:r>
      <w:r>
        <w:rPr>
          <w:rFonts w:ascii="黑体" w:eastAsia="黑体" w:hint="eastAsia"/>
          <w:b/>
        </w:rPr>
        <w:t>意外伤害</w:t>
      </w:r>
      <w:r>
        <w:rPr>
          <w:rFonts w:ascii="黑体" w:eastAsia="黑体" w:hint="eastAsia"/>
        </w:rPr>
        <w:t>（见释义6.5）发Th上述情形的，无等待期。</w:t>
      </w:r>
    </w:p>
    <w:p>
      <w:pPr>
        <w:pStyle w:val="BodyText"/>
        <w:spacing w:before="5"/>
        <w:rPr>
          <w:rFonts w:ascii="黑体"/>
          <w:sz w:val="24"/>
        </w:rPr>
      </w:pPr>
    </w:p>
    <w:p>
      <w:pPr>
        <w:pStyle w:val="Heading4"/>
        <w:spacing w:before="1"/>
        <w:ind w:left="2768"/>
      </w:pPr>
      <w:r>
        <w:rPr>
          <w:rFonts w:ascii="黑体" w:eastAsia="黑体" w:hint="eastAsia"/>
        </w:rPr>
        <w:t>等待期后发Th保险事故，我们按照下列方式给付保险金</w:t>
      </w:r>
      <w:r>
        <w:rPr/>
        <w:t>：</w:t>
      </w:r>
    </w:p>
    <w:p>
      <w:pPr>
        <w:pStyle w:val="BodyText"/>
        <w:spacing w:before="9"/>
        <w:rPr>
          <w:b/>
          <w:sz w:val="26"/>
        </w:rPr>
      </w:pPr>
    </w:p>
    <w:p>
      <w:pPr>
        <w:pStyle w:val="BodyText"/>
        <w:spacing w:line="273" w:lineRule="auto"/>
        <w:ind w:left="2768" w:right="220" w:hanging="1702"/>
        <w:jc w:val="both"/>
      </w:pPr>
      <w:r>
        <w:rPr>
          <w:rFonts w:ascii="黑体" w:eastAsia="黑体" w:hint="eastAsia"/>
          <w:b/>
          <w:spacing w:val="5"/>
        </w:rPr>
        <w:t>重大疾病保险金 </w:t>
      </w:r>
      <w:r>
        <w:rPr>
          <w:spacing w:val="-3"/>
        </w:rPr>
        <w:t>被保险人初次发生且经</w:t>
      </w:r>
      <w:r>
        <w:rPr>
          <w:b/>
          <w:spacing w:val="-12"/>
        </w:rPr>
        <w:t>专科医生</w:t>
      </w:r>
      <w:r>
        <w:rPr/>
        <w:t>（</w:t>
      </w:r>
      <w:r>
        <w:rPr>
          <w:spacing w:val="-14"/>
        </w:rPr>
        <w:t>见释义 </w:t>
      </w:r>
      <w:r>
        <w:rPr>
          <w:spacing w:val="-13"/>
        </w:rPr>
        <w:t>6.6）</w:t>
      </w:r>
      <w:r>
        <w:rPr>
          <w:spacing w:val="-4"/>
        </w:rPr>
        <w:t>明确诊断患本附加合同所定</w:t>
      </w:r>
      <w:r>
        <w:rPr>
          <w:spacing w:val="-3"/>
        </w:rPr>
        <w:t>义的重大疾病的，我们将按本附加合同的保险金额给付重大疾病保险金， 本附加合同终止。</w:t>
      </w:r>
    </w:p>
    <w:p>
      <w:pPr>
        <w:pStyle w:val="BodyText"/>
        <w:spacing w:before="2"/>
        <w:rPr>
          <w:sz w:val="17"/>
        </w:rPr>
      </w:pPr>
    </w:p>
    <w:p>
      <w:pPr>
        <w:spacing w:after="0"/>
        <w:rPr>
          <w:sz w:val="17"/>
        </w:rPr>
        <w:sectPr>
          <w:pgSz w:w="11910" w:h="16840"/>
          <w:pgMar w:header="335" w:footer="991" w:top="560" w:bottom="1180" w:left="860" w:right="1260"/>
        </w:sectPr>
      </w:pPr>
    </w:p>
    <w:p>
      <w:pPr>
        <w:pStyle w:val="Heading4"/>
        <w:spacing w:line="273" w:lineRule="auto" w:before="54"/>
        <w:rPr>
          <w:rFonts w:ascii="黑体" w:eastAsia="黑体" w:hint="eastAsia"/>
        </w:rPr>
      </w:pPr>
      <w:r>
        <w:rPr>
          <w:rFonts w:ascii="黑体" w:eastAsia="黑体" w:hint="eastAsia"/>
        </w:rPr>
        <w:t>特定重大疾病保险金</w:t>
      </w:r>
    </w:p>
    <w:p>
      <w:pPr>
        <w:pStyle w:val="BodyText"/>
        <w:spacing w:line="256" w:lineRule="auto" w:before="26"/>
        <w:ind w:left="183" w:right="114"/>
      </w:pPr>
      <w:r>
        <w:rPr/>
        <w:br w:type="column"/>
      </w:r>
      <w:r>
        <w:rPr>
          <w:spacing w:val="2"/>
        </w:rPr>
        <w:t>被保险人初次发生且经专科医生明确诊断患本附加合同所定义的</w:t>
      </w:r>
      <w:r>
        <w:rPr>
          <w:b/>
          <w:spacing w:val="2"/>
          <w:sz w:val="24"/>
        </w:rPr>
        <w:t>骨和关</w:t>
      </w:r>
      <w:r>
        <w:rPr>
          <w:b/>
          <w:spacing w:val="1"/>
          <w:sz w:val="24"/>
        </w:rPr>
        <w:t>节软骨恶性肿瘤</w:t>
      </w:r>
      <w:r>
        <w:rPr>
          <w:spacing w:val="-3"/>
        </w:rPr>
        <w:t>（</w:t>
      </w:r>
      <w:r>
        <w:rPr>
          <w:spacing w:val="-14"/>
        </w:rPr>
        <w:t>见释义 </w:t>
      </w:r>
      <w:r>
        <w:rPr/>
        <w:t>6.7）</w:t>
      </w:r>
      <w:r>
        <w:rPr>
          <w:spacing w:val="-7"/>
        </w:rPr>
        <w:t>、</w:t>
      </w:r>
      <w:r>
        <w:rPr>
          <w:b/>
          <w:sz w:val="24"/>
        </w:rPr>
        <w:t>脑脊膜和脑恶性肿瘤</w:t>
      </w:r>
      <w:r>
        <w:rPr/>
        <w:t>（</w:t>
      </w:r>
      <w:r>
        <w:rPr>
          <w:spacing w:val="-15"/>
        </w:rPr>
        <w:t>见释义 </w:t>
      </w:r>
      <w:r>
        <w:rPr/>
        <w:t>6.8） </w:t>
      </w:r>
      <w:r>
        <w:rPr>
          <w:b/>
          <w:spacing w:val="-6"/>
        </w:rPr>
        <w:t>和白血病</w:t>
      </w:r>
      <w:r>
        <w:rPr>
          <w:spacing w:val="-3"/>
        </w:rPr>
        <w:t>（</w:t>
      </w:r>
      <w:r>
        <w:rPr>
          <w:spacing w:val="-13"/>
        </w:rPr>
        <w:t>见释义 </w:t>
      </w:r>
      <w:r>
        <w:rPr>
          <w:spacing w:val="-11"/>
        </w:rPr>
        <w:t>6.9）</w:t>
      </w:r>
      <w:r>
        <w:rPr>
          <w:spacing w:val="-6"/>
        </w:rPr>
        <w:t>，我们将在给付重大疾病保险金的基础上，额外按</w:t>
      </w:r>
      <w:r>
        <w:rPr>
          <w:spacing w:val="-5"/>
        </w:rPr>
        <w:t>本附加合同的保险金额给付特定重大疾病保险金，本附加合同终止。</w:t>
      </w:r>
    </w:p>
    <w:p>
      <w:pPr>
        <w:pStyle w:val="BodyText"/>
        <w:spacing w:before="6"/>
        <w:rPr>
          <w:sz w:val="25"/>
        </w:rPr>
      </w:pPr>
    </w:p>
    <w:p>
      <w:pPr>
        <w:pStyle w:val="BodyText"/>
        <w:spacing w:line="273" w:lineRule="auto" w:before="1"/>
        <w:ind w:left="183" w:right="289"/>
      </w:pPr>
      <w:r>
        <w:rPr/>
        <w:t>本附加合同重大疾病保险金及特定重大疾病保险金的给付以一次为限。我们给付任何一项重大疾病保险金后，主合同与本附加合同终止。</w:t>
      </w:r>
    </w:p>
    <w:p>
      <w:pPr>
        <w:spacing w:after="0" w:line="273" w:lineRule="auto"/>
        <w:sectPr>
          <w:type w:val="continuous"/>
          <w:pgSz w:w="11910" w:h="16840"/>
          <w:pgMar w:top="240" w:bottom="1180" w:left="860" w:right="1260"/>
          <w:cols w:num="2" w:equalWidth="0">
            <w:col w:w="2546" w:space="40"/>
            <w:col w:w="7204"/>
          </w:cols>
        </w:sectPr>
      </w:pPr>
    </w:p>
    <w:p>
      <w:pPr>
        <w:pStyle w:val="BodyText"/>
        <w:rPr>
          <w:sz w:val="20"/>
        </w:rPr>
      </w:pPr>
    </w:p>
    <w:p>
      <w:pPr>
        <w:pStyle w:val="BodyText"/>
        <w:spacing w:before="2"/>
        <w:rPr>
          <w:sz w:val="25"/>
        </w:rPr>
      </w:pPr>
    </w:p>
    <w:p>
      <w:pPr>
        <w:pStyle w:val="ListParagraph"/>
        <w:numPr>
          <w:ilvl w:val="1"/>
          <w:numId w:val="8"/>
        </w:numPr>
        <w:tabs>
          <w:tab w:pos="1067" w:val="left" w:leader="none"/>
          <w:tab w:pos="1068" w:val="left" w:leader="none"/>
          <w:tab w:pos="2768" w:val="left" w:leader="none"/>
        </w:tabs>
        <w:spacing w:line="240" w:lineRule="auto" w:before="36" w:after="0"/>
        <w:ind w:left="2768" w:right="0" w:hanging="2551"/>
        <w:jc w:val="left"/>
        <w:rPr>
          <w:rFonts w:ascii="黑体" w:eastAsia="黑体" w:hint="eastAsia"/>
          <w:sz w:val="21"/>
        </w:rPr>
      </w:pPr>
      <w:r>
        <w:rPr>
          <w:rFonts w:ascii="黑体" w:eastAsia="黑体" w:hint="eastAsia"/>
          <w:b/>
          <w:sz w:val="21"/>
        </w:rPr>
        <w:t>保险责任的免除</w:t>
        <w:tab/>
      </w:r>
      <w:r>
        <w:rPr>
          <w:rFonts w:ascii="黑体" w:eastAsia="黑体" w:hint="eastAsia"/>
          <w:spacing w:val="-1"/>
          <w:sz w:val="21"/>
        </w:rPr>
        <w:t>被</w:t>
      </w:r>
      <w:r>
        <w:rPr>
          <w:rFonts w:ascii="黑体" w:eastAsia="黑体" w:hint="eastAsia"/>
          <w:sz w:val="21"/>
        </w:rPr>
        <w:t>保险</w:t>
      </w:r>
      <w:r>
        <w:rPr>
          <w:rFonts w:ascii="黑体" w:eastAsia="黑体" w:hint="eastAsia"/>
          <w:spacing w:val="-3"/>
          <w:sz w:val="21"/>
        </w:rPr>
        <w:t>人因</w:t>
      </w:r>
      <w:r>
        <w:rPr>
          <w:rFonts w:ascii="黑体" w:eastAsia="黑体" w:hint="eastAsia"/>
          <w:sz w:val="21"/>
        </w:rPr>
        <w:t>下列</w:t>
      </w:r>
      <w:r>
        <w:rPr>
          <w:rFonts w:ascii="黑体" w:eastAsia="黑体" w:hint="eastAsia"/>
          <w:spacing w:val="-3"/>
          <w:sz w:val="21"/>
        </w:rPr>
        <w:t>情形</w:t>
      </w:r>
      <w:r>
        <w:rPr>
          <w:rFonts w:ascii="黑体" w:eastAsia="黑体" w:hint="eastAsia"/>
          <w:sz w:val="21"/>
        </w:rPr>
        <w:t>之一造成</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w:t>
      </w:r>
      <w:r>
        <w:rPr>
          <w:rFonts w:ascii="黑体" w:eastAsia="黑体" w:hint="eastAsia"/>
          <w:spacing w:val="-3"/>
          <w:sz w:val="21"/>
        </w:rPr>
        <w:t>我</w:t>
      </w:r>
      <w:r>
        <w:rPr>
          <w:rFonts w:ascii="黑体" w:eastAsia="黑体" w:hint="eastAsia"/>
          <w:sz w:val="21"/>
        </w:rPr>
        <w:t>们</w:t>
      </w:r>
      <w:r>
        <w:rPr>
          <w:rFonts w:ascii="黑体" w:eastAsia="黑体" w:hint="eastAsia"/>
          <w:spacing w:val="-3"/>
          <w:sz w:val="21"/>
        </w:rPr>
        <w:t>不</w:t>
      </w:r>
      <w:r>
        <w:rPr>
          <w:rFonts w:ascii="黑体" w:eastAsia="黑体" w:hint="eastAsia"/>
          <w:sz w:val="21"/>
        </w:rPr>
        <w:t>承担保险</w:t>
      </w:r>
      <w:r>
        <w:rPr>
          <w:rFonts w:ascii="黑体" w:eastAsia="黑体" w:hint="eastAsia"/>
          <w:spacing w:val="-5"/>
          <w:sz w:val="21"/>
        </w:rPr>
        <w:t>责</w:t>
      </w:r>
      <w:r>
        <w:rPr>
          <w:rFonts w:ascii="黑体" w:eastAsia="黑体" w:hint="eastAsia"/>
          <w:sz w:val="21"/>
        </w:rPr>
        <w:t>任：</w:t>
      </w:r>
    </w:p>
    <w:p>
      <w:pPr>
        <w:pStyle w:val="BodyText"/>
        <w:spacing w:before="9"/>
        <w:rPr>
          <w:rFonts w:ascii="黑体"/>
          <w:sz w:val="14"/>
        </w:rPr>
      </w:pPr>
    </w:p>
    <w:p>
      <w:pPr>
        <w:pStyle w:val="ListParagraph"/>
        <w:numPr>
          <w:ilvl w:val="2"/>
          <w:numId w:val="8"/>
        </w:numPr>
        <w:tabs>
          <w:tab w:pos="3489" w:val="left" w:leader="none"/>
        </w:tabs>
        <w:spacing w:line="273" w:lineRule="auto" w:before="0" w:after="0"/>
        <w:ind w:left="3488" w:right="220" w:hanging="720"/>
        <w:jc w:val="left"/>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w:t>
      </w:r>
      <w:r>
        <w:rPr>
          <w:rFonts w:ascii="黑体" w:eastAsia="黑体" w:hint="eastAsia"/>
          <w:spacing w:val="-8"/>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8"/>
          <w:sz w:val="21"/>
        </w:rPr>
        <w:t>）</w:t>
      </w:r>
      <w:r>
        <w:rPr>
          <w:rFonts w:ascii="黑体" w:eastAsia="黑体" w:hint="eastAsia"/>
          <w:spacing w:val="-12"/>
          <w:sz w:val="21"/>
        </w:rPr>
        <w:t>之日起 </w:t>
      </w:r>
      <w:r>
        <w:rPr>
          <w:rFonts w:ascii="黑体" w:eastAsia="黑体" w:hint="eastAsia"/>
          <w:sz w:val="21"/>
        </w:rPr>
        <w:t>2</w:t>
      </w:r>
      <w:r>
        <w:rPr>
          <w:rFonts w:ascii="黑体" w:eastAsia="黑体" w:hint="eastAsia"/>
          <w:spacing w:val="-9"/>
          <w:sz w:val="21"/>
        </w:rPr>
        <w:t> 年内自杀，但</w:t>
      </w:r>
      <w:r>
        <w:rPr>
          <w:rFonts w:ascii="黑体" w:eastAsia="黑体" w:hint="eastAsia"/>
          <w:spacing w:val="-4"/>
          <w:sz w:val="21"/>
        </w:rPr>
        <w:t>被保险人自杀时为无民事行为能力人的除外；</w:t>
      </w:r>
    </w:p>
    <w:p>
      <w:pPr>
        <w:pStyle w:val="ListParagraph"/>
        <w:numPr>
          <w:ilvl w:val="2"/>
          <w:numId w:val="8"/>
        </w:numPr>
        <w:tabs>
          <w:tab w:pos="3489" w:val="left" w:leader="none"/>
        </w:tabs>
        <w:spacing w:line="240" w:lineRule="auto" w:before="7" w:after="0"/>
        <w:ind w:left="3488"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8"/>
        </w:numPr>
        <w:tabs>
          <w:tab w:pos="3489" w:val="left" w:leader="none"/>
        </w:tabs>
        <w:spacing w:line="240" w:lineRule="auto" w:before="37" w:after="0"/>
        <w:ind w:left="3488" w:right="0" w:hanging="720"/>
        <w:jc w:val="left"/>
        <w:rPr>
          <w:rFonts w:ascii="黑体" w:eastAsia="黑体" w:hint="eastAsia"/>
          <w:sz w:val="21"/>
        </w:rPr>
      </w:pPr>
      <w:r>
        <w:rPr>
          <w:rFonts w:ascii="黑体" w:eastAsia="黑体" w:hint="eastAsia"/>
          <w:spacing w:val="-4"/>
          <w:sz w:val="21"/>
        </w:rPr>
        <w:t>被保险人故意犯罪或者抗拒依法采取的刑事强制措施；</w:t>
      </w:r>
    </w:p>
    <w:p>
      <w:pPr>
        <w:pStyle w:val="ListParagraph"/>
        <w:numPr>
          <w:ilvl w:val="2"/>
          <w:numId w:val="8"/>
        </w:numPr>
        <w:tabs>
          <w:tab w:pos="3489" w:val="left" w:leader="none"/>
        </w:tabs>
        <w:spacing w:line="240" w:lineRule="auto" w:before="37" w:after="0"/>
        <w:ind w:left="3488" w:right="0" w:hanging="7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r>
        <w:rPr>
          <w:rFonts w:ascii="黑体" w:eastAsia="黑体" w:hint="eastAsia"/>
          <w:spacing w:val="-10"/>
          <w:sz w:val="21"/>
        </w:rPr>
        <w:t>见释义 </w:t>
      </w:r>
      <w:r>
        <w:rPr>
          <w:rFonts w:ascii="黑体" w:eastAsia="黑体" w:hint="eastAsia"/>
          <w:sz w:val="21"/>
        </w:rPr>
        <w:t>6.10）；</w:t>
      </w:r>
    </w:p>
    <w:p>
      <w:pPr>
        <w:pStyle w:val="ListParagraph"/>
        <w:numPr>
          <w:ilvl w:val="2"/>
          <w:numId w:val="8"/>
        </w:numPr>
        <w:tabs>
          <w:tab w:pos="3489" w:val="left" w:leader="none"/>
        </w:tabs>
        <w:spacing w:line="273" w:lineRule="auto" w:before="37" w:after="0"/>
        <w:ind w:left="3488" w:right="222"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6"/>
          <w:sz w:val="21"/>
        </w:rPr>
        <w:t>酒后驾驶</w:t>
      </w:r>
      <w:r>
        <w:rPr>
          <w:rFonts w:ascii="黑体" w:eastAsia="黑体" w:hint="eastAsia"/>
          <w:sz w:val="21"/>
        </w:rPr>
        <w:t>（</w:t>
      </w:r>
      <w:r>
        <w:rPr>
          <w:rFonts w:ascii="黑体" w:eastAsia="黑体" w:hint="eastAsia"/>
          <w:spacing w:val="-11"/>
          <w:sz w:val="21"/>
        </w:rPr>
        <w:t>见释义 </w:t>
      </w:r>
      <w:r>
        <w:rPr>
          <w:rFonts w:ascii="黑体" w:eastAsia="黑体" w:hint="eastAsia"/>
          <w:spacing w:val="-5"/>
          <w:sz w:val="21"/>
        </w:rPr>
        <w:t>6.11）</w:t>
      </w:r>
      <w:r>
        <w:rPr>
          <w:rFonts w:ascii="黑体" w:eastAsia="黑体" w:hint="eastAsia"/>
          <w:spacing w:val="-25"/>
          <w:sz w:val="21"/>
        </w:rPr>
        <w:t>、</w:t>
      </w:r>
      <w:r>
        <w:rPr>
          <w:rFonts w:ascii="黑体" w:eastAsia="黑体" w:hint="eastAsia"/>
          <w:b/>
          <w:spacing w:val="-4"/>
          <w:sz w:val="21"/>
        </w:rPr>
        <w:t>无合法有效驾驶证驾驶</w:t>
      </w:r>
      <w:r>
        <w:rPr>
          <w:rFonts w:ascii="黑体" w:eastAsia="黑体" w:hint="eastAsia"/>
          <w:sz w:val="21"/>
        </w:rPr>
        <w:t>（</w:t>
      </w:r>
      <w:r>
        <w:rPr>
          <w:rFonts w:ascii="黑体" w:eastAsia="黑体" w:hint="eastAsia"/>
          <w:spacing w:val="-2"/>
          <w:sz w:val="21"/>
        </w:rPr>
        <w:t>见释</w:t>
      </w:r>
      <w:r>
        <w:rPr>
          <w:rFonts w:ascii="黑体" w:eastAsia="黑体" w:hint="eastAsia"/>
          <w:spacing w:val="-24"/>
          <w:sz w:val="21"/>
        </w:rPr>
        <w:t>义 </w:t>
      </w:r>
      <w:r>
        <w:rPr>
          <w:rFonts w:ascii="黑体" w:eastAsia="黑体" w:hint="eastAsia"/>
          <w:sz w:val="21"/>
        </w:rPr>
        <w:t>6.12）</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6.13）</w:t>
      </w:r>
      <w:r>
        <w:rPr>
          <w:rFonts w:ascii="黑体" w:eastAsia="黑体" w:hint="eastAsia"/>
          <w:spacing w:val="-2"/>
          <w:sz w:val="21"/>
        </w:rPr>
        <w:t>的机动车；</w:t>
      </w:r>
    </w:p>
    <w:p>
      <w:pPr>
        <w:pStyle w:val="ListParagraph"/>
        <w:numPr>
          <w:ilvl w:val="2"/>
          <w:numId w:val="8"/>
        </w:numPr>
        <w:tabs>
          <w:tab w:pos="3489" w:val="left" w:leader="none"/>
        </w:tabs>
        <w:spacing w:line="240" w:lineRule="auto" w:before="7" w:after="0"/>
        <w:ind w:left="3488" w:right="0" w:hanging="72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8"/>
        </w:numPr>
        <w:tabs>
          <w:tab w:pos="3489" w:val="left" w:leader="none"/>
        </w:tabs>
        <w:spacing w:line="240" w:lineRule="auto" w:before="36" w:after="0"/>
        <w:ind w:left="3488" w:right="0" w:hanging="720"/>
        <w:jc w:val="left"/>
        <w:rPr>
          <w:rFonts w:ascii="黑体" w:eastAsia="黑体" w:hint="eastAsia"/>
          <w:sz w:val="21"/>
        </w:rPr>
      </w:pPr>
      <w:r>
        <w:rPr>
          <w:rFonts w:ascii="黑体" w:eastAsia="黑体" w:hint="eastAsia"/>
          <w:spacing w:val="-3"/>
          <w:sz w:val="21"/>
        </w:rPr>
        <w:t>核爆炸、核辐射或核污染；</w:t>
      </w:r>
    </w:p>
    <w:p>
      <w:pPr>
        <w:pStyle w:val="ListParagraph"/>
        <w:numPr>
          <w:ilvl w:val="2"/>
          <w:numId w:val="8"/>
        </w:numPr>
        <w:tabs>
          <w:tab w:pos="3489" w:val="left" w:leader="none"/>
        </w:tabs>
        <w:spacing w:line="273" w:lineRule="auto" w:before="37" w:after="0"/>
        <w:ind w:left="3488" w:right="220" w:hanging="720"/>
        <w:jc w:val="left"/>
        <w:rPr>
          <w:rFonts w:ascii="黑体" w:eastAsia="黑体" w:hint="eastAsia"/>
          <w:sz w:val="21"/>
        </w:rPr>
      </w:pPr>
      <w:r>
        <w:rPr>
          <w:rFonts w:ascii="黑体" w:eastAsia="黑体" w:hint="eastAsia"/>
          <w:b/>
          <w:spacing w:val="-4"/>
          <w:sz w:val="21"/>
        </w:rPr>
        <w:t>遗传性疾病</w:t>
      </w:r>
      <w:r>
        <w:rPr>
          <w:rFonts w:ascii="黑体" w:eastAsia="黑体" w:hint="eastAsia"/>
          <w:spacing w:val="-3"/>
          <w:sz w:val="21"/>
        </w:rPr>
        <w:t>（</w:t>
      </w:r>
      <w:r>
        <w:rPr>
          <w:rFonts w:ascii="黑体" w:eastAsia="黑体" w:hint="eastAsia"/>
          <w:spacing w:val="-11"/>
          <w:sz w:val="21"/>
        </w:rPr>
        <w:t>见释义 </w:t>
      </w:r>
      <w:r>
        <w:rPr>
          <w:rFonts w:ascii="黑体" w:eastAsia="黑体" w:hint="eastAsia"/>
          <w:spacing w:val="-8"/>
          <w:sz w:val="21"/>
        </w:rPr>
        <w:t>6.14），</w:t>
      </w:r>
      <w:r>
        <w:rPr>
          <w:rFonts w:ascii="黑体" w:eastAsia="黑体" w:hint="eastAsia"/>
          <w:b/>
          <w:spacing w:val="-5"/>
          <w:sz w:val="21"/>
        </w:rPr>
        <w:t>先天性畸形、变形或染色体异常</w:t>
      </w:r>
      <w:r>
        <w:rPr>
          <w:rFonts w:ascii="黑体" w:eastAsia="黑体" w:hint="eastAsia"/>
          <w:spacing w:val="-3"/>
          <w:sz w:val="21"/>
        </w:rPr>
        <w:t>（</w:t>
      </w:r>
      <w:r>
        <w:rPr>
          <w:rFonts w:ascii="黑体" w:eastAsia="黑体" w:hint="eastAsia"/>
          <w:sz w:val="21"/>
        </w:rPr>
        <w:t>见</w:t>
      </w:r>
      <w:r>
        <w:rPr>
          <w:rFonts w:ascii="黑体" w:eastAsia="黑体" w:hint="eastAsia"/>
          <w:spacing w:val="-18"/>
          <w:sz w:val="21"/>
        </w:rPr>
        <w:t>释义 </w:t>
      </w:r>
      <w:r>
        <w:rPr>
          <w:rFonts w:ascii="黑体" w:eastAsia="黑体" w:hint="eastAsia"/>
          <w:sz w:val="21"/>
        </w:rPr>
        <w:t>6.15）；</w:t>
      </w:r>
    </w:p>
    <w:p>
      <w:pPr>
        <w:pStyle w:val="ListParagraph"/>
        <w:numPr>
          <w:ilvl w:val="2"/>
          <w:numId w:val="8"/>
        </w:numPr>
        <w:tabs>
          <w:tab w:pos="3489" w:val="left" w:leader="none"/>
        </w:tabs>
        <w:spacing w:line="273" w:lineRule="auto" w:before="7" w:after="0"/>
        <w:ind w:left="3488" w:right="220" w:hanging="720"/>
        <w:jc w:val="left"/>
        <w:rPr>
          <w:rFonts w:ascii="黑体" w:eastAsia="黑体" w:hint="eastAsia"/>
          <w:sz w:val="21"/>
        </w:rPr>
      </w:pPr>
      <w:r>
        <w:rPr>
          <w:rFonts w:ascii="黑体" w:eastAsia="黑体" w:hint="eastAsia"/>
          <w:spacing w:val="1"/>
          <w:sz w:val="21"/>
        </w:rPr>
        <w:t>被保险人故意自伤，但被保险人自伤时为无民事行为能力人的除外；</w:t>
      </w:r>
    </w:p>
    <w:p>
      <w:pPr>
        <w:pStyle w:val="ListParagraph"/>
        <w:numPr>
          <w:ilvl w:val="2"/>
          <w:numId w:val="8"/>
        </w:numPr>
        <w:tabs>
          <w:tab w:pos="3489" w:val="left" w:leader="none"/>
        </w:tabs>
        <w:spacing w:line="240" w:lineRule="auto" w:before="7" w:after="0"/>
        <w:ind w:left="3488" w:right="0" w:hanging="720"/>
        <w:jc w:val="left"/>
        <w:rPr>
          <w:rFonts w:ascii="黑体" w:eastAsia="黑体" w:hint="eastAsia"/>
          <w:sz w:val="21"/>
        </w:rPr>
      </w:pPr>
      <w:r>
        <w:rPr>
          <w:rFonts w:ascii="黑体" w:eastAsia="黑体" w:hint="eastAsia"/>
          <w:sz w:val="21"/>
        </w:rPr>
        <w:t>被保险人从事</w:t>
      </w:r>
      <w:r>
        <w:rPr>
          <w:rFonts w:ascii="黑体" w:eastAsia="黑体" w:hint="eastAsia"/>
          <w:b/>
          <w:spacing w:val="0"/>
          <w:sz w:val="21"/>
        </w:rPr>
        <w:t>潜水</w:t>
      </w:r>
      <w:r>
        <w:rPr>
          <w:rFonts w:ascii="黑体" w:eastAsia="黑体" w:hint="eastAsia"/>
          <w:sz w:val="21"/>
        </w:rPr>
        <w:t>（</w:t>
      </w:r>
      <w:r>
        <w:rPr>
          <w:rFonts w:ascii="黑体" w:eastAsia="黑体" w:hint="eastAsia"/>
          <w:spacing w:val="15"/>
          <w:sz w:val="21"/>
        </w:rPr>
        <w:t>见释义 </w:t>
      </w:r>
      <w:r>
        <w:rPr>
          <w:rFonts w:ascii="黑体" w:eastAsia="黑体" w:hint="eastAsia"/>
          <w:sz w:val="21"/>
        </w:rPr>
        <w:t>6.16）、跳伞、滑雪、</w:t>
      </w:r>
      <w:r>
        <w:rPr>
          <w:rFonts w:ascii="黑体" w:eastAsia="黑体" w:hint="eastAsia"/>
          <w:b/>
          <w:spacing w:val="0"/>
          <w:sz w:val="21"/>
        </w:rPr>
        <w:t>攀岩</w:t>
      </w:r>
      <w:r>
        <w:rPr>
          <w:rFonts w:ascii="黑体" w:eastAsia="黑体" w:hint="eastAsia"/>
          <w:sz w:val="21"/>
        </w:rPr>
        <w:t>（见释义</w:t>
      </w:r>
    </w:p>
    <w:p>
      <w:pPr>
        <w:pStyle w:val="BodyText"/>
        <w:spacing w:before="37"/>
        <w:ind w:left="3488"/>
        <w:rPr>
          <w:rFonts w:ascii="黑体" w:eastAsia="黑体" w:hint="eastAsia"/>
        </w:rPr>
      </w:pPr>
      <w:r>
        <w:rPr>
          <w:rFonts w:ascii="黑体" w:eastAsia="黑体" w:hint="eastAsia"/>
        </w:rPr>
        <w:t>6.17）、蹦极、驾驶滑翔机或滑翔伞、</w:t>
      </w:r>
      <w:r>
        <w:rPr>
          <w:rFonts w:ascii="黑体" w:eastAsia="黑体" w:hint="eastAsia"/>
          <w:b/>
        </w:rPr>
        <w:t>探险活动</w:t>
      </w:r>
      <w:r>
        <w:rPr>
          <w:rFonts w:ascii="黑体" w:eastAsia="黑体" w:hint="eastAsia"/>
        </w:rPr>
        <w:t>（见释义 6.18）、</w:t>
      </w:r>
    </w:p>
    <w:p>
      <w:pPr>
        <w:spacing w:after="0"/>
        <w:rPr>
          <w:rFonts w:ascii="黑体" w:eastAsia="黑体" w:hint="eastAsia"/>
        </w:rPr>
        <w:sectPr>
          <w:type w:val="continuous"/>
          <w:pgSz w:w="11910" w:h="16840"/>
          <w:pgMar w:top="240" w:bottom="1180" w:left="860" w:right="1260"/>
        </w:sectPr>
      </w:pPr>
    </w:p>
    <w:p>
      <w:pPr>
        <w:pStyle w:val="BodyText"/>
        <w:spacing w:before="4"/>
        <w:rPr>
          <w:rFonts w:ascii="黑体"/>
          <w:sz w:val="24"/>
        </w:rPr>
      </w:pPr>
    </w:p>
    <w:p>
      <w:pPr>
        <w:pStyle w:val="BodyText"/>
        <w:spacing w:line="273" w:lineRule="auto" w:before="36"/>
        <w:ind w:left="3488" w:right="222"/>
        <w:rPr>
          <w:rFonts w:ascii="黑体" w:eastAsia="黑体" w:hint="eastAsia"/>
        </w:rPr>
      </w:pPr>
      <w:r>
        <w:rPr>
          <w:rFonts w:ascii="黑体" w:eastAsia="黑体" w:hint="eastAsia"/>
          <w:spacing w:val="-7"/>
        </w:rPr>
        <w:t>摔跤、</w:t>
      </w:r>
      <w:r>
        <w:rPr>
          <w:rFonts w:ascii="黑体" w:eastAsia="黑体" w:hint="eastAsia"/>
          <w:b/>
          <w:spacing w:val="-3"/>
        </w:rPr>
        <w:t>武术比赛</w:t>
      </w:r>
      <w:r>
        <w:rPr>
          <w:rFonts w:ascii="黑体" w:eastAsia="黑体" w:hint="eastAsia"/>
          <w:spacing w:val="-3"/>
        </w:rPr>
        <w:t>（</w:t>
      </w:r>
      <w:r>
        <w:rPr>
          <w:rFonts w:ascii="黑体" w:eastAsia="黑体" w:hint="eastAsia"/>
          <w:spacing w:val="-8"/>
        </w:rPr>
        <w:t>见释义 </w:t>
      </w:r>
      <w:r>
        <w:rPr>
          <w:rFonts w:ascii="黑体" w:eastAsia="黑体" w:hint="eastAsia"/>
          <w:spacing w:val="-4"/>
        </w:rPr>
        <w:t>6.19）</w:t>
      </w:r>
      <w:r>
        <w:rPr>
          <w:rFonts w:ascii="黑体" w:eastAsia="黑体" w:hint="eastAsia"/>
          <w:spacing w:val="-8"/>
        </w:rPr>
        <w:t>、特技表演、赛马、赛车等高风险运动。</w:t>
      </w:r>
    </w:p>
    <w:p>
      <w:pPr>
        <w:pStyle w:val="BodyText"/>
        <w:spacing w:line="273" w:lineRule="auto" w:before="163"/>
        <w:ind w:left="2768" w:right="114"/>
      </w:pPr>
      <w:r>
        <w:rPr>
          <w:spacing w:val="-16"/>
        </w:rPr>
        <w:t>发生上述第</w:t>
      </w:r>
      <w:r>
        <w:rPr>
          <w:spacing w:val="-26"/>
        </w:rPr>
        <w:t>（2）</w:t>
      </w:r>
      <w:r>
        <w:rPr>
          <w:spacing w:val="-5"/>
        </w:rPr>
        <w:t>项情形导致被保险人发生本附加合同所定义的重大疾病的， </w:t>
      </w:r>
      <w:r>
        <w:rPr>
          <w:spacing w:val="-6"/>
        </w:rPr>
        <w:t>本附加合同终止，您已交足 </w:t>
      </w:r>
      <w:r>
        <w:rPr/>
        <w:t>2</w:t>
      </w:r>
      <w:r>
        <w:rPr>
          <w:spacing w:val="-5"/>
        </w:rPr>
        <w:t> 年以上保险费的，我们向其他权利人退还保</w:t>
      </w:r>
      <w:r>
        <w:rPr>
          <w:spacing w:val="-4"/>
        </w:rPr>
        <w:t>险单的现金价值。</w:t>
      </w:r>
    </w:p>
    <w:p>
      <w:pPr>
        <w:pStyle w:val="BodyText"/>
        <w:spacing w:line="273" w:lineRule="auto" w:before="7"/>
        <w:ind w:left="2768" w:right="222"/>
        <w:jc w:val="both"/>
      </w:pPr>
      <w:r>
        <w:rPr/>
        <w:t>发生上述第（1）项、第（3）—（10）项情形，导致被保险人患本附加合同所定义的重大疾病或特定重大疾病的，本附加合同终止，我们向您退还保险单的现金价值。</w:t>
      </w:r>
    </w:p>
    <w:p>
      <w:pPr>
        <w:pStyle w:val="BodyText"/>
        <w:spacing w:before="5"/>
        <w:rPr>
          <w:sz w:val="24"/>
        </w:rPr>
      </w:pPr>
    </w:p>
    <w:p>
      <w:pPr>
        <w:pStyle w:val="ListParagraph"/>
        <w:numPr>
          <w:ilvl w:val="1"/>
          <w:numId w:val="8"/>
        </w:numPr>
        <w:tabs>
          <w:tab w:pos="1067" w:val="left" w:leader="none"/>
          <w:tab w:pos="1068" w:val="left" w:leader="none"/>
          <w:tab w:pos="2768" w:val="left" w:leader="none"/>
        </w:tabs>
        <w:spacing w:line="240" w:lineRule="auto" w:before="0" w:after="0"/>
        <w:ind w:left="2768" w:right="0" w:hanging="2551"/>
        <w:jc w:val="left"/>
        <w:rPr>
          <w:sz w:val="21"/>
        </w:rPr>
      </w:pPr>
      <w:r>
        <w:rPr>
          <w:b/>
          <w:sz w:val="21"/>
        </w:rPr>
        <w:t>保险责任的终止</w:t>
        <w:tab/>
      </w:r>
      <w:r>
        <w:rPr>
          <w:sz w:val="21"/>
        </w:rPr>
        <w:t>以下任</w:t>
      </w:r>
      <w:r>
        <w:rPr>
          <w:spacing w:val="-3"/>
          <w:sz w:val="21"/>
        </w:rPr>
        <w:t>何一</w:t>
      </w:r>
      <w:r>
        <w:rPr>
          <w:sz w:val="21"/>
        </w:rPr>
        <w:t>种情</w:t>
      </w:r>
      <w:r>
        <w:rPr>
          <w:spacing w:val="-3"/>
          <w:sz w:val="21"/>
        </w:rPr>
        <w:t>况发</w:t>
      </w:r>
      <w:r>
        <w:rPr>
          <w:sz w:val="21"/>
        </w:rPr>
        <w:t>生</w:t>
      </w:r>
      <w:r>
        <w:rPr>
          <w:spacing w:val="-3"/>
          <w:sz w:val="21"/>
        </w:rPr>
        <w:t>时</w:t>
      </w:r>
      <w:r>
        <w:rPr>
          <w:sz w:val="21"/>
        </w:rPr>
        <w:t>，本</w:t>
      </w:r>
      <w:r>
        <w:rPr>
          <w:spacing w:val="-3"/>
          <w:sz w:val="21"/>
        </w:rPr>
        <w:t>附</w:t>
      </w:r>
      <w:r>
        <w:rPr>
          <w:sz w:val="21"/>
        </w:rPr>
        <w:t>加合同</w:t>
      </w:r>
      <w:r>
        <w:rPr>
          <w:spacing w:val="-5"/>
          <w:sz w:val="21"/>
        </w:rPr>
        <w:t>及</w:t>
      </w:r>
      <w:r>
        <w:rPr>
          <w:sz w:val="21"/>
        </w:rPr>
        <w:t>其保险</w:t>
      </w:r>
      <w:r>
        <w:rPr>
          <w:spacing w:val="-5"/>
          <w:sz w:val="21"/>
        </w:rPr>
        <w:t>责</w:t>
      </w:r>
      <w:r>
        <w:rPr>
          <w:sz w:val="21"/>
        </w:rPr>
        <w:t>任自动终</w:t>
      </w:r>
      <w:r>
        <w:rPr>
          <w:spacing w:val="-5"/>
          <w:sz w:val="21"/>
        </w:rPr>
        <w:t>止</w:t>
      </w:r>
      <w:r>
        <w:rPr>
          <w:sz w:val="21"/>
        </w:rPr>
        <w:t>：</w:t>
      </w:r>
    </w:p>
    <w:p>
      <w:pPr>
        <w:pStyle w:val="BodyText"/>
        <w:spacing w:before="37"/>
        <w:ind w:left="2768"/>
      </w:pPr>
      <w:r>
        <w:rPr/>
        <w:t>（1）在本附加合同有效期内您向我们申请解除合同；</w:t>
      </w:r>
    </w:p>
    <w:p>
      <w:pPr>
        <w:pStyle w:val="BodyText"/>
        <w:spacing w:before="37"/>
        <w:ind w:left="2768"/>
      </w:pPr>
      <w:r>
        <w:rPr/>
        <w:t>（2）本附加合同其他条款所列保险责任终止或本附加合同终止的情形；</w:t>
      </w:r>
    </w:p>
    <w:p>
      <w:pPr>
        <w:pStyle w:val="BodyText"/>
        <w:spacing w:before="37"/>
        <w:ind w:left="2771"/>
      </w:pPr>
      <w:r>
        <w:rPr/>
        <w:t>（3）主合同效力终止；</w:t>
      </w:r>
    </w:p>
    <w:p>
      <w:pPr>
        <w:pStyle w:val="BodyText"/>
        <w:spacing w:line="273" w:lineRule="auto" w:before="37"/>
        <w:ind w:left="3294" w:right="222" w:hanging="526"/>
      </w:pPr>
      <w:r>
        <w:rPr>
          <w:spacing w:val="-7"/>
        </w:rPr>
        <w:t>（4）</w:t>
      </w:r>
      <w:r>
        <w:rPr>
          <w:spacing w:val="-6"/>
        </w:rPr>
        <w:t>本附加合同因其他条款所列情况而中止效力，且自本附加合同效力中</w:t>
      </w:r>
      <w:r>
        <w:rPr>
          <w:spacing w:val="-12"/>
        </w:rPr>
        <w:t>止之日起 </w:t>
      </w:r>
      <w:r>
        <w:rPr/>
        <w:t>2</w:t>
      </w:r>
      <w:r>
        <w:rPr>
          <w:spacing w:val="-8"/>
        </w:rPr>
        <w:t> 年内您与我们未达成复效协议的。</w:t>
      </w:r>
    </w:p>
    <w:p>
      <w:pPr>
        <w:pStyle w:val="BodyText"/>
        <w:rPr>
          <w:sz w:val="20"/>
        </w:rPr>
      </w:pPr>
    </w:p>
    <w:p>
      <w:pPr>
        <w:pStyle w:val="BodyText"/>
        <w:spacing w:before="3"/>
        <w:rPr>
          <w:sz w:val="24"/>
        </w:rPr>
      </w:pPr>
    </w:p>
    <w:p>
      <w:pPr>
        <w:pStyle w:val="Heading2"/>
        <w:numPr>
          <w:ilvl w:val="0"/>
          <w:numId w:val="9"/>
        </w:numPr>
        <w:tabs>
          <w:tab w:pos="1067" w:val="left" w:leader="none"/>
          <w:tab w:pos="1068" w:val="left" w:leader="none"/>
        </w:tabs>
        <w:spacing w:line="240" w:lineRule="auto" w:before="0" w:after="0"/>
        <w:ind w:left="1067" w:right="0" w:hanging="850"/>
        <w:jc w:val="left"/>
      </w:pPr>
      <w:r>
        <w:rPr/>
        <w:pict>
          <v:group style="position:absolute;margin-left:48.48pt;margin-top:27.37253pt;width:478pt;height:1pt;mso-position-horizontal-relative:page;mso-position-vertical-relative:paragraph;z-index:1144;mso-wrap-distance-left:0;mso-wrap-distance-right:0" coordorigin="970,547" coordsize="9560,20">
            <v:line style="position:absolute" from="970,557" to="1822,557" stroked="true" strokeweight=".96pt" strokecolor="#000000">
              <v:stroke dashstyle="solid"/>
            </v:line>
            <v:rect style="position:absolute;left:1821;top:547;width:20;height:20" filled="true" fillcolor="#000000" stroked="false">
              <v:fill type="solid"/>
            </v:rect>
            <v:line style="position:absolute" from="1841,557" to="3521,557" stroked="true" strokeweight=".96pt" strokecolor="#000000">
              <v:stroke dashstyle="solid"/>
            </v:line>
            <v:rect style="position:absolute;left:3520;top:547;width:20;height:20" filled="true" fillcolor="#000000" stroked="false">
              <v:fill type="solid"/>
            </v:rect>
            <v:line style="position:absolute" from="3540,557" to="10529,557" stroked="true" strokeweight=".96pt" strokecolor="#000000">
              <v:stroke dashstyle="solid"/>
            </v:line>
            <w10:wrap type="topAndBottom"/>
          </v:group>
        </w:pict>
      </w:r>
      <w:r>
        <w:rPr>
          <w:w w:val="95"/>
        </w:rPr>
        <w:t>如何申请领取保险金</w:t>
      </w:r>
    </w:p>
    <w:p>
      <w:pPr>
        <w:pStyle w:val="BodyText"/>
        <w:rPr>
          <w:b/>
          <w:sz w:val="20"/>
        </w:rPr>
      </w:pPr>
    </w:p>
    <w:p>
      <w:pPr>
        <w:pStyle w:val="BodyText"/>
        <w:rPr>
          <w:b/>
          <w:sz w:val="13"/>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856"/>
        <w:gridCol w:w="6886"/>
      </w:tblGrid>
      <w:tr>
        <w:trPr>
          <w:trHeight w:val="718" w:hRule="atLeast"/>
        </w:trPr>
        <w:tc>
          <w:tcPr>
            <w:tcW w:w="633" w:type="dxa"/>
          </w:tcPr>
          <w:p>
            <w:pPr>
              <w:pStyle w:val="TableParagraph"/>
              <w:spacing w:line="211" w:lineRule="exact"/>
              <w:ind w:left="50"/>
              <w:rPr>
                <w:b/>
                <w:sz w:val="21"/>
              </w:rPr>
            </w:pPr>
            <w:r>
              <w:rPr>
                <w:b/>
                <w:sz w:val="21"/>
              </w:rPr>
              <w:t>3.1</w:t>
            </w:r>
          </w:p>
        </w:tc>
        <w:tc>
          <w:tcPr>
            <w:tcW w:w="1856" w:type="dxa"/>
          </w:tcPr>
          <w:p>
            <w:pPr>
              <w:pStyle w:val="TableParagraph"/>
              <w:spacing w:line="211" w:lineRule="exact"/>
              <w:ind w:left="266"/>
              <w:rPr>
                <w:b/>
                <w:sz w:val="21"/>
              </w:rPr>
            </w:pPr>
            <w:r>
              <w:rPr>
                <w:b/>
                <w:sz w:val="21"/>
              </w:rPr>
              <w:t>保险金受益人</w:t>
            </w:r>
          </w:p>
        </w:tc>
        <w:tc>
          <w:tcPr>
            <w:tcW w:w="6886" w:type="dxa"/>
          </w:tcPr>
          <w:p>
            <w:pPr>
              <w:pStyle w:val="TableParagraph"/>
              <w:spacing w:line="211" w:lineRule="exact"/>
              <w:ind w:left="112"/>
              <w:rPr>
                <w:sz w:val="21"/>
              </w:rPr>
            </w:pPr>
            <w:r>
              <w:rPr>
                <w:sz w:val="21"/>
              </w:rPr>
              <w:t>除本附加合同另有约定，本附加合同重大疾病保险金和特定重大疾病的受</w:t>
            </w:r>
          </w:p>
          <w:p>
            <w:pPr>
              <w:pStyle w:val="TableParagraph"/>
              <w:spacing w:before="37"/>
              <w:ind w:left="112"/>
              <w:rPr>
                <w:sz w:val="21"/>
              </w:rPr>
            </w:pPr>
            <w:r>
              <w:rPr>
                <w:sz w:val="21"/>
              </w:rPr>
              <w:t>益人为被保险人本人。</w:t>
            </w:r>
          </w:p>
        </w:tc>
      </w:tr>
      <w:tr>
        <w:trPr>
          <w:trHeight w:val="2183" w:hRule="atLeast"/>
        </w:trPr>
        <w:tc>
          <w:tcPr>
            <w:tcW w:w="633" w:type="dxa"/>
          </w:tcPr>
          <w:p>
            <w:pPr>
              <w:pStyle w:val="TableParagraph"/>
              <w:spacing w:before="142"/>
              <w:ind w:left="50"/>
              <w:rPr>
                <w:b/>
                <w:sz w:val="21"/>
              </w:rPr>
            </w:pPr>
            <w:r>
              <w:rPr>
                <w:b/>
                <w:sz w:val="21"/>
              </w:rPr>
              <w:t>3.2</w:t>
            </w:r>
          </w:p>
        </w:tc>
        <w:tc>
          <w:tcPr>
            <w:tcW w:w="1856" w:type="dxa"/>
          </w:tcPr>
          <w:p>
            <w:pPr>
              <w:pStyle w:val="TableParagraph"/>
              <w:spacing w:before="142"/>
              <w:ind w:left="266"/>
              <w:rPr>
                <w:b/>
                <w:sz w:val="21"/>
              </w:rPr>
            </w:pPr>
            <w:r>
              <w:rPr>
                <w:b/>
                <w:sz w:val="21"/>
              </w:rPr>
              <w:t>保险事故通知</w:t>
            </w:r>
          </w:p>
        </w:tc>
        <w:tc>
          <w:tcPr>
            <w:tcW w:w="6886" w:type="dxa"/>
          </w:tcPr>
          <w:p>
            <w:pPr>
              <w:pStyle w:val="TableParagraph"/>
              <w:spacing w:before="130"/>
              <w:ind w:left="112"/>
              <w:rPr>
                <w:i/>
                <w:sz w:val="22"/>
              </w:rPr>
            </w:pPr>
            <w:r>
              <w:rPr>
                <w:sz w:val="21"/>
              </w:rPr>
              <w:t>您或受益人知道保险事故后应当在 10 日内通知本公司</w:t>
            </w:r>
            <w:r>
              <w:rPr>
                <w:i/>
                <w:sz w:val="22"/>
              </w:rPr>
              <w:t>。</w:t>
            </w:r>
          </w:p>
          <w:p>
            <w:pPr>
              <w:pStyle w:val="TableParagraph"/>
              <w:spacing w:line="273" w:lineRule="auto" w:before="35"/>
              <w:ind w:left="112" w:right="46"/>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24" w:hRule="atLeast"/>
        </w:trPr>
        <w:tc>
          <w:tcPr>
            <w:tcW w:w="633" w:type="dxa"/>
          </w:tcPr>
          <w:p>
            <w:pPr>
              <w:pStyle w:val="TableParagraph"/>
              <w:spacing w:before="142"/>
              <w:ind w:left="50"/>
              <w:rPr>
                <w:b/>
                <w:sz w:val="21"/>
              </w:rPr>
            </w:pPr>
            <w:r>
              <w:rPr>
                <w:b/>
                <w:sz w:val="21"/>
              </w:rPr>
              <w:t>3.3</w:t>
            </w:r>
          </w:p>
        </w:tc>
        <w:tc>
          <w:tcPr>
            <w:tcW w:w="1856" w:type="dxa"/>
          </w:tcPr>
          <w:p>
            <w:pPr>
              <w:pStyle w:val="TableParagraph"/>
              <w:spacing w:before="142"/>
              <w:ind w:left="266"/>
              <w:rPr>
                <w:b/>
                <w:sz w:val="21"/>
              </w:rPr>
            </w:pPr>
            <w:r>
              <w:rPr>
                <w:b/>
                <w:sz w:val="21"/>
              </w:rPr>
              <w:t>保险金申请</w:t>
            </w:r>
          </w:p>
        </w:tc>
        <w:tc>
          <w:tcPr>
            <w:tcW w:w="6886" w:type="dxa"/>
          </w:tcPr>
          <w:p>
            <w:pPr>
              <w:pStyle w:val="TableParagraph"/>
              <w:spacing w:before="142"/>
              <w:ind w:left="112"/>
              <w:rPr>
                <w:sz w:val="21"/>
              </w:rPr>
            </w:pPr>
            <w:r>
              <w:rPr>
                <w:sz w:val="21"/>
              </w:rPr>
              <w:t>在申请保险金时，请按照下列方式办理：</w:t>
            </w:r>
          </w:p>
        </w:tc>
      </w:tr>
      <w:tr>
        <w:trPr>
          <w:trHeight w:val="468" w:hRule="atLeast"/>
        </w:trPr>
        <w:tc>
          <w:tcPr>
            <w:tcW w:w="633" w:type="dxa"/>
          </w:tcPr>
          <w:p>
            <w:pPr>
              <w:pStyle w:val="TableParagraph"/>
              <w:rPr>
                <w:rFonts w:ascii="Times New Roman"/>
                <w:sz w:val="20"/>
              </w:rPr>
            </w:pPr>
          </w:p>
        </w:tc>
        <w:tc>
          <w:tcPr>
            <w:tcW w:w="1856" w:type="dxa"/>
          </w:tcPr>
          <w:p>
            <w:pPr>
              <w:pStyle w:val="TableParagraph"/>
              <w:spacing w:before="142"/>
              <w:ind w:left="266"/>
              <w:rPr>
                <w:rFonts w:ascii="黑体" w:eastAsia="黑体" w:hint="eastAsia"/>
                <w:b/>
                <w:sz w:val="21"/>
              </w:rPr>
            </w:pPr>
            <w:r>
              <w:rPr>
                <w:rFonts w:ascii="黑体" w:eastAsia="黑体" w:hint="eastAsia"/>
                <w:b/>
                <w:sz w:val="21"/>
              </w:rPr>
              <w:t>重大疾病保险金</w:t>
            </w:r>
          </w:p>
        </w:tc>
        <w:tc>
          <w:tcPr>
            <w:tcW w:w="6886" w:type="dxa"/>
          </w:tcPr>
          <w:p>
            <w:pPr>
              <w:pStyle w:val="TableParagraph"/>
              <w:spacing w:before="142"/>
              <w:ind w:left="112"/>
              <w:rPr>
                <w:sz w:val="21"/>
              </w:rPr>
            </w:pPr>
            <w:r>
              <w:rPr>
                <w:sz w:val="21"/>
              </w:rPr>
              <w:t>申请人须填写保险金给付申请书，并须提供下列证明和资料：</w:t>
            </w:r>
          </w:p>
        </w:tc>
      </w:tr>
      <w:tr>
        <w:trPr>
          <w:trHeight w:val="311" w:hRule="atLeast"/>
        </w:trPr>
        <w:tc>
          <w:tcPr>
            <w:tcW w:w="633" w:type="dxa"/>
          </w:tcPr>
          <w:p>
            <w:pPr>
              <w:pStyle w:val="TableParagraph"/>
              <w:rPr>
                <w:rFonts w:ascii="Times New Roman"/>
                <w:sz w:val="20"/>
              </w:rPr>
            </w:pPr>
          </w:p>
        </w:tc>
        <w:tc>
          <w:tcPr>
            <w:tcW w:w="1856" w:type="dxa"/>
          </w:tcPr>
          <w:p>
            <w:pPr>
              <w:pStyle w:val="TableParagraph"/>
              <w:spacing w:line="261" w:lineRule="exact"/>
              <w:ind w:left="266"/>
              <w:rPr>
                <w:rFonts w:ascii="黑体" w:eastAsia="黑体" w:hint="eastAsia"/>
                <w:b/>
                <w:sz w:val="21"/>
              </w:rPr>
            </w:pPr>
            <w:r>
              <w:rPr>
                <w:rFonts w:ascii="黑体" w:eastAsia="黑体" w:hint="eastAsia"/>
                <w:b/>
                <w:sz w:val="21"/>
              </w:rPr>
              <w:t>和特定重大疾病</w:t>
            </w:r>
          </w:p>
        </w:tc>
        <w:tc>
          <w:tcPr>
            <w:tcW w:w="6886" w:type="dxa"/>
          </w:tcPr>
          <w:p>
            <w:pPr>
              <w:pStyle w:val="TableParagraph"/>
              <w:spacing w:line="261" w:lineRule="exact"/>
              <w:ind w:left="114"/>
              <w:rPr>
                <w:sz w:val="21"/>
              </w:rPr>
            </w:pPr>
            <w:r>
              <w:rPr>
                <w:sz w:val="21"/>
              </w:rPr>
              <w:t>（1）保险合同；</w:t>
            </w:r>
          </w:p>
        </w:tc>
      </w:tr>
      <w:tr>
        <w:trPr>
          <w:trHeight w:val="311" w:hRule="atLeast"/>
        </w:trPr>
        <w:tc>
          <w:tcPr>
            <w:tcW w:w="633" w:type="dxa"/>
          </w:tcPr>
          <w:p>
            <w:pPr>
              <w:pStyle w:val="TableParagraph"/>
              <w:rPr>
                <w:rFonts w:ascii="Times New Roman"/>
                <w:sz w:val="20"/>
              </w:rPr>
            </w:pPr>
          </w:p>
        </w:tc>
        <w:tc>
          <w:tcPr>
            <w:tcW w:w="1856" w:type="dxa"/>
          </w:tcPr>
          <w:p>
            <w:pPr>
              <w:pStyle w:val="TableParagraph"/>
              <w:spacing w:line="261" w:lineRule="exact"/>
              <w:ind w:left="266"/>
              <w:rPr>
                <w:rFonts w:ascii="黑体" w:eastAsia="黑体" w:hint="eastAsia"/>
                <w:b/>
                <w:sz w:val="21"/>
              </w:rPr>
            </w:pPr>
            <w:r>
              <w:rPr>
                <w:rFonts w:ascii="黑体" w:eastAsia="黑体" w:hint="eastAsia"/>
                <w:b/>
                <w:sz w:val="21"/>
              </w:rPr>
              <w:t>保险金申请</w:t>
            </w:r>
          </w:p>
        </w:tc>
        <w:tc>
          <w:tcPr>
            <w:tcW w:w="6886" w:type="dxa"/>
          </w:tcPr>
          <w:p>
            <w:pPr>
              <w:pStyle w:val="TableParagraph"/>
              <w:spacing w:line="261" w:lineRule="exact"/>
              <w:ind w:left="112"/>
              <w:rPr>
                <w:sz w:val="21"/>
              </w:rPr>
            </w:pPr>
            <w:r>
              <w:rPr>
                <w:sz w:val="21"/>
              </w:rPr>
              <w:t>（2）申请人的有效身份证件；</w:t>
            </w:r>
          </w:p>
        </w:tc>
      </w:tr>
      <w:tr>
        <w:trPr>
          <w:trHeight w:val="261" w:hRule="atLeast"/>
        </w:trPr>
        <w:tc>
          <w:tcPr>
            <w:tcW w:w="633" w:type="dxa"/>
          </w:tcPr>
          <w:p>
            <w:pPr>
              <w:pStyle w:val="TableParagraph"/>
              <w:rPr>
                <w:rFonts w:ascii="Times New Roman"/>
                <w:sz w:val="18"/>
              </w:rPr>
            </w:pPr>
          </w:p>
        </w:tc>
        <w:tc>
          <w:tcPr>
            <w:tcW w:w="1856" w:type="dxa"/>
          </w:tcPr>
          <w:p>
            <w:pPr>
              <w:pStyle w:val="TableParagraph"/>
              <w:rPr>
                <w:rFonts w:ascii="Times New Roman"/>
                <w:sz w:val="18"/>
              </w:rPr>
            </w:pPr>
          </w:p>
        </w:tc>
        <w:tc>
          <w:tcPr>
            <w:tcW w:w="6886" w:type="dxa"/>
          </w:tcPr>
          <w:p>
            <w:pPr>
              <w:pStyle w:val="TableParagraph"/>
              <w:spacing w:line="242" w:lineRule="exact"/>
              <w:ind w:left="114"/>
              <w:rPr>
                <w:sz w:val="21"/>
              </w:rPr>
            </w:pPr>
            <w:r>
              <w:rPr>
                <w:sz w:val="21"/>
              </w:rPr>
              <w:t>（3）专科医生出具的诊断证明书(包括：完整病历、出院小结、病理组织</w:t>
            </w:r>
          </w:p>
        </w:tc>
      </w:tr>
    </w:tbl>
    <w:p>
      <w:pPr>
        <w:pStyle w:val="BodyText"/>
        <w:spacing w:line="273" w:lineRule="auto" w:before="37"/>
        <w:ind w:left="3260" w:right="217"/>
      </w:pPr>
      <w:r>
        <w:rPr/>
        <w:t>检查报告、血液检查、其他科学方法检验报告的病史资料及疾病诊断报告书)；</w:t>
      </w:r>
    </w:p>
    <w:p>
      <w:pPr>
        <w:pStyle w:val="BodyText"/>
        <w:spacing w:line="273" w:lineRule="auto" w:before="7"/>
        <w:ind w:left="2768" w:right="186" w:firstLine="2"/>
      </w:pPr>
      <w:r>
        <w:rPr/>
        <w:t>（4）</w:t>
      </w:r>
      <w:r>
        <w:rPr>
          <w:spacing w:val="-5"/>
        </w:rPr>
        <w:t>所能提供的与确认保险事故的性质、原因等有关的其他证明和资料。以上证明和资料不完整的，我们将及时一次性通知申请人补充提供有关证</w:t>
      </w:r>
      <w:r>
        <w:rPr>
          <w:spacing w:val="-4"/>
        </w:rPr>
        <w:t>明和资料。</w:t>
      </w:r>
    </w:p>
    <w:p>
      <w:pPr>
        <w:pStyle w:val="BodyText"/>
        <w:spacing w:before="5"/>
        <w:rPr>
          <w:sz w:val="24"/>
        </w:rPr>
      </w:pPr>
    </w:p>
    <w:p>
      <w:pPr>
        <w:pStyle w:val="ListParagraph"/>
        <w:numPr>
          <w:ilvl w:val="1"/>
          <w:numId w:val="10"/>
        </w:numPr>
        <w:tabs>
          <w:tab w:pos="1067" w:val="left" w:leader="none"/>
          <w:tab w:pos="1068" w:val="left" w:leader="none"/>
          <w:tab w:pos="2768" w:val="left" w:leader="none"/>
        </w:tabs>
        <w:spacing w:line="273" w:lineRule="auto" w:before="0" w:after="0"/>
        <w:ind w:left="2768" w:right="287" w:hanging="2551"/>
        <w:jc w:val="left"/>
        <w:rPr>
          <w:sz w:val="21"/>
        </w:rPr>
      </w:pPr>
      <w:r>
        <w:rPr>
          <w:b/>
          <w:sz w:val="21"/>
        </w:rPr>
        <w:t>保险金的给付</w:t>
        <w:tab/>
      </w:r>
      <w:r>
        <w:rPr>
          <w:sz w:val="21"/>
        </w:rPr>
        <w:t>本公司</w:t>
      </w:r>
      <w:r>
        <w:rPr>
          <w:spacing w:val="-3"/>
          <w:sz w:val="21"/>
        </w:rPr>
        <w:t>在收</w:t>
      </w:r>
      <w:r>
        <w:rPr>
          <w:sz w:val="21"/>
        </w:rPr>
        <w:t>到保</w:t>
      </w:r>
      <w:r>
        <w:rPr>
          <w:spacing w:val="-3"/>
          <w:sz w:val="21"/>
        </w:rPr>
        <w:t>险金</w:t>
      </w:r>
      <w:r>
        <w:rPr>
          <w:sz w:val="21"/>
        </w:rPr>
        <w:t>给付申请</w:t>
      </w:r>
      <w:r>
        <w:rPr>
          <w:spacing w:val="-5"/>
          <w:sz w:val="21"/>
        </w:rPr>
        <w:t>书</w:t>
      </w:r>
      <w:r>
        <w:rPr>
          <w:sz w:val="21"/>
        </w:rPr>
        <w:t>及合同</w:t>
      </w:r>
      <w:r>
        <w:rPr>
          <w:spacing w:val="-5"/>
          <w:sz w:val="21"/>
        </w:rPr>
        <w:t>约</w:t>
      </w:r>
      <w:r>
        <w:rPr>
          <w:sz w:val="21"/>
        </w:rPr>
        <w:t>定的证</w:t>
      </w:r>
      <w:r>
        <w:rPr>
          <w:spacing w:val="-5"/>
          <w:sz w:val="21"/>
        </w:rPr>
        <w:t>明</w:t>
      </w:r>
      <w:r>
        <w:rPr>
          <w:sz w:val="21"/>
        </w:rPr>
        <w:t>和资料</w:t>
      </w:r>
      <w:r>
        <w:rPr>
          <w:spacing w:val="-3"/>
          <w:sz w:val="21"/>
        </w:rPr>
        <w:t>后，</w:t>
      </w:r>
      <w:r>
        <w:rPr>
          <w:sz w:val="21"/>
        </w:rPr>
        <w:t>将在</w:t>
      </w:r>
      <w:r>
        <w:rPr>
          <w:spacing w:val="-37"/>
          <w:sz w:val="21"/>
        </w:rPr>
        <w:t> </w:t>
      </w:r>
      <w:r>
        <w:rPr>
          <w:sz w:val="21"/>
        </w:rPr>
        <w:t>5</w:t>
      </w:r>
      <w:r>
        <w:rPr>
          <w:spacing w:val="-34"/>
          <w:sz w:val="21"/>
        </w:rPr>
        <w:t> </w:t>
      </w:r>
      <w:r>
        <w:rPr>
          <w:sz w:val="21"/>
        </w:rPr>
        <w:t>日内作出核</w:t>
      </w:r>
      <w:r>
        <w:rPr>
          <w:spacing w:val="-3"/>
          <w:sz w:val="21"/>
        </w:rPr>
        <w:t>定；</w:t>
      </w:r>
      <w:r>
        <w:rPr>
          <w:sz w:val="21"/>
        </w:rPr>
        <w:t>情形</w:t>
      </w:r>
      <w:r>
        <w:rPr>
          <w:spacing w:val="-3"/>
          <w:sz w:val="21"/>
        </w:rPr>
        <w:t>复杂</w:t>
      </w:r>
      <w:r>
        <w:rPr>
          <w:sz w:val="21"/>
        </w:rPr>
        <w:t>的</w:t>
      </w:r>
      <w:r>
        <w:rPr>
          <w:spacing w:val="-3"/>
          <w:sz w:val="21"/>
        </w:rPr>
        <w:t>，</w:t>
      </w:r>
      <w:r>
        <w:rPr>
          <w:sz w:val="21"/>
        </w:rPr>
        <w:t>在</w:t>
      </w:r>
      <w:r>
        <w:rPr>
          <w:spacing w:val="-42"/>
          <w:sz w:val="21"/>
        </w:rPr>
        <w:t> </w:t>
      </w:r>
      <w:r>
        <w:rPr>
          <w:sz w:val="21"/>
        </w:rPr>
        <w:t>30</w:t>
      </w:r>
      <w:r>
        <w:rPr>
          <w:spacing w:val="-44"/>
          <w:sz w:val="21"/>
        </w:rPr>
        <w:t> </w:t>
      </w:r>
      <w:r>
        <w:rPr>
          <w:sz w:val="21"/>
        </w:rPr>
        <w:t>日</w:t>
      </w:r>
      <w:r>
        <w:rPr>
          <w:spacing w:val="-3"/>
          <w:sz w:val="21"/>
        </w:rPr>
        <w:t>内</w:t>
      </w:r>
      <w:r>
        <w:rPr>
          <w:sz w:val="21"/>
        </w:rPr>
        <w:t>作出核</w:t>
      </w:r>
      <w:r>
        <w:rPr>
          <w:spacing w:val="-5"/>
          <w:sz w:val="21"/>
        </w:rPr>
        <w:t>定</w:t>
      </w:r>
      <w:r>
        <w:rPr>
          <w:sz w:val="21"/>
        </w:rPr>
        <w:t>。</w:t>
      </w:r>
    </w:p>
    <w:p>
      <w:pPr>
        <w:pStyle w:val="BodyText"/>
        <w:spacing w:line="273" w:lineRule="auto" w:before="7"/>
        <w:ind w:left="2768" w:right="184"/>
      </w:pPr>
      <w:r>
        <w:rPr>
          <w:spacing w:val="-7"/>
        </w:rPr>
        <w:t>对属于保险责任的，本公司在与受益人达成给付保险金的协议后 </w:t>
      </w:r>
      <w:r>
        <w:rPr/>
        <w:t>10</w:t>
      </w:r>
      <w:r>
        <w:rPr>
          <w:spacing w:val="-11"/>
        </w:rPr>
        <w:t> 日内， </w:t>
      </w:r>
      <w:r>
        <w:rPr>
          <w:spacing w:val="-6"/>
        </w:rPr>
        <w:t>履行给付保险金义务。</w:t>
      </w:r>
    </w:p>
    <w:p>
      <w:pPr>
        <w:spacing w:after="0" w:line="273" w:lineRule="auto"/>
        <w:sectPr>
          <w:pgSz w:w="11910" w:h="16840"/>
          <w:pgMar w:header="335" w:footer="991" w:top="560" w:bottom="1180" w:left="860" w:right="1260"/>
        </w:sectPr>
      </w:pPr>
    </w:p>
    <w:p>
      <w:pPr>
        <w:pStyle w:val="BodyText"/>
        <w:spacing w:before="4"/>
        <w:rPr>
          <w:sz w:val="24"/>
        </w:rPr>
      </w:pPr>
    </w:p>
    <w:p>
      <w:pPr>
        <w:pStyle w:val="BodyText"/>
        <w:spacing w:line="273" w:lineRule="auto" w:before="36"/>
        <w:ind w:left="2768" w:right="222"/>
      </w:pPr>
      <w:r>
        <w:rPr/>
        <w:t>本公司未及时履行前款规定义务的，除支付保险金外，应当赔偿受益人因此受到的损失。</w:t>
      </w:r>
    </w:p>
    <w:p>
      <w:pPr>
        <w:pStyle w:val="BodyText"/>
        <w:spacing w:line="273" w:lineRule="auto" w:before="7"/>
        <w:ind w:left="2768" w:right="289"/>
      </w:pPr>
      <w:r>
        <w:rPr>
          <w:spacing w:val="-6"/>
        </w:rPr>
        <w:t>对不属于保险责任的，本公司自作出核定之日起 </w:t>
      </w:r>
      <w:r>
        <w:rPr/>
        <w:t>3</w:t>
      </w:r>
      <w:r>
        <w:rPr>
          <w:spacing w:val="-7"/>
        </w:rPr>
        <w:t> 日内向受益人发出拒绝</w:t>
      </w:r>
      <w:r>
        <w:rPr>
          <w:spacing w:val="-5"/>
        </w:rPr>
        <w:t>给付保险金通知书并说明理由。</w:t>
      </w:r>
    </w:p>
    <w:p>
      <w:pPr>
        <w:pStyle w:val="BodyText"/>
        <w:spacing w:line="273" w:lineRule="auto" w:before="8"/>
        <w:ind w:left="2768" w:right="114"/>
      </w:pPr>
      <w:r>
        <w:rPr>
          <w:spacing w:val="-7"/>
        </w:rPr>
        <w:t>本公司在收到保险金给付申请书及有关证明和资料之日起 </w:t>
      </w:r>
      <w:r>
        <w:rPr/>
        <w:t>60</w:t>
      </w:r>
      <w:r>
        <w:rPr>
          <w:spacing w:val="-13"/>
        </w:rPr>
        <w:t> 日内，对给付</w:t>
      </w:r>
      <w:r>
        <w:rPr>
          <w:spacing w:val="-11"/>
        </w:rPr>
        <w:t>保险金的数额不能确定的，根据已有证明和资料可以确定的数额先予支付； </w:t>
      </w:r>
      <w:r>
        <w:rPr>
          <w:spacing w:val="-6"/>
        </w:rPr>
        <w:t>本公司最终确定给付保险金的数额后，将支付相应的差额。</w:t>
      </w:r>
    </w:p>
    <w:p>
      <w:pPr>
        <w:pStyle w:val="BodyText"/>
        <w:spacing w:before="6"/>
        <w:rPr>
          <w:sz w:val="24"/>
        </w:rPr>
      </w:pPr>
    </w:p>
    <w:p>
      <w:pPr>
        <w:pStyle w:val="ListParagraph"/>
        <w:numPr>
          <w:ilvl w:val="1"/>
          <w:numId w:val="10"/>
        </w:numPr>
        <w:tabs>
          <w:tab w:pos="1067" w:val="left" w:leader="none"/>
          <w:tab w:pos="1068" w:val="left" w:leader="none"/>
          <w:tab w:pos="2768" w:val="left" w:leader="none"/>
        </w:tabs>
        <w:spacing w:line="273" w:lineRule="auto" w:before="0" w:after="0"/>
        <w:ind w:left="2768" w:right="289" w:hanging="2551"/>
        <w:jc w:val="left"/>
        <w:rPr>
          <w:sz w:val="21"/>
        </w:rPr>
      </w:pPr>
      <w:r>
        <w:rPr>
          <w:b/>
          <w:sz w:val="21"/>
        </w:rPr>
        <w:t>诉讼时效</w:t>
        <w:tab/>
      </w:r>
      <w:r>
        <w:rPr>
          <w:sz w:val="21"/>
        </w:rPr>
        <w:t>受益人</w:t>
      </w:r>
      <w:r>
        <w:rPr>
          <w:spacing w:val="-3"/>
          <w:sz w:val="21"/>
        </w:rPr>
        <w:t>向本</w:t>
      </w:r>
      <w:r>
        <w:rPr>
          <w:sz w:val="21"/>
        </w:rPr>
        <w:t>公司</w:t>
      </w:r>
      <w:r>
        <w:rPr>
          <w:spacing w:val="-3"/>
          <w:sz w:val="21"/>
        </w:rPr>
        <w:t>请求</w:t>
      </w:r>
      <w:r>
        <w:rPr>
          <w:sz w:val="21"/>
        </w:rPr>
        <w:t>给付重大</w:t>
      </w:r>
      <w:r>
        <w:rPr>
          <w:spacing w:val="-5"/>
          <w:sz w:val="21"/>
        </w:rPr>
        <w:t>疾</w:t>
      </w:r>
      <w:r>
        <w:rPr>
          <w:sz w:val="21"/>
        </w:rPr>
        <w:t>病保险</w:t>
      </w:r>
      <w:r>
        <w:rPr>
          <w:spacing w:val="-5"/>
          <w:sz w:val="21"/>
        </w:rPr>
        <w:t>金</w:t>
      </w:r>
      <w:r>
        <w:rPr>
          <w:sz w:val="21"/>
        </w:rPr>
        <w:t>或特定</w:t>
      </w:r>
      <w:r>
        <w:rPr>
          <w:spacing w:val="-5"/>
          <w:sz w:val="21"/>
        </w:rPr>
        <w:t>重</w:t>
      </w:r>
      <w:r>
        <w:rPr>
          <w:sz w:val="21"/>
        </w:rPr>
        <w:t>大疾病保</w:t>
      </w:r>
      <w:r>
        <w:rPr>
          <w:spacing w:val="-5"/>
          <w:sz w:val="21"/>
        </w:rPr>
        <w:t>险</w:t>
      </w:r>
      <w:r>
        <w:rPr>
          <w:sz w:val="21"/>
        </w:rPr>
        <w:t>金的诉</w:t>
      </w:r>
      <w:r>
        <w:rPr>
          <w:spacing w:val="-5"/>
          <w:sz w:val="21"/>
        </w:rPr>
        <w:t>讼</w:t>
      </w:r>
      <w:r>
        <w:rPr>
          <w:sz w:val="21"/>
        </w:rPr>
        <w:t>时 效为</w:t>
      </w:r>
      <w:r>
        <w:rPr>
          <w:spacing w:val="-38"/>
          <w:sz w:val="21"/>
        </w:rPr>
        <w:t> </w:t>
      </w:r>
      <w:r>
        <w:rPr>
          <w:sz w:val="21"/>
        </w:rPr>
        <w:t>2</w:t>
      </w:r>
      <w:r>
        <w:rPr>
          <w:spacing w:val="-40"/>
          <w:sz w:val="21"/>
        </w:rPr>
        <w:t> </w:t>
      </w:r>
      <w:r>
        <w:rPr>
          <w:sz w:val="21"/>
        </w:rPr>
        <w:t>年</w:t>
      </w:r>
      <w:r>
        <w:rPr>
          <w:spacing w:val="-3"/>
          <w:sz w:val="21"/>
        </w:rPr>
        <w:t>，</w:t>
      </w:r>
      <w:r>
        <w:rPr>
          <w:sz w:val="21"/>
        </w:rPr>
        <w:t>自其</w:t>
      </w:r>
      <w:r>
        <w:rPr>
          <w:spacing w:val="-3"/>
          <w:sz w:val="21"/>
        </w:rPr>
        <w:t>知道</w:t>
      </w:r>
      <w:r>
        <w:rPr>
          <w:sz w:val="21"/>
        </w:rPr>
        <w:t>或应当知</w:t>
      </w:r>
      <w:r>
        <w:rPr>
          <w:spacing w:val="-5"/>
          <w:sz w:val="21"/>
        </w:rPr>
        <w:t>道</w:t>
      </w:r>
      <w:r>
        <w:rPr>
          <w:sz w:val="21"/>
        </w:rPr>
        <w:t>保险事</w:t>
      </w:r>
      <w:r>
        <w:rPr>
          <w:spacing w:val="-5"/>
          <w:sz w:val="21"/>
        </w:rPr>
        <w:t>故</w:t>
      </w:r>
      <w:r>
        <w:rPr>
          <w:sz w:val="21"/>
        </w:rPr>
        <w:t>发生之</w:t>
      </w:r>
      <w:r>
        <w:rPr>
          <w:spacing w:val="-5"/>
          <w:sz w:val="21"/>
        </w:rPr>
        <w:t>日</w:t>
      </w:r>
      <w:r>
        <w:rPr>
          <w:sz w:val="21"/>
        </w:rPr>
        <w:t>起计</w:t>
      </w:r>
      <w:r>
        <w:rPr>
          <w:spacing w:val="-3"/>
          <w:sz w:val="21"/>
        </w:rPr>
        <w:t>算</w:t>
      </w:r>
      <w:r>
        <w:rPr>
          <w:sz w:val="21"/>
        </w:rPr>
        <w:t>。</w:t>
      </w:r>
    </w:p>
    <w:p>
      <w:pPr>
        <w:pStyle w:val="BodyText"/>
        <w:rPr>
          <w:sz w:val="20"/>
        </w:rPr>
      </w:pPr>
    </w:p>
    <w:p>
      <w:pPr>
        <w:pStyle w:val="Heading2"/>
        <w:tabs>
          <w:tab w:pos="1067" w:val="left" w:leader="none"/>
        </w:tabs>
        <w:spacing w:before="142"/>
        <w:ind w:left="217" w:firstLine="0"/>
      </w:pPr>
      <w:r>
        <w:rPr/>
        <w:pict>
          <v:group style="position:absolute;margin-left:48.48pt;margin-top:34.472527pt;width:478pt;height:1pt;mso-position-horizontal-relative:page;mso-position-vertical-relative:paragraph;z-index:1168;mso-wrap-distance-left:0;mso-wrap-distance-right:0" coordorigin="970,689" coordsize="9560,20">
            <v:line style="position:absolute" from="970,699" to="1822,699" stroked="true" strokeweight=".96pt" strokecolor="#000000">
              <v:stroke dashstyle="solid"/>
            </v:line>
            <v:rect style="position:absolute;left:1821;top:689;width:20;height:20" filled="true" fillcolor="#000000" stroked="false">
              <v:fill type="solid"/>
            </v:rect>
            <v:line style="position:absolute" from="1841,699" to="3521,699" stroked="true" strokeweight=".96pt" strokecolor="#000000">
              <v:stroke dashstyle="solid"/>
            </v:line>
            <v:rect style="position:absolute;left:3520;top:689;width:20;height:20" filled="true" fillcolor="#000000" stroked="false">
              <v:fill type="solid"/>
            </v:rect>
            <v:line style="position:absolute" from="3540,699" to="10529,699" stroked="true" strokeweight=".96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保险费的支付和现金价值权益</w:t>
      </w:r>
    </w:p>
    <w:p>
      <w:pPr>
        <w:pStyle w:val="BodyText"/>
        <w:spacing w:before="10"/>
        <w:rPr>
          <w:b/>
          <w:sz w:val="9"/>
        </w:rPr>
      </w:pPr>
    </w:p>
    <w:p>
      <w:pPr>
        <w:pStyle w:val="ListParagraph"/>
        <w:numPr>
          <w:ilvl w:val="1"/>
          <w:numId w:val="11"/>
        </w:numPr>
        <w:tabs>
          <w:tab w:pos="1068" w:val="left" w:leader="none"/>
        </w:tabs>
        <w:spacing w:line="273" w:lineRule="auto" w:before="37" w:after="0"/>
        <w:ind w:left="2768" w:right="289" w:hanging="2551"/>
        <w:jc w:val="both"/>
        <w:rPr>
          <w:sz w:val="21"/>
        </w:rPr>
      </w:pPr>
      <w:r>
        <w:rPr>
          <w:b/>
          <w:spacing w:val="5"/>
          <w:sz w:val="21"/>
        </w:rPr>
        <w:t>保险费的支付   </w:t>
      </w:r>
      <w:r>
        <w:rPr>
          <w:spacing w:val="-5"/>
          <w:sz w:val="21"/>
        </w:rPr>
        <w:t>本附加合同的交费期限由您和我们约定并在保险单上载明。交费期限一经确定，在保险期间内不得变更。在支付首期保险费后，您应当按约定的交费日期支付其余各期的保险费。</w:t>
      </w:r>
    </w:p>
    <w:p>
      <w:pPr>
        <w:pStyle w:val="BodyText"/>
        <w:spacing w:before="9"/>
      </w:pPr>
    </w:p>
    <w:p>
      <w:pPr>
        <w:spacing w:after="0"/>
        <w:sectPr>
          <w:pgSz w:w="11910" w:h="16840"/>
          <w:pgMar w:header="335" w:footer="991" w:top="560" w:bottom="1180" w:left="860" w:right="1260"/>
        </w:sectPr>
      </w:pPr>
    </w:p>
    <w:p>
      <w:pPr>
        <w:pStyle w:val="Heading4"/>
        <w:numPr>
          <w:ilvl w:val="1"/>
          <w:numId w:val="11"/>
        </w:numPr>
        <w:tabs>
          <w:tab w:pos="1067" w:val="left" w:leader="none"/>
          <w:tab w:pos="1068" w:val="left" w:leader="none"/>
        </w:tabs>
        <w:spacing w:line="273" w:lineRule="auto" w:before="36" w:after="0"/>
        <w:ind w:left="1067" w:right="0" w:hanging="850"/>
        <w:jc w:val="left"/>
      </w:pPr>
      <w:r>
        <w:rPr/>
        <w:t>保险单的现金价值</w:t>
      </w:r>
    </w:p>
    <w:p>
      <w:pPr>
        <w:pStyle w:val="BodyText"/>
        <w:spacing w:line="273" w:lineRule="auto" w:before="36"/>
        <w:ind w:left="183" w:right="289"/>
      </w:pPr>
      <w:r>
        <w:rPr/>
        <w:br w:type="column"/>
      </w:r>
      <w:r>
        <w:rPr/>
        <w:t>本附加合同保单年度末的现金价值会在保险单上载明。保单年度内的现金价值，您可以向我们咨询。</w:t>
      </w:r>
    </w:p>
    <w:p>
      <w:pPr>
        <w:spacing w:after="0" w:line="273" w:lineRule="auto"/>
        <w:sectPr>
          <w:type w:val="continuous"/>
          <w:pgSz w:w="11910" w:h="16840"/>
          <w:pgMar w:top="240" w:bottom="1180" w:left="860" w:right="1260"/>
          <w:cols w:num="2" w:equalWidth="0">
            <w:col w:w="2546" w:space="40"/>
            <w:col w:w="7204"/>
          </w:cols>
        </w:sectPr>
      </w:pPr>
    </w:p>
    <w:p>
      <w:pPr>
        <w:pStyle w:val="BodyText"/>
        <w:spacing w:before="8"/>
      </w:pPr>
    </w:p>
    <w:p>
      <w:pPr>
        <w:pStyle w:val="ListParagraph"/>
        <w:numPr>
          <w:ilvl w:val="1"/>
          <w:numId w:val="11"/>
        </w:numPr>
        <w:tabs>
          <w:tab w:pos="1068" w:val="left" w:leader="none"/>
        </w:tabs>
        <w:spacing w:line="273" w:lineRule="auto" w:before="37" w:after="0"/>
        <w:ind w:left="2768" w:right="222" w:hanging="2551"/>
        <w:jc w:val="both"/>
        <w:rPr>
          <w:sz w:val="21"/>
        </w:rPr>
      </w:pPr>
      <w:r>
        <w:rPr>
          <w:b/>
          <w:spacing w:val="2"/>
          <w:sz w:val="21"/>
        </w:rPr>
        <w:t>宽限期         </w:t>
      </w:r>
      <w:r>
        <w:rPr>
          <w:spacing w:val="-5"/>
          <w:sz w:val="21"/>
        </w:rPr>
        <w:t>分期支付保险费的，您支付首期保险费后，除本合同另有约定外，如果您</w:t>
      </w:r>
      <w:r>
        <w:rPr>
          <w:spacing w:val="-9"/>
          <w:sz w:val="21"/>
        </w:rPr>
        <w:t>到期未支付保险费，自保险费约定支付日的次日起 </w:t>
      </w:r>
      <w:r>
        <w:rPr>
          <w:sz w:val="21"/>
        </w:rPr>
        <w:t>60</w:t>
      </w:r>
      <w:r>
        <w:rPr>
          <w:spacing w:val="-9"/>
          <w:sz w:val="21"/>
        </w:rPr>
        <w:t> 日为宽限期。宽限期</w:t>
      </w:r>
      <w:r>
        <w:rPr>
          <w:spacing w:val="-6"/>
          <w:sz w:val="21"/>
        </w:rPr>
        <w:t>内发生的保险事故，我们仍会承担保险责任，但在给付保险金时会扣减您</w:t>
      </w:r>
      <w:r>
        <w:rPr>
          <w:spacing w:val="-3"/>
          <w:sz w:val="21"/>
        </w:rPr>
        <w:t>欠交的保险费。</w:t>
      </w:r>
    </w:p>
    <w:p>
      <w:pPr>
        <w:pStyle w:val="BodyText"/>
        <w:spacing w:line="273" w:lineRule="auto" w:before="8"/>
        <w:ind w:left="2768" w:right="289"/>
        <w:jc w:val="both"/>
      </w:pPr>
      <w:r>
        <w:rPr/>
        <w:t>如果您宽限期结束之后仍未支付保险费，则本附加合同自宽限期满的次日零时起效力中止。</w:t>
      </w:r>
    </w:p>
    <w:p>
      <w:pPr>
        <w:pStyle w:val="BodyText"/>
        <w:spacing w:before="5"/>
        <w:rPr>
          <w:sz w:val="24"/>
        </w:rPr>
      </w:pPr>
    </w:p>
    <w:p>
      <w:pPr>
        <w:pStyle w:val="ListParagraph"/>
        <w:numPr>
          <w:ilvl w:val="1"/>
          <w:numId w:val="11"/>
        </w:numPr>
        <w:tabs>
          <w:tab w:pos="1068" w:val="left" w:leader="none"/>
        </w:tabs>
        <w:spacing w:line="273" w:lineRule="auto" w:before="0" w:after="0"/>
        <w:ind w:left="2768" w:right="289" w:hanging="2551"/>
        <w:jc w:val="both"/>
        <w:rPr>
          <w:sz w:val="21"/>
        </w:rPr>
      </w:pPr>
      <w:r>
        <w:rPr>
          <w:b/>
          <w:spacing w:val="5"/>
          <w:sz w:val="21"/>
        </w:rPr>
        <w:t>合同效力中止   </w:t>
      </w:r>
      <w:r>
        <w:rPr>
          <w:spacing w:val="-5"/>
          <w:sz w:val="21"/>
        </w:rPr>
        <w:t>当出现主合同或本附加合同约定的合同效力中止情形时，本附加合同效力即行中止。我们对本附加合同效力中止期间所发生的保险事故，不承担保</w:t>
      </w:r>
      <w:r>
        <w:rPr>
          <w:spacing w:val="-4"/>
          <w:sz w:val="21"/>
        </w:rPr>
        <w:t>险责任。</w:t>
      </w:r>
    </w:p>
    <w:p>
      <w:pPr>
        <w:pStyle w:val="BodyText"/>
        <w:spacing w:before="5"/>
        <w:rPr>
          <w:sz w:val="24"/>
        </w:rPr>
      </w:pPr>
    </w:p>
    <w:p>
      <w:pPr>
        <w:pStyle w:val="ListParagraph"/>
        <w:numPr>
          <w:ilvl w:val="1"/>
          <w:numId w:val="11"/>
        </w:numPr>
        <w:tabs>
          <w:tab w:pos="1068" w:val="left" w:leader="none"/>
        </w:tabs>
        <w:spacing w:line="273" w:lineRule="auto" w:before="0" w:after="0"/>
        <w:ind w:left="2768" w:right="287" w:hanging="2551"/>
        <w:jc w:val="both"/>
        <w:rPr>
          <w:sz w:val="21"/>
        </w:rPr>
      </w:pPr>
      <w:r>
        <w:rPr>
          <w:b/>
          <w:spacing w:val="3"/>
          <w:sz w:val="21"/>
        </w:rPr>
        <w:t>合同效力恢复   </w:t>
      </w:r>
      <w:r>
        <w:rPr>
          <w:spacing w:val="-8"/>
          <w:sz w:val="21"/>
        </w:rPr>
        <w:t>本附加合同效力中止后 </w:t>
      </w:r>
      <w:r>
        <w:rPr>
          <w:sz w:val="21"/>
        </w:rPr>
        <w:t>2</w:t>
      </w:r>
      <w:r>
        <w:rPr>
          <w:spacing w:val="-8"/>
          <w:sz w:val="21"/>
        </w:rPr>
        <w:t> 年内，您可以申请恢复合同效力。经本公司与您</w:t>
      </w:r>
      <w:r>
        <w:rPr>
          <w:spacing w:val="-6"/>
          <w:sz w:val="21"/>
        </w:rPr>
        <w:t>协商并达成协议，在您补交保险费及其利息之日起，合同效力恢复。利息</w:t>
      </w:r>
      <w:r>
        <w:rPr>
          <w:spacing w:val="-3"/>
          <w:sz w:val="21"/>
        </w:rPr>
        <w:t>按</w:t>
      </w:r>
      <w:r>
        <w:rPr>
          <w:b/>
          <w:sz w:val="21"/>
        </w:rPr>
        <w:t>本合同约定利率</w:t>
      </w:r>
      <w:r>
        <w:rPr>
          <w:spacing w:val="-10"/>
          <w:sz w:val="21"/>
        </w:rPr>
        <w:t>(见释义 </w:t>
      </w:r>
      <w:r>
        <w:rPr>
          <w:sz w:val="21"/>
        </w:rPr>
        <w:t>6.20</w:t>
      </w:r>
      <w:r>
        <w:rPr>
          <w:spacing w:val="-3"/>
          <w:sz w:val="21"/>
        </w:rPr>
        <w:t>)按日复利计算。</w:t>
      </w:r>
    </w:p>
    <w:p>
      <w:pPr>
        <w:pStyle w:val="BodyText"/>
        <w:spacing w:line="273" w:lineRule="auto" w:before="7"/>
        <w:ind w:left="2768" w:right="287"/>
        <w:jc w:val="both"/>
      </w:pPr>
      <w:r>
        <w:rPr>
          <w:spacing w:val="-7"/>
        </w:rPr>
        <w:t>自本附加合同效力中止之日起满 </w:t>
      </w:r>
      <w:r>
        <w:rPr/>
        <w:t>2</w:t>
      </w:r>
      <w:r>
        <w:rPr>
          <w:spacing w:val="-8"/>
        </w:rPr>
        <w:t> 年您和本公司未达成协议的，本公司有</w:t>
      </w:r>
      <w:r>
        <w:rPr>
          <w:spacing w:val="-6"/>
        </w:rPr>
        <w:t>权解除合同。本公司解除合同的，向投保人退还合同效力中止时保险单的</w:t>
      </w:r>
      <w:r>
        <w:rPr>
          <w:spacing w:val="-5"/>
        </w:rPr>
        <w:t>现金价值。</w:t>
      </w:r>
    </w:p>
    <w:p>
      <w:pPr>
        <w:pStyle w:val="BodyText"/>
        <w:rPr>
          <w:sz w:val="20"/>
        </w:rPr>
      </w:pPr>
    </w:p>
    <w:p>
      <w:pPr>
        <w:tabs>
          <w:tab w:pos="1067" w:val="left" w:leader="none"/>
        </w:tabs>
        <w:spacing w:before="146"/>
        <w:ind w:left="217" w:right="0" w:firstLine="0"/>
        <w:jc w:val="left"/>
        <w:rPr>
          <w:b/>
          <w:sz w:val="24"/>
        </w:rPr>
      </w:pPr>
      <w:r>
        <w:rPr/>
        <w:pict>
          <v:group style="position:absolute;margin-left:48.48pt;margin-top:34.672516pt;width:478pt;height:1pt;mso-position-horizontal-relative:page;mso-position-vertical-relative:paragraph;z-index:1192;mso-wrap-distance-left:0;mso-wrap-distance-right:0" coordorigin="970,693" coordsize="9560,20">
            <v:line style="position:absolute" from="970,703" to="1822,703" stroked="true" strokeweight=".96pt" strokecolor="#000000">
              <v:stroke dashstyle="solid"/>
            </v:line>
            <v:rect style="position:absolute;left:1821;top:693;width:20;height:20" filled="true" fillcolor="#000000" stroked="false">
              <v:fill type="solid"/>
            </v:rect>
            <v:line style="position:absolute" from="1841,703" to="3521,703" stroked="true" strokeweight=".96pt" strokecolor="#000000">
              <v:stroke dashstyle="solid"/>
            </v:line>
            <v:rect style="position:absolute;left:3520;top:693;width:20;height:20" filled="true" fillcolor="#000000" stroked="false">
              <v:fill type="solid"/>
            </v:rect>
            <v:line style="position:absolute" from="3540,703" to="10529,703" stroked="true" strokeweight=".96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其他事项</w:t>
      </w:r>
    </w:p>
    <w:p>
      <w:pPr>
        <w:pStyle w:val="BodyText"/>
        <w:rPr>
          <w:b/>
          <w:sz w:val="18"/>
        </w:rPr>
      </w:pPr>
    </w:p>
    <w:p>
      <w:pPr>
        <w:spacing w:after="0"/>
        <w:rPr>
          <w:sz w:val="18"/>
        </w:rPr>
        <w:sectPr>
          <w:type w:val="continuous"/>
          <w:pgSz w:w="11910" w:h="16840"/>
          <w:pgMar w:top="240" w:bottom="1180" w:left="860" w:right="1260"/>
        </w:sectPr>
      </w:pPr>
    </w:p>
    <w:p>
      <w:pPr>
        <w:pStyle w:val="Heading4"/>
        <w:numPr>
          <w:ilvl w:val="1"/>
          <w:numId w:val="12"/>
        </w:numPr>
        <w:tabs>
          <w:tab w:pos="1067" w:val="left" w:leader="none"/>
          <w:tab w:pos="1068" w:val="left" w:leader="none"/>
        </w:tabs>
        <w:spacing w:line="273" w:lineRule="auto" w:before="37" w:after="0"/>
        <w:ind w:left="1067" w:right="0" w:hanging="850"/>
        <w:jc w:val="left"/>
      </w:pPr>
      <w:r>
        <w:rPr/>
        <w:t>明确说明与如实告知</w:t>
      </w:r>
    </w:p>
    <w:p>
      <w:pPr>
        <w:pStyle w:val="BodyText"/>
        <w:spacing w:before="37"/>
        <w:ind w:left="183"/>
      </w:pPr>
      <w:r>
        <w:rPr/>
        <w:br w:type="column"/>
      </w:r>
      <w:r>
        <w:rPr/>
        <w:t>订立本合同时，本公司应向投保人说明本合同的内容。</w:t>
      </w:r>
    </w:p>
    <w:p>
      <w:pPr>
        <w:pStyle w:val="BodyText"/>
        <w:spacing w:line="273" w:lineRule="auto" w:before="37"/>
        <w:ind w:left="183" w:right="114"/>
      </w:pPr>
      <w:r>
        <w:rPr>
          <w:spacing w:val="-5"/>
        </w:rPr>
        <w:t>对保险条款中免除本公司责任的条款，本公司在订立合同时应当在投保单、保险单或者其他保险凭证上作出足以引起投保人注意的提示，并对该条款 的内容以书面或者口头形式向投保人作出明确说明，未作提示或者明确说 </w:t>
      </w:r>
      <w:r>
        <w:rPr>
          <w:spacing w:val="-4"/>
        </w:rPr>
        <w:t>明的，该条款不产生效力。</w:t>
      </w:r>
    </w:p>
    <w:p>
      <w:pPr>
        <w:spacing w:after="0" w:line="273" w:lineRule="auto"/>
        <w:sectPr>
          <w:type w:val="continuous"/>
          <w:pgSz w:w="11910" w:h="16840"/>
          <w:pgMar w:top="240" w:bottom="1180" w:left="860" w:right="1260"/>
          <w:cols w:num="2" w:equalWidth="0">
            <w:col w:w="2546" w:space="40"/>
            <w:col w:w="7204"/>
          </w:cols>
        </w:sectPr>
      </w:pPr>
    </w:p>
    <w:p>
      <w:pPr>
        <w:pStyle w:val="BodyText"/>
        <w:spacing w:before="4"/>
        <w:rPr>
          <w:sz w:val="24"/>
        </w:rPr>
      </w:pPr>
    </w:p>
    <w:p>
      <w:pPr>
        <w:pStyle w:val="BodyText"/>
        <w:spacing w:line="273" w:lineRule="auto" w:before="36"/>
        <w:ind w:left="2768" w:right="114"/>
      </w:pPr>
      <w:r>
        <w:rPr>
          <w:spacing w:val="-5"/>
        </w:rPr>
        <w:t>本公司就投保人和被保险人的有关情况提出询问，投保人应当如实告知。 如果投保人故意或者因重大过失未履行前款规定的如实告知义务，足以影 </w:t>
      </w:r>
      <w:r>
        <w:rPr>
          <w:spacing w:val="-7"/>
        </w:rPr>
        <w:t>响本公司决定是否同意承保或者提高保险费率的，本公司有权解除本合同。如果投保人故意不履行如实告知义务，对于本合同解除前发生的保险事故， </w:t>
      </w:r>
      <w:r>
        <w:rPr>
          <w:spacing w:val="-5"/>
        </w:rPr>
        <w:t>本公司不承担给付保险金的责任，并不退还保险费。</w:t>
      </w:r>
    </w:p>
    <w:p>
      <w:pPr>
        <w:pStyle w:val="BodyText"/>
        <w:spacing w:line="273" w:lineRule="auto" w:before="7"/>
        <w:ind w:left="2768" w:right="289"/>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2768" w:right="289"/>
      </w:pPr>
      <w:r>
        <w:rPr/>
        <w:t>本公司在合同订立时已经知道投保人未如实告知的情况的，本公司不得解除合同；发生保险事故的，本公司承担给付保险金的责任。</w:t>
      </w:r>
    </w:p>
    <w:p>
      <w:pPr>
        <w:pStyle w:val="BodyText"/>
        <w:spacing w:before="8"/>
      </w:pPr>
    </w:p>
    <w:p>
      <w:pPr>
        <w:spacing w:after="0"/>
        <w:sectPr>
          <w:pgSz w:w="11910" w:h="16840"/>
          <w:pgMar w:header="335" w:footer="991" w:top="560" w:bottom="1180" w:left="860" w:right="1260"/>
        </w:sectPr>
      </w:pPr>
    </w:p>
    <w:p>
      <w:pPr>
        <w:pStyle w:val="Heading4"/>
        <w:numPr>
          <w:ilvl w:val="1"/>
          <w:numId w:val="12"/>
        </w:numPr>
        <w:tabs>
          <w:tab w:pos="1067" w:val="left" w:leader="none"/>
          <w:tab w:pos="1068" w:val="left" w:leader="none"/>
        </w:tabs>
        <w:spacing w:line="273" w:lineRule="auto" w:before="36" w:after="0"/>
        <w:ind w:left="1067" w:right="0" w:hanging="850"/>
        <w:jc w:val="left"/>
      </w:pPr>
      <w:r>
        <w:rPr/>
        <w:t>本公司合同解除权的限制</w:t>
      </w:r>
    </w:p>
    <w:p>
      <w:pPr>
        <w:pStyle w:val="BodyText"/>
        <w:spacing w:line="273" w:lineRule="auto" w:before="36"/>
        <w:ind w:left="183" w:right="217"/>
      </w:pPr>
      <w:r>
        <w:rPr/>
        <w:br w:type="column"/>
      </w:r>
      <w:r>
        <w:rPr>
          <w:spacing w:val="-8"/>
        </w:rPr>
        <w:t>前款规定的合同解除权，自我们知道有解除事由之日起，超过 </w:t>
      </w:r>
      <w:r>
        <w:rPr/>
        <w:t>30</w:t>
      </w:r>
      <w:r>
        <w:rPr>
          <w:spacing w:val="-9"/>
        </w:rPr>
        <w:t> 日不行使</w:t>
      </w:r>
      <w:r>
        <w:rPr>
          <w:spacing w:val="-8"/>
        </w:rPr>
        <w:t>而消灭。自本附加合同成立之日起超过 </w:t>
      </w:r>
      <w:r>
        <w:rPr/>
        <w:t>2</w:t>
      </w:r>
      <w:r>
        <w:rPr>
          <w:spacing w:val="-8"/>
        </w:rPr>
        <w:t> 年的，我们不得解除合同；发生</w:t>
      </w:r>
      <w:r>
        <w:rPr>
          <w:spacing w:val="-6"/>
        </w:rPr>
        <w:t>保险事故的，我们承担给付保险金的责任。</w:t>
      </w:r>
    </w:p>
    <w:p>
      <w:pPr>
        <w:spacing w:after="0" w:line="273" w:lineRule="auto"/>
        <w:sectPr>
          <w:type w:val="continuous"/>
          <w:pgSz w:w="11910" w:h="16840"/>
          <w:pgMar w:top="240" w:bottom="1180" w:left="860" w:right="1260"/>
          <w:cols w:num="2" w:equalWidth="0">
            <w:col w:w="2546" w:space="40"/>
            <w:col w:w="7204"/>
          </w:cols>
        </w:sectPr>
      </w:pPr>
    </w:p>
    <w:p>
      <w:pPr>
        <w:pStyle w:val="BodyText"/>
        <w:spacing w:before="8"/>
      </w:pPr>
    </w:p>
    <w:p>
      <w:pPr>
        <w:pStyle w:val="ListParagraph"/>
        <w:numPr>
          <w:ilvl w:val="1"/>
          <w:numId w:val="12"/>
        </w:numPr>
        <w:tabs>
          <w:tab w:pos="1068" w:val="left" w:leader="none"/>
        </w:tabs>
        <w:spacing w:line="273" w:lineRule="auto" w:before="36" w:after="0"/>
        <w:ind w:left="2768" w:right="289" w:hanging="2551"/>
        <w:jc w:val="both"/>
        <w:rPr>
          <w:sz w:val="21"/>
        </w:rPr>
      </w:pPr>
      <w:r>
        <w:rPr>
          <w:b/>
          <w:spacing w:val="5"/>
          <w:sz w:val="21"/>
        </w:rPr>
        <w:t>年龄性别错误   </w:t>
      </w:r>
      <w:r>
        <w:rPr>
          <w:spacing w:val="-5"/>
          <w:sz w:val="21"/>
        </w:rPr>
        <w:t>您在申请投保时，应将与有效身份证件相符的被保险人出生日期和性别在投保单上填明，如果发生错误按照下列方式办理：</w:t>
      </w:r>
    </w:p>
    <w:p>
      <w:pPr>
        <w:pStyle w:val="BodyText"/>
        <w:spacing w:line="273" w:lineRule="auto" w:before="7"/>
        <w:ind w:left="3272" w:right="217" w:hanging="504"/>
        <w:jc w:val="both"/>
      </w:pPr>
      <w:r>
        <w:rPr>
          <w:spacing w:val="-7"/>
        </w:rPr>
        <w:t>（1）</w:t>
      </w:r>
      <w:r>
        <w:rPr>
          <w:spacing w:val="-5"/>
        </w:rPr>
        <w:t>您申报的被保险人年龄不真实，并且其真实年龄不符合本附加合同约</w:t>
      </w:r>
      <w:r>
        <w:rPr>
          <w:spacing w:val="-6"/>
        </w:rPr>
        <w:t>定投保年龄限制的，在保险事故发生之前我们有权解除合同，并向您</w:t>
      </w:r>
      <w:r>
        <w:rPr>
          <w:spacing w:val="-7"/>
        </w:rPr>
        <w:t>退还保险单的现金价值。我们行使合同解除权适用“本公司合同解除</w:t>
      </w:r>
      <w:r>
        <w:rPr>
          <w:spacing w:val="-5"/>
        </w:rPr>
        <w:t>权的限制”的规定。</w:t>
      </w:r>
    </w:p>
    <w:p>
      <w:pPr>
        <w:pStyle w:val="BodyText"/>
        <w:spacing w:line="273" w:lineRule="auto" w:before="7"/>
        <w:ind w:left="3294" w:right="217" w:hanging="526"/>
        <w:jc w:val="both"/>
      </w:pPr>
      <w:r>
        <w:rPr>
          <w:spacing w:val="-7"/>
        </w:rPr>
        <w:t>（2）</w:t>
      </w:r>
      <w:r>
        <w:rPr>
          <w:spacing w:val="-5"/>
        </w:rPr>
        <w:t>您申报的被保险人年龄性别不真实，我们有权按照被保险人的真实年</w:t>
      </w:r>
      <w:r>
        <w:rPr>
          <w:spacing w:val="-7"/>
        </w:rPr>
        <w:t>龄性别重新核算保险金额。若已经发生保险事故，在给付保险金时按</w:t>
      </w:r>
      <w:r>
        <w:rPr>
          <w:spacing w:val="-5"/>
        </w:rPr>
        <w:t>重新核算后的保险金额给付。</w:t>
      </w:r>
    </w:p>
    <w:p>
      <w:pPr>
        <w:pStyle w:val="BodyText"/>
        <w:spacing w:before="5"/>
        <w:rPr>
          <w:sz w:val="24"/>
        </w:rPr>
      </w:pPr>
    </w:p>
    <w:p>
      <w:pPr>
        <w:pStyle w:val="ListParagraph"/>
        <w:numPr>
          <w:ilvl w:val="1"/>
          <w:numId w:val="12"/>
        </w:numPr>
        <w:tabs>
          <w:tab w:pos="1068" w:val="left" w:leader="none"/>
        </w:tabs>
        <w:spacing w:line="273" w:lineRule="auto" w:before="0" w:after="0"/>
        <w:ind w:left="2768" w:right="289" w:hanging="2551"/>
        <w:jc w:val="both"/>
        <w:rPr>
          <w:sz w:val="21"/>
        </w:rPr>
      </w:pPr>
      <w:r>
        <w:rPr>
          <w:b/>
          <w:spacing w:val="3"/>
          <w:sz w:val="21"/>
        </w:rPr>
        <w:t>未还款项       </w:t>
      </w:r>
      <w:r>
        <w:rPr>
          <w:spacing w:val="-5"/>
          <w:sz w:val="21"/>
        </w:rPr>
        <w:t>我们在给付各项保险金、退还现金价值或返还保险费时，如果您有欠交的保险费或其他未还清款项，我们会在扣除上述欠款及应付利息后给付。应付利息按本合同约定利率按日复利计算，但本附加合同另有约定的除外。</w:t>
      </w:r>
    </w:p>
    <w:p>
      <w:pPr>
        <w:pStyle w:val="BodyText"/>
        <w:spacing w:before="5"/>
        <w:rPr>
          <w:sz w:val="24"/>
        </w:rPr>
      </w:pPr>
    </w:p>
    <w:p>
      <w:pPr>
        <w:pStyle w:val="ListParagraph"/>
        <w:numPr>
          <w:ilvl w:val="1"/>
          <w:numId w:val="12"/>
        </w:numPr>
        <w:tabs>
          <w:tab w:pos="1068" w:val="left" w:leader="none"/>
        </w:tabs>
        <w:spacing w:line="273" w:lineRule="auto" w:before="1" w:after="0"/>
        <w:ind w:left="2768" w:right="282" w:hanging="2551"/>
        <w:jc w:val="both"/>
        <w:rPr>
          <w:sz w:val="21"/>
        </w:rPr>
      </w:pPr>
      <w:r>
        <w:rPr>
          <w:b/>
          <w:spacing w:val="2"/>
          <w:sz w:val="21"/>
        </w:rPr>
        <w:t>事故鉴定       </w:t>
      </w:r>
      <w:r>
        <w:rPr>
          <w:spacing w:val="-5"/>
          <w:sz w:val="21"/>
        </w:rPr>
        <w:t>如果您申请保险金的给付，我们有权要求被保险人在</w:t>
      </w:r>
      <w:r>
        <w:rPr>
          <w:b/>
          <w:sz w:val="21"/>
        </w:rPr>
        <w:t>本公司认可的医疗机</w:t>
      </w:r>
      <w:r>
        <w:rPr>
          <w:b/>
          <w:spacing w:val="-1"/>
          <w:sz w:val="21"/>
        </w:rPr>
        <w:t>构</w:t>
      </w:r>
      <w:r>
        <w:rPr>
          <w:spacing w:val="-1"/>
          <w:sz w:val="21"/>
        </w:rPr>
        <w:t>（</w:t>
      </w:r>
      <w:r>
        <w:rPr>
          <w:spacing w:val="-2"/>
          <w:sz w:val="21"/>
        </w:rPr>
        <w:t>见释义</w:t>
      </w:r>
      <w:r>
        <w:rPr>
          <w:spacing w:val="-1"/>
          <w:sz w:val="21"/>
        </w:rPr>
        <w:t>6.21）</w:t>
      </w:r>
      <w:r>
        <w:rPr>
          <w:spacing w:val="-3"/>
          <w:sz w:val="21"/>
        </w:rPr>
        <w:t>进行身体检查。</w:t>
      </w:r>
    </w:p>
    <w:p>
      <w:pPr>
        <w:pStyle w:val="BodyText"/>
        <w:spacing w:before="5"/>
        <w:rPr>
          <w:sz w:val="24"/>
        </w:rPr>
      </w:pPr>
    </w:p>
    <w:p>
      <w:pPr>
        <w:pStyle w:val="ListParagraph"/>
        <w:numPr>
          <w:ilvl w:val="1"/>
          <w:numId w:val="12"/>
        </w:numPr>
        <w:tabs>
          <w:tab w:pos="1067" w:val="left" w:leader="none"/>
          <w:tab w:pos="1068" w:val="left" w:leader="none"/>
          <w:tab w:pos="2768" w:val="left" w:leader="none"/>
        </w:tabs>
        <w:spacing w:line="240" w:lineRule="auto" w:before="0" w:after="0"/>
        <w:ind w:left="1067" w:right="0" w:hanging="850"/>
        <w:jc w:val="left"/>
        <w:rPr>
          <w:sz w:val="21"/>
        </w:rPr>
      </w:pPr>
      <w:r>
        <w:rPr>
          <w:b/>
          <w:sz w:val="21"/>
        </w:rPr>
        <w:t>争议处理</w:t>
        <w:tab/>
      </w:r>
      <w:r>
        <w:rPr>
          <w:sz w:val="21"/>
        </w:rPr>
        <w:t>您和我</w:t>
      </w:r>
      <w:r>
        <w:rPr>
          <w:spacing w:val="-3"/>
          <w:sz w:val="21"/>
        </w:rPr>
        <w:t>们发</w:t>
      </w:r>
      <w:r>
        <w:rPr>
          <w:sz w:val="21"/>
        </w:rPr>
        <w:t>生争</w:t>
      </w:r>
      <w:r>
        <w:rPr>
          <w:spacing w:val="-3"/>
          <w:sz w:val="21"/>
        </w:rPr>
        <w:t>议时</w:t>
      </w:r>
      <w:r>
        <w:rPr>
          <w:sz w:val="21"/>
        </w:rPr>
        <w:t>，</w:t>
      </w:r>
      <w:r>
        <w:rPr>
          <w:spacing w:val="-3"/>
          <w:sz w:val="21"/>
        </w:rPr>
        <w:t>您</w:t>
      </w:r>
      <w:r>
        <w:rPr>
          <w:sz w:val="21"/>
        </w:rPr>
        <w:t>可以</w:t>
      </w:r>
      <w:r>
        <w:rPr>
          <w:spacing w:val="-3"/>
          <w:sz w:val="21"/>
        </w:rPr>
        <w:t>从</w:t>
      </w:r>
      <w:r>
        <w:rPr>
          <w:sz w:val="21"/>
        </w:rPr>
        <w:t>以下两</w:t>
      </w:r>
      <w:r>
        <w:rPr>
          <w:spacing w:val="-5"/>
          <w:sz w:val="21"/>
        </w:rPr>
        <w:t>种</w:t>
      </w:r>
      <w:r>
        <w:rPr>
          <w:sz w:val="21"/>
        </w:rPr>
        <w:t>争议处</w:t>
      </w:r>
      <w:r>
        <w:rPr>
          <w:spacing w:val="-5"/>
          <w:sz w:val="21"/>
        </w:rPr>
        <w:t>理</w:t>
      </w:r>
      <w:r>
        <w:rPr>
          <w:sz w:val="21"/>
        </w:rPr>
        <w:t>方式中选</w:t>
      </w:r>
      <w:r>
        <w:rPr>
          <w:spacing w:val="-5"/>
          <w:sz w:val="21"/>
        </w:rPr>
        <w:t>择</w:t>
      </w:r>
      <w:r>
        <w:rPr>
          <w:sz w:val="21"/>
        </w:rPr>
        <w:t>一</w:t>
      </w:r>
      <w:r>
        <w:rPr>
          <w:spacing w:val="-3"/>
          <w:sz w:val="21"/>
        </w:rPr>
        <w:t>种</w:t>
      </w:r>
      <w:r>
        <w:rPr>
          <w:sz w:val="21"/>
        </w:rPr>
        <w:t>：</w:t>
      </w:r>
    </w:p>
    <w:p>
      <w:pPr>
        <w:pStyle w:val="BodyText"/>
        <w:spacing w:line="273" w:lineRule="auto" w:before="36"/>
        <w:ind w:left="3260" w:right="222" w:hanging="492"/>
        <w:jc w:val="both"/>
      </w:pPr>
      <w:r>
        <w:rPr/>
        <w:t>（1）提交仲裁委员会按提交仲裁时该仲裁委员会现行有效的仲裁规则仲裁；</w:t>
      </w:r>
    </w:p>
    <w:p>
      <w:pPr>
        <w:pStyle w:val="BodyText"/>
        <w:spacing w:before="7"/>
        <w:ind w:left="2768"/>
      </w:pPr>
      <w:r>
        <w:rPr/>
        <w:t>（2）向有管辖权的人民法院提起诉讼。</w:t>
      </w:r>
    </w:p>
    <w:p>
      <w:pPr>
        <w:pStyle w:val="BodyText"/>
        <w:spacing w:line="273" w:lineRule="auto" w:before="37"/>
        <w:ind w:left="2768" w:right="220"/>
        <w:jc w:val="both"/>
      </w:pPr>
      <w:r>
        <w:rPr>
          <w:spacing w:val="-5"/>
        </w:rPr>
        <w:t>如果您选择以仲裁方式作为合同签署或履行过程中争议处理的方式，需与我们协议选定仲裁委员会。如果没有选择争议处理的方式、选择仲裁但仲</w:t>
      </w:r>
      <w:r>
        <w:rPr>
          <w:spacing w:val="-7"/>
        </w:rPr>
        <w:t>裁委员会约定不明或者约定的仲裁委员会不存在，则以本条上述第</w:t>
      </w:r>
      <w:r>
        <w:rPr>
          <w:spacing w:val="-5"/>
        </w:rPr>
        <w:t>（2）</w:t>
      </w:r>
      <w:r>
        <w:rPr/>
        <w:t>种</w:t>
      </w:r>
      <w:r>
        <w:rPr>
          <w:spacing w:val="-3"/>
        </w:rPr>
        <w:t>方式处理争议。</w:t>
      </w:r>
    </w:p>
    <w:p>
      <w:pPr>
        <w:pStyle w:val="BodyText"/>
        <w:rPr>
          <w:sz w:val="20"/>
        </w:rPr>
      </w:pPr>
    </w:p>
    <w:p>
      <w:pPr>
        <w:tabs>
          <w:tab w:pos="1067" w:val="left" w:leader="none"/>
        </w:tabs>
        <w:spacing w:before="133"/>
        <w:ind w:left="217" w:right="0" w:firstLine="0"/>
        <w:jc w:val="left"/>
        <w:rPr>
          <w:b/>
          <w:sz w:val="24"/>
        </w:rPr>
      </w:pPr>
      <w:r>
        <w:rPr/>
        <w:pict>
          <v:group style="position:absolute;margin-left:48.48pt;margin-top:34.022522pt;width:478pt;height:1pt;mso-position-horizontal-relative:page;mso-position-vertical-relative:paragraph;z-index:1216;mso-wrap-distance-left:0;mso-wrap-distance-right:0" coordorigin="970,680" coordsize="9560,20">
            <v:line style="position:absolute" from="970,690" to="1822,690" stroked="true" strokeweight=".96pt" strokecolor="#000000">
              <v:stroke dashstyle="solid"/>
            </v:line>
            <v:rect style="position:absolute;left:1821;top:680;width:20;height:20" filled="true" fillcolor="#000000" stroked="false">
              <v:fill type="solid"/>
            </v:rect>
            <v:line style="position:absolute" from="1841,690" to="3521,690" stroked="true" strokeweight=".96pt" strokecolor="#000000">
              <v:stroke dashstyle="solid"/>
            </v:line>
            <v:rect style="position:absolute;left:3520;top:680;width:20;height:20" filled="true" fillcolor="#000000" stroked="false">
              <v:fill type="solid"/>
            </v:rect>
            <v:line style="position:absolute" from="3540,690" to="10529,690" stroked="true" strokeweight=".96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释义</w:t>
      </w:r>
    </w:p>
    <w:p>
      <w:pPr>
        <w:pStyle w:val="BodyText"/>
        <w:spacing w:before="12"/>
        <w:rPr>
          <w:b/>
          <w:sz w:val="9"/>
        </w:rPr>
      </w:pPr>
    </w:p>
    <w:p>
      <w:pPr>
        <w:pStyle w:val="BodyText"/>
        <w:tabs>
          <w:tab w:pos="1067" w:val="left" w:leader="none"/>
          <w:tab w:pos="2768" w:val="left" w:leader="none"/>
        </w:tabs>
        <w:spacing w:line="273" w:lineRule="auto" w:before="37"/>
        <w:ind w:left="2768" w:right="289" w:hanging="2552"/>
      </w:pPr>
      <w:r>
        <w:rPr>
          <w:b/>
        </w:rPr>
        <w:t>6.1</w:t>
        <w:tab/>
        <w:t>周岁</w:t>
        <w:tab/>
      </w:r>
      <w:r>
        <w:rPr/>
        <w:t>周岁年</w:t>
      </w:r>
      <w:r>
        <w:rPr>
          <w:spacing w:val="-3"/>
        </w:rPr>
        <w:t>龄是</w:t>
      </w:r>
      <w:r>
        <w:rPr/>
        <w:t>指按</w:t>
      </w:r>
      <w:r>
        <w:rPr>
          <w:spacing w:val="-3"/>
        </w:rPr>
        <w:t>法定</w:t>
      </w:r>
      <w:r>
        <w:rPr/>
        <w:t>有效身份</w:t>
      </w:r>
      <w:r>
        <w:rPr>
          <w:spacing w:val="-5"/>
        </w:rPr>
        <w:t>证</w:t>
      </w:r>
      <w:r>
        <w:rPr/>
        <w:t>件文件</w:t>
      </w:r>
      <w:r>
        <w:rPr>
          <w:spacing w:val="-5"/>
        </w:rPr>
        <w:t>中</w:t>
      </w:r>
      <w:r>
        <w:rPr/>
        <w:t>记载的</w:t>
      </w:r>
      <w:r>
        <w:rPr>
          <w:spacing w:val="-5"/>
        </w:rPr>
        <w:t>出</w:t>
      </w:r>
      <w:r>
        <w:rPr/>
        <w:t>生日期计</w:t>
      </w:r>
      <w:r>
        <w:rPr>
          <w:spacing w:val="-5"/>
        </w:rPr>
        <w:t>算</w:t>
      </w:r>
      <w:r>
        <w:rPr/>
        <w:t>的年</w:t>
      </w:r>
      <w:r>
        <w:rPr>
          <w:spacing w:val="-3"/>
        </w:rPr>
        <w:t>龄，</w:t>
      </w:r>
      <w:r>
        <w:rPr/>
        <w:t>自 出生之</w:t>
      </w:r>
      <w:r>
        <w:rPr>
          <w:spacing w:val="-3"/>
        </w:rPr>
        <w:t>日起</w:t>
      </w:r>
      <w:r>
        <w:rPr/>
        <w:t>为零</w:t>
      </w:r>
      <w:r>
        <w:rPr>
          <w:spacing w:val="-3"/>
        </w:rPr>
        <w:t>周岁</w:t>
      </w:r>
      <w:r>
        <w:rPr/>
        <w:t>，</w:t>
      </w:r>
      <w:r>
        <w:rPr>
          <w:spacing w:val="-3"/>
        </w:rPr>
        <w:t>每</w:t>
      </w:r>
      <w:r>
        <w:rPr/>
        <w:t>经过</w:t>
      </w:r>
      <w:r>
        <w:rPr>
          <w:spacing w:val="-3"/>
        </w:rPr>
        <w:t>一</w:t>
      </w:r>
      <w:r>
        <w:rPr/>
        <w:t>年增加</w:t>
      </w:r>
      <w:r>
        <w:rPr>
          <w:spacing w:val="-5"/>
        </w:rPr>
        <w:t>一</w:t>
      </w:r>
      <w:r>
        <w:rPr/>
        <w:t>岁</w:t>
      </w:r>
      <w:r>
        <w:rPr>
          <w:spacing w:val="-3"/>
        </w:rPr>
        <w:t>，</w:t>
      </w:r>
      <w:r>
        <w:rPr/>
        <w:t>不</w:t>
      </w:r>
      <w:r>
        <w:rPr>
          <w:spacing w:val="-3"/>
        </w:rPr>
        <w:t>足</w:t>
      </w:r>
      <w:r>
        <w:rPr/>
        <w:t>一年的不</w:t>
      </w:r>
      <w:r>
        <w:rPr>
          <w:spacing w:val="-5"/>
        </w:rPr>
        <w:t>计</w:t>
      </w:r>
      <w:r>
        <w:rPr/>
        <w:t>。</w:t>
      </w:r>
    </w:p>
    <w:p>
      <w:pPr>
        <w:spacing w:after="0" w:line="273" w:lineRule="auto"/>
        <w:sectPr>
          <w:type w:val="continuous"/>
          <w:pgSz w:w="11910" w:h="16840"/>
          <w:pgMar w:top="240" w:bottom="1180" w:left="860" w:right="1260"/>
        </w:sectPr>
      </w:pPr>
    </w:p>
    <w:p>
      <w:pPr>
        <w:pStyle w:val="BodyText"/>
        <w:rPr>
          <w:sz w:val="20"/>
        </w:rPr>
      </w:pPr>
    </w:p>
    <w:p>
      <w:pPr>
        <w:pStyle w:val="BodyText"/>
        <w:spacing w:before="12"/>
        <w:rPr>
          <w:sz w:val="1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861"/>
        <w:gridCol w:w="6949"/>
      </w:tblGrid>
      <w:tr>
        <w:trPr>
          <w:trHeight w:val="261" w:hRule="atLeast"/>
        </w:trPr>
        <w:tc>
          <w:tcPr>
            <w:tcW w:w="633" w:type="dxa"/>
          </w:tcPr>
          <w:p>
            <w:pPr>
              <w:pStyle w:val="TableParagraph"/>
              <w:spacing w:line="211" w:lineRule="exact"/>
              <w:ind w:left="50"/>
              <w:rPr>
                <w:b/>
                <w:sz w:val="21"/>
              </w:rPr>
            </w:pPr>
            <w:r>
              <w:rPr>
                <w:b/>
                <w:sz w:val="21"/>
              </w:rPr>
              <w:t>6.2</w:t>
            </w:r>
          </w:p>
        </w:tc>
        <w:tc>
          <w:tcPr>
            <w:tcW w:w="1861" w:type="dxa"/>
          </w:tcPr>
          <w:p>
            <w:pPr>
              <w:pStyle w:val="TableParagraph"/>
              <w:spacing w:line="211" w:lineRule="exact"/>
              <w:ind w:left="266"/>
              <w:rPr>
                <w:b/>
                <w:sz w:val="21"/>
              </w:rPr>
            </w:pPr>
            <w:r>
              <w:rPr>
                <w:b/>
                <w:sz w:val="21"/>
              </w:rPr>
              <w:t>有效身份证件</w:t>
            </w:r>
          </w:p>
        </w:tc>
        <w:tc>
          <w:tcPr>
            <w:tcW w:w="6949" w:type="dxa"/>
          </w:tcPr>
          <w:p>
            <w:pPr>
              <w:pStyle w:val="TableParagraph"/>
              <w:spacing w:line="211" w:lineRule="exact"/>
              <w:ind w:left="107"/>
              <w:rPr>
                <w:sz w:val="21"/>
              </w:rPr>
            </w:pPr>
            <w:r>
              <w:rPr>
                <w:sz w:val="21"/>
              </w:rPr>
              <w:t>指由政府主管部门规定的证明其身份的证件，如：居民身份证、按规定可</w:t>
            </w:r>
          </w:p>
        </w:tc>
      </w:tr>
      <w:tr>
        <w:trPr>
          <w:trHeight w:val="467"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1" w:lineRule="exact"/>
              <w:ind w:left="107"/>
              <w:rPr>
                <w:sz w:val="21"/>
              </w:rPr>
            </w:pPr>
            <w:r>
              <w:rPr>
                <w:sz w:val="21"/>
              </w:rPr>
              <w:t>使用的有效护照、军官证、警官证、士兵证等证件。</w:t>
            </w:r>
          </w:p>
        </w:tc>
      </w:tr>
      <w:tr>
        <w:trPr>
          <w:trHeight w:val="468" w:hRule="atLeast"/>
        </w:trPr>
        <w:tc>
          <w:tcPr>
            <w:tcW w:w="633" w:type="dxa"/>
          </w:tcPr>
          <w:p>
            <w:pPr>
              <w:pStyle w:val="TableParagraph"/>
              <w:spacing w:before="142"/>
              <w:ind w:left="50"/>
              <w:rPr>
                <w:b/>
                <w:sz w:val="21"/>
              </w:rPr>
            </w:pPr>
            <w:r>
              <w:rPr>
                <w:b/>
                <w:sz w:val="21"/>
              </w:rPr>
              <w:t>6.3</w:t>
            </w:r>
          </w:p>
        </w:tc>
        <w:tc>
          <w:tcPr>
            <w:tcW w:w="1861" w:type="dxa"/>
          </w:tcPr>
          <w:p>
            <w:pPr>
              <w:pStyle w:val="TableParagraph"/>
              <w:spacing w:before="142"/>
              <w:ind w:left="266"/>
              <w:rPr>
                <w:b/>
                <w:sz w:val="21"/>
              </w:rPr>
            </w:pPr>
            <w:r>
              <w:rPr>
                <w:b/>
                <w:sz w:val="21"/>
              </w:rPr>
              <w:t>现金价值</w:t>
            </w:r>
          </w:p>
        </w:tc>
        <w:tc>
          <w:tcPr>
            <w:tcW w:w="6949" w:type="dxa"/>
          </w:tcPr>
          <w:p>
            <w:pPr>
              <w:pStyle w:val="TableParagraph"/>
              <w:spacing w:before="142"/>
              <w:ind w:left="107"/>
              <w:rPr>
                <w:sz w:val="21"/>
              </w:rPr>
            </w:pPr>
            <w:r>
              <w:rPr>
                <w:sz w:val="21"/>
              </w:rPr>
              <w:t>指保险单所具有的价值，通常体现为解除合同时，根据精算原理计算的，</w:t>
            </w:r>
          </w:p>
        </w:tc>
      </w:tr>
      <w:tr>
        <w:trPr>
          <w:trHeight w:val="468"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2" w:lineRule="exact"/>
              <w:ind w:left="107"/>
              <w:rPr>
                <w:sz w:val="21"/>
              </w:rPr>
            </w:pPr>
            <w:r>
              <w:rPr>
                <w:sz w:val="21"/>
              </w:rPr>
              <w:t>由本公司退还的那部分金额。</w:t>
            </w:r>
          </w:p>
        </w:tc>
      </w:tr>
      <w:tr>
        <w:trPr>
          <w:trHeight w:val="468" w:hRule="atLeast"/>
        </w:trPr>
        <w:tc>
          <w:tcPr>
            <w:tcW w:w="633" w:type="dxa"/>
          </w:tcPr>
          <w:p>
            <w:pPr>
              <w:pStyle w:val="TableParagraph"/>
              <w:spacing w:before="142"/>
              <w:ind w:left="50"/>
              <w:rPr>
                <w:b/>
                <w:sz w:val="21"/>
              </w:rPr>
            </w:pPr>
            <w:r>
              <w:rPr>
                <w:b/>
                <w:sz w:val="21"/>
              </w:rPr>
              <w:t>6.4</w:t>
            </w:r>
          </w:p>
        </w:tc>
        <w:tc>
          <w:tcPr>
            <w:tcW w:w="1861" w:type="dxa"/>
          </w:tcPr>
          <w:p>
            <w:pPr>
              <w:pStyle w:val="TableParagraph"/>
              <w:spacing w:before="142"/>
              <w:ind w:left="266"/>
              <w:rPr>
                <w:b/>
                <w:sz w:val="21"/>
              </w:rPr>
            </w:pPr>
            <w:r>
              <w:rPr>
                <w:b/>
                <w:sz w:val="21"/>
              </w:rPr>
              <w:t>重大疾病</w:t>
            </w:r>
          </w:p>
        </w:tc>
        <w:tc>
          <w:tcPr>
            <w:tcW w:w="6949" w:type="dxa"/>
          </w:tcPr>
          <w:p>
            <w:pPr>
              <w:pStyle w:val="TableParagraph"/>
              <w:spacing w:before="142"/>
              <w:ind w:left="107"/>
              <w:rPr>
                <w:sz w:val="21"/>
              </w:rPr>
            </w:pPr>
            <w:r>
              <w:rPr>
                <w:sz w:val="21"/>
              </w:rPr>
              <w:t>指保险责任生效后，经专科医生明确诊断，被保险人初次发生符合以下疾</w:t>
            </w:r>
          </w:p>
        </w:tc>
      </w:tr>
      <w:tr>
        <w:trPr>
          <w:trHeight w:val="468"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2" w:lineRule="exact"/>
              <w:ind w:left="107"/>
              <w:rPr>
                <w:sz w:val="21"/>
              </w:rPr>
            </w:pPr>
            <w:r>
              <w:rPr>
                <w:sz w:val="21"/>
              </w:rPr>
              <w:t>病定义所述条件的疾病：</w:t>
            </w:r>
          </w:p>
        </w:tc>
      </w:tr>
      <w:tr>
        <w:trPr>
          <w:trHeight w:val="467" w:hRule="atLeast"/>
        </w:trPr>
        <w:tc>
          <w:tcPr>
            <w:tcW w:w="633" w:type="dxa"/>
          </w:tcPr>
          <w:p>
            <w:pPr>
              <w:pStyle w:val="TableParagraph"/>
              <w:rPr>
                <w:rFonts w:ascii="Times New Roman"/>
                <w:sz w:val="20"/>
              </w:rPr>
            </w:pPr>
          </w:p>
        </w:tc>
        <w:tc>
          <w:tcPr>
            <w:tcW w:w="1861" w:type="dxa"/>
          </w:tcPr>
          <w:p>
            <w:pPr>
              <w:pStyle w:val="TableParagraph"/>
              <w:spacing w:before="142"/>
              <w:ind w:left="266"/>
              <w:rPr>
                <w:sz w:val="21"/>
              </w:rPr>
            </w:pPr>
            <w:r>
              <w:rPr>
                <w:sz w:val="21"/>
              </w:rPr>
              <w:t>( 一) 恶性肿瘤</w:t>
            </w:r>
          </w:p>
        </w:tc>
        <w:tc>
          <w:tcPr>
            <w:tcW w:w="6949" w:type="dxa"/>
          </w:tcPr>
          <w:p>
            <w:pPr>
              <w:pStyle w:val="TableParagraph"/>
              <w:spacing w:before="142"/>
              <w:ind w:left="107"/>
              <w:rPr>
                <w:sz w:val="21"/>
              </w:rPr>
            </w:pPr>
            <w:r>
              <w:rPr>
                <w:sz w:val="21"/>
              </w:rPr>
              <w:t>指恶性细胞不受控制的进行性增长和扩散，浸润和破坏周围正常组织，可</w:t>
            </w:r>
          </w:p>
        </w:tc>
      </w:tr>
      <w:tr>
        <w:trPr>
          <w:trHeight w:val="312" w:hRule="atLeast"/>
        </w:trPr>
        <w:tc>
          <w:tcPr>
            <w:tcW w:w="633" w:type="dxa"/>
          </w:tcPr>
          <w:p>
            <w:pPr>
              <w:pStyle w:val="TableParagraph"/>
              <w:rPr>
                <w:rFonts w:ascii="Times New Roman"/>
                <w:sz w:val="20"/>
              </w:rPr>
            </w:pPr>
          </w:p>
        </w:tc>
        <w:tc>
          <w:tcPr>
            <w:tcW w:w="1861" w:type="dxa"/>
          </w:tcPr>
          <w:p>
            <w:pPr>
              <w:pStyle w:val="TableParagraph"/>
              <w:spacing w:line="261" w:lineRule="exact"/>
              <w:ind w:left="266"/>
              <w:rPr>
                <w:sz w:val="21"/>
              </w:rPr>
            </w:pPr>
            <w:r>
              <w:rPr>
                <w:sz w:val="21"/>
              </w:rPr>
              <w:t>－“中国保险行</w:t>
            </w:r>
          </w:p>
        </w:tc>
        <w:tc>
          <w:tcPr>
            <w:tcW w:w="6949" w:type="dxa"/>
          </w:tcPr>
          <w:p>
            <w:pPr>
              <w:pStyle w:val="TableParagraph"/>
              <w:spacing w:line="261" w:lineRule="exact"/>
              <w:ind w:left="107"/>
              <w:rPr>
                <w:sz w:val="21"/>
              </w:rPr>
            </w:pPr>
            <w:r>
              <w:rPr>
                <w:sz w:val="21"/>
              </w:rPr>
              <w:t>以经血管、淋巴管和体腔扩散转移到身体其他部位的疾病。经病理学检查</w:t>
            </w:r>
          </w:p>
        </w:tc>
      </w:tr>
      <w:tr>
        <w:trPr>
          <w:trHeight w:val="312" w:hRule="atLeast"/>
        </w:trPr>
        <w:tc>
          <w:tcPr>
            <w:tcW w:w="633" w:type="dxa"/>
          </w:tcPr>
          <w:p>
            <w:pPr>
              <w:pStyle w:val="TableParagraph"/>
              <w:rPr>
                <w:rFonts w:ascii="Times New Roman"/>
                <w:sz w:val="20"/>
              </w:rPr>
            </w:pPr>
          </w:p>
        </w:tc>
        <w:tc>
          <w:tcPr>
            <w:tcW w:w="1861" w:type="dxa"/>
          </w:tcPr>
          <w:p>
            <w:pPr>
              <w:pStyle w:val="TableParagraph"/>
              <w:spacing w:line="262" w:lineRule="exact"/>
              <w:ind w:left="266"/>
              <w:rPr>
                <w:sz w:val="21"/>
              </w:rPr>
            </w:pPr>
            <w:r>
              <w:rPr>
                <w:sz w:val="21"/>
              </w:rPr>
              <w:t>业协会推荐”</w:t>
            </w:r>
          </w:p>
        </w:tc>
        <w:tc>
          <w:tcPr>
            <w:tcW w:w="6949" w:type="dxa"/>
          </w:tcPr>
          <w:p>
            <w:pPr>
              <w:pStyle w:val="TableParagraph"/>
              <w:spacing w:line="262" w:lineRule="exact"/>
              <w:ind w:left="107"/>
              <w:rPr>
                <w:sz w:val="21"/>
              </w:rPr>
            </w:pPr>
            <w:r>
              <w:rPr>
                <w:sz w:val="21"/>
              </w:rPr>
              <w:t>结果明确诊断，临床诊断属于世界卫生组织《疾病和有关健康问题的国际</w:t>
            </w:r>
          </w:p>
        </w:tc>
      </w:tr>
      <w:tr>
        <w:trPr>
          <w:trHeight w:val="311"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1" w:lineRule="exact"/>
              <w:ind w:left="107"/>
              <w:rPr>
                <w:sz w:val="21"/>
              </w:rPr>
            </w:pPr>
            <w:r>
              <w:rPr>
                <w:sz w:val="21"/>
              </w:rPr>
              <w:t>统计分类》（ICD-10）的恶性肿瘤范畴。</w:t>
            </w:r>
          </w:p>
        </w:tc>
      </w:tr>
      <w:tr>
        <w:trPr>
          <w:trHeight w:val="311"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1" w:lineRule="exact"/>
              <w:ind w:left="107"/>
              <w:rPr>
                <w:sz w:val="21"/>
              </w:rPr>
            </w:pPr>
            <w:r>
              <w:rPr>
                <w:sz w:val="21"/>
              </w:rPr>
              <w:t>下列疾病不在保障范围内：</w:t>
            </w:r>
          </w:p>
        </w:tc>
      </w:tr>
      <w:tr>
        <w:trPr>
          <w:trHeight w:val="312"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1" w:lineRule="exact"/>
              <w:ind w:left="107"/>
              <w:rPr>
                <w:sz w:val="21"/>
              </w:rPr>
            </w:pPr>
            <w:r>
              <w:rPr>
                <w:sz w:val="21"/>
              </w:rPr>
              <w:t>（1）原位癌；</w:t>
            </w:r>
          </w:p>
        </w:tc>
      </w:tr>
      <w:tr>
        <w:trPr>
          <w:trHeight w:val="312"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2" w:lineRule="exact"/>
              <w:ind w:left="107"/>
              <w:rPr>
                <w:sz w:val="21"/>
              </w:rPr>
            </w:pPr>
            <w:r>
              <w:rPr>
                <w:sz w:val="21"/>
              </w:rPr>
              <w:t>（2）相当于Binet分期方案A期程度的慢性淋巴细胞白血病；</w:t>
            </w:r>
          </w:p>
        </w:tc>
      </w:tr>
      <w:tr>
        <w:trPr>
          <w:trHeight w:val="301"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61" w:lineRule="exact"/>
              <w:ind w:left="107"/>
              <w:rPr>
                <w:sz w:val="21"/>
              </w:rPr>
            </w:pPr>
            <w:r>
              <w:rPr>
                <w:sz w:val="21"/>
              </w:rPr>
              <w:t>（3）相当于Ann Arbor分期方案I期程度的何杰金氏病；</w:t>
            </w:r>
          </w:p>
        </w:tc>
      </w:tr>
      <w:tr>
        <w:trPr>
          <w:trHeight w:val="885" w:hRule="atLeast"/>
        </w:trPr>
        <w:tc>
          <w:tcPr>
            <w:tcW w:w="633" w:type="dxa"/>
          </w:tcPr>
          <w:p>
            <w:pPr>
              <w:pStyle w:val="TableParagraph"/>
              <w:rPr>
                <w:rFonts w:ascii="Times New Roman"/>
                <w:sz w:val="20"/>
              </w:rPr>
            </w:pPr>
          </w:p>
        </w:tc>
        <w:tc>
          <w:tcPr>
            <w:tcW w:w="1861" w:type="dxa"/>
          </w:tcPr>
          <w:p>
            <w:pPr>
              <w:pStyle w:val="TableParagraph"/>
              <w:rPr>
                <w:rFonts w:ascii="Times New Roman"/>
                <w:sz w:val="20"/>
              </w:rPr>
            </w:pPr>
          </w:p>
        </w:tc>
        <w:tc>
          <w:tcPr>
            <w:tcW w:w="6949" w:type="dxa"/>
          </w:tcPr>
          <w:p>
            <w:pPr>
              <w:pStyle w:val="TableParagraph"/>
              <w:spacing w:line="249" w:lineRule="exact"/>
              <w:ind w:left="107"/>
              <w:rPr>
                <w:sz w:val="21"/>
              </w:rPr>
            </w:pPr>
            <w:r>
              <w:rPr>
                <w:sz w:val="21"/>
              </w:rPr>
              <w:t>（4）皮肤癌（不包括恶性黑色素瘤及已发生转移的皮肤癌）；</w:t>
            </w:r>
          </w:p>
          <w:p>
            <w:pPr>
              <w:pStyle w:val="TableParagraph"/>
              <w:spacing w:line="229" w:lineRule="exact"/>
              <w:ind w:left="107"/>
              <w:rPr>
                <w:sz w:val="21"/>
              </w:rPr>
            </w:pPr>
            <w:r>
              <w:rPr>
                <w:sz w:val="21"/>
              </w:rPr>
              <w:t>（5）TNM分期为T N M 期或更轻分期的前列腺癌；</w:t>
            </w:r>
          </w:p>
          <w:p>
            <w:pPr>
              <w:pStyle w:val="TableParagraph"/>
              <w:spacing w:line="100" w:lineRule="exact"/>
              <w:ind w:left="1684"/>
              <w:rPr>
                <w:sz w:val="11"/>
              </w:rPr>
            </w:pPr>
            <w:r>
              <w:rPr>
                <w:sz w:val="11"/>
              </w:rPr>
              <w:t>1  0 0</w:t>
            </w:r>
          </w:p>
          <w:p>
            <w:pPr>
              <w:pStyle w:val="TableParagraph"/>
              <w:spacing w:before="3"/>
              <w:ind w:left="107"/>
              <w:rPr>
                <w:sz w:val="21"/>
              </w:rPr>
            </w:pPr>
            <w:r>
              <w:rPr>
                <w:sz w:val="21"/>
              </w:rPr>
              <w:t>（6）感染艾滋病病毒或患艾滋病期间所患恶性肿瘤。</w:t>
            </w:r>
          </w:p>
        </w:tc>
      </w:tr>
      <w:tr>
        <w:trPr>
          <w:trHeight w:val="625" w:hRule="atLeast"/>
        </w:trPr>
        <w:tc>
          <w:tcPr>
            <w:tcW w:w="633" w:type="dxa"/>
          </w:tcPr>
          <w:p>
            <w:pPr>
              <w:pStyle w:val="TableParagraph"/>
              <w:rPr>
                <w:rFonts w:ascii="Times New Roman"/>
                <w:sz w:val="20"/>
              </w:rPr>
            </w:pPr>
          </w:p>
        </w:tc>
        <w:tc>
          <w:tcPr>
            <w:tcW w:w="1861" w:type="dxa"/>
          </w:tcPr>
          <w:p>
            <w:pPr>
              <w:pStyle w:val="TableParagraph"/>
              <w:spacing w:before="11"/>
              <w:rPr>
                <w:sz w:val="22"/>
              </w:rPr>
            </w:pPr>
          </w:p>
          <w:p>
            <w:pPr>
              <w:pStyle w:val="TableParagraph"/>
              <w:spacing w:before="1"/>
              <w:ind w:left="266"/>
              <w:rPr>
                <w:sz w:val="21"/>
              </w:rPr>
            </w:pPr>
            <w:r>
              <w:rPr>
                <w:sz w:val="21"/>
              </w:rPr>
              <w:t>( 二) 急性心肌</w:t>
            </w:r>
          </w:p>
        </w:tc>
        <w:tc>
          <w:tcPr>
            <w:tcW w:w="6949" w:type="dxa"/>
          </w:tcPr>
          <w:p>
            <w:pPr>
              <w:pStyle w:val="TableParagraph"/>
              <w:spacing w:before="11"/>
              <w:rPr>
                <w:sz w:val="22"/>
              </w:rPr>
            </w:pPr>
          </w:p>
          <w:p>
            <w:pPr>
              <w:pStyle w:val="TableParagraph"/>
              <w:spacing w:before="1"/>
              <w:ind w:left="107"/>
              <w:rPr>
                <w:sz w:val="21"/>
              </w:rPr>
            </w:pPr>
            <w:r>
              <w:rPr>
                <w:sz w:val="21"/>
              </w:rPr>
              <w:t>指因冠状动脉阻塞导致的相应区域供血不足造成部分心肌坏死。须满足下</w:t>
            </w:r>
          </w:p>
        </w:tc>
      </w:tr>
      <w:tr>
        <w:trPr>
          <w:trHeight w:val="312" w:hRule="atLeast"/>
        </w:trPr>
        <w:tc>
          <w:tcPr>
            <w:tcW w:w="633" w:type="dxa"/>
          </w:tcPr>
          <w:p>
            <w:pPr>
              <w:pStyle w:val="TableParagraph"/>
              <w:rPr>
                <w:rFonts w:ascii="Times New Roman"/>
                <w:sz w:val="20"/>
              </w:rPr>
            </w:pPr>
          </w:p>
        </w:tc>
        <w:tc>
          <w:tcPr>
            <w:tcW w:w="1861" w:type="dxa"/>
          </w:tcPr>
          <w:p>
            <w:pPr>
              <w:pStyle w:val="TableParagraph"/>
              <w:spacing w:line="262" w:lineRule="exact"/>
              <w:ind w:left="266"/>
              <w:rPr>
                <w:sz w:val="21"/>
              </w:rPr>
            </w:pPr>
            <w:r>
              <w:rPr>
                <w:sz w:val="21"/>
              </w:rPr>
              <w:t>梗塞－“中国保</w:t>
            </w:r>
          </w:p>
        </w:tc>
        <w:tc>
          <w:tcPr>
            <w:tcW w:w="6949" w:type="dxa"/>
          </w:tcPr>
          <w:p>
            <w:pPr>
              <w:pStyle w:val="TableParagraph"/>
              <w:spacing w:line="262" w:lineRule="exact"/>
              <w:ind w:left="107"/>
              <w:rPr>
                <w:sz w:val="21"/>
              </w:rPr>
            </w:pPr>
            <w:r>
              <w:rPr>
                <w:sz w:val="21"/>
              </w:rPr>
              <w:t>列至少三项条件：</w:t>
            </w:r>
          </w:p>
        </w:tc>
      </w:tr>
      <w:tr>
        <w:trPr>
          <w:trHeight w:val="311" w:hRule="atLeast"/>
        </w:trPr>
        <w:tc>
          <w:tcPr>
            <w:tcW w:w="633" w:type="dxa"/>
          </w:tcPr>
          <w:p>
            <w:pPr>
              <w:pStyle w:val="TableParagraph"/>
              <w:rPr>
                <w:rFonts w:ascii="Times New Roman"/>
                <w:sz w:val="20"/>
              </w:rPr>
            </w:pPr>
          </w:p>
        </w:tc>
        <w:tc>
          <w:tcPr>
            <w:tcW w:w="1861" w:type="dxa"/>
          </w:tcPr>
          <w:p>
            <w:pPr>
              <w:pStyle w:val="TableParagraph"/>
              <w:spacing w:line="261" w:lineRule="exact"/>
              <w:ind w:left="266"/>
              <w:rPr>
                <w:sz w:val="21"/>
              </w:rPr>
            </w:pPr>
            <w:r>
              <w:rPr>
                <w:sz w:val="21"/>
              </w:rPr>
              <w:t>险行业协会推</w:t>
            </w:r>
          </w:p>
        </w:tc>
        <w:tc>
          <w:tcPr>
            <w:tcW w:w="6949" w:type="dxa"/>
          </w:tcPr>
          <w:p>
            <w:pPr>
              <w:pStyle w:val="TableParagraph"/>
              <w:spacing w:line="261" w:lineRule="exact"/>
              <w:ind w:left="107"/>
              <w:rPr>
                <w:sz w:val="21"/>
              </w:rPr>
            </w:pPr>
            <w:r>
              <w:rPr>
                <w:sz w:val="21"/>
              </w:rPr>
              <w:t>（1）典型临床表现，例如急性胸痛等；</w:t>
            </w:r>
          </w:p>
        </w:tc>
      </w:tr>
      <w:tr>
        <w:trPr>
          <w:trHeight w:val="261" w:hRule="atLeast"/>
        </w:trPr>
        <w:tc>
          <w:tcPr>
            <w:tcW w:w="633" w:type="dxa"/>
          </w:tcPr>
          <w:p>
            <w:pPr>
              <w:pStyle w:val="TableParagraph"/>
              <w:rPr>
                <w:rFonts w:ascii="Times New Roman"/>
                <w:sz w:val="18"/>
              </w:rPr>
            </w:pPr>
          </w:p>
        </w:tc>
        <w:tc>
          <w:tcPr>
            <w:tcW w:w="1861" w:type="dxa"/>
          </w:tcPr>
          <w:p>
            <w:pPr>
              <w:pStyle w:val="TableParagraph"/>
              <w:spacing w:line="242" w:lineRule="exact"/>
              <w:ind w:left="266"/>
              <w:rPr>
                <w:sz w:val="21"/>
              </w:rPr>
            </w:pPr>
            <w:r>
              <w:rPr>
                <w:sz w:val="21"/>
              </w:rPr>
              <w:t>荐”</w:t>
            </w:r>
          </w:p>
        </w:tc>
        <w:tc>
          <w:tcPr>
            <w:tcW w:w="6949" w:type="dxa"/>
          </w:tcPr>
          <w:p>
            <w:pPr>
              <w:pStyle w:val="TableParagraph"/>
              <w:spacing w:line="242" w:lineRule="exact"/>
              <w:ind w:left="107"/>
              <w:rPr>
                <w:sz w:val="21"/>
              </w:rPr>
            </w:pPr>
            <w:r>
              <w:rPr>
                <w:sz w:val="21"/>
              </w:rPr>
              <w:t>（2）新近的心电图改变提示急性心肌梗塞；</w:t>
            </w:r>
          </w:p>
        </w:tc>
      </w:tr>
    </w:tbl>
    <w:p>
      <w:pPr>
        <w:pStyle w:val="BodyText"/>
        <w:spacing w:line="273" w:lineRule="auto" w:before="37"/>
        <w:ind w:left="3234" w:right="178" w:hanging="526"/>
      </w:pPr>
      <w:r>
        <w:rPr/>
        <w:t>（3）心肌酶或肌钙蛋白有诊断意义的升高，或呈符合急性心肌梗塞的动态性变化；</w:t>
      </w:r>
    </w:p>
    <w:p>
      <w:pPr>
        <w:pStyle w:val="BodyText"/>
        <w:spacing w:before="7"/>
        <w:ind w:left="2708"/>
      </w:pPr>
      <w:r>
        <w:rPr/>
        <w:t>（4）发病 90 天后，经检查证实左心室功能降低，如左心室射血分数低于</w:t>
      </w:r>
    </w:p>
    <w:p>
      <w:pPr>
        <w:pStyle w:val="BodyText"/>
        <w:spacing w:before="36"/>
        <w:ind w:left="3234"/>
      </w:pPr>
      <w:r>
        <w:rPr/>
        <w:t>50%。</w:t>
      </w:r>
    </w:p>
    <w:p>
      <w:pPr>
        <w:pStyle w:val="BodyText"/>
        <w:spacing w:before="11"/>
        <w:rPr>
          <w:sz w:val="23"/>
        </w:rPr>
      </w:pPr>
    </w:p>
    <w:p>
      <w:pPr>
        <w:spacing w:after="0"/>
        <w:rPr>
          <w:sz w:val="23"/>
        </w:rPr>
        <w:sectPr>
          <w:pgSz w:w="11910" w:h="16840"/>
          <w:pgMar w:header="335" w:footer="991" w:top="560" w:bottom="1180" w:left="920" w:right="1260"/>
        </w:sectPr>
      </w:pPr>
    </w:p>
    <w:p>
      <w:pPr>
        <w:pStyle w:val="BodyText"/>
        <w:spacing w:line="273" w:lineRule="auto" w:before="37"/>
        <w:ind w:left="1007"/>
        <w:jc w:val="both"/>
      </w:pPr>
      <w:r>
        <w:rPr/>
        <w:t>( 三) 脑中风后遗症－“中国保险行业协会推荐”</w:t>
      </w:r>
    </w:p>
    <w:p>
      <w:pPr>
        <w:pStyle w:val="BodyText"/>
        <w:spacing w:line="273" w:lineRule="auto" w:before="37"/>
        <w:ind w:left="173" w:right="220"/>
        <w:jc w:val="both"/>
      </w:pPr>
      <w:r>
        <w:rPr/>
        <w:br w:type="column"/>
      </w:r>
      <w:r>
        <w:rPr/>
        <w:t>指因脑血管的突发病变引起脑血管出血、栓塞或梗塞，并导致神经系统永</w:t>
      </w:r>
      <w:r>
        <w:rPr>
          <w:spacing w:val="-6"/>
        </w:rPr>
        <w:t>久性的功能障碍。神经系统永久性的功能障碍，指疾病确诊</w:t>
      </w:r>
      <w:r>
        <w:rPr/>
        <w:t>180</w:t>
      </w:r>
      <w:r>
        <w:rPr>
          <w:spacing w:val="-5"/>
        </w:rPr>
        <w:t>天后，仍遗留下列一种或一种以上障碍：</w:t>
      </w:r>
    </w:p>
    <w:p>
      <w:pPr>
        <w:spacing w:before="8"/>
        <w:ind w:left="255" w:right="0" w:firstLine="0"/>
        <w:jc w:val="left"/>
        <w:rPr>
          <w:sz w:val="21"/>
        </w:rPr>
      </w:pPr>
      <w:r>
        <w:rPr>
          <w:sz w:val="21"/>
        </w:rPr>
        <w:t>（1）一肢或一肢以上</w:t>
      </w:r>
      <w:r>
        <w:rPr>
          <w:b/>
          <w:sz w:val="21"/>
        </w:rPr>
        <w:t>肢体机能完全丧失</w:t>
      </w:r>
      <w:r>
        <w:rPr>
          <w:sz w:val="21"/>
        </w:rPr>
        <w:t>（见释义6.22）；</w:t>
      </w:r>
    </w:p>
    <w:p>
      <w:pPr>
        <w:spacing w:before="37"/>
        <w:ind w:left="255" w:right="0" w:firstLine="0"/>
        <w:jc w:val="left"/>
        <w:rPr>
          <w:sz w:val="21"/>
        </w:rPr>
      </w:pPr>
      <w:r>
        <w:rPr>
          <w:sz w:val="21"/>
        </w:rPr>
        <w:t>（2）</w:t>
      </w:r>
      <w:r>
        <w:rPr>
          <w:b/>
          <w:sz w:val="21"/>
        </w:rPr>
        <w:t>语言能力或咀嚼吞咽能力完全丧失</w:t>
      </w:r>
      <w:r>
        <w:rPr>
          <w:sz w:val="21"/>
        </w:rPr>
        <w:t>（见释义6.23）；</w:t>
      </w:r>
    </w:p>
    <w:p>
      <w:pPr>
        <w:pStyle w:val="BodyText"/>
        <w:spacing w:line="256" w:lineRule="auto" w:before="37"/>
        <w:ind w:left="699" w:right="164" w:hanging="526"/>
      </w:pPr>
      <w:r>
        <w:rPr/>
        <w:t>（</w:t>
      </w:r>
      <w:r>
        <w:rPr>
          <w:rFonts w:ascii="Times New Roman" w:eastAsia="Times New Roman"/>
        </w:rPr>
        <w:t>3</w:t>
      </w:r>
      <w:r>
        <w:rPr/>
        <w:t>）自主生活能力完全丧失，无法独立完成</w:t>
      </w:r>
      <w:r>
        <w:rPr>
          <w:b/>
        </w:rPr>
        <w:t>六项基本日常生活活动</w:t>
      </w:r>
      <w:r>
        <w:rPr/>
        <w:t>（见释义 </w:t>
      </w:r>
      <w:r>
        <w:rPr>
          <w:rFonts w:ascii="Times New Roman" w:eastAsia="Times New Roman"/>
        </w:rPr>
        <w:t>6.24</w:t>
      </w:r>
      <w:r>
        <w:rPr/>
        <w:t>）中的三项或三项以上。</w:t>
      </w:r>
    </w:p>
    <w:p>
      <w:pPr>
        <w:spacing w:after="0" w:line="256" w:lineRule="auto"/>
        <w:sectPr>
          <w:type w:val="continuous"/>
          <w:pgSz w:w="11910" w:h="16840"/>
          <w:pgMar w:top="240" w:bottom="1180" w:left="920" w:right="1260"/>
          <w:cols w:num="2" w:equalWidth="0">
            <w:col w:w="2496" w:space="40"/>
            <w:col w:w="7194"/>
          </w:cols>
        </w:sectPr>
      </w:pPr>
    </w:p>
    <w:p>
      <w:pPr>
        <w:pStyle w:val="BodyText"/>
        <w:spacing w:before="6"/>
      </w:pPr>
    </w:p>
    <w:p>
      <w:pPr>
        <w:spacing w:after="0"/>
        <w:sectPr>
          <w:type w:val="continuous"/>
          <w:pgSz w:w="11910" w:h="16840"/>
          <w:pgMar w:top="240" w:bottom="1180" w:left="920" w:right="1260"/>
        </w:sectPr>
      </w:pPr>
    </w:p>
    <w:p>
      <w:pPr>
        <w:pStyle w:val="BodyText"/>
        <w:spacing w:line="273" w:lineRule="auto" w:before="36"/>
        <w:ind w:left="1007"/>
        <w:jc w:val="both"/>
      </w:pPr>
      <w:r>
        <w:rPr/>
        <w:t>( 四) 重大器官移植术或造血干细胞移植术－</w:t>
      </w:r>
    </w:p>
    <w:p>
      <w:pPr>
        <w:pStyle w:val="BodyText"/>
        <w:spacing w:line="273" w:lineRule="auto" w:before="7"/>
        <w:ind w:left="1007"/>
        <w:jc w:val="both"/>
      </w:pPr>
      <w:r>
        <w:rPr/>
        <w:t>“中国保险行业协会推荐”</w:t>
      </w:r>
    </w:p>
    <w:p>
      <w:pPr>
        <w:pStyle w:val="BodyText"/>
        <w:spacing w:line="273" w:lineRule="auto" w:before="36"/>
        <w:ind w:left="173" w:right="287"/>
      </w:pPr>
      <w:r>
        <w:rPr/>
        <w:br w:type="column"/>
      </w:r>
      <w:r>
        <w:rPr/>
        <w:t>重大器官移植术，指因相应器官功能衰竭，已经实施了肾脏、肝脏、心脏或肺脏的异体移植手术。</w:t>
      </w:r>
    </w:p>
    <w:p>
      <w:pPr>
        <w:pStyle w:val="BodyText"/>
        <w:spacing w:line="273" w:lineRule="auto" w:before="7"/>
        <w:ind w:left="173" w:right="117"/>
      </w:pPr>
      <w:r>
        <w:rPr/>
        <w:t>造血干细胞移植术，指因造血功能损害或造血系统恶性肿瘤，已经实施了</w:t>
      </w:r>
      <w:r>
        <w:rPr>
          <w:spacing w:val="-5"/>
        </w:rPr>
        <w:t>造血干细胞</w:t>
      </w:r>
      <w:r>
        <w:rPr>
          <w:spacing w:val="-3"/>
        </w:rPr>
        <w:t>（</w:t>
      </w:r>
      <w:r>
        <w:rPr>
          <w:spacing w:val="-6"/>
        </w:rPr>
        <w:t>包括骨髓造血干细胞、外周血造血干细胞和脐血造血干细胞</w:t>
      </w:r>
      <w:r>
        <w:rPr/>
        <w:t>） </w:t>
      </w:r>
      <w:r>
        <w:rPr>
          <w:spacing w:val="-3"/>
        </w:rPr>
        <w:t>的异体移植手术。</w:t>
      </w:r>
    </w:p>
    <w:p>
      <w:pPr>
        <w:spacing w:after="0" w:line="273" w:lineRule="auto"/>
        <w:sectPr>
          <w:type w:val="continuous"/>
          <w:pgSz w:w="11910" w:h="16840"/>
          <w:pgMar w:top="240" w:bottom="1180" w:left="920" w:right="1260"/>
          <w:cols w:num="2" w:equalWidth="0">
            <w:col w:w="2496" w:space="40"/>
            <w:col w:w="7194"/>
          </w:cols>
        </w:sectPr>
      </w:pPr>
    </w:p>
    <w:p>
      <w:pPr>
        <w:pStyle w:val="BodyText"/>
        <w:spacing w:before="8"/>
      </w:pPr>
    </w:p>
    <w:p>
      <w:pPr>
        <w:spacing w:after="0"/>
        <w:sectPr>
          <w:type w:val="continuous"/>
          <w:pgSz w:w="11910" w:h="16840"/>
          <w:pgMar w:top="240" w:bottom="1180" w:left="920" w:right="1260"/>
        </w:sectPr>
      </w:pPr>
    </w:p>
    <w:p>
      <w:pPr>
        <w:pStyle w:val="BodyText"/>
        <w:spacing w:line="273" w:lineRule="auto" w:before="36"/>
        <w:ind w:left="1007"/>
        <w:jc w:val="both"/>
      </w:pPr>
      <w:r>
        <w:rPr/>
        <w:t>( 五) 冠状动脉搭桥术（或称冠状动脉旁路移植</w:t>
      </w:r>
    </w:p>
    <w:p>
      <w:pPr>
        <w:pStyle w:val="BodyText"/>
        <w:spacing w:line="273" w:lineRule="auto" w:before="36"/>
        <w:ind w:left="173" w:right="222"/>
      </w:pPr>
      <w:r>
        <w:rPr/>
        <w:br w:type="column"/>
      </w:r>
      <w:r>
        <w:rPr/>
        <w:t>指为治疗严重的冠心病，实际实施了开胸进行的冠状动脉血管旁路移植的手术。</w:t>
      </w:r>
    </w:p>
    <w:p>
      <w:pPr>
        <w:pStyle w:val="BodyText"/>
        <w:spacing w:before="7"/>
        <w:ind w:left="173"/>
      </w:pPr>
      <w:r>
        <w:rPr/>
        <w:t>冠状动脉支架植入术、心导管球囊扩张术、激光射频技术及其他非开胸的</w:t>
      </w:r>
    </w:p>
    <w:p>
      <w:pPr>
        <w:spacing w:after="0"/>
        <w:sectPr>
          <w:type w:val="continuous"/>
          <w:pgSz w:w="11910" w:h="16840"/>
          <w:pgMar w:top="240" w:bottom="1180" w:left="920" w:right="1260"/>
          <w:cols w:num="2" w:equalWidth="0">
            <w:col w:w="2496" w:space="40"/>
            <w:col w:w="7194"/>
          </w:cols>
        </w:sectPr>
      </w:pPr>
    </w:p>
    <w:p>
      <w:pPr>
        <w:pStyle w:val="BodyText"/>
        <w:spacing w:before="4"/>
        <w:rPr>
          <w:sz w:val="24"/>
        </w:rPr>
      </w:pPr>
    </w:p>
    <w:p>
      <w:pPr>
        <w:spacing w:after="0"/>
        <w:rPr>
          <w:sz w:val="24"/>
        </w:rPr>
        <w:sectPr>
          <w:pgSz w:w="11910" w:h="16840"/>
          <w:pgMar w:header="335" w:footer="991" w:top="560" w:bottom="1180" w:left="960" w:right="1260"/>
        </w:sectPr>
      </w:pPr>
    </w:p>
    <w:p>
      <w:pPr>
        <w:pStyle w:val="BodyText"/>
        <w:spacing w:line="273" w:lineRule="auto" w:before="36"/>
        <w:ind w:left="967"/>
        <w:jc w:val="both"/>
      </w:pPr>
      <w:r>
        <w:rPr/>
        <w:t>术）－“中国保险行业协会推荐”</w:t>
      </w:r>
    </w:p>
    <w:p>
      <w:pPr>
        <w:pStyle w:val="BodyText"/>
        <w:spacing w:before="36"/>
        <w:ind w:left="173"/>
      </w:pPr>
      <w:r>
        <w:rPr/>
        <w:br w:type="column"/>
      </w:r>
      <w:r>
        <w:rPr/>
        <w:t>介入手术、腔镜手术不在保障范围内。</w:t>
      </w:r>
    </w:p>
    <w:p>
      <w:pPr>
        <w:spacing w:after="0"/>
        <w:sectPr>
          <w:type w:val="continuous"/>
          <w:pgSz w:w="11910" w:h="16840"/>
          <w:pgMar w:top="240" w:bottom="1180" w:left="960" w:right="1260"/>
          <w:cols w:num="2" w:equalWidth="0">
            <w:col w:w="2456" w:space="40"/>
            <w:col w:w="7194"/>
          </w:cols>
        </w:sectPr>
      </w:pPr>
    </w:p>
    <w:p>
      <w:pPr>
        <w:pStyle w:val="BodyText"/>
        <w:spacing w:before="8"/>
      </w:pPr>
    </w:p>
    <w:p>
      <w:pPr>
        <w:spacing w:after="0"/>
        <w:sectPr>
          <w:type w:val="continuous"/>
          <w:pgSz w:w="11910" w:h="16840"/>
          <w:pgMar w:top="240" w:bottom="1180" w:left="960" w:right="1260"/>
        </w:sectPr>
      </w:pPr>
    </w:p>
    <w:p>
      <w:pPr>
        <w:pStyle w:val="BodyText"/>
        <w:spacing w:line="273" w:lineRule="auto" w:before="36"/>
        <w:ind w:left="967"/>
        <w:jc w:val="both"/>
      </w:pPr>
      <w:r>
        <w:rPr/>
        <w:t>( 六) 终末期肾病（或称慢性肾功能衰竭尿毒症期）－“中国保险行业协会推荐”</w:t>
      </w:r>
    </w:p>
    <w:p>
      <w:pPr>
        <w:pStyle w:val="BodyText"/>
        <w:spacing w:before="36"/>
        <w:ind w:left="173"/>
      </w:pPr>
      <w:r>
        <w:rPr/>
        <w:br w:type="column"/>
      </w:r>
      <w:r>
        <w:rPr/>
        <w:t>指双肾功能慢性不可逆性衰竭，达到尿毒症期，经诊断后已经进行了至少</w:t>
      </w:r>
    </w:p>
    <w:p>
      <w:pPr>
        <w:pStyle w:val="BodyText"/>
        <w:spacing w:before="36"/>
        <w:ind w:left="173"/>
      </w:pPr>
      <w:r>
        <w:rPr>
          <w:rFonts w:ascii="Times New Roman" w:eastAsia="Times New Roman"/>
        </w:rPr>
        <w:t>90 </w:t>
      </w:r>
      <w:r>
        <w:rPr/>
        <w:t>天的规律性透析治疗或实施了肾脏移植手术。</w:t>
      </w:r>
    </w:p>
    <w:p>
      <w:pPr>
        <w:spacing w:after="0"/>
        <w:sectPr>
          <w:type w:val="continuous"/>
          <w:pgSz w:w="11910" w:h="16840"/>
          <w:pgMar w:top="240" w:bottom="1180" w:left="960" w:right="1260"/>
          <w:cols w:num="2" w:equalWidth="0">
            <w:col w:w="2456" w:space="40"/>
            <w:col w:w="7194"/>
          </w:cols>
        </w:sectPr>
      </w:pPr>
    </w:p>
    <w:p>
      <w:pPr>
        <w:pStyle w:val="BodyText"/>
        <w:spacing w:before="8"/>
      </w:pPr>
    </w:p>
    <w:p>
      <w:pPr>
        <w:spacing w:after="0"/>
        <w:sectPr>
          <w:type w:val="continuous"/>
          <w:pgSz w:w="11910" w:h="16840"/>
          <w:pgMar w:top="240" w:bottom="1180" w:left="960" w:right="1260"/>
        </w:sectPr>
      </w:pPr>
    </w:p>
    <w:p>
      <w:pPr>
        <w:pStyle w:val="BodyText"/>
        <w:spacing w:line="273" w:lineRule="auto" w:before="36"/>
        <w:ind w:left="967"/>
        <w:jc w:val="both"/>
      </w:pPr>
      <w:r>
        <w:rPr/>
        <w:t>( 七) 多个肢体缺失－“中国保险行业协会推荐”</w:t>
      </w:r>
    </w:p>
    <w:p>
      <w:pPr>
        <w:pStyle w:val="BodyText"/>
        <w:spacing w:line="273" w:lineRule="auto" w:before="36"/>
        <w:ind w:left="173" w:right="2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240" w:bottom="1180" w:left="960" w:right="1260"/>
          <w:cols w:num="2" w:equalWidth="0">
            <w:col w:w="2456" w:space="40"/>
            <w:col w:w="7194"/>
          </w:cols>
        </w:sectPr>
      </w:pPr>
    </w:p>
    <w:p>
      <w:pPr>
        <w:pStyle w:val="BodyText"/>
        <w:spacing w:before="8"/>
      </w:pPr>
    </w:p>
    <w:p>
      <w:pPr>
        <w:spacing w:after="0"/>
        <w:sectPr>
          <w:type w:val="continuous"/>
          <w:pgSz w:w="11910" w:h="16840"/>
          <w:pgMar w:top="240" w:bottom="1180" w:left="960" w:right="1260"/>
        </w:sectPr>
      </w:pPr>
    </w:p>
    <w:p>
      <w:pPr>
        <w:pStyle w:val="BodyText"/>
        <w:spacing w:line="273" w:lineRule="auto" w:before="36"/>
        <w:ind w:left="967"/>
      </w:pPr>
      <w:r>
        <w:rPr/>
        <w:t>( 八) 急性或亚急性重症肝炎－</w:t>
      </w:r>
    </w:p>
    <w:p>
      <w:pPr>
        <w:pStyle w:val="BodyText"/>
        <w:spacing w:line="273" w:lineRule="auto" w:before="7"/>
        <w:ind w:left="967"/>
      </w:pPr>
      <w:r>
        <w:rPr/>
        <w:t>“中国保险行业协会推荐”</w:t>
      </w:r>
    </w:p>
    <w:p>
      <w:pPr>
        <w:pStyle w:val="BodyText"/>
        <w:spacing w:line="273" w:lineRule="auto" w:before="36"/>
        <w:ind w:left="173" w:right="220"/>
      </w:pPr>
      <w:r>
        <w:rPr/>
        <w:br w:type="column"/>
      </w:r>
      <w:r>
        <w:rPr/>
        <w:t>指因肝炎病毒感染引起肝脏组织弥漫性坏死，导致急性肝功能衰竭，且经血清学或病毒学检查证实，并须满足下列全部条件：</w:t>
      </w:r>
    </w:p>
    <w:p>
      <w:pPr>
        <w:pStyle w:val="BodyText"/>
        <w:spacing w:before="7"/>
        <w:ind w:left="173"/>
      </w:pPr>
      <w:r>
        <w:rPr/>
        <w:t>（1）重度黄疸或黄疸迅速加重；</w:t>
      </w:r>
    </w:p>
    <w:p>
      <w:pPr>
        <w:pStyle w:val="BodyText"/>
        <w:spacing w:before="36"/>
        <w:ind w:left="173"/>
      </w:pPr>
      <w:r>
        <w:rPr/>
        <w:t>（2）肝性脑病；</w:t>
      </w:r>
    </w:p>
    <w:p>
      <w:pPr>
        <w:pStyle w:val="BodyText"/>
        <w:spacing w:before="36"/>
        <w:ind w:left="173"/>
      </w:pPr>
      <w:r>
        <w:rPr/>
        <w:t>（3）B超或其他影像学检查显示肝脏体积急速萎缩；</w:t>
      </w:r>
    </w:p>
    <w:p>
      <w:pPr>
        <w:pStyle w:val="BodyText"/>
        <w:spacing w:before="36"/>
        <w:ind w:left="173"/>
      </w:pPr>
      <w:r>
        <w:rPr/>
        <w:t>（</w:t>
      </w:r>
      <w:r>
        <w:rPr>
          <w:rFonts w:ascii="Times New Roman" w:eastAsia="Times New Roman"/>
        </w:rPr>
        <w:t>4</w:t>
      </w:r>
      <w:r>
        <w:rPr/>
        <w:t>）肝功能指标进行性恶化。</w:t>
      </w:r>
    </w:p>
    <w:p>
      <w:pPr>
        <w:spacing w:after="0"/>
        <w:sectPr>
          <w:type w:val="continuous"/>
          <w:pgSz w:w="11910" w:h="16840"/>
          <w:pgMar w:top="240" w:bottom="1180" w:left="960" w:right="1260"/>
          <w:cols w:num="2" w:equalWidth="0">
            <w:col w:w="2456" w:space="40"/>
            <w:col w:w="7194"/>
          </w:cols>
        </w:sectPr>
      </w:pPr>
    </w:p>
    <w:p>
      <w:pPr>
        <w:pStyle w:val="BodyText"/>
        <w:spacing w:before="8"/>
        <w:rPr>
          <w:sz w:val="22"/>
        </w:rPr>
      </w:pPr>
    </w:p>
    <w:p>
      <w:pPr>
        <w:spacing w:after="0"/>
        <w:rPr>
          <w:sz w:val="22"/>
        </w:rPr>
        <w:sectPr>
          <w:type w:val="continuous"/>
          <w:pgSz w:w="11910" w:h="16840"/>
          <w:pgMar w:top="240" w:bottom="1180" w:left="960" w:right="1260"/>
        </w:sectPr>
      </w:pPr>
    </w:p>
    <w:p>
      <w:pPr>
        <w:pStyle w:val="BodyText"/>
        <w:spacing w:line="273" w:lineRule="auto" w:before="37"/>
        <w:ind w:left="967"/>
        <w:jc w:val="both"/>
      </w:pPr>
      <w:r>
        <w:rPr/>
        <w:t>( 九) 良性脑肿瘤－“中国保险行业协会推荐”</w:t>
      </w:r>
    </w:p>
    <w:p>
      <w:pPr>
        <w:pStyle w:val="BodyText"/>
        <w:spacing w:line="273" w:lineRule="auto" w:before="37"/>
        <w:ind w:left="173" w:right="114"/>
      </w:pPr>
      <w:r>
        <w:rPr/>
        <w:br w:type="column"/>
      </w:r>
      <w:r>
        <w:rPr/>
        <w:t>指脑的良性肿瘤，已经引起颅内压增高，临床表现为视神经乳头水肿、精</w:t>
      </w:r>
      <w:r>
        <w:rPr>
          <w:spacing w:val="-7"/>
        </w:rPr>
        <w:t>神症状、癫痫及运动感觉障碍等，并危及生命。须由头颅断层扫描</w:t>
      </w:r>
      <w:r>
        <w:rPr>
          <w:spacing w:val="-3"/>
        </w:rPr>
        <w:t>（CT）</w:t>
      </w:r>
      <w:r>
        <w:rPr/>
        <w:t>、核磁共振检查（MRI）或正电子发射断层扫描（PET）等影像学检查证实， </w:t>
      </w:r>
      <w:r>
        <w:rPr>
          <w:spacing w:val="-3"/>
        </w:rPr>
        <w:t>并须满足下列至少一项条件：</w:t>
      </w:r>
    </w:p>
    <w:p>
      <w:pPr>
        <w:pStyle w:val="BodyText"/>
        <w:spacing w:before="8"/>
        <w:ind w:left="173"/>
      </w:pPr>
      <w:r>
        <w:rPr/>
        <w:t>（1）实际实施了开颅进行的脑肿瘤完全切除或部分切除的手术；</w:t>
      </w:r>
    </w:p>
    <w:p>
      <w:pPr>
        <w:pStyle w:val="BodyText"/>
        <w:spacing w:before="37"/>
        <w:ind w:left="173"/>
      </w:pPr>
      <w:r>
        <w:rPr/>
        <w:t>（2）实际实施了对脑肿瘤进行的放射治疗。</w:t>
      </w:r>
    </w:p>
    <w:p>
      <w:pPr>
        <w:pStyle w:val="BodyText"/>
        <w:spacing w:before="37"/>
        <w:ind w:left="173"/>
      </w:pPr>
      <w:r>
        <w:rPr/>
        <w:t>脑垂体瘤、脑囊肿、脑血管性疾病不在保障范围内。</w:t>
      </w:r>
    </w:p>
    <w:p>
      <w:pPr>
        <w:spacing w:after="0"/>
        <w:sectPr>
          <w:type w:val="continuous"/>
          <w:pgSz w:w="11910" w:h="16840"/>
          <w:pgMar w:top="240" w:bottom="1180" w:left="960" w:right="1260"/>
          <w:cols w:num="2" w:equalWidth="0">
            <w:col w:w="2456" w:space="40"/>
            <w:col w:w="7194"/>
          </w:cols>
        </w:sectPr>
      </w:pPr>
    </w:p>
    <w:p>
      <w:pPr>
        <w:pStyle w:val="BodyText"/>
        <w:spacing w:before="11"/>
        <w:rPr>
          <w:sz w:val="23"/>
        </w:rPr>
      </w:pPr>
    </w:p>
    <w:p>
      <w:pPr>
        <w:spacing w:after="0"/>
        <w:rPr>
          <w:sz w:val="23"/>
        </w:rPr>
        <w:sectPr>
          <w:type w:val="continuous"/>
          <w:pgSz w:w="11910" w:h="16840"/>
          <w:pgMar w:top="240" w:bottom="1180" w:left="960" w:right="1260"/>
        </w:sectPr>
      </w:pPr>
    </w:p>
    <w:p>
      <w:pPr>
        <w:pStyle w:val="BodyText"/>
        <w:spacing w:line="273" w:lineRule="auto" w:before="37"/>
        <w:ind w:left="967"/>
      </w:pPr>
      <w:r>
        <w:rPr/>
        <w:t>( 十) 慢性肝功能衰竭失代偿期</w:t>
      </w:r>
    </w:p>
    <w:p>
      <w:pPr>
        <w:pStyle w:val="BodyText"/>
        <w:spacing w:line="273" w:lineRule="auto" w:before="8"/>
        <w:ind w:left="967"/>
      </w:pPr>
      <w:r>
        <w:rPr/>
        <w:t>－“中国保险行业协会推荐”</w:t>
      </w:r>
    </w:p>
    <w:p>
      <w:pPr>
        <w:pStyle w:val="BodyText"/>
        <w:spacing w:before="37"/>
        <w:ind w:left="173"/>
      </w:pPr>
      <w:r>
        <w:rPr/>
        <w:br w:type="column"/>
      </w:r>
      <w:r>
        <w:rPr/>
        <w:t>指因慢性肝脏疾病导致肝功能衰竭。须满足下列全部条件：</w:t>
      </w:r>
    </w:p>
    <w:p>
      <w:pPr>
        <w:pStyle w:val="BodyText"/>
        <w:spacing w:before="37"/>
        <w:ind w:left="173"/>
      </w:pPr>
      <w:r>
        <w:rPr/>
        <w:t>（1）持续性黄疸；</w:t>
      </w:r>
    </w:p>
    <w:p>
      <w:pPr>
        <w:pStyle w:val="BodyText"/>
        <w:spacing w:before="37"/>
        <w:ind w:left="173"/>
      </w:pPr>
      <w:r>
        <w:rPr/>
        <w:t>（2）腹水；</w:t>
      </w:r>
    </w:p>
    <w:p>
      <w:pPr>
        <w:pStyle w:val="BodyText"/>
        <w:spacing w:before="37"/>
        <w:ind w:left="173"/>
      </w:pPr>
      <w:r>
        <w:rPr/>
        <w:t>（3）肝性脑病；</w:t>
      </w:r>
    </w:p>
    <w:p>
      <w:pPr>
        <w:pStyle w:val="BodyText"/>
        <w:spacing w:line="273" w:lineRule="auto" w:before="37"/>
        <w:ind w:left="173" w:right="1866"/>
      </w:pPr>
      <w:r>
        <w:rPr/>
        <w:t>（4）充血性脾肿大伴脾功能亢进或食管胃底静脉曲张。因酗酒或药物滥用导致的肝功能衰竭不在保障范围内。</w:t>
      </w:r>
    </w:p>
    <w:p>
      <w:pPr>
        <w:spacing w:after="0" w:line="273" w:lineRule="auto"/>
        <w:sectPr>
          <w:type w:val="continuous"/>
          <w:pgSz w:w="11910" w:h="16840"/>
          <w:pgMar w:top="240" w:bottom="1180" w:left="960" w:right="1260"/>
          <w:cols w:num="2" w:equalWidth="0">
            <w:col w:w="2456" w:space="40"/>
            <w:col w:w="7194"/>
          </w:cols>
        </w:sectPr>
      </w:pPr>
    </w:p>
    <w:p>
      <w:pPr>
        <w:pStyle w:val="BodyText"/>
        <w:spacing w:before="8"/>
      </w:pPr>
    </w:p>
    <w:p>
      <w:pPr>
        <w:spacing w:after="0"/>
        <w:sectPr>
          <w:type w:val="continuous"/>
          <w:pgSz w:w="11910" w:h="16840"/>
          <w:pgMar w:top="240" w:bottom="1180" w:left="960" w:right="1260"/>
        </w:sectPr>
      </w:pPr>
    </w:p>
    <w:p>
      <w:pPr>
        <w:pStyle w:val="BodyText"/>
        <w:spacing w:line="273" w:lineRule="auto" w:before="37"/>
        <w:ind w:left="967"/>
        <w:jc w:val="both"/>
      </w:pPr>
      <w:r>
        <w:rPr/>
        <w:t>( 十一) 脑炎后遗症或脑膜炎后遗症－“中国保险行业协会推荐”</w:t>
      </w:r>
    </w:p>
    <w:p>
      <w:pPr>
        <w:pStyle w:val="BodyText"/>
        <w:spacing w:line="273" w:lineRule="auto" w:before="37"/>
        <w:ind w:left="173" w:right="222"/>
      </w:pPr>
      <w:r>
        <w:rPr/>
        <w:br w:type="column"/>
      </w:r>
      <w:r>
        <w:rPr/>
        <w:t>指因患脑炎或脑膜炎导致的神经系统永久性的功能障碍。神经系统永久性的功能障碍，指疾病确诊180天后，仍遗留下列一种或一种以上障碍：</w:t>
      </w:r>
    </w:p>
    <w:p>
      <w:pPr>
        <w:pStyle w:val="BodyText"/>
        <w:spacing w:before="8"/>
        <w:ind w:left="173"/>
      </w:pPr>
      <w:r>
        <w:rPr/>
        <w:t>（1）一肢或一肢以上肢体机能完全丧失；</w:t>
      </w:r>
    </w:p>
    <w:p>
      <w:pPr>
        <w:pStyle w:val="BodyText"/>
        <w:spacing w:before="37"/>
        <w:ind w:left="173"/>
      </w:pPr>
      <w:r>
        <w:rPr/>
        <w:t>（2）语言能力或咀嚼吞咽能力完全丧失；</w:t>
      </w:r>
    </w:p>
    <w:p>
      <w:pPr>
        <w:pStyle w:val="BodyText"/>
        <w:spacing w:line="273" w:lineRule="auto" w:before="37"/>
        <w:ind w:left="699" w:right="192" w:hanging="526"/>
      </w:pPr>
      <w:r>
        <w:rPr/>
        <w:t>（3）自主生活能力完全丧失，无法独立完成六项基本日常生活活动中的三项或三项以上。</w:t>
      </w:r>
    </w:p>
    <w:p>
      <w:pPr>
        <w:spacing w:after="0" w:line="273" w:lineRule="auto"/>
        <w:sectPr>
          <w:type w:val="continuous"/>
          <w:pgSz w:w="11910" w:h="16840"/>
          <w:pgMar w:top="240" w:bottom="1180" w:left="960" w:right="1260"/>
          <w:cols w:num="2" w:equalWidth="0">
            <w:col w:w="2456" w:space="40"/>
            <w:col w:w="7194"/>
          </w:cols>
        </w:sectPr>
      </w:pPr>
    </w:p>
    <w:p>
      <w:pPr>
        <w:pStyle w:val="BodyText"/>
        <w:spacing w:before="8"/>
      </w:pPr>
    </w:p>
    <w:p>
      <w:pPr>
        <w:spacing w:after="0"/>
        <w:sectPr>
          <w:type w:val="continuous"/>
          <w:pgSz w:w="11910" w:h="16840"/>
          <w:pgMar w:top="240" w:bottom="1180" w:left="960" w:right="1260"/>
        </w:sectPr>
      </w:pPr>
    </w:p>
    <w:p>
      <w:pPr>
        <w:pStyle w:val="BodyText"/>
        <w:spacing w:line="273" w:lineRule="auto" w:before="37"/>
        <w:ind w:left="967"/>
      </w:pPr>
      <w:r>
        <w:rPr/>
        <w:t>( 十二) 深度昏迷－“中国保险</w:t>
      </w:r>
    </w:p>
    <w:p>
      <w:pPr>
        <w:pStyle w:val="BodyText"/>
        <w:spacing w:line="273" w:lineRule="auto" w:before="37"/>
        <w:ind w:left="173" w:right="114"/>
      </w:pPr>
      <w:r>
        <w:rPr/>
        <w:br w:type="column"/>
      </w:r>
      <w:r>
        <w:rPr>
          <w:spacing w:val="-5"/>
        </w:rPr>
        <w:t>指因疾病或意外伤害导致意识丧失,对外界刺激和体内需求均无反应,昏迷 程度按照格拉斯哥昏迷分级</w:t>
      </w:r>
      <w:r>
        <w:rPr/>
        <w:t>（Glasgow coma scale）</w:t>
      </w:r>
      <w:r>
        <w:rPr>
          <w:spacing w:val="-2"/>
        </w:rPr>
        <w:t>结果为</w:t>
      </w:r>
      <w:r>
        <w:rPr>
          <w:spacing w:val="-3"/>
        </w:rPr>
        <w:t>5</w:t>
      </w:r>
      <w:r>
        <w:rPr/>
        <w:t>分或</w:t>
      </w:r>
      <w:r>
        <w:rPr>
          <w:spacing w:val="-3"/>
        </w:rPr>
        <w:t>5</w:t>
      </w:r>
      <w:r>
        <w:rPr>
          <w:spacing w:val="-1"/>
        </w:rPr>
        <w:t>分以下，</w:t>
      </w:r>
    </w:p>
    <w:p>
      <w:pPr>
        <w:spacing w:after="0" w:line="273" w:lineRule="auto"/>
        <w:sectPr>
          <w:type w:val="continuous"/>
          <w:pgSz w:w="11910" w:h="16840"/>
          <w:pgMar w:top="240" w:bottom="1180" w:left="960" w:right="1260"/>
          <w:cols w:num="2" w:equalWidth="0">
            <w:col w:w="2456" w:space="40"/>
            <w:col w:w="7194"/>
          </w:cols>
        </w:sectPr>
      </w:pPr>
    </w:p>
    <w:p>
      <w:pPr>
        <w:pStyle w:val="BodyText"/>
        <w:spacing w:before="4"/>
        <w:rPr>
          <w:sz w:val="24"/>
        </w:rPr>
      </w:pPr>
    </w:p>
    <w:p>
      <w:pPr>
        <w:pStyle w:val="BodyText"/>
        <w:tabs>
          <w:tab w:pos="2668" w:val="left" w:leader="none"/>
        </w:tabs>
        <w:spacing w:line="273" w:lineRule="auto" w:before="36"/>
        <w:ind w:left="2668" w:right="1658" w:hanging="1702"/>
      </w:pPr>
      <w:r>
        <w:rPr/>
        <w:t>行业</w:t>
      </w:r>
      <w:r>
        <w:rPr>
          <w:spacing w:val="-3"/>
        </w:rPr>
        <w:t>协</w:t>
      </w:r>
      <w:r>
        <w:rPr/>
        <w:t>会</w:t>
      </w:r>
      <w:r>
        <w:rPr>
          <w:spacing w:val="-3"/>
        </w:rPr>
        <w:t>推</w:t>
      </w:r>
      <w:r>
        <w:rPr/>
        <w:t>荐”</w:t>
        <w:tab/>
      </w:r>
      <w:r>
        <w:rPr>
          <w:spacing w:val="-1"/>
        </w:rPr>
        <w:t>且已经</w:t>
      </w:r>
      <w:r>
        <w:rPr>
          <w:spacing w:val="-3"/>
        </w:rPr>
        <w:t>持续</w:t>
      </w:r>
      <w:r>
        <w:rPr>
          <w:spacing w:val="-1"/>
        </w:rPr>
        <w:t>使用</w:t>
      </w:r>
      <w:r>
        <w:rPr>
          <w:spacing w:val="-3"/>
        </w:rPr>
        <w:t>呼吸</w:t>
      </w:r>
      <w:r>
        <w:rPr/>
        <w:t>机及其他</w:t>
      </w:r>
      <w:r>
        <w:rPr>
          <w:spacing w:val="-5"/>
        </w:rPr>
        <w:t>生</w:t>
      </w:r>
      <w:r>
        <w:rPr/>
        <w:t>命维持</w:t>
      </w:r>
      <w:r>
        <w:rPr>
          <w:spacing w:val="-5"/>
        </w:rPr>
        <w:t>系</w:t>
      </w:r>
      <w:r>
        <w:rPr/>
        <w:t>统96小</w:t>
      </w:r>
      <w:r>
        <w:rPr>
          <w:spacing w:val="-3"/>
        </w:rPr>
        <w:t>时</w:t>
      </w:r>
      <w:r>
        <w:rPr/>
        <w:t>以上。 因酗酒</w:t>
      </w:r>
      <w:r>
        <w:rPr>
          <w:spacing w:val="-3"/>
        </w:rPr>
        <w:t>或药</w:t>
      </w:r>
      <w:r>
        <w:rPr/>
        <w:t>物滥</w:t>
      </w:r>
      <w:r>
        <w:rPr>
          <w:spacing w:val="-3"/>
        </w:rPr>
        <w:t>用导</w:t>
      </w:r>
      <w:r>
        <w:rPr/>
        <w:t>致的深度</w:t>
      </w:r>
      <w:r>
        <w:rPr>
          <w:spacing w:val="-5"/>
        </w:rPr>
        <w:t>昏</w:t>
      </w:r>
      <w:r>
        <w:rPr/>
        <w:t>迷不在</w:t>
      </w:r>
      <w:r>
        <w:rPr>
          <w:spacing w:val="-5"/>
        </w:rPr>
        <w:t>保</w:t>
      </w:r>
      <w:r>
        <w:rPr/>
        <w:t>障范围</w:t>
      </w:r>
      <w:r>
        <w:rPr>
          <w:spacing w:val="-5"/>
        </w:rPr>
        <w:t>内</w:t>
      </w:r>
      <w:r>
        <w:rPr/>
        <w:t>。</w:t>
      </w:r>
    </w:p>
    <w:p>
      <w:pPr>
        <w:pStyle w:val="BodyText"/>
        <w:spacing w:before="1"/>
      </w:pPr>
    </w:p>
    <w:p>
      <w:pPr>
        <w:spacing w:after="0"/>
        <w:sectPr>
          <w:pgSz w:w="11910" w:h="16840"/>
          <w:pgMar w:header="335" w:footer="991" w:top="560" w:bottom="1180" w:left="960" w:right="1360"/>
        </w:sectPr>
      </w:pPr>
    </w:p>
    <w:p>
      <w:pPr>
        <w:pStyle w:val="BodyText"/>
        <w:spacing w:line="273" w:lineRule="auto" w:before="43"/>
        <w:ind w:left="967"/>
        <w:jc w:val="both"/>
      </w:pPr>
      <w:r>
        <w:rPr/>
        <w:t>( 十三) 双耳失聪－“中国保险行业协会推荐”</w:t>
      </w:r>
    </w:p>
    <w:p>
      <w:pPr>
        <w:pStyle w:val="BodyText"/>
        <w:spacing w:before="43"/>
        <w:ind w:left="173"/>
      </w:pPr>
      <w:r>
        <w:rPr/>
        <w:br w:type="column"/>
      </w:r>
      <w:r>
        <w:rPr/>
        <w:t>指因疾病或意外伤害导致双耳听力</w:t>
      </w:r>
      <w:r>
        <w:rPr>
          <w:b/>
        </w:rPr>
        <w:t>永久不可逆</w:t>
      </w:r>
      <w:r>
        <w:rPr/>
        <w:t>（见释义 </w:t>
      </w:r>
      <w:r>
        <w:rPr>
          <w:rFonts w:ascii="Times New Roman" w:eastAsia="Times New Roman"/>
        </w:rPr>
        <w:t>6.25</w:t>
      </w:r>
      <w:r>
        <w:rPr/>
        <w:t>）性丧失，在</w:t>
      </w:r>
    </w:p>
    <w:p>
      <w:pPr>
        <w:pStyle w:val="BodyText"/>
        <w:spacing w:line="273" w:lineRule="auto" w:before="21"/>
        <w:ind w:left="173" w:right="122"/>
      </w:pPr>
      <w:r>
        <w:rPr/>
        <w:t>500</w:t>
      </w:r>
      <w:r>
        <w:rPr>
          <w:spacing w:val="-12"/>
        </w:rPr>
        <w:t> 赫兹、</w:t>
      </w:r>
      <w:r>
        <w:rPr/>
        <w:t>1000</w:t>
      </w:r>
      <w:r>
        <w:rPr>
          <w:spacing w:val="-17"/>
        </w:rPr>
        <w:t> 赫兹和 </w:t>
      </w:r>
      <w:r>
        <w:rPr/>
        <w:t>2000</w:t>
      </w:r>
      <w:r>
        <w:rPr>
          <w:spacing w:val="-10"/>
        </w:rPr>
        <w:t> 赫兹语音频率下，平均听阈大于 </w:t>
      </w:r>
      <w:r>
        <w:rPr/>
        <w:t>90</w:t>
      </w:r>
      <w:r>
        <w:rPr>
          <w:spacing w:val="-10"/>
        </w:rPr>
        <w:t> 分贝，且</w:t>
      </w:r>
      <w:r>
        <w:rPr>
          <w:spacing w:val="-7"/>
        </w:rPr>
        <w:t>经纯音听力测试、声导抗检测或听觉诱发电位检测等证实。</w:t>
      </w:r>
    </w:p>
    <w:p>
      <w:pPr>
        <w:spacing w:after="0" w:line="273" w:lineRule="auto"/>
        <w:sectPr>
          <w:type w:val="continuous"/>
          <w:pgSz w:w="11910" w:h="16840"/>
          <w:pgMar w:top="240" w:bottom="1180" w:left="960" w:right="1360"/>
          <w:cols w:num="2" w:equalWidth="0">
            <w:col w:w="2456" w:space="40"/>
            <w:col w:w="7094"/>
          </w:cols>
        </w:sectPr>
      </w:pPr>
    </w:p>
    <w:p>
      <w:pPr>
        <w:pStyle w:val="BodyText"/>
        <w:spacing w:before="8"/>
      </w:pPr>
    </w:p>
    <w:p>
      <w:pPr>
        <w:spacing w:after="0"/>
        <w:sectPr>
          <w:type w:val="continuous"/>
          <w:pgSz w:w="11910" w:h="16840"/>
          <w:pgMar w:top="240" w:bottom="1180" w:left="960" w:right="1360"/>
        </w:sectPr>
      </w:pPr>
    </w:p>
    <w:p>
      <w:pPr>
        <w:pStyle w:val="BodyText"/>
        <w:spacing w:line="273" w:lineRule="auto" w:before="37"/>
        <w:ind w:left="967"/>
        <w:jc w:val="both"/>
      </w:pPr>
      <w:r>
        <w:rPr/>
        <w:t>( 十四) 双目失明－“中国保险行业协会推荐”</w:t>
      </w:r>
    </w:p>
    <w:p>
      <w:pPr>
        <w:pStyle w:val="BodyText"/>
        <w:spacing w:line="273" w:lineRule="auto" w:before="37"/>
        <w:ind w:left="173" w:right="122"/>
      </w:pPr>
      <w:r>
        <w:rPr/>
        <w:br w:type="column"/>
      </w:r>
      <w:r>
        <w:rPr/>
        <w:t>指因疾病或意外伤害导致双眼视力永久不可逆性丧失，双眼中较好眼须满足下列至少一项条件：</w:t>
      </w:r>
    </w:p>
    <w:p>
      <w:pPr>
        <w:pStyle w:val="BodyText"/>
        <w:spacing w:before="8"/>
        <w:ind w:left="173"/>
      </w:pPr>
      <w:r>
        <w:rPr/>
        <w:t>（1）眼球缺失或摘除；</w:t>
      </w:r>
    </w:p>
    <w:p>
      <w:pPr>
        <w:pStyle w:val="BodyText"/>
        <w:spacing w:line="273" w:lineRule="auto" w:before="37"/>
        <w:ind w:left="699" w:right="71" w:hanging="526"/>
      </w:pPr>
      <w:r>
        <w:rPr/>
        <w:t>（2）矫正视力低于0.02（采用国际标准视力表，如果使用其他视力表应进行换算）；</w:t>
      </w:r>
    </w:p>
    <w:p>
      <w:pPr>
        <w:pStyle w:val="BodyText"/>
        <w:spacing w:before="7"/>
        <w:ind w:left="173"/>
      </w:pPr>
      <w:r>
        <w:rPr/>
        <w:t>（3）视野半径小于 5 度。</w:t>
      </w:r>
    </w:p>
    <w:p>
      <w:pPr>
        <w:spacing w:after="0"/>
        <w:sectPr>
          <w:type w:val="continuous"/>
          <w:pgSz w:w="11910" w:h="16840"/>
          <w:pgMar w:top="240" w:bottom="1180" w:left="960" w:right="1360"/>
          <w:cols w:num="2" w:equalWidth="0">
            <w:col w:w="2456" w:space="40"/>
            <w:col w:w="7094"/>
          </w:cols>
        </w:sectPr>
      </w:pPr>
    </w:p>
    <w:p>
      <w:pPr>
        <w:pStyle w:val="BodyText"/>
        <w:spacing w:before="11"/>
        <w:rPr>
          <w:sz w:val="23"/>
        </w:rPr>
      </w:pPr>
    </w:p>
    <w:p>
      <w:pPr>
        <w:spacing w:after="0"/>
        <w:rPr>
          <w:sz w:val="23"/>
        </w:rPr>
        <w:sectPr>
          <w:type w:val="continuous"/>
          <w:pgSz w:w="11910" w:h="16840"/>
          <w:pgMar w:top="240" w:bottom="1180" w:left="960" w:right="1360"/>
        </w:sectPr>
      </w:pPr>
    </w:p>
    <w:p>
      <w:pPr>
        <w:pStyle w:val="BodyText"/>
        <w:spacing w:before="36"/>
        <w:ind w:left="967"/>
      </w:pPr>
      <w:r>
        <w:rPr/>
        <w:t>( 十五) 瘫痪－</w:t>
      </w:r>
    </w:p>
    <w:p>
      <w:pPr>
        <w:pStyle w:val="BodyText"/>
        <w:spacing w:line="273" w:lineRule="auto" w:before="36"/>
        <w:ind w:left="967"/>
      </w:pPr>
      <w:r>
        <w:rPr/>
        <w:t>“中国保险行业协会推荐”</w:t>
      </w:r>
    </w:p>
    <w:p>
      <w:pPr>
        <w:pStyle w:val="BodyText"/>
        <w:spacing w:line="264" w:lineRule="auto" w:before="36"/>
        <w:ind w:left="173" w:right="117"/>
        <w:jc w:val="both"/>
      </w:pPr>
      <w:r>
        <w:rPr/>
        <w:br w:type="column"/>
      </w:r>
      <w:r>
        <w:rPr/>
        <w:t>指因疾病或意外伤害导致两肢或两肢以上肢体机能永久完全丧失。肢体机</w:t>
      </w:r>
      <w:r>
        <w:rPr>
          <w:spacing w:val="-5"/>
        </w:rPr>
        <w:t>能永久完全丧失，指疾病确诊 </w:t>
      </w:r>
      <w:r>
        <w:rPr>
          <w:rFonts w:ascii="Times New Roman" w:eastAsia="Times New Roman"/>
        </w:rPr>
        <w:t>180 </w:t>
      </w:r>
      <w:r>
        <w:rPr>
          <w:spacing w:val="-6"/>
        </w:rPr>
        <w:t>天后或意外伤害发生 </w:t>
      </w:r>
      <w:r>
        <w:rPr>
          <w:rFonts w:ascii="Times New Roman" w:eastAsia="Times New Roman"/>
        </w:rPr>
        <w:t>180 </w:t>
      </w:r>
      <w:r>
        <w:rPr>
          <w:spacing w:val="-2"/>
        </w:rPr>
        <w:t>天后，每肢三</w:t>
      </w:r>
      <w:r>
        <w:rPr>
          <w:spacing w:val="-5"/>
        </w:rPr>
        <w:t>大关节中的两大关节仍然完全僵硬，或不能随意识活动。</w:t>
      </w:r>
    </w:p>
    <w:p>
      <w:pPr>
        <w:spacing w:after="0" w:line="264" w:lineRule="auto"/>
        <w:jc w:val="both"/>
        <w:sectPr>
          <w:type w:val="continuous"/>
          <w:pgSz w:w="11910" w:h="16840"/>
          <w:pgMar w:top="240" w:bottom="1180" w:left="960" w:right="1360"/>
          <w:cols w:num="2" w:equalWidth="0">
            <w:col w:w="2456" w:space="40"/>
            <w:col w:w="7094"/>
          </w:cols>
        </w:sectPr>
      </w:pPr>
    </w:p>
    <w:p>
      <w:pPr>
        <w:pStyle w:val="BodyText"/>
        <w:spacing w:before="8"/>
      </w:pPr>
    </w:p>
    <w:p>
      <w:pPr>
        <w:spacing w:after="0"/>
        <w:sectPr>
          <w:type w:val="continuous"/>
          <w:pgSz w:w="11910" w:h="16840"/>
          <w:pgMar w:top="240" w:bottom="1180" w:left="960" w:right="1360"/>
        </w:sectPr>
      </w:pPr>
    </w:p>
    <w:p>
      <w:pPr>
        <w:pStyle w:val="BodyText"/>
        <w:spacing w:line="273" w:lineRule="auto" w:before="36"/>
        <w:ind w:left="967"/>
        <w:jc w:val="both"/>
      </w:pPr>
      <w:r>
        <w:rPr/>
        <w:t>( 十六) 心脏瓣膜手术－“中国保险行业协会推荐”</w:t>
      </w:r>
    </w:p>
    <w:p>
      <w:pPr>
        <w:pStyle w:val="BodyText"/>
        <w:spacing w:line="273" w:lineRule="auto" w:before="36"/>
        <w:ind w:left="173" w:right="122"/>
      </w:pPr>
      <w:r>
        <w:rPr/>
        <w:br w:type="column"/>
      </w:r>
      <w:r>
        <w:rPr/>
        <w:t>指为治疗心脏瓣膜疾病，实际实施了开胸进行的心脏瓣膜置换或修复的手术。</w:t>
      </w:r>
    </w:p>
    <w:p>
      <w:pPr>
        <w:spacing w:after="0" w:line="273" w:lineRule="auto"/>
        <w:sectPr>
          <w:type w:val="continuous"/>
          <w:pgSz w:w="11910" w:h="16840"/>
          <w:pgMar w:top="240" w:bottom="1180" w:left="960" w:right="1360"/>
          <w:cols w:num="2" w:equalWidth="0">
            <w:col w:w="2456" w:space="40"/>
            <w:col w:w="7094"/>
          </w:cols>
        </w:sectPr>
      </w:pPr>
    </w:p>
    <w:p>
      <w:pPr>
        <w:pStyle w:val="BodyText"/>
        <w:spacing w:before="8"/>
      </w:pPr>
    </w:p>
    <w:p>
      <w:pPr>
        <w:spacing w:after="0"/>
        <w:sectPr>
          <w:type w:val="continuous"/>
          <w:pgSz w:w="11910" w:h="16840"/>
          <w:pgMar w:top="240" w:bottom="1180" w:left="960" w:right="1360"/>
        </w:sectPr>
      </w:pPr>
    </w:p>
    <w:p>
      <w:pPr>
        <w:pStyle w:val="BodyText"/>
        <w:spacing w:line="273" w:lineRule="auto" w:before="36"/>
        <w:ind w:left="967"/>
      </w:pPr>
      <w:r>
        <w:rPr/>
        <w:t>( 十七) 严重阿尔茨海默病－</w:t>
      </w:r>
    </w:p>
    <w:p>
      <w:pPr>
        <w:pStyle w:val="BodyText"/>
        <w:spacing w:line="273" w:lineRule="auto" w:before="7"/>
        <w:ind w:left="967"/>
      </w:pPr>
      <w:r>
        <w:rPr/>
        <w:t>“中国保险行业协会推荐”</w:t>
      </w:r>
    </w:p>
    <w:p>
      <w:pPr>
        <w:pStyle w:val="BodyText"/>
        <w:spacing w:line="273" w:lineRule="auto" w:before="36"/>
        <w:ind w:left="173" w:right="122"/>
        <w:jc w:val="both"/>
      </w:pPr>
      <w:r>
        <w:rPr/>
        <w:br w:type="column"/>
      </w:r>
      <w:r>
        <w:rPr/>
        <w:t>指因大脑进行性、不可逆性改变导致智能严重衰退或丧失，临床表现为明显的认知能力障碍、行为异常和社交能力减退，其日常生活必须持续受到</w:t>
      </w:r>
      <w:r>
        <w:rPr>
          <w:spacing w:val="-4"/>
        </w:rPr>
        <w:t>他人监护。须由头颅断层扫描</w:t>
      </w:r>
      <w:r>
        <w:rPr>
          <w:spacing w:val="-3"/>
        </w:rPr>
        <w:t>（CT）</w:t>
      </w:r>
      <w:r>
        <w:rPr>
          <w:spacing w:val="-5"/>
        </w:rPr>
        <w:t>、核磁共振检查</w:t>
      </w:r>
      <w:r>
        <w:rPr>
          <w:spacing w:val="-3"/>
        </w:rPr>
        <w:t>（MRI）</w:t>
      </w:r>
      <w:r>
        <w:rPr>
          <w:spacing w:val="-2"/>
        </w:rPr>
        <w:t>或正电子发射</w:t>
      </w:r>
      <w:r>
        <w:rPr>
          <w:spacing w:val="-5"/>
        </w:rPr>
        <w:t>断层扫描</w:t>
      </w:r>
      <w:r>
        <w:rPr>
          <w:spacing w:val="-3"/>
        </w:rPr>
        <w:t>（PET）</w:t>
      </w:r>
      <w:r>
        <w:rPr>
          <w:spacing w:val="-6"/>
        </w:rPr>
        <w:t>等影像学检查证实，且自主生活能力完全丧失，无法独立</w:t>
      </w:r>
      <w:r>
        <w:rPr>
          <w:spacing w:val="-5"/>
        </w:rPr>
        <w:t>完成六项基本日常生活活动中的三项或三项以上。</w:t>
      </w:r>
    </w:p>
    <w:p>
      <w:pPr>
        <w:pStyle w:val="BodyText"/>
        <w:spacing w:before="7"/>
        <w:ind w:left="173"/>
        <w:jc w:val="both"/>
      </w:pPr>
      <w:r>
        <w:rPr/>
        <w:t>神经官能症和精神疾病不在保障范围内。</w:t>
      </w:r>
    </w:p>
    <w:p>
      <w:pPr>
        <w:spacing w:after="0"/>
        <w:jc w:val="both"/>
        <w:sectPr>
          <w:type w:val="continuous"/>
          <w:pgSz w:w="11910" w:h="16840"/>
          <w:pgMar w:top="240" w:bottom="1180" w:left="960" w:right="1360"/>
          <w:cols w:num="2" w:equalWidth="0">
            <w:col w:w="2456" w:space="40"/>
            <w:col w:w="7094"/>
          </w:cols>
        </w:sectPr>
      </w:pPr>
    </w:p>
    <w:p>
      <w:pPr>
        <w:pStyle w:val="BodyText"/>
        <w:spacing w:before="12"/>
        <w:rPr>
          <w:sz w:val="23"/>
        </w:rPr>
      </w:pPr>
    </w:p>
    <w:p>
      <w:pPr>
        <w:spacing w:after="0"/>
        <w:rPr>
          <w:sz w:val="23"/>
        </w:rPr>
        <w:sectPr>
          <w:type w:val="continuous"/>
          <w:pgSz w:w="11910" w:h="16840"/>
          <w:pgMar w:top="240" w:bottom="1180" w:left="960" w:right="1360"/>
        </w:sectPr>
      </w:pPr>
    </w:p>
    <w:p>
      <w:pPr>
        <w:pStyle w:val="BodyText"/>
        <w:spacing w:line="273" w:lineRule="auto" w:before="36"/>
        <w:ind w:left="967"/>
        <w:jc w:val="both"/>
      </w:pPr>
      <w:r>
        <w:rPr/>
        <w:t>( 十八) 严重脑损伤－“中国保险行业协会推荐”</w:t>
      </w:r>
    </w:p>
    <w:p>
      <w:pPr>
        <w:pStyle w:val="BodyText"/>
        <w:spacing w:line="273" w:lineRule="auto" w:before="36"/>
        <w:ind w:left="173" w:right="122"/>
        <w:jc w:val="both"/>
      </w:pPr>
      <w:r>
        <w:rPr/>
        <w:br w:type="column"/>
      </w:r>
      <w:r>
        <w:rPr>
          <w:spacing w:val="-5"/>
        </w:rPr>
        <w:t>指因头部遭受机械性外力，引起脑重要部位损伤，导致神经系统永久性的</w:t>
      </w:r>
      <w:r>
        <w:rPr>
          <w:spacing w:val="-7"/>
        </w:rPr>
        <w:t>功能障碍。须由头颅断层扫描</w:t>
      </w:r>
      <w:r>
        <w:rPr/>
        <w:t>（CT）</w:t>
      </w:r>
      <w:r>
        <w:rPr>
          <w:spacing w:val="-6"/>
        </w:rPr>
        <w:t>、核磁共振检查</w:t>
      </w:r>
      <w:r>
        <w:rPr>
          <w:spacing w:val="-3"/>
        </w:rPr>
        <w:t>（MRI）</w:t>
      </w:r>
      <w:r>
        <w:rPr>
          <w:spacing w:val="-2"/>
        </w:rPr>
        <w:t>或正电子发射</w:t>
      </w:r>
      <w:r>
        <w:rPr>
          <w:spacing w:val="-5"/>
        </w:rPr>
        <w:t>断层扫描</w:t>
      </w:r>
      <w:r>
        <w:rPr>
          <w:spacing w:val="-4"/>
        </w:rPr>
        <w:t>（PET）</w:t>
      </w:r>
      <w:r>
        <w:rPr>
          <w:spacing w:val="-6"/>
        </w:rPr>
        <w:t>等影像学检查证实。神经系统永久性的功能障碍，指脑损</w:t>
      </w:r>
      <w:r>
        <w:rPr>
          <w:spacing w:val="-1"/>
        </w:rPr>
        <w:t>伤180</w:t>
      </w:r>
      <w:r>
        <w:rPr>
          <w:spacing w:val="-4"/>
        </w:rPr>
        <w:t>天后，仍遗留下列一种或一种以上障碍：</w:t>
      </w:r>
    </w:p>
    <w:p>
      <w:pPr>
        <w:pStyle w:val="BodyText"/>
        <w:spacing w:before="7"/>
        <w:ind w:left="173"/>
      </w:pPr>
      <w:r>
        <w:rPr/>
        <w:t>（1）一肢或一肢以上肢体机能完全丧失；</w:t>
      </w:r>
    </w:p>
    <w:p>
      <w:pPr>
        <w:pStyle w:val="BodyText"/>
        <w:spacing w:before="36"/>
        <w:ind w:left="173"/>
      </w:pPr>
      <w:r>
        <w:rPr/>
        <w:t>（2）语言能力或咀嚼吞咽能力完全丧失；</w:t>
      </w:r>
    </w:p>
    <w:p>
      <w:pPr>
        <w:pStyle w:val="BodyText"/>
        <w:spacing w:line="273" w:lineRule="auto" w:before="36"/>
        <w:ind w:left="699" w:right="92" w:hanging="526"/>
      </w:pPr>
      <w:r>
        <w:rPr/>
        <w:t>（3）自主生活能力完全丧失，无法独立完成六项基本日常生活活动中的三项或三项以上。</w:t>
      </w:r>
    </w:p>
    <w:p>
      <w:pPr>
        <w:spacing w:after="0" w:line="273" w:lineRule="auto"/>
        <w:sectPr>
          <w:type w:val="continuous"/>
          <w:pgSz w:w="11910" w:h="16840"/>
          <w:pgMar w:top="240" w:bottom="1180" w:left="960" w:right="1360"/>
          <w:cols w:num="2" w:equalWidth="0">
            <w:col w:w="2456" w:space="40"/>
            <w:col w:w="7094"/>
          </w:cols>
        </w:sectPr>
      </w:pPr>
    </w:p>
    <w:p>
      <w:pPr>
        <w:pStyle w:val="BodyText"/>
        <w:spacing w:before="8"/>
      </w:pPr>
    </w:p>
    <w:p>
      <w:pPr>
        <w:spacing w:after="0"/>
        <w:sectPr>
          <w:type w:val="continuous"/>
          <w:pgSz w:w="11910" w:h="16840"/>
          <w:pgMar w:top="240" w:bottom="1180" w:left="960" w:right="1360"/>
        </w:sectPr>
      </w:pPr>
    </w:p>
    <w:p>
      <w:pPr>
        <w:pStyle w:val="BodyText"/>
        <w:spacing w:line="273" w:lineRule="auto" w:before="36"/>
        <w:ind w:left="967"/>
        <w:jc w:val="both"/>
      </w:pPr>
      <w:r>
        <w:rPr/>
        <w:t>( 十九) 严重帕金森病－“中国保险行业协会推荐”</w:t>
      </w:r>
    </w:p>
    <w:p>
      <w:pPr>
        <w:pStyle w:val="BodyText"/>
        <w:spacing w:line="273" w:lineRule="auto" w:before="36"/>
        <w:ind w:left="173" w:right="189"/>
      </w:pPr>
      <w:r>
        <w:rPr/>
        <w:br w:type="column"/>
      </w:r>
      <w:r>
        <w:rPr/>
        <w:t>是一种中枢神经系统的退行性疾病，临床表现为震颤麻痹、共济失调等。须满足下列全部条件：</w:t>
      </w:r>
    </w:p>
    <w:p>
      <w:pPr>
        <w:pStyle w:val="BodyText"/>
        <w:spacing w:before="7"/>
        <w:ind w:left="173"/>
      </w:pPr>
      <w:r>
        <w:rPr/>
        <w:t>（1）药物治疗无法控制病情；</w:t>
      </w:r>
    </w:p>
    <w:p>
      <w:pPr>
        <w:pStyle w:val="BodyText"/>
        <w:spacing w:line="273" w:lineRule="auto" w:before="37"/>
        <w:ind w:left="699" w:right="92" w:hanging="526"/>
      </w:pPr>
      <w:r>
        <w:rPr/>
        <w:t>（2）自主生活能力完全丧失，无法独立完成六项基本日常生活活动中的三项或三项以上。</w:t>
      </w:r>
    </w:p>
    <w:p>
      <w:pPr>
        <w:pStyle w:val="BodyText"/>
        <w:spacing w:before="8"/>
        <w:ind w:left="173"/>
      </w:pPr>
      <w:r>
        <w:rPr/>
        <w:t>继发性帕金森综合征不在保障范围内。</w:t>
      </w:r>
    </w:p>
    <w:p>
      <w:pPr>
        <w:spacing w:after="0"/>
        <w:sectPr>
          <w:type w:val="continuous"/>
          <w:pgSz w:w="11910" w:h="16840"/>
          <w:pgMar w:top="240" w:bottom="1180" w:left="960" w:right="1360"/>
          <w:cols w:num="2" w:equalWidth="0">
            <w:col w:w="2456" w:space="40"/>
            <w:col w:w="7094"/>
          </w:cols>
        </w:sectPr>
      </w:pPr>
    </w:p>
    <w:p>
      <w:pPr>
        <w:pStyle w:val="BodyText"/>
        <w:spacing w:before="5"/>
        <w:rPr>
          <w:sz w:val="23"/>
        </w:rPr>
      </w:pPr>
    </w:p>
    <w:p>
      <w:pPr>
        <w:pStyle w:val="BodyText"/>
        <w:tabs>
          <w:tab w:pos="2668" w:val="left" w:leader="none"/>
        </w:tabs>
        <w:spacing w:before="43"/>
        <w:ind w:left="967"/>
      </w:pPr>
      <w:r>
        <w:rPr>
          <w:rFonts w:ascii="Times New Roman" w:hAnsi="Times New Roman" w:eastAsia="Times New Roman"/>
        </w:rPr>
        <w:t>(</w:t>
      </w:r>
      <w:r>
        <w:rPr>
          <w:rFonts w:ascii="Times New Roman" w:hAnsi="Times New Roman" w:eastAsia="Times New Roman"/>
          <w:spacing w:val="-22"/>
        </w:rPr>
        <w:t> </w:t>
      </w:r>
      <w:r>
        <w:rPr>
          <w:spacing w:val="30"/>
        </w:rPr>
        <w:t>二十</w:t>
      </w:r>
      <w:r>
        <w:rPr>
          <w:rFonts w:ascii="Times New Roman" w:hAnsi="Times New Roman" w:eastAsia="Times New Roman"/>
        </w:rPr>
        <w:t>) </w:t>
      </w:r>
      <w:r>
        <w:rPr>
          <w:rFonts w:ascii="Times New Roman" w:hAnsi="Times New Roman" w:eastAsia="Times New Roman"/>
          <w:spacing w:val="35"/>
        </w:rPr>
        <w:t> </w:t>
      </w:r>
      <w:r>
        <w:rPr>
          <w:spacing w:val="30"/>
        </w:rPr>
        <w:t>严重</w:t>
      </w:r>
      <w:r>
        <w:rPr/>
        <w:t>Ⅲ</w:t>
        <w:tab/>
        <w:t>指烧伤</w:t>
      </w:r>
      <w:r>
        <w:rPr>
          <w:spacing w:val="-3"/>
        </w:rPr>
        <w:t>程度</w:t>
      </w:r>
      <w:r>
        <w:rPr/>
        <w:t>为</w:t>
      </w:r>
      <w:r>
        <w:rPr>
          <w:spacing w:val="-3"/>
        </w:rPr>
        <w:t>Ⅲ</w:t>
      </w:r>
      <w:r>
        <w:rPr/>
        <w:t>度</w:t>
      </w:r>
      <w:r>
        <w:rPr>
          <w:spacing w:val="-3"/>
        </w:rPr>
        <w:t>，</w:t>
      </w:r>
      <w:r>
        <w:rPr/>
        <w:t>且</w:t>
      </w:r>
      <w:r>
        <w:rPr>
          <w:spacing w:val="-3"/>
        </w:rPr>
        <w:t>Ⅲ</w:t>
      </w:r>
      <w:r>
        <w:rPr/>
        <w:t>度烧</w:t>
      </w:r>
      <w:r>
        <w:rPr>
          <w:spacing w:val="-3"/>
        </w:rPr>
        <w:t>伤</w:t>
      </w:r>
      <w:r>
        <w:rPr/>
        <w:t>的面积</w:t>
      </w:r>
      <w:r>
        <w:rPr>
          <w:spacing w:val="-5"/>
        </w:rPr>
        <w:t>达</w:t>
      </w:r>
      <w:r>
        <w:rPr/>
        <w:t>到全身</w:t>
      </w:r>
      <w:r>
        <w:rPr>
          <w:spacing w:val="-5"/>
        </w:rPr>
        <w:t>体</w:t>
      </w:r>
      <w:r>
        <w:rPr/>
        <w:t>表面积的</w:t>
      </w:r>
      <w:r>
        <w:rPr>
          <w:spacing w:val="-24"/>
        </w:rPr>
        <w:t> </w:t>
      </w:r>
      <w:r>
        <w:rPr>
          <w:rFonts w:ascii="Times New Roman" w:hAnsi="Times New Roman" w:eastAsia="Times New Roman"/>
        </w:rPr>
        <w:t>20%</w:t>
      </w:r>
      <w:r>
        <w:rPr/>
        <w:t>或</w:t>
      </w:r>
      <w:r>
        <w:rPr>
          <w:spacing w:val="-21"/>
        </w:rPr>
        <w:t> </w:t>
      </w:r>
      <w:r>
        <w:rPr>
          <w:rFonts w:ascii="Times New Roman" w:hAnsi="Times New Roman" w:eastAsia="Times New Roman"/>
        </w:rPr>
        <w:t>20%</w:t>
      </w:r>
      <w:r>
        <w:rPr/>
        <w:t>以</w:t>
      </w:r>
    </w:p>
    <w:p>
      <w:pPr>
        <w:spacing w:after="0"/>
        <w:sectPr>
          <w:type w:val="continuous"/>
          <w:pgSz w:w="11910" w:h="16840"/>
          <w:pgMar w:top="240" w:bottom="1180" w:left="960" w:right="1360"/>
        </w:sectPr>
      </w:pPr>
    </w:p>
    <w:p>
      <w:pPr>
        <w:pStyle w:val="BodyText"/>
        <w:spacing w:before="4"/>
        <w:rPr>
          <w:sz w:val="24"/>
        </w:rPr>
      </w:pPr>
    </w:p>
    <w:p>
      <w:pPr>
        <w:spacing w:after="0"/>
        <w:rPr>
          <w:sz w:val="24"/>
        </w:rPr>
        <w:sectPr>
          <w:pgSz w:w="11910" w:h="16840"/>
          <w:pgMar w:header="335" w:footer="991" w:top="560" w:bottom="1180" w:left="960" w:right="1380"/>
        </w:sectPr>
      </w:pPr>
    </w:p>
    <w:p>
      <w:pPr>
        <w:pStyle w:val="BodyText"/>
        <w:spacing w:line="273" w:lineRule="auto" w:before="36"/>
        <w:ind w:left="967"/>
        <w:jc w:val="both"/>
      </w:pPr>
      <w:r>
        <w:rPr/>
        <w:t>度烧伤－“中国保险行业协会推荐”</w:t>
      </w:r>
    </w:p>
    <w:p>
      <w:pPr>
        <w:pStyle w:val="BodyText"/>
        <w:spacing w:before="36"/>
        <w:ind w:left="176"/>
      </w:pPr>
      <w:r>
        <w:rPr/>
        <w:br w:type="column"/>
      </w:r>
      <w:r>
        <w:rPr/>
        <w:t>上。体表面积根据《中国新九分法》计算。</w:t>
      </w:r>
    </w:p>
    <w:p>
      <w:pPr>
        <w:spacing w:after="0"/>
        <w:sectPr>
          <w:type w:val="continuous"/>
          <w:pgSz w:w="11910" w:h="16840"/>
          <w:pgMar w:top="240" w:bottom="1180" w:left="960" w:right="1380"/>
          <w:cols w:num="2" w:equalWidth="0">
            <w:col w:w="2453" w:space="40"/>
            <w:col w:w="7077"/>
          </w:cols>
        </w:sectPr>
      </w:pPr>
    </w:p>
    <w:p>
      <w:pPr>
        <w:pStyle w:val="BodyText"/>
        <w:spacing w:before="11"/>
        <w:rPr>
          <w:sz w:val="20"/>
        </w:rPr>
      </w:pPr>
    </w:p>
    <w:p>
      <w:pPr>
        <w:spacing w:after="0"/>
        <w:rPr>
          <w:sz w:val="20"/>
        </w:rPr>
        <w:sectPr>
          <w:type w:val="continuous"/>
          <w:pgSz w:w="11910" w:h="16840"/>
          <w:pgMar w:top="240" w:bottom="1180" w:left="960" w:right="1380"/>
        </w:sectPr>
      </w:pPr>
    </w:p>
    <w:p>
      <w:pPr>
        <w:pStyle w:val="BodyText"/>
        <w:spacing w:line="268" w:lineRule="auto" w:before="46"/>
        <w:ind w:left="967"/>
        <w:jc w:val="both"/>
      </w:pPr>
      <w:r>
        <w:rPr>
          <w:rFonts w:ascii="Arial" w:hAnsi="Arial" w:eastAsia="Arial"/>
        </w:rPr>
        <w:t>( </w:t>
      </w:r>
      <w:r>
        <w:rPr/>
        <w:t>二十一</w:t>
      </w:r>
      <w:r>
        <w:rPr>
          <w:rFonts w:ascii="Arial" w:hAnsi="Arial" w:eastAsia="Arial"/>
        </w:rPr>
        <w:t>) </w:t>
      </w:r>
      <w:r>
        <w:rPr/>
        <w:t>严重原发性肺动脉高压－“中国保险行业协会推荐”</w:t>
      </w:r>
    </w:p>
    <w:p>
      <w:pPr>
        <w:pStyle w:val="BodyText"/>
        <w:spacing w:line="273" w:lineRule="auto" w:before="46"/>
        <w:ind w:left="173" w:right="100"/>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73" w:lineRule="auto"/>
        <w:jc w:val="both"/>
        <w:sectPr>
          <w:type w:val="continuous"/>
          <w:pgSz w:w="11910" w:h="16840"/>
          <w:pgMar w:top="240" w:bottom="1180" w:left="960" w:right="1380"/>
          <w:cols w:num="2" w:equalWidth="0">
            <w:col w:w="2456" w:space="40"/>
            <w:col w:w="7074"/>
          </w:cols>
        </w:sectPr>
      </w:pPr>
    </w:p>
    <w:p>
      <w:pPr>
        <w:pStyle w:val="BodyText"/>
        <w:spacing w:before="5"/>
      </w:pPr>
    </w:p>
    <w:p>
      <w:pPr>
        <w:spacing w:after="0"/>
        <w:sectPr>
          <w:type w:val="continuous"/>
          <w:pgSz w:w="11910" w:h="16840"/>
          <w:pgMar w:top="240" w:bottom="1180" w:left="960" w:right="1380"/>
        </w:sectPr>
      </w:pPr>
    </w:p>
    <w:p>
      <w:pPr>
        <w:pStyle w:val="BodyText"/>
        <w:spacing w:line="256" w:lineRule="auto" w:before="43"/>
        <w:ind w:left="967"/>
      </w:pPr>
      <w:r>
        <w:rPr>
          <w:rFonts w:ascii="Times New Roman" w:eastAsia="Times New Roman"/>
        </w:rPr>
        <w:t>( </w:t>
      </w:r>
      <w:r>
        <w:rPr/>
        <w:t>二十二</w:t>
      </w:r>
      <w:r>
        <w:rPr>
          <w:rFonts w:ascii="Times New Roman" w:eastAsia="Times New Roman"/>
        </w:rPr>
        <w:t>) </w:t>
      </w:r>
      <w:r>
        <w:rPr/>
        <w:t>严重运动神经元病－</w:t>
      </w:r>
    </w:p>
    <w:p>
      <w:pPr>
        <w:pStyle w:val="BodyText"/>
        <w:spacing w:line="273" w:lineRule="auto" w:before="22"/>
        <w:ind w:left="967"/>
      </w:pPr>
      <w:r>
        <w:rPr/>
        <w:t>“中国保险行业协会推荐”</w:t>
      </w:r>
    </w:p>
    <w:p>
      <w:pPr>
        <w:pStyle w:val="BodyText"/>
        <w:spacing w:line="273" w:lineRule="auto" w:before="43"/>
        <w:ind w:left="173" w:right="10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240" w:bottom="1180" w:left="960" w:right="1380"/>
          <w:cols w:num="2" w:equalWidth="0">
            <w:col w:w="2456" w:space="40"/>
            <w:col w:w="7074"/>
          </w:cols>
        </w:sectPr>
      </w:pPr>
    </w:p>
    <w:p>
      <w:pPr>
        <w:pStyle w:val="BodyText"/>
        <w:spacing w:before="1"/>
      </w:pPr>
    </w:p>
    <w:p>
      <w:pPr>
        <w:spacing w:after="0"/>
        <w:sectPr>
          <w:type w:val="continuous"/>
          <w:pgSz w:w="11910" w:h="16840"/>
          <w:pgMar w:top="240" w:bottom="1180" w:left="960" w:right="1380"/>
        </w:sectPr>
      </w:pPr>
    </w:p>
    <w:p>
      <w:pPr>
        <w:pStyle w:val="BodyText"/>
        <w:spacing w:line="266" w:lineRule="auto" w:before="43"/>
        <w:ind w:left="967"/>
        <w:jc w:val="both"/>
      </w:pPr>
      <w:r>
        <w:rPr>
          <w:rFonts w:ascii="Times New Roman" w:hAnsi="Times New Roman" w:eastAsia="Times New Roman"/>
        </w:rPr>
        <w:t>( </w:t>
      </w:r>
      <w:r>
        <w:rPr/>
        <w:t>二十三</w:t>
      </w:r>
      <w:r>
        <w:rPr>
          <w:rFonts w:ascii="Times New Roman" w:hAnsi="Times New Roman" w:eastAsia="Times New Roman"/>
        </w:rPr>
        <w:t>) </w:t>
      </w:r>
      <w:r>
        <w:rPr/>
        <w:t>语言能力丧失－“中国保险行业协会推荐”</w:t>
      </w:r>
    </w:p>
    <w:p>
      <w:pPr>
        <w:pStyle w:val="BodyText"/>
        <w:spacing w:line="273" w:lineRule="auto" w:before="43"/>
        <w:ind w:left="173" w:right="100"/>
      </w:pPr>
      <w:r>
        <w:rPr/>
        <w:br w:type="column"/>
      </w:r>
      <w:r>
        <w:rPr>
          <w:spacing w:val="-9"/>
        </w:rPr>
        <w:t>指因疾病或意外伤害导致完全丧失语言能力，经过积极治疗至少</w:t>
      </w:r>
      <w:r>
        <w:rPr/>
        <w:t>12</w:t>
      </w:r>
      <w:r>
        <w:rPr>
          <w:spacing w:val="-38"/>
        </w:rPr>
        <w:t>个月</w:t>
      </w:r>
      <w:r>
        <w:rPr/>
        <w:t>（声</w:t>
      </w:r>
      <w:r>
        <w:rPr>
          <w:spacing w:val="-3"/>
        </w:rPr>
        <w:t>带完全切除不受此时间限制</w:t>
      </w:r>
      <w:r>
        <w:rPr/>
        <w:t>）</w:t>
      </w:r>
      <w:r>
        <w:rPr>
          <w:spacing w:val="-3"/>
        </w:rPr>
        <w:t>，仍无法通过现有医疗手段恢复。</w:t>
      </w:r>
    </w:p>
    <w:p>
      <w:pPr>
        <w:pStyle w:val="BodyText"/>
        <w:spacing w:before="7"/>
        <w:ind w:left="173"/>
      </w:pPr>
      <w:r>
        <w:rPr/>
        <w:t>精神心理因素所致的语言能力丧失不在保障范围内。</w:t>
      </w:r>
    </w:p>
    <w:p>
      <w:pPr>
        <w:spacing w:after="0"/>
        <w:sectPr>
          <w:type w:val="continuous"/>
          <w:pgSz w:w="11910" w:h="16840"/>
          <w:pgMar w:top="240" w:bottom="1180" w:left="960" w:right="1380"/>
          <w:cols w:num="2" w:equalWidth="0">
            <w:col w:w="2456" w:space="40"/>
            <w:col w:w="7074"/>
          </w:cols>
        </w:sectPr>
      </w:pPr>
    </w:p>
    <w:p>
      <w:pPr>
        <w:pStyle w:val="BodyText"/>
        <w:spacing w:before="8"/>
      </w:pPr>
    </w:p>
    <w:p>
      <w:pPr>
        <w:spacing w:after="0"/>
        <w:sectPr>
          <w:type w:val="continuous"/>
          <w:pgSz w:w="11910" w:h="16840"/>
          <w:pgMar w:top="240" w:bottom="1180" w:left="960" w:right="1380"/>
        </w:sectPr>
      </w:pPr>
    </w:p>
    <w:p>
      <w:pPr>
        <w:pStyle w:val="BodyText"/>
        <w:spacing w:line="256" w:lineRule="auto" w:before="43"/>
        <w:ind w:left="967"/>
      </w:pPr>
      <w:r>
        <w:rPr>
          <w:rFonts w:ascii="Times New Roman" w:eastAsia="Times New Roman"/>
        </w:rPr>
        <w:t>( </w:t>
      </w:r>
      <w:r>
        <w:rPr/>
        <w:t>二十四</w:t>
      </w:r>
      <w:r>
        <w:rPr>
          <w:rFonts w:ascii="Times New Roman" w:eastAsia="Times New Roman"/>
        </w:rPr>
        <w:t>) </w:t>
      </w:r>
      <w:r>
        <w:rPr/>
        <w:t>重型再生障碍性贫血</w:t>
      </w:r>
    </w:p>
    <w:p>
      <w:pPr>
        <w:pStyle w:val="BodyText"/>
        <w:spacing w:line="273" w:lineRule="auto" w:before="22"/>
        <w:ind w:left="967"/>
      </w:pPr>
      <w:r>
        <w:rPr/>
        <w:t>－“中国保险行业协会推荐”</w:t>
      </w:r>
    </w:p>
    <w:p>
      <w:pPr>
        <w:pStyle w:val="BodyText"/>
        <w:spacing w:line="273" w:lineRule="auto" w:before="43"/>
        <w:ind w:left="173" w:right="102"/>
      </w:pPr>
      <w:r>
        <w:rPr/>
        <w:br w:type="column"/>
      </w:r>
      <w:r>
        <w:rPr/>
        <w:t>指因骨髓造血功能慢性持续性衰竭导致的贫血、中性粒细胞减少及血小板减少。须满足下列全部条件：</w:t>
      </w:r>
    </w:p>
    <w:p>
      <w:pPr>
        <w:pStyle w:val="BodyText"/>
        <w:spacing w:before="7"/>
        <w:ind w:left="173"/>
      </w:pPr>
      <w:r>
        <w:rPr/>
        <w:t>（1）骨髓穿刺检查或骨髓活检结果支持诊断；</w:t>
      </w:r>
    </w:p>
    <w:p>
      <w:pPr>
        <w:pStyle w:val="BodyText"/>
        <w:spacing w:before="15"/>
        <w:ind w:left="173"/>
      </w:pPr>
      <w:r>
        <w:rPr/>
        <w:t>（2）外周血象须具备以下三项条件：</w:t>
      </w:r>
    </w:p>
    <w:p>
      <w:pPr>
        <w:spacing w:after="0"/>
        <w:sectPr>
          <w:type w:val="continuous"/>
          <w:pgSz w:w="11910" w:h="16840"/>
          <w:pgMar w:top="240" w:bottom="1180" w:left="960" w:right="1380"/>
          <w:cols w:num="2" w:equalWidth="0">
            <w:col w:w="2456" w:space="40"/>
            <w:col w:w="7074"/>
          </w:cols>
        </w:sectPr>
      </w:pPr>
    </w:p>
    <w:p>
      <w:pPr>
        <w:spacing w:line="50" w:lineRule="exact" w:before="0"/>
        <w:ind w:left="2830" w:right="0" w:firstLine="0"/>
        <w:jc w:val="center"/>
        <w:rPr>
          <w:sz w:val="11"/>
        </w:rPr>
      </w:pPr>
      <w:r>
        <w:rPr>
          <w:w w:val="100"/>
          <w:sz w:val="11"/>
        </w:rPr>
        <w:t>9</w:t>
      </w:r>
    </w:p>
    <w:p>
      <w:pPr>
        <w:pStyle w:val="BodyText"/>
        <w:spacing w:line="229" w:lineRule="exact"/>
        <w:ind w:left="3228"/>
      </w:pPr>
      <w:r>
        <w:rPr>
          <w:spacing w:val="-3"/>
        </w:rPr>
        <w:t>① 中性粒细胞绝对值≤</w:t>
      </w:r>
      <w:r>
        <w:rPr/>
        <w:t>0.5×10</w:t>
      </w:r>
      <w:r>
        <w:rPr>
          <w:spacing w:val="-51"/>
        </w:rPr>
        <w:t> </w:t>
      </w:r>
      <w:r>
        <w:rPr/>
        <w:t>/L ；</w:t>
      </w:r>
    </w:p>
    <w:p>
      <w:pPr>
        <w:pStyle w:val="BodyText"/>
        <w:spacing w:line="274" w:lineRule="exact"/>
        <w:ind w:left="2292" w:right="3402"/>
        <w:jc w:val="center"/>
      </w:pPr>
      <w:r>
        <w:rPr/>
        <w:t>② 网织红细胞＜1%；</w:t>
      </w:r>
    </w:p>
    <w:p>
      <w:pPr>
        <w:spacing w:line="99" w:lineRule="exact" w:before="3"/>
        <w:ind w:left="1774" w:right="0" w:firstLine="0"/>
        <w:jc w:val="center"/>
        <w:rPr>
          <w:sz w:val="11"/>
        </w:rPr>
      </w:pPr>
      <w:r>
        <w:rPr>
          <w:w w:val="100"/>
          <w:sz w:val="11"/>
        </w:rPr>
        <w:t>9</w:t>
      </w:r>
    </w:p>
    <w:p>
      <w:pPr>
        <w:pStyle w:val="BodyText"/>
        <w:spacing w:line="230" w:lineRule="exact"/>
        <w:ind w:left="3187" w:right="3402"/>
        <w:jc w:val="center"/>
      </w:pPr>
      <w:r>
        <w:rPr/>
        <w:t>③ 血小板绝对值≤20×10 /L。</w:t>
      </w:r>
    </w:p>
    <w:p>
      <w:pPr>
        <w:pStyle w:val="BodyText"/>
        <w:spacing w:before="12"/>
      </w:pPr>
    </w:p>
    <w:p>
      <w:pPr>
        <w:spacing w:after="0"/>
        <w:sectPr>
          <w:type w:val="continuous"/>
          <w:pgSz w:w="11910" w:h="16840"/>
          <w:pgMar w:top="240" w:bottom="1180" w:left="960" w:right="1380"/>
        </w:sectPr>
      </w:pPr>
    </w:p>
    <w:p>
      <w:pPr>
        <w:pStyle w:val="BodyText"/>
        <w:spacing w:line="266" w:lineRule="auto" w:before="43"/>
        <w:ind w:left="967"/>
        <w:jc w:val="both"/>
      </w:pPr>
      <w:r>
        <w:rPr>
          <w:rFonts w:ascii="Times New Roman" w:hAnsi="Times New Roman" w:eastAsia="Times New Roman"/>
        </w:rPr>
        <w:t>( </w:t>
      </w:r>
      <w:r>
        <w:rPr/>
        <w:t>二十五</w:t>
      </w:r>
      <w:r>
        <w:rPr>
          <w:rFonts w:ascii="Times New Roman" w:hAnsi="Times New Roman" w:eastAsia="Times New Roman"/>
        </w:rPr>
        <w:t>) </w:t>
      </w:r>
      <w:r>
        <w:rPr/>
        <w:t>主动脉手术－“中国保险行业协会推荐”</w:t>
      </w:r>
    </w:p>
    <w:p>
      <w:pPr>
        <w:pStyle w:val="BodyText"/>
        <w:spacing w:line="273" w:lineRule="auto" w:before="43"/>
        <w:ind w:left="173" w:right="102"/>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173"/>
        <w:jc w:val="both"/>
      </w:pPr>
      <w:r>
        <w:rPr/>
        <w:t>动脉内血管成形术不在保障范围内。</w:t>
      </w:r>
    </w:p>
    <w:p>
      <w:pPr>
        <w:spacing w:after="0"/>
        <w:jc w:val="both"/>
        <w:sectPr>
          <w:type w:val="continuous"/>
          <w:pgSz w:w="11910" w:h="16840"/>
          <w:pgMar w:top="240" w:bottom="1180" w:left="960" w:right="1380"/>
          <w:cols w:num="2" w:equalWidth="0">
            <w:col w:w="2456" w:space="40"/>
            <w:col w:w="7074"/>
          </w:cols>
        </w:sectPr>
      </w:pPr>
    </w:p>
    <w:p>
      <w:pPr>
        <w:pStyle w:val="BodyText"/>
        <w:spacing w:before="8"/>
      </w:pPr>
    </w:p>
    <w:p>
      <w:pPr>
        <w:spacing w:after="0"/>
        <w:sectPr>
          <w:type w:val="continuous"/>
          <w:pgSz w:w="11910" w:h="16840"/>
          <w:pgMar w:top="240" w:bottom="1180" w:left="960" w:right="1380"/>
        </w:sectPr>
      </w:pPr>
    </w:p>
    <w:p>
      <w:pPr>
        <w:pStyle w:val="BodyText"/>
        <w:spacing w:line="256" w:lineRule="auto" w:before="43"/>
        <w:ind w:left="967"/>
      </w:pPr>
      <w:r>
        <w:rPr>
          <w:rFonts w:ascii="Times New Roman" w:eastAsia="Times New Roman"/>
        </w:rPr>
        <w:t>( </w:t>
      </w:r>
      <w:r>
        <w:rPr/>
        <w:t>二十六</w:t>
      </w:r>
      <w:r>
        <w:rPr>
          <w:rFonts w:ascii="Times New Roman" w:eastAsia="Times New Roman"/>
        </w:rPr>
        <w:t>) </w:t>
      </w:r>
      <w:r>
        <w:rPr/>
        <w:t>原发性心肌病</w:t>
      </w:r>
    </w:p>
    <w:p>
      <w:pPr>
        <w:pStyle w:val="BodyText"/>
        <w:spacing w:line="273" w:lineRule="auto" w:before="43"/>
        <w:ind w:left="173" w:right="169"/>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状态已达Ⅳ级），且有相关住院医疗记录显示</w:t>
      </w:r>
    </w:p>
    <w:p>
      <w:pPr>
        <w:pStyle w:val="BodyText"/>
        <w:spacing w:before="7"/>
        <w:ind w:left="173"/>
      </w:pPr>
      <w:r>
        <w:rPr/>
        <w:t>Ⅳ级心功能衰竭状态已持续至少 3 个月。</w:t>
      </w:r>
    </w:p>
    <w:p>
      <w:pPr>
        <w:pStyle w:val="BodyText"/>
        <w:spacing w:line="273" w:lineRule="auto" w:before="36"/>
        <w:ind w:left="173" w:right="102"/>
        <w:jc w:val="both"/>
      </w:pPr>
      <w:r>
        <w:rPr/>
        <w:t>本病须经专科医生明确诊断。继发于全身性疾病或其它器官系统疾病造成的心肌病变不在保障范围内。</w:t>
      </w:r>
    </w:p>
    <w:p>
      <w:pPr>
        <w:spacing w:after="0" w:line="273" w:lineRule="auto"/>
        <w:jc w:val="both"/>
        <w:sectPr>
          <w:type w:val="continuous"/>
          <w:pgSz w:w="11910" w:h="16840"/>
          <w:pgMar w:top="240" w:bottom="1180" w:left="960" w:right="1380"/>
          <w:cols w:num="2" w:equalWidth="0">
            <w:col w:w="2456" w:space="40"/>
            <w:col w:w="7074"/>
          </w:cols>
        </w:sectPr>
      </w:pPr>
    </w:p>
    <w:p>
      <w:pPr>
        <w:pStyle w:val="BodyText"/>
        <w:spacing w:before="1"/>
      </w:pPr>
    </w:p>
    <w:p>
      <w:pPr>
        <w:spacing w:after="0"/>
        <w:sectPr>
          <w:type w:val="continuous"/>
          <w:pgSz w:w="11910" w:h="16840"/>
          <w:pgMar w:top="240" w:bottom="1180" w:left="960" w:right="1380"/>
        </w:sectPr>
      </w:pPr>
    </w:p>
    <w:p>
      <w:pPr>
        <w:pStyle w:val="BodyText"/>
        <w:spacing w:line="266" w:lineRule="auto" w:before="43"/>
        <w:ind w:left="967"/>
        <w:jc w:val="both"/>
      </w:pPr>
      <w:r>
        <w:rPr>
          <w:rFonts w:ascii="Times New Roman" w:eastAsia="Times New Roman"/>
        </w:rPr>
        <w:t>( </w:t>
      </w:r>
      <w:r>
        <w:rPr/>
        <w:t>二十七</w:t>
      </w:r>
      <w:r>
        <w:rPr>
          <w:rFonts w:ascii="Times New Roman" w:eastAsia="Times New Roman"/>
        </w:rPr>
        <w:t>) </w:t>
      </w:r>
      <w:r>
        <w:rPr/>
        <w:t>多发性硬化导致的神经系统功能永久损害</w:t>
      </w:r>
    </w:p>
    <w:p>
      <w:pPr>
        <w:pStyle w:val="BodyText"/>
        <w:spacing w:line="273" w:lineRule="auto" w:before="43"/>
        <w:ind w:left="173" w:right="117"/>
        <w:jc w:val="both"/>
      </w:pPr>
      <w:r>
        <w:rPr/>
        <w:br w:type="column"/>
      </w:r>
      <w:r>
        <w:rPr>
          <w:spacing w:val="-5"/>
        </w:rPr>
        <w:t>多发性硬化是一种中枢神经系统脱髓鞘性疾病，表现为反复缓解、复发的</w:t>
      </w:r>
      <w:r>
        <w:rPr>
          <w:spacing w:val="-6"/>
        </w:rPr>
        <w:t>脑、脊髓和视神经损害。该病必须经医院的神经科专科医生确诊，并有 </w:t>
      </w:r>
      <w:r>
        <w:rPr/>
        <w:t>CT </w:t>
      </w:r>
      <w:r>
        <w:rPr>
          <w:spacing w:val="-5"/>
        </w:rPr>
        <w:t>或磁共振检查结果诊断报告且要造成神经系统功能的永久性损害方可予以理赔。神经系统功能的永久性损害是指诊断为多发性硬化后有神经系统一次以上的发作，而出现累及视神经、脑干、脊髓永久性损害，出现有共济</w:t>
      </w:r>
      <w:r>
        <w:rPr>
          <w:spacing w:val="-9"/>
        </w:rPr>
        <w:t>失调或感觉障碍并持续 </w:t>
      </w:r>
      <w:r>
        <w:rPr/>
        <w:t>180</w:t>
      </w:r>
      <w:r>
        <w:rPr>
          <w:spacing w:val="-11"/>
        </w:rPr>
        <w:t> 天以上。</w:t>
      </w:r>
    </w:p>
    <w:p>
      <w:pPr>
        <w:spacing w:after="0" w:line="273" w:lineRule="auto"/>
        <w:jc w:val="both"/>
        <w:sectPr>
          <w:type w:val="continuous"/>
          <w:pgSz w:w="11910" w:h="16840"/>
          <w:pgMar w:top="240" w:bottom="1180" w:left="960" w:right="1380"/>
          <w:cols w:num="2" w:equalWidth="0">
            <w:col w:w="2456" w:space="40"/>
            <w:col w:w="7074"/>
          </w:cols>
        </w:sectPr>
      </w:pPr>
    </w:p>
    <w:p>
      <w:pPr>
        <w:pStyle w:val="BodyText"/>
        <w:rPr>
          <w:sz w:val="20"/>
        </w:rPr>
      </w:pPr>
    </w:p>
    <w:p>
      <w:pPr>
        <w:pStyle w:val="BodyText"/>
        <w:spacing w:before="8"/>
        <w:rPr>
          <w:sz w:val="27"/>
        </w:rPr>
      </w:pPr>
    </w:p>
    <w:p>
      <w:pPr>
        <w:spacing w:after="0"/>
        <w:rPr>
          <w:sz w:val="27"/>
        </w:rPr>
        <w:sectPr>
          <w:pgSz w:w="11910" w:h="16840"/>
          <w:pgMar w:header="335" w:footer="991" w:top="560" w:bottom="1180" w:left="960" w:right="1260"/>
        </w:sectPr>
      </w:pPr>
    </w:p>
    <w:p>
      <w:pPr>
        <w:pStyle w:val="BodyText"/>
        <w:spacing w:line="264" w:lineRule="auto" w:before="43"/>
        <w:ind w:left="967"/>
        <w:jc w:val="both"/>
      </w:pPr>
      <w:r>
        <w:rPr>
          <w:rFonts w:ascii="Times New Roman" w:eastAsia="Times New Roman"/>
        </w:rPr>
        <w:t>( </w:t>
      </w:r>
      <w:r>
        <w:rPr/>
        <w:t>二十八</w:t>
      </w:r>
      <w:r>
        <w:rPr>
          <w:rFonts w:ascii="Times New Roman" w:eastAsia="Times New Roman"/>
        </w:rPr>
        <w:t>) </w:t>
      </w:r>
      <w:r>
        <w:rPr/>
        <w:t>经输血导致的艾滋病病毒感染</w:t>
      </w:r>
    </w:p>
    <w:p>
      <w:pPr>
        <w:pStyle w:val="BodyText"/>
        <w:spacing w:before="43"/>
        <w:ind w:left="173"/>
      </w:pPr>
      <w:r>
        <w:rPr/>
        <w:br w:type="column"/>
      </w:r>
      <w:r>
        <w:rPr/>
        <w:t>被保险人感染上人类免疫缺陷病毒（HIV）并且符合下列所有条件：</w:t>
      </w:r>
    </w:p>
    <w:p>
      <w:pPr>
        <w:pStyle w:val="BodyText"/>
        <w:spacing w:line="273" w:lineRule="auto" w:before="36"/>
        <w:ind w:left="173" w:right="193"/>
      </w:pPr>
      <w:r>
        <w:rPr/>
        <w:t>（1）在保障起始日或复效日之后，被保险人因治疗必需而接受输血，并且因输血而感染 HIV；</w:t>
      </w:r>
    </w:p>
    <w:p>
      <w:pPr>
        <w:pStyle w:val="BodyText"/>
        <w:spacing w:line="273" w:lineRule="auto" w:before="7"/>
        <w:ind w:left="173" w:right="187"/>
      </w:pPr>
      <w:r>
        <w:rPr/>
        <w:t>（2）提供输血治疗的输血中心或医院出具该项输血感染属医疗责任事故的报告，或者法院终审判决为医疗责任；</w:t>
      </w:r>
    </w:p>
    <w:p>
      <w:pPr>
        <w:pStyle w:val="BodyText"/>
        <w:spacing w:before="7"/>
        <w:ind w:left="173"/>
      </w:pPr>
      <w:r>
        <w:rPr/>
        <w:t>（3）提供输血治疗的输血中心或医院必须拥有合法经营执照；</w:t>
      </w:r>
    </w:p>
    <w:p>
      <w:pPr>
        <w:pStyle w:val="BodyText"/>
        <w:spacing w:line="273" w:lineRule="auto" w:before="37"/>
        <w:ind w:left="173" w:right="292"/>
      </w:pPr>
      <w:r>
        <w:rPr/>
        <w:t>（4）</w:t>
      </w:r>
      <w:r>
        <w:rPr>
          <w:spacing w:val="-8"/>
        </w:rPr>
        <w:t>必须在输血发生后的 </w:t>
      </w:r>
      <w:r>
        <w:rPr/>
        <w:t>12</w:t>
      </w:r>
      <w:r>
        <w:rPr>
          <w:spacing w:val="-4"/>
        </w:rPr>
        <w:t> 个月内证实被保险人出现</w:t>
      </w:r>
      <w:r>
        <w:rPr/>
        <w:t>HIV</w:t>
      </w:r>
      <w:r>
        <w:rPr>
          <w:spacing w:val="-9"/>
        </w:rPr>
        <w:t> 血清转换，即</w:t>
      </w:r>
      <w:r>
        <w:rPr>
          <w:spacing w:val="5"/>
        </w:rPr>
        <w:t>体内出现</w:t>
      </w:r>
      <w:r>
        <w:rPr/>
        <w:t>HIV</w:t>
      </w:r>
      <w:r>
        <w:rPr>
          <w:spacing w:val="-19"/>
        </w:rPr>
        <w:t> 病毒或者 </w:t>
      </w:r>
      <w:r>
        <w:rPr/>
        <w:t>HIV</w:t>
      </w:r>
      <w:r>
        <w:rPr>
          <w:spacing w:val="-15"/>
        </w:rPr>
        <w:t> 抗体。</w:t>
      </w:r>
    </w:p>
    <w:p>
      <w:pPr>
        <w:pStyle w:val="BodyText"/>
        <w:spacing w:before="7"/>
        <w:ind w:left="173"/>
      </w:pPr>
      <w:r>
        <w:rPr/>
        <w:t>以下情况不在保障范围内：</w:t>
      </w:r>
    </w:p>
    <w:p>
      <w:pPr>
        <w:pStyle w:val="BodyText"/>
        <w:spacing w:line="273" w:lineRule="auto" w:before="36"/>
        <w:ind w:left="173" w:right="222"/>
      </w:pPr>
      <w:r>
        <w:rPr>
          <w:spacing w:val="-4"/>
        </w:rPr>
        <w:t>（1）任何因其他传播方式</w:t>
      </w:r>
      <w:r>
        <w:rPr/>
        <w:t>（</w:t>
      </w:r>
      <w:r>
        <w:rPr>
          <w:spacing w:val="-5"/>
        </w:rPr>
        <w:t>包括：性传播或静脉注射毒品</w:t>
      </w:r>
      <w:r>
        <w:rPr>
          <w:spacing w:val="-10"/>
        </w:rPr>
        <w:t>）</w:t>
      </w:r>
      <w:r>
        <w:rPr>
          <w:spacing w:val="-11"/>
        </w:rPr>
        <w:t>导致的 </w:t>
      </w:r>
      <w:r>
        <w:rPr/>
        <w:t>HIV</w:t>
      </w:r>
      <w:r>
        <w:rPr>
          <w:spacing w:val="-20"/>
        </w:rPr>
        <w:t> 感染；</w:t>
      </w:r>
    </w:p>
    <w:p>
      <w:pPr>
        <w:pStyle w:val="BodyText"/>
        <w:spacing w:before="7"/>
        <w:ind w:left="173"/>
      </w:pPr>
      <w:r>
        <w:rPr/>
        <w:t>（2）血友病、重型地中海贫血患者输血所导致的HIV 感染。</w:t>
      </w:r>
    </w:p>
    <w:p>
      <w:pPr>
        <w:spacing w:after="0"/>
        <w:sectPr>
          <w:type w:val="continuous"/>
          <w:pgSz w:w="11910" w:h="16840"/>
          <w:pgMar w:top="240" w:bottom="1180" w:left="960" w:right="1260"/>
          <w:cols w:num="2" w:equalWidth="0">
            <w:col w:w="2456" w:space="40"/>
            <w:col w:w="7194"/>
          </w:cols>
        </w:sectPr>
      </w:pPr>
    </w:p>
    <w:p>
      <w:pPr>
        <w:pStyle w:val="BodyText"/>
        <w:spacing w:before="4"/>
        <w:rPr>
          <w:sz w:val="23"/>
        </w:rPr>
      </w:pPr>
    </w:p>
    <w:p>
      <w:pPr>
        <w:spacing w:after="0"/>
        <w:rPr>
          <w:sz w:val="23"/>
        </w:rPr>
        <w:sectPr>
          <w:type w:val="continuous"/>
          <w:pgSz w:w="11910" w:h="16840"/>
          <w:pgMar w:top="240" w:bottom="1180" w:left="960" w:right="1260"/>
        </w:sectPr>
      </w:pPr>
    </w:p>
    <w:p>
      <w:pPr>
        <w:pStyle w:val="BodyText"/>
        <w:spacing w:line="264" w:lineRule="auto" w:before="43"/>
        <w:ind w:left="967"/>
        <w:jc w:val="both"/>
      </w:pPr>
      <w:r>
        <w:rPr>
          <w:rFonts w:ascii="Times New Roman" w:eastAsia="Times New Roman"/>
        </w:rPr>
        <w:t>( </w:t>
      </w:r>
      <w:r>
        <w:rPr/>
        <w:t>二十九</w:t>
      </w:r>
      <w:r>
        <w:rPr>
          <w:rFonts w:ascii="Times New Roman" w:eastAsia="Times New Roman"/>
        </w:rPr>
        <w:t>) </w:t>
      </w:r>
      <w:r>
        <w:rPr/>
        <w:t>系统性红斑狼疮并发重度肾功能损害</w:t>
      </w:r>
    </w:p>
    <w:p>
      <w:pPr>
        <w:pStyle w:val="BodyText"/>
        <w:spacing w:line="273" w:lineRule="auto" w:before="43"/>
        <w:ind w:left="173" w:right="289"/>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III、IV、V、VI 型。诊断须由有资格的风湿和免疫病专科医生确认。</w:t>
      </w:r>
    </w:p>
    <w:p>
      <w:pPr>
        <w:pStyle w:val="BodyText"/>
        <w:spacing w:before="7"/>
        <w:ind w:left="173"/>
        <w:jc w:val="both"/>
      </w:pPr>
      <w:r>
        <w:rPr/>
        <w:t>世界卫生组织（WHO）对狼疮性肾炎的分类标准：</w:t>
      </w:r>
    </w:p>
    <w:p>
      <w:pPr>
        <w:pStyle w:val="ListParagraph"/>
        <w:numPr>
          <w:ilvl w:val="0"/>
          <w:numId w:val="13"/>
        </w:numPr>
        <w:tabs>
          <w:tab w:pos="385" w:val="left" w:leader="none"/>
        </w:tabs>
        <w:spacing w:line="240" w:lineRule="auto" w:before="37" w:after="0"/>
        <w:ind w:left="384" w:right="0" w:hanging="211"/>
        <w:jc w:val="both"/>
        <w:rPr>
          <w:sz w:val="21"/>
        </w:rPr>
      </w:pPr>
      <w:r>
        <w:rPr>
          <w:spacing w:val="-3"/>
          <w:sz w:val="21"/>
        </w:rPr>
        <w:t>型–正常肾小球型；</w:t>
      </w:r>
    </w:p>
    <w:p>
      <w:pPr>
        <w:pStyle w:val="ListParagraph"/>
        <w:numPr>
          <w:ilvl w:val="0"/>
          <w:numId w:val="13"/>
        </w:numPr>
        <w:tabs>
          <w:tab w:pos="438" w:val="left" w:leader="none"/>
        </w:tabs>
        <w:spacing w:line="240" w:lineRule="auto" w:before="37" w:after="0"/>
        <w:ind w:left="437" w:right="0" w:hanging="264"/>
        <w:jc w:val="both"/>
        <w:rPr>
          <w:sz w:val="21"/>
        </w:rPr>
      </w:pPr>
      <w:r>
        <w:rPr>
          <w:spacing w:val="-3"/>
          <w:sz w:val="21"/>
        </w:rPr>
        <w:t>型–系膜增生型；</w:t>
      </w:r>
    </w:p>
    <w:p>
      <w:pPr>
        <w:pStyle w:val="ListParagraph"/>
        <w:numPr>
          <w:ilvl w:val="0"/>
          <w:numId w:val="13"/>
        </w:numPr>
        <w:tabs>
          <w:tab w:pos="544" w:val="left" w:leader="none"/>
        </w:tabs>
        <w:spacing w:line="240" w:lineRule="auto" w:before="37" w:after="0"/>
        <w:ind w:left="543" w:right="0" w:hanging="370"/>
        <w:jc w:val="both"/>
        <w:rPr>
          <w:sz w:val="21"/>
        </w:rPr>
      </w:pPr>
      <w:r>
        <w:rPr>
          <w:spacing w:val="-3"/>
          <w:sz w:val="21"/>
        </w:rPr>
        <w:t>型–局灶及节段增生型；</w:t>
      </w:r>
    </w:p>
    <w:p>
      <w:pPr>
        <w:pStyle w:val="ListParagraph"/>
        <w:numPr>
          <w:ilvl w:val="0"/>
          <w:numId w:val="13"/>
        </w:numPr>
        <w:tabs>
          <w:tab w:pos="438" w:val="left" w:leader="none"/>
        </w:tabs>
        <w:spacing w:line="240" w:lineRule="auto" w:before="36" w:after="0"/>
        <w:ind w:left="437" w:right="0" w:hanging="264"/>
        <w:jc w:val="both"/>
        <w:rPr>
          <w:sz w:val="21"/>
        </w:rPr>
      </w:pPr>
      <w:r>
        <w:rPr>
          <w:spacing w:val="-3"/>
          <w:sz w:val="21"/>
        </w:rPr>
        <w:t>型–弥漫增生型；</w:t>
      </w:r>
    </w:p>
    <w:p>
      <w:pPr>
        <w:pStyle w:val="ListParagraph"/>
        <w:numPr>
          <w:ilvl w:val="0"/>
          <w:numId w:val="13"/>
        </w:numPr>
        <w:tabs>
          <w:tab w:pos="332" w:val="left" w:leader="none"/>
        </w:tabs>
        <w:spacing w:line="240" w:lineRule="auto" w:before="36" w:after="0"/>
        <w:ind w:left="331" w:right="0" w:hanging="158"/>
        <w:jc w:val="both"/>
        <w:rPr>
          <w:sz w:val="21"/>
        </w:rPr>
      </w:pPr>
      <w:r>
        <w:rPr>
          <w:spacing w:val="-3"/>
          <w:sz w:val="21"/>
        </w:rPr>
        <w:t>型–膜型；</w:t>
      </w:r>
    </w:p>
    <w:p>
      <w:pPr>
        <w:pStyle w:val="ListParagraph"/>
        <w:numPr>
          <w:ilvl w:val="0"/>
          <w:numId w:val="13"/>
        </w:numPr>
        <w:tabs>
          <w:tab w:pos="438" w:val="left" w:leader="none"/>
        </w:tabs>
        <w:spacing w:line="240" w:lineRule="auto" w:before="36" w:after="0"/>
        <w:ind w:left="437" w:right="0" w:hanging="264"/>
        <w:jc w:val="both"/>
        <w:rPr>
          <w:sz w:val="21"/>
        </w:rPr>
      </w:pPr>
      <w:r>
        <w:rPr>
          <w:spacing w:val="-3"/>
          <w:sz w:val="21"/>
        </w:rPr>
        <w:t>型–肾小球硬化型。</w:t>
      </w:r>
    </w:p>
    <w:p>
      <w:pPr>
        <w:spacing w:after="0" w:line="240" w:lineRule="auto"/>
        <w:jc w:val="both"/>
        <w:rPr>
          <w:sz w:val="21"/>
        </w:rPr>
        <w:sectPr>
          <w:type w:val="continuous"/>
          <w:pgSz w:w="11910" w:h="16840"/>
          <w:pgMar w:top="240" w:bottom="1180" w:left="960" w:right="1260"/>
          <w:cols w:num="2" w:equalWidth="0">
            <w:col w:w="2456" w:space="40"/>
            <w:col w:w="7194"/>
          </w:cols>
        </w:sectPr>
      </w:pPr>
    </w:p>
    <w:p>
      <w:pPr>
        <w:pStyle w:val="BodyText"/>
        <w:spacing w:before="4"/>
        <w:rPr>
          <w:sz w:val="23"/>
        </w:rPr>
      </w:pPr>
    </w:p>
    <w:p>
      <w:pPr>
        <w:spacing w:after="0"/>
        <w:rPr>
          <w:sz w:val="23"/>
        </w:rPr>
        <w:sectPr>
          <w:type w:val="continuous"/>
          <w:pgSz w:w="11910" w:h="16840"/>
          <w:pgMar w:top="240" w:bottom="1180" w:left="960" w:right="1260"/>
        </w:sectPr>
      </w:pPr>
    </w:p>
    <w:p>
      <w:pPr>
        <w:pStyle w:val="BodyText"/>
        <w:spacing w:before="43"/>
        <w:ind w:left="967"/>
      </w:pPr>
      <w:r>
        <w:rPr>
          <w:rFonts w:ascii="Times New Roman" w:eastAsia="Times New Roman"/>
        </w:rPr>
        <w:t>( </w:t>
      </w:r>
      <w:r>
        <w:rPr/>
        <w:t>三十</w:t>
      </w:r>
      <w:r>
        <w:rPr>
          <w:rFonts w:ascii="Times New Roman" w:eastAsia="Times New Roman"/>
        </w:rPr>
        <w:t>)  </w:t>
      </w:r>
      <w:r>
        <w:rPr/>
        <w:t>硬皮病</w:t>
      </w:r>
    </w:p>
    <w:p>
      <w:pPr>
        <w:pStyle w:val="BodyText"/>
        <w:spacing w:line="273" w:lineRule="auto" w:before="20"/>
        <w:ind w:left="967"/>
      </w:pPr>
      <w:r>
        <w:rPr/>
        <w:t>( 进行性系统性硬化）</w:t>
      </w:r>
    </w:p>
    <w:p>
      <w:pPr>
        <w:pStyle w:val="BodyText"/>
        <w:spacing w:line="273" w:lineRule="auto" w:before="43"/>
        <w:ind w:left="173" w:right="289"/>
      </w:pPr>
      <w:r>
        <w:rPr/>
        <w:br w:type="column"/>
      </w:r>
      <w:r>
        <w:rPr/>
        <w:t>此疾病须由风湿（免疫）科或肾脏专科医生确诊，且诊断须满足以下全部条件：</w:t>
      </w:r>
    </w:p>
    <w:p>
      <w:pPr>
        <w:pStyle w:val="BodyText"/>
        <w:spacing w:before="7"/>
        <w:ind w:left="173"/>
      </w:pPr>
      <w:r>
        <w:rPr/>
        <w:t>（1）典型的实验室结果（如抗 Scl-70 抗体阳性）</w:t>
      </w:r>
    </w:p>
    <w:p>
      <w:pPr>
        <w:pStyle w:val="BodyText"/>
        <w:spacing w:before="36"/>
        <w:ind w:left="173"/>
      </w:pPr>
      <w:r>
        <w:rPr/>
        <w:t>（2）典型的临床表现（如雷诺现象，皮肤硬化或糜烂）</w:t>
      </w:r>
    </w:p>
    <w:p>
      <w:pPr>
        <w:pStyle w:val="BodyText"/>
        <w:spacing w:before="36"/>
        <w:ind w:left="173"/>
      </w:pPr>
      <w:r>
        <w:rPr/>
        <w:t>（3）持续使用糖皮质激素或其他免疫抑制剂治疗</w:t>
      </w:r>
    </w:p>
    <w:p>
      <w:pPr>
        <w:pStyle w:val="BodyText"/>
        <w:spacing w:before="36"/>
        <w:ind w:left="173"/>
      </w:pPr>
      <w:r>
        <w:rPr/>
        <w:t>此外，必须有下列一项或一项以上内脏器官受累的诊断及相应证明：</w:t>
      </w:r>
    </w:p>
    <w:p>
      <w:pPr>
        <w:pStyle w:val="BodyText"/>
        <w:spacing w:before="36"/>
        <w:ind w:left="384"/>
      </w:pPr>
      <w:r>
        <w:rPr/>
        <w:t>（1）肺纤维化：一氧化碳弥散能力（DCO）小于 70%预测值；</w:t>
      </w:r>
    </w:p>
    <w:p>
      <w:pPr>
        <w:pStyle w:val="BodyText"/>
        <w:spacing w:before="36"/>
        <w:ind w:left="384"/>
      </w:pPr>
      <w:r>
        <w:rPr/>
        <w:t>（2）肺动脉高压：静息状态下肺动脉平均压超过 25mmHg；</w:t>
      </w:r>
    </w:p>
    <w:p>
      <w:pPr>
        <w:pStyle w:val="BodyText"/>
        <w:spacing w:before="36"/>
        <w:ind w:left="384"/>
      </w:pPr>
      <w:r>
        <w:rPr/>
        <w:t>（3）慢性肾病：肾小球滤过率小于 60ml/min（MDRD 公式）；</w:t>
      </w:r>
    </w:p>
    <w:p>
      <w:pPr>
        <w:pStyle w:val="BodyText"/>
        <w:spacing w:line="273" w:lineRule="auto" w:before="36"/>
        <w:ind w:left="173" w:right="1866" w:firstLine="211"/>
      </w:pPr>
      <w:r>
        <w:rPr/>
        <w:t>（4）左心室舒张功能障碍：超声心动图的典型表现。以下情况不在保障范围内：</w:t>
      </w:r>
    </w:p>
    <w:p>
      <w:pPr>
        <w:pStyle w:val="BodyText"/>
        <w:spacing w:before="7"/>
        <w:ind w:left="173"/>
      </w:pPr>
      <w:r>
        <w:rPr/>
        <w:t>（1）无器官受累的局限性硬皮病；</w:t>
      </w:r>
    </w:p>
    <w:p>
      <w:pPr>
        <w:pStyle w:val="BodyText"/>
        <w:spacing w:before="37"/>
        <w:ind w:left="173"/>
      </w:pPr>
      <w:r>
        <w:rPr/>
        <w:t>（2）嗜酸性筋膜炎；</w:t>
      </w:r>
    </w:p>
    <w:p>
      <w:pPr>
        <w:pStyle w:val="BodyText"/>
        <w:spacing w:before="37"/>
        <w:ind w:left="173"/>
      </w:pPr>
      <w:r>
        <w:rPr/>
        <w:t>（3）CREST 综合症。</w:t>
      </w:r>
    </w:p>
    <w:p>
      <w:pPr>
        <w:spacing w:after="0"/>
        <w:sectPr>
          <w:type w:val="continuous"/>
          <w:pgSz w:w="11910" w:h="16840"/>
          <w:pgMar w:top="240" w:bottom="1180" w:left="960" w:right="1260"/>
          <w:cols w:num="2" w:equalWidth="0">
            <w:col w:w="2456" w:space="40"/>
            <w:col w:w="7194"/>
          </w:cols>
        </w:sectPr>
      </w:pPr>
    </w:p>
    <w:p>
      <w:pPr>
        <w:pStyle w:val="BodyText"/>
        <w:rPr>
          <w:sz w:val="20"/>
        </w:rPr>
      </w:pPr>
    </w:p>
    <w:p>
      <w:pPr>
        <w:pStyle w:val="BodyText"/>
        <w:spacing w:before="2"/>
        <w:rPr>
          <w:sz w:val="27"/>
        </w:rPr>
      </w:pPr>
    </w:p>
    <w:p>
      <w:pPr>
        <w:spacing w:after="0"/>
        <w:rPr>
          <w:sz w:val="27"/>
        </w:rPr>
        <w:sectPr>
          <w:type w:val="continuous"/>
          <w:pgSz w:w="11910" w:h="16840"/>
          <w:pgMar w:top="240" w:bottom="1180" w:left="960" w:right="1260"/>
        </w:sectPr>
      </w:pPr>
    </w:p>
    <w:p>
      <w:pPr>
        <w:pStyle w:val="BodyText"/>
        <w:spacing w:line="264" w:lineRule="auto" w:before="43"/>
        <w:ind w:left="967"/>
        <w:jc w:val="both"/>
      </w:pPr>
      <w:r>
        <w:rPr>
          <w:rFonts w:ascii="Times New Roman" w:eastAsia="Times New Roman"/>
        </w:rPr>
        <w:t>( </w:t>
      </w:r>
      <w:r>
        <w:rPr/>
        <w:t>三十一</w:t>
      </w:r>
      <w:r>
        <w:rPr>
          <w:rFonts w:ascii="Times New Roman" w:eastAsia="Times New Roman"/>
        </w:rPr>
        <w:t>) </w:t>
      </w:r>
      <w:r>
        <w:rPr/>
        <w:t>严重的类风湿性关节炎</w:t>
      </w:r>
    </w:p>
    <w:p>
      <w:pPr>
        <w:pStyle w:val="BodyText"/>
        <w:spacing w:line="273" w:lineRule="auto" w:before="43"/>
        <w:ind w:left="173" w:right="114"/>
      </w:pPr>
      <w:r>
        <w:rPr/>
        <w:br w:type="column"/>
      </w:r>
      <w:r>
        <w:rPr>
          <w:spacing w:val="-8"/>
        </w:rPr>
        <w:t>广泛的关节损坏，临床上存在三个或三个以上下列关节的畸形：、腕、肘、</w:t>
      </w:r>
      <w:r>
        <w:rPr>
          <w:spacing w:val="-5"/>
        </w:rPr>
        <w:t>颈椎、膝、踝、或足部跖趾关节。并且由本公司认可医院的专科医生确认 被保险人在无他人协助下无法独立完成六项基本日常生活活动中的三项或 </w:t>
      </w:r>
      <w:r>
        <w:rPr>
          <w:spacing w:val="-7"/>
        </w:rPr>
        <w:t>三项以上。上述畸形及功能异常须持续至少达 </w:t>
      </w:r>
      <w:r>
        <w:rPr/>
        <w:t>180</w:t>
      </w:r>
      <w:r>
        <w:rPr>
          <w:spacing w:val="-14"/>
        </w:rPr>
        <w:t> 天。</w:t>
      </w:r>
    </w:p>
    <w:p>
      <w:pPr>
        <w:spacing w:after="0" w:line="273" w:lineRule="auto"/>
        <w:sectPr>
          <w:type w:val="continuous"/>
          <w:pgSz w:w="11910" w:h="16840"/>
          <w:pgMar w:top="240" w:bottom="1180" w:left="960" w:right="1260"/>
          <w:cols w:num="2" w:equalWidth="0">
            <w:col w:w="2456" w:space="40"/>
            <w:col w:w="7194"/>
          </w:cols>
        </w:sectPr>
      </w:pPr>
    </w:p>
    <w:p>
      <w:pPr>
        <w:pStyle w:val="BodyText"/>
        <w:rPr>
          <w:sz w:val="20"/>
        </w:rPr>
      </w:pPr>
    </w:p>
    <w:p>
      <w:pPr>
        <w:pStyle w:val="BodyText"/>
        <w:rPr>
          <w:sz w:val="20"/>
        </w:rPr>
      </w:pPr>
    </w:p>
    <w:p>
      <w:pPr>
        <w:pStyle w:val="BodyText"/>
        <w:rPr>
          <w:sz w:val="20"/>
        </w:rPr>
      </w:pPr>
    </w:p>
    <w:p>
      <w:pPr>
        <w:spacing w:after="0"/>
        <w:rPr>
          <w:sz w:val="20"/>
        </w:rPr>
        <w:sectPr>
          <w:pgSz w:w="11910" w:h="16840"/>
          <w:pgMar w:header="335" w:footer="991" w:top="560" w:bottom="1180" w:left="960" w:right="1340"/>
        </w:sectPr>
      </w:pPr>
    </w:p>
    <w:p>
      <w:pPr>
        <w:pStyle w:val="BodyText"/>
        <w:spacing w:before="10"/>
        <w:rPr>
          <w:sz w:val="14"/>
        </w:rPr>
      </w:pPr>
    </w:p>
    <w:p>
      <w:pPr>
        <w:pStyle w:val="BodyText"/>
        <w:spacing w:line="256" w:lineRule="auto"/>
        <w:ind w:left="967"/>
      </w:pPr>
      <w:r>
        <w:rPr>
          <w:rFonts w:ascii="Times New Roman" w:eastAsia="Times New Roman"/>
        </w:rPr>
        <w:t>( </w:t>
      </w:r>
      <w:r>
        <w:rPr/>
        <w:t>三十二</w:t>
      </w:r>
      <w:r>
        <w:rPr>
          <w:rFonts w:ascii="Times New Roman" w:eastAsia="Times New Roman"/>
        </w:rPr>
        <w:t>) </w:t>
      </w:r>
      <w:r>
        <w:rPr/>
        <w:t>重症肌无力</w:t>
      </w:r>
    </w:p>
    <w:p>
      <w:pPr>
        <w:pStyle w:val="BodyText"/>
        <w:spacing w:before="10"/>
        <w:rPr>
          <w:sz w:val="14"/>
        </w:rPr>
      </w:pPr>
      <w:r>
        <w:rPr/>
        <w:br w:type="column"/>
      </w:r>
      <w:r>
        <w:rPr>
          <w:sz w:val="14"/>
        </w:rPr>
      </w:r>
    </w:p>
    <w:p>
      <w:pPr>
        <w:pStyle w:val="BodyText"/>
        <w:spacing w:line="273" w:lineRule="auto"/>
        <w:ind w:left="173" w:right="207"/>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pStyle w:val="BodyText"/>
        <w:spacing w:before="7"/>
        <w:ind w:left="173"/>
      </w:pPr>
      <w:r>
        <w:rPr/>
        <w:t>（1）经药物、胸腺手术治疗一年以上无法控制病情，丧失正常工作能力；</w:t>
      </w:r>
    </w:p>
    <w:p>
      <w:pPr>
        <w:pStyle w:val="BodyText"/>
        <w:spacing w:line="273" w:lineRule="auto" w:before="37"/>
        <w:ind w:left="173" w:right="142"/>
        <w:jc w:val="both"/>
      </w:pPr>
      <w:r>
        <w:rPr>
          <w:spacing w:val="-4"/>
        </w:rPr>
        <w:t>（2）</w:t>
      </w:r>
      <w:r>
        <w:rPr>
          <w:spacing w:val="-7"/>
        </w:rPr>
        <w:t>出现眼睑下垂，或构音困难、进食呛咳，或由于肌无力累及呼吸肌而</w:t>
      </w:r>
      <w:r>
        <w:rPr>
          <w:spacing w:val="-5"/>
        </w:rPr>
        <w:t>致机体呼吸功能不正常的危急状态即肌无力危象；</w:t>
      </w:r>
    </w:p>
    <w:p>
      <w:pPr>
        <w:pStyle w:val="BodyText"/>
        <w:spacing w:line="273" w:lineRule="auto" w:before="8"/>
        <w:ind w:left="173" w:right="137"/>
        <w:jc w:val="both"/>
      </w:pPr>
      <w:r>
        <w:rPr>
          <w:spacing w:val="-5"/>
        </w:rPr>
        <w:t>（3）</w:t>
      </w:r>
      <w:r>
        <w:rPr>
          <w:spacing w:val="-6"/>
        </w:rPr>
        <w:t>症状缓解、复发及恶化交替出现，临床接受新斯的明等抗胆碱酯酶药</w:t>
      </w:r>
      <w:r>
        <w:rPr>
          <w:spacing w:val="-3"/>
        </w:rPr>
        <w:t>物治疗的病史。</w:t>
      </w:r>
    </w:p>
    <w:p>
      <w:pPr>
        <w:spacing w:after="0" w:line="273" w:lineRule="auto"/>
        <w:jc w:val="both"/>
        <w:sectPr>
          <w:type w:val="continuous"/>
          <w:pgSz w:w="11910" w:h="16840"/>
          <w:pgMar w:top="240" w:bottom="1180" w:left="960" w:right="1340"/>
          <w:cols w:num="2" w:equalWidth="0">
            <w:col w:w="2456" w:space="40"/>
            <w:col w:w="7114"/>
          </w:cols>
        </w:sectPr>
      </w:pPr>
    </w:p>
    <w:p>
      <w:pPr>
        <w:pStyle w:val="BodyText"/>
        <w:spacing w:before="2"/>
      </w:pPr>
    </w:p>
    <w:p>
      <w:pPr>
        <w:spacing w:after="0"/>
        <w:sectPr>
          <w:type w:val="continuous"/>
          <w:pgSz w:w="11910" w:h="16840"/>
          <w:pgMar w:top="240" w:bottom="1180" w:left="960" w:right="1340"/>
        </w:sectPr>
      </w:pPr>
    </w:p>
    <w:p>
      <w:pPr>
        <w:pStyle w:val="BodyText"/>
        <w:spacing w:line="256" w:lineRule="auto" w:before="43"/>
        <w:ind w:left="967"/>
      </w:pPr>
      <w:r>
        <w:rPr>
          <w:rFonts w:ascii="Times New Roman" w:eastAsia="Times New Roman"/>
        </w:rPr>
        <w:t>( </w:t>
      </w:r>
      <w:r>
        <w:rPr/>
        <w:t>三十三</w:t>
      </w:r>
      <w:r>
        <w:rPr>
          <w:rFonts w:ascii="Times New Roman" w:eastAsia="Times New Roman"/>
        </w:rPr>
        <w:t>) </w:t>
      </w:r>
      <w:r>
        <w:rPr/>
        <w:t>严重溃疡性结肠炎</w:t>
      </w:r>
    </w:p>
    <w:p>
      <w:pPr>
        <w:pStyle w:val="BodyText"/>
        <w:spacing w:line="273" w:lineRule="auto" w:before="43"/>
        <w:ind w:left="173" w:right="140"/>
        <w:jc w:val="both"/>
      </w:pPr>
      <w:r>
        <w:rPr/>
        <w:br w:type="column"/>
      </w: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240" w:bottom="1180" w:left="960" w:right="1340"/>
          <w:cols w:num="2" w:equalWidth="0">
            <w:col w:w="2456" w:space="40"/>
            <w:col w:w="7114"/>
          </w:cols>
        </w:sectPr>
      </w:pPr>
    </w:p>
    <w:p>
      <w:pPr>
        <w:pStyle w:val="BodyText"/>
        <w:spacing w:before="1"/>
      </w:pPr>
    </w:p>
    <w:p>
      <w:pPr>
        <w:spacing w:after="0"/>
        <w:sectPr>
          <w:type w:val="continuous"/>
          <w:pgSz w:w="11910" w:h="16840"/>
          <w:pgMar w:top="240" w:bottom="1180" w:left="960" w:right="1340"/>
        </w:sectPr>
      </w:pPr>
    </w:p>
    <w:p>
      <w:pPr>
        <w:pStyle w:val="BodyText"/>
        <w:spacing w:line="256" w:lineRule="auto" w:before="43"/>
        <w:ind w:left="967"/>
      </w:pPr>
      <w:r>
        <w:rPr>
          <w:rFonts w:ascii="Times New Roman" w:eastAsia="Times New Roman"/>
        </w:rPr>
        <w:t>( </w:t>
      </w:r>
      <w:r>
        <w:rPr/>
        <w:t>三十四</w:t>
      </w:r>
      <w:r>
        <w:rPr>
          <w:rFonts w:ascii="Times New Roman" w:eastAsia="Times New Roman"/>
        </w:rPr>
        <w:t>) </w:t>
      </w:r>
      <w:r>
        <w:rPr/>
        <w:t>植物人状态</w:t>
      </w:r>
    </w:p>
    <w:p>
      <w:pPr>
        <w:pStyle w:val="BodyText"/>
        <w:spacing w:line="273" w:lineRule="auto" w:before="43"/>
        <w:ind w:left="173" w:right="209"/>
        <w:jc w:val="both"/>
      </w:pPr>
      <w:r>
        <w:rPr/>
        <w:br w:type="column"/>
      </w:r>
      <w:r>
        <w:rPr/>
        <w:t>指由于大脑半球功能障碍导致的反应和意识丧失，但控制呼吸和心跳的脑干功能仍保持。必须由神经科专科医生明确诊断，且必须满足下列全部条件：</w:t>
      </w:r>
    </w:p>
    <w:p>
      <w:pPr>
        <w:pStyle w:val="BodyText"/>
        <w:spacing w:before="7"/>
        <w:ind w:left="173"/>
        <w:jc w:val="both"/>
      </w:pPr>
      <w:r>
        <w:rPr/>
        <w:t>（1）丧失对自身或环境的感知；</w:t>
      </w:r>
    </w:p>
    <w:p>
      <w:pPr>
        <w:pStyle w:val="BodyText"/>
        <w:spacing w:before="37"/>
        <w:ind w:left="173"/>
        <w:jc w:val="both"/>
      </w:pPr>
      <w:r>
        <w:rPr/>
        <w:t>（2）不能理解和表达语言；</w:t>
      </w:r>
    </w:p>
    <w:p>
      <w:pPr>
        <w:pStyle w:val="BodyText"/>
        <w:spacing w:before="37"/>
        <w:ind w:left="173"/>
        <w:jc w:val="both"/>
      </w:pPr>
      <w:r>
        <w:rPr/>
        <w:t>（3）对外界刺激不能作出持续地、可重复地反应；</w:t>
      </w:r>
    </w:p>
    <w:p>
      <w:pPr>
        <w:pStyle w:val="BodyText"/>
        <w:spacing w:before="37"/>
        <w:ind w:left="173"/>
        <w:jc w:val="both"/>
      </w:pPr>
      <w:r>
        <w:rPr/>
        <w:t>（4）脑干功能基本保存；</w:t>
      </w:r>
    </w:p>
    <w:p>
      <w:pPr>
        <w:pStyle w:val="BodyText"/>
        <w:spacing w:line="273" w:lineRule="auto" w:before="37"/>
        <w:ind w:left="173" w:right="109"/>
      </w:pPr>
      <w:r>
        <w:rPr/>
        <w:t>（5）通过相应的神经生理、神经心理测试或影像学检查，排除了其他可治疗的神经或精神障碍。</w:t>
      </w:r>
    </w:p>
    <w:p>
      <w:pPr>
        <w:pStyle w:val="BodyText"/>
        <w:spacing w:line="273" w:lineRule="auto" w:before="7"/>
        <w:ind w:left="173" w:right="142"/>
      </w:pPr>
      <w:r>
        <w:rPr/>
        <w:t>上述情况必须有至少一个月的病历记录加以证实，且无临床改善。由于酗酒或滥用药物所致的植物人状态不在保障范围内。</w:t>
      </w:r>
    </w:p>
    <w:p>
      <w:pPr>
        <w:spacing w:after="0" w:line="273" w:lineRule="auto"/>
        <w:sectPr>
          <w:type w:val="continuous"/>
          <w:pgSz w:w="11910" w:h="16840"/>
          <w:pgMar w:top="240" w:bottom="1180" w:left="960" w:right="1340"/>
          <w:cols w:num="2" w:equalWidth="0">
            <w:col w:w="2456" w:space="40"/>
            <w:col w:w="7114"/>
          </w:cols>
        </w:sectPr>
      </w:pPr>
    </w:p>
    <w:p>
      <w:pPr>
        <w:pStyle w:val="BodyText"/>
        <w:spacing w:before="1"/>
      </w:pPr>
    </w:p>
    <w:p>
      <w:pPr>
        <w:spacing w:after="0"/>
        <w:sectPr>
          <w:type w:val="continuous"/>
          <w:pgSz w:w="11910" w:h="16840"/>
          <w:pgMar w:top="240" w:bottom="1180" w:left="960" w:right="1340"/>
        </w:sectPr>
      </w:pPr>
    </w:p>
    <w:p>
      <w:pPr>
        <w:pStyle w:val="BodyText"/>
        <w:spacing w:line="256" w:lineRule="auto" w:before="43"/>
        <w:ind w:left="967"/>
      </w:pPr>
      <w:r>
        <w:rPr>
          <w:rFonts w:ascii="Times New Roman" w:eastAsia="Times New Roman"/>
        </w:rPr>
        <w:t>( </w:t>
      </w:r>
      <w:r>
        <w:rPr/>
        <w:t>三十五</w:t>
      </w:r>
      <w:r>
        <w:rPr>
          <w:rFonts w:ascii="Times New Roman" w:eastAsia="Times New Roman"/>
        </w:rPr>
        <w:t>) </w:t>
      </w:r>
      <w:r>
        <w:rPr/>
        <w:t>严重的肾髓质囊性病</w:t>
      </w:r>
    </w:p>
    <w:p>
      <w:pPr>
        <w:pStyle w:val="BodyText"/>
        <w:spacing w:before="43"/>
        <w:ind w:left="173"/>
      </w:pPr>
      <w:r>
        <w:rPr/>
        <w:br w:type="column"/>
      </w:r>
      <w:r>
        <w:rPr/>
        <w:t>必须由泌尿科专科医生明确诊断为肾髓质囊性病，且同时符合下列要求：</w:t>
      </w:r>
    </w:p>
    <w:p>
      <w:pPr>
        <w:pStyle w:val="BodyText"/>
        <w:spacing w:before="36"/>
        <w:ind w:left="173"/>
      </w:pPr>
      <w:r>
        <w:rPr/>
        <w:t>（1）肾髓质有囊肿、肾小管萎缩及间质纤维化等病理改变；</w:t>
      </w:r>
    </w:p>
    <w:p>
      <w:pPr>
        <w:pStyle w:val="BodyText"/>
        <w:spacing w:before="36"/>
        <w:ind w:left="173"/>
      </w:pPr>
      <w:r>
        <w:rPr/>
        <w:t>（2）贫血、多尿及肾功能衰竭等临床表现；</w:t>
      </w:r>
    </w:p>
    <w:p>
      <w:pPr>
        <w:pStyle w:val="BodyText"/>
        <w:spacing w:before="36"/>
        <w:ind w:left="173"/>
      </w:pPr>
      <w:r>
        <w:rPr/>
        <w:t>（3）诊断须由肾组织活检确定。</w:t>
      </w:r>
    </w:p>
    <w:p>
      <w:pPr>
        <w:spacing w:after="0"/>
        <w:sectPr>
          <w:type w:val="continuous"/>
          <w:pgSz w:w="11910" w:h="16840"/>
          <w:pgMar w:top="240" w:bottom="1180" w:left="960" w:right="1340"/>
          <w:cols w:num="2" w:equalWidth="0">
            <w:col w:w="2456" w:space="40"/>
            <w:col w:w="7114"/>
          </w:cols>
        </w:sectPr>
      </w:pPr>
    </w:p>
    <w:p>
      <w:pPr>
        <w:pStyle w:val="BodyText"/>
        <w:rPr>
          <w:sz w:val="20"/>
        </w:rPr>
      </w:pPr>
    </w:p>
    <w:p>
      <w:pPr>
        <w:pStyle w:val="BodyText"/>
        <w:spacing w:before="2"/>
        <w:rPr>
          <w:sz w:val="27"/>
        </w:rPr>
      </w:pPr>
    </w:p>
    <w:p>
      <w:pPr>
        <w:spacing w:after="0"/>
        <w:rPr>
          <w:sz w:val="27"/>
        </w:rPr>
        <w:sectPr>
          <w:type w:val="continuous"/>
          <w:pgSz w:w="11910" w:h="16840"/>
          <w:pgMar w:top="240" w:bottom="1180" w:left="960" w:right="1340"/>
        </w:sectPr>
      </w:pPr>
    </w:p>
    <w:p>
      <w:pPr>
        <w:pStyle w:val="BodyText"/>
        <w:spacing w:line="256" w:lineRule="auto" w:before="43"/>
        <w:ind w:left="967"/>
      </w:pPr>
      <w:r>
        <w:rPr>
          <w:rFonts w:ascii="Times New Roman" w:eastAsia="Times New Roman"/>
        </w:rPr>
        <w:t>( </w:t>
      </w:r>
      <w:r>
        <w:rPr/>
        <w:t>三十六</w:t>
      </w:r>
      <w:r>
        <w:rPr>
          <w:rFonts w:ascii="Times New Roman" w:eastAsia="Times New Roman"/>
        </w:rPr>
        <w:t>) </w:t>
      </w:r>
      <w:r>
        <w:rPr/>
        <w:t>坏死性筋膜炎</w:t>
      </w:r>
    </w:p>
    <w:p>
      <w:pPr>
        <w:pStyle w:val="BodyText"/>
        <w:spacing w:before="43"/>
        <w:ind w:left="173"/>
      </w:pPr>
      <w:r>
        <w:rPr/>
        <w:br w:type="column"/>
      </w:r>
      <w:r>
        <w:rPr/>
        <w:t>指由外科医生明确诊断为坏死性筋膜炎，并须满足下列全部条件：</w:t>
      </w:r>
    </w:p>
    <w:p>
      <w:pPr>
        <w:pStyle w:val="BodyText"/>
        <w:spacing w:line="273" w:lineRule="auto" w:before="36"/>
        <w:ind w:left="173" w:right="113"/>
      </w:pPr>
      <w:r>
        <w:rPr/>
        <w:t>（1）肢体或躯干出现广泛性肌肉及组织坏死，并确实实施了坏死组织和筋膜以及肌肉的切除手术。清创术不属于保险责任范围；</w:t>
      </w:r>
    </w:p>
    <w:p>
      <w:pPr>
        <w:pStyle w:val="BodyText"/>
        <w:spacing w:before="7"/>
        <w:ind w:left="173"/>
      </w:pPr>
      <w:r>
        <w:rPr/>
        <w:t>（2）诊断必须由微生物或病理检查结果证明。</w:t>
      </w:r>
    </w:p>
    <w:p>
      <w:pPr>
        <w:pStyle w:val="BodyText"/>
        <w:spacing w:line="273" w:lineRule="auto" w:before="37"/>
        <w:ind w:left="173" w:right="3877"/>
      </w:pPr>
      <w:r>
        <w:rPr/>
        <w:t>Fournier's 坏疽属于定义范围。以下情况不在保障范围内：</w:t>
      </w:r>
    </w:p>
    <w:p>
      <w:pPr>
        <w:pStyle w:val="BodyText"/>
        <w:spacing w:before="7"/>
        <w:ind w:left="173"/>
      </w:pPr>
      <w:r>
        <w:rPr/>
        <w:t>（1）气性坏疽；</w:t>
      </w:r>
    </w:p>
    <w:p>
      <w:pPr>
        <w:pStyle w:val="BodyText"/>
        <w:spacing w:before="36"/>
        <w:ind w:left="173"/>
      </w:pPr>
      <w:r>
        <w:rPr/>
        <w:t>（2）糖尿病，神经病变或血管疾病引起的坏疽。</w:t>
      </w:r>
    </w:p>
    <w:p>
      <w:pPr>
        <w:spacing w:after="0"/>
        <w:sectPr>
          <w:type w:val="continuous"/>
          <w:pgSz w:w="11910" w:h="16840"/>
          <w:pgMar w:top="240" w:bottom="1180" w:left="960" w:right="1340"/>
          <w:cols w:num="2" w:equalWidth="0">
            <w:col w:w="2456" w:space="40"/>
            <w:col w:w="7114"/>
          </w:cols>
        </w:sectPr>
      </w:pPr>
    </w:p>
    <w:p>
      <w:pPr>
        <w:pStyle w:val="BodyText"/>
        <w:spacing w:before="4"/>
        <w:rPr>
          <w:sz w:val="23"/>
        </w:rPr>
      </w:pPr>
    </w:p>
    <w:p>
      <w:pPr>
        <w:spacing w:after="0"/>
        <w:rPr>
          <w:sz w:val="23"/>
        </w:rPr>
        <w:sectPr>
          <w:type w:val="continuous"/>
          <w:pgSz w:w="11910" w:h="16840"/>
          <w:pgMar w:top="240" w:bottom="1180" w:left="960" w:right="1340"/>
        </w:sectPr>
      </w:pPr>
    </w:p>
    <w:p>
      <w:pPr>
        <w:pStyle w:val="BodyText"/>
        <w:spacing w:line="264" w:lineRule="auto" w:before="44"/>
        <w:ind w:left="967"/>
        <w:jc w:val="both"/>
      </w:pPr>
      <w:r>
        <w:rPr>
          <w:rFonts w:ascii="Times New Roman" w:eastAsia="Times New Roman"/>
        </w:rPr>
        <w:t>( </w:t>
      </w:r>
      <w:r>
        <w:rPr/>
        <w:t>三十七</w:t>
      </w:r>
      <w:r>
        <w:rPr>
          <w:rFonts w:ascii="Times New Roman" w:eastAsia="Times New Roman"/>
        </w:rPr>
        <w:t>) </w:t>
      </w:r>
      <w:r>
        <w:rPr/>
        <w:t>慢性肾上腺皮质功能衰竭</w:t>
      </w:r>
    </w:p>
    <w:p>
      <w:pPr>
        <w:pStyle w:val="BodyText"/>
        <w:spacing w:line="273" w:lineRule="auto" w:before="44"/>
        <w:ind w:left="173" w:right="209"/>
      </w:pPr>
      <w:r>
        <w:rPr/>
        <w:br w:type="column"/>
      </w:r>
      <w:r>
        <w:rPr/>
        <w:t>是指一种自身免疫功能紊乱使肾上腺组织逐渐受损，导致类固醇激素分泌不足。 须由内分泌科专科医生明确诊断，并须有以下诊断结果支持：</w:t>
      </w:r>
    </w:p>
    <w:p>
      <w:pPr>
        <w:pStyle w:val="BodyText"/>
        <w:spacing w:before="8"/>
        <w:ind w:left="173"/>
      </w:pPr>
      <w:r>
        <w:rPr/>
        <w:t>（1）促肾上腺皮质激素（ACTH）刺激试验显示为原发性肾上腺皮质功能减</w:t>
      </w:r>
    </w:p>
    <w:p>
      <w:pPr>
        <w:spacing w:after="0"/>
        <w:sectPr>
          <w:type w:val="continuous"/>
          <w:pgSz w:w="11910" w:h="16840"/>
          <w:pgMar w:top="240" w:bottom="1180" w:left="960" w:right="1340"/>
          <w:cols w:num="2" w:equalWidth="0">
            <w:col w:w="2456" w:space="40"/>
            <w:col w:w="7114"/>
          </w:cols>
        </w:sectPr>
      </w:pPr>
    </w:p>
    <w:p>
      <w:pPr>
        <w:pStyle w:val="BodyText"/>
        <w:spacing w:before="4"/>
        <w:rPr>
          <w:sz w:val="24"/>
        </w:rPr>
      </w:pPr>
    </w:p>
    <w:p>
      <w:pPr>
        <w:pStyle w:val="BodyText"/>
        <w:spacing w:before="36"/>
        <w:ind w:left="2668"/>
      </w:pPr>
      <w:r>
        <w:rPr/>
        <w:t>退症；</w:t>
      </w:r>
    </w:p>
    <w:p>
      <w:pPr>
        <w:pStyle w:val="BodyText"/>
        <w:spacing w:line="273" w:lineRule="auto" w:before="36"/>
        <w:ind w:left="2668" w:right="289"/>
      </w:pPr>
      <w:r>
        <w:rPr/>
        <w:t>（2）促肾上腺皮质激素（ACTH）、皮质醇、促甲状腺激素（TSH）、醛固酮、肾素、血液钠和钾浓度显示为原发性肾上腺皮质功能减退症。</w:t>
      </w:r>
    </w:p>
    <w:p>
      <w:pPr>
        <w:pStyle w:val="BodyText"/>
        <w:spacing w:before="7"/>
        <w:ind w:left="2668"/>
      </w:pPr>
      <w:r>
        <w:rPr/>
        <w:t>以下情况不在保障范围内：</w:t>
      </w:r>
    </w:p>
    <w:p>
      <w:pPr>
        <w:pStyle w:val="BodyText"/>
        <w:spacing w:before="37"/>
        <w:ind w:left="2668"/>
      </w:pPr>
      <w:r>
        <w:rPr/>
        <w:t>（1）继发性、先天性肾上腺皮质功能减退症；</w:t>
      </w:r>
    </w:p>
    <w:p>
      <w:pPr>
        <w:pStyle w:val="BodyText"/>
        <w:spacing w:line="273" w:lineRule="auto" w:before="37"/>
        <w:ind w:left="2668" w:right="114"/>
      </w:pPr>
      <w:r>
        <w:rPr>
          <w:spacing w:val="-13"/>
        </w:rPr>
        <w:t>（2）</w:t>
      </w:r>
      <w:r>
        <w:rPr>
          <w:spacing w:val="-7"/>
        </w:rPr>
        <w:t>非自身免疫原因导致的肾上腺皮质功能减退症</w:t>
      </w:r>
      <w:r>
        <w:rPr/>
        <w:t>（</w:t>
      </w:r>
      <w:r>
        <w:rPr>
          <w:spacing w:val="-9"/>
        </w:rPr>
        <w:t>如出血、感染、肿瘤、</w:t>
      </w:r>
      <w:r>
        <w:rPr>
          <w:spacing w:val="-6"/>
        </w:rPr>
        <w:t>肉芽肿性疾病或手术切除等</w:t>
      </w:r>
      <w:r>
        <w:rPr/>
        <w:t>）。</w:t>
      </w:r>
    </w:p>
    <w:p>
      <w:pPr>
        <w:pStyle w:val="BodyText"/>
        <w:spacing w:before="2"/>
      </w:pPr>
    </w:p>
    <w:p>
      <w:pPr>
        <w:spacing w:after="0"/>
        <w:sectPr>
          <w:pgSz w:w="11910" w:h="16840"/>
          <w:pgMar w:header="335" w:footer="991" w:top="560" w:bottom="1180" w:left="960" w:right="1260"/>
        </w:sectPr>
      </w:pPr>
    </w:p>
    <w:p>
      <w:pPr>
        <w:pStyle w:val="BodyText"/>
        <w:spacing w:line="266" w:lineRule="auto" w:before="43"/>
        <w:ind w:left="967"/>
        <w:jc w:val="both"/>
      </w:pPr>
      <w:r>
        <w:rPr>
          <w:rFonts w:ascii="Times New Roman" w:eastAsia="Times New Roman"/>
          <w:spacing w:val="-11"/>
        </w:rPr>
        <w:t>( </w:t>
      </w:r>
      <w:r>
        <w:rPr>
          <w:spacing w:val="30"/>
        </w:rPr>
        <w:t>三十八</w:t>
      </w:r>
      <w:r>
        <w:rPr>
          <w:rFonts w:ascii="Times New Roman" w:eastAsia="Times New Roman"/>
          <w:spacing w:val="18"/>
        </w:rPr>
        <w:t>) </w:t>
      </w:r>
      <w:r>
        <w:rPr>
          <w:spacing w:val="15"/>
        </w:rPr>
        <w:t>严重</w:t>
      </w:r>
      <w:r>
        <w:rPr>
          <w:spacing w:val="5"/>
        </w:rPr>
        <w:t>的胰岛素依赖型糖尿病（1</w:t>
      </w:r>
      <w:r>
        <w:rPr>
          <w:spacing w:val="2"/>
        </w:rPr>
        <w:t> 型糖尿病）</w:t>
      </w:r>
    </w:p>
    <w:p>
      <w:pPr>
        <w:pStyle w:val="BodyText"/>
        <w:spacing w:line="273" w:lineRule="auto" w:before="43"/>
        <w:ind w:left="173" w:right="289"/>
        <w:jc w:val="both"/>
      </w:pPr>
      <w:r>
        <w:rPr/>
        <w:br w:type="column"/>
      </w:r>
      <w:r>
        <w:rPr/>
        <w:t>胰岛素依赖型糖尿病是由于胰岛素分泌绝对不足而引起以血浆葡萄糖水平增高为特征的代谢内分泌疾病，需持续利用外源性胰岛素治疗。必须明确诊断为胰岛素依赖型糖尿病（1 型糖尿病）并满足下列至少一个条件：</w:t>
      </w:r>
    </w:p>
    <w:p>
      <w:pPr>
        <w:pStyle w:val="BodyText"/>
        <w:spacing w:before="8"/>
        <w:ind w:left="173"/>
        <w:jc w:val="both"/>
      </w:pPr>
      <w:r>
        <w:rPr/>
        <w:t>（1）出现增殖性糖尿病视网膜病变；</w:t>
      </w:r>
    </w:p>
    <w:p>
      <w:pPr>
        <w:pStyle w:val="BodyText"/>
        <w:spacing w:before="37"/>
        <w:ind w:left="173"/>
        <w:jc w:val="both"/>
      </w:pPr>
      <w:r>
        <w:rPr/>
        <w:t>（2）糖尿病肾病，且尿蛋白&gt;0.5g/24h；</w:t>
      </w:r>
    </w:p>
    <w:p>
      <w:pPr>
        <w:pStyle w:val="BodyText"/>
        <w:spacing w:before="37"/>
        <w:ind w:left="173"/>
        <w:jc w:val="both"/>
      </w:pPr>
      <w:r>
        <w:rPr/>
        <w:t>（3）因糖尿病足趾坏疽进行足趾或下肢截断术。</w:t>
      </w:r>
    </w:p>
    <w:p>
      <w:pPr>
        <w:spacing w:after="0"/>
        <w:jc w:val="both"/>
        <w:sectPr>
          <w:type w:val="continuous"/>
          <w:pgSz w:w="11910" w:h="16840"/>
          <w:pgMar w:top="240" w:bottom="1180" w:left="960" w:right="1260"/>
          <w:cols w:num="2" w:equalWidth="0">
            <w:col w:w="2456" w:space="40"/>
            <w:col w:w="7194"/>
          </w:cols>
        </w:sectPr>
      </w:pPr>
    </w:p>
    <w:p>
      <w:pPr>
        <w:pStyle w:val="BodyText"/>
        <w:spacing w:before="5"/>
        <w:rPr>
          <w:sz w:val="23"/>
        </w:rPr>
      </w:pPr>
    </w:p>
    <w:p>
      <w:pPr>
        <w:spacing w:after="0"/>
        <w:rPr>
          <w:sz w:val="23"/>
        </w:rPr>
        <w:sectPr>
          <w:type w:val="continuous"/>
          <w:pgSz w:w="11910" w:h="16840"/>
          <w:pgMar w:top="240" w:bottom="1180" w:left="960" w:right="1260"/>
        </w:sectPr>
      </w:pPr>
    </w:p>
    <w:p>
      <w:pPr>
        <w:pStyle w:val="BodyText"/>
        <w:spacing w:line="256" w:lineRule="auto" w:before="43"/>
        <w:ind w:left="967"/>
      </w:pPr>
      <w:r>
        <w:rPr>
          <w:rFonts w:ascii="Times New Roman" w:eastAsia="Times New Roman"/>
        </w:rPr>
        <w:t>( </w:t>
      </w:r>
      <w:r>
        <w:rPr/>
        <w:t>三十九</w:t>
      </w:r>
      <w:r>
        <w:rPr>
          <w:rFonts w:ascii="Times New Roman" w:eastAsia="Times New Roman"/>
        </w:rPr>
        <w:t>) </w:t>
      </w:r>
      <w:r>
        <w:rPr/>
        <w:t>严重心肌炎</w:t>
      </w:r>
    </w:p>
    <w:p>
      <w:pPr>
        <w:pStyle w:val="BodyText"/>
        <w:spacing w:line="273" w:lineRule="auto" w:before="43"/>
        <w:ind w:left="173" w:right="220"/>
      </w:pPr>
      <w:r>
        <w:rPr/>
        <w:br w:type="column"/>
      </w:r>
      <w:r>
        <w:rPr/>
        <w:t>指心肌局限性或弥漫性的急性或慢性炎症病变，导致心脏功能障碍，达到美国纽约心脏病学会心功能状态分级IV 级，且持续至少 180 天。</w:t>
      </w:r>
    </w:p>
    <w:p>
      <w:pPr>
        <w:spacing w:after="0" w:line="273" w:lineRule="auto"/>
        <w:sectPr>
          <w:type w:val="continuous"/>
          <w:pgSz w:w="11910" w:h="16840"/>
          <w:pgMar w:top="240" w:bottom="1180" w:left="960" w:right="1260"/>
          <w:cols w:num="2" w:equalWidth="0">
            <w:col w:w="2456" w:space="40"/>
            <w:col w:w="7194"/>
          </w:cols>
        </w:sectPr>
      </w:pPr>
    </w:p>
    <w:p>
      <w:pPr>
        <w:pStyle w:val="BodyText"/>
        <w:spacing w:before="1"/>
      </w:pPr>
    </w:p>
    <w:p>
      <w:pPr>
        <w:spacing w:after="0"/>
        <w:sectPr>
          <w:type w:val="continuous"/>
          <w:pgSz w:w="11910" w:h="16840"/>
          <w:pgMar w:top="240" w:bottom="1180" w:left="960" w:right="1260"/>
        </w:sectPr>
      </w:pPr>
    </w:p>
    <w:p>
      <w:pPr>
        <w:pStyle w:val="BodyText"/>
        <w:spacing w:line="256" w:lineRule="auto" w:before="43"/>
        <w:ind w:left="967"/>
      </w:pPr>
      <w:r>
        <w:rPr>
          <w:rFonts w:ascii="Times New Roman" w:eastAsia="Times New Roman"/>
        </w:rPr>
        <w:t>( </w:t>
      </w:r>
      <w:r>
        <w:rPr/>
        <w:t>四十</w:t>
      </w:r>
      <w:r>
        <w:rPr>
          <w:rFonts w:ascii="Times New Roman" w:eastAsia="Times New Roman"/>
        </w:rPr>
        <w:t>) </w:t>
      </w:r>
      <w:r>
        <w:rPr/>
        <w:t>急性坏死性胰腺炎</w:t>
      </w:r>
    </w:p>
    <w:p>
      <w:pPr>
        <w:pStyle w:val="BodyText"/>
        <w:spacing w:line="273" w:lineRule="auto" w:before="43"/>
        <w:ind w:left="173" w:right="289"/>
      </w:pPr>
      <w:r>
        <w:rPr/>
        <w:br w:type="column"/>
      </w:r>
      <w:r>
        <w:rPr/>
        <w:t>指由专科医生确诊为急性出血坏死性胰腺炎，并已经接受了外科开腹手术治疗，以进行坏死组织清除、坏死病灶切除或胰腺切除。</w:t>
      </w:r>
    </w:p>
    <w:p>
      <w:pPr>
        <w:pStyle w:val="BodyText"/>
        <w:spacing w:line="273" w:lineRule="auto" w:before="7"/>
        <w:ind w:left="173" w:right="222"/>
      </w:pPr>
      <w:r>
        <w:rPr/>
        <w:t>因饮酒所致的急性出血坏死性胰腺炎或经腹腔镜手术进行的治疗不在保障范围内。</w:t>
      </w:r>
    </w:p>
    <w:p>
      <w:pPr>
        <w:spacing w:after="0" w:line="273" w:lineRule="auto"/>
        <w:sectPr>
          <w:type w:val="continuous"/>
          <w:pgSz w:w="11910" w:h="16840"/>
          <w:pgMar w:top="240" w:bottom="1180" w:left="960" w:right="1260"/>
          <w:cols w:num="2" w:equalWidth="0">
            <w:col w:w="2456" w:space="40"/>
            <w:col w:w="7194"/>
          </w:cols>
        </w:sectPr>
      </w:pPr>
    </w:p>
    <w:p>
      <w:pPr>
        <w:pStyle w:val="BodyText"/>
        <w:spacing w:before="2"/>
      </w:pPr>
    </w:p>
    <w:p>
      <w:pPr>
        <w:spacing w:after="0"/>
        <w:sectPr>
          <w:type w:val="continuous"/>
          <w:pgSz w:w="11910" w:h="16840"/>
          <w:pgMar w:top="240" w:bottom="1180" w:left="960" w:right="1260"/>
        </w:sectPr>
      </w:pPr>
    </w:p>
    <w:p>
      <w:pPr>
        <w:pStyle w:val="BodyText"/>
        <w:spacing w:line="256" w:lineRule="auto" w:before="43"/>
        <w:ind w:left="967"/>
      </w:pPr>
      <w:r>
        <w:rPr>
          <w:rFonts w:ascii="Times New Roman" w:eastAsia="Times New Roman"/>
        </w:rPr>
        <w:t>( </w:t>
      </w:r>
      <w:r>
        <w:rPr/>
        <w:t>四十一</w:t>
      </w:r>
      <w:r>
        <w:rPr>
          <w:rFonts w:ascii="Times New Roman" w:eastAsia="Times New Roman"/>
        </w:rPr>
        <w:t>) </w:t>
      </w:r>
      <w:r>
        <w:rPr/>
        <w:t>严重克隆病</w:t>
      </w:r>
    </w:p>
    <w:p>
      <w:pPr>
        <w:pStyle w:val="BodyText"/>
        <w:spacing w:line="273" w:lineRule="auto" w:before="43"/>
        <w:ind w:left="173" w:right="220"/>
        <w:jc w:val="both"/>
      </w:pPr>
      <w:r>
        <w:rPr/>
        <w:br w:type="column"/>
      </w:r>
      <w:r>
        <w:rPr/>
        <w:t>克隆病是一种慢性肉芽肿性肠炎，具有特征性的克隆病病理组织学变化。诊断必须由病理检查结果证实。被保险人所患的克隆病必须已经造成瘘管形成并伴有肠梗阻或肠穿孔。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240" w:bottom="1180" w:left="960" w:right="1260"/>
          <w:cols w:num="2" w:equalWidth="0">
            <w:col w:w="2456" w:space="40"/>
            <w:col w:w="7194"/>
          </w:cols>
        </w:sectPr>
      </w:pPr>
    </w:p>
    <w:p>
      <w:pPr>
        <w:pStyle w:val="BodyText"/>
        <w:spacing w:before="2"/>
      </w:pPr>
    </w:p>
    <w:p>
      <w:pPr>
        <w:spacing w:after="0"/>
        <w:sectPr>
          <w:type w:val="continuous"/>
          <w:pgSz w:w="11910" w:h="16840"/>
          <w:pgMar w:top="240" w:bottom="1180" w:left="960" w:right="1260"/>
        </w:sectPr>
      </w:pPr>
    </w:p>
    <w:p>
      <w:pPr>
        <w:pStyle w:val="BodyText"/>
        <w:spacing w:line="256" w:lineRule="auto" w:before="43"/>
        <w:ind w:left="967"/>
      </w:pPr>
      <w:r>
        <w:rPr>
          <w:rFonts w:ascii="Times New Roman" w:eastAsia="Times New Roman"/>
        </w:rPr>
        <w:t>( </w:t>
      </w:r>
      <w:r>
        <w:rPr/>
        <w:t>四十二</w:t>
      </w:r>
      <w:r>
        <w:rPr>
          <w:rFonts w:ascii="Times New Roman" w:eastAsia="Times New Roman"/>
        </w:rPr>
        <w:t>) </w:t>
      </w:r>
      <w:r>
        <w:rPr/>
        <w:t>原发性硬化性胆管炎</w:t>
      </w:r>
    </w:p>
    <w:p>
      <w:pPr>
        <w:pStyle w:val="BodyText"/>
        <w:spacing w:line="273" w:lineRule="auto" w:before="43"/>
        <w:ind w:left="173" w:right="289"/>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7"/>
        <w:ind w:left="173"/>
        <w:jc w:val="both"/>
      </w:pPr>
      <w:r>
        <w:rPr/>
        <w:t>(1)总胆红素和直接胆红素同时升高，血清ALP&gt;200U/L；</w:t>
      </w:r>
    </w:p>
    <w:p>
      <w:pPr>
        <w:pStyle w:val="BodyText"/>
        <w:spacing w:before="36"/>
        <w:ind w:left="173"/>
        <w:jc w:val="both"/>
      </w:pPr>
      <w:r>
        <w:rPr/>
        <w:t>(2)持续性黄疸病史；</w:t>
      </w:r>
    </w:p>
    <w:p>
      <w:pPr>
        <w:pStyle w:val="BodyText"/>
        <w:spacing w:before="36"/>
        <w:ind w:left="173"/>
        <w:jc w:val="both"/>
      </w:pPr>
      <w:r>
        <w:rPr/>
        <w:t>(3)出现胆汁性肝硬化或门脉高压。</w:t>
      </w:r>
    </w:p>
    <w:p>
      <w:pPr>
        <w:pStyle w:val="BodyText"/>
        <w:spacing w:before="36"/>
        <w:ind w:left="173"/>
        <w:jc w:val="both"/>
      </w:pPr>
      <w:r>
        <w:rPr/>
        <w:t>因肿瘤或胆管损伤等继发性的硬化性胆管炎不在保障范围内。</w:t>
      </w:r>
    </w:p>
    <w:p>
      <w:pPr>
        <w:spacing w:after="0"/>
        <w:jc w:val="both"/>
        <w:sectPr>
          <w:type w:val="continuous"/>
          <w:pgSz w:w="11910" w:h="16840"/>
          <w:pgMar w:top="240" w:bottom="1180" w:left="960" w:right="1260"/>
          <w:cols w:num="2" w:equalWidth="0">
            <w:col w:w="2456" w:space="40"/>
            <w:col w:w="7194"/>
          </w:cols>
        </w:sectPr>
      </w:pPr>
    </w:p>
    <w:p>
      <w:pPr>
        <w:pStyle w:val="BodyText"/>
        <w:spacing w:before="4"/>
        <w:rPr>
          <w:sz w:val="23"/>
        </w:rPr>
      </w:pPr>
    </w:p>
    <w:p>
      <w:pPr>
        <w:spacing w:after="0"/>
        <w:rPr>
          <w:sz w:val="23"/>
        </w:rPr>
        <w:sectPr>
          <w:type w:val="continuous"/>
          <w:pgSz w:w="11910" w:h="16840"/>
          <w:pgMar w:top="240" w:bottom="1180" w:left="960" w:right="1260"/>
        </w:sectPr>
      </w:pPr>
    </w:p>
    <w:p>
      <w:pPr>
        <w:pStyle w:val="BodyText"/>
        <w:spacing w:line="256" w:lineRule="auto" w:before="43"/>
        <w:ind w:left="967"/>
      </w:pPr>
      <w:r>
        <w:rPr>
          <w:rFonts w:ascii="Times New Roman" w:eastAsia="Times New Roman"/>
        </w:rPr>
        <w:t>( </w:t>
      </w:r>
      <w:r>
        <w:rPr/>
        <w:t>四十三</w:t>
      </w:r>
      <w:r>
        <w:rPr>
          <w:rFonts w:ascii="Times New Roman" w:eastAsia="Times New Roman"/>
        </w:rPr>
        <w:t>) </w:t>
      </w:r>
      <w:r>
        <w:rPr/>
        <w:t>象皮病</w:t>
      </w:r>
    </w:p>
    <w:p>
      <w:pPr>
        <w:pStyle w:val="BodyText"/>
        <w:spacing w:line="273" w:lineRule="auto" w:before="43"/>
        <w:ind w:left="173" w:right="220"/>
        <w:jc w:val="both"/>
      </w:pPr>
      <w:r>
        <w:rPr/>
        <w:br w:type="column"/>
      </w:r>
      <w:r>
        <w:rPr/>
        <w:t>指末期丝虫病，其性质为身体组织因血液循环受阻或淋巴管堵塞而肿大。必须由保险公司认可的专科医生确诊，且以微丝蚴化验结果阳性确认。因性接触，外伤、手术后的疤痕、充血性心衰竭或先天性淋巴系统不正常等情况引到淋巴水肿均不包括在内。</w:t>
      </w:r>
    </w:p>
    <w:p>
      <w:pPr>
        <w:spacing w:after="0" w:line="273" w:lineRule="auto"/>
        <w:jc w:val="both"/>
        <w:sectPr>
          <w:type w:val="continuous"/>
          <w:pgSz w:w="11910" w:h="16840"/>
          <w:pgMar w:top="240" w:bottom="1180" w:left="960" w:right="1260"/>
          <w:cols w:num="2" w:equalWidth="0">
            <w:col w:w="2456" w:space="40"/>
            <w:col w:w="7194"/>
          </w:cols>
        </w:sectPr>
      </w:pPr>
    </w:p>
    <w:p>
      <w:pPr>
        <w:pStyle w:val="BodyText"/>
        <w:spacing w:before="1"/>
      </w:pPr>
    </w:p>
    <w:p>
      <w:pPr>
        <w:spacing w:after="0"/>
        <w:sectPr>
          <w:type w:val="continuous"/>
          <w:pgSz w:w="11910" w:h="16840"/>
          <w:pgMar w:top="240" w:bottom="1180" w:left="960" w:right="1260"/>
        </w:sectPr>
      </w:pPr>
    </w:p>
    <w:p>
      <w:pPr>
        <w:pStyle w:val="BodyText"/>
        <w:spacing w:line="264" w:lineRule="auto" w:before="43"/>
        <w:ind w:left="967"/>
        <w:jc w:val="both"/>
      </w:pPr>
      <w:r>
        <w:rPr>
          <w:rFonts w:ascii="Times New Roman" w:eastAsia="Times New Roman"/>
        </w:rPr>
        <w:t>( </w:t>
      </w:r>
      <w:r>
        <w:rPr/>
        <w:t>四十四</w:t>
      </w:r>
      <w:r>
        <w:rPr>
          <w:rFonts w:ascii="Times New Roman" w:eastAsia="Times New Roman"/>
        </w:rPr>
        <w:t>) </w:t>
      </w:r>
      <w:r>
        <w:rPr/>
        <w:t>由川崎病导致的冠状动脉瘤</w:t>
      </w:r>
    </w:p>
    <w:p>
      <w:pPr>
        <w:spacing w:line="259" w:lineRule="auto" w:before="34"/>
        <w:ind w:left="173" w:right="220" w:firstLine="0"/>
        <w:jc w:val="both"/>
        <w:rPr>
          <w:sz w:val="22"/>
        </w:rPr>
      </w:pPr>
      <w:r>
        <w:rPr/>
        <w:br w:type="column"/>
      </w:r>
      <w:r>
        <w:rPr>
          <w:spacing w:val="-6"/>
          <w:sz w:val="22"/>
        </w:rPr>
        <w:t>指一种原因未明的血管炎综合征，临床表现为急性发热，皮肤粘膜病损</w:t>
      </w:r>
      <w:r>
        <w:rPr>
          <w:spacing w:val="-8"/>
          <w:sz w:val="22"/>
        </w:rPr>
        <w:t>和淋巴结肿大。本病必须经专科医生明确诊断，且必须由血管造影或超</w:t>
      </w:r>
      <w:r>
        <w:rPr>
          <w:spacing w:val="-4"/>
          <w:sz w:val="22"/>
        </w:rPr>
        <w:t>声心动图检查证实，满足下列至少一项条件：</w:t>
      </w:r>
    </w:p>
    <w:p>
      <w:pPr>
        <w:spacing w:line="259" w:lineRule="auto" w:before="6"/>
        <w:ind w:left="173" w:right="522" w:firstLine="0"/>
        <w:jc w:val="left"/>
        <w:rPr>
          <w:sz w:val="22"/>
        </w:rPr>
      </w:pPr>
      <w:r>
        <w:rPr>
          <w:sz w:val="22"/>
        </w:rPr>
        <w:t>1）伴有冠状动脉瘤，且冠状动脉瘤于最初急性发病后持续至少一百八十天；</w:t>
      </w:r>
    </w:p>
    <w:p>
      <w:pPr>
        <w:spacing w:before="6"/>
        <w:ind w:left="173" w:right="0" w:firstLine="0"/>
        <w:jc w:val="both"/>
        <w:rPr>
          <w:sz w:val="22"/>
        </w:rPr>
      </w:pPr>
      <w:r>
        <w:rPr>
          <w:sz w:val="22"/>
        </w:rPr>
        <w:t>2）伴有冠状动脉瘤，且实际接受了对冠状动脉瘤进行的手术治疗。</w:t>
      </w:r>
    </w:p>
    <w:p>
      <w:pPr>
        <w:spacing w:after="0"/>
        <w:jc w:val="both"/>
        <w:rPr>
          <w:sz w:val="22"/>
        </w:rPr>
        <w:sectPr>
          <w:type w:val="continuous"/>
          <w:pgSz w:w="11910" w:h="16840"/>
          <w:pgMar w:top="240" w:bottom="1180" w:left="960" w:right="1260"/>
          <w:cols w:num="2" w:equalWidth="0">
            <w:col w:w="2456" w:space="40"/>
            <w:col w:w="7194"/>
          </w:cols>
        </w:sectPr>
      </w:pPr>
    </w:p>
    <w:p>
      <w:pPr>
        <w:pStyle w:val="BodyText"/>
        <w:rPr>
          <w:sz w:val="20"/>
        </w:rPr>
      </w:pPr>
    </w:p>
    <w:p>
      <w:pPr>
        <w:pStyle w:val="BodyText"/>
        <w:rPr>
          <w:sz w:val="20"/>
        </w:rPr>
      </w:pPr>
    </w:p>
    <w:p>
      <w:pPr>
        <w:pStyle w:val="BodyText"/>
        <w:spacing w:before="3" w:after="1"/>
        <w:rPr>
          <w:sz w:val="1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861"/>
        <w:gridCol w:w="7054"/>
      </w:tblGrid>
      <w:tr>
        <w:trPr>
          <w:trHeight w:val="580" w:hRule="atLeast"/>
        </w:trPr>
        <w:tc>
          <w:tcPr>
            <w:tcW w:w="633" w:type="dxa"/>
            <w:vMerge w:val="restart"/>
          </w:tcPr>
          <w:p>
            <w:pPr>
              <w:pStyle w:val="TableParagraph"/>
              <w:rPr>
                <w:rFonts w:ascii="Times New Roman"/>
                <w:sz w:val="20"/>
              </w:rPr>
            </w:pPr>
          </w:p>
        </w:tc>
        <w:tc>
          <w:tcPr>
            <w:tcW w:w="1861" w:type="dxa"/>
          </w:tcPr>
          <w:p>
            <w:pPr>
              <w:pStyle w:val="TableParagraph"/>
              <w:spacing w:line="234" w:lineRule="exact"/>
              <w:ind w:left="266"/>
              <w:rPr>
                <w:sz w:val="21"/>
              </w:rPr>
            </w:pPr>
            <w:r>
              <w:rPr>
                <w:rFonts w:ascii="Times New Roman" w:eastAsia="Times New Roman"/>
                <w:sz w:val="21"/>
              </w:rPr>
              <w:t>( </w:t>
            </w:r>
            <w:r>
              <w:rPr>
                <w:sz w:val="21"/>
              </w:rPr>
              <w:t>四十五</w:t>
            </w:r>
            <w:r>
              <w:rPr>
                <w:rFonts w:ascii="Times New Roman" w:eastAsia="Times New Roman"/>
                <w:sz w:val="21"/>
              </w:rPr>
              <w:t>)  </w:t>
            </w:r>
            <w:r>
              <w:rPr>
                <w:sz w:val="21"/>
              </w:rPr>
              <w:t>全身</w:t>
            </w:r>
          </w:p>
          <w:p>
            <w:pPr>
              <w:pStyle w:val="TableParagraph"/>
              <w:spacing w:before="21"/>
              <w:ind w:left="266"/>
              <w:rPr>
                <w:sz w:val="21"/>
              </w:rPr>
            </w:pPr>
            <w:r>
              <w:rPr>
                <w:sz w:val="21"/>
              </w:rPr>
              <w:t>型幼年类风湿性</w:t>
            </w:r>
          </w:p>
        </w:tc>
        <w:tc>
          <w:tcPr>
            <w:tcW w:w="7054" w:type="dxa"/>
          </w:tcPr>
          <w:p>
            <w:pPr>
              <w:pStyle w:val="TableParagraph"/>
              <w:spacing w:line="218" w:lineRule="exact"/>
              <w:ind w:left="107"/>
              <w:rPr>
                <w:sz w:val="21"/>
              </w:rPr>
            </w:pPr>
            <w:r>
              <w:rPr>
                <w:sz w:val="21"/>
              </w:rPr>
              <w:t>是指小儿及青少年时期的一种全身结缔组织病。可表现为驰张热、皮疹、</w:t>
            </w:r>
          </w:p>
          <w:p>
            <w:pPr>
              <w:pStyle w:val="TableParagraph"/>
              <w:spacing w:before="37"/>
              <w:ind w:left="107"/>
              <w:rPr>
                <w:sz w:val="21"/>
              </w:rPr>
            </w:pPr>
            <w:r>
              <w:rPr>
                <w:sz w:val="21"/>
              </w:rPr>
              <w:t>关节炎、脾肿大、淋巴结肿大、浆膜炎、体重减轻、中性粒细胞增多等，</w:t>
            </w:r>
          </w:p>
        </w:tc>
      </w:tr>
      <w:tr>
        <w:trPr>
          <w:trHeight w:val="312" w:hRule="atLeast"/>
        </w:trPr>
        <w:tc>
          <w:tcPr>
            <w:tcW w:w="633" w:type="dxa"/>
            <w:vMerge/>
            <w:tcBorders>
              <w:top w:val="nil"/>
            </w:tcBorders>
          </w:tcPr>
          <w:p>
            <w:pPr>
              <w:rPr>
                <w:sz w:val="2"/>
                <w:szCs w:val="2"/>
              </w:rPr>
            </w:pPr>
          </w:p>
        </w:tc>
        <w:tc>
          <w:tcPr>
            <w:tcW w:w="1861" w:type="dxa"/>
          </w:tcPr>
          <w:p>
            <w:pPr>
              <w:pStyle w:val="TableParagraph"/>
              <w:spacing w:line="261" w:lineRule="exact"/>
              <w:ind w:left="266"/>
              <w:rPr>
                <w:sz w:val="21"/>
              </w:rPr>
            </w:pPr>
            <w:r>
              <w:rPr>
                <w:sz w:val="21"/>
              </w:rPr>
              <w:t>关节炎</w:t>
            </w:r>
          </w:p>
        </w:tc>
        <w:tc>
          <w:tcPr>
            <w:tcW w:w="7054" w:type="dxa"/>
          </w:tcPr>
          <w:p>
            <w:pPr>
              <w:pStyle w:val="TableParagraph"/>
              <w:spacing w:line="261" w:lineRule="exact"/>
              <w:ind w:left="107"/>
              <w:rPr>
                <w:sz w:val="21"/>
              </w:rPr>
            </w:pPr>
            <w:r>
              <w:rPr>
                <w:sz w:val="21"/>
              </w:rPr>
              <w:t>全身症状可以先于关节炎出现。本病须经本公司认可的儿科类风湿病专家</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2" w:lineRule="exact"/>
              <w:ind w:left="107"/>
              <w:rPr>
                <w:sz w:val="21"/>
              </w:rPr>
            </w:pPr>
            <w:r>
              <w:rPr>
                <w:sz w:val="21"/>
              </w:rPr>
              <w:t>出具医学诊断证明，保障仅限于症状持续 6 个月以上，并因病情严重在医</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生的建议下已接受以治疗为目的的膝或髋关节的置换手术。其他类型的儿</w:t>
            </w:r>
          </w:p>
        </w:tc>
      </w:tr>
      <w:tr>
        <w:trPr>
          <w:trHeight w:val="464"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童类风湿性关节炎除外。</w:t>
            </w:r>
          </w:p>
        </w:tc>
      </w:tr>
      <w:tr>
        <w:trPr>
          <w:trHeight w:val="783" w:hRule="atLeast"/>
        </w:trPr>
        <w:tc>
          <w:tcPr>
            <w:tcW w:w="633" w:type="dxa"/>
            <w:vMerge/>
            <w:tcBorders>
              <w:top w:val="nil"/>
            </w:tcBorders>
          </w:tcPr>
          <w:p>
            <w:pPr>
              <w:rPr>
                <w:sz w:val="2"/>
                <w:szCs w:val="2"/>
              </w:rPr>
            </w:pPr>
          </w:p>
        </w:tc>
        <w:tc>
          <w:tcPr>
            <w:tcW w:w="1861" w:type="dxa"/>
          </w:tcPr>
          <w:p>
            <w:pPr>
              <w:pStyle w:val="TableParagraph"/>
              <w:spacing w:line="256" w:lineRule="auto" w:before="146"/>
              <w:ind w:left="266" w:right="104"/>
              <w:rPr>
                <w:sz w:val="21"/>
              </w:rPr>
            </w:pPr>
            <w:r>
              <w:rPr>
                <w:rFonts w:ascii="Times New Roman" w:eastAsia="Times New Roman"/>
                <w:sz w:val="21"/>
              </w:rPr>
              <w:t>( </w:t>
            </w:r>
            <w:r>
              <w:rPr>
                <w:sz w:val="21"/>
              </w:rPr>
              <w:t>四十六</w:t>
            </w:r>
            <w:r>
              <w:rPr>
                <w:rFonts w:ascii="Times New Roman" w:eastAsia="Times New Roman"/>
                <w:sz w:val="21"/>
              </w:rPr>
              <w:t>) </w:t>
            </w:r>
            <w:r>
              <w:rPr>
                <w:sz w:val="21"/>
              </w:rPr>
              <w:t>肝豆状核变性</w:t>
            </w:r>
          </w:p>
        </w:tc>
        <w:tc>
          <w:tcPr>
            <w:tcW w:w="7054" w:type="dxa"/>
          </w:tcPr>
          <w:p>
            <w:pPr>
              <w:pStyle w:val="TableParagraph"/>
              <w:spacing w:line="273" w:lineRule="auto" w:before="146"/>
              <w:ind w:left="107" w:right="219"/>
              <w:rPr>
                <w:sz w:val="21"/>
              </w:rPr>
            </w:pPr>
            <w:r>
              <w:rPr>
                <w:sz w:val="21"/>
              </w:rPr>
              <w:t>由于先天性铜代谢障碍所引起的一种疾病，其特点为肝硬化与双侧脑基底神经节变性同时存在。理赔须经本公司认可的专科医生确认并同时具备下</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列情况：</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2" w:lineRule="exact"/>
              <w:ind w:left="107"/>
              <w:rPr>
                <w:sz w:val="21"/>
              </w:rPr>
            </w:pPr>
            <w:r>
              <w:rPr>
                <w:sz w:val="21"/>
              </w:rPr>
              <w:t>（1）临床表现包括：进行性加剧的肢体震颤，肌强直，吞咽及发音困难，</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精神异常；</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（2）角膜色素环（K-F 环）；</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（3）血清铜和血清铜蓝蛋白降低，尿铜增加；</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2" w:lineRule="exact"/>
              <w:ind w:left="107"/>
              <w:rPr>
                <w:sz w:val="21"/>
              </w:rPr>
            </w:pPr>
            <w:r>
              <w:rPr>
                <w:sz w:val="21"/>
              </w:rPr>
              <w:t>（4）食管静脉曲张 ；</w:t>
            </w:r>
          </w:p>
        </w:tc>
      </w:tr>
      <w:tr>
        <w:trPr>
          <w:trHeight w:val="464"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（5）腹水。</w:t>
            </w:r>
          </w:p>
        </w:tc>
      </w:tr>
      <w:tr>
        <w:trPr>
          <w:trHeight w:val="783" w:hRule="atLeast"/>
        </w:trPr>
        <w:tc>
          <w:tcPr>
            <w:tcW w:w="633" w:type="dxa"/>
            <w:vMerge/>
            <w:tcBorders>
              <w:top w:val="nil"/>
            </w:tcBorders>
          </w:tcPr>
          <w:p>
            <w:pPr>
              <w:rPr>
                <w:sz w:val="2"/>
                <w:szCs w:val="2"/>
              </w:rPr>
            </w:pPr>
          </w:p>
        </w:tc>
        <w:tc>
          <w:tcPr>
            <w:tcW w:w="1861" w:type="dxa"/>
          </w:tcPr>
          <w:p>
            <w:pPr>
              <w:pStyle w:val="TableParagraph"/>
              <w:spacing w:line="256" w:lineRule="auto" w:before="146"/>
              <w:ind w:left="266" w:right="104"/>
              <w:rPr>
                <w:sz w:val="21"/>
              </w:rPr>
            </w:pPr>
            <w:r>
              <w:rPr>
                <w:rFonts w:ascii="Times New Roman" w:eastAsia="Times New Roman"/>
                <w:sz w:val="21"/>
              </w:rPr>
              <w:t>( </w:t>
            </w:r>
            <w:r>
              <w:rPr>
                <w:sz w:val="21"/>
              </w:rPr>
              <w:t>四十七</w:t>
            </w:r>
            <w:r>
              <w:rPr>
                <w:rFonts w:ascii="Times New Roman" w:eastAsia="Times New Roman"/>
                <w:sz w:val="21"/>
              </w:rPr>
              <w:t>) </w:t>
            </w:r>
            <w:r>
              <w:rPr>
                <w:sz w:val="21"/>
              </w:rPr>
              <w:t>慢性复发性胰腺炎</w:t>
            </w:r>
          </w:p>
        </w:tc>
        <w:tc>
          <w:tcPr>
            <w:tcW w:w="7054" w:type="dxa"/>
          </w:tcPr>
          <w:p>
            <w:pPr>
              <w:pStyle w:val="TableParagraph"/>
              <w:spacing w:line="273" w:lineRule="auto" w:before="146"/>
              <w:ind w:left="107" w:right="220"/>
              <w:rPr>
                <w:sz w:val="21"/>
              </w:rPr>
            </w:pPr>
            <w:r>
              <w:rPr>
                <w:sz w:val="21"/>
              </w:rPr>
              <w:t>有腹痛等典型症状的胰腺炎反复发作，导致胰腺进行性破坏，明确诊断严重慢性胰腺炎，并须满足下列全部条件：</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（1）胰腺外分泌功能不全导致体重降低和脂肪泻；</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（2）胰腺内分泌功能不全导致糖尿病；</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2" w:lineRule="exact"/>
              <w:ind w:left="107"/>
              <w:rPr>
                <w:sz w:val="21"/>
              </w:rPr>
            </w:pPr>
            <w:r>
              <w:rPr>
                <w:sz w:val="21"/>
              </w:rPr>
              <w:t>（3）需要口服胰酶或胰岛素替代治疗。</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以上情况需至少持续 6 个月。必须由消化科专科医生确诊，并通过影像学</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和实验室检查结果证实。</w:t>
            </w:r>
          </w:p>
        </w:tc>
      </w:tr>
      <w:tr>
        <w:trPr>
          <w:trHeight w:val="464"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以下情况不在保障范围内：酒精或药物导致的慢性胰腺炎。</w:t>
            </w:r>
          </w:p>
        </w:tc>
      </w:tr>
      <w:tr>
        <w:trPr>
          <w:trHeight w:val="783" w:hRule="atLeast"/>
        </w:trPr>
        <w:tc>
          <w:tcPr>
            <w:tcW w:w="633" w:type="dxa"/>
            <w:vMerge/>
            <w:tcBorders>
              <w:top w:val="nil"/>
            </w:tcBorders>
          </w:tcPr>
          <w:p>
            <w:pPr>
              <w:rPr>
                <w:sz w:val="2"/>
                <w:szCs w:val="2"/>
              </w:rPr>
            </w:pPr>
          </w:p>
        </w:tc>
        <w:tc>
          <w:tcPr>
            <w:tcW w:w="1861" w:type="dxa"/>
          </w:tcPr>
          <w:p>
            <w:pPr>
              <w:pStyle w:val="TableParagraph"/>
              <w:spacing w:line="256" w:lineRule="auto" w:before="146"/>
              <w:ind w:left="266" w:right="104"/>
              <w:rPr>
                <w:sz w:val="21"/>
              </w:rPr>
            </w:pPr>
            <w:r>
              <w:rPr>
                <w:rFonts w:ascii="Times New Roman" w:eastAsia="Times New Roman"/>
                <w:sz w:val="21"/>
              </w:rPr>
              <w:t>(</w:t>
            </w:r>
            <w:r>
              <w:rPr>
                <w:sz w:val="21"/>
              </w:rPr>
              <w:t>四十八</w:t>
            </w:r>
            <w:r>
              <w:rPr>
                <w:rFonts w:ascii="Times New Roman" w:eastAsia="Times New Roman"/>
                <w:sz w:val="21"/>
              </w:rPr>
              <w:t>)</w:t>
            </w:r>
            <w:r>
              <w:rPr>
                <w:sz w:val="21"/>
              </w:rPr>
              <w:t>由急性脊髓灰质炎导致</w:t>
            </w:r>
          </w:p>
        </w:tc>
        <w:tc>
          <w:tcPr>
            <w:tcW w:w="7054" w:type="dxa"/>
          </w:tcPr>
          <w:p>
            <w:pPr>
              <w:pStyle w:val="TableParagraph"/>
              <w:spacing w:line="273" w:lineRule="auto" w:before="146"/>
              <w:ind w:left="107" w:right="219"/>
              <w:rPr>
                <w:sz w:val="21"/>
              </w:rPr>
            </w:pPr>
            <w:r>
              <w:rPr>
                <w:sz w:val="21"/>
              </w:rPr>
              <w:t>脊髓灰质炎是由脊髓灰质炎病毒感染所致的瘫痪性疾病，临床表现为运动功能损害或呼吸无力。该病必须由医院的专科医生确诊并提供相关的脊髓</w:t>
            </w:r>
          </w:p>
        </w:tc>
      </w:tr>
      <w:tr>
        <w:trPr>
          <w:trHeight w:val="312" w:hRule="atLeast"/>
        </w:trPr>
        <w:tc>
          <w:tcPr>
            <w:tcW w:w="633" w:type="dxa"/>
            <w:vMerge/>
            <w:tcBorders>
              <w:top w:val="nil"/>
            </w:tcBorders>
          </w:tcPr>
          <w:p>
            <w:pPr>
              <w:rPr>
                <w:sz w:val="2"/>
                <w:szCs w:val="2"/>
              </w:rPr>
            </w:pPr>
          </w:p>
        </w:tc>
        <w:tc>
          <w:tcPr>
            <w:tcW w:w="1861" w:type="dxa"/>
          </w:tcPr>
          <w:p>
            <w:pPr>
              <w:pStyle w:val="TableParagraph"/>
              <w:spacing w:line="262" w:lineRule="exact"/>
              <w:ind w:left="266"/>
              <w:rPr>
                <w:sz w:val="21"/>
              </w:rPr>
            </w:pPr>
            <w:r>
              <w:rPr>
                <w:sz w:val="21"/>
              </w:rPr>
              <w:t>的永久性肢体瘫</w:t>
            </w:r>
          </w:p>
        </w:tc>
        <w:tc>
          <w:tcPr>
            <w:tcW w:w="7054" w:type="dxa"/>
          </w:tcPr>
          <w:p>
            <w:pPr>
              <w:pStyle w:val="TableParagraph"/>
              <w:spacing w:line="262" w:lineRule="exact"/>
              <w:ind w:left="107"/>
              <w:rPr>
                <w:sz w:val="21"/>
              </w:rPr>
            </w:pPr>
            <w:r>
              <w:rPr>
                <w:sz w:val="21"/>
              </w:rPr>
              <w:t>灰质炎病毒感染的证据（例如：粪便检查、脑脊液检查或血清学抗体检查</w:t>
            </w:r>
          </w:p>
        </w:tc>
      </w:tr>
      <w:tr>
        <w:trPr>
          <w:trHeight w:val="311" w:hRule="atLeast"/>
        </w:trPr>
        <w:tc>
          <w:tcPr>
            <w:tcW w:w="633" w:type="dxa"/>
            <w:vMerge/>
            <w:tcBorders>
              <w:top w:val="nil"/>
            </w:tcBorders>
          </w:tcPr>
          <w:p>
            <w:pPr>
              <w:rPr>
                <w:sz w:val="2"/>
                <w:szCs w:val="2"/>
              </w:rPr>
            </w:pPr>
          </w:p>
        </w:tc>
        <w:tc>
          <w:tcPr>
            <w:tcW w:w="1861" w:type="dxa"/>
          </w:tcPr>
          <w:p>
            <w:pPr>
              <w:pStyle w:val="TableParagraph"/>
              <w:spacing w:line="261" w:lineRule="exact"/>
              <w:ind w:left="266"/>
              <w:rPr>
                <w:sz w:val="21"/>
              </w:rPr>
            </w:pPr>
            <w:r>
              <w:rPr>
                <w:w w:val="100"/>
                <w:sz w:val="21"/>
              </w:rPr>
              <w:t>痪</w:t>
            </w:r>
          </w:p>
        </w:tc>
        <w:tc>
          <w:tcPr>
            <w:tcW w:w="7054" w:type="dxa"/>
          </w:tcPr>
          <w:p>
            <w:pPr>
              <w:pStyle w:val="TableParagraph"/>
              <w:spacing w:line="261" w:lineRule="exact"/>
              <w:ind w:left="107"/>
              <w:rPr>
                <w:sz w:val="21"/>
              </w:rPr>
            </w:pPr>
            <w:r>
              <w:rPr>
                <w:sz w:val="21"/>
              </w:rPr>
              <w:t>报告）。本附加合同仅对脊髓灰质炎造成的神经系统功能损害已导致被保</w:t>
            </w:r>
          </w:p>
        </w:tc>
      </w:tr>
      <w:tr>
        <w:trPr>
          <w:trHeight w:val="311"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rPr>
              <w:t>险人永久性的肢体瘫痪的情况予以理赔。</w:t>
            </w:r>
            <w:r>
              <w:rPr>
                <w:sz w:val="21"/>
                <w:shd w:fill="E5E5E5" w:color="auto" w:val="clear"/>
              </w:rPr>
              <w:t>其他原因导致的瘫痪则不在本附</w:t>
            </w:r>
          </w:p>
        </w:tc>
      </w:tr>
      <w:tr>
        <w:trPr>
          <w:trHeight w:val="312"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1" w:lineRule="exact"/>
              <w:ind w:left="107"/>
              <w:rPr>
                <w:sz w:val="21"/>
              </w:rPr>
            </w:pPr>
            <w:r>
              <w:rPr>
                <w:sz w:val="21"/>
                <w:shd w:fill="E5E5E5" w:color="auto" w:val="clear"/>
              </w:rPr>
              <w:t>加合同保障范围内。</w:t>
            </w:r>
            <w:r>
              <w:rPr>
                <w:sz w:val="21"/>
              </w:rPr>
              <w:t>所谓永久性的肢体瘫痪是指诊断为脊髓灰质炎后肢体</w:t>
            </w:r>
          </w:p>
        </w:tc>
      </w:tr>
      <w:tr>
        <w:trPr>
          <w:trHeight w:val="623" w:hRule="atLeast"/>
        </w:trPr>
        <w:tc>
          <w:tcPr>
            <w:tcW w:w="633" w:type="dxa"/>
            <w:vMerge/>
            <w:tcBorders>
              <w:top w:val="nil"/>
            </w:tcBorders>
          </w:tcPr>
          <w:p>
            <w:pPr>
              <w:rPr>
                <w:sz w:val="2"/>
                <w:szCs w:val="2"/>
              </w:rPr>
            </w:pPr>
          </w:p>
        </w:tc>
        <w:tc>
          <w:tcPr>
            <w:tcW w:w="1861" w:type="dxa"/>
          </w:tcPr>
          <w:p>
            <w:pPr>
              <w:pStyle w:val="TableParagraph"/>
              <w:rPr>
                <w:rFonts w:ascii="Times New Roman"/>
                <w:sz w:val="20"/>
              </w:rPr>
            </w:pPr>
          </w:p>
        </w:tc>
        <w:tc>
          <w:tcPr>
            <w:tcW w:w="7054" w:type="dxa"/>
          </w:tcPr>
          <w:p>
            <w:pPr>
              <w:pStyle w:val="TableParagraph"/>
              <w:spacing w:line="262" w:lineRule="exact"/>
              <w:ind w:left="107"/>
              <w:rPr>
                <w:sz w:val="21"/>
              </w:rPr>
            </w:pPr>
            <w:r>
              <w:rPr>
                <w:sz w:val="21"/>
              </w:rPr>
              <w:t>瘫痪需持续 180 天以上。</w:t>
            </w:r>
          </w:p>
        </w:tc>
      </w:tr>
      <w:tr>
        <w:trPr>
          <w:trHeight w:val="779" w:hRule="atLeast"/>
        </w:trPr>
        <w:tc>
          <w:tcPr>
            <w:tcW w:w="633" w:type="dxa"/>
          </w:tcPr>
          <w:p>
            <w:pPr>
              <w:pStyle w:val="TableParagraph"/>
              <w:spacing w:before="10"/>
              <w:rPr>
                <w:sz w:val="22"/>
              </w:rPr>
            </w:pPr>
          </w:p>
          <w:p>
            <w:pPr>
              <w:pStyle w:val="TableParagraph"/>
              <w:ind w:left="50"/>
              <w:rPr>
                <w:b/>
                <w:sz w:val="21"/>
              </w:rPr>
            </w:pPr>
            <w:r>
              <w:rPr>
                <w:b/>
                <w:sz w:val="21"/>
              </w:rPr>
              <w:t>6.5</w:t>
            </w:r>
          </w:p>
        </w:tc>
        <w:tc>
          <w:tcPr>
            <w:tcW w:w="1861" w:type="dxa"/>
          </w:tcPr>
          <w:p>
            <w:pPr>
              <w:pStyle w:val="TableParagraph"/>
              <w:spacing w:before="10"/>
              <w:rPr>
                <w:sz w:val="22"/>
              </w:rPr>
            </w:pPr>
          </w:p>
          <w:p>
            <w:pPr>
              <w:pStyle w:val="TableParagraph"/>
              <w:ind w:left="266"/>
              <w:rPr>
                <w:b/>
                <w:sz w:val="21"/>
              </w:rPr>
            </w:pPr>
            <w:r>
              <w:rPr>
                <w:b/>
                <w:sz w:val="21"/>
              </w:rPr>
              <w:t>意外伤害</w:t>
            </w:r>
          </w:p>
        </w:tc>
        <w:tc>
          <w:tcPr>
            <w:tcW w:w="7054" w:type="dxa"/>
          </w:tcPr>
          <w:p>
            <w:pPr>
              <w:pStyle w:val="TableParagraph"/>
              <w:spacing w:before="10"/>
              <w:rPr>
                <w:sz w:val="22"/>
              </w:rPr>
            </w:pPr>
          </w:p>
          <w:p>
            <w:pPr>
              <w:pStyle w:val="TableParagraph"/>
              <w:ind w:left="107"/>
              <w:rPr>
                <w:sz w:val="21"/>
              </w:rPr>
            </w:pPr>
            <w:r>
              <w:rPr>
                <w:sz w:val="21"/>
              </w:rPr>
              <w:t>指遭受外来的、突发的、非本意的、非疾病的使身体受到伤害的客观事件。</w:t>
            </w:r>
          </w:p>
        </w:tc>
      </w:tr>
      <w:tr>
        <w:trPr>
          <w:trHeight w:val="417" w:hRule="atLeast"/>
        </w:trPr>
        <w:tc>
          <w:tcPr>
            <w:tcW w:w="633" w:type="dxa"/>
          </w:tcPr>
          <w:p>
            <w:pPr>
              <w:pStyle w:val="TableParagraph"/>
              <w:spacing w:line="255" w:lineRule="exact" w:before="142"/>
              <w:ind w:left="50"/>
              <w:rPr>
                <w:b/>
                <w:sz w:val="21"/>
              </w:rPr>
            </w:pPr>
            <w:r>
              <w:rPr>
                <w:b/>
                <w:sz w:val="21"/>
              </w:rPr>
              <w:t>6.6</w:t>
            </w:r>
          </w:p>
        </w:tc>
        <w:tc>
          <w:tcPr>
            <w:tcW w:w="1861" w:type="dxa"/>
          </w:tcPr>
          <w:p>
            <w:pPr>
              <w:pStyle w:val="TableParagraph"/>
              <w:spacing w:line="255" w:lineRule="exact" w:before="142"/>
              <w:ind w:left="266"/>
              <w:rPr>
                <w:b/>
                <w:sz w:val="21"/>
              </w:rPr>
            </w:pPr>
            <w:r>
              <w:rPr>
                <w:b/>
                <w:sz w:val="21"/>
              </w:rPr>
              <w:t>专科医生</w:t>
            </w:r>
          </w:p>
        </w:tc>
        <w:tc>
          <w:tcPr>
            <w:tcW w:w="7054" w:type="dxa"/>
          </w:tcPr>
          <w:p>
            <w:pPr>
              <w:pStyle w:val="TableParagraph"/>
              <w:spacing w:line="255" w:lineRule="exact" w:before="142"/>
              <w:ind w:left="107"/>
              <w:rPr>
                <w:sz w:val="21"/>
              </w:rPr>
            </w:pPr>
            <w:r>
              <w:rPr>
                <w:sz w:val="21"/>
              </w:rPr>
              <w:t>专科医生应当同时满足以下四项资格条件：</w:t>
            </w:r>
          </w:p>
        </w:tc>
      </w:tr>
    </w:tbl>
    <w:p>
      <w:pPr>
        <w:pStyle w:val="BodyText"/>
        <w:spacing w:before="37"/>
        <w:ind w:left="2790"/>
      </w:pPr>
      <w:r>
        <w:rPr/>
        <w:t>（1）具有有效的中华人民共和国《医师资格证书》；</w:t>
      </w:r>
    </w:p>
    <w:p>
      <w:pPr>
        <w:pStyle w:val="BodyText"/>
        <w:spacing w:line="273" w:lineRule="auto" w:before="37"/>
        <w:ind w:left="3330" w:right="262" w:hanging="541"/>
      </w:pPr>
      <w:r>
        <w:rPr/>
        <w:t>（2）具有有效的中华人民共和国《医师执业证书》，并按期到相关部门登记注册；</w:t>
      </w:r>
    </w:p>
    <w:p>
      <w:pPr>
        <w:pStyle w:val="BodyText"/>
        <w:spacing w:line="273" w:lineRule="auto" w:before="7"/>
        <w:ind w:left="3330" w:right="262" w:hanging="541"/>
      </w:pPr>
      <w:r>
        <w:rPr/>
        <w:t>（3）具有有效的中华人民共和国主治医师或主治医师以上职称的《医师职称证书》；</w:t>
      </w:r>
    </w:p>
    <w:p>
      <w:pPr>
        <w:pStyle w:val="BodyText"/>
        <w:spacing w:before="7"/>
        <w:ind w:left="2708"/>
      </w:pPr>
      <w:r>
        <w:rPr/>
        <w:t>（4）在二级或二级以上医院的相应科室从事临床工作三年以上。</w:t>
      </w:r>
    </w:p>
    <w:p>
      <w:pPr>
        <w:pStyle w:val="BodyText"/>
        <w:spacing w:before="6"/>
        <w:rPr>
          <w:sz w:val="24"/>
        </w:rPr>
      </w:pPr>
    </w:p>
    <w:p>
      <w:pPr>
        <w:tabs>
          <w:tab w:pos="1007" w:val="left" w:leader="none"/>
          <w:tab w:pos="2708" w:val="left" w:leader="none"/>
        </w:tabs>
        <w:spacing w:before="0"/>
        <w:ind w:left="157" w:right="0" w:firstLine="0"/>
        <w:jc w:val="left"/>
        <w:rPr>
          <w:sz w:val="21"/>
        </w:rPr>
      </w:pPr>
      <w:r>
        <w:rPr>
          <w:b/>
          <w:position w:val="1"/>
          <w:sz w:val="21"/>
        </w:rPr>
        <w:t>6.7</w:t>
        <w:tab/>
      </w:r>
      <w:r>
        <w:rPr>
          <w:b/>
          <w:sz w:val="24"/>
        </w:rPr>
        <w:t>骨和</w:t>
      </w:r>
      <w:r>
        <w:rPr>
          <w:b/>
          <w:spacing w:val="2"/>
          <w:sz w:val="24"/>
        </w:rPr>
        <w:t>关</w:t>
      </w:r>
      <w:r>
        <w:rPr>
          <w:b/>
          <w:sz w:val="24"/>
        </w:rPr>
        <w:t>节软骨</w:t>
        <w:tab/>
      </w:r>
      <w:r>
        <w:rPr>
          <w:position w:val="1"/>
          <w:sz w:val="21"/>
        </w:rPr>
        <w:t>指原发</w:t>
      </w:r>
      <w:r>
        <w:rPr>
          <w:spacing w:val="-3"/>
          <w:position w:val="1"/>
          <w:sz w:val="21"/>
        </w:rPr>
        <w:t>于发</w:t>
      </w:r>
      <w:r>
        <w:rPr>
          <w:position w:val="1"/>
          <w:sz w:val="21"/>
        </w:rPr>
        <w:t>生于</w:t>
      </w:r>
      <w:r>
        <w:rPr>
          <w:spacing w:val="-3"/>
          <w:position w:val="1"/>
          <w:sz w:val="21"/>
        </w:rPr>
        <w:t>骨骼</w:t>
      </w:r>
      <w:r>
        <w:rPr>
          <w:position w:val="1"/>
          <w:sz w:val="21"/>
        </w:rPr>
        <w:t>或其附属</w:t>
      </w:r>
      <w:r>
        <w:rPr>
          <w:spacing w:val="-5"/>
          <w:position w:val="1"/>
          <w:sz w:val="21"/>
        </w:rPr>
        <w:t>组</w:t>
      </w:r>
      <w:r>
        <w:rPr>
          <w:position w:val="1"/>
          <w:sz w:val="21"/>
        </w:rPr>
        <w:t>织的恶</w:t>
      </w:r>
      <w:r>
        <w:rPr>
          <w:spacing w:val="-5"/>
          <w:position w:val="1"/>
          <w:sz w:val="21"/>
        </w:rPr>
        <w:t>性</w:t>
      </w:r>
      <w:r>
        <w:rPr>
          <w:position w:val="1"/>
          <w:sz w:val="21"/>
        </w:rPr>
        <w:t>肿</w:t>
      </w:r>
      <w:r>
        <w:rPr>
          <w:spacing w:val="-3"/>
          <w:position w:val="1"/>
          <w:sz w:val="21"/>
        </w:rPr>
        <w:t>瘤</w:t>
      </w:r>
      <w:r>
        <w:rPr>
          <w:position w:val="1"/>
          <w:sz w:val="21"/>
        </w:rPr>
        <w:t>，</w:t>
      </w:r>
      <w:r>
        <w:rPr>
          <w:spacing w:val="-3"/>
          <w:position w:val="1"/>
          <w:sz w:val="21"/>
        </w:rPr>
        <w:t>需</w:t>
      </w:r>
      <w:r>
        <w:rPr>
          <w:position w:val="1"/>
          <w:sz w:val="21"/>
        </w:rPr>
        <w:t>符合恶性</w:t>
      </w:r>
      <w:r>
        <w:rPr>
          <w:spacing w:val="-5"/>
          <w:position w:val="1"/>
          <w:sz w:val="21"/>
        </w:rPr>
        <w:t>肿</w:t>
      </w:r>
      <w:r>
        <w:rPr>
          <w:position w:val="1"/>
          <w:sz w:val="21"/>
        </w:rPr>
        <w:t>瘤定</w:t>
      </w:r>
      <w:r>
        <w:rPr>
          <w:spacing w:val="-3"/>
          <w:position w:val="1"/>
          <w:sz w:val="21"/>
        </w:rPr>
        <w:t>义，</w:t>
      </w:r>
      <w:r>
        <w:rPr>
          <w:position w:val="1"/>
          <w:sz w:val="21"/>
        </w:rPr>
        <w:t>并</w:t>
      </w:r>
    </w:p>
    <w:p>
      <w:pPr>
        <w:spacing w:after="0"/>
        <w:jc w:val="left"/>
        <w:rPr>
          <w:sz w:val="21"/>
        </w:rPr>
        <w:sectPr>
          <w:pgSz w:w="11910" w:h="16840"/>
          <w:pgMar w:header="335" w:footer="991" w:top="560" w:bottom="1180" w:left="920" w:right="1220"/>
        </w:sectPr>
      </w:pPr>
    </w:p>
    <w:p>
      <w:pPr>
        <w:pStyle w:val="BodyText"/>
        <w:rPr>
          <w:rFonts w:ascii="Times New Roman"/>
          <w:sz w:val="20"/>
        </w:rPr>
      </w:pPr>
    </w:p>
    <w:p>
      <w:pPr>
        <w:pStyle w:val="BodyText"/>
        <w:spacing w:before="9" w:after="1"/>
        <w:rPr>
          <w:rFonts w:ascii="Times New Roman"/>
          <w:sz w:val="1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792"/>
        <w:gridCol w:w="7075"/>
      </w:tblGrid>
      <w:tr>
        <w:trPr>
          <w:trHeight w:val="1212" w:hRule="atLeast"/>
        </w:trPr>
        <w:tc>
          <w:tcPr>
            <w:tcW w:w="682" w:type="dxa"/>
          </w:tcPr>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4"/>
              <w:rPr>
                <w:rFonts w:ascii="Times New Roman"/>
                <w:sz w:val="17"/>
              </w:rPr>
            </w:pPr>
          </w:p>
          <w:p>
            <w:pPr>
              <w:pStyle w:val="TableParagraph"/>
              <w:ind w:left="50"/>
              <w:rPr>
                <w:b/>
                <w:sz w:val="21"/>
              </w:rPr>
            </w:pPr>
            <w:r>
              <w:rPr>
                <w:b/>
                <w:sz w:val="21"/>
              </w:rPr>
              <w:t>6.8</w:t>
            </w:r>
          </w:p>
        </w:tc>
        <w:tc>
          <w:tcPr>
            <w:tcW w:w="1792" w:type="dxa"/>
          </w:tcPr>
          <w:p>
            <w:pPr>
              <w:pStyle w:val="TableParagraph"/>
              <w:spacing w:line="240" w:lineRule="exact"/>
              <w:ind w:left="217"/>
              <w:rPr>
                <w:b/>
                <w:sz w:val="24"/>
              </w:rPr>
            </w:pPr>
            <w:r>
              <w:rPr>
                <w:b/>
                <w:w w:val="95"/>
                <w:sz w:val="24"/>
              </w:rPr>
              <w:t>恶性肿瘤</w:t>
            </w:r>
          </w:p>
          <w:p>
            <w:pPr>
              <w:pStyle w:val="TableParagraph"/>
              <w:rPr>
                <w:rFonts w:ascii="Times New Roman"/>
                <w:sz w:val="24"/>
              </w:rPr>
            </w:pPr>
          </w:p>
          <w:p>
            <w:pPr>
              <w:pStyle w:val="TableParagraph"/>
              <w:rPr>
                <w:rFonts w:ascii="Times New Roman"/>
                <w:sz w:val="30"/>
              </w:rPr>
            </w:pPr>
          </w:p>
          <w:p>
            <w:pPr>
              <w:pStyle w:val="TableParagraph"/>
              <w:spacing w:before="1"/>
              <w:ind w:left="217"/>
              <w:rPr>
                <w:b/>
                <w:sz w:val="24"/>
              </w:rPr>
            </w:pPr>
            <w:r>
              <w:rPr>
                <w:b/>
                <w:w w:val="95"/>
                <w:sz w:val="24"/>
              </w:rPr>
              <w:t>脑脊膜和脑恶</w:t>
            </w:r>
          </w:p>
        </w:tc>
        <w:tc>
          <w:tcPr>
            <w:tcW w:w="7075" w:type="dxa"/>
          </w:tcPr>
          <w:p>
            <w:pPr>
              <w:pStyle w:val="TableParagraph"/>
              <w:spacing w:line="244" w:lineRule="exact"/>
              <w:ind w:left="127"/>
              <w:rPr>
                <w:sz w:val="21"/>
              </w:rPr>
            </w:pPr>
            <w:r>
              <w:rPr>
                <w:sz w:val="21"/>
              </w:rPr>
              <w:t>且国际疾病分类（</w:t>
            </w:r>
            <w:r>
              <w:rPr>
                <w:rFonts w:ascii="Times New Roman" w:eastAsia="Times New Roman"/>
                <w:sz w:val="21"/>
              </w:rPr>
              <w:t>ICD-10</w:t>
            </w:r>
            <w:r>
              <w:rPr>
                <w:sz w:val="21"/>
              </w:rPr>
              <w:t>）编码主码在</w:t>
            </w:r>
            <w:r>
              <w:rPr>
                <w:rFonts w:ascii="Times New Roman" w:eastAsia="Times New Roman"/>
                <w:sz w:val="21"/>
              </w:rPr>
              <w:t>C40-41 </w:t>
            </w:r>
            <w:r>
              <w:rPr>
                <w:sz w:val="21"/>
              </w:rPr>
              <w:t>范围内。</w:t>
            </w:r>
          </w:p>
          <w:p>
            <w:pPr>
              <w:pStyle w:val="TableParagraph"/>
              <w:rPr>
                <w:rFonts w:ascii="Times New Roman"/>
                <w:sz w:val="22"/>
              </w:rPr>
            </w:pPr>
          </w:p>
          <w:p>
            <w:pPr>
              <w:pStyle w:val="TableParagraph"/>
              <w:rPr>
                <w:rFonts w:ascii="Times New Roman"/>
                <w:sz w:val="22"/>
              </w:rPr>
            </w:pPr>
          </w:p>
          <w:p>
            <w:pPr>
              <w:pStyle w:val="TableParagraph"/>
              <w:spacing w:before="139"/>
              <w:ind w:left="127"/>
              <w:rPr>
                <w:sz w:val="21"/>
              </w:rPr>
            </w:pPr>
            <w:r>
              <w:rPr>
                <w:sz w:val="21"/>
              </w:rPr>
              <w:t>指原发于脑部的恶性肿瘤，需符合恶性肿瘤定义，并且国际疾病分类</w:t>
            </w:r>
          </w:p>
        </w:tc>
      </w:tr>
      <w:tr>
        <w:trPr>
          <w:trHeight w:val="635" w:hRule="atLeast"/>
        </w:trPr>
        <w:tc>
          <w:tcPr>
            <w:tcW w:w="682" w:type="dxa"/>
          </w:tcPr>
          <w:p>
            <w:pPr>
              <w:pStyle w:val="TableParagraph"/>
              <w:rPr>
                <w:rFonts w:ascii="Times New Roman"/>
                <w:sz w:val="20"/>
              </w:rPr>
            </w:pPr>
          </w:p>
        </w:tc>
        <w:tc>
          <w:tcPr>
            <w:tcW w:w="1792" w:type="dxa"/>
          </w:tcPr>
          <w:p>
            <w:pPr>
              <w:pStyle w:val="TableParagraph"/>
              <w:spacing w:line="276" w:lineRule="exact"/>
              <w:ind w:left="217"/>
              <w:rPr>
                <w:b/>
                <w:sz w:val="24"/>
              </w:rPr>
            </w:pPr>
            <w:r>
              <w:rPr>
                <w:b/>
                <w:w w:val="95"/>
                <w:sz w:val="24"/>
              </w:rPr>
              <w:t>性肿瘤</w:t>
            </w:r>
          </w:p>
        </w:tc>
        <w:tc>
          <w:tcPr>
            <w:tcW w:w="7075" w:type="dxa"/>
          </w:tcPr>
          <w:p>
            <w:pPr>
              <w:pStyle w:val="TableParagraph"/>
              <w:spacing w:line="280" w:lineRule="exact"/>
              <w:ind w:left="127"/>
              <w:rPr>
                <w:sz w:val="21"/>
              </w:rPr>
            </w:pPr>
            <w:r>
              <w:rPr>
                <w:sz w:val="21"/>
              </w:rPr>
              <w:t>（</w:t>
            </w:r>
            <w:r>
              <w:rPr>
                <w:rFonts w:ascii="Times New Roman" w:eastAsia="Times New Roman"/>
                <w:sz w:val="21"/>
              </w:rPr>
              <w:t>ICD-10</w:t>
            </w:r>
            <w:r>
              <w:rPr>
                <w:sz w:val="21"/>
              </w:rPr>
              <w:t>）编码主码在</w:t>
            </w:r>
            <w:r>
              <w:rPr>
                <w:rFonts w:ascii="Times New Roman" w:eastAsia="Times New Roman"/>
                <w:sz w:val="21"/>
              </w:rPr>
              <w:t>C70-71 </w:t>
            </w:r>
            <w:r>
              <w:rPr>
                <w:sz w:val="21"/>
              </w:rPr>
              <w:t>范围内。</w:t>
            </w:r>
          </w:p>
        </w:tc>
      </w:tr>
      <w:tr>
        <w:trPr>
          <w:trHeight w:val="615" w:hRule="atLeast"/>
        </w:trPr>
        <w:tc>
          <w:tcPr>
            <w:tcW w:w="682" w:type="dxa"/>
          </w:tcPr>
          <w:p>
            <w:pPr>
              <w:pStyle w:val="TableParagraph"/>
              <w:spacing w:before="3"/>
              <w:rPr>
                <w:rFonts w:ascii="Times New Roman"/>
                <w:sz w:val="25"/>
              </w:rPr>
            </w:pPr>
          </w:p>
          <w:p>
            <w:pPr>
              <w:pStyle w:val="TableParagraph"/>
              <w:ind w:left="50"/>
              <w:rPr>
                <w:b/>
                <w:sz w:val="21"/>
              </w:rPr>
            </w:pPr>
            <w:r>
              <w:rPr>
                <w:b/>
                <w:sz w:val="21"/>
              </w:rPr>
              <w:t>6.9</w:t>
            </w:r>
          </w:p>
        </w:tc>
        <w:tc>
          <w:tcPr>
            <w:tcW w:w="1792" w:type="dxa"/>
          </w:tcPr>
          <w:p>
            <w:pPr>
              <w:pStyle w:val="TableParagraph"/>
              <w:spacing w:before="3"/>
              <w:rPr>
                <w:rFonts w:ascii="Times New Roman"/>
                <w:sz w:val="25"/>
              </w:rPr>
            </w:pPr>
          </w:p>
          <w:p>
            <w:pPr>
              <w:pStyle w:val="TableParagraph"/>
              <w:ind w:left="217"/>
              <w:rPr>
                <w:b/>
                <w:sz w:val="21"/>
              </w:rPr>
            </w:pPr>
            <w:r>
              <w:rPr>
                <w:b/>
                <w:sz w:val="21"/>
              </w:rPr>
              <w:t>白血病</w:t>
            </w:r>
          </w:p>
        </w:tc>
        <w:tc>
          <w:tcPr>
            <w:tcW w:w="7075" w:type="dxa"/>
          </w:tcPr>
          <w:p>
            <w:pPr>
              <w:pStyle w:val="TableParagraph"/>
              <w:spacing w:before="3"/>
              <w:rPr>
                <w:rFonts w:ascii="Times New Roman"/>
                <w:sz w:val="25"/>
              </w:rPr>
            </w:pPr>
          </w:p>
          <w:p>
            <w:pPr>
              <w:pStyle w:val="TableParagraph"/>
              <w:ind w:left="127"/>
              <w:rPr>
                <w:sz w:val="21"/>
              </w:rPr>
            </w:pPr>
            <w:r>
              <w:rPr>
                <w:sz w:val="21"/>
              </w:rPr>
              <w:t>是一种造血系统的恶性肿瘤，其主要表现为白血病细胞在骨髓或其他造血</w:t>
            </w:r>
          </w:p>
        </w:tc>
      </w:tr>
      <w:tr>
        <w:trPr>
          <w:trHeight w:val="311"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组织中进行性、失控制的异常增生，并浸润至其他组织与器官，使正常血</w:t>
            </w:r>
          </w:p>
        </w:tc>
      </w:tr>
      <w:tr>
        <w:trPr>
          <w:trHeight w:val="311"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细胞生成减少，周围白细胞有质和量的变化，产生相应临床表现。被保险</w:t>
            </w:r>
          </w:p>
        </w:tc>
      </w:tr>
      <w:tr>
        <w:trPr>
          <w:trHeight w:val="312"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人所患白血病必须根据骨髓的活组织检查和周围血象由专科（儿科、血液</w:t>
            </w:r>
          </w:p>
        </w:tc>
      </w:tr>
      <w:tr>
        <w:trPr>
          <w:trHeight w:val="323"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88" w:lineRule="exact"/>
              <w:ind w:left="127"/>
              <w:rPr>
                <w:sz w:val="21"/>
              </w:rPr>
            </w:pPr>
            <w:r>
              <w:rPr>
                <w:sz w:val="21"/>
              </w:rPr>
              <w:t>科或肿瘤科）医生确诊，国际疾病分类（</w:t>
            </w:r>
            <w:r>
              <w:rPr>
                <w:rFonts w:ascii="Calibri" w:eastAsia="Calibri"/>
                <w:sz w:val="21"/>
              </w:rPr>
              <w:t>ICD-10</w:t>
            </w:r>
            <w:r>
              <w:rPr>
                <w:sz w:val="21"/>
              </w:rPr>
              <w:t>）编码主码在 </w:t>
            </w:r>
            <w:r>
              <w:rPr>
                <w:rFonts w:ascii="Calibri" w:eastAsia="Calibri"/>
                <w:sz w:val="21"/>
              </w:rPr>
              <w:t>C90-95 </w:t>
            </w:r>
            <w:r>
              <w:rPr>
                <w:sz w:val="21"/>
              </w:rPr>
              <w:t>范围</w:t>
            </w:r>
          </w:p>
        </w:tc>
      </w:tr>
      <w:tr>
        <w:trPr>
          <w:trHeight w:val="300"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50" w:lineRule="exact"/>
              <w:ind w:left="127"/>
              <w:rPr>
                <w:sz w:val="21"/>
              </w:rPr>
            </w:pPr>
            <w:r>
              <w:rPr>
                <w:sz w:val="21"/>
              </w:rPr>
              <w:t>内。</w:t>
            </w:r>
          </w:p>
        </w:tc>
      </w:tr>
      <w:tr>
        <w:trPr>
          <w:trHeight w:val="479"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88" w:lineRule="exact"/>
              <w:ind w:left="127"/>
              <w:rPr>
                <w:b/>
                <w:sz w:val="21"/>
              </w:rPr>
            </w:pPr>
            <w:r>
              <w:rPr>
                <w:b/>
                <w:sz w:val="21"/>
              </w:rPr>
              <w:t>下列白血病除外：相当于</w:t>
            </w:r>
            <w:r>
              <w:rPr>
                <w:rFonts w:ascii="Calibri" w:eastAsia="Calibri"/>
                <w:b/>
                <w:sz w:val="21"/>
              </w:rPr>
              <w:t>Binet </w:t>
            </w:r>
            <w:r>
              <w:rPr>
                <w:b/>
                <w:sz w:val="21"/>
              </w:rPr>
              <w:t>分期方案 </w:t>
            </w:r>
            <w:r>
              <w:rPr>
                <w:rFonts w:ascii="Calibri" w:eastAsia="Calibri"/>
                <w:b/>
                <w:sz w:val="21"/>
              </w:rPr>
              <w:t>A </w:t>
            </w:r>
            <w:r>
              <w:rPr>
                <w:b/>
                <w:sz w:val="21"/>
              </w:rPr>
              <w:t>期程度的慢性淋巴细胞白血病。</w:t>
            </w:r>
          </w:p>
        </w:tc>
      </w:tr>
      <w:tr>
        <w:trPr>
          <w:trHeight w:val="456" w:hRule="atLeast"/>
        </w:trPr>
        <w:tc>
          <w:tcPr>
            <w:tcW w:w="682" w:type="dxa"/>
          </w:tcPr>
          <w:p>
            <w:pPr>
              <w:pStyle w:val="TableParagraph"/>
              <w:spacing w:before="131"/>
              <w:ind w:left="50"/>
              <w:rPr>
                <w:b/>
                <w:sz w:val="21"/>
              </w:rPr>
            </w:pPr>
            <w:r>
              <w:rPr>
                <w:b/>
                <w:sz w:val="21"/>
              </w:rPr>
              <w:t>6.10</w:t>
            </w:r>
          </w:p>
        </w:tc>
        <w:tc>
          <w:tcPr>
            <w:tcW w:w="1792" w:type="dxa"/>
          </w:tcPr>
          <w:p>
            <w:pPr>
              <w:pStyle w:val="TableParagraph"/>
              <w:spacing w:before="131"/>
              <w:ind w:left="217"/>
              <w:rPr>
                <w:b/>
                <w:sz w:val="21"/>
              </w:rPr>
            </w:pPr>
            <w:r>
              <w:rPr>
                <w:b/>
                <w:sz w:val="21"/>
              </w:rPr>
              <w:t>毒品</w:t>
            </w:r>
          </w:p>
        </w:tc>
        <w:tc>
          <w:tcPr>
            <w:tcW w:w="7075" w:type="dxa"/>
          </w:tcPr>
          <w:p>
            <w:pPr>
              <w:pStyle w:val="TableParagraph"/>
              <w:spacing w:before="131"/>
              <w:ind w:left="127"/>
              <w:rPr>
                <w:sz w:val="21"/>
              </w:rPr>
            </w:pPr>
            <w:r>
              <w:rPr>
                <w:sz w:val="21"/>
              </w:rPr>
              <w:t>指中华人民共和国刑法规定的鸦片、海洛因、甲基苯丙胺（冰毒）、吗啡、</w:t>
            </w:r>
          </w:p>
        </w:tc>
      </w:tr>
      <w:tr>
        <w:trPr>
          <w:trHeight w:val="311"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大麻、可卡因以及国家规定管制的其他能够使人形成瘾癖的麻醉药品和精</w:t>
            </w:r>
          </w:p>
        </w:tc>
      </w:tr>
      <w:tr>
        <w:trPr>
          <w:trHeight w:val="312"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神药品，但不包括由医生开具并遵医嘱使用的用于治疗疾病但含有毒品成</w:t>
            </w:r>
          </w:p>
        </w:tc>
      </w:tr>
      <w:tr>
        <w:trPr>
          <w:trHeight w:val="468"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2" w:lineRule="exact"/>
              <w:ind w:left="127"/>
              <w:rPr>
                <w:sz w:val="21"/>
              </w:rPr>
            </w:pPr>
            <w:r>
              <w:rPr>
                <w:sz w:val="21"/>
              </w:rPr>
              <w:t>分的处方药品。</w:t>
            </w:r>
          </w:p>
        </w:tc>
      </w:tr>
      <w:tr>
        <w:trPr>
          <w:trHeight w:val="467" w:hRule="atLeast"/>
        </w:trPr>
        <w:tc>
          <w:tcPr>
            <w:tcW w:w="682" w:type="dxa"/>
          </w:tcPr>
          <w:p>
            <w:pPr>
              <w:pStyle w:val="TableParagraph"/>
              <w:spacing w:before="142"/>
              <w:ind w:left="50"/>
              <w:rPr>
                <w:b/>
                <w:sz w:val="21"/>
              </w:rPr>
            </w:pPr>
            <w:r>
              <w:rPr>
                <w:b/>
                <w:sz w:val="21"/>
              </w:rPr>
              <w:t>6.11</w:t>
            </w:r>
          </w:p>
        </w:tc>
        <w:tc>
          <w:tcPr>
            <w:tcW w:w="1792" w:type="dxa"/>
          </w:tcPr>
          <w:p>
            <w:pPr>
              <w:pStyle w:val="TableParagraph"/>
              <w:spacing w:before="142"/>
              <w:ind w:left="217"/>
              <w:rPr>
                <w:b/>
                <w:sz w:val="21"/>
              </w:rPr>
            </w:pPr>
            <w:r>
              <w:rPr>
                <w:b/>
                <w:sz w:val="21"/>
              </w:rPr>
              <w:t>酒后驾驶</w:t>
            </w:r>
          </w:p>
        </w:tc>
        <w:tc>
          <w:tcPr>
            <w:tcW w:w="7075" w:type="dxa"/>
          </w:tcPr>
          <w:p>
            <w:pPr>
              <w:pStyle w:val="TableParagraph"/>
              <w:spacing w:before="142"/>
              <w:ind w:left="127"/>
              <w:rPr>
                <w:sz w:val="21"/>
              </w:rPr>
            </w:pPr>
            <w:r>
              <w:rPr>
                <w:sz w:val="21"/>
              </w:rPr>
              <w:t>指经检测或鉴定，发生事故时车辆驾驶人员每百毫升血液中的酒精含量达</w:t>
            </w:r>
          </w:p>
        </w:tc>
      </w:tr>
      <w:tr>
        <w:trPr>
          <w:trHeight w:val="312"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到或超过一定的标准，公安机关交通管理部门依据《道路交通安全法》的</w:t>
            </w:r>
          </w:p>
        </w:tc>
      </w:tr>
      <w:tr>
        <w:trPr>
          <w:trHeight w:val="468"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2" w:lineRule="exact"/>
              <w:ind w:left="127"/>
              <w:rPr>
                <w:sz w:val="21"/>
              </w:rPr>
            </w:pPr>
            <w:r>
              <w:rPr>
                <w:sz w:val="21"/>
              </w:rPr>
              <w:t>规定认定为饮酒后驾驶或醉酒后驾驶。</w:t>
            </w:r>
          </w:p>
        </w:tc>
      </w:tr>
      <w:tr>
        <w:trPr>
          <w:trHeight w:val="467" w:hRule="atLeast"/>
        </w:trPr>
        <w:tc>
          <w:tcPr>
            <w:tcW w:w="682" w:type="dxa"/>
          </w:tcPr>
          <w:p>
            <w:pPr>
              <w:pStyle w:val="TableParagraph"/>
              <w:spacing w:before="142"/>
              <w:ind w:left="50"/>
              <w:rPr>
                <w:b/>
                <w:sz w:val="21"/>
              </w:rPr>
            </w:pPr>
            <w:r>
              <w:rPr>
                <w:b/>
                <w:sz w:val="21"/>
              </w:rPr>
              <w:t>6.12</w:t>
            </w:r>
          </w:p>
        </w:tc>
        <w:tc>
          <w:tcPr>
            <w:tcW w:w="1792" w:type="dxa"/>
          </w:tcPr>
          <w:p>
            <w:pPr>
              <w:pStyle w:val="TableParagraph"/>
              <w:spacing w:before="142"/>
              <w:ind w:left="217"/>
              <w:rPr>
                <w:b/>
                <w:sz w:val="21"/>
              </w:rPr>
            </w:pPr>
            <w:r>
              <w:rPr>
                <w:b/>
                <w:sz w:val="21"/>
              </w:rPr>
              <w:t>无合法有效驾驶</w:t>
            </w:r>
          </w:p>
        </w:tc>
        <w:tc>
          <w:tcPr>
            <w:tcW w:w="7075" w:type="dxa"/>
          </w:tcPr>
          <w:p>
            <w:pPr>
              <w:pStyle w:val="TableParagraph"/>
              <w:spacing w:before="142"/>
              <w:ind w:left="127"/>
              <w:rPr>
                <w:sz w:val="21"/>
              </w:rPr>
            </w:pPr>
            <w:r>
              <w:rPr>
                <w:sz w:val="21"/>
              </w:rPr>
              <w:t>指下列情形之一：</w:t>
            </w:r>
          </w:p>
        </w:tc>
      </w:tr>
      <w:tr>
        <w:trPr>
          <w:trHeight w:val="312" w:hRule="atLeast"/>
        </w:trPr>
        <w:tc>
          <w:tcPr>
            <w:tcW w:w="682" w:type="dxa"/>
          </w:tcPr>
          <w:p>
            <w:pPr>
              <w:pStyle w:val="TableParagraph"/>
              <w:rPr>
                <w:rFonts w:ascii="Times New Roman"/>
                <w:sz w:val="20"/>
              </w:rPr>
            </w:pPr>
          </w:p>
        </w:tc>
        <w:tc>
          <w:tcPr>
            <w:tcW w:w="1792" w:type="dxa"/>
          </w:tcPr>
          <w:p>
            <w:pPr>
              <w:pStyle w:val="TableParagraph"/>
              <w:spacing w:line="261" w:lineRule="exact"/>
              <w:ind w:left="217"/>
              <w:rPr>
                <w:b/>
                <w:sz w:val="21"/>
              </w:rPr>
            </w:pPr>
            <w:r>
              <w:rPr>
                <w:b/>
                <w:sz w:val="21"/>
              </w:rPr>
              <w:t>证驾驶</w:t>
            </w:r>
          </w:p>
        </w:tc>
        <w:tc>
          <w:tcPr>
            <w:tcW w:w="7075" w:type="dxa"/>
          </w:tcPr>
          <w:p>
            <w:pPr>
              <w:pStyle w:val="TableParagraph"/>
              <w:spacing w:line="261" w:lineRule="exact"/>
              <w:ind w:left="199"/>
              <w:rPr>
                <w:sz w:val="21"/>
              </w:rPr>
            </w:pPr>
            <w:r>
              <w:rPr>
                <w:sz w:val="21"/>
              </w:rPr>
              <w:t>（1）没有取得驾驶资格；</w:t>
            </w:r>
          </w:p>
        </w:tc>
      </w:tr>
      <w:tr>
        <w:trPr>
          <w:trHeight w:val="312"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2" w:lineRule="exact"/>
              <w:ind w:left="199"/>
              <w:rPr>
                <w:sz w:val="21"/>
              </w:rPr>
            </w:pPr>
            <w:r>
              <w:rPr>
                <w:sz w:val="21"/>
              </w:rPr>
              <w:t>（2）驾驶与驾驶证准驾车型不相符合的车辆；</w:t>
            </w:r>
          </w:p>
        </w:tc>
      </w:tr>
      <w:tr>
        <w:trPr>
          <w:trHeight w:val="311"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99"/>
              <w:rPr>
                <w:sz w:val="21"/>
              </w:rPr>
            </w:pPr>
            <w:r>
              <w:rPr>
                <w:sz w:val="21"/>
              </w:rPr>
              <w:t>（3）持审验不合格的驾驶证驾驶；</w:t>
            </w:r>
          </w:p>
        </w:tc>
      </w:tr>
      <w:tr>
        <w:trPr>
          <w:trHeight w:val="261" w:hRule="atLeast"/>
        </w:trPr>
        <w:tc>
          <w:tcPr>
            <w:tcW w:w="682" w:type="dxa"/>
          </w:tcPr>
          <w:p>
            <w:pPr>
              <w:pStyle w:val="TableParagraph"/>
              <w:rPr>
                <w:rFonts w:ascii="Times New Roman"/>
                <w:sz w:val="18"/>
              </w:rPr>
            </w:pPr>
          </w:p>
        </w:tc>
        <w:tc>
          <w:tcPr>
            <w:tcW w:w="1792" w:type="dxa"/>
          </w:tcPr>
          <w:p>
            <w:pPr>
              <w:pStyle w:val="TableParagraph"/>
              <w:rPr>
                <w:rFonts w:ascii="Times New Roman"/>
                <w:sz w:val="18"/>
              </w:rPr>
            </w:pPr>
          </w:p>
        </w:tc>
        <w:tc>
          <w:tcPr>
            <w:tcW w:w="7075" w:type="dxa"/>
          </w:tcPr>
          <w:p>
            <w:pPr>
              <w:pStyle w:val="TableParagraph"/>
              <w:spacing w:line="242" w:lineRule="exact"/>
              <w:ind w:left="232"/>
              <w:rPr>
                <w:sz w:val="21"/>
              </w:rPr>
            </w:pPr>
            <w:r>
              <w:rPr>
                <w:sz w:val="21"/>
              </w:rPr>
              <w:t>（4）持学习驾驶证学习驾车时，无教练员随车指导，或不按指定时间、</w:t>
            </w:r>
          </w:p>
        </w:tc>
      </w:tr>
      <w:tr>
        <w:trPr>
          <w:trHeight w:val="518"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before="37"/>
              <w:ind w:left="758"/>
              <w:rPr>
                <w:sz w:val="21"/>
              </w:rPr>
            </w:pPr>
            <w:r>
              <w:rPr>
                <w:sz w:val="21"/>
              </w:rPr>
              <w:t>路线学习驾车。</w:t>
            </w:r>
          </w:p>
        </w:tc>
      </w:tr>
      <w:tr>
        <w:trPr>
          <w:trHeight w:val="467" w:hRule="atLeast"/>
        </w:trPr>
        <w:tc>
          <w:tcPr>
            <w:tcW w:w="682" w:type="dxa"/>
          </w:tcPr>
          <w:p>
            <w:pPr>
              <w:pStyle w:val="TableParagraph"/>
              <w:spacing w:before="142"/>
              <w:ind w:left="50"/>
              <w:rPr>
                <w:b/>
                <w:sz w:val="21"/>
              </w:rPr>
            </w:pPr>
            <w:r>
              <w:rPr>
                <w:b/>
                <w:sz w:val="21"/>
              </w:rPr>
              <w:t>6.13</w:t>
            </w:r>
          </w:p>
        </w:tc>
        <w:tc>
          <w:tcPr>
            <w:tcW w:w="1792" w:type="dxa"/>
          </w:tcPr>
          <w:p>
            <w:pPr>
              <w:pStyle w:val="TableParagraph"/>
              <w:spacing w:before="142"/>
              <w:ind w:left="217"/>
              <w:rPr>
                <w:b/>
                <w:sz w:val="21"/>
              </w:rPr>
            </w:pPr>
            <w:r>
              <w:rPr>
                <w:b/>
                <w:sz w:val="21"/>
              </w:rPr>
              <w:t>无有效行驶证</w:t>
            </w:r>
          </w:p>
        </w:tc>
        <w:tc>
          <w:tcPr>
            <w:tcW w:w="7075" w:type="dxa"/>
          </w:tcPr>
          <w:p>
            <w:pPr>
              <w:pStyle w:val="TableParagraph"/>
              <w:spacing w:before="142"/>
              <w:ind w:left="127"/>
              <w:rPr>
                <w:sz w:val="21"/>
              </w:rPr>
            </w:pPr>
            <w:r>
              <w:rPr>
                <w:sz w:val="21"/>
              </w:rPr>
              <w:t>指下列情形之一：</w:t>
            </w:r>
          </w:p>
        </w:tc>
      </w:tr>
      <w:tr>
        <w:trPr>
          <w:trHeight w:val="312"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（1）机动车被依法注销登记的；</w:t>
            </w:r>
          </w:p>
        </w:tc>
      </w:tr>
      <w:tr>
        <w:trPr>
          <w:trHeight w:val="468"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2" w:lineRule="exact"/>
              <w:ind w:left="127"/>
              <w:rPr>
                <w:sz w:val="21"/>
              </w:rPr>
            </w:pPr>
            <w:r>
              <w:rPr>
                <w:sz w:val="21"/>
              </w:rPr>
              <w:t>（2）未依法按时进行或通过机动车安全技术检验。</w:t>
            </w:r>
          </w:p>
        </w:tc>
      </w:tr>
      <w:tr>
        <w:trPr>
          <w:trHeight w:val="467" w:hRule="atLeast"/>
        </w:trPr>
        <w:tc>
          <w:tcPr>
            <w:tcW w:w="682" w:type="dxa"/>
          </w:tcPr>
          <w:p>
            <w:pPr>
              <w:pStyle w:val="TableParagraph"/>
              <w:spacing w:before="142"/>
              <w:ind w:left="50"/>
              <w:rPr>
                <w:b/>
                <w:sz w:val="21"/>
              </w:rPr>
            </w:pPr>
            <w:r>
              <w:rPr>
                <w:b/>
                <w:sz w:val="21"/>
              </w:rPr>
              <w:t>6.14</w:t>
            </w:r>
          </w:p>
        </w:tc>
        <w:tc>
          <w:tcPr>
            <w:tcW w:w="1792" w:type="dxa"/>
          </w:tcPr>
          <w:p>
            <w:pPr>
              <w:pStyle w:val="TableParagraph"/>
              <w:spacing w:before="142"/>
              <w:ind w:left="217"/>
              <w:rPr>
                <w:b/>
                <w:sz w:val="21"/>
              </w:rPr>
            </w:pPr>
            <w:r>
              <w:rPr>
                <w:b/>
                <w:sz w:val="21"/>
              </w:rPr>
              <w:t>遗传性疾病</w:t>
            </w:r>
          </w:p>
        </w:tc>
        <w:tc>
          <w:tcPr>
            <w:tcW w:w="7075" w:type="dxa"/>
          </w:tcPr>
          <w:p>
            <w:pPr>
              <w:pStyle w:val="TableParagraph"/>
              <w:spacing w:before="142"/>
              <w:ind w:left="127"/>
              <w:rPr>
                <w:sz w:val="21"/>
              </w:rPr>
            </w:pPr>
            <w:r>
              <w:rPr>
                <w:sz w:val="21"/>
              </w:rPr>
              <w:t>指生殖细胞或受精卵的遗传物质（染色体和基因）发生突变或畸变所引起</w:t>
            </w:r>
          </w:p>
        </w:tc>
      </w:tr>
      <w:tr>
        <w:trPr>
          <w:trHeight w:val="468"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1" w:lineRule="exact"/>
              <w:ind w:left="127"/>
              <w:rPr>
                <w:sz w:val="21"/>
              </w:rPr>
            </w:pPr>
            <w:r>
              <w:rPr>
                <w:sz w:val="21"/>
              </w:rPr>
              <w:t>的疾病，通常具有由亲代传至后代的垂直传递的特征。</w:t>
            </w:r>
          </w:p>
        </w:tc>
      </w:tr>
      <w:tr>
        <w:trPr>
          <w:trHeight w:val="468" w:hRule="atLeast"/>
        </w:trPr>
        <w:tc>
          <w:tcPr>
            <w:tcW w:w="682" w:type="dxa"/>
          </w:tcPr>
          <w:p>
            <w:pPr>
              <w:pStyle w:val="TableParagraph"/>
              <w:spacing w:before="142"/>
              <w:ind w:left="50"/>
              <w:rPr>
                <w:b/>
                <w:sz w:val="21"/>
              </w:rPr>
            </w:pPr>
            <w:r>
              <w:rPr>
                <w:b/>
                <w:sz w:val="21"/>
              </w:rPr>
              <w:t>6.15</w:t>
            </w:r>
          </w:p>
        </w:tc>
        <w:tc>
          <w:tcPr>
            <w:tcW w:w="1792" w:type="dxa"/>
          </w:tcPr>
          <w:p>
            <w:pPr>
              <w:pStyle w:val="TableParagraph"/>
              <w:spacing w:before="142"/>
              <w:ind w:left="217"/>
              <w:rPr>
                <w:b/>
                <w:sz w:val="21"/>
              </w:rPr>
            </w:pPr>
            <w:r>
              <w:rPr>
                <w:b/>
                <w:sz w:val="21"/>
              </w:rPr>
              <w:t>先天性畸形、变</w:t>
            </w:r>
          </w:p>
        </w:tc>
        <w:tc>
          <w:tcPr>
            <w:tcW w:w="7075" w:type="dxa"/>
          </w:tcPr>
          <w:p>
            <w:pPr>
              <w:pStyle w:val="TableParagraph"/>
              <w:spacing w:before="142"/>
              <w:ind w:left="127"/>
              <w:rPr>
                <w:sz w:val="21"/>
              </w:rPr>
            </w:pPr>
            <w:r>
              <w:rPr>
                <w:sz w:val="21"/>
              </w:rPr>
              <w:t>指被保险人出生时就具有的畸形、变形或染色体异常。先天性畸形、变形</w:t>
            </w:r>
          </w:p>
        </w:tc>
      </w:tr>
      <w:tr>
        <w:trPr>
          <w:trHeight w:val="312" w:hRule="atLeast"/>
        </w:trPr>
        <w:tc>
          <w:tcPr>
            <w:tcW w:w="682" w:type="dxa"/>
          </w:tcPr>
          <w:p>
            <w:pPr>
              <w:pStyle w:val="TableParagraph"/>
              <w:rPr>
                <w:rFonts w:ascii="Times New Roman"/>
                <w:sz w:val="20"/>
              </w:rPr>
            </w:pPr>
          </w:p>
        </w:tc>
        <w:tc>
          <w:tcPr>
            <w:tcW w:w="1792" w:type="dxa"/>
          </w:tcPr>
          <w:p>
            <w:pPr>
              <w:pStyle w:val="TableParagraph"/>
              <w:spacing w:line="261" w:lineRule="exact"/>
              <w:ind w:left="217"/>
              <w:rPr>
                <w:b/>
                <w:sz w:val="21"/>
              </w:rPr>
            </w:pPr>
            <w:r>
              <w:rPr>
                <w:b/>
                <w:sz w:val="21"/>
              </w:rPr>
              <w:t>形或染色体异常</w:t>
            </w:r>
          </w:p>
        </w:tc>
        <w:tc>
          <w:tcPr>
            <w:tcW w:w="7075" w:type="dxa"/>
          </w:tcPr>
          <w:p>
            <w:pPr>
              <w:pStyle w:val="TableParagraph"/>
              <w:spacing w:line="261" w:lineRule="exact"/>
              <w:ind w:left="127"/>
              <w:rPr>
                <w:sz w:val="21"/>
              </w:rPr>
            </w:pPr>
            <w:r>
              <w:rPr>
                <w:sz w:val="21"/>
              </w:rPr>
              <w:t>和染色体异常依照世界卫生组织《疾病和有关健康问题的国际统计分类》</w:t>
            </w:r>
          </w:p>
        </w:tc>
      </w:tr>
      <w:tr>
        <w:trPr>
          <w:trHeight w:val="468" w:hRule="atLeast"/>
        </w:trPr>
        <w:tc>
          <w:tcPr>
            <w:tcW w:w="682" w:type="dxa"/>
          </w:tcPr>
          <w:p>
            <w:pPr>
              <w:pStyle w:val="TableParagraph"/>
              <w:rPr>
                <w:rFonts w:ascii="Times New Roman"/>
                <w:sz w:val="20"/>
              </w:rPr>
            </w:pPr>
          </w:p>
        </w:tc>
        <w:tc>
          <w:tcPr>
            <w:tcW w:w="1792" w:type="dxa"/>
          </w:tcPr>
          <w:p>
            <w:pPr>
              <w:pStyle w:val="TableParagraph"/>
              <w:rPr>
                <w:rFonts w:ascii="Times New Roman"/>
                <w:sz w:val="20"/>
              </w:rPr>
            </w:pPr>
          </w:p>
        </w:tc>
        <w:tc>
          <w:tcPr>
            <w:tcW w:w="7075" w:type="dxa"/>
          </w:tcPr>
          <w:p>
            <w:pPr>
              <w:pStyle w:val="TableParagraph"/>
              <w:spacing w:line="262" w:lineRule="exact"/>
              <w:ind w:left="127"/>
              <w:rPr>
                <w:sz w:val="21"/>
              </w:rPr>
            </w:pPr>
            <w:r>
              <w:rPr>
                <w:sz w:val="21"/>
              </w:rPr>
              <w:t>（ICD-10）确定。</w:t>
            </w:r>
          </w:p>
        </w:tc>
      </w:tr>
      <w:tr>
        <w:trPr>
          <w:trHeight w:val="623" w:hRule="atLeast"/>
        </w:trPr>
        <w:tc>
          <w:tcPr>
            <w:tcW w:w="682" w:type="dxa"/>
          </w:tcPr>
          <w:p>
            <w:pPr>
              <w:pStyle w:val="TableParagraph"/>
              <w:spacing w:before="142"/>
              <w:ind w:left="50"/>
              <w:rPr>
                <w:b/>
                <w:sz w:val="21"/>
              </w:rPr>
            </w:pPr>
            <w:r>
              <w:rPr>
                <w:b/>
                <w:sz w:val="21"/>
              </w:rPr>
              <w:t>6.16</w:t>
            </w:r>
          </w:p>
        </w:tc>
        <w:tc>
          <w:tcPr>
            <w:tcW w:w="1792" w:type="dxa"/>
          </w:tcPr>
          <w:p>
            <w:pPr>
              <w:pStyle w:val="TableParagraph"/>
              <w:spacing w:before="142"/>
              <w:ind w:left="210"/>
              <w:rPr>
                <w:b/>
                <w:sz w:val="21"/>
              </w:rPr>
            </w:pPr>
            <w:r>
              <w:rPr>
                <w:b/>
                <w:sz w:val="21"/>
              </w:rPr>
              <w:t>潜水</w:t>
            </w:r>
          </w:p>
        </w:tc>
        <w:tc>
          <w:tcPr>
            <w:tcW w:w="7075" w:type="dxa"/>
          </w:tcPr>
          <w:p>
            <w:pPr>
              <w:pStyle w:val="TableParagraph"/>
              <w:spacing w:before="142"/>
              <w:ind w:left="98"/>
              <w:rPr>
                <w:sz w:val="21"/>
              </w:rPr>
            </w:pPr>
            <w:r>
              <w:rPr>
                <w:sz w:val="21"/>
              </w:rPr>
              <w:t>指以辅助呼吸器材在江、河、湖、海、水库、运河等水域进行的水下运动。</w:t>
            </w:r>
          </w:p>
        </w:tc>
      </w:tr>
      <w:tr>
        <w:trPr>
          <w:trHeight w:val="623" w:hRule="atLeast"/>
        </w:trPr>
        <w:tc>
          <w:tcPr>
            <w:tcW w:w="682" w:type="dxa"/>
          </w:tcPr>
          <w:p>
            <w:pPr>
              <w:pStyle w:val="TableParagraph"/>
              <w:spacing w:before="142"/>
              <w:ind w:left="50"/>
              <w:rPr>
                <w:b/>
                <w:sz w:val="21"/>
              </w:rPr>
            </w:pPr>
            <w:r>
              <w:rPr>
                <w:b/>
                <w:sz w:val="21"/>
              </w:rPr>
              <w:t>6.17</w:t>
            </w:r>
          </w:p>
        </w:tc>
        <w:tc>
          <w:tcPr>
            <w:tcW w:w="1792" w:type="dxa"/>
          </w:tcPr>
          <w:p>
            <w:pPr>
              <w:pStyle w:val="TableParagraph"/>
              <w:spacing w:before="142"/>
              <w:ind w:left="210"/>
              <w:rPr>
                <w:b/>
                <w:sz w:val="21"/>
              </w:rPr>
            </w:pPr>
            <w:r>
              <w:rPr>
                <w:b/>
                <w:sz w:val="21"/>
              </w:rPr>
              <w:t>攀岩</w:t>
            </w:r>
          </w:p>
        </w:tc>
        <w:tc>
          <w:tcPr>
            <w:tcW w:w="7075" w:type="dxa"/>
          </w:tcPr>
          <w:p>
            <w:pPr>
              <w:pStyle w:val="TableParagraph"/>
              <w:spacing w:before="142"/>
              <w:ind w:left="98"/>
              <w:rPr>
                <w:sz w:val="21"/>
              </w:rPr>
            </w:pPr>
            <w:r>
              <w:rPr>
                <w:sz w:val="21"/>
              </w:rPr>
              <w:t>指攀登悬崖、建筑物外墙、人造悬崖、冰崖、冰ft等运动。</w:t>
            </w:r>
          </w:p>
        </w:tc>
      </w:tr>
      <w:tr>
        <w:trPr>
          <w:trHeight w:val="417" w:hRule="atLeast"/>
        </w:trPr>
        <w:tc>
          <w:tcPr>
            <w:tcW w:w="682" w:type="dxa"/>
          </w:tcPr>
          <w:p>
            <w:pPr>
              <w:pStyle w:val="TableParagraph"/>
              <w:spacing w:line="255" w:lineRule="exact" w:before="142"/>
              <w:ind w:left="50"/>
              <w:rPr>
                <w:b/>
                <w:sz w:val="21"/>
              </w:rPr>
            </w:pPr>
            <w:r>
              <w:rPr>
                <w:b/>
                <w:sz w:val="21"/>
              </w:rPr>
              <w:t>6.18</w:t>
            </w:r>
          </w:p>
        </w:tc>
        <w:tc>
          <w:tcPr>
            <w:tcW w:w="1792" w:type="dxa"/>
          </w:tcPr>
          <w:p>
            <w:pPr>
              <w:pStyle w:val="TableParagraph"/>
              <w:spacing w:line="255" w:lineRule="exact" w:before="142"/>
              <w:ind w:left="210"/>
              <w:rPr>
                <w:b/>
                <w:sz w:val="21"/>
              </w:rPr>
            </w:pPr>
            <w:r>
              <w:rPr>
                <w:b/>
                <w:sz w:val="21"/>
              </w:rPr>
              <w:t>探险活动</w:t>
            </w:r>
          </w:p>
        </w:tc>
        <w:tc>
          <w:tcPr>
            <w:tcW w:w="7075" w:type="dxa"/>
          </w:tcPr>
          <w:p>
            <w:pPr>
              <w:pStyle w:val="TableParagraph"/>
              <w:spacing w:line="255" w:lineRule="exact" w:before="142"/>
              <w:ind w:left="98"/>
              <w:rPr>
                <w:sz w:val="21"/>
              </w:rPr>
            </w:pPr>
            <w:r>
              <w:rPr>
                <w:sz w:val="21"/>
              </w:rPr>
              <w:t>指明知在某种特定的自然条件下有失去生命或使身体受到伤害的危险，而</w:t>
            </w:r>
          </w:p>
        </w:tc>
      </w:tr>
    </w:tbl>
    <w:p>
      <w:pPr>
        <w:spacing w:after="0" w:line="255" w:lineRule="exact"/>
        <w:rPr>
          <w:sz w:val="21"/>
        </w:rPr>
        <w:sectPr>
          <w:footerReference w:type="default" r:id="rId9"/>
          <w:pgSz w:w="11910" w:h="16840"/>
          <w:pgMar w:footer="994" w:header="335" w:top="560" w:bottom="1180" w:left="920" w:right="1220"/>
          <w:pgNumType w:start="15"/>
        </w:sectPr>
      </w:pPr>
    </w:p>
    <w:p>
      <w:pPr>
        <w:pStyle w:val="BodyText"/>
        <w:rPr>
          <w:rFonts w:ascii="Times New Roman"/>
          <w:sz w:val="20"/>
        </w:rPr>
      </w:pPr>
    </w:p>
    <w:p>
      <w:pPr>
        <w:pStyle w:val="BodyText"/>
        <w:spacing w:before="4"/>
        <w:rPr>
          <w:rFonts w:ascii="Times New Roman"/>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683"/>
        <w:gridCol w:w="7074"/>
      </w:tblGrid>
      <w:tr>
        <w:trPr>
          <w:trHeight w:val="261" w:hRule="atLeast"/>
        </w:trPr>
        <w:tc>
          <w:tcPr>
            <w:tcW w:w="682" w:type="dxa"/>
          </w:tcPr>
          <w:p>
            <w:pPr>
              <w:pStyle w:val="TableParagraph"/>
              <w:rPr>
                <w:rFonts w:ascii="Times New Roman"/>
                <w:sz w:val="18"/>
              </w:rPr>
            </w:pPr>
          </w:p>
        </w:tc>
        <w:tc>
          <w:tcPr>
            <w:tcW w:w="1683" w:type="dxa"/>
          </w:tcPr>
          <w:p>
            <w:pPr>
              <w:pStyle w:val="TableParagraph"/>
              <w:rPr>
                <w:rFonts w:ascii="Times New Roman"/>
                <w:sz w:val="18"/>
              </w:rPr>
            </w:pPr>
          </w:p>
        </w:tc>
        <w:tc>
          <w:tcPr>
            <w:tcW w:w="7074" w:type="dxa"/>
          </w:tcPr>
          <w:p>
            <w:pPr>
              <w:pStyle w:val="TableParagraph"/>
              <w:spacing w:line="211" w:lineRule="exact"/>
              <w:ind w:left="207"/>
              <w:rPr>
                <w:sz w:val="21"/>
              </w:rPr>
            </w:pPr>
            <w:r>
              <w:rPr>
                <w:sz w:val="21"/>
              </w:rPr>
              <w:t>故意使自己置身其中的行为。包括但不限于江河漂流、徒步穿越沙漠或人</w:t>
            </w:r>
          </w:p>
        </w:tc>
      </w:tr>
      <w:tr>
        <w:trPr>
          <w:trHeight w:val="467"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迹罕至的原始森林等活动。</w:t>
            </w:r>
          </w:p>
        </w:tc>
      </w:tr>
      <w:tr>
        <w:trPr>
          <w:trHeight w:val="468" w:hRule="atLeast"/>
        </w:trPr>
        <w:tc>
          <w:tcPr>
            <w:tcW w:w="682" w:type="dxa"/>
          </w:tcPr>
          <w:p>
            <w:pPr>
              <w:pStyle w:val="TableParagraph"/>
              <w:spacing w:before="142"/>
              <w:ind w:left="50"/>
              <w:rPr>
                <w:b/>
                <w:sz w:val="21"/>
              </w:rPr>
            </w:pPr>
            <w:r>
              <w:rPr>
                <w:b/>
                <w:sz w:val="21"/>
              </w:rPr>
              <w:t>6.19</w:t>
            </w:r>
          </w:p>
        </w:tc>
        <w:tc>
          <w:tcPr>
            <w:tcW w:w="1683" w:type="dxa"/>
          </w:tcPr>
          <w:p>
            <w:pPr>
              <w:pStyle w:val="TableParagraph"/>
              <w:spacing w:before="142"/>
              <w:ind w:left="210"/>
              <w:rPr>
                <w:b/>
                <w:sz w:val="21"/>
              </w:rPr>
            </w:pPr>
            <w:r>
              <w:rPr>
                <w:b/>
                <w:sz w:val="21"/>
              </w:rPr>
              <w:t>武术比赛</w:t>
            </w:r>
          </w:p>
        </w:tc>
        <w:tc>
          <w:tcPr>
            <w:tcW w:w="7074" w:type="dxa"/>
          </w:tcPr>
          <w:p>
            <w:pPr>
              <w:pStyle w:val="TableParagraph"/>
              <w:spacing w:before="142"/>
              <w:ind w:left="207"/>
              <w:rPr>
                <w:sz w:val="21"/>
              </w:rPr>
            </w:pPr>
            <w:r>
              <w:rPr>
                <w:sz w:val="21"/>
              </w:rPr>
              <w:t>指两人或两人以上对抗柔道、空手道、跆拳道、散打、拳击等各种拳术及</w:t>
            </w:r>
          </w:p>
        </w:tc>
      </w:tr>
      <w:tr>
        <w:trPr>
          <w:trHeight w:val="468"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2" w:lineRule="exact"/>
              <w:ind w:left="207"/>
              <w:rPr>
                <w:sz w:val="21"/>
              </w:rPr>
            </w:pPr>
            <w:r>
              <w:rPr>
                <w:sz w:val="21"/>
              </w:rPr>
              <w:t>各种使用器械的对抗性比赛。</w:t>
            </w:r>
          </w:p>
        </w:tc>
      </w:tr>
      <w:tr>
        <w:trPr>
          <w:trHeight w:val="468" w:hRule="atLeast"/>
        </w:trPr>
        <w:tc>
          <w:tcPr>
            <w:tcW w:w="682" w:type="dxa"/>
          </w:tcPr>
          <w:p>
            <w:pPr>
              <w:pStyle w:val="TableParagraph"/>
              <w:spacing w:before="142"/>
              <w:ind w:left="50"/>
              <w:rPr>
                <w:b/>
                <w:sz w:val="21"/>
              </w:rPr>
            </w:pPr>
            <w:r>
              <w:rPr>
                <w:b/>
                <w:sz w:val="21"/>
              </w:rPr>
              <w:t>6.20</w:t>
            </w:r>
          </w:p>
        </w:tc>
        <w:tc>
          <w:tcPr>
            <w:tcW w:w="1683" w:type="dxa"/>
          </w:tcPr>
          <w:p>
            <w:pPr>
              <w:pStyle w:val="TableParagraph"/>
              <w:spacing w:before="142"/>
              <w:ind w:left="210"/>
              <w:rPr>
                <w:b/>
                <w:sz w:val="21"/>
              </w:rPr>
            </w:pPr>
            <w:r>
              <w:rPr>
                <w:b/>
                <w:sz w:val="21"/>
              </w:rPr>
              <w:t>本合同约定利</w:t>
            </w:r>
          </w:p>
        </w:tc>
        <w:tc>
          <w:tcPr>
            <w:tcW w:w="7074" w:type="dxa"/>
          </w:tcPr>
          <w:p>
            <w:pPr>
              <w:pStyle w:val="TableParagraph"/>
              <w:spacing w:before="142"/>
              <w:ind w:left="207"/>
              <w:rPr>
                <w:sz w:val="21"/>
              </w:rPr>
            </w:pPr>
            <w:r>
              <w:rPr>
                <w:sz w:val="21"/>
              </w:rPr>
              <w:t>由本公司参照同期中国人民银行短期贷款利率确定并宣布，宣布时间分别</w:t>
            </w:r>
          </w:p>
        </w:tc>
      </w:tr>
      <w:tr>
        <w:trPr>
          <w:trHeight w:val="312" w:hRule="atLeast"/>
        </w:trPr>
        <w:tc>
          <w:tcPr>
            <w:tcW w:w="682" w:type="dxa"/>
          </w:tcPr>
          <w:p>
            <w:pPr>
              <w:pStyle w:val="TableParagraph"/>
              <w:rPr>
                <w:rFonts w:ascii="Times New Roman"/>
                <w:sz w:val="20"/>
              </w:rPr>
            </w:pPr>
          </w:p>
        </w:tc>
        <w:tc>
          <w:tcPr>
            <w:tcW w:w="1683" w:type="dxa"/>
          </w:tcPr>
          <w:p>
            <w:pPr>
              <w:pStyle w:val="TableParagraph"/>
              <w:spacing w:line="262" w:lineRule="exact"/>
              <w:ind w:left="210"/>
              <w:rPr>
                <w:b/>
                <w:sz w:val="21"/>
              </w:rPr>
            </w:pPr>
            <w:r>
              <w:rPr>
                <w:b/>
                <w:w w:val="100"/>
                <w:sz w:val="21"/>
              </w:rPr>
              <w:t>率</w:t>
            </w:r>
          </w:p>
        </w:tc>
        <w:tc>
          <w:tcPr>
            <w:tcW w:w="7074" w:type="dxa"/>
          </w:tcPr>
          <w:p>
            <w:pPr>
              <w:pStyle w:val="TableParagraph"/>
              <w:spacing w:line="262" w:lineRule="exact"/>
              <w:ind w:left="207"/>
              <w:rPr>
                <w:sz w:val="21"/>
              </w:rPr>
            </w:pPr>
            <w:r>
              <w:rPr>
                <w:sz w:val="21"/>
              </w:rPr>
              <w:t>为每年的一月一日和七月一日。该利率以同期中国人民银行短期贷款利率</w:t>
            </w:r>
          </w:p>
        </w:tc>
      </w:tr>
      <w:tr>
        <w:trPr>
          <w:trHeight w:val="467"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＋3%为上限。</w:t>
            </w:r>
          </w:p>
        </w:tc>
      </w:tr>
      <w:tr>
        <w:trPr>
          <w:trHeight w:val="468" w:hRule="atLeast"/>
        </w:trPr>
        <w:tc>
          <w:tcPr>
            <w:tcW w:w="682" w:type="dxa"/>
          </w:tcPr>
          <w:p>
            <w:pPr>
              <w:pStyle w:val="TableParagraph"/>
              <w:spacing w:before="142"/>
              <w:ind w:left="50"/>
              <w:rPr>
                <w:b/>
                <w:sz w:val="21"/>
              </w:rPr>
            </w:pPr>
            <w:r>
              <w:rPr>
                <w:b/>
                <w:sz w:val="21"/>
              </w:rPr>
              <w:t>6.21</w:t>
            </w:r>
          </w:p>
        </w:tc>
        <w:tc>
          <w:tcPr>
            <w:tcW w:w="1683" w:type="dxa"/>
          </w:tcPr>
          <w:p>
            <w:pPr>
              <w:pStyle w:val="TableParagraph"/>
              <w:spacing w:before="142"/>
              <w:ind w:left="210"/>
              <w:rPr>
                <w:b/>
                <w:sz w:val="21"/>
              </w:rPr>
            </w:pPr>
            <w:r>
              <w:rPr>
                <w:b/>
                <w:sz w:val="21"/>
              </w:rPr>
              <w:t>本公司认可的</w:t>
            </w:r>
          </w:p>
        </w:tc>
        <w:tc>
          <w:tcPr>
            <w:tcW w:w="7074" w:type="dxa"/>
          </w:tcPr>
          <w:p>
            <w:pPr>
              <w:pStyle w:val="TableParagraph"/>
              <w:spacing w:before="142"/>
              <w:ind w:left="207"/>
              <w:rPr>
                <w:sz w:val="21"/>
              </w:rPr>
            </w:pPr>
            <w:r>
              <w:rPr>
                <w:sz w:val="21"/>
              </w:rPr>
              <w:t>指本公司指定医院或未在指定范围内的 2 级以上县、区级公立医院。本公</w:t>
            </w:r>
          </w:p>
        </w:tc>
      </w:tr>
      <w:tr>
        <w:trPr>
          <w:trHeight w:val="468" w:hRule="atLeast"/>
        </w:trPr>
        <w:tc>
          <w:tcPr>
            <w:tcW w:w="682" w:type="dxa"/>
          </w:tcPr>
          <w:p>
            <w:pPr>
              <w:pStyle w:val="TableParagraph"/>
              <w:rPr>
                <w:rFonts w:ascii="Times New Roman"/>
                <w:sz w:val="20"/>
              </w:rPr>
            </w:pPr>
          </w:p>
        </w:tc>
        <w:tc>
          <w:tcPr>
            <w:tcW w:w="1683" w:type="dxa"/>
          </w:tcPr>
          <w:p>
            <w:pPr>
              <w:pStyle w:val="TableParagraph"/>
              <w:spacing w:line="262" w:lineRule="exact"/>
              <w:ind w:left="210"/>
              <w:rPr>
                <w:b/>
                <w:sz w:val="21"/>
              </w:rPr>
            </w:pPr>
            <w:r>
              <w:rPr>
                <w:b/>
                <w:sz w:val="21"/>
              </w:rPr>
              <w:t>医疗机构</w:t>
            </w:r>
          </w:p>
        </w:tc>
        <w:tc>
          <w:tcPr>
            <w:tcW w:w="7074" w:type="dxa"/>
          </w:tcPr>
          <w:p>
            <w:pPr>
              <w:pStyle w:val="TableParagraph"/>
              <w:spacing w:line="262" w:lineRule="exact"/>
              <w:ind w:left="207"/>
              <w:rPr>
                <w:sz w:val="21"/>
              </w:rPr>
            </w:pPr>
            <w:r>
              <w:rPr>
                <w:sz w:val="21"/>
              </w:rPr>
              <w:t>司指定的医院名单会在投保时展示给投保人，并随保单附送一份。</w:t>
            </w:r>
          </w:p>
        </w:tc>
      </w:tr>
      <w:tr>
        <w:trPr>
          <w:trHeight w:val="467" w:hRule="atLeast"/>
        </w:trPr>
        <w:tc>
          <w:tcPr>
            <w:tcW w:w="682" w:type="dxa"/>
          </w:tcPr>
          <w:p>
            <w:pPr>
              <w:pStyle w:val="TableParagraph"/>
              <w:spacing w:before="142"/>
              <w:ind w:left="50"/>
              <w:rPr>
                <w:b/>
                <w:sz w:val="21"/>
              </w:rPr>
            </w:pPr>
            <w:r>
              <w:rPr>
                <w:b/>
                <w:sz w:val="21"/>
              </w:rPr>
              <w:t>6.22</w:t>
            </w:r>
          </w:p>
        </w:tc>
        <w:tc>
          <w:tcPr>
            <w:tcW w:w="1683" w:type="dxa"/>
          </w:tcPr>
          <w:p>
            <w:pPr>
              <w:pStyle w:val="TableParagraph"/>
              <w:spacing w:before="142"/>
              <w:ind w:left="210"/>
              <w:rPr>
                <w:b/>
                <w:sz w:val="21"/>
              </w:rPr>
            </w:pPr>
            <w:r>
              <w:rPr>
                <w:b/>
                <w:sz w:val="21"/>
              </w:rPr>
              <w:t>肢体机能完全</w:t>
            </w:r>
          </w:p>
        </w:tc>
        <w:tc>
          <w:tcPr>
            <w:tcW w:w="7074" w:type="dxa"/>
          </w:tcPr>
          <w:p>
            <w:pPr>
              <w:pStyle w:val="TableParagraph"/>
              <w:spacing w:before="142"/>
              <w:ind w:left="207"/>
              <w:rPr>
                <w:sz w:val="21"/>
              </w:rPr>
            </w:pPr>
            <w:r>
              <w:rPr>
                <w:sz w:val="21"/>
              </w:rPr>
              <w:t>指肢体的三大关节中的两大关节僵硬，或不能随意识活动。肢体是指包括</w:t>
            </w:r>
          </w:p>
        </w:tc>
      </w:tr>
      <w:tr>
        <w:trPr>
          <w:trHeight w:val="468" w:hRule="atLeast"/>
        </w:trPr>
        <w:tc>
          <w:tcPr>
            <w:tcW w:w="682" w:type="dxa"/>
          </w:tcPr>
          <w:p>
            <w:pPr>
              <w:pStyle w:val="TableParagraph"/>
              <w:rPr>
                <w:rFonts w:ascii="Times New Roman"/>
                <w:sz w:val="20"/>
              </w:rPr>
            </w:pPr>
          </w:p>
        </w:tc>
        <w:tc>
          <w:tcPr>
            <w:tcW w:w="1683" w:type="dxa"/>
          </w:tcPr>
          <w:p>
            <w:pPr>
              <w:pStyle w:val="TableParagraph"/>
              <w:spacing w:line="261" w:lineRule="exact"/>
              <w:ind w:left="210"/>
              <w:rPr>
                <w:b/>
                <w:sz w:val="21"/>
              </w:rPr>
            </w:pPr>
            <w:r>
              <w:rPr>
                <w:b/>
                <w:sz w:val="21"/>
              </w:rPr>
              <w:t>丧失</w:t>
            </w:r>
          </w:p>
        </w:tc>
        <w:tc>
          <w:tcPr>
            <w:tcW w:w="7074" w:type="dxa"/>
          </w:tcPr>
          <w:p>
            <w:pPr>
              <w:pStyle w:val="TableParagraph"/>
              <w:spacing w:line="261" w:lineRule="exact"/>
              <w:ind w:left="207"/>
              <w:rPr>
                <w:sz w:val="21"/>
              </w:rPr>
            </w:pPr>
            <w:r>
              <w:rPr>
                <w:sz w:val="21"/>
              </w:rPr>
              <w:t>肩关节的整个上肢或包括髋关节的整个下肢。</w:t>
            </w:r>
          </w:p>
        </w:tc>
      </w:tr>
      <w:tr>
        <w:trPr>
          <w:trHeight w:val="468" w:hRule="atLeast"/>
        </w:trPr>
        <w:tc>
          <w:tcPr>
            <w:tcW w:w="682" w:type="dxa"/>
          </w:tcPr>
          <w:p>
            <w:pPr>
              <w:pStyle w:val="TableParagraph"/>
              <w:spacing w:before="142"/>
              <w:ind w:left="50"/>
              <w:rPr>
                <w:b/>
                <w:sz w:val="21"/>
              </w:rPr>
            </w:pPr>
            <w:r>
              <w:rPr>
                <w:b/>
                <w:sz w:val="21"/>
              </w:rPr>
              <w:t>6.23</w:t>
            </w:r>
          </w:p>
        </w:tc>
        <w:tc>
          <w:tcPr>
            <w:tcW w:w="1683" w:type="dxa"/>
          </w:tcPr>
          <w:p>
            <w:pPr>
              <w:pStyle w:val="TableParagraph"/>
              <w:spacing w:before="142"/>
              <w:ind w:left="210"/>
              <w:rPr>
                <w:b/>
                <w:sz w:val="21"/>
              </w:rPr>
            </w:pPr>
            <w:r>
              <w:rPr>
                <w:b/>
                <w:sz w:val="21"/>
              </w:rPr>
              <w:t>语言能力或咀</w:t>
            </w:r>
          </w:p>
        </w:tc>
        <w:tc>
          <w:tcPr>
            <w:tcW w:w="7074" w:type="dxa"/>
          </w:tcPr>
          <w:p>
            <w:pPr>
              <w:pStyle w:val="TableParagraph"/>
              <w:spacing w:before="142"/>
              <w:ind w:left="207"/>
              <w:rPr>
                <w:sz w:val="21"/>
              </w:rPr>
            </w:pPr>
            <w:r>
              <w:rPr>
                <w:sz w:val="21"/>
              </w:rPr>
              <w:t>语言能力完全丧失，指无法发出四种语音（包括口唇音、齿舌音、口盖音</w:t>
            </w:r>
          </w:p>
        </w:tc>
      </w:tr>
      <w:tr>
        <w:trPr>
          <w:trHeight w:val="312" w:hRule="atLeast"/>
        </w:trPr>
        <w:tc>
          <w:tcPr>
            <w:tcW w:w="682" w:type="dxa"/>
          </w:tcPr>
          <w:p>
            <w:pPr>
              <w:pStyle w:val="TableParagraph"/>
              <w:rPr>
                <w:rFonts w:ascii="Times New Roman"/>
                <w:sz w:val="20"/>
              </w:rPr>
            </w:pPr>
          </w:p>
        </w:tc>
        <w:tc>
          <w:tcPr>
            <w:tcW w:w="1683" w:type="dxa"/>
          </w:tcPr>
          <w:p>
            <w:pPr>
              <w:pStyle w:val="TableParagraph"/>
              <w:spacing w:line="261" w:lineRule="exact"/>
              <w:ind w:left="210"/>
              <w:rPr>
                <w:b/>
                <w:sz w:val="21"/>
              </w:rPr>
            </w:pPr>
            <w:r>
              <w:rPr>
                <w:b/>
                <w:sz w:val="21"/>
              </w:rPr>
              <w:t>嚼吞咽能力完</w:t>
            </w:r>
          </w:p>
        </w:tc>
        <w:tc>
          <w:tcPr>
            <w:tcW w:w="7074" w:type="dxa"/>
          </w:tcPr>
          <w:p>
            <w:pPr>
              <w:pStyle w:val="TableParagraph"/>
              <w:spacing w:line="261" w:lineRule="exact"/>
              <w:ind w:left="207"/>
              <w:rPr>
                <w:sz w:val="21"/>
              </w:rPr>
            </w:pPr>
            <w:r>
              <w:rPr>
                <w:sz w:val="21"/>
              </w:rPr>
              <w:t>和喉头音）中的任何三种、或声带全部切除，或因大脑语言中枢受伤害而</w:t>
            </w:r>
          </w:p>
        </w:tc>
      </w:tr>
      <w:tr>
        <w:trPr>
          <w:trHeight w:val="312" w:hRule="atLeast"/>
        </w:trPr>
        <w:tc>
          <w:tcPr>
            <w:tcW w:w="682" w:type="dxa"/>
          </w:tcPr>
          <w:p>
            <w:pPr>
              <w:pStyle w:val="TableParagraph"/>
              <w:rPr>
                <w:rFonts w:ascii="Times New Roman"/>
                <w:sz w:val="20"/>
              </w:rPr>
            </w:pPr>
          </w:p>
        </w:tc>
        <w:tc>
          <w:tcPr>
            <w:tcW w:w="1683" w:type="dxa"/>
          </w:tcPr>
          <w:p>
            <w:pPr>
              <w:pStyle w:val="TableParagraph"/>
              <w:spacing w:line="262" w:lineRule="exact"/>
              <w:ind w:left="210"/>
              <w:rPr>
                <w:b/>
                <w:sz w:val="21"/>
              </w:rPr>
            </w:pPr>
            <w:r>
              <w:rPr>
                <w:b/>
                <w:sz w:val="21"/>
              </w:rPr>
              <w:t>全丧失</w:t>
            </w:r>
          </w:p>
        </w:tc>
        <w:tc>
          <w:tcPr>
            <w:tcW w:w="7074" w:type="dxa"/>
          </w:tcPr>
          <w:p>
            <w:pPr>
              <w:pStyle w:val="TableParagraph"/>
              <w:spacing w:line="262" w:lineRule="exact"/>
              <w:ind w:left="207"/>
              <w:rPr>
                <w:sz w:val="21"/>
              </w:rPr>
            </w:pPr>
            <w:r>
              <w:rPr>
                <w:sz w:val="21"/>
              </w:rPr>
              <w:t>患失语症。</w:t>
            </w:r>
          </w:p>
        </w:tc>
      </w:tr>
      <w:tr>
        <w:trPr>
          <w:trHeight w:val="311"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咀嚼吞咽能力完全丧失，指因牙齿以外的原因导致器质障碍或机能障碍，</w:t>
            </w:r>
          </w:p>
        </w:tc>
      </w:tr>
      <w:tr>
        <w:trPr>
          <w:trHeight w:val="468"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以致不能作咀嚼吞咽运动，除流质食物外不能摄取或吞咽的状态。</w:t>
            </w:r>
          </w:p>
        </w:tc>
      </w:tr>
      <w:tr>
        <w:trPr>
          <w:trHeight w:val="468" w:hRule="atLeast"/>
        </w:trPr>
        <w:tc>
          <w:tcPr>
            <w:tcW w:w="682" w:type="dxa"/>
          </w:tcPr>
          <w:p>
            <w:pPr>
              <w:pStyle w:val="TableParagraph"/>
              <w:spacing w:before="142"/>
              <w:ind w:left="50"/>
              <w:rPr>
                <w:b/>
                <w:sz w:val="21"/>
              </w:rPr>
            </w:pPr>
            <w:r>
              <w:rPr>
                <w:b/>
                <w:sz w:val="21"/>
              </w:rPr>
              <w:t>6.24</w:t>
            </w:r>
          </w:p>
        </w:tc>
        <w:tc>
          <w:tcPr>
            <w:tcW w:w="1683" w:type="dxa"/>
          </w:tcPr>
          <w:p>
            <w:pPr>
              <w:pStyle w:val="TableParagraph"/>
              <w:spacing w:before="142"/>
              <w:ind w:left="210"/>
              <w:rPr>
                <w:b/>
                <w:sz w:val="21"/>
              </w:rPr>
            </w:pPr>
            <w:r>
              <w:rPr>
                <w:b/>
                <w:sz w:val="21"/>
              </w:rPr>
              <w:t>六项基本日常</w:t>
            </w:r>
          </w:p>
        </w:tc>
        <w:tc>
          <w:tcPr>
            <w:tcW w:w="7074" w:type="dxa"/>
          </w:tcPr>
          <w:p>
            <w:pPr>
              <w:pStyle w:val="TableParagraph"/>
              <w:spacing w:before="142"/>
              <w:ind w:left="207"/>
              <w:rPr>
                <w:sz w:val="21"/>
              </w:rPr>
            </w:pPr>
            <w:r>
              <w:rPr>
                <w:sz w:val="21"/>
              </w:rPr>
              <w:t>六项基本日常生活活动是指：</w:t>
            </w:r>
          </w:p>
        </w:tc>
      </w:tr>
      <w:tr>
        <w:trPr>
          <w:trHeight w:val="311" w:hRule="atLeast"/>
        </w:trPr>
        <w:tc>
          <w:tcPr>
            <w:tcW w:w="682" w:type="dxa"/>
          </w:tcPr>
          <w:p>
            <w:pPr>
              <w:pStyle w:val="TableParagraph"/>
              <w:rPr>
                <w:rFonts w:ascii="Times New Roman"/>
                <w:sz w:val="20"/>
              </w:rPr>
            </w:pPr>
          </w:p>
        </w:tc>
        <w:tc>
          <w:tcPr>
            <w:tcW w:w="1683" w:type="dxa"/>
          </w:tcPr>
          <w:p>
            <w:pPr>
              <w:pStyle w:val="TableParagraph"/>
              <w:spacing w:line="261" w:lineRule="exact"/>
              <w:ind w:left="210"/>
              <w:rPr>
                <w:b/>
                <w:sz w:val="21"/>
              </w:rPr>
            </w:pPr>
            <w:r>
              <w:rPr>
                <w:b/>
                <w:sz w:val="21"/>
              </w:rPr>
              <w:t>生活活动</w:t>
            </w:r>
          </w:p>
        </w:tc>
        <w:tc>
          <w:tcPr>
            <w:tcW w:w="7074" w:type="dxa"/>
          </w:tcPr>
          <w:p>
            <w:pPr>
              <w:pStyle w:val="TableParagraph"/>
              <w:spacing w:line="261" w:lineRule="exact"/>
              <w:ind w:left="207"/>
              <w:rPr>
                <w:sz w:val="21"/>
              </w:rPr>
            </w:pPr>
            <w:r>
              <w:rPr>
                <w:sz w:val="21"/>
              </w:rPr>
              <w:t>（1）穿衣：自己能够穿衣及脱衣；</w:t>
            </w:r>
          </w:p>
        </w:tc>
      </w:tr>
      <w:tr>
        <w:trPr>
          <w:trHeight w:val="311"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（2）移动：自己从一个房间到另一个房间；</w:t>
            </w:r>
          </w:p>
        </w:tc>
      </w:tr>
      <w:tr>
        <w:trPr>
          <w:trHeight w:val="312"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（3）行动：自己上下床或上下轮椅；</w:t>
            </w:r>
          </w:p>
        </w:tc>
      </w:tr>
      <w:tr>
        <w:trPr>
          <w:trHeight w:val="312"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2" w:lineRule="exact"/>
              <w:ind w:left="207"/>
              <w:rPr>
                <w:sz w:val="21"/>
              </w:rPr>
            </w:pPr>
            <w:r>
              <w:rPr>
                <w:sz w:val="21"/>
              </w:rPr>
              <w:t>（4）如厕：自己控制进行大小便；</w:t>
            </w:r>
          </w:p>
        </w:tc>
      </w:tr>
      <w:tr>
        <w:trPr>
          <w:trHeight w:val="308"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61" w:lineRule="exact"/>
              <w:ind w:left="207"/>
              <w:rPr>
                <w:sz w:val="21"/>
              </w:rPr>
            </w:pPr>
            <w:r>
              <w:rPr>
                <w:sz w:val="21"/>
              </w:rPr>
              <w:t>（5）进食：自己从已准备好的碗或碟中取食物放入口中；</w:t>
            </w:r>
          </w:p>
        </w:tc>
      </w:tr>
      <w:tr>
        <w:trPr>
          <w:trHeight w:val="476" w:hRule="atLeast"/>
        </w:trPr>
        <w:tc>
          <w:tcPr>
            <w:tcW w:w="682" w:type="dxa"/>
          </w:tcPr>
          <w:p>
            <w:pPr>
              <w:pStyle w:val="TableParagraph"/>
              <w:rPr>
                <w:rFonts w:ascii="Times New Roman"/>
                <w:sz w:val="20"/>
              </w:rPr>
            </w:pPr>
          </w:p>
        </w:tc>
        <w:tc>
          <w:tcPr>
            <w:tcW w:w="1683" w:type="dxa"/>
          </w:tcPr>
          <w:p>
            <w:pPr>
              <w:pStyle w:val="TableParagraph"/>
              <w:rPr>
                <w:rFonts w:ascii="Times New Roman"/>
                <w:sz w:val="20"/>
              </w:rPr>
            </w:pPr>
          </w:p>
        </w:tc>
        <w:tc>
          <w:tcPr>
            <w:tcW w:w="7074" w:type="dxa"/>
          </w:tcPr>
          <w:p>
            <w:pPr>
              <w:pStyle w:val="TableParagraph"/>
              <w:spacing w:line="281" w:lineRule="exact"/>
              <w:ind w:left="207"/>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682" w:type="dxa"/>
          </w:tcPr>
          <w:p>
            <w:pPr>
              <w:pStyle w:val="TableParagraph"/>
              <w:spacing w:before="138"/>
              <w:ind w:left="50"/>
              <w:rPr>
                <w:b/>
                <w:sz w:val="21"/>
              </w:rPr>
            </w:pPr>
            <w:r>
              <w:rPr>
                <w:b/>
                <w:sz w:val="21"/>
              </w:rPr>
              <w:t>6.25</w:t>
            </w:r>
          </w:p>
        </w:tc>
        <w:tc>
          <w:tcPr>
            <w:tcW w:w="1683" w:type="dxa"/>
          </w:tcPr>
          <w:p>
            <w:pPr>
              <w:pStyle w:val="TableParagraph"/>
              <w:spacing w:before="138"/>
              <w:ind w:left="210"/>
              <w:rPr>
                <w:b/>
                <w:sz w:val="21"/>
              </w:rPr>
            </w:pPr>
            <w:r>
              <w:rPr>
                <w:b/>
                <w:sz w:val="21"/>
              </w:rPr>
              <w:t>永久不可逆</w:t>
            </w:r>
          </w:p>
        </w:tc>
        <w:tc>
          <w:tcPr>
            <w:tcW w:w="7074" w:type="dxa"/>
          </w:tcPr>
          <w:p>
            <w:pPr>
              <w:pStyle w:val="TableParagraph"/>
              <w:spacing w:line="290" w:lineRule="atLeast" w:before="138"/>
              <w:ind w:left="207" w:right="75"/>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335" w:footer="994" w:top="560" w:bottom="1180" w:left="9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157013pt;margin-top:781.182983pt;width:13pt;height:12pt;mso-position-horizontal-relative:page;mso-position-vertical-relative:page;z-index:-50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7013pt;margin-top:781.182983pt;width:13pt;height:12pt;mso-position-horizontal-relative:page;mso-position-vertical-relative:page;z-index:-50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77121pt;margin-top:15.751538pt;width:39.85pt;height:13.7pt;mso-position-horizontal-relative:page;mso-position-vertical-relative:page;z-index:-50896" type="#_x0000_t202" filled="false" stroked="false">
          <v:textbox inset="0,0,0,0">
            <w:txbxContent>
              <w:p>
                <w:pPr>
                  <w:spacing w:line="254" w:lineRule="exact" w:before="0"/>
                  <w:ind w:left="20" w:right="0" w:firstLine="0"/>
                  <w:jc w:val="left"/>
                  <w:rPr>
                    <w:rFonts w:ascii="Times New Roman" w:eastAsia="Times New Roman"/>
                    <w:b/>
                    <w:i/>
                    <w:sz w:val="21"/>
                  </w:rPr>
                </w:pPr>
                <w:r>
                  <w:rPr>
                    <w:b/>
                    <w:spacing w:val="-18"/>
                    <w:sz w:val="21"/>
                  </w:rPr>
                  <w:t>附件 </w:t>
                </w:r>
                <w:r>
                  <w:rPr>
                    <w:rFonts w:ascii="Times New Roman" w:eastAsia="Times New Roman"/>
                    <w:b/>
                    <w:i/>
                    <w:sz w:val="21"/>
                  </w:rPr>
                  <w:t>2-3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384" w:hanging="212"/>
        <w:jc w:val="left"/>
      </w:pPr>
      <w:rPr>
        <w:rFonts w:hint="default" w:ascii="宋体" w:hAnsi="宋体" w:eastAsia="宋体" w:cs="宋体"/>
        <w:w w:val="100"/>
        <w:sz w:val="21"/>
        <w:szCs w:val="21"/>
      </w:rPr>
    </w:lvl>
    <w:lvl w:ilvl="1">
      <w:start w:val="0"/>
      <w:numFmt w:val="bullet"/>
      <w:lvlText w:val="•"/>
      <w:lvlJc w:val="left"/>
      <w:pPr>
        <w:ind w:left="1061" w:hanging="212"/>
      </w:pPr>
      <w:rPr>
        <w:rFonts w:hint="default"/>
      </w:rPr>
    </w:lvl>
    <w:lvl w:ilvl="2">
      <w:start w:val="0"/>
      <w:numFmt w:val="bullet"/>
      <w:lvlText w:val="•"/>
      <w:lvlJc w:val="left"/>
      <w:pPr>
        <w:ind w:left="1742" w:hanging="212"/>
      </w:pPr>
      <w:rPr>
        <w:rFonts w:hint="default"/>
      </w:rPr>
    </w:lvl>
    <w:lvl w:ilvl="3">
      <w:start w:val="0"/>
      <w:numFmt w:val="bullet"/>
      <w:lvlText w:val="•"/>
      <w:lvlJc w:val="left"/>
      <w:pPr>
        <w:ind w:left="2423" w:hanging="212"/>
      </w:pPr>
      <w:rPr>
        <w:rFonts w:hint="default"/>
      </w:rPr>
    </w:lvl>
    <w:lvl w:ilvl="4">
      <w:start w:val="0"/>
      <w:numFmt w:val="bullet"/>
      <w:lvlText w:val="•"/>
      <w:lvlJc w:val="left"/>
      <w:pPr>
        <w:ind w:left="3104" w:hanging="212"/>
      </w:pPr>
      <w:rPr>
        <w:rFonts w:hint="default"/>
      </w:rPr>
    </w:lvl>
    <w:lvl w:ilvl="5">
      <w:start w:val="0"/>
      <w:numFmt w:val="bullet"/>
      <w:lvlText w:val="•"/>
      <w:lvlJc w:val="left"/>
      <w:pPr>
        <w:ind w:left="3785" w:hanging="212"/>
      </w:pPr>
      <w:rPr>
        <w:rFonts w:hint="default"/>
      </w:rPr>
    </w:lvl>
    <w:lvl w:ilvl="6">
      <w:start w:val="0"/>
      <w:numFmt w:val="bullet"/>
      <w:lvlText w:val="•"/>
      <w:lvlJc w:val="left"/>
      <w:pPr>
        <w:ind w:left="4466" w:hanging="212"/>
      </w:pPr>
      <w:rPr>
        <w:rFonts w:hint="default"/>
      </w:rPr>
    </w:lvl>
    <w:lvl w:ilvl="7">
      <w:start w:val="0"/>
      <w:numFmt w:val="bullet"/>
      <w:lvlText w:val="•"/>
      <w:lvlJc w:val="left"/>
      <w:pPr>
        <w:ind w:left="5147" w:hanging="212"/>
      </w:pPr>
      <w:rPr>
        <w:rFonts w:hint="default"/>
      </w:rPr>
    </w:lvl>
    <w:lvl w:ilvl="8">
      <w:start w:val="0"/>
      <w:numFmt w:val="bullet"/>
      <w:lvlText w:val="•"/>
      <w:lvlJc w:val="left"/>
      <w:pPr>
        <w:ind w:left="5828" w:hanging="212"/>
      </w:pPr>
      <w:rPr>
        <w:rFonts w:hint="default"/>
      </w:rPr>
    </w:lvl>
  </w:abstractNum>
  <w:abstractNum w:abstractNumId="11">
    <w:multiLevelType w:val="hybridMultilevel"/>
    <w:lvl w:ilvl="0">
      <w:start w:val="5"/>
      <w:numFmt w:val="decimal"/>
      <w:lvlText w:val="%1"/>
      <w:lvlJc w:val="left"/>
      <w:pPr>
        <w:ind w:left="1067" w:hanging="850"/>
        <w:jc w:val="left"/>
      </w:pPr>
      <w:rPr>
        <w:rFonts w:hint="default"/>
      </w:rPr>
    </w:lvl>
    <w:lvl w:ilvl="1">
      <w:start w:val="1"/>
      <w:numFmt w:val="decimal"/>
      <w:lvlText w:val="%1.%2"/>
      <w:lvlJc w:val="left"/>
      <w:pPr>
        <w:ind w:left="1067" w:hanging="850"/>
        <w:jc w:val="left"/>
      </w:pPr>
      <w:rPr>
        <w:rFonts w:hint="default" w:ascii="宋体" w:hAnsi="宋体" w:eastAsia="宋体" w:cs="宋体"/>
        <w:b/>
        <w:bCs/>
        <w:w w:val="99"/>
        <w:sz w:val="21"/>
        <w:szCs w:val="21"/>
      </w:rPr>
    </w:lvl>
    <w:lvl w:ilvl="2">
      <w:start w:val="0"/>
      <w:numFmt w:val="bullet"/>
      <w:lvlText w:val="•"/>
      <w:lvlJc w:val="left"/>
      <w:pPr>
        <w:ind w:left="1357" w:hanging="850"/>
      </w:pPr>
      <w:rPr>
        <w:rFonts w:hint="default"/>
      </w:rPr>
    </w:lvl>
    <w:lvl w:ilvl="3">
      <w:start w:val="0"/>
      <w:numFmt w:val="bullet"/>
      <w:lvlText w:val="•"/>
      <w:lvlJc w:val="left"/>
      <w:pPr>
        <w:ind w:left="1505" w:hanging="850"/>
      </w:pPr>
      <w:rPr>
        <w:rFonts w:hint="default"/>
      </w:rPr>
    </w:lvl>
    <w:lvl w:ilvl="4">
      <w:start w:val="0"/>
      <w:numFmt w:val="bullet"/>
      <w:lvlText w:val="•"/>
      <w:lvlJc w:val="left"/>
      <w:pPr>
        <w:ind w:left="1654" w:hanging="850"/>
      </w:pPr>
      <w:rPr>
        <w:rFonts w:hint="default"/>
      </w:rPr>
    </w:lvl>
    <w:lvl w:ilvl="5">
      <w:start w:val="0"/>
      <w:numFmt w:val="bullet"/>
      <w:lvlText w:val="•"/>
      <w:lvlJc w:val="left"/>
      <w:pPr>
        <w:ind w:left="1802" w:hanging="850"/>
      </w:pPr>
      <w:rPr>
        <w:rFonts w:hint="default"/>
      </w:rPr>
    </w:lvl>
    <w:lvl w:ilvl="6">
      <w:start w:val="0"/>
      <w:numFmt w:val="bullet"/>
      <w:lvlText w:val="•"/>
      <w:lvlJc w:val="left"/>
      <w:pPr>
        <w:ind w:left="1951" w:hanging="850"/>
      </w:pPr>
      <w:rPr>
        <w:rFonts w:hint="default"/>
      </w:rPr>
    </w:lvl>
    <w:lvl w:ilvl="7">
      <w:start w:val="0"/>
      <w:numFmt w:val="bullet"/>
      <w:lvlText w:val="•"/>
      <w:lvlJc w:val="left"/>
      <w:pPr>
        <w:ind w:left="2099" w:hanging="850"/>
      </w:pPr>
      <w:rPr>
        <w:rFonts w:hint="default"/>
      </w:rPr>
    </w:lvl>
    <w:lvl w:ilvl="8">
      <w:start w:val="0"/>
      <w:numFmt w:val="bullet"/>
      <w:lvlText w:val="•"/>
      <w:lvlJc w:val="left"/>
      <w:pPr>
        <w:ind w:left="2248" w:hanging="850"/>
      </w:pPr>
      <w:rPr>
        <w:rFonts w:hint="default"/>
      </w:rPr>
    </w:lvl>
  </w:abstractNum>
  <w:abstractNum w:abstractNumId="10">
    <w:multiLevelType w:val="hybridMultilevel"/>
    <w:lvl w:ilvl="0">
      <w:start w:val="4"/>
      <w:numFmt w:val="decimal"/>
      <w:lvlText w:val="%1"/>
      <w:lvlJc w:val="left"/>
      <w:pPr>
        <w:ind w:left="2768" w:hanging="850"/>
        <w:jc w:val="left"/>
      </w:pPr>
      <w:rPr>
        <w:rFonts w:hint="default"/>
      </w:rPr>
    </w:lvl>
    <w:lvl w:ilvl="1">
      <w:start w:val="1"/>
      <w:numFmt w:val="decimal"/>
      <w:lvlText w:val="%1.%2"/>
      <w:lvlJc w:val="left"/>
      <w:pPr>
        <w:ind w:left="2768" w:hanging="850"/>
        <w:jc w:val="left"/>
      </w:pPr>
      <w:rPr>
        <w:rFonts w:hint="default" w:ascii="宋体" w:hAnsi="宋体" w:eastAsia="宋体" w:cs="宋体"/>
        <w:b/>
        <w:bCs/>
        <w:w w:val="99"/>
        <w:sz w:val="21"/>
        <w:szCs w:val="21"/>
      </w:rPr>
    </w:lvl>
    <w:lvl w:ilvl="2">
      <w:start w:val="0"/>
      <w:numFmt w:val="bullet"/>
      <w:lvlText w:val="•"/>
      <w:lvlJc w:val="left"/>
      <w:pPr>
        <w:ind w:left="4165" w:hanging="850"/>
      </w:pPr>
      <w:rPr>
        <w:rFonts w:hint="default"/>
      </w:rPr>
    </w:lvl>
    <w:lvl w:ilvl="3">
      <w:start w:val="0"/>
      <w:numFmt w:val="bullet"/>
      <w:lvlText w:val="•"/>
      <w:lvlJc w:val="left"/>
      <w:pPr>
        <w:ind w:left="4867" w:hanging="850"/>
      </w:pPr>
      <w:rPr>
        <w:rFonts w:hint="default"/>
      </w:rPr>
    </w:lvl>
    <w:lvl w:ilvl="4">
      <w:start w:val="0"/>
      <w:numFmt w:val="bullet"/>
      <w:lvlText w:val="•"/>
      <w:lvlJc w:val="left"/>
      <w:pPr>
        <w:ind w:left="5570" w:hanging="850"/>
      </w:pPr>
      <w:rPr>
        <w:rFonts w:hint="default"/>
      </w:rPr>
    </w:lvl>
    <w:lvl w:ilvl="5">
      <w:start w:val="0"/>
      <w:numFmt w:val="bullet"/>
      <w:lvlText w:val="•"/>
      <w:lvlJc w:val="left"/>
      <w:pPr>
        <w:ind w:left="6272" w:hanging="850"/>
      </w:pPr>
      <w:rPr>
        <w:rFonts w:hint="default"/>
      </w:rPr>
    </w:lvl>
    <w:lvl w:ilvl="6">
      <w:start w:val="0"/>
      <w:numFmt w:val="bullet"/>
      <w:lvlText w:val="•"/>
      <w:lvlJc w:val="left"/>
      <w:pPr>
        <w:ind w:left="6975" w:hanging="850"/>
      </w:pPr>
      <w:rPr>
        <w:rFonts w:hint="default"/>
      </w:rPr>
    </w:lvl>
    <w:lvl w:ilvl="7">
      <w:start w:val="0"/>
      <w:numFmt w:val="bullet"/>
      <w:lvlText w:val="•"/>
      <w:lvlJc w:val="left"/>
      <w:pPr>
        <w:ind w:left="7677" w:hanging="850"/>
      </w:pPr>
      <w:rPr>
        <w:rFonts w:hint="default"/>
      </w:rPr>
    </w:lvl>
    <w:lvl w:ilvl="8">
      <w:start w:val="0"/>
      <w:numFmt w:val="bullet"/>
      <w:lvlText w:val="•"/>
      <w:lvlJc w:val="left"/>
      <w:pPr>
        <w:ind w:left="8380" w:hanging="850"/>
      </w:pPr>
      <w:rPr>
        <w:rFonts w:hint="default"/>
      </w:rPr>
    </w:lvl>
  </w:abstractNum>
  <w:abstractNum w:abstractNumId="9">
    <w:multiLevelType w:val="hybridMultilevel"/>
    <w:lvl w:ilvl="0">
      <w:start w:val="3"/>
      <w:numFmt w:val="decimal"/>
      <w:lvlText w:val="%1"/>
      <w:lvlJc w:val="left"/>
      <w:pPr>
        <w:ind w:left="2768" w:hanging="850"/>
        <w:jc w:val="left"/>
      </w:pPr>
      <w:rPr>
        <w:rFonts w:hint="default"/>
      </w:rPr>
    </w:lvl>
    <w:lvl w:ilvl="1">
      <w:start w:val="4"/>
      <w:numFmt w:val="decimal"/>
      <w:lvlText w:val="%1.%2"/>
      <w:lvlJc w:val="left"/>
      <w:pPr>
        <w:ind w:left="2768" w:hanging="850"/>
        <w:jc w:val="left"/>
      </w:pPr>
      <w:rPr>
        <w:rFonts w:hint="default" w:ascii="宋体" w:hAnsi="宋体" w:eastAsia="宋体" w:cs="宋体"/>
        <w:b/>
        <w:bCs/>
        <w:w w:val="99"/>
        <w:sz w:val="21"/>
        <w:szCs w:val="21"/>
      </w:rPr>
    </w:lvl>
    <w:lvl w:ilvl="2">
      <w:start w:val="0"/>
      <w:numFmt w:val="bullet"/>
      <w:lvlText w:val="•"/>
      <w:lvlJc w:val="left"/>
      <w:pPr>
        <w:ind w:left="4165" w:hanging="850"/>
      </w:pPr>
      <w:rPr>
        <w:rFonts w:hint="default"/>
      </w:rPr>
    </w:lvl>
    <w:lvl w:ilvl="3">
      <w:start w:val="0"/>
      <w:numFmt w:val="bullet"/>
      <w:lvlText w:val="•"/>
      <w:lvlJc w:val="left"/>
      <w:pPr>
        <w:ind w:left="4867" w:hanging="850"/>
      </w:pPr>
      <w:rPr>
        <w:rFonts w:hint="default"/>
      </w:rPr>
    </w:lvl>
    <w:lvl w:ilvl="4">
      <w:start w:val="0"/>
      <w:numFmt w:val="bullet"/>
      <w:lvlText w:val="•"/>
      <w:lvlJc w:val="left"/>
      <w:pPr>
        <w:ind w:left="5570" w:hanging="850"/>
      </w:pPr>
      <w:rPr>
        <w:rFonts w:hint="default"/>
      </w:rPr>
    </w:lvl>
    <w:lvl w:ilvl="5">
      <w:start w:val="0"/>
      <w:numFmt w:val="bullet"/>
      <w:lvlText w:val="•"/>
      <w:lvlJc w:val="left"/>
      <w:pPr>
        <w:ind w:left="6272" w:hanging="850"/>
      </w:pPr>
      <w:rPr>
        <w:rFonts w:hint="default"/>
      </w:rPr>
    </w:lvl>
    <w:lvl w:ilvl="6">
      <w:start w:val="0"/>
      <w:numFmt w:val="bullet"/>
      <w:lvlText w:val="•"/>
      <w:lvlJc w:val="left"/>
      <w:pPr>
        <w:ind w:left="6975" w:hanging="850"/>
      </w:pPr>
      <w:rPr>
        <w:rFonts w:hint="default"/>
      </w:rPr>
    </w:lvl>
    <w:lvl w:ilvl="7">
      <w:start w:val="0"/>
      <w:numFmt w:val="bullet"/>
      <w:lvlText w:val="•"/>
      <w:lvlJc w:val="left"/>
      <w:pPr>
        <w:ind w:left="7677" w:hanging="850"/>
      </w:pPr>
      <w:rPr>
        <w:rFonts w:hint="default"/>
      </w:rPr>
    </w:lvl>
    <w:lvl w:ilvl="8">
      <w:start w:val="0"/>
      <w:numFmt w:val="bullet"/>
      <w:lvlText w:val="•"/>
      <w:lvlJc w:val="left"/>
      <w:pPr>
        <w:ind w:left="8380" w:hanging="850"/>
      </w:pPr>
      <w:rPr>
        <w:rFonts w:hint="default"/>
      </w:rPr>
    </w:lvl>
  </w:abstractNum>
  <w:abstractNum w:abstractNumId="8">
    <w:multiLevelType w:val="hybridMultilevel"/>
    <w:lvl w:ilvl="0">
      <w:start w:val="0"/>
      <w:numFmt w:val="bullet"/>
      <w:lvlText w:val=""/>
      <w:lvlJc w:val="left"/>
      <w:pPr>
        <w:ind w:left="1067" w:hanging="850"/>
      </w:pPr>
      <w:rPr>
        <w:rFonts w:hint="default" w:ascii="Wingdings" w:hAnsi="Wingdings" w:eastAsia="Wingdings" w:cs="Wingdings"/>
        <w:b/>
        <w:bCs/>
        <w:w w:val="154"/>
        <w:position w:val="-3"/>
        <w:sz w:val="40"/>
        <w:szCs w:val="40"/>
      </w:rPr>
    </w:lvl>
    <w:lvl w:ilvl="1">
      <w:start w:val="0"/>
      <w:numFmt w:val="bullet"/>
      <w:lvlText w:val="•"/>
      <w:lvlJc w:val="left"/>
      <w:pPr>
        <w:ind w:left="1932" w:hanging="850"/>
      </w:pPr>
      <w:rPr>
        <w:rFonts w:hint="default"/>
      </w:rPr>
    </w:lvl>
    <w:lvl w:ilvl="2">
      <w:start w:val="0"/>
      <w:numFmt w:val="bullet"/>
      <w:lvlText w:val="•"/>
      <w:lvlJc w:val="left"/>
      <w:pPr>
        <w:ind w:left="2805" w:hanging="850"/>
      </w:pPr>
      <w:rPr>
        <w:rFonts w:hint="default"/>
      </w:rPr>
    </w:lvl>
    <w:lvl w:ilvl="3">
      <w:start w:val="0"/>
      <w:numFmt w:val="bullet"/>
      <w:lvlText w:val="•"/>
      <w:lvlJc w:val="left"/>
      <w:pPr>
        <w:ind w:left="3677" w:hanging="850"/>
      </w:pPr>
      <w:rPr>
        <w:rFonts w:hint="default"/>
      </w:rPr>
    </w:lvl>
    <w:lvl w:ilvl="4">
      <w:start w:val="0"/>
      <w:numFmt w:val="bullet"/>
      <w:lvlText w:val="•"/>
      <w:lvlJc w:val="left"/>
      <w:pPr>
        <w:ind w:left="4550" w:hanging="850"/>
      </w:pPr>
      <w:rPr>
        <w:rFonts w:hint="default"/>
      </w:rPr>
    </w:lvl>
    <w:lvl w:ilvl="5">
      <w:start w:val="0"/>
      <w:numFmt w:val="bullet"/>
      <w:lvlText w:val="•"/>
      <w:lvlJc w:val="left"/>
      <w:pPr>
        <w:ind w:left="5422" w:hanging="850"/>
      </w:pPr>
      <w:rPr>
        <w:rFonts w:hint="default"/>
      </w:rPr>
    </w:lvl>
    <w:lvl w:ilvl="6">
      <w:start w:val="0"/>
      <w:numFmt w:val="bullet"/>
      <w:lvlText w:val="•"/>
      <w:lvlJc w:val="left"/>
      <w:pPr>
        <w:ind w:left="6295" w:hanging="850"/>
      </w:pPr>
      <w:rPr>
        <w:rFonts w:hint="default"/>
      </w:rPr>
    </w:lvl>
    <w:lvl w:ilvl="7">
      <w:start w:val="0"/>
      <w:numFmt w:val="bullet"/>
      <w:lvlText w:val="•"/>
      <w:lvlJc w:val="left"/>
      <w:pPr>
        <w:ind w:left="7167" w:hanging="850"/>
      </w:pPr>
      <w:rPr>
        <w:rFonts w:hint="default"/>
      </w:rPr>
    </w:lvl>
    <w:lvl w:ilvl="8">
      <w:start w:val="0"/>
      <w:numFmt w:val="bullet"/>
      <w:lvlText w:val="•"/>
      <w:lvlJc w:val="left"/>
      <w:pPr>
        <w:ind w:left="8040" w:hanging="850"/>
      </w:pPr>
      <w:rPr>
        <w:rFonts w:hint="default"/>
      </w:rPr>
    </w:lvl>
  </w:abstractNum>
  <w:abstractNum w:abstractNumId="7">
    <w:multiLevelType w:val="hybridMultilevel"/>
    <w:lvl w:ilvl="0">
      <w:start w:val="2"/>
      <w:numFmt w:val="decimal"/>
      <w:lvlText w:val="%1"/>
      <w:lvlJc w:val="left"/>
      <w:pPr>
        <w:ind w:left="2768" w:hanging="850"/>
        <w:jc w:val="left"/>
      </w:pPr>
      <w:rPr>
        <w:rFonts w:hint="default"/>
      </w:rPr>
    </w:lvl>
    <w:lvl w:ilvl="1">
      <w:start w:val="1"/>
      <w:numFmt w:val="decimal"/>
      <w:lvlText w:val="%1.%2"/>
      <w:lvlJc w:val="left"/>
      <w:pPr>
        <w:ind w:left="2768" w:hanging="850"/>
        <w:jc w:val="left"/>
      </w:pPr>
      <w:rPr>
        <w:rFonts w:hint="default" w:ascii="宋体" w:hAnsi="宋体" w:eastAsia="宋体" w:cs="宋体"/>
        <w:b/>
        <w:bCs/>
        <w:w w:val="99"/>
        <w:sz w:val="21"/>
        <w:szCs w:val="21"/>
      </w:rPr>
    </w:lvl>
    <w:lvl w:ilvl="2">
      <w:start w:val="1"/>
      <w:numFmt w:val="decimal"/>
      <w:lvlText w:val="（%3）"/>
      <w:lvlJc w:val="left"/>
      <w:pPr>
        <w:ind w:left="3488" w:hanging="720"/>
        <w:jc w:val="left"/>
      </w:pPr>
      <w:rPr>
        <w:rFonts w:hint="default" w:ascii="黑体" w:hAnsi="黑体" w:eastAsia="黑体" w:cs="黑体"/>
        <w:w w:val="100"/>
        <w:sz w:val="21"/>
        <w:szCs w:val="21"/>
      </w:rPr>
    </w:lvl>
    <w:lvl w:ilvl="3">
      <w:start w:val="0"/>
      <w:numFmt w:val="bullet"/>
      <w:lvlText w:val="•"/>
      <w:lvlJc w:val="left"/>
      <w:pPr>
        <w:ind w:left="4881" w:hanging="720"/>
      </w:pPr>
      <w:rPr>
        <w:rFonts w:hint="default"/>
      </w:rPr>
    </w:lvl>
    <w:lvl w:ilvl="4">
      <w:start w:val="0"/>
      <w:numFmt w:val="bullet"/>
      <w:lvlText w:val="•"/>
      <w:lvlJc w:val="left"/>
      <w:pPr>
        <w:ind w:left="5581" w:hanging="720"/>
      </w:pPr>
      <w:rPr>
        <w:rFonts w:hint="default"/>
      </w:rPr>
    </w:lvl>
    <w:lvl w:ilvl="5">
      <w:start w:val="0"/>
      <w:numFmt w:val="bullet"/>
      <w:lvlText w:val="•"/>
      <w:lvlJc w:val="left"/>
      <w:pPr>
        <w:ind w:left="6282" w:hanging="720"/>
      </w:pPr>
      <w:rPr>
        <w:rFonts w:hint="default"/>
      </w:rPr>
    </w:lvl>
    <w:lvl w:ilvl="6">
      <w:start w:val="0"/>
      <w:numFmt w:val="bullet"/>
      <w:lvlText w:val="•"/>
      <w:lvlJc w:val="left"/>
      <w:pPr>
        <w:ind w:left="6983" w:hanging="720"/>
      </w:pPr>
      <w:rPr>
        <w:rFonts w:hint="default"/>
      </w:rPr>
    </w:lvl>
    <w:lvl w:ilvl="7">
      <w:start w:val="0"/>
      <w:numFmt w:val="bullet"/>
      <w:lvlText w:val="•"/>
      <w:lvlJc w:val="left"/>
      <w:pPr>
        <w:ind w:left="7683" w:hanging="720"/>
      </w:pPr>
      <w:rPr>
        <w:rFonts w:hint="default"/>
      </w:rPr>
    </w:lvl>
    <w:lvl w:ilvl="8">
      <w:start w:val="0"/>
      <w:numFmt w:val="bullet"/>
      <w:lvlText w:val="•"/>
      <w:lvlJc w:val="left"/>
      <w:pPr>
        <w:ind w:left="8384" w:hanging="720"/>
      </w:pPr>
      <w:rPr>
        <w:rFonts w:hint="default"/>
      </w:rPr>
    </w:lvl>
  </w:abstractNum>
  <w:abstractNum w:abstractNumId="6">
    <w:multiLevelType w:val="hybridMultilevel"/>
    <w:lvl w:ilvl="0">
      <w:start w:val="0"/>
      <w:numFmt w:val="bullet"/>
      <w:lvlText w:val=""/>
      <w:lvlJc w:val="left"/>
      <w:pPr>
        <w:ind w:left="1067" w:hanging="850"/>
      </w:pPr>
      <w:rPr>
        <w:rFonts w:hint="default" w:ascii="Wingdings" w:hAnsi="Wingdings" w:eastAsia="Wingdings" w:cs="Wingdings"/>
        <w:b/>
        <w:bCs/>
        <w:w w:val="100"/>
        <w:position w:val="-3"/>
        <w:sz w:val="40"/>
        <w:szCs w:val="40"/>
      </w:rPr>
    </w:lvl>
    <w:lvl w:ilvl="1">
      <w:start w:val="0"/>
      <w:numFmt w:val="bullet"/>
      <w:lvlText w:val="•"/>
      <w:lvlJc w:val="left"/>
      <w:pPr>
        <w:ind w:left="1932" w:hanging="850"/>
      </w:pPr>
      <w:rPr>
        <w:rFonts w:hint="default"/>
      </w:rPr>
    </w:lvl>
    <w:lvl w:ilvl="2">
      <w:start w:val="0"/>
      <w:numFmt w:val="bullet"/>
      <w:lvlText w:val="•"/>
      <w:lvlJc w:val="left"/>
      <w:pPr>
        <w:ind w:left="2805" w:hanging="850"/>
      </w:pPr>
      <w:rPr>
        <w:rFonts w:hint="default"/>
      </w:rPr>
    </w:lvl>
    <w:lvl w:ilvl="3">
      <w:start w:val="0"/>
      <w:numFmt w:val="bullet"/>
      <w:lvlText w:val="•"/>
      <w:lvlJc w:val="left"/>
      <w:pPr>
        <w:ind w:left="3677" w:hanging="850"/>
      </w:pPr>
      <w:rPr>
        <w:rFonts w:hint="default"/>
      </w:rPr>
    </w:lvl>
    <w:lvl w:ilvl="4">
      <w:start w:val="0"/>
      <w:numFmt w:val="bullet"/>
      <w:lvlText w:val="•"/>
      <w:lvlJc w:val="left"/>
      <w:pPr>
        <w:ind w:left="4550" w:hanging="850"/>
      </w:pPr>
      <w:rPr>
        <w:rFonts w:hint="default"/>
      </w:rPr>
    </w:lvl>
    <w:lvl w:ilvl="5">
      <w:start w:val="0"/>
      <w:numFmt w:val="bullet"/>
      <w:lvlText w:val="•"/>
      <w:lvlJc w:val="left"/>
      <w:pPr>
        <w:ind w:left="5422" w:hanging="850"/>
      </w:pPr>
      <w:rPr>
        <w:rFonts w:hint="default"/>
      </w:rPr>
    </w:lvl>
    <w:lvl w:ilvl="6">
      <w:start w:val="0"/>
      <w:numFmt w:val="bullet"/>
      <w:lvlText w:val="•"/>
      <w:lvlJc w:val="left"/>
      <w:pPr>
        <w:ind w:left="6295" w:hanging="850"/>
      </w:pPr>
      <w:rPr>
        <w:rFonts w:hint="default"/>
      </w:rPr>
    </w:lvl>
    <w:lvl w:ilvl="7">
      <w:start w:val="0"/>
      <w:numFmt w:val="bullet"/>
      <w:lvlText w:val="•"/>
      <w:lvlJc w:val="left"/>
      <w:pPr>
        <w:ind w:left="7167" w:hanging="850"/>
      </w:pPr>
      <w:rPr>
        <w:rFonts w:hint="default"/>
      </w:rPr>
    </w:lvl>
    <w:lvl w:ilvl="8">
      <w:start w:val="0"/>
      <w:numFmt w:val="bullet"/>
      <w:lvlText w:val="•"/>
      <w:lvlJc w:val="left"/>
      <w:pPr>
        <w:ind w:left="8040" w:hanging="850"/>
      </w:pPr>
      <w:rPr>
        <w:rFonts w:hint="default"/>
      </w:rPr>
    </w:lvl>
  </w:abstractNum>
  <w:abstractNum w:abstractNumId="5">
    <w:multiLevelType w:val="hybridMultilevel"/>
    <w:lvl w:ilvl="0">
      <w:start w:val="1"/>
      <w:numFmt w:val="decimal"/>
      <w:lvlText w:val="%1"/>
      <w:lvlJc w:val="left"/>
      <w:pPr>
        <w:ind w:left="2768" w:hanging="850"/>
        <w:jc w:val="left"/>
      </w:pPr>
      <w:rPr>
        <w:rFonts w:hint="default"/>
      </w:rPr>
    </w:lvl>
    <w:lvl w:ilvl="1">
      <w:start w:val="1"/>
      <w:numFmt w:val="decimal"/>
      <w:lvlText w:val="%1.%2"/>
      <w:lvlJc w:val="left"/>
      <w:pPr>
        <w:ind w:left="2768" w:hanging="850"/>
        <w:jc w:val="left"/>
      </w:pPr>
      <w:rPr>
        <w:rFonts w:hint="default" w:ascii="宋体" w:hAnsi="宋体" w:eastAsia="宋体" w:cs="宋体"/>
        <w:b/>
        <w:bCs/>
        <w:w w:val="99"/>
        <w:sz w:val="21"/>
        <w:szCs w:val="21"/>
      </w:rPr>
    </w:lvl>
    <w:lvl w:ilvl="2">
      <w:start w:val="0"/>
      <w:numFmt w:val="bullet"/>
      <w:lvlText w:val="•"/>
      <w:lvlJc w:val="left"/>
      <w:pPr>
        <w:ind w:left="4165" w:hanging="850"/>
      </w:pPr>
      <w:rPr>
        <w:rFonts w:hint="default"/>
      </w:rPr>
    </w:lvl>
    <w:lvl w:ilvl="3">
      <w:start w:val="0"/>
      <w:numFmt w:val="bullet"/>
      <w:lvlText w:val="•"/>
      <w:lvlJc w:val="left"/>
      <w:pPr>
        <w:ind w:left="4867" w:hanging="850"/>
      </w:pPr>
      <w:rPr>
        <w:rFonts w:hint="default"/>
      </w:rPr>
    </w:lvl>
    <w:lvl w:ilvl="4">
      <w:start w:val="0"/>
      <w:numFmt w:val="bullet"/>
      <w:lvlText w:val="•"/>
      <w:lvlJc w:val="left"/>
      <w:pPr>
        <w:ind w:left="5570" w:hanging="850"/>
      </w:pPr>
      <w:rPr>
        <w:rFonts w:hint="default"/>
      </w:rPr>
    </w:lvl>
    <w:lvl w:ilvl="5">
      <w:start w:val="0"/>
      <w:numFmt w:val="bullet"/>
      <w:lvlText w:val="•"/>
      <w:lvlJc w:val="left"/>
      <w:pPr>
        <w:ind w:left="6272" w:hanging="850"/>
      </w:pPr>
      <w:rPr>
        <w:rFonts w:hint="default"/>
      </w:rPr>
    </w:lvl>
    <w:lvl w:ilvl="6">
      <w:start w:val="0"/>
      <w:numFmt w:val="bullet"/>
      <w:lvlText w:val="•"/>
      <w:lvlJc w:val="left"/>
      <w:pPr>
        <w:ind w:left="6975" w:hanging="850"/>
      </w:pPr>
      <w:rPr>
        <w:rFonts w:hint="default"/>
      </w:rPr>
    </w:lvl>
    <w:lvl w:ilvl="7">
      <w:start w:val="0"/>
      <w:numFmt w:val="bullet"/>
      <w:lvlText w:val="•"/>
      <w:lvlJc w:val="left"/>
      <w:pPr>
        <w:ind w:left="7677" w:hanging="850"/>
      </w:pPr>
      <w:rPr>
        <w:rFonts w:hint="default"/>
      </w:rPr>
    </w:lvl>
    <w:lvl w:ilvl="8">
      <w:start w:val="0"/>
      <w:numFmt w:val="bullet"/>
      <w:lvlText w:val="•"/>
      <w:lvlJc w:val="left"/>
      <w:pPr>
        <w:ind w:left="8380" w:hanging="850"/>
      </w:pPr>
      <w:rPr>
        <w:rFonts w:hint="default"/>
      </w:rPr>
    </w:lvl>
  </w:abstractNum>
  <w:abstractNum w:abstractNumId="4">
    <w:multiLevelType w:val="hybridMultilevel"/>
    <w:lvl w:ilvl="0">
      <w:start w:val="0"/>
      <w:numFmt w:val="bullet"/>
      <w:lvlText w:val=""/>
      <w:lvlJc w:val="left"/>
      <w:pPr>
        <w:ind w:left="1067" w:hanging="850"/>
      </w:pPr>
      <w:rPr>
        <w:rFonts w:hint="default" w:ascii="Wingdings" w:hAnsi="Wingdings" w:eastAsia="Wingdings" w:cs="Wingdings"/>
        <w:b/>
        <w:bCs/>
        <w:w w:val="90"/>
        <w:position w:val="-3"/>
        <w:sz w:val="40"/>
        <w:szCs w:val="40"/>
      </w:rPr>
    </w:lvl>
    <w:lvl w:ilvl="1">
      <w:start w:val="0"/>
      <w:numFmt w:val="bullet"/>
      <w:lvlText w:val="•"/>
      <w:lvlJc w:val="left"/>
      <w:pPr>
        <w:ind w:left="1932" w:hanging="850"/>
      </w:pPr>
      <w:rPr>
        <w:rFonts w:hint="default"/>
      </w:rPr>
    </w:lvl>
    <w:lvl w:ilvl="2">
      <w:start w:val="0"/>
      <w:numFmt w:val="bullet"/>
      <w:lvlText w:val="•"/>
      <w:lvlJc w:val="left"/>
      <w:pPr>
        <w:ind w:left="2805" w:hanging="850"/>
      </w:pPr>
      <w:rPr>
        <w:rFonts w:hint="default"/>
      </w:rPr>
    </w:lvl>
    <w:lvl w:ilvl="3">
      <w:start w:val="0"/>
      <w:numFmt w:val="bullet"/>
      <w:lvlText w:val="•"/>
      <w:lvlJc w:val="left"/>
      <w:pPr>
        <w:ind w:left="3677" w:hanging="850"/>
      </w:pPr>
      <w:rPr>
        <w:rFonts w:hint="default"/>
      </w:rPr>
    </w:lvl>
    <w:lvl w:ilvl="4">
      <w:start w:val="0"/>
      <w:numFmt w:val="bullet"/>
      <w:lvlText w:val="•"/>
      <w:lvlJc w:val="left"/>
      <w:pPr>
        <w:ind w:left="4550" w:hanging="850"/>
      </w:pPr>
      <w:rPr>
        <w:rFonts w:hint="default"/>
      </w:rPr>
    </w:lvl>
    <w:lvl w:ilvl="5">
      <w:start w:val="0"/>
      <w:numFmt w:val="bullet"/>
      <w:lvlText w:val="•"/>
      <w:lvlJc w:val="left"/>
      <w:pPr>
        <w:ind w:left="5422" w:hanging="850"/>
      </w:pPr>
      <w:rPr>
        <w:rFonts w:hint="default"/>
      </w:rPr>
    </w:lvl>
    <w:lvl w:ilvl="6">
      <w:start w:val="0"/>
      <w:numFmt w:val="bullet"/>
      <w:lvlText w:val="•"/>
      <w:lvlJc w:val="left"/>
      <w:pPr>
        <w:ind w:left="6295" w:hanging="850"/>
      </w:pPr>
      <w:rPr>
        <w:rFonts w:hint="default"/>
      </w:rPr>
    </w:lvl>
    <w:lvl w:ilvl="7">
      <w:start w:val="0"/>
      <w:numFmt w:val="bullet"/>
      <w:lvlText w:val="•"/>
      <w:lvlJc w:val="left"/>
      <w:pPr>
        <w:ind w:left="7167" w:hanging="850"/>
      </w:pPr>
      <w:rPr>
        <w:rFonts w:hint="default"/>
      </w:rPr>
    </w:lvl>
    <w:lvl w:ilvl="8">
      <w:start w:val="0"/>
      <w:numFmt w:val="bullet"/>
      <w:lvlText w:val="•"/>
      <w:lvlJc w:val="left"/>
      <w:pPr>
        <w:ind w:left="8040" w:hanging="850"/>
      </w:pPr>
      <w:rPr>
        <w:rFonts w:hint="default"/>
      </w:rPr>
    </w:lvl>
  </w:abstractNum>
  <w:abstractNum w:abstractNumId="3">
    <w:multiLevelType w:val="hybridMultilevel"/>
    <w:lvl w:ilvl="0">
      <w:start w:val="6"/>
      <w:numFmt w:val="decimal"/>
      <w:lvlText w:val="%1"/>
      <w:lvlJc w:val="left"/>
      <w:pPr>
        <w:ind w:left="872" w:hanging="526"/>
        <w:jc w:val="left"/>
      </w:pPr>
      <w:rPr>
        <w:rFonts w:hint="default"/>
      </w:rPr>
    </w:lvl>
    <w:lvl w:ilvl="1">
      <w:start w:val="18"/>
      <w:numFmt w:val="decimal"/>
      <w:lvlText w:val="%1.%2"/>
      <w:lvlJc w:val="left"/>
      <w:pPr>
        <w:ind w:left="872" w:hanging="526"/>
        <w:jc w:val="left"/>
      </w:pPr>
      <w:rPr>
        <w:rFonts w:hint="default" w:ascii="宋体" w:hAnsi="宋体" w:eastAsia="宋体" w:cs="宋体"/>
        <w:w w:val="100"/>
        <w:sz w:val="21"/>
        <w:szCs w:val="21"/>
      </w:rPr>
    </w:lvl>
    <w:lvl w:ilvl="2">
      <w:start w:val="0"/>
      <w:numFmt w:val="bullet"/>
      <w:lvlText w:val="•"/>
      <w:lvlJc w:val="left"/>
      <w:pPr>
        <w:ind w:left="1520" w:hanging="526"/>
      </w:pPr>
      <w:rPr>
        <w:rFonts w:hint="default"/>
      </w:rPr>
    </w:lvl>
    <w:lvl w:ilvl="3">
      <w:start w:val="0"/>
      <w:numFmt w:val="bullet"/>
      <w:lvlText w:val="•"/>
      <w:lvlJc w:val="left"/>
      <w:pPr>
        <w:ind w:left="1840" w:hanging="526"/>
      </w:pPr>
      <w:rPr>
        <w:rFonts w:hint="default"/>
      </w:rPr>
    </w:lvl>
    <w:lvl w:ilvl="4">
      <w:start w:val="0"/>
      <w:numFmt w:val="bullet"/>
      <w:lvlText w:val="•"/>
      <w:lvlJc w:val="left"/>
      <w:pPr>
        <w:ind w:left="2161" w:hanging="526"/>
      </w:pPr>
      <w:rPr>
        <w:rFonts w:hint="default"/>
      </w:rPr>
    </w:lvl>
    <w:lvl w:ilvl="5">
      <w:start w:val="0"/>
      <w:numFmt w:val="bullet"/>
      <w:lvlText w:val="•"/>
      <w:lvlJc w:val="left"/>
      <w:pPr>
        <w:ind w:left="2481" w:hanging="526"/>
      </w:pPr>
      <w:rPr>
        <w:rFonts w:hint="default"/>
      </w:rPr>
    </w:lvl>
    <w:lvl w:ilvl="6">
      <w:start w:val="0"/>
      <w:numFmt w:val="bullet"/>
      <w:lvlText w:val="•"/>
      <w:lvlJc w:val="left"/>
      <w:pPr>
        <w:ind w:left="2801" w:hanging="526"/>
      </w:pPr>
      <w:rPr>
        <w:rFonts w:hint="default"/>
      </w:rPr>
    </w:lvl>
    <w:lvl w:ilvl="7">
      <w:start w:val="0"/>
      <w:numFmt w:val="bullet"/>
      <w:lvlText w:val="•"/>
      <w:lvlJc w:val="left"/>
      <w:pPr>
        <w:ind w:left="3122" w:hanging="526"/>
      </w:pPr>
      <w:rPr>
        <w:rFonts w:hint="default"/>
      </w:rPr>
    </w:lvl>
    <w:lvl w:ilvl="8">
      <w:start w:val="0"/>
      <w:numFmt w:val="bullet"/>
      <w:lvlText w:val="•"/>
      <w:lvlJc w:val="left"/>
      <w:pPr>
        <w:ind w:left="3442" w:hanging="526"/>
      </w:pPr>
      <w:rPr>
        <w:rFonts w:hint="default"/>
      </w:rPr>
    </w:lvl>
  </w:abstractNum>
  <w:abstractNum w:abstractNumId="2">
    <w:multiLevelType w:val="hybridMultilevel"/>
    <w:lvl w:ilvl="0">
      <w:start w:val="6"/>
      <w:numFmt w:val="decimal"/>
      <w:lvlText w:val="%1"/>
      <w:lvlJc w:val="left"/>
      <w:pPr>
        <w:ind w:left="872" w:hanging="526"/>
        <w:jc w:val="left"/>
      </w:pPr>
      <w:rPr>
        <w:rFonts w:hint="default"/>
      </w:rPr>
    </w:lvl>
    <w:lvl w:ilvl="1">
      <w:start w:val="12"/>
      <w:numFmt w:val="decimal"/>
      <w:lvlText w:val="%1.%2"/>
      <w:lvlJc w:val="left"/>
      <w:pPr>
        <w:ind w:left="872" w:hanging="526"/>
        <w:jc w:val="left"/>
      </w:pPr>
      <w:rPr>
        <w:rFonts w:hint="default" w:ascii="宋体" w:hAnsi="宋体" w:eastAsia="宋体" w:cs="宋体"/>
        <w:w w:val="100"/>
        <w:sz w:val="21"/>
        <w:szCs w:val="21"/>
      </w:rPr>
    </w:lvl>
    <w:lvl w:ilvl="2">
      <w:start w:val="0"/>
      <w:numFmt w:val="bullet"/>
      <w:lvlText w:val="•"/>
      <w:lvlJc w:val="left"/>
      <w:pPr>
        <w:ind w:left="1520" w:hanging="526"/>
      </w:pPr>
      <w:rPr>
        <w:rFonts w:hint="default"/>
      </w:rPr>
    </w:lvl>
    <w:lvl w:ilvl="3">
      <w:start w:val="0"/>
      <w:numFmt w:val="bullet"/>
      <w:lvlText w:val="•"/>
      <w:lvlJc w:val="left"/>
      <w:pPr>
        <w:ind w:left="1840" w:hanging="526"/>
      </w:pPr>
      <w:rPr>
        <w:rFonts w:hint="default"/>
      </w:rPr>
    </w:lvl>
    <w:lvl w:ilvl="4">
      <w:start w:val="0"/>
      <w:numFmt w:val="bullet"/>
      <w:lvlText w:val="•"/>
      <w:lvlJc w:val="left"/>
      <w:pPr>
        <w:ind w:left="2161" w:hanging="526"/>
      </w:pPr>
      <w:rPr>
        <w:rFonts w:hint="default"/>
      </w:rPr>
    </w:lvl>
    <w:lvl w:ilvl="5">
      <w:start w:val="0"/>
      <w:numFmt w:val="bullet"/>
      <w:lvlText w:val="•"/>
      <w:lvlJc w:val="left"/>
      <w:pPr>
        <w:ind w:left="2481" w:hanging="526"/>
      </w:pPr>
      <w:rPr>
        <w:rFonts w:hint="default"/>
      </w:rPr>
    </w:lvl>
    <w:lvl w:ilvl="6">
      <w:start w:val="0"/>
      <w:numFmt w:val="bullet"/>
      <w:lvlText w:val="•"/>
      <w:lvlJc w:val="left"/>
      <w:pPr>
        <w:ind w:left="2801" w:hanging="526"/>
      </w:pPr>
      <w:rPr>
        <w:rFonts w:hint="default"/>
      </w:rPr>
    </w:lvl>
    <w:lvl w:ilvl="7">
      <w:start w:val="0"/>
      <w:numFmt w:val="bullet"/>
      <w:lvlText w:val="•"/>
      <w:lvlJc w:val="left"/>
      <w:pPr>
        <w:ind w:left="3122" w:hanging="526"/>
      </w:pPr>
      <w:rPr>
        <w:rFonts w:hint="default"/>
      </w:rPr>
    </w:lvl>
    <w:lvl w:ilvl="8">
      <w:start w:val="0"/>
      <w:numFmt w:val="bullet"/>
      <w:lvlText w:val="•"/>
      <w:lvlJc w:val="left"/>
      <w:pPr>
        <w:ind w:left="3442" w:hanging="526"/>
      </w:pPr>
      <w:rPr>
        <w:rFonts w:hint="default"/>
      </w:rPr>
    </w:lvl>
  </w:abstractNum>
  <w:abstractNum w:abstractNumId="1">
    <w:multiLevelType w:val="hybridMultilevel"/>
    <w:lvl w:ilvl="0">
      <w:start w:val="4"/>
      <w:numFmt w:val="decimal"/>
      <w:lvlText w:val="%1."/>
      <w:lvlJc w:val="left"/>
      <w:pPr>
        <w:ind w:left="664" w:hanging="317"/>
        <w:jc w:val="right"/>
      </w:pPr>
      <w:rPr>
        <w:rFonts w:hint="default" w:ascii="宋体" w:hAnsi="宋体" w:eastAsia="宋体" w:cs="宋体"/>
        <w:b/>
        <w:bCs/>
        <w:w w:val="99"/>
        <w:sz w:val="21"/>
        <w:szCs w:val="21"/>
      </w:rPr>
    </w:lvl>
    <w:lvl w:ilvl="1">
      <w:start w:val="1"/>
      <w:numFmt w:val="decimal"/>
      <w:lvlText w:val="%1.%2"/>
      <w:lvlJc w:val="left"/>
      <w:pPr>
        <w:ind w:left="776" w:hanging="423"/>
        <w:jc w:val="left"/>
      </w:pPr>
      <w:rPr>
        <w:rFonts w:hint="default" w:ascii="宋体" w:hAnsi="宋体" w:eastAsia="宋体" w:cs="宋体"/>
        <w:w w:val="100"/>
        <w:sz w:val="21"/>
        <w:szCs w:val="21"/>
      </w:rPr>
    </w:lvl>
    <w:lvl w:ilvl="2">
      <w:start w:val="0"/>
      <w:numFmt w:val="bullet"/>
      <w:lvlText w:val="•"/>
      <w:lvlJc w:val="left"/>
      <w:pPr>
        <w:ind w:left="880" w:hanging="423"/>
      </w:pPr>
      <w:rPr>
        <w:rFonts w:hint="default"/>
      </w:rPr>
    </w:lvl>
    <w:lvl w:ilvl="3">
      <w:start w:val="0"/>
      <w:numFmt w:val="bullet"/>
      <w:lvlText w:val="•"/>
      <w:lvlJc w:val="left"/>
      <w:pPr>
        <w:ind w:left="919" w:hanging="423"/>
      </w:pPr>
      <w:rPr>
        <w:rFonts w:hint="default"/>
      </w:rPr>
    </w:lvl>
    <w:lvl w:ilvl="4">
      <w:start w:val="0"/>
      <w:numFmt w:val="bullet"/>
      <w:lvlText w:val="•"/>
      <w:lvlJc w:val="left"/>
      <w:pPr>
        <w:ind w:left="959" w:hanging="423"/>
      </w:pPr>
      <w:rPr>
        <w:rFonts w:hint="default"/>
      </w:rPr>
    </w:lvl>
    <w:lvl w:ilvl="5">
      <w:start w:val="0"/>
      <w:numFmt w:val="bullet"/>
      <w:lvlText w:val="•"/>
      <w:lvlJc w:val="left"/>
      <w:pPr>
        <w:ind w:left="998" w:hanging="423"/>
      </w:pPr>
      <w:rPr>
        <w:rFonts w:hint="default"/>
      </w:rPr>
    </w:lvl>
    <w:lvl w:ilvl="6">
      <w:start w:val="0"/>
      <w:numFmt w:val="bullet"/>
      <w:lvlText w:val="•"/>
      <w:lvlJc w:val="left"/>
      <w:pPr>
        <w:ind w:left="1038" w:hanging="423"/>
      </w:pPr>
      <w:rPr>
        <w:rFonts w:hint="default"/>
      </w:rPr>
    </w:lvl>
    <w:lvl w:ilvl="7">
      <w:start w:val="0"/>
      <w:numFmt w:val="bullet"/>
      <w:lvlText w:val="•"/>
      <w:lvlJc w:val="left"/>
      <w:pPr>
        <w:ind w:left="1077" w:hanging="423"/>
      </w:pPr>
      <w:rPr>
        <w:rFonts w:hint="default"/>
      </w:rPr>
    </w:lvl>
    <w:lvl w:ilvl="8">
      <w:start w:val="0"/>
      <w:numFmt w:val="bullet"/>
      <w:lvlText w:val="•"/>
      <w:lvlJc w:val="left"/>
      <w:pPr>
        <w:ind w:left="1117" w:hanging="423"/>
      </w:pPr>
      <w:rPr>
        <w:rFonts w:hint="default"/>
      </w:rPr>
    </w:lvl>
  </w:abstractNum>
  <w:abstractNum w:abstractNumId="0">
    <w:multiLevelType w:val="hybridMultilevel"/>
    <w:lvl w:ilvl="0">
      <w:start w:val="0"/>
      <w:numFmt w:val="bullet"/>
      <w:lvlText w:val=""/>
      <w:lvlJc w:val="left"/>
      <w:pPr>
        <w:ind w:left="1268" w:hanging="396"/>
      </w:pPr>
      <w:rPr>
        <w:rFonts w:hint="default" w:ascii="Wingdings" w:hAnsi="Wingdings" w:eastAsia="Wingdings" w:cs="Wingdings"/>
        <w:w w:val="100"/>
        <w:sz w:val="21"/>
        <w:szCs w:val="21"/>
      </w:rPr>
    </w:lvl>
    <w:lvl w:ilvl="1">
      <w:start w:val="0"/>
      <w:numFmt w:val="bullet"/>
      <w:lvlText w:val="•"/>
      <w:lvlJc w:val="left"/>
      <w:pPr>
        <w:ind w:left="2202" w:hanging="396"/>
      </w:pPr>
      <w:rPr>
        <w:rFonts w:hint="default"/>
      </w:rPr>
    </w:lvl>
    <w:lvl w:ilvl="2">
      <w:start w:val="0"/>
      <w:numFmt w:val="bullet"/>
      <w:lvlText w:val="•"/>
      <w:lvlJc w:val="left"/>
      <w:pPr>
        <w:ind w:left="3145" w:hanging="396"/>
      </w:pPr>
      <w:rPr>
        <w:rFonts w:hint="default"/>
      </w:rPr>
    </w:lvl>
    <w:lvl w:ilvl="3">
      <w:start w:val="0"/>
      <w:numFmt w:val="bullet"/>
      <w:lvlText w:val="•"/>
      <w:lvlJc w:val="left"/>
      <w:pPr>
        <w:ind w:left="4087" w:hanging="396"/>
      </w:pPr>
      <w:rPr>
        <w:rFonts w:hint="default"/>
      </w:rPr>
    </w:lvl>
    <w:lvl w:ilvl="4">
      <w:start w:val="0"/>
      <w:numFmt w:val="bullet"/>
      <w:lvlText w:val="•"/>
      <w:lvlJc w:val="left"/>
      <w:pPr>
        <w:ind w:left="5030" w:hanging="396"/>
      </w:pPr>
      <w:rPr>
        <w:rFonts w:hint="default"/>
      </w:rPr>
    </w:lvl>
    <w:lvl w:ilvl="5">
      <w:start w:val="0"/>
      <w:numFmt w:val="bullet"/>
      <w:lvlText w:val="•"/>
      <w:lvlJc w:val="left"/>
      <w:pPr>
        <w:ind w:left="5972" w:hanging="396"/>
      </w:pPr>
      <w:rPr>
        <w:rFonts w:hint="default"/>
      </w:rPr>
    </w:lvl>
    <w:lvl w:ilvl="6">
      <w:start w:val="0"/>
      <w:numFmt w:val="bullet"/>
      <w:lvlText w:val="•"/>
      <w:lvlJc w:val="left"/>
      <w:pPr>
        <w:ind w:left="6915" w:hanging="396"/>
      </w:pPr>
      <w:rPr>
        <w:rFonts w:hint="default"/>
      </w:rPr>
    </w:lvl>
    <w:lvl w:ilvl="7">
      <w:start w:val="0"/>
      <w:numFmt w:val="bullet"/>
      <w:lvlText w:val="•"/>
      <w:lvlJc w:val="left"/>
      <w:pPr>
        <w:ind w:left="7857" w:hanging="396"/>
      </w:pPr>
      <w:rPr>
        <w:rFonts w:hint="default"/>
      </w:rPr>
    </w:lvl>
    <w:lvl w:ilvl="8">
      <w:start w:val="0"/>
      <w:numFmt w:val="bullet"/>
      <w:lvlText w:val="•"/>
      <w:lvlJc w:val="left"/>
      <w:pPr>
        <w:ind w:left="8800" w:hanging="396"/>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22" w:lineRule="exact"/>
      <w:ind w:left="198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7" w:hanging="850"/>
      <w:outlineLvl w:val="2"/>
    </w:pPr>
    <w:rPr>
      <w:rFonts w:ascii="宋体" w:hAnsi="宋体" w:eastAsia="宋体" w:cs="宋体"/>
      <w:b/>
      <w:bCs/>
      <w:sz w:val="24"/>
      <w:szCs w:val="24"/>
    </w:rPr>
  </w:style>
  <w:style w:styleId="Heading3" w:type="paragraph">
    <w:name w:val="Heading 3"/>
    <w:basedOn w:val="Normal"/>
    <w:uiPriority w:val="1"/>
    <w:qFormat/>
    <w:pPr>
      <w:spacing w:before="6"/>
      <w:ind w:left="173"/>
      <w:jc w:val="both"/>
      <w:outlineLvl w:val="3"/>
    </w:pPr>
    <w:rPr>
      <w:rFonts w:ascii="宋体" w:hAnsi="宋体" w:eastAsia="宋体" w:cs="宋体"/>
      <w:sz w:val="22"/>
      <w:szCs w:val="22"/>
    </w:rPr>
  </w:style>
  <w:style w:styleId="Heading4" w:type="paragraph">
    <w:name w:val="Heading 4"/>
    <w:basedOn w:val="Normal"/>
    <w:uiPriority w:val="1"/>
    <w:qFormat/>
    <w:pPr>
      <w:ind w:left="1067"/>
      <w:outlineLvl w:val="4"/>
    </w:pPr>
    <w:rPr>
      <w:rFonts w:ascii="宋体" w:hAnsi="宋体" w:eastAsia="宋体" w:cs="宋体"/>
      <w:b/>
      <w:bCs/>
      <w:sz w:val="21"/>
      <w:szCs w:val="21"/>
    </w:rPr>
  </w:style>
  <w:style w:styleId="ListParagraph" w:type="paragraph">
    <w:name w:val="List Paragraph"/>
    <w:basedOn w:val="Normal"/>
    <w:uiPriority w:val="1"/>
    <w:qFormat/>
    <w:pPr>
      <w:ind w:left="2768" w:hanging="255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2018-10-20T03:11:53Z</dcterms:created>
  <dcterms:modified xsi:type="dcterms:W3CDTF">2018-10-20T03:11:53Z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LastSaved">
    <vt:filetime>2018-10-19T00:00:00Z</vt:filetime>
  </property>
</Properties>
</file>