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4"/>
        </w:rPr>
      </w:pPr>
    </w:p>
    <w:p>
      <w:pPr>
        <w:pStyle w:val="Heading1"/>
        <w:ind w:left="4117" w:right="5055"/>
        <w:jc w:val="center"/>
      </w:pPr>
      <w:r>
        <w:rPr/>
        <w:pict>
          <v:group style="position:absolute;margin-left:387.269989pt;margin-top:-60.41489pt;width:156.450pt;height:88pt;mso-position-horizontal-relative:page;mso-position-vertical-relative:paragraph;z-index:1096" coordorigin="7745,-1208" coordsize="3129,1760">
            <v:shape style="position:absolute;left:7756;top:-1209;width:3118;height:312" type="#_x0000_t75" stroked="false">
              <v:imagedata r:id="rId5" o:title=""/>
            </v:shape>
            <v:shape style="position:absolute;left:7745;top:238;width:3119;height:312" type="#_x0000_t75" stroked="false">
              <v:imagedata r:id="rId5" o:title=""/>
            </v:shape>
            <v:shape style="position:absolute;left:8773;top:-953;width:1135;height:1135" type="#_x0000_t75" stroked="false">
              <v:imagedata r:id="rId6" o:title=""/>
            </v:shape>
            <v:shapetype id="_x0000_t202" o:spt="202" coordsize="21600,21600" path="m,l,21600r21600,l21600,xe">
              <v:stroke joinstyle="miter"/>
              <v:path gradientshapeok="t" o:connecttype="rect"/>
            </v:shapetype>
            <v:shape style="position:absolute;left:8193;top:-1134;width:2260;height:160" type="#_x0000_t202" filled="false" stroked="false">
              <v:textbox inset="0,0,0,0">
                <w:txbxContent>
                  <w:p>
                    <w:pPr>
                      <w:spacing w:line="160" w:lineRule="exact" w:before="0"/>
                      <w:ind w:left="0" w:right="0" w:firstLine="0"/>
                      <w:jc w:val="left"/>
                      <w:rPr>
                        <w:sz w:val="16"/>
                      </w:rPr>
                    </w:pPr>
                    <w:r>
                      <w:rPr>
                        <w:sz w:val="16"/>
                      </w:rPr>
                      <w:t>平安人寿[2015]</w:t>
                    </w:r>
                    <w:r>
                      <w:rPr>
                        <w:spacing w:val="-9"/>
                        <w:sz w:val="16"/>
                      </w:rPr>
                      <w:t>疾病保险 </w:t>
                    </w:r>
                    <w:r>
                      <w:rPr>
                        <w:sz w:val="16"/>
                      </w:rPr>
                      <w:t>044</w:t>
                    </w:r>
                    <w:r>
                      <w:rPr>
                        <w:spacing w:val="-23"/>
                        <w:sz w:val="16"/>
                      </w:rPr>
                      <w:t> 号</w:t>
                    </w:r>
                  </w:p>
                </w:txbxContent>
              </v:textbox>
              <w10:wrap type="none"/>
            </v:shape>
            <v:shape style="position:absolute;left:8503;top:313;width:1620;height:160" type="#_x0000_t202" filled="false" stroked="false">
              <v:textbox inset="0,0,0,0">
                <w:txbxContent>
                  <w:p>
                    <w:pPr>
                      <w:spacing w:line="160" w:lineRule="exact" w:before="0"/>
                      <w:ind w:left="0" w:right="0" w:firstLine="0"/>
                      <w:jc w:val="left"/>
                      <w:rPr>
                        <w:sz w:val="16"/>
                      </w:rPr>
                    </w:pPr>
                    <w:r>
                      <w:rPr>
                        <w:w w:val="95"/>
                        <w:sz w:val="16"/>
                      </w:rPr>
                      <w:t>请扫描以查询验证条款</w:t>
                    </w:r>
                  </w:p>
                </w:txbxContent>
              </v:textbox>
              <w10:wrap type="none"/>
            </v:shape>
            <w10:wrap type="none"/>
          </v:group>
        </w:pict>
      </w:r>
      <w:r>
        <w:rPr/>
        <w:t>阅  读  指 引</w:t>
      </w:r>
    </w:p>
    <w:p>
      <w:pPr>
        <w:pStyle w:val="Heading4"/>
        <w:spacing w:line="499" w:lineRule="exact" w:before="130"/>
      </w:pPr>
      <w:r>
        <w:rPr/>
        <w:pict>
          <v:group style="position:absolute;margin-left:52.439999pt;margin-top:5.867696pt;width:498.75pt;height:656.55pt;mso-position-horizontal-relative:page;mso-position-vertical-relative:paragraph;z-index:-30760" coordorigin="1049,117" coordsize="9975,13131">
            <v:shape style="position:absolute;left:5256;top:7396;width:95;height:165" type="#_x0000_t75" stroked="false">
              <v:imagedata r:id="rId7" o:title=""/>
            </v:shape>
            <v:shape style="position:absolute;left:1048;top:117;width:9975;height:13131" type="#_x0000_t75" stroked="false">
              <v:imagedata r:id="rId8" o:title=""/>
            </v:shape>
            <v:shape style="position:absolute;left:1702;top:8991;width:8752;height:3780" type="#_x0000_t75" stroked="false">
              <v:imagedata r:id="rId9" o:title=""/>
            </v:shape>
            <v:shape style="position:absolute;left:4530;top:9283;width:3270;height:3201" type="#_x0000_t75" stroked="false">
              <v:imagedata r:id="rId10" o:title=""/>
            </v:shape>
            <v:shape style="position:absolute;left:1816;top:9267;width:2555;height:3202" type="#_x0000_t75" stroked="false">
              <v:imagedata r:id="rId11" o:title=""/>
            </v:shape>
            <v:shape style="position:absolute;left:7650;top:9283;width:2686;height:2601" type="#_x0000_t75" stroked="false">
              <v:imagedata r:id="rId12" o:title=""/>
            </v:shape>
            <w10:wrap type="none"/>
          </v:group>
        </w:pict>
      </w:r>
      <w:r>
        <w:rPr>
          <w:rFonts w:ascii="Arial" w:hAnsi="Arial" w:eastAsia="Arial"/>
          <w:position w:val="-11"/>
          <w:sz w:val="52"/>
        </w:rPr>
        <w:t></w:t>
      </w:r>
      <w:r>
        <w:rPr/>
        <w:t>平安附加福享安康提前给付重大疾病保险产品提供重疾保障</w:t>
      </w:r>
    </w:p>
    <w:p>
      <w:pPr>
        <w:spacing w:line="422"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289" w:lineRule="exact" w:before="0" w:after="0"/>
        <w:ind w:left="1191" w:right="0" w:hanging="420"/>
        <w:jc w:val="both"/>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2" w:val="left" w:leader="none"/>
        </w:tabs>
        <w:spacing w:line="240" w:lineRule="auto" w:before="102" w:after="0"/>
        <w:ind w:left="1191" w:right="0" w:hanging="420"/>
        <w:jc w:val="both"/>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2" w:val="left" w:leader="none"/>
        </w:tabs>
        <w:spacing w:line="240" w:lineRule="auto" w:before="102" w:after="0"/>
        <w:ind w:left="1191" w:right="0" w:hanging="420"/>
        <w:jc w:val="both"/>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2" w:val="left" w:leader="none"/>
        </w:tabs>
        <w:spacing w:line="240" w:lineRule="auto" w:before="102" w:after="0"/>
        <w:ind w:left="1191" w:right="0" w:hanging="420"/>
        <w:jc w:val="both"/>
        <w:rPr>
          <w:sz w:val="21"/>
        </w:rPr>
      </w:pPr>
      <w:r>
        <w:rPr>
          <w:rFonts w:ascii="Microsoft JhengHei" w:eastAsia="Microsoft JhengHei" w:hint="eastAsia"/>
          <w:b/>
          <w:sz w:val="21"/>
        </w:rPr>
        <w:t>保险人</w:t>
      </w:r>
      <w:r>
        <w:rPr>
          <w:sz w:val="21"/>
        </w:rPr>
        <w:t>就是保险公司。</w:t>
      </w:r>
    </w:p>
    <w:p>
      <w:pPr>
        <w:pStyle w:val="Heading4"/>
        <w:spacing w:line="554" w:lineRule="exact" w:before="58"/>
      </w:pPr>
      <w:r>
        <w:rPr>
          <w:rFonts w:ascii="Arial" w:hAnsi="Arial" w:eastAsia="Arial"/>
          <w:position w:val="-11"/>
          <w:sz w:val="52"/>
        </w:rPr>
        <w:t></w:t>
      </w:r>
      <w:r>
        <w:rPr/>
        <w:t>下面我们举例说明本保险产品提供哪些保障</w:t>
      </w:r>
    </w:p>
    <w:p>
      <w:pPr>
        <w:pStyle w:val="BodyText"/>
        <w:spacing w:line="231" w:lineRule="exact"/>
        <w:ind w:left="771"/>
        <w:jc w:val="both"/>
      </w:pPr>
      <w:r>
        <w:rPr/>
        <w:t>例子：王先生为自己投保福享安康保障计划，其中，主险为平安福享安康两全保险（简称福享</w:t>
      </w:r>
    </w:p>
    <w:p>
      <w:pPr>
        <w:pStyle w:val="BodyText"/>
        <w:spacing w:before="10"/>
        <w:rPr>
          <w:sz w:val="14"/>
        </w:rPr>
      </w:pPr>
    </w:p>
    <w:p>
      <w:pPr>
        <w:pStyle w:val="BodyText"/>
        <w:spacing w:line="408" w:lineRule="auto"/>
        <w:ind w:left="770" w:right="1542"/>
        <w:jc w:val="both"/>
      </w:pPr>
      <w:r>
        <w:rPr>
          <w:spacing w:val="0"/>
        </w:rPr>
        <w:t>安康两全</w:t>
      </w:r>
      <w:r>
        <w:rPr>
          <w:spacing w:val="-105"/>
        </w:rPr>
        <w:t>）</w:t>
      </w:r>
      <w:r>
        <w:rPr/>
        <w:t>，附加险为平安附加福享安康提前给付重大疾病保险</w:t>
      </w:r>
      <w:r>
        <w:rPr>
          <w:spacing w:val="0"/>
        </w:rPr>
        <w:t>（</w:t>
      </w:r>
      <w:r>
        <w:rPr>
          <w:spacing w:val="-1"/>
        </w:rPr>
        <w:t>简称福享安康重疾</w:t>
      </w:r>
      <w:r>
        <w:rPr>
          <w:spacing w:val="-105"/>
        </w:rPr>
        <w:t>）</w:t>
      </w:r>
      <w:r>
        <w:rPr>
          <w:spacing w:val="0"/>
        </w:rPr>
        <w:t>，主附险</w:t>
      </w:r>
      <w:r>
        <w:rPr>
          <w:spacing w:val="-6"/>
        </w:rPr>
        <w:t>基本保险金额均为 </w:t>
      </w:r>
      <w:r>
        <w:rPr/>
        <w:t>20</w:t>
      </w:r>
      <w:r>
        <w:rPr>
          <w:spacing w:val="-18"/>
        </w:rPr>
        <w:t> 万元。交费期 </w:t>
      </w:r>
      <w:r>
        <w:rPr/>
        <w:t>10</w:t>
      </w:r>
      <w:r>
        <w:rPr>
          <w:spacing w:val="-14"/>
        </w:rPr>
        <w:t> 年，保障至被保险人 </w:t>
      </w:r>
      <w:r>
        <w:rPr/>
        <w:t>80</w:t>
      </w:r>
      <w:r>
        <w:rPr>
          <w:spacing w:val="-10"/>
        </w:rPr>
        <w:t> 周岁的保单周年日零时，指定身故保险金受益人为儿子小王。</w:t>
      </w:r>
    </w:p>
    <w:p>
      <w:pPr>
        <w:pStyle w:val="BodyText"/>
        <w:spacing w:before="45"/>
        <w:ind w:left="770"/>
        <w:jc w:val="both"/>
      </w:pPr>
      <w:r>
        <w:rPr/>
        <w:t>本例中王先生为投保人、被保险人及受益人，平安人寿为保险人。</w:t>
      </w:r>
    </w:p>
    <w:p>
      <w:pPr>
        <w:pStyle w:val="BodyText"/>
        <w:spacing w:before="11"/>
        <w:rPr>
          <w:sz w:val="9"/>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135"/>
        <w:gridCol w:w="2268"/>
        <w:gridCol w:w="3566"/>
      </w:tblGrid>
      <w:tr>
        <w:trPr>
          <w:trHeight w:val="467" w:hRule="atLeast"/>
        </w:trPr>
        <w:tc>
          <w:tcPr>
            <w:tcW w:w="1759" w:type="dxa"/>
          </w:tcPr>
          <w:p>
            <w:pPr>
              <w:pStyle w:val="TableParagraph"/>
              <w:spacing w:line="362" w:lineRule="exact"/>
              <w:ind w:left="89" w:right="80"/>
              <w:jc w:val="center"/>
              <w:rPr>
                <w:rFonts w:ascii="Microsoft JhengHei" w:eastAsia="Microsoft JhengHei" w:hint="eastAsia"/>
                <w:b/>
                <w:sz w:val="21"/>
              </w:rPr>
            </w:pPr>
            <w:r>
              <w:rPr>
                <w:rFonts w:ascii="Microsoft JhengHei" w:eastAsia="Microsoft JhengHei" w:hint="eastAsia"/>
                <w:b/>
                <w:sz w:val="21"/>
              </w:rPr>
              <w:t>保险金</w:t>
            </w:r>
          </w:p>
        </w:tc>
        <w:tc>
          <w:tcPr>
            <w:tcW w:w="1135" w:type="dxa"/>
          </w:tcPr>
          <w:p>
            <w:pPr>
              <w:pStyle w:val="TableParagraph"/>
              <w:spacing w:line="362" w:lineRule="exact"/>
              <w:ind w:left="232" w:right="223"/>
              <w:jc w:val="center"/>
              <w:rPr>
                <w:rFonts w:ascii="Microsoft JhengHei" w:eastAsia="Microsoft JhengHei" w:hint="eastAsia"/>
                <w:b/>
                <w:sz w:val="21"/>
              </w:rPr>
            </w:pPr>
            <w:r>
              <w:rPr>
                <w:rFonts w:ascii="Microsoft JhengHei" w:eastAsia="Microsoft JhengHei" w:hint="eastAsia"/>
                <w:b/>
                <w:sz w:val="21"/>
              </w:rPr>
              <w:t>领取人</w:t>
            </w:r>
          </w:p>
        </w:tc>
        <w:tc>
          <w:tcPr>
            <w:tcW w:w="2268" w:type="dxa"/>
          </w:tcPr>
          <w:p>
            <w:pPr>
              <w:pStyle w:val="TableParagraph"/>
              <w:spacing w:line="362" w:lineRule="exact"/>
              <w:ind w:left="711"/>
              <w:rPr>
                <w:rFonts w:ascii="Microsoft JhengHei" w:eastAsia="Microsoft JhengHei" w:hint="eastAsia"/>
                <w:b/>
                <w:sz w:val="21"/>
              </w:rPr>
            </w:pPr>
            <w:r>
              <w:rPr>
                <w:rFonts w:ascii="Microsoft JhengHei" w:eastAsia="Microsoft JhengHei" w:hint="eastAsia"/>
                <w:b/>
                <w:sz w:val="21"/>
              </w:rPr>
              <w:t>给付金额</w:t>
            </w:r>
          </w:p>
        </w:tc>
        <w:tc>
          <w:tcPr>
            <w:tcW w:w="3566" w:type="dxa"/>
          </w:tcPr>
          <w:p>
            <w:pPr>
              <w:pStyle w:val="TableParagraph"/>
              <w:spacing w:line="362" w:lineRule="exact"/>
              <w:ind w:left="1344" w:right="1331"/>
              <w:jc w:val="center"/>
              <w:rPr>
                <w:rFonts w:ascii="Microsoft JhengHei" w:eastAsia="Microsoft JhengHei" w:hint="eastAsia"/>
                <w:b/>
                <w:sz w:val="21"/>
              </w:rPr>
            </w:pPr>
            <w:r>
              <w:rPr>
                <w:rFonts w:ascii="Microsoft JhengHei" w:eastAsia="Microsoft JhengHei" w:hint="eastAsia"/>
                <w:b/>
                <w:sz w:val="21"/>
              </w:rPr>
              <w:t>领取条件</w:t>
            </w:r>
          </w:p>
        </w:tc>
      </w:tr>
      <w:tr>
        <w:trPr>
          <w:trHeight w:val="1872" w:hRule="atLeast"/>
        </w:trPr>
        <w:tc>
          <w:tcPr>
            <w:tcW w:w="1759" w:type="dxa"/>
          </w:tcPr>
          <w:p>
            <w:pPr>
              <w:pStyle w:val="TableParagraph"/>
              <w:ind w:left="0"/>
              <w:rPr>
                <w:sz w:val="20"/>
              </w:rPr>
            </w:pPr>
          </w:p>
          <w:p>
            <w:pPr>
              <w:pStyle w:val="TableParagraph"/>
              <w:ind w:left="0"/>
              <w:rPr>
                <w:sz w:val="20"/>
              </w:rPr>
            </w:pPr>
          </w:p>
          <w:p>
            <w:pPr>
              <w:pStyle w:val="TableParagraph"/>
              <w:spacing w:before="7"/>
              <w:ind w:left="0"/>
              <w:rPr>
                <w:sz w:val="18"/>
              </w:rPr>
            </w:pPr>
          </w:p>
          <w:p>
            <w:pPr>
              <w:pStyle w:val="TableParagraph"/>
              <w:ind w:left="89" w:right="150"/>
              <w:jc w:val="center"/>
              <w:rPr>
                <w:sz w:val="21"/>
              </w:rPr>
            </w:pPr>
            <w:r>
              <w:rPr>
                <w:sz w:val="21"/>
              </w:rPr>
              <w:t>重大疾病保险金</w:t>
            </w:r>
          </w:p>
        </w:tc>
        <w:tc>
          <w:tcPr>
            <w:tcW w:w="1135" w:type="dxa"/>
          </w:tcPr>
          <w:p>
            <w:pPr>
              <w:pStyle w:val="TableParagraph"/>
              <w:ind w:left="0"/>
              <w:rPr>
                <w:sz w:val="20"/>
              </w:rPr>
            </w:pPr>
          </w:p>
          <w:p>
            <w:pPr>
              <w:pStyle w:val="TableParagraph"/>
              <w:ind w:left="0"/>
              <w:rPr>
                <w:sz w:val="20"/>
              </w:rPr>
            </w:pPr>
          </w:p>
          <w:p>
            <w:pPr>
              <w:pStyle w:val="TableParagraph"/>
              <w:spacing w:before="7"/>
              <w:ind w:left="0"/>
              <w:rPr>
                <w:sz w:val="18"/>
              </w:rPr>
            </w:pPr>
          </w:p>
          <w:p>
            <w:pPr>
              <w:pStyle w:val="TableParagraph"/>
              <w:ind w:left="232" w:right="223"/>
              <w:jc w:val="center"/>
              <w:rPr>
                <w:sz w:val="21"/>
              </w:rPr>
            </w:pPr>
            <w:r>
              <w:rPr>
                <w:sz w:val="21"/>
              </w:rPr>
              <w:t>王先生</w:t>
            </w:r>
          </w:p>
        </w:tc>
        <w:tc>
          <w:tcPr>
            <w:tcW w:w="2268" w:type="dxa"/>
          </w:tcPr>
          <w:p>
            <w:pPr>
              <w:pStyle w:val="TableParagraph"/>
              <w:spacing w:before="10"/>
              <w:ind w:left="0"/>
              <w:rPr>
                <w:sz w:val="22"/>
              </w:rPr>
            </w:pPr>
          </w:p>
          <w:p>
            <w:pPr>
              <w:pStyle w:val="TableParagraph"/>
              <w:spacing w:line="408" w:lineRule="auto"/>
              <w:ind w:left="108" w:right="100"/>
              <w:rPr>
                <w:sz w:val="21"/>
              </w:rPr>
            </w:pPr>
            <w:r>
              <w:rPr>
                <w:sz w:val="21"/>
              </w:rPr>
              <w:t>本附加险合同及主险合同所交保险费之和</w:t>
            </w:r>
            <w:r>
              <w:rPr>
                <w:spacing w:val="-27"/>
                <w:sz w:val="21"/>
              </w:rPr>
              <w:t>的 </w:t>
            </w:r>
            <w:r>
              <w:rPr>
                <w:sz w:val="21"/>
              </w:rPr>
              <w:t>128</w:t>
            </w:r>
            <w:r>
              <w:rPr>
                <w:spacing w:val="-27"/>
                <w:sz w:val="21"/>
              </w:rPr>
              <w:t>与 </w:t>
            </w:r>
            <w:r>
              <w:rPr>
                <w:sz w:val="21"/>
              </w:rPr>
              <w:t>20</w:t>
            </w:r>
            <w:r>
              <w:rPr>
                <w:spacing w:val="-33"/>
                <w:sz w:val="21"/>
              </w:rPr>
              <w:t> 万取大值</w:t>
            </w:r>
          </w:p>
        </w:tc>
        <w:tc>
          <w:tcPr>
            <w:tcW w:w="3566" w:type="dxa"/>
          </w:tcPr>
          <w:p>
            <w:pPr>
              <w:pStyle w:val="TableParagraph"/>
              <w:spacing w:line="408" w:lineRule="auto" w:before="64"/>
              <w:ind w:left="108" w:right="295"/>
              <w:rPr>
                <w:sz w:val="21"/>
              </w:rPr>
            </w:pPr>
            <w:r>
              <w:rPr>
                <w:sz w:val="21"/>
              </w:rPr>
              <w:t>等待期后被保险人经医院确诊初次发生受保障的重大疾病。</w:t>
            </w:r>
          </w:p>
          <w:p>
            <w:pPr>
              <w:pStyle w:val="TableParagraph"/>
              <w:spacing w:before="46"/>
              <w:ind w:left="108"/>
              <w:rPr>
                <w:sz w:val="21"/>
              </w:rPr>
            </w:pPr>
            <w:r>
              <w:rPr>
                <w:sz w:val="21"/>
              </w:rPr>
              <w:t>我们提供保障的重大疾病包括恶性</w:t>
            </w:r>
          </w:p>
          <w:p>
            <w:pPr>
              <w:pStyle w:val="TableParagraph"/>
              <w:spacing w:before="9"/>
              <w:ind w:left="0"/>
              <w:rPr>
                <w:sz w:val="14"/>
              </w:rPr>
            </w:pPr>
          </w:p>
          <w:p>
            <w:pPr>
              <w:pStyle w:val="TableParagraph"/>
              <w:spacing w:before="1"/>
              <w:ind w:left="108"/>
              <w:rPr>
                <w:sz w:val="21"/>
              </w:rPr>
            </w:pPr>
            <w:r>
              <w:rPr>
                <w:sz w:val="21"/>
              </w:rPr>
              <w:t>肿瘤、急性心肌梗塞等共 45 种。</w:t>
            </w:r>
          </w:p>
        </w:tc>
      </w:tr>
    </w:tbl>
    <w:p>
      <w:pPr>
        <w:pStyle w:val="Heading4"/>
        <w:spacing w:line="357" w:lineRule="exact" w:before="120"/>
        <w:ind w:left="788"/>
        <w:jc w:val="both"/>
      </w:pPr>
      <w:r>
        <w:rPr/>
        <w:t>以上举例仅供您更好地理解产品之用，您所购买产品的具体保险利益在保险合同中载明。</w:t>
      </w:r>
    </w:p>
    <w:p>
      <w:pPr>
        <w:spacing w:line="590"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pStyle w:val="BodyText"/>
        <w:spacing w:before="9"/>
        <w:rPr>
          <w:rFonts w:ascii="Microsoft JhengHei"/>
          <w:b/>
          <w:sz w:val="11"/>
        </w:rPr>
      </w:pPr>
    </w:p>
    <w:p>
      <w:pPr>
        <w:spacing w:after="0"/>
        <w:rPr>
          <w:rFonts w:ascii="Microsoft JhengHei"/>
          <w:sz w:val="11"/>
        </w:rPr>
        <w:sectPr>
          <w:type w:val="continuous"/>
          <w:pgSz w:w="11910" w:h="16840"/>
          <w:pgMar w:top="540" w:bottom="280" w:left="940" w:right="0"/>
        </w:sectPr>
      </w:pPr>
    </w:p>
    <w:p>
      <w:pPr>
        <w:spacing w:line="334" w:lineRule="exact" w:before="0"/>
        <w:ind w:left="1018"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spacing w:line="350" w:lineRule="exact" w:before="0"/>
        <w:ind w:left="566"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spacing w:line="350" w:lineRule="exact" w:before="0"/>
        <w:ind w:left="1018" w:right="0" w:firstLine="0"/>
        <w:jc w:val="left"/>
        <w:rPr>
          <w:rFonts w:ascii="Microsoft JhengHei" w:eastAsia="Microsoft JhengHei" w:hint="eastAsia"/>
          <w:b/>
          <w:sz w:val="21"/>
        </w:rPr>
      </w:pPr>
      <w:r>
        <w:rPr/>
        <w:br w:type="column"/>
      </w:r>
      <w:r>
        <w:rPr>
          <w:b/>
          <w:sz w:val="21"/>
        </w:rPr>
        <w:t>8.</w:t>
      </w:r>
      <w:r>
        <w:rPr>
          <w:rFonts w:ascii="Microsoft JhengHei" w:eastAsia="Microsoft JhengHei" w:hint="eastAsia"/>
          <w:b/>
          <w:sz w:val="21"/>
        </w:rPr>
        <w:t>需关注的其他内容</w:t>
      </w:r>
    </w:p>
    <w:p>
      <w:pPr>
        <w:spacing w:after="0" w:line="350" w:lineRule="exact"/>
        <w:jc w:val="left"/>
        <w:rPr>
          <w:rFonts w:ascii="Microsoft JhengHei" w:eastAsia="Microsoft JhengHei" w:hint="eastAsia"/>
          <w:sz w:val="21"/>
        </w:rPr>
        <w:sectPr>
          <w:type w:val="continuous"/>
          <w:pgSz w:w="11910" w:h="16840"/>
          <w:pgMar w:top="540" w:bottom="280" w:left="940" w:right="0"/>
          <w:cols w:num="3" w:equalWidth="0">
            <w:col w:w="3128" w:space="40"/>
            <w:col w:w="2256" w:space="412"/>
            <w:col w:w="5134"/>
          </w:cols>
        </w:sectPr>
      </w:pPr>
    </w:p>
    <w:p>
      <w:pPr>
        <w:pStyle w:val="BodyText"/>
        <w:spacing w:before="15"/>
        <w:rPr>
          <w:rFonts w:ascii="Microsoft JhengHei"/>
          <w:b/>
          <w:sz w:val="2"/>
        </w:rPr>
      </w:pPr>
      <w:r>
        <w:rPr/>
        <w:pict>
          <v:group style="position:absolute;margin-left:448.529999pt;margin-top:780.929993pt;width:146.8pt;height:31.2pt;mso-position-horizontal-relative:page;mso-position-vertical-relative:page;z-index:1144" coordorigin="8971,15619" coordsize="2936,624">
            <v:shape style="position:absolute;left:8970;top:15618;width:2936;height:624" type="#_x0000_t75" stroked="false">
              <v:imagedata r:id="rId13" o:title=""/>
            </v:shape>
            <v:shape style="position:absolute;left:8970;top:15618;width:2936;height:624" type="#_x0000_t202" filled="false" stroked="false">
              <v:textbox inset="0,0,0,0">
                <w:txbxContent>
                  <w:p>
                    <w:pPr>
                      <w:spacing w:line="316" w:lineRule="auto" w:before="10"/>
                      <w:ind w:left="143" w:right="810" w:firstLine="0"/>
                      <w:jc w:val="left"/>
                      <w:rPr>
                        <w:sz w:val="18"/>
                      </w:rPr>
                    </w:pPr>
                    <w:r>
                      <w:rPr>
                        <w:sz w:val="18"/>
                      </w:rPr>
                      <w:t>险种简称：福享安康重疾险种代码：3034</w:t>
                    </w:r>
                  </w:p>
                </w:txbxContent>
              </v:textbox>
              <w10:wrap type="none"/>
            </v:shape>
            <w10:wrap type="none"/>
          </v:group>
        </w:pict>
      </w:r>
    </w:p>
    <w:tbl>
      <w:tblPr>
        <w:tblW w:w="0" w:type="auto"/>
        <w:jc w:val="left"/>
        <w:tblInd w:w="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3417"/>
        <w:gridCol w:w="590"/>
        <w:gridCol w:w="1782"/>
      </w:tblGrid>
      <w:tr>
        <w:trPr>
          <w:trHeight w:val="262" w:hRule="atLeast"/>
        </w:trPr>
        <w:tc>
          <w:tcPr>
            <w:tcW w:w="2458" w:type="dxa"/>
          </w:tcPr>
          <w:p>
            <w:pPr>
              <w:pStyle w:val="TableParagraph"/>
              <w:spacing w:line="210" w:lineRule="exact"/>
              <w:ind w:left="260"/>
              <w:rPr>
                <w:sz w:val="21"/>
              </w:rPr>
            </w:pPr>
            <w:r>
              <w:rPr>
                <w:sz w:val="21"/>
              </w:rPr>
              <w:t>1.1 保险责任</w:t>
            </w:r>
          </w:p>
        </w:tc>
        <w:tc>
          <w:tcPr>
            <w:tcW w:w="3417" w:type="dxa"/>
          </w:tcPr>
          <w:p>
            <w:pPr>
              <w:pStyle w:val="TableParagraph"/>
              <w:spacing w:line="226" w:lineRule="exact"/>
              <w:ind w:left="517"/>
              <w:rPr>
                <w:sz w:val="21"/>
              </w:rPr>
            </w:pPr>
            <w:r>
              <w:rPr>
                <w:sz w:val="21"/>
              </w:rPr>
              <w:t>4.1 受益人</w:t>
            </w:r>
          </w:p>
        </w:tc>
        <w:tc>
          <w:tcPr>
            <w:tcW w:w="590" w:type="dxa"/>
          </w:tcPr>
          <w:p>
            <w:pPr>
              <w:pStyle w:val="TableParagraph"/>
              <w:spacing w:line="226" w:lineRule="exact"/>
              <w:ind w:left="0" w:right="53"/>
              <w:jc w:val="right"/>
              <w:rPr>
                <w:sz w:val="21"/>
              </w:rPr>
            </w:pPr>
            <w:r>
              <w:rPr>
                <w:sz w:val="21"/>
              </w:rPr>
              <w:t>8.1</w:t>
            </w:r>
          </w:p>
        </w:tc>
        <w:tc>
          <w:tcPr>
            <w:tcW w:w="1782" w:type="dxa"/>
          </w:tcPr>
          <w:p>
            <w:pPr>
              <w:pStyle w:val="TableParagraph"/>
              <w:spacing w:line="226" w:lineRule="exact"/>
              <w:ind w:left="50"/>
              <w:rPr>
                <w:sz w:val="21"/>
              </w:rPr>
            </w:pPr>
            <w:r>
              <w:rPr>
                <w:sz w:val="21"/>
              </w:rPr>
              <w:t>合同订立</w:t>
            </w:r>
          </w:p>
        </w:tc>
      </w:tr>
      <w:tr>
        <w:trPr>
          <w:trHeight w:val="300" w:hRule="atLeast"/>
        </w:trPr>
        <w:tc>
          <w:tcPr>
            <w:tcW w:w="2458" w:type="dxa"/>
          </w:tcPr>
          <w:p>
            <w:pPr>
              <w:pStyle w:val="TableParagraph"/>
              <w:spacing w:line="247" w:lineRule="exact"/>
              <w:ind w:left="261"/>
              <w:rPr>
                <w:sz w:val="21"/>
              </w:rPr>
            </w:pPr>
            <w:r>
              <w:rPr>
                <w:sz w:val="21"/>
              </w:rPr>
              <w:t>1.2 保险期间</w:t>
            </w:r>
          </w:p>
        </w:tc>
        <w:tc>
          <w:tcPr>
            <w:tcW w:w="3417" w:type="dxa"/>
          </w:tcPr>
          <w:p>
            <w:pPr>
              <w:pStyle w:val="TableParagraph"/>
              <w:spacing w:line="263" w:lineRule="exact"/>
              <w:ind w:left="517"/>
              <w:rPr>
                <w:sz w:val="21"/>
              </w:rPr>
            </w:pPr>
            <w:r>
              <w:rPr>
                <w:sz w:val="21"/>
              </w:rPr>
              <w:t>4.2 保险金申请</w:t>
            </w:r>
          </w:p>
        </w:tc>
        <w:tc>
          <w:tcPr>
            <w:tcW w:w="590" w:type="dxa"/>
          </w:tcPr>
          <w:p>
            <w:pPr>
              <w:pStyle w:val="TableParagraph"/>
              <w:spacing w:line="263" w:lineRule="exact"/>
              <w:ind w:left="0" w:right="53"/>
              <w:jc w:val="right"/>
              <w:rPr>
                <w:sz w:val="21"/>
              </w:rPr>
            </w:pPr>
            <w:r>
              <w:rPr>
                <w:sz w:val="21"/>
              </w:rPr>
              <w:t>8.2</w:t>
            </w:r>
          </w:p>
        </w:tc>
        <w:tc>
          <w:tcPr>
            <w:tcW w:w="1782" w:type="dxa"/>
          </w:tcPr>
          <w:p>
            <w:pPr>
              <w:pStyle w:val="TableParagraph"/>
              <w:spacing w:line="263" w:lineRule="exact"/>
              <w:ind w:left="50"/>
              <w:rPr>
                <w:sz w:val="21"/>
              </w:rPr>
            </w:pPr>
            <w:r>
              <w:rPr>
                <w:sz w:val="21"/>
              </w:rPr>
              <w:t>合同生效</w:t>
            </w:r>
          </w:p>
        </w:tc>
      </w:tr>
      <w:tr>
        <w:trPr>
          <w:trHeight w:val="300" w:hRule="atLeast"/>
        </w:trPr>
        <w:tc>
          <w:tcPr>
            <w:tcW w:w="2458" w:type="dxa"/>
          </w:tcPr>
          <w:p>
            <w:pPr>
              <w:pStyle w:val="TableParagraph"/>
              <w:spacing w:line="271"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417" w:type="dxa"/>
          </w:tcPr>
          <w:p>
            <w:pPr>
              <w:pStyle w:val="TableParagraph"/>
              <w:spacing w:line="263" w:lineRule="exact"/>
              <w:ind w:left="517"/>
              <w:rPr>
                <w:sz w:val="21"/>
              </w:rPr>
            </w:pPr>
            <w:r>
              <w:rPr>
                <w:sz w:val="21"/>
              </w:rPr>
              <w:t>4.3 保险金的给付</w:t>
            </w:r>
          </w:p>
        </w:tc>
        <w:tc>
          <w:tcPr>
            <w:tcW w:w="590" w:type="dxa"/>
          </w:tcPr>
          <w:p>
            <w:pPr>
              <w:pStyle w:val="TableParagraph"/>
              <w:spacing w:line="263" w:lineRule="exact"/>
              <w:ind w:left="0" w:right="53"/>
              <w:jc w:val="right"/>
              <w:rPr>
                <w:sz w:val="21"/>
              </w:rPr>
            </w:pPr>
            <w:r>
              <w:rPr>
                <w:sz w:val="21"/>
              </w:rPr>
              <w:t>8.3</w:t>
            </w:r>
          </w:p>
        </w:tc>
        <w:tc>
          <w:tcPr>
            <w:tcW w:w="1782" w:type="dxa"/>
          </w:tcPr>
          <w:p>
            <w:pPr>
              <w:pStyle w:val="TableParagraph"/>
              <w:spacing w:line="263" w:lineRule="exact"/>
              <w:ind w:left="50"/>
              <w:rPr>
                <w:sz w:val="21"/>
              </w:rPr>
            </w:pPr>
            <w:r>
              <w:rPr>
                <w:sz w:val="21"/>
              </w:rPr>
              <w:t>投保年龄</w:t>
            </w:r>
          </w:p>
        </w:tc>
      </w:tr>
      <w:tr>
        <w:trPr>
          <w:trHeight w:val="300" w:hRule="atLeast"/>
        </w:trPr>
        <w:tc>
          <w:tcPr>
            <w:tcW w:w="2458" w:type="dxa"/>
          </w:tcPr>
          <w:p>
            <w:pPr>
              <w:pStyle w:val="TableParagraph"/>
              <w:spacing w:line="247" w:lineRule="exact"/>
              <w:ind w:left="260"/>
              <w:rPr>
                <w:sz w:val="21"/>
              </w:rPr>
            </w:pPr>
            <w:r>
              <w:rPr>
                <w:sz w:val="21"/>
              </w:rPr>
              <w:t>2.1 责任免除</w:t>
            </w:r>
          </w:p>
        </w:tc>
        <w:tc>
          <w:tcPr>
            <w:tcW w:w="3417" w:type="dxa"/>
          </w:tcPr>
          <w:p>
            <w:pPr>
              <w:pStyle w:val="TableParagraph"/>
              <w:spacing w:line="280" w:lineRule="exact"/>
              <w:ind w:left="307"/>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590" w:type="dxa"/>
          </w:tcPr>
          <w:p>
            <w:pPr>
              <w:pStyle w:val="TableParagraph"/>
              <w:spacing w:line="263" w:lineRule="exact"/>
              <w:ind w:left="0" w:right="51"/>
              <w:jc w:val="right"/>
              <w:rPr>
                <w:sz w:val="21"/>
              </w:rPr>
            </w:pPr>
            <w:r>
              <w:rPr>
                <w:sz w:val="21"/>
              </w:rPr>
              <w:t>8.4</w:t>
            </w:r>
          </w:p>
        </w:tc>
        <w:tc>
          <w:tcPr>
            <w:tcW w:w="1782" w:type="dxa"/>
          </w:tcPr>
          <w:p>
            <w:pPr>
              <w:pStyle w:val="TableParagraph"/>
              <w:spacing w:line="263" w:lineRule="exact"/>
              <w:ind w:left="50"/>
              <w:rPr>
                <w:sz w:val="21"/>
              </w:rPr>
            </w:pPr>
            <w:r>
              <w:rPr>
                <w:sz w:val="21"/>
              </w:rPr>
              <w:t>年龄错误</w:t>
            </w:r>
          </w:p>
        </w:tc>
      </w:tr>
      <w:tr>
        <w:trPr>
          <w:trHeight w:val="300" w:hRule="atLeast"/>
        </w:trPr>
        <w:tc>
          <w:tcPr>
            <w:tcW w:w="2458" w:type="dxa"/>
          </w:tcPr>
          <w:p>
            <w:pPr>
              <w:pStyle w:val="TableParagraph"/>
              <w:spacing w:line="247" w:lineRule="exact"/>
              <w:ind w:left="0" w:right="517"/>
              <w:jc w:val="right"/>
              <w:rPr>
                <w:sz w:val="21"/>
              </w:rPr>
            </w:pPr>
            <w:r>
              <w:rPr>
                <w:sz w:val="21"/>
              </w:rPr>
              <w:t>2.2 其他免责条款</w:t>
            </w:r>
          </w:p>
        </w:tc>
        <w:tc>
          <w:tcPr>
            <w:tcW w:w="3417" w:type="dxa"/>
          </w:tcPr>
          <w:p>
            <w:pPr>
              <w:pStyle w:val="TableParagraph"/>
              <w:spacing w:line="263" w:lineRule="exact"/>
              <w:ind w:left="517"/>
              <w:rPr>
                <w:sz w:val="21"/>
              </w:rPr>
            </w:pPr>
            <w:r>
              <w:rPr>
                <w:sz w:val="21"/>
              </w:rPr>
              <w:t>5.1 犹豫期</w:t>
            </w:r>
          </w:p>
        </w:tc>
        <w:tc>
          <w:tcPr>
            <w:tcW w:w="590" w:type="dxa"/>
          </w:tcPr>
          <w:p>
            <w:pPr>
              <w:pStyle w:val="TableParagraph"/>
              <w:spacing w:line="263" w:lineRule="exact"/>
              <w:ind w:left="0" w:right="53"/>
              <w:jc w:val="right"/>
              <w:rPr>
                <w:sz w:val="21"/>
              </w:rPr>
            </w:pPr>
            <w:r>
              <w:rPr>
                <w:sz w:val="21"/>
              </w:rPr>
              <w:t>8.5</w:t>
            </w:r>
          </w:p>
        </w:tc>
        <w:tc>
          <w:tcPr>
            <w:tcW w:w="1782" w:type="dxa"/>
          </w:tcPr>
          <w:p>
            <w:pPr>
              <w:pStyle w:val="TableParagraph"/>
              <w:spacing w:line="263" w:lineRule="exact"/>
              <w:ind w:left="50"/>
              <w:rPr>
                <w:sz w:val="21"/>
              </w:rPr>
            </w:pPr>
            <w:r>
              <w:rPr>
                <w:sz w:val="21"/>
              </w:rPr>
              <w:t>效力终止</w:t>
            </w:r>
          </w:p>
        </w:tc>
      </w:tr>
      <w:tr>
        <w:trPr>
          <w:trHeight w:val="300" w:hRule="atLeast"/>
        </w:trPr>
        <w:tc>
          <w:tcPr>
            <w:tcW w:w="2458" w:type="dxa"/>
          </w:tcPr>
          <w:p>
            <w:pPr>
              <w:pStyle w:val="TableParagraph"/>
              <w:spacing w:line="271"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417" w:type="dxa"/>
          </w:tcPr>
          <w:p>
            <w:pPr>
              <w:pStyle w:val="TableParagraph"/>
              <w:spacing w:line="263" w:lineRule="exact"/>
              <w:ind w:left="517"/>
              <w:rPr>
                <w:sz w:val="21"/>
              </w:rPr>
            </w:pPr>
            <w:r>
              <w:rPr>
                <w:sz w:val="21"/>
              </w:rPr>
              <w:t>5.2 您解除合同的手续及风险</w:t>
            </w:r>
          </w:p>
        </w:tc>
        <w:tc>
          <w:tcPr>
            <w:tcW w:w="590" w:type="dxa"/>
          </w:tcPr>
          <w:p>
            <w:pPr>
              <w:pStyle w:val="TableParagraph"/>
              <w:spacing w:line="263" w:lineRule="exact"/>
              <w:ind w:left="0" w:right="52"/>
              <w:jc w:val="right"/>
              <w:rPr>
                <w:sz w:val="21"/>
              </w:rPr>
            </w:pPr>
            <w:r>
              <w:rPr>
                <w:sz w:val="21"/>
              </w:rPr>
              <w:t>8.6</w:t>
            </w:r>
          </w:p>
        </w:tc>
        <w:tc>
          <w:tcPr>
            <w:tcW w:w="1782" w:type="dxa"/>
          </w:tcPr>
          <w:p>
            <w:pPr>
              <w:pStyle w:val="TableParagraph"/>
              <w:spacing w:line="263" w:lineRule="exact"/>
              <w:ind w:left="50"/>
              <w:rPr>
                <w:sz w:val="21"/>
              </w:rPr>
            </w:pPr>
            <w:r>
              <w:rPr>
                <w:sz w:val="21"/>
              </w:rPr>
              <w:t>适用主险合同条款</w:t>
            </w:r>
          </w:p>
        </w:tc>
      </w:tr>
      <w:tr>
        <w:trPr>
          <w:trHeight w:val="299" w:hRule="atLeast"/>
        </w:trPr>
        <w:tc>
          <w:tcPr>
            <w:tcW w:w="2458" w:type="dxa"/>
          </w:tcPr>
          <w:p>
            <w:pPr>
              <w:pStyle w:val="TableParagraph"/>
              <w:spacing w:line="247" w:lineRule="exact"/>
              <w:ind w:left="0" w:right="515"/>
              <w:jc w:val="right"/>
              <w:rPr>
                <w:sz w:val="21"/>
              </w:rPr>
            </w:pPr>
            <w:r>
              <w:rPr>
                <w:sz w:val="21"/>
              </w:rPr>
              <w:t>3.1 保险费的支付</w:t>
            </w:r>
          </w:p>
        </w:tc>
        <w:tc>
          <w:tcPr>
            <w:tcW w:w="3417" w:type="dxa"/>
          </w:tcPr>
          <w:p>
            <w:pPr>
              <w:pStyle w:val="TableParagraph"/>
              <w:spacing w:line="280" w:lineRule="exact"/>
              <w:ind w:left="307"/>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590" w:type="dxa"/>
          </w:tcPr>
          <w:p>
            <w:pPr>
              <w:pStyle w:val="TableParagraph"/>
              <w:ind w:left="0"/>
              <w:rPr>
                <w:rFonts w:ascii="Times New Roman"/>
                <w:sz w:val="20"/>
              </w:rPr>
            </w:pPr>
          </w:p>
        </w:tc>
        <w:tc>
          <w:tcPr>
            <w:tcW w:w="1782" w:type="dxa"/>
          </w:tcPr>
          <w:p>
            <w:pPr>
              <w:pStyle w:val="TableParagraph"/>
              <w:ind w:left="0"/>
              <w:rPr>
                <w:rFonts w:ascii="Times New Roman"/>
                <w:sz w:val="20"/>
              </w:rPr>
            </w:pPr>
          </w:p>
        </w:tc>
      </w:tr>
      <w:tr>
        <w:trPr>
          <w:trHeight w:val="547" w:hRule="atLeast"/>
        </w:trPr>
        <w:tc>
          <w:tcPr>
            <w:tcW w:w="2458" w:type="dxa"/>
          </w:tcPr>
          <w:p>
            <w:pPr>
              <w:pStyle w:val="TableParagraph"/>
              <w:numPr>
                <w:ilvl w:val="1"/>
                <w:numId w:val="2"/>
              </w:numPr>
              <w:tabs>
                <w:tab w:pos="681" w:val="left" w:leader="none"/>
              </w:tabs>
              <w:spacing w:line="247" w:lineRule="exact" w:before="0" w:after="0"/>
              <w:ind w:left="680" w:right="0" w:hanging="420"/>
              <w:jc w:val="left"/>
              <w:rPr>
                <w:sz w:val="21"/>
              </w:rPr>
            </w:pPr>
            <w:r>
              <w:rPr>
                <w:sz w:val="21"/>
              </w:rPr>
              <w:t>宽限期</w:t>
            </w:r>
          </w:p>
          <w:p>
            <w:pPr>
              <w:pStyle w:val="TableParagraph"/>
              <w:numPr>
                <w:ilvl w:val="1"/>
                <w:numId w:val="2"/>
              </w:numPr>
              <w:tabs>
                <w:tab w:pos="681" w:val="left" w:leader="none"/>
              </w:tabs>
              <w:spacing w:line="255" w:lineRule="exact" w:before="25" w:after="0"/>
              <w:ind w:left="680" w:right="0" w:hanging="419"/>
              <w:jc w:val="left"/>
              <w:rPr>
                <w:sz w:val="21"/>
              </w:rPr>
            </w:pPr>
            <w:r>
              <w:rPr>
                <w:sz w:val="21"/>
              </w:rPr>
              <w:t>效力中止与恢复</w:t>
            </w:r>
          </w:p>
        </w:tc>
        <w:tc>
          <w:tcPr>
            <w:tcW w:w="3417" w:type="dxa"/>
          </w:tcPr>
          <w:p>
            <w:pPr>
              <w:pStyle w:val="TableParagraph"/>
              <w:spacing w:line="227" w:lineRule="exact"/>
              <w:ind w:left="518"/>
              <w:rPr>
                <w:sz w:val="21"/>
              </w:rPr>
            </w:pPr>
            <w:r>
              <w:rPr>
                <w:sz w:val="21"/>
              </w:rPr>
              <w:t>6.1 现金价值</w:t>
            </w:r>
          </w:p>
          <w:p>
            <w:pPr>
              <w:pStyle w:val="TableParagraph"/>
              <w:spacing w:line="300" w:lineRule="exact"/>
              <w:ind w:left="307"/>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590" w:type="dxa"/>
          </w:tcPr>
          <w:p>
            <w:pPr>
              <w:pStyle w:val="TableParagraph"/>
              <w:ind w:left="0"/>
              <w:rPr>
                <w:rFonts w:ascii="Times New Roman"/>
                <w:sz w:val="20"/>
              </w:rPr>
            </w:pPr>
          </w:p>
        </w:tc>
        <w:tc>
          <w:tcPr>
            <w:tcW w:w="1782" w:type="dxa"/>
          </w:tcPr>
          <w:p>
            <w:pPr>
              <w:pStyle w:val="TableParagraph"/>
              <w:ind w:left="0"/>
              <w:rPr>
                <w:rFonts w:ascii="Times New Roman"/>
                <w:sz w:val="20"/>
              </w:rPr>
            </w:pPr>
          </w:p>
        </w:tc>
      </w:tr>
    </w:tbl>
    <w:p>
      <w:pPr>
        <w:spacing w:after="0"/>
        <w:rPr>
          <w:rFonts w:ascii="Times New Roman"/>
          <w:sz w:val="20"/>
        </w:rPr>
        <w:sectPr>
          <w:type w:val="continuous"/>
          <w:pgSz w:w="11910" w:h="16840"/>
          <w:pgMar w:top="540" w:bottom="280" w:left="940" w:right="0"/>
        </w:sectPr>
      </w:pPr>
    </w:p>
    <w:p>
      <w:pPr>
        <w:pStyle w:val="BodyText"/>
        <w:ind w:left="234"/>
        <w:rPr>
          <w:rFonts w:ascii="Microsoft JhengHei"/>
          <w:sz w:val="20"/>
        </w:rPr>
      </w:pPr>
      <w:r>
        <w:rPr>
          <w:rFonts w:ascii="Microsoft JhengHei"/>
          <w:sz w:val="20"/>
        </w:rPr>
        <w:drawing>
          <wp:inline distT="0" distB="0" distL="0" distR="0">
            <wp:extent cx="2052287" cy="342042"/>
            <wp:effectExtent l="0" t="0" r="0" b="0"/>
            <wp:docPr id="1" name="image10.png" descr="新LOGO-K"/>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2052287" cy="342042"/>
                    </a:xfrm>
                    <a:prstGeom prst="rect">
                      <a:avLst/>
                    </a:prstGeom>
                  </pic:spPr>
                </pic:pic>
              </a:graphicData>
            </a:graphic>
          </wp:inline>
        </w:drawing>
      </w:r>
      <w:r>
        <w:rPr>
          <w:rFonts w:ascii="Microsoft JhengHei"/>
          <w:sz w:val="20"/>
        </w:rPr>
      </w:r>
    </w:p>
    <w:p>
      <w:pPr>
        <w:pStyle w:val="BodyText"/>
        <w:spacing w:before="13"/>
        <w:rPr>
          <w:rFonts w:ascii="Microsoft JhengHei"/>
          <w:b/>
          <w:sz w:val="26"/>
        </w:rPr>
      </w:pPr>
      <w:r>
        <w:rPr/>
        <w:drawing>
          <wp:anchor distT="0" distB="0" distL="0" distR="0" allowOverlap="1" layoutInCell="1" locked="0" behindDoc="0" simplePos="0" relativeHeight="1168">
            <wp:simplePos x="0" y="0"/>
            <wp:positionH relativeFrom="page">
              <wp:posOffset>1475917</wp:posOffset>
            </wp:positionH>
            <wp:positionV relativeFrom="paragraph">
              <wp:posOffset>320589</wp:posOffset>
            </wp:positionV>
            <wp:extent cx="4715823" cy="230504"/>
            <wp:effectExtent l="0" t="0" r="0" b="0"/>
            <wp:wrapTopAndBottom/>
            <wp:docPr id="3" name="image11.png" descr="抬头"/>
            <wp:cNvGraphicFramePr>
              <a:graphicFrameLocks noChangeAspect="1"/>
            </wp:cNvGraphicFramePr>
            <a:graphic>
              <a:graphicData uri="http://schemas.openxmlformats.org/drawingml/2006/picture">
                <pic:pic>
                  <pic:nvPicPr>
                    <pic:cNvPr id="4" name="image11.png"/>
                    <pic:cNvPicPr/>
                  </pic:nvPicPr>
                  <pic:blipFill>
                    <a:blip r:embed="rId15" cstate="print"/>
                    <a:stretch>
                      <a:fillRect/>
                    </a:stretch>
                  </pic:blipFill>
                  <pic:spPr>
                    <a:xfrm>
                      <a:off x="0" y="0"/>
                      <a:ext cx="4715823" cy="230504"/>
                    </a:xfrm>
                    <a:prstGeom prst="rect">
                      <a:avLst/>
                    </a:prstGeom>
                  </pic:spPr>
                </pic:pic>
              </a:graphicData>
            </a:graphic>
          </wp:anchor>
        </w:drawing>
      </w:r>
    </w:p>
    <w:p>
      <w:pPr>
        <w:pStyle w:val="BodyText"/>
        <w:spacing w:before="5"/>
        <w:rPr>
          <w:rFonts w:ascii="Microsoft JhengHei"/>
          <w:b/>
          <w:sz w:val="7"/>
        </w:rPr>
      </w:pPr>
    </w:p>
    <w:p>
      <w:pPr>
        <w:spacing w:line="507" w:lineRule="exact" w:before="0"/>
        <w:ind w:left="1949" w:right="0" w:firstLine="0"/>
        <w:jc w:val="left"/>
        <w:rPr>
          <w:rFonts w:ascii="微软雅黑" w:eastAsia="微软雅黑" w:hint="eastAsia"/>
          <w:b/>
          <w:sz w:val="32"/>
        </w:rPr>
      </w:pPr>
      <w:r>
        <w:rPr>
          <w:rFonts w:ascii="微软雅黑" w:eastAsia="微软雅黑" w:hint="eastAsia"/>
          <w:b/>
          <w:sz w:val="32"/>
        </w:rPr>
        <w:t>平安附加福享安康提前给付重大疾病保险条款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3"/>
        <w:rPr>
          <w:sz w:val="18"/>
        </w:rPr>
      </w:pPr>
    </w:p>
    <w:p>
      <w:pPr>
        <w:tabs>
          <w:tab w:pos="1152" w:val="left" w:leader="none"/>
        </w:tabs>
        <w:spacing w:line="456" w:lineRule="exact" w:before="0"/>
        <w:ind w:left="400" w:right="0" w:firstLine="0"/>
        <w:jc w:val="left"/>
        <w:rPr>
          <w:b/>
          <w:sz w:val="24"/>
        </w:rPr>
      </w:pPr>
      <w:r>
        <w:rPr>
          <w:rFonts w:ascii="Arial" w:hAnsi="Arial" w:eastAsia="Arial"/>
          <w:b/>
          <w:position w:val="-9"/>
          <w:sz w:val="40"/>
        </w:rPr>
        <w:t></w:t>
        <w:tab/>
      </w:r>
      <w:r>
        <w:rPr>
          <w:b/>
          <w:w w:val="95"/>
          <w:sz w:val="24"/>
        </w:rPr>
        <w:t>我们保什么、保多久</w:t>
      </w:r>
    </w:p>
    <w:p>
      <w:pPr>
        <w:pStyle w:val="Heading3"/>
      </w:pPr>
      <w:r>
        <w:rPr/>
        <w:t>这部分讲的是我们提供的保障以及我们提供保障的期间。</w:t>
      </w:r>
    </w:p>
    <w:p>
      <w:pPr>
        <w:pStyle w:val="BodyText"/>
        <w:spacing w:before="4"/>
        <w:rPr>
          <w:sz w:val="13"/>
        </w:rPr>
      </w:pPr>
      <w:r>
        <w:rPr/>
        <w:pict>
          <v:group style="position:absolute;margin-left:45.66pt;margin-top:10.709488pt;width:501.5pt;height:1pt;mso-position-horizontal-relative:page;mso-position-vertical-relative:paragraph;z-index:1192;mso-wrap-distance-left:0;mso-wrap-distance-right:0" coordorigin="913,214" coordsize="10030,20">
            <v:line style="position:absolute" from="913,224" to="1844,224" stroked="true" strokeweight=".96pt" strokecolor="#000000">
              <v:stroke dashstyle="solid"/>
            </v:line>
            <v:rect style="position:absolute;left:1844;top:214;width:20;height:20" filled="true" fillcolor="#000000" stroked="false">
              <v:fill type="solid"/>
            </v:rect>
            <v:line style="position:absolute" from="1864,224" to="3998,224" stroked="true" strokeweight=".96pt" strokecolor="#000000">
              <v:stroke dashstyle="solid"/>
            </v:line>
            <v:rect style="position:absolute;left:3998;top:214;width:20;height:20" filled="true" fillcolor="#000000" stroked="false">
              <v:fill type="solid"/>
            </v:rect>
            <v:line style="position:absolute" from="4018,224" to="10943,224" stroked="true" strokeweight=".96pt" strokecolor="#000000">
              <v:stroke dashstyle="solid"/>
            </v:line>
            <w10:wrap type="topAndBottom"/>
          </v:group>
        </w:pict>
      </w:r>
    </w:p>
    <w:p>
      <w:pPr>
        <w:pStyle w:val="BodyText"/>
        <w:spacing w:before="2"/>
        <w:rPr>
          <w:sz w:val="14"/>
        </w:rPr>
      </w:pPr>
    </w:p>
    <w:p>
      <w:pPr>
        <w:pStyle w:val="ListParagraph"/>
        <w:numPr>
          <w:ilvl w:val="1"/>
          <w:numId w:val="3"/>
        </w:numPr>
        <w:tabs>
          <w:tab w:pos="1152" w:val="left" w:leader="none"/>
          <w:tab w:pos="1153" w:val="left" w:leader="none"/>
          <w:tab w:pos="3306" w:val="left" w:leader="none"/>
        </w:tabs>
        <w:spacing w:line="240" w:lineRule="auto" w:before="35" w:after="0"/>
        <w:ind w:left="1152" w:right="0" w:hanging="931"/>
        <w:jc w:val="left"/>
        <w:rPr>
          <w:sz w:val="21"/>
        </w:rPr>
      </w:pPr>
      <w:r>
        <w:rPr>
          <w:b/>
          <w:sz w:val="21"/>
        </w:rPr>
        <w:t>保险责任</w:t>
        <w:tab/>
      </w:r>
      <w:r>
        <w:rPr>
          <w:sz w:val="21"/>
        </w:rPr>
        <w:t>在本附加险合同保险期间内，我们承担如下保险责任：</w:t>
      </w:r>
    </w:p>
    <w:p>
      <w:pPr>
        <w:pStyle w:val="BodyText"/>
        <w:spacing w:before="1"/>
        <w:rPr>
          <w:sz w:val="19"/>
        </w:rPr>
      </w:pPr>
    </w:p>
    <w:p>
      <w:pPr>
        <w:pStyle w:val="BodyText"/>
        <w:tabs>
          <w:tab w:pos="3306" w:val="left" w:leader="none"/>
        </w:tabs>
        <w:spacing w:line="225" w:lineRule="auto" w:before="1"/>
        <w:ind w:left="3306" w:right="248" w:hanging="2154"/>
        <w:jc w:val="both"/>
      </w:pPr>
      <w:r>
        <w:rPr/>
        <w:pict>
          <v:shape style="position:absolute;margin-left:205.320007pt;margin-top:1.428576pt;width:336.45pt;height:54.45pt;mso-position-horizontal-relative:page;mso-position-vertical-relative:paragraph;z-index:-30544" coordorigin="4106,29" coordsize="6729,1089" path="m10205,845l4106,845,4106,1117,10205,1117,10205,845m10835,29l4106,29,4106,300,4106,572,4106,845,10835,845,10835,572,10835,300,10835,29e" filled="true" fillcolor="#dadada" stroked="false">
            <v:path arrowok="t"/>
            <v:fill type="solid"/>
            <w10:wrap type="none"/>
          </v:shape>
        </w:pict>
      </w:r>
      <w:r>
        <w:rPr>
          <w:rFonts w:ascii="等线" w:hAnsi="等线" w:eastAsia="等线" w:hint="eastAsia"/>
          <w:b/>
          <w:sz w:val="24"/>
        </w:rPr>
        <w:t>等待期</w:t>
        <w:tab/>
      </w:r>
      <w:r>
        <w:rPr>
          <w:position w:val="1"/>
        </w:rPr>
        <w:t>从本附加险合同生效（或最后复效）之日起</w:t>
      </w:r>
      <w:r>
        <w:rPr>
          <w:spacing w:val="-50"/>
          <w:position w:val="1"/>
        </w:rPr>
        <w:t> </w:t>
      </w:r>
      <w:r>
        <w:rPr>
          <w:position w:val="1"/>
        </w:rPr>
        <w:t>180</w:t>
      </w:r>
      <w:r>
        <w:rPr>
          <w:spacing w:val="-49"/>
          <w:position w:val="1"/>
        </w:rPr>
        <w:t> </w:t>
      </w:r>
      <w:r>
        <w:rPr>
          <w:position w:val="1"/>
        </w:rPr>
        <w:t>日内，被保险人首次发病</w:t>
      </w:r>
      <w:r>
        <w:rPr/>
        <w:t>并经</w:t>
      </w:r>
      <w:r>
        <w:rPr>
          <w:rFonts w:ascii="黑体" w:hAnsi="黑体" w:eastAsia="黑体" w:hint="eastAsia"/>
          <w:b/>
        </w:rPr>
        <w:t>医院</w:t>
      </w:r>
      <w:r>
        <w:rPr>
          <w:rFonts w:ascii="黑体" w:hAnsi="黑体" w:eastAsia="黑体" w:hint="eastAsia"/>
          <w:b/>
          <w:spacing w:val="-18"/>
        </w:rPr>
        <w:t> </w:t>
      </w:r>
      <w:hyperlink w:history="true" w:anchor="_bookmark0">
        <w:r>
          <w:rPr>
            <w:rFonts w:ascii="黑体" w:hAnsi="黑体" w:eastAsia="黑体" w:hint="eastAsia"/>
            <w:b/>
            <w:position w:val="11"/>
            <w:sz w:val="11"/>
          </w:rPr>
          <w:t>1</w:t>
        </w:r>
      </w:hyperlink>
      <w:r>
        <w:rPr/>
        <w:t>确诊为本附加险合同约定的</w:t>
      </w:r>
      <w:r>
        <w:rPr>
          <w:rFonts w:ascii="黑体" w:hAnsi="黑体" w:eastAsia="黑体" w:hint="eastAsia"/>
          <w:b/>
        </w:rPr>
        <w:t>“重大疾病</w:t>
      </w:r>
      <w:r>
        <w:rPr>
          <w:rFonts w:ascii="黑体" w:hAnsi="黑体" w:eastAsia="黑体" w:hint="eastAsia"/>
          <w:b/>
          <w:spacing w:val="2"/>
        </w:rPr>
        <w:t>”</w:t>
      </w:r>
      <w:hyperlink w:history="true" w:anchor="_bookmark1">
        <w:r>
          <w:rPr>
            <w:rFonts w:ascii="黑体" w:hAnsi="黑体" w:eastAsia="黑体" w:hint="eastAsia"/>
            <w:b/>
            <w:spacing w:val="2"/>
            <w:position w:val="11"/>
            <w:sz w:val="11"/>
          </w:rPr>
          <w:t>2</w:t>
        </w:r>
      </w:hyperlink>
      <w:r>
        <w:rPr>
          <w:spacing w:val="2"/>
        </w:rPr>
        <w:t>，</w:t>
      </w:r>
      <w:r>
        <w:rPr/>
        <w:t>我们不承担保险责任，退还本附加险合同的现金价值，本附加险合同终止；主险合同同时终止，我们退还主险合同的现金价值。这</w:t>
      </w:r>
      <w:r>
        <w:rPr>
          <w:spacing w:val="-50"/>
        </w:rPr>
        <w:t> </w:t>
      </w:r>
      <w:r>
        <w:rPr/>
        <w:t>180</w:t>
      </w:r>
      <w:r>
        <w:rPr>
          <w:spacing w:val="-50"/>
        </w:rPr>
        <w:t> </w:t>
      </w:r>
      <w:r>
        <w:rPr/>
        <w:t>日的时间称为等待期。被保险</w:t>
      </w:r>
    </w:p>
    <w:p>
      <w:pPr>
        <w:spacing w:line="272" w:lineRule="exact" w:before="0"/>
        <w:ind w:left="3306" w:right="0" w:firstLine="0"/>
        <w:jc w:val="left"/>
        <w:rPr>
          <w:sz w:val="21"/>
        </w:rPr>
      </w:pPr>
      <w:r>
        <w:rPr>
          <w:sz w:val="21"/>
        </w:rPr>
        <w:t>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before="18"/>
        <w:ind w:left="3306"/>
      </w:pPr>
      <w:r>
        <w:rPr/>
        <w:t>如果在等待期后发生保险事故，我们按照下列方式给付保险金：</w:t>
      </w:r>
    </w:p>
    <w:p>
      <w:pPr>
        <w:pStyle w:val="BodyText"/>
        <w:spacing w:before="9"/>
      </w:pPr>
    </w:p>
    <w:p>
      <w:pPr>
        <w:pStyle w:val="BodyText"/>
        <w:spacing w:line="254" w:lineRule="auto"/>
        <w:ind w:left="3306" w:right="249" w:hanging="2154"/>
        <w:jc w:val="both"/>
      </w:pPr>
      <w:r>
        <w:rPr>
          <w:rFonts w:ascii="等线" w:hAnsi="等线" w:eastAsia="等线" w:hint="eastAsia"/>
          <w:b/>
          <w:position w:val="1"/>
          <w:sz w:val="24"/>
        </w:rPr>
        <w:t>重大疾病保险金    </w:t>
      </w:r>
      <w:r>
        <w:rPr>
          <w:spacing w:val="-9"/>
        </w:rPr>
        <w:t>被保险人经医院确诊初次发生本附加险合同约定的“重大疾病”，我们按照下列两者的较大值给付重大疾病保险金：</w:t>
      </w:r>
    </w:p>
    <w:p>
      <w:pPr>
        <w:pStyle w:val="BodyText"/>
        <w:spacing w:before="24"/>
        <w:ind w:left="3306"/>
      </w:pPr>
      <w:r>
        <w:rPr/>
        <w:t>（1）本附加险合同及主险合同所交保险费之和的 128%；</w:t>
      </w:r>
    </w:p>
    <w:p>
      <w:pPr>
        <w:spacing w:before="37"/>
        <w:ind w:left="3306" w:right="0" w:firstLine="0"/>
        <w:jc w:val="left"/>
        <w:rPr>
          <w:sz w:val="21"/>
        </w:rPr>
      </w:pPr>
      <w:r>
        <w:rPr>
          <w:sz w:val="21"/>
        </w:rPr>
        <w:t>（2）本附加险合同的</w:t>
      </w: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w:t>
      </w:r>
    </w:p>
    <w:p>
      <w:pPr>
        <w:pStyle w:val="BodyText"/>
        <w:spacing w:before="5"/>
        <w:rPr>
          <w:sz w:val="5"/>
        </w:rPr>
      </w:pPr>
    </w:p>
    <w:tbl>
      <w:tblPr>
        <w:tblW w:w="0" w:type="auto"/>
        <w:jc w:val="left"/>
        <w:tblInd w:w="3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0"/>
        <w:gridCol w:w="2099"/>
        <w:gridCol w:w="1480"/>
      </w:tblGrid>
      <w:tr>
        <w:trPr>
          <w:trHeight w:val="292" w:hRule="atLeast"/>
        </w:trPr>
        <w:tc>
          <w:tcPr>
            <w:tcW w:w="6729" w:type="dxa"/>
            <w:gridSpan w:val="3"/>
            <w:shd w:val="clear" w:color="auto" w:fill="DADADA"/>
          </w:tcPr>
          <w:p>
            <w:pPr>
              <w:pStyle w:val="TableParagraph"/>
              <w:spacing w:line="241" w:lineRule="exact"/>
              <w:ind w:left="0" w:right="-15"/>
              <w:rPr>
                <w:sz w:val="21"/>
              </w:rPr>
            </w:pPr>
            <w:r>
              <w:rPr>
                <w:spacing w:val="-3"/>
                <w:sz w:val="21"/>
              </w:rPr>
              <w:t>如被保险人在年满 </w:t>
            </w:r>
            <w:r>
              <w:rPr>
                <w:sz w:val="21"/>
              </w:rPr>
              <w:t>3</w:t>
            </w:r>
            <w:r>
              <w:rPr>
                <w:spacing w:val="-21"/>
                <w:sz w:val="21"/>
              </w:rPr>
              <w:t> </w:t>
            </w:r>
            <w:r>
              <w:rPr>
                <w:rFonts w:ascii="黑体" w:hAnsi="黑体" w:eastAsia="黑体" w:hint="eastAsia"/>
                <w:b/>
                <w:spacing w:val="-4"/>
                <w:sz w:val="21"/>
              </w:rPr>
              <w:t>周岁 </w:t>
            </w:r>
            <w:hyperlink w:history="true" w:anchor="_bookmark4">
              <w:r>
                <w:rPr>
                  <w:rFonts w:ascii="黑体" w:hAnsi="黑体" w:eastAsia="黑体" w:hint="eastAsia"/>
                  <w:b/>
                  <w:position w:val="11"/>
                  <w:sz w:val="11"/>
                </w:rPr>
                <w:t>5</w:t>
              </w:r>
            </w:hyperlink>
            <w:r>
              <w:rPr>
                <w:sz w:val="21"/>
              </w:rPr>
              <w:t>前经医院确诊初次发生“重大疾病”，基本保</w:t>
            </w:r>
          </w:p>
        </w:tc>
      </w:tr>
      <w:tr>
        <w:trPr>
          <w:trHeight w:val="311" w:hRule="atLeast"/>
        </w:trPr>
        <w:tc>
          <w:tcPr>
            <w:tcW w:w="3150" w:type="dxa"/>
            <w:shd w:val="clear" w:color="auto" w:fill="DADADA"/>
          </w:tcPr>
          <w:p>
            <w:pPr>
              <w:pStyle w:val="TableParagraph"/>
              <w:spacing w:line="261" w:lineRule="exact"/>
              <w:ind w:left="0" w:right="-15"/>
              <w:rPr>
                <w:sz w:val="21"/>
              </w:rPr>
            </w:pPr>
            <w:r>
              <w:rPr>
                <w:sz w:val="21"/>
              </w:rPr>
              <w:t>险金额将乘以下表所对应的比例。</w:t>
            </w:r>
          </w:p>
        </w:tc>
        <w:tc>
          <w:tcPr>
            <w:tcW w:w="3579" w:type="dxa"/>
            <w:gridSpan w:val="2"/>
          </w:tcPr>
          <w:p>
            <w:pPr>
              <w:pStyle w:val="TableParagraph"/>
              <w:ind w:left="0"/>
              <w:rPr>
                <w:rFonts w:ascii="Times New Roman"/>
                <w:sz w:val="18"/>
              </w:rPr>
            </w:pPr>
          </w:p>
        </w:tc>
      </w:tr>
      <w:tr>
        <w:trPr>
          <w:trHeight w:val="311" w:hRule="atLeast"/>
        </w:trPr>
        <w:tc>
          <w:tcPr>
            <w:tcW w:w="5249" w:type="dxa"/>
            <w:gridSpan w:val="2"/>
            <w:vMerge w:val="restart"/>
            <w:shd w:val="clear" w:color="auto" w:fill="DADADA"/>
          </w:tcPr>
          <w:p>
            <w:pPr>
              <w:pStyle w:val="TableParagraph"/>
              <w:tabs>
                <w:tab w:pos="4829" w:val="left" w:leader="none"/>
              </w:tabs>
              <w:spacing w:line="261" w:lineRule="exact"/>
              <w:ind w:left="0" w:right="-15"/>
              <w:rPr>
                <w:sz w:val="21"/>
              </w:rPr>
            </w:pPr>
            <w:r>
              <w:rPr>
                <w:sz w:val="21"/>
              </w:rPr>
              <w:t>被保险人初次发生“重大疾病”的年龄</w:t>
              <w:tab/>
              <w:t>比例</w:t>
            </w:r>
          </w:p>
          <w:p>
            <w:pPr>
              <w:pStyle w:val="TableParagraph"/>
              <w:tabs>
                <w:tab w:pos="4879" w:val="left" w:leader="none"/>
              </w:tabs>
              <w:spacing w:before="37"/>
              <w:ind w:left="0"/>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4879" w:val="left" w:leader="none"/>
              </w:tabs>
              <w:spacing w:before="37"/>
              <w:ind w:left="0"/>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4879" w:val="left" w:leader="none"/>
              </w:tabs>
              <w:spacing w:before="37"/>
              <w:ind w:left="0"/>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tc>
        <w:tc>
          <w:tcPr>
            <w:tcW w:w="1480" w:type="dxa"/>
            <w:vMerge w:val="restart"/>
          </w:tcPr>
          <w:p>
            <w:pPr>
              <w:pStyle w:val="TableParagraph"/>
              <w:ind w:left="0"/>
              <w:rPr>
                <w:rFonts w:ascii="Times New Roman"/>
                <w:sz w:val="18"/>
              </w:rPr>
            </w:pPr>
          </w:p>
        </w:tc>
      </w:tr>
      <w:tr>
        <w:trPr>
          <w:trHeight w:val="312" w:hRule="atLeast"/>
        </w:trPr>
        <w:tc>
          <w:tcPr>
            <w:tcW w:w="5249" w:type="dxa"/>
            <w:gridSpan w:val="2"/>
            <w:vMerge/>
            <w:tcBorders>
              <w:top w:val="nil"/>
            </w:tcBorders>
            <w:shd w:val="clear" w:color="auto" w:fill="DADADA"/>
          </w:tcPr>
          <w:p>
            <w:pPr>
              <w:rPr>
                <w:sz w:val="2"/>
                <w:szCs w:val="2"/>
              </w:rPr>
            </w:pPr>
          </w:p>
        </w:tc>
        <w:tc>
          <w:tcPr>
            <w:tcW w:w="1480" w:type="dxa"/>
            <w:vMerge/>
            <w:tcBorders>
              <w:top w:val="nil"/>
            </w:tcBorders>
          </w:tcPr>
          <w:p>
            <w:pPr>
              <w:rPr>
                <w:sz w:val="2"/>
                <w:szCs w:val="2"/>
              </w:rPr>
            </w:pPr>
          </w:p>
        </w:tc>
      </w:tr>
      <w:tr>
        <w:trPr>
          <w:trHeight w:val="312" w:hRule="atLeast"/>
        </w:trPr>
        <w:tc>
          <w:tcPr>
            <w:tcW w:w="5249" w:type="dxa"/>
            <w:gridSpan w:val="2"/>
            <w:vMerge/>
            <w:tcBorders>
              <w:top w:val="nil"/>
            </w:tcBorders>
            <w:shd w:val="clear" w:color="auto" w:fill="DADADA"/>
          </w:tcPr>
          <w:p>
            <w:pPr>
              <w:rPr>
                <w:sz w:val="2"/>
                <w:szCs w:val="2"/>
              </w:rPr>
            </w:pPr>
          </w:p>
        </w:tc>
        <w:tc>
          <w:tcPr>
            <w:tcW w:w="1480" w:type="dxa"/>
            <w:vMerge/>
            <w:tcBorders>
              <w:top w:val="nil"/>
            </w:tcBorders>
          </w:tcPr>
          <w:p>
            <w:pPr>
              <w:rPr>
                <w:sz w:val="2"/>
                <w:szCs w:val="2"/>
              </w:rPr>
            </w:pPr>
          </w:p>
        </w:tc>
      </w:tr>
      <w:tr>
        <w:trPr>
          <w:trHeight w:val="292" w:hRule="atLeast"/>
        </w:trPr>
        <w:tc>
          <w:tcPr>
            <w:tcW w:w="5249" w:type="dxa"/>
            <w:gridSpan w:val="2"/>
            <w:vMerge/>
            <w:tcBorders>
              <w:top w:val="nil"/>
            </w:tcBorders>
            <w:shd w:val="clear" w:color="auto" w:fill="DADADA"/>
          </w:tcPr>
          <w:p>
            <w:pPr>
              <w:rPr>
                <w:sz w:val="2"/>
                <w:szCs w:val="2"/>
              </w:rPr>
            </w:pPr>
          </w:p>
        </w:tc>
        <w:tc>
          <w:tcPr>
            <w:tcW w:w="1480" w:type="dxa"/>
            <w:vMerge/>
            <w:tcBorders>
              <w:top w:val="nil"/>
            </w:tcBorders>
          </w:tcPr>
          <w:p>
            <w:pPr>
              <w:rPr>
                <w:sz w:val="2"/>
                <w:szCs w:val="2"/>
              </w:rPr>
            </w:pPr>
          </w:p>
        </w:tc>
      </w:tr>
    </w:tbl>
    <w:p>
      <w:pPr>
        <w:pStyle w:val="BodyText"/>
        <w:spacing w:before="2"/>
        <w:rPr>
          <w:sz w:val="22"/>
        </w:rPr>
      </w:pPr>
    </w:p>
    <w:p>
      <w:pPr>
        <w:pStyle w:val="BodyText"/>
        <w:ind w:left="3306"/>
      </w:pPr>
      <w:r>
        <w:rPr/>
        <w:t>我们给付重大疾病保险金后，本附加险合同终止，主险合同同时终止。</w:t>
      </w:r>
    </w:p>
    <w:p>
      <w:pPr>
        <w:pStyle w:val="BodyText"/>
        <w:spacing w:line="273" w:lineRule="auto" w:before="36"/>
        <w:ind w:left="3306" w:right="250"/>
      </w:pPr>
      <w:r>
        <w:rPr/>
        <w:t>“所交保险费”按照确诊“重大疾病”当时的基本保险金额确定的期交保险费和保险费的已交期数计算。</w:t>
      </w:r>
    </w:p>
    <w:p>
      <w:pPr>
        <w:pStyle w:val="BodyText"/>
        <w:rPr>
          <w:sz w:val="20"/>
        </w:rPr>
      </w:pPr>
    </w:p>
    <w:p>
      <w:pPr>
        <w:pStyle w:val="BodyText"/>
        <w:spacing w:before="7"/>
        <w:rPr>
          <w:sz w:val="23"/>
        </w:rPr>
      </w:pPr>
      <w:r>
        <w:rPr/>
        <w:pict>
          <v:line style="position:absolute;mso-position-horizontal-relative:page;mso-position-vertical-relative:paragraph;z-index:1216;mso-wrap-distance-left:0;mso-wrap-distance-right:0" from="51.060001pt,17.685905pt" to="195.060001pt,17.685905pt" stroked="true" strokeweight=".54pt" strokecolor="#000000">
            <v:stroke dashstyle="solid"/>
            <w10:wrap type="topAndBottom"/>
          </v:line>
        </w:pict>
      </w:r>
    </w:p>
    <w:p>
      <w:pPr>
        <w:spacing w:line="218" w:lineRule="auto" w:before="2"/>
        <w:ind w:left="366" w:right="10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w:t>
      </w:r>
    </w:p>
    <w:p>
      <w:pPr>
        <w:spacing w:line="226" w:lineRule="exact" w:before="0"/>
        <w:ind w:left="366" w:right="0" w:firstLine="0"/>
        <w:jc w:val="left"/>
        <w:rPr>
          <w:sz w:val="18"/>
        </w:rPr>
      </w:pPr>
      <w:r>
        <w:rPr>
          <w:sz w:val="18"/>
        </w:rPr>
        <w:t>且全天二十四小时有合格医师及护士驻院提供医疗及护理服务。</w:t>
      </w:r>
    </w:p>
    <w:p>
      <w:pPr>
        <w:spacing w:line="305" w:lineRule="exact" w:before="0"/>
        <w:ind w:left="366" w:right="0" w:hanging="146"/>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366" w:right="197" w:firstLine="0"/>
        <w:jc w:val="both"/>
        <w:rPr>
          <w:sz w:val="18"/>
        </w:rPr>
      </w:pPr>
      <w:r>
        <w:rPr>
          <w:spacing w:val="-3"/>
          <w:sz w:val="18"/>
        </w:rPr>
        <w:t>或手术应当由专科医生明确诊断。专科医生应当同时满足以下四项资格条件：</w:t>
      </w:r>
      <w:r>
        <w:rPr>
          <w:sz w:val="18"/>
        </w:rPr>
        <w:t>（1）具有有效的中华人民共和国《医师资格证</w:t>
      </w: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366" w:right="201" w:hanging="146"/>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line="226" w:lineRule="exact" w:before="0"/>
        <w:ind w:left="22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226" w:lineRule="exact"/>
        <w:jc w:val="left"/>
        <w:rPr>
          <w:sz w:val="18"/>
        </w:rPr>
        <w:sectPr>
          <w:pgSz w:w="11910" w:h="16840"/>
          <w:pgMar w:top="800" w:bottom="280" w:left="800" w:right="820"/>
        </w:sectPr>
      </w:pPr>
    </w:p>
    <w:p>
      <w:pPr>
        <w:pStyle w:val="Heading2"/>
        <w:spacing w:line="232" w:lineRule="auto" w:before="18"/>
        <w:ind w:left="1152"/>
      </w:pPr>
      <w:r>
        <w:rPr/>
        <w:t>我们所保障的重大疾病</w:t>
      </w:r>
    </w:p>
    <w:p>
      <w:pPr>
        <w:pStyle w:val="BodyText"/>
        <w:spacing w:line="273" w:lineRule="auto" w:before="40"/>
        <w:ind w:left="173" w:right="209"/>
      </w:pPr>
      <w:r>
        <w:rPr/>
        <w:br w:type="column"/>
      </w:r>
      <w:r>
        <w:rPr>
          <w:spacing w:val="-4"/>
        </w:rPr>
        <w:t>我们提供保障的重大疾病共有 </w:t>
      </w:r>
      <w:r>
        <w:rPr/>
        <w:t>45</w:t>
      </w:r>
      <w:r>
        <w:rPr>
          <w:spacing w:val="-11"/>
        </w:rPr>
        <w:t> 种，名称如下，具体释义见</w:t>
      </w:r>
      <w:r>
        <w:rPr/>
        <w:t>“7</w:t>
      </w:r>
      <w:r>
        <w:rPr>
          <w:spacing w:val="-12"/>
        </w:rPr>
        <w:t> 重大疾病</w:t>
      </w:r>
      <w:r>
        <w:rPr>
          <w:spacing w:val="-33"/>
        </w:rPr>
        <w:t>释义”。</w:t>
      </w:r>
    </w:p>
    <w:p>
      <w:pPr>
        <w:spacing w:after="0" w:line="273" w:lineRule="auto"/>
        <w:sectPr>
          <w:pgSz w:w="11910" w:h="16840"/>
          <w:pgMar w:top="1060" w:bottom="280" w:left="800" w:right="860"/>
          <w:cols w:num="2" w:equalWidth="0">
            <w:col w:w="3093" w:space="40"/>
            <w:col w:w="7117"/>
          </w:cols>
        </w:sectPr>
      </w:pPr>
    </w:p>
    <w:tbl>
      <w:tblPr>
        <w:tblW w:w="0" w:type="auto"/>
        <w:jc w:val="left"/>
        <w:tblInd w:w="3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2"/>
        <w:gridCol w:w="4256"/>
      </w:tblGrid>
      <w:tr>
        <w:trPr>
          <w:trHeight w:val="329" w:hRule="atLeast"/>
        </w:trPr>
        <w:tc>
          <w:tcPr>
            <w:tcW w:w="6718" w:type="dxa"/>
            <w:gridSpan w:val="2"/>
          </w:tcPr>
          <w:p>
            <w:pPr>
              <w:pStyle w:val="TableParagraph"/>
              <w:spacing w:line="269" w:lineRule="exact"/>
              <w:ind w:left="107"/>
              <w:rPr>
                <w:b/>
                <w:sz w:val="21"/>
              </w:rPr>
            </w:pPr>
            <w:r>
              <w:rPr>
                <w:b/>
                <w:sz w:val="21"/>
              </w:rPr>
              <w:t>第 1 类：与恶性肿瘤相关的疾病</w:t>
            </w:r>
          </w:p>
        </w:tc>
      </w:tr>
      <w:tr>
        <w:trPr>
          <w:trHeight w:val="468" w:hRule="atLeast"/>
        </w:trPr>
        <w:tc>
          <w:tcPr>
            <w:tcW w:w="2462" w:type="dxa"/>
            <w:tcBorders>
              <w:right w:val="nil"/>
            </w:tcBorders>
          </w:tcPr>
          <w:p>
            <w:pPr>
              <w:pStyle w:val="TableParagraph"/>
              <w:spacing w:before="64"/>
              <w:ind w:left="107"/>
              <w:rPr>
                <w:sz w:val="21"/>
              </w:rPr>
            </w:pPr>
            <w:r>
              <w:rPr>
                <w:sz w:val="21"/>
              </w:rPr>
              <w:t>1、恶性肿瘤</w:t>
            </w:r>
          </w:p>
        </w:tc>
        <w:tc>
          <w:tcPr>
            <w:tcW w:w="4256" w:type="dxa"/>
            <w:tcBorders>
              <w:left w:val="nil"/>
            </w:tcBorders>
          </w:tcPr>
          <w:p>
            <w:pPr>
              <w:pStyle w:val="TableParagraph"/>
              <w:spacing w:before="64"/>
              <w:ind w:left="113"/>
              <w:rPr>
                <w:sz w:val="21"/>
              </w:rPr>
            </w:pPr>
            <w:r>
              <w:rPr>
                <w:sz w:val="21"/>
              </w:rPr>
              <w:t>2、侵蚀性葡萄胎（或称恶性葡萄胎）</w:t>
            </w:r>
          </w:p>
        </w:tc>
      </w:tr>
      <w:tr>
        <w:trPr>
          <w:trHeight w:val="329" w:hRule="atLeast"/>
        </w:trPr>
        <w:tc>
          <w:tcPr>
            <w:tcW w:w="6718" w:type="dxa"/>
            <w:gridSpan w:val="2"/>
          </w:tcPr>
          <w:p>
            <w:pPr>
              <w:pStyle w:val="TableParagraph"/>
              <w:spacing w:line="260" w:lineRule="exact"/>
              <w:ind w:left="107"/>
              <w:rPr>
                <w:b/>
                <w:sz w:val="21"/>
              </w:rPr>
            </w:pPr>
            <w:r>
              <w:rPr>
                <w:b/>
                <w:sz w:val="21"/>
              </w:rPr>
              <w:t>第 2 类：与心脏或脑血管相关的疾病</w:t>
            </w:r>
          </w:p>
        </w:tc>
      </w:tr>
      <w:tr>
        <w:trPr>
          <w:trHeight w:val="1559" w:hRule="atLeast"/>
        </w:trPr>
        <w:tc>
          <w:tcPr>
            <w:tcW w:w="2462" w:type="dxa"/>
            <w:tcBorders>
              <w:right w:val="nil"/>
            </w:tcBorders>
          </w:tcPr>
          <w:p>
            <w:pPr>
              <w:pStyle w:val="TableParagraph"/>
              <w:spacing w:line="260"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256" w:type="dxa"/>
            <w:tcBorders>
              <w:left w:val="nil"/>
            </w:tcBorders>
          </w:tcPr>
          <w:p>
            <w:pPr>
              <w:pStyle w:val="TableParagraph"/>
              <w:spacing w:line="260" w:lineRule="exact"/>
              <w:ind w:left="113"/>
              <w:rPr>
                <w:sz w:val="21"/>
              </w:rPr>
            </w:pPr>
            <w:r>
              <w:rPr>
                <w:sz w:val="21"/>
              </w:rPr>
              <w:t>4、严重原发性肺动脉高压</w:t>
            </w:r>
          </w:p>
          <w:p>
            <w:pPr>
              <w:pStyle w:val="TableParagraph"/>
              <w:spacing w:before="37"/>
              <w:ind w:left="113"/>
              <w:rPr>
                <w:sz w:val="21"/>
              </w:rPr>
            </w:pPr>
            <w:r>
              <w:rPr>
                <w:sz w:val="21"/>
              </w:rPr>
              <w:t>6、严重的原发性心肌病</w:t>
            </w:r>
          </w:p>
          <w:p>
            <w:pPr>
              <w:pStyle w:val="TableParagraph"/>
              <w:spacing w:line="273" w:lineRule="auto" w:before="37"/>
              <w:ind w:left="428" w:right="29" w:hanging="316"/>
              <w:rPr>
                <w:sz w:val="21"/>
              </w:rPr>
            </w:pPr>
            <w:r>
              <w:rPr>
                <w:sz w:val="21"/>
              </w:rPr>
              <w:t>8、冠状动脉搭桥术（或称冠状动脉旁路移植术）</w:t>
            </w:r>
          </w:p>
        </w:tc>
      </w:tr>
      <w:tr>
        <w:trPr>
          <w:trHeight w:val="312" w:hRule="atLeast"/>
        </w:trPr>
        <w:tc>
          <w:tcPr>
            <w:tcW w:w="6718" w:type="dxa"/>
            <w:gridSpan w:val="2"/>
          </w:tcPr>
          <w:p>
            <w:pPr>
              <w:pStyle w:val="TableParagraph"/>
              <w:spacing w:line="261" w:lineRule="exact"/>
              <w:ind w:left="107"/>
              <w:rPr>
                <w:b/>
                <w:sz w:val="21"/>
              </w:rPr>
            </w:pPr>
            <w:r>
              <w:rPr>
                <w:b/>
                <w:sz w:val="21"/>
              </w:rPr>
              <w:t>第 3 类：与器官功能严重受损相关的疾病</w:t>
            </w:r>
          </w:p>
        </w:tc>
      </w:tr>
      <w:tr>
        <w:trPr>
          <w:trHeight w:val="2807" w:hRule="atLeast"/>
        </w:trPr>
        <w:tc>
          <w:tcPr>
            <w:tcW w:w="2462" w:type="dxa"/>
            <w:tcBorders>
              <w:right w:val="nil"/>
            </w:tcBorders>
          </w:tcPr>
          <w:p>
            <w:pPr>
              <w:pStyle w:val="TableParagraph"/>
              <w:spacing w:line="260"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256" w:type="dxa"/>
            <w:tcBorders>
              <w:left w:val="nil"/>
            </w:tcBorders>
          </w:tcPr>
          <w:p>
            <w:pPr>
              <w:pStyle w:val="TableParagraph"/>
              <w:spacing w:line="260" w:lineRule="exact"/>
              <w:ind w:left="113"/>
              <w:rPr>
                <w:sz w:val="21"/>
              </w:rPr>
            </w:pPr>
            <w:r>
              <w:rPr>
                <w:sz w:val="21"/>
              </w:rPr>
              <w:t>12、重大器官移植术或造血干细胞移植术</w:t>
            </w:r>
          </w:p>
          <w:p>
            <w:pPr>
              <w:pStyle w:val="TableParagraph"/>
              <w:spacing w:before="37"/>
              <w:ind w:left="113"/>
              <w:rPr>
                <w:sz w:val="21"/>
              </w:rPr>
            </w:pPr>
            <w:r>
              <w:rPr>
                <w:sz w:val="21"/>
              </w:rPr>
              <w:t>14、慢性肝功能衰竭失代偿期</w:t>
            </w:r>
          </w:p>
          <w:p>
            <w:pPr>
              <w:pStyle w:val="TableParagraph"/>
              <w:spacing w:before="37"/>
              <w:ind w:left="113"/>
              <w:rPr>
                <w:sz w:val="21"/>
              </w:rPr>
            </w:pPr>
            <w:r>
              <w:rPr>
                <w:sz w:val="21"/>
              </w:rPr>
              <w:t>16、系统性红斑狼疮并发肾功能损害</w:t>
            </w:r>
          </w:p>
          <w:p>
            <w:pPr>
              <w:pStyle w:val="TableParagraph"/>
              <w:spacing w:before="37"/>
              <w:ind w:left="113"/>
              <w:rPr>
                <w:sz w:val="21"/>
              </w:rPr>
            </w:pPr>
            <w:r>
              <w:rPr>
                <w:sz w:val="21"/>
              </w:rPr>
              <w:t>18、急性或亚急性重症肝炎</w:t>
            </w:r>
          </w:p>
          <w:p>
            <w:pPr>
              <w:pStyle w:val="TableParagraph"/>
              <w:spacing w:line="273" w:lineRule="auto" w:before="37"/>
              <w:ind w:left="533" w:right="94" w:hanging="420"/>
              <w:rPr>
                <w:sz w:val="21"/>
              </w:rPr>
            </w:pPr>
            <w:r>
              <w:rPr>
                <w:sz w:val="21"/>
              </w:rPr>
              <w:t>20、终末期肾病（或称慢性肾功能衰竭尿毒症期）</w:t>
            </w:r>
          </w:p>
          <w:p>
            <w:pPr>
              <w:pStyle w:val="TableParagraph"/>
              <w:spacing w:before="8"/>
              <w:ind w:left="113"/>
              <w:rPr>
                <w:sz w:val="21"/>
              </w:rPr>
            </w:pPr>
            <w:r>
              <w:rPr>
                <w:sz w:val="21"/>
              </w:rPr>
              <w:t>23、急性坏死性胰腺炎开腹手术</w:t>
            </w:r>
          </w:p>
          <w:p>
            <w:pPr>
              <w:pStyle w:val="TableParagraph"/>
              <w:spacing w:before="37"/>
              <w:ind w:left="113"/>
              <w:rPr>
                <w:sz w:val="21"/>
              </w:rPr>
            </w:pPr>
            <w:r>
              <w:rPr>
                <w:sz w:val="21"/>
              </w:rPr>
              <w:t>25、严重肝豆状核变性（Wilson 病）</w:t>
            </w:r>
          </w:p>
          <w:p>
            <w:pPr>
              <w:pStyle w:val="TableParagraph"/>
              <w:spacing w:before="37"/>
              <w:ind w:left="113"/>
              <w:rPr>
                <w:sz w:val="21"/>
              </w:rPr>
            </w:pPr>
            <w:r>
              <w:rPr>
                <w:sz w:val="21"/>
              </w:rPr>
              <w:t>27、严重弥漫性系统性硬皮病</w:t>
            </w:r>
          </w:p>
        </w:tc>
      </w:tr>
      <w:tr>
        <w:trPr>
          <w:trHeight w:val="311" w:hRule="atLeast"/>
        </w:trPr>
        <w:tc>
          <w:tcPr>
            <w:tcW w:w="6718" w:type="dxa"/>
            <w:gridSpan w:val="2"/>
          </w:tcPr>
          <w:p>
            <w:pPr>
              <w:pStyle w:val="TableParagraph"/>
              <w:spacing w:line="260" w:lineRule="exact"/>
              <w:ind w:left="107"/>
              <w:rPr>
                <w:b/>
                <w:sz w:val="21"/>
              </w:rPr>
            </w:pPr>
            <w:r>
              <w:rPr>
                <w:b/>
                <w:sz w:val="21"/>
              </w:rPr>
              <w:t>第 4 类：与神经系统相关的疾病</w:t>
            </w:r>
          </w:p>
        </w:tc>
      </w:tr>
      <w:tr>
        <w:trPr>
          <w:trHeight w:val="1872" w:hRule="atLeast"/>
        </w:trPr>
        <w:tc>
          <w:tcPr>
            <w:tcW w:w="2462" w:type="dxa"/>
            <w:tcBorders>
              <w:right w:val="nil"/>
            </w:tcBorders>
          </w:tcPr>
          <w:p>
            <w:pPr>
              <w:pStyle w:val="TableParagraph"/>
              <w:spacing w:line="261"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256" w:type="dxa"/>
            <w:tcBorders>
              <w:left w:val="nil"/>
            </w:tcBorders>
          </w:tcPr>
          <w:p>
            <w:pPr>
              <w:pStyle w:val="TableParagraph"/>
              <w:spacing w:line="261" w:lineRule="exact"/>
              <w:ind w:left="113"/>
              <w:rPr>
                <w:sz w:val="21"/>
              </w:rPr>
            </w:pPr>
            <w:r>
              <w:rPr>
                <w:sz w:val="21"/>
              </w:rPr>
              <w:t>29、脑炎后遗症或脑膜炎后遗症</w:t>
            </w:r>
          </w:p>
          <w:p>
            <w:pPr>
              <w:pStyle w:val="TableParagraph"/>
              <w:spacing w:before="37"/>
              <w:ind w:left="113"/>
              <w:rPr>
                <w:sz w:val="21"/>
              </w:rPr>
            </w:pPr>
            <w:r>
              <w:rPr>
                <w:sz w:val="21"/>
              </w:rPr>
              <w:t>31、严重阿尔茨海默病</w:t>
            </w:r>
          </w:p>
          <w:p>
            <w:pPr>
              <w:pStyle w:val="TableParagraph"/>
              <w:spacing w:before="37"/>
              <w:ind w:left="113"/>
              <w:rPr>
                <w:sz w:val="21"/>
              </w:rPr>
            </w:pPr>
            <w:r>
              <w:rPr>
                <w:sz w:val="21"/>
              </w:rPr>
              <w:t>33、严重的多发性硬化</w:t>
            </w:r>
          </w:p>
          <w:p>
            <w:pPr>
              <w:pStyle w:val="TableParagraph"/>
              <w:spacing w:before="37"/>
              <w:ind w:left="113"/>
              <w:rPr>
                <w:sz w:val="21"/>
              </w:rPr>
            </w:pPr>
            <w:r>
              <w:rPr>
                <w:sz w:val="21"/>
              </w:rPr>
              <w:t>35、严重运动神经元病</w:t>
            </w:r>
          </w:p>
          <w:p>
            <w:pPr>
              <w:pStyle w:val="TableParagraph"/>
              <w:spacing w:before="37"/>
              <w:ind w:left="113"/>
              <w:rPr>
                <w:sz w:val="21"/>
              </w:rPr>
            </w:pPr>
            <w:r>
              <w:rPr>
                <w:sz w:val="21"/>
              </w:rPr>
              <w:t>37、非阿尔茨海默病所致严重痴呆</w:t>
            </w:r>
          </w:p>
        </w:tc>
      </w:tr>
      <w:tr>
        <w:trPr>
          <w:trHeight w:val="311" w:hRule="atLeast"/>
        </w:trPr>
        <w:tc>
          <w:tcPr>
            <w:tcW w:w="6718" w:type="dxa"/>
            <w:gridSpan w:val="2"/>
          </w:tcPr>
          <w:p>
            <w:pPr>
              <w:pStyle w:val="TableParagraph"/>
              <w:spacing w:line="260" w:lineRule="exact"/>
              <w:ind w:left="107"/>
              <w:rPr>
                <w:b/>
                <w:sz w:val="21"/>
              </w:rPr>
            </w:pPr>
            <w:r>
              <w:rPr>
                <w:b/>
                <w:sz w:val="21"/>
              </w:rPr>
              <w:t>第 5 类：其他重大疾病</w:t>
            </w:r>
          </w:p>
        </w:tc>
      </w:tr>
      <w:tr>
        <w:trPr>
          <w:trHeight w:val="1248" w:hRule="atLeast"/>
        </w:trPr>
        <w:tc>
          <w:tcPr>
            <w:tcW w:w="2462" w:type="dxa"/>
            <w:tcBorders>
              <w:right w:val="nil"/>
            </w:tcBorders>
          </w:tcPr>
          <w:p>
            <w:pPr>
              <w:pStyle w:val="TableParagraph"/>
              <w:spacing w:line="260"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256" w:type="dxa"/>
            <w:tcBorders>
              <w:left w:val="nil"/>
            </w:tcBorders>
          </w:tcPr>
          <w:p>
            <w:pPr>
              <w:pStyle w:val="TableParagraph"/>
              <w:spacing w:line="260" w:lineRule="exact"/>
              <w:ind w:left="113"/>
              <w:rPr>
                <w:sz w:val="21"/>
              </w:rPr>
            </w:pPr>
            <w:r>
              <w:rPr>
                <w:sz w:val="21"/>
              </w:rPr>
              <w:t>40、严重的 1 型糖尿病</w:t>
            </w:r>
          </w:p>
          <w:p>
            <w:pPr>
              <w:pStyle w:val="TableParagraph"/>
              <w:spacing w:before="37"/>
              <w:ind w:left="113"/>
              <w:rPr>
                <w:sz w:val="21"/>
              </w:rPr>
            </w:pPr>
            <w:r>
              <w:rPr>
                <w:sz w:val="21"/>
              </w:rPr>
              <w:t>42、严重类风湿性关节炎</w:t>
            </w:r>
          </w:p>
          <w:p>
            <w:pPr>
              <w:pStyle w:val="TableParagraph"/>
              <w:spacing w:line="273" w:lineRule="auto" w:before="37"/>
              <w:ind w:left="533" w:right="93" w:hanging="420"/>
              <w:rPr>
                <w:sz w:val="21"/>
              </w:rPr>
            </w:pPr>
            <w:r>
              <w:rPr>
                <w:sz w:val="21"/>
              </w:rPr>
              <w:t>44、经输血导致的艾滋病病毒感染或患艾滋病</w:t>
            </w:r>
          </w:p>
        </w:tc>
      </w:tr>
    </w:tbl>
    <w:p>
      <w:pPr>
        <w:pStyle w:val="BodyText"/>
        <w:spacing w:before="2"/>
        <w:rPr>
          <w:sz w:val="24"/>
        </w:rPr>
      </w:pPr>
    </w:p>
    <w:p>
      <w:pPr>
        <w:pStyle w:val="ListParagraph"/>
        <w:numPr>
          <w:ilvl w:val="1"/>
          <w:numId w:val="3"/>
        </w:numPr>
        <w:tabs>
          <w:tab w:pos="1152" w:val="left" w:leader="none"/>
          <w:tab w:pos="1153" w:val="left" w:leader="none"/>
          <w:tab w:pos="3306" w:val="left" w:leader="none"/>
        </w:tabs>
        <w:spacing w:line="240" w:lineRule="auto" w:before="35" w:after="0"/>
        <w:ind w:left="1152" w:right="0" w:hanging="931"/>
        <w:jc w:val="left"/>
        <w:rPr>
          <w:sz w:val="21"/>
        </w:rPr>
      </w:pPr>
      <w:r>
        <w:rPr>
          <w:b/>
          <w:sz w:val="21"/>
        </w:rPr>
        <w:t>保险期间</w:t>
        <w:tab/>
      </w:r>
      <w:r>
        <w:rPr>
          <w:spacing w:val="5"/>
          <w:sz w:val="21"/>
        </w:rPr>
        <w:t>本附加险合同的保险期间自本附加险合同生效日零时起至被保险人</w:t>
      </w:r>
      <w:r>
        <w:rPr>
          <w:spacing w:val="6"/>
          <w:sz w:val="21"/>
        </w:rPr>
        <w:t>年</w:t>
      </w:r>
      <w:r>
        <w:rPr>
          <w:sz w:val="21"/>
        </w:rPr>
        <w:t>满</w:t>
      </w:r>
    </w:p>
    <w:p>
      <w:pPr>
        <w:pStyle w:val="BodyText"/>
        <w:spacing w:before="36"/>
        <w:ind w:left="3306"/>
      </w:pPr>
      <w:r>
        <w:rPr/>
        <w:t>80 周岁的保单周年日零时止。</w:t>
      </w:r>
    </w:p>
    <w:p>
      <w:pPr>
        <w:pStyle w:val="BodyText"/>
        <w:spacing w:before="3"/>
        <w:rPr>
          <w:sz w:val="22"/>
        </w:rPr>
      </w:pPr>
    </w:p>
    <w:p>
      <w:pPr>
        <w:tabs>
          <w:tab w:pos="1152" w:val="left" w:leader="none"/>
        </w:tabs>
        <w:spacing w:line="456" w:lineRule="exact" w:before="61"/>
        <w:ind w:left="400" w:right="0" w:firstLine="0"/>
        <w:jc w:val="left"/>
        <w:rPr>
          <w:b/>
          <w:sz w:val="24"/>
        </w:rPr>
      </w:pPr>
      <w:r>
        <w:rPr>
          <w:rFonts w:ascii="Arial" w:hAnsi="Arial" w:eastAsia="Arial"/>
          <w:b/>
          <w:position w:val="-9"/>
          <w:sz w:val="40"/>
        </w:rPr>
        <w:t></w:t>
        <w:tab/>
      </w:r>
      <w:r>
        <w:rPr>
          <w:b/>
          <w:w w:val="95"/>
          <w:sz w:val="24"/>
        </w:rPr>
        <w:t>我们不保什么</w:t>
      </w:r>
    </w:p>
    <w:p>
      <w:pPr>
        <w:pStyle w:val="Heading3"/>
      </w:pPr>
      <w:r>
        <w:rPr/>
        <w:t>这部分讲的是我们不承担保险责任的情况。</w:t>
      </w:r>
    </w:p>
    <w:p>
      <w:pPr>
        <w:pStyle w:val="BodyText"/>
        <w:spacing w:before="3"/>
        <w:rPr>
          <w:sz w:val="13"/>
        </w:rPr>
      </w:pPr>
      <w:r>
        <w:rPr/>
        <w:pict>
          <v:group style="position:absolute;margin-left:45.66pt;margin-top:10.664309pt;width:501.5pt;height:1pt;mso-position-horizontal-relative:page;mso-position-vertical-relative:paragraph;z-index:1264;mso-wrap-distance-left:0;mso-wrap-distance-right:0" coordorigin="913,213" coordsize="10030,20">
            <v:line style="position:absolute" from="913,223" to="1844,223" stroked="true" strokeweight=".959pt" strokecolor="#000000">
              <v:stroke dashstyle="solid"/>
            </v:line>
            <v:rect style="position:absolute;left:1844;top:213;width:20;height:20" filled="true" fillcolor="#000000" stroked="false">
              <v:fill type="solid"/>
            </v:rect>
            <v:line style="position:absolute" from="1864,223" to="3998,223" stroked="true" strokeweight=".959pt" strokecolor="#000000">
              <v:stroke dashstyle="solid"/>
            </v:line>
            <v:rect style="position:absolute;left:3998;top:213;width:20;height:20" filled="true" fillcolor="#000000" stroked="false">
              <v:fill type="solid"/>
            </v:rect>
            <v:line style="position:absolute" from="4018,223" to="10943,223" stroked="true" strokeweight=".959pt" strokecolor="#000000">
              <v:stroke dashstyle="solid"/>
            </v:line>
            <w10:wrap type="topAndBottom"/>
          </v:group>
        </w:pict>
      </w:r>
    </w:p>
    <w:p>
      <w:pPr>
        <w:pStyle w:val="BodyText"/>
        <w:spacing w:before="7"/>
        <w:rPr>
          <w:sz w:val="22"/>
        </w:rPr>
      </w:pPr>
    </w:p>
    <w:p>
      <w:pPr>
        <w:tabs>
          <w:tab w:pos="1152" w:val="left" w:leader="none"/>
          <w:tab w:pos="3306" w:val="left" w:leader="none"/>
        </w:tabs>
        <w:spacing w:before="35"/>
        <w:ind w:left="221" w:right="0" w:firstLine="0"/>
        <w:jc w:val="left"/>
        <w:rPr>
          <w:sz w:val="21"/>
        </w:rPr>
      </w:pPr>
      <w:r>
        <w:rPr>
          <w:b/>
          <w:sz w:val="21"/>
        </w:rPr>
        <w:t>2.1</w:t>
        <w:tab/>
        <w:t>责任免除</w:t>
        <w:tab/>
      </w:r>
      <w:r>
        <w:rPr>
          <w:sz w:val="21"/>
          <w:shd w:fill="DADADA" w:color="auto" w:val="clear"/>
        </w:rPr>
        <w:t>因下列情形之一导致被保险人初次发生“重大疾病”的，我们不承担给付</w:t>
      </w:r>
    </w:p>
    <w:p>
      <w:pPr>
        <w:pStyle w:val="BodyText"/>
        <w:spacing w:before="37"/>
        <w:ind w:left="3306"/>
      </w:pPr>
      <w:r>
        <w:rPr>
          <w:shd w:fill="DADADA" w:color="auto" w:val="clear"/>
        </w:rPr>
        <w:t>保险金的责任：</w:t>
      </w:r>
    </w:p>
    <w:p>
      <w:pPr>
        <w:pStyle w:val="BodyText"/>
        <w:spacing w:before="37"/>
        <w:ind w:left="3306"/>
      </w:pPr>
      <w:r>
        <w:rPr>
          <w:shd w:fill="DADADA" w:color="auto" w:val="clear"/>
        </w:rPr>
        <w:t>（1）投保人对被保险人的故意杀害、故意伤害；</w:t>
      </w:r>
    </w:p>
    <w:p>
      <w:pPr>
        <w:pStyle w:val="BodyText"/>
        <w:spacing w:before="37"/>
        <w:ind w:left="3306"/>
      </w:pPr>
      <w:r>
        <w:rPr>
          <w:shd w:fill="DADADA" w:color="auto" w:val="clear"/>
        </w:rPr>
        <w:t>（2）被保险人故意自伤、故意犯罪或者抗拒依法采取的刑事强制措施；</w:t>
      </w:r>
    </w:p>
    <w:p>
      <w:pPr>
        <w:spacing w:after="0"/>
        <w:sectPr>
          <w:type w:val="continuous"/>
          <w:pgSz w:w="11910" w:h="16840"/>
          <w:pgMar w:top="540" w:bottom="280" w:left="800" w:right="8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2"/>
        <w:gridCol w:w="6837"/>
      </w:tblGrid>
      <w:tr>
        <w:trPr>
          <w:trHeight w:val="4489" w:hRule="atLeast"/>
        </w:trPr>
        <w:tc>
          <w:tcPr>
            <w:tcW w:w="841" w:type="dxa"/>
          </w:tcPr>
          <w:p>
            <w:pPr>
              <w:pStyle w:val="TableParagraph"/>
              <w:ind w:left="0"/>
              <w:rPr>
                <w:rFonts w:ascii="Times New Roman"/>
                <w:sz w:val="18"/>
              </w:rPr>
            </w:pPr>
          </w:p>
        </w:tc>
        <w:tc>
          <w:tcPr>
            <w:tcW w:w="2352" w:type="dxa"/>
          </w:tcPr>
          <w:p>
            <w:pPr>
              <w:pStyle w:val="TableParagraph"/>
              <w:ind w:left="0"/>
              <w:rPr>
                <w:rFonts w:ascii="Times New Roman"/>
                <w:sz w:val="18"/>
              </w:rPr>
            </w:pPr>
          </w:p>
        </w:tc>
        <w:tc>
          <w:tcPr>
            <w:tcW w:w="6837" w:type="dxa"/>
          </w:tcPr>
          <w:p>
            <w:pPr>
              <w:pStyle w:val="TableParagraph"/>
              <w:spacing w:line="236" w:lineRule="exact"/>
              <w:ind w:left="0"/>
              <w:rPr>
                <w:sz w:val="21"/>
              </w:rPr>
            </w:pP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pStyle w:val="TableParagraph"/>
              <w:spacing w:before="37"/>
              <w:ind w:left="0"/>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pStyle w:val="TableParagraph"/>
              <w:spacing w:line="273" w:lineRule="auto" w:before="37"/>
              <w:ind w:left="504" w:right="105" w:hanging="504"/>
              <w:rPr>
                <w:sz w:val="21"/>
              </w:rPr>
            </w:pPr>
            <w:r>
              <w:rPr>
                <w:spacing w:val="-3"/>
                <w:sz w:val="21"/>
              </w:rPr>
              <w:t>（5）</w:t>
            </w:r>
            <w:r>
              <w:rPr>
                <w:sz w:val="21"/>
              </w:rPr>
              <w:t>被保险人</w:t>
            </w:r>
            <w:r>
              <w:rPr>
                <w:rFonts w:ascii="黑体" w:eastAsia="黑体" w:hint="eastAsia"/>
                <w:b/>
                <w:spacing w:val="-4"/>
                <w:sz w:val="21"/>
              </w:rPr>
              <w:t>感染艾滋病病毒或患艾滋病 </w:t>
            </w:r>
            <w:hyperlink w:history="true" w:anchor="_bookmark8">
              <w:r>
                <w:rPr>
                  <w:rFonts w:ascii="黑体" w:eastAsia="黑体" w:hint="eastAsia"/>
                  <w:b/>
                  <w:position w:val="11"/>
                  <w:sz w:val="11"/>
                </w:rPr>
                <w:t>9</w:t>
              </w:r>
            </w:hyperlink>
            <w:r>
              <w:rPr>
                <w:sz w:val="21"/>
              </w:rPr>
              <w:t>（不包括经输血导致的艾滋病病毒感染或患艾滋病</w:t>
            </w:r>
            <w:r>
              <w:rPr>
                <w:spacing w:val="-105"/>
                <w:sz w:val="21"/>
              </w:rPr>
              <w:t>）</w:t>
            </w:r>
            <w:r>
              <w:rPr>
                <w:sz w:val="21"/>
              </w:rPr>
              <w:t>；</w:t>
            </w:r>
          </w:p>
          <w:p>
            <w:pPr>
              <w:pStyle w:val="TableParagraph"/>
              <w:spacing w:before="7"/>
              <w:ind w:left="0"/>
              <w:rPr>
                <w:sz w:val="21"/>
              </w:rPr>
            </w:pPr>
            <w:r>
              <w:rPr>
                <w:sz w:val="21"/>
                <w:shd w:fill="DADADA" w:color="auto" w:val="clear"/>
              </w:rPr>
              <w:t>（6）战争、军事冲突、暴乱或武装叛乱；</w:t>
            </w:r>
          </w:p>
          <w:p>
            <w:pPr>
              <w:pStyle w:val="TableParagraph"/>
              <w:spacing w:before="36"/>
              <w:ind w:left="0"/>
              <w:rPr>
                <w:sz w:val="21"/>
              </w:rPr>
            </w:pPr>
            <w:r>
              <w:rPr>
                <w:sz w:val="21"/>
                <w:shd w:fill="DADADA" w:color="auto" w:val="clear"/>
              </w:rPr>
              <w:t>（7）核爆炸、核辐射或核污染；</w:t>
            </w:r>
          </w:p>
          <w:p>
            <w:pPr>
              <w:pStyle w:val="TableParagraph"/>
              <w:spacing w:line="273" w:lineRule="auto" w:before="36"/>
              <w:ind w:left="465" w:right="105" w:hanging="466"/>
              <w:rPr>
                <w:sz w:val="21"/>
              </w:rPr>
            </w:pPr>
            <w:r>
              <w:rPr>
                <w:sz w:val="21"/>
              </w:rPr>
              <w:t>（8</w:t>
            </w:r>
            <w:r>
              <w:rPr>
                <w:spacing w:val="-93"/>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34"/>
                  <w:w w:val="99"/>
                  <w:position w:val="11"/>
                  <w:sz w:val="11"/>
                </w:rPr>
                <w:t>1</w:t>
              </w:r>
              <w:r>
                <w:rPr>
                  <w:spacing w:val="-176"/>
                  <w:sz w:val="21"/>
                </w:rPr>
                <w:t>（</w:t>
              </w:r>
              <w:r>
                <w:rPr>
                  <w:rFonts w:ascii="黑体" w:eastAsia="黑体" w:hint="eastAsia"/>
                  <w:b/>
                  <w:w w:val="99"/>
                  <w:position w:val="11"/>
                  <w:sz w:val="11"/>
                </w:rPr>
                <w:t>0</w:t>
              </w:r>
              <w:r>
                <w:rPr>
                  <w:rFonts w:ascii="黑体" w:eastAsia="黑体" w:hint="eastAsia"/>
                  <w:b/>
                  <w:spacing w:val="6"/>
                  <w:position w:val="11"/>
                  <w:sz w:val="11"/>
                </w:rPr>
                <w:t> </w:t>
              </w:r>
            </w:hyperlink>
            <w:r>
              <w:rPr>
                <w:spacing w:val="-5"/>
                <w:sz w:val="21"/>
              </w:rPr>
              <w:t>不包括严重肾髓质囊性病及严重肝豆状核变性</w:t>
            </w:r>
            <w:r>
              <w:rPr>
                <w:spacing w:val="-1"/>
                <w:sz w:val="21"/>
              </w:rPr>
              <w:t>（</w:t>
            </w:r>
            <w:r>
              <w:rPr>
                <w:sz w:val="21"/>
              </w:rPr>
              <w:t>W</w:t>
            </w:r>
            <w:r>
              <w:rPr>
                <w:spacing w:val="-1"/>
                <w:sz w:val="21"/>
              </w:rPr>
              <w:t>i</w:t>
            </w:r>
            <w:r>
              <w:rPr>
                <w:sz w:val="21"/>
              </w:rPr>
              <w:t>l</w:t>
            </w:r>
            <w:r>
              <w:rPr>
                <w:spacing w:val="-1"/>
                <w:sz w:val="21"/>
              </w:rPr>
              <w:t>son</w:t>
            </w:r>
            <w:r>
              <w:rPr>
                <w:sz w:val="21"/>
              </w:rPr>
              <w:t>病</w:t>
            </w:r>
            <w:r>
              <w:rPr>
                <w:spacing w:val="-105"/>
                <w:sz w:val="21"/>
              </w:rPr>
              <w:t>））</w:t>
            </w:r>
            <w:r>
              <w:rPr>
                <w:spacing w:val="-2"/>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10">
              <w:r>
                <w:rPr>
                  <w:rFonts w:ascii="黑体" w:eastAsia="黑体" w:hint="eastAsia"/>
                  <w:b/>
                  <w:spacing w:val="0"/>
                  <w:w w:val="99"/>
                  <w:position w:val="11"/>
                  <w:sz w:val="11"/>
                </w:rPr>
                <w:t>11</w:t>
              </w:r>
            </w:hyperlink>
            <w:r>
              <w:rPr>
                <w:sz w:val="21"/>
              </w:rPr>
              <w:t>。</w:t>
            </w:r>
          </w:p>
          <w:p>
            <w:pPr>
              <w:pStyle w:val="TableParagraph"/>
              <w:spacing w:line="273" w:lineRule="auto" w:before="3"/>
              <w:ind w:left="0" w:right="106"/>
              <w:jc w:val="both"/>
              <w:rPr>
                <w:sz w:val="21"/>
              </w:rPr>
            </w:pPr>
            <w:r>
              <w:rPr>
                <w:spacing w:val="-4"/>
                <w:sz w:val="21"/>
                <w:shd w:fill="DADADA" w:color="auto" w:val="clear"/>
              </w:rPr>
              <w:t>发生上述第</w:t>
            </w:r>
            <w:r>
              <w:rPr>
                <w:spacing w:val="-7"/>
                <w:sz w:val="21"/>
                <w:shd w:fill="DADADA" w:color="auto" w:val="clear"/>
              </w:rPr>
              <w:t>（1）</w:t>
            </w:r>
            <w:r>
              <w:rPr>
                <w:spacing w:val="-4"/>
                <w:sz w:val="21"/>
                <w:shd w:fill="DADADA" w:color="auto" w:val="clear"/>
              </w:rPr>
              <w:t>项情形导致被保险人初次发生“重大疾病”的，本附加险合同终止，主险合同同时终止，我</w:t>
            </w:r>
            <w:r>
              <w:rPr>
                <w:spacing w:val="-16"/>
                <w:sz w:val="21"/>
                <w:shd w:fill="DADADA" w:color="auto" w:val="clear"/>
              </w:rPr>
              <w:t>们向被保险人退还本附加险合同及主险合同的现金价值。</w:t>
            </w:r>
          </w:p>
          <w:p>
            <w:pPr>
              <w:pStyle w:val="TableParagraph"/>
              <w:spacing w:line="273" w:lineRule="auto" w:before="7"/>
              <w:ind w:left="0" w:right="107"/>
              <w:jc w:val="both"/>
              <w:rPr>
                <w:sz w:val="21"/>
              </w:rPr>
            </w:pPr>
            <w:r>
              <w:rPr>
                <w:sz w:val="21"/>
                <w:shd w:fill="DADADA" w:color="auto" w:val="clear"/>
              </w:rPr>
              <w:t>发生上述其他情形导致被保险人初次发生“重大疾病”的，本附加险合同</w:t>
            </w:r>
            <w:r>
              <w:rPr>
                <w:spacing w:val="-210"/>
                <w:sz w:val="21"/>
                <w:shd w:fill="DADADA" w:color="auto" w:val="clear"/>
              </w:rPr>
              <w:t>终</w:t>
            </w:r>
            <w:r>
              <w:rPr>
                <w:sz w:val="21"/>
                <w:shd w:fill="DADADA" w:color="auto" w:val="clear"/>
              </w:rPr>
              <w:t>止，主险合同同时终止，我们向您退还本附加险合同及主险合同的现金价值。</w:t>
            </w:r>
          </w:p>
        </w:tc>
      </w:tr>
      <w:tr>
        <w:trPr>
          <w:trHeight w:val="1250" w:hRule="atLeast"/>
        </w:trPr>
        <w:tc>
          <w:tcPr>
            <w:tcW w:w="841" w:type="dxa"/>
          </w:tcPr>
          <w:p>
            <w:pPr>
              <w:pStyle w:val="TableParagraph"/>
              <w:spacing w:before="123"/>
              <w:ind w:left="108"/>
              <w:rPr>
                <w:b/>
                <w:sz w:val="21"/>
              </w:rPr>
            </w:pPr>
            <w:r>
              <w:rPr>
                <w:b/>
                <w:sz w:val="21"/>
              </w:rPr>
              <w:t>2.2</w:t>
            </w:r>
          </w:p>
        </w:tc>
        <w:tc>
          <w:tcPr>
            <w:tcW w:w="2352" w:type="dxa"/>
          </w:tcPr>
          <w:p>
            <w:pPr>
              <w:pStyle w:val="TableParagraph"/>
              <w:spacing w:before="123"/>
              <w:ind w:left="198"/>
              <w:rPr>
                <w:b/>
                <w:sz w:val="21"/>
              </w:rPr>
            </w:pPr>
            <w:r>
              <w:rPr>
                <w:b/>
                <w:w w:val="95"/>
                <w:sz w:val="21"/>
              </w:rPr>
              <w:t>其他免责条款</w:t>
            </w:r>
          </w:p>
        </w:tc>
        <w:tc>
          <w:tcPr>
            <w:tcW w:w="6837" w:type="dxa"/>
          </w:tcPr>
          <w:p>
            <w:pPr>
              <w:pStyle w:val="TableParagraph"/>
              <w:spacing w:line="273" w:lineRule="auto" w:before="123"/>
              <w:ind w:left="0" w:hanging="1"/>
              <w:rPr>
                <w:sz w:val="21"/>
              </w:rPr>
            </w:pPr>
            <w:r>
              <w:rPr>
                <w:spacing w:val="-15"/>
                <w:sz w:val="21"/>
              </w:rPr>
              <w:t>除</w:t>
            </w:r>
            <w:r>
              <w:rPr>
                <w:sz w:val="21"/>
              </w:rPr>
              <w:t>“2.1</w:t>
            </w:r>
            <w:r>
              <w:rPr>
                <w:spacing w:val="-10"/>
                <w:sz w:val="21"/>
              </w:rPr>
              <w:t> 责任免除”外，本附加险合同中还有一些免除保险人责任的条款， </w:t>
            </w:r>
            <w:r>
              <w:rPr>
                <w:spacing w:val="-12"/>
                <w:sz w:val="21"/>
              </w:rPr>
              <w:t>详见“</w:t>
            </w:r>
            <w:r>
              <w:rPr>
                <w:sz w:val="21"/>
              </w:rPr>
              <w:t>1.1</w:t>
            </w:r>
            <w:r>
              <w:rPr>
                <w:spacing w:val="-38"/>
                <w:sz w:val="21"/>
              </w:rPr>
              <w:t> 保险责任”、“</w:t>
            </w:r>
            <w:r>
              <w:rPr>
                <w:sz w:val="21"/>
              </w:rPr>
              <w:t>7</w:t>
            </w:r>
            <w:r>
              <w:rPr>
                <w:spacing w:val="-29"/>
                <w:sz w:val="21"/>
              </w:rPr>
              <w:t> 重大疾病释义”、“脚注 </w:t>
            </w:r>
            <w:r>
              <w:rPr>
                <w:sz w:val="21"/>
              </w:rPr>
              <w:t>1</w:t>
            </w:r>
            <w:r>
              <w:rPr>
                <w:spacing w:val="-9"/>
                <w:sz w:val="21"/>
              </w:rPr>
              <w:t> 医院”中背景突出显示的内容。</w:t>
            </w:r>
          </w:p>
        </w:tc>
      </w:tr>
      <w:tr>
        <w:trPr>
          <w:trHeight w:val="1158" w:hRule="atLeast"/>
        </w:trPr>
        <w:tc>
          <w:tcPr>
            <w:tcW w:w="841" w:type="dxa"/>
            <w:tcBorders>
              <w:bottom w:val="single" w:sz="8" w:space="0" w:color="000000"/>
            </w:tcBorders>
          </w:tcPr>
          <w:p>
            <w:pPr>
              <w:pStyle w:val="TableParagraph"/>
              <w:spacing w:before="179"/>
              <w:ind w:left="286"/>
              <w:rPr>
                <w:rFonts w:ascii="Arial" w:hAnsi="Arial"/>
                <w:b/>
                <w:sz w:val="40"/>
              </w:rPr>
            </w:pPr>
            <w:r>
              <w:rPr>
                <w:rFonts w:ascii="Arial" w:hAnsi="Arial"/>
                <w:b/>
                <w:w w:val="118"/>
                <w:sz w:val="40"/>
              </w:rPr>
              <w:t></w:t>
            </w:r>
          </w:p>
        </w:tc>
        <w:tc>
          <w:tcPr>
            <w:tcW w:w="9189" w:type="dxa"/>
            <w:gridSpan w:val="2"/>
            <w:tcBorders>
              <w:bottom w:val="single" w:sz="8" w:space="0" w:color="000000"/>
            </w:tcBorders>
          </w:tcPr>
          <w:p>
            <w:pPr>
              <w:pStyle w:val="TableParagraph"/>
              <w:spacing w:before="178"/>
              <w:ind w:left="198"/>
              <w:rPr>
                <w:b/>
                <w:sz w:val="24"/>
              </w:rPr>
            </w:pPr>
            <w:r>
              <w:rPr>
                <w:b/>
                <w:w w:val="95"/>
                <w:sz w:val="24"/>
              </w:rPr>
              <w:t>如何支付保险费</w:t>
            </w:r>
          </w:p>
          <w:p>
            <w:pPr>
              <w:pStyle w:val="TableParagraph"/>
              <w:spacing w:before="133"/>
              <w:ind w:left="198"/>
              <w:rPr>
                <w:sz w:val="24"/>
              </w:rPr>
            </w:pPr>
            <w:r>
              <w:rPr>
                <w:sz w:val="24"/>
              </w:rPr>
              <w:t>这部分讲的是您应当按时交纳保险费，如果不及时交费可能会导致合同效力中止。</w:t>
            </w:r>
          </w:p>
        </w:tc>
      </w:tr>
      <w:tr>
        <w:trPr>
          <w:trHeight w:val="1715" w:hRule="atLeast"/>
        </w:trPr>
        <w:tc>
          <w:tcPr>
            <w:tcW w:w="841" w:type="dxa"/>
            <w:tcBorders>
              <w:top w:val="single" w:sz="8" w:space="0" w:color="000000"/>
            </w:tcBorders>
          </w:tcPr>
          <w:p>
            <w:pPr>
              <w:pStyle w:val="TableParagraph"/>
              <w:spacing w:before="4"/>
              <w:ind w:left="0"/>
              <w:rPr>
                <w:sz w:val="22"/>
              </w:rPr>
            </w:pPr>
          </w:p>
          <w:p>
            <w:pPr>
              <w:pStyle w:val="TableParagraph"/>
              <w:spacing w:before="1"/>
              <w:ind w:left="108"/>
              <w:rPr>
                <w:b/>
                <w:sz w:val="21"/>
              </w:rPr>
            </w:pPr>
            <w:r>
              <w:rPr>
                <w:b/>
                <w:sz w:val="21"/>
              </w:rPr>
              <w:t>3.1</w:t>
            </w:r>
          </w:p>
        </w:tc>
        <w:tc>
          <w:tcPr>
            <w:tcW w:w="2352" w:type="dxa"/>
            <w:tcBorders>
              <w:top w:val="single" w:sz="8" w:space="0" w:color="000000"/>
            </w:tcBorders>
          </w:tcPr>
          <w:p>
            <w:pPr>
              <w:pStyle w:val="TableParagraph"/>
              <w:spacing w:before="4"/>
              <w:ind w:left="0"/>
              <w:rPr>
                <w:sz w:val="22"/>
              </w:rPr>
            </w:pPr>
          </w:p>
          <w:p>
            <w:pPr>
              <w:pStyle w:val="TableParagraph"/>
              <w:spacing w:before="1"/>
              <w:ind w:left="198"/>
              <w:rPr>
                <w:b/>
                <w:sz w:val="21"/>
              </w:rPr>
            </w:pPr>
            <w:r>
              <w:rPr>
                <w:b/>
                <w:w w:val="95"/>
                <w:sz w:val="21"/>
              </w:rPr>
              <w:t>保险费的支付</w:t>
            </w:r>
          </w:p>
        </w:tc>
        <w:tc>
          <w:tcPr>
            <w:tcW w:w="6837" w:type="dxa"/>
            <w:tcBorders>
              <w:top w:val="single" w:sz="8" w:space="0" w:color="000000"/>
            </w:tcBorders>
          </w:tcPr>
          <w:p>
            <w:pPr>
              <w:pStyle w:val="TableParagraph"/>
              <w:spacing w:before="4"/>
              <w:ind w:left="0"/>
              <w:rPr>
                <w:sz w:val="22"/>
              </w:rPr>
            </w:pPr>
          </w:p>
          <w:p>
            <w:pPr>
              <w:pStyle w:val="TableParagraph"/>
              <w:spacing w:line="273" w:lineRule="auto" w:before="1"/>
              <w:ind w:left="0" w:right="105"/>
              <w:rPr>
                <w:sz w:val="21"/>
              </w:rPr>
            </w:pPr>
            <w:r>
              <w:rPr>
                <w:spacing w:val="-9"/>
                <w:sz w:val="21"/>
              </w:rPr>
              <w:t>本附加险合同的交费方式和交费期间由您和我们约定并在保险单上载明。 </w:t>
            </w:r>
            <w:r>
              <w:rPr>
                <w:spacing w:val="-17"/>
                <w:sz w:val="21"/>
              </w:rPr>
              <w:t>分期支付保险费的，在支付首期保险费后，您应当在</w:t>
            </w:r>
            <w:r>
              <w:rPr>
                <w:rFonts w:ascii="黑体" w:eastAsia="黑体" w:hint="eastAsia"/>
                <w:b/>
                <w:spacing w:val="-6"/>
                <w:sz w:val="21"/>
              </w:rPr>
              <w:t>保险费约定支付日 </w:t>
            </w:r>
            <w:hyperlink w:history="true" w:anchor="_bookmark11">
              <w:r>
                <w:rPr>
                  <w:rFonts w:ascii="黑体" w:eastAsia="黑体" w:hint="eastAsia"/>
                  <w:b/>
                  <w:position w:val="11"/>
                  <w:sz w:val="11"/>
                </w:rPr>
                <w:t>12</w:t>
              </w:r>
            </w:hyperlink>
            <w:r>
              <w:rPr>
                <w:sz w:val="21"/>
              </w:rPr>
              <w:t>支付其余各期的保险费。</w:t>
            </w:r>
          </w:p>
          <w:p>
            <w:pPr>
              <w:pStyle w:val="TableParagraph"/>
              <w:spacing w:before="8"/>
              <w:ind w:left="0"/>
              <w:rPr>
                <w:sz w:val="21"/>
              </w:rPr>
            </w:pPr>
            <w:r>
              <w:rPr>
                <w:sz w:val="21"/>
              </w:rPr>
              <w:t>本附加险合同的保险费必须随主险合同保险费一同支付，不能单独支付。</w:t>
            </w:r>
          </w:p>
        </w:tc>
      </w:tr>
      <w:tr>
        <w:trPr>
          <w:trHeight w:val="1353" w:hRule="atLeast"/>
        </w:trPr>
        <w:tc>
          <w:tcPr>
            <w:tcW w:w="841" w:type="dxa"/>
          </w:tcPr>
          <w:p>
            <w:pPr>
              <w:pStyle w:val="TableParagraph"/>
              <w:spacing w:before="137"/>
              <w:ind w:left="108"/>
              <w:rPr>
                <w:b/>
                <w:sz w:val="21"/>
              </w:rPr>
            </w:pPr>
            <w:r>
              <w:rPr>
                <w:b/>
                <w:sz w:val="21"/>
              </w:rPr>
              <w:t>3.2</w:t>
            </w:r>
          </w:p>
        </w:tc>
        <w:tc>
          <w:tcPr>
            <w:tcW w:w="2352" w:type="dxa"/>
          </w:tcPr>
          <w:p>
            <w:pPr>
              <w:pStyle w:val="TableParagraph"/>
              <w:spacing w:before="137"/>
              <w:ind w:left="198"/>
              <w:rPr>
                <w:b/>
                <w:sz w:val="21"/>
              </w:rPr>
            </w:pPr>
            <w:r>
              <w:rPr>
                <w:b/>
                <w:sz w:val="21"/>
              </w:rPr>
              <w:t>宽限期</w:t>
            </w:r>
          </w:p>
        </w:tc>
        <w:tc>
          <w:tcPr>
            <w:tcW w:w="6837" w:type="dxa"/>
          </w:tcPr>
          <w:p>
            <w:pPr>
              <w:pStyle w:val="TableParagraph"/>
              <w:spacing w:line="310" w:lineRule="atLeast" w:before="101"/>
              <w:ind w:left="-1" w:right="106"/>
              <w:jc w:val="both"/>
              <w:rPr>
                <w:sz w:val="21"/>
              </w:rPr>
            </w:pPr>
            <w:r>
              <w:rPr>
                <w:sz w:val="21"/>
              </w:rPr>
              <w:t>分期支付保险费的，在支付首期保险费后，除本附加险合同另有约定外， </w:t>
            </w:r>
            <w:r>
              <w:rPr>
                <w:spacing w:val="-10"/>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tc>
      </w:tr>
    </w:tbl>
    <w:p>
      <w:pPr>
        <w:pStyle w:val="BodyText"/>
        <w:spacing w:before="7"/>
        <w:rPr>
          <w:sz w:val="16"/>
        </w:rPr>
      </w:pPr>
      <w:r>
        <w:rPr/>
        <w:pict>
          <v:line style="position:absolute;mso-position-horizontal-relative:page;mso-position-vertical-relative:paragraph;z-index:1288;mso-wrap-distance-left:0;mso-wrap-distance-right:0" from="51.060001pt,13.104438pt" to="195.060001pt,13.104438pt" stroked="true" strokeweight=".54pt" strokecolor="#000000">
            <v:stroke dashstyle="solid"/>
            <w10:wrap type="topAndBottom"/>
          </v:line>
        </w:pict>
      </w:r>
      <w:r>
        <w:rPr/>
        <w:pict>
          <v:shape style="position:absolute;margin-left:205.320007pt;margin-top:57.659946pt;width:200.35pt;height:44.85pt;mso-position-horizontal-relative:page;mso-position-vertical-relative:page;z-index:-30472" coordorigin="4106,1153" coordsize="4007,897" path="m7394,1465l4106,1465,4106,1738,7394,1738,7394,1465m7692,1153l4106,1153,4106,1426,7692,1426,7692,1153m8113,1777l4106,1777,4106,2050,8113,2050,8113,1777e" filled="true" fillcolor="#dadada" stroked="false">
            <v:path arrowok="t"/>
            <v:fill type="solid"/>
            <w10:wrap type="none"/>
          </v:shape>
        </w:pict>
      </w:r>
      <w:r>
        <w:rPr/>
        <w:pict>
          <v:shape style="position:absolute;margin-left:205.320007pt;margin-top:151.259949pt;width:221.6pt;height:29.25pt;mso-position-horizontal-relative:page;mso-position-vertical-relative:page;z-index:-30448" coordorigin="4106,3025" coordsize="4432,585" path="m5770,3025l4106,3025,4106,3298,5770,3298,5770,3025m8538,3337l5202,3337,5202,3610,8538,3610,8538,3337e" filled="true" fillcolor="#dadada" stroked="false">
            <v:path arrowok="t"/>
            <v:fill type="solid"/>
            <w10:wrap type="none"/>
          </v:shape>
        </w:pict>
      </w:r>
    </w:p>
    <w:p>
      <w:pPr>
        <w:spacing w:line="259" w:lineRule="auto" w:before="18"/>
        <w:ind w:left="366" w:right="158"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162" w:hanging="146"/>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3"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159" w:hanging="146"/>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3"/>
        <w:ind w:left="389" w:right="13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3"/>
        <w:ind w:left="402" w:right="0" w:firstLine="0"/>
        <w:jc w:val="left"/>
        <w:rPr>
          <w:sz w:val="18"/>
        </w:rPr>
      </w:pPr>
      <w:r>
        <w:rPr>
          <w:sz w:val="18"/>
        </w:rPr>
        <w:t>直传递的特征。</w:t>
      </w:r>
    </w:p>
    <w:p>
      <w:pPr>
        <w:spacing w:line="280" w:lineRule="exact" w:before="36"/>
        <w:ind w:left="402" w:right="158"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2" w:right="157"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140" w:bottom="280" w:left="800" w:right="860"/>
        </w:sectPr>
      </w:pPr>
    </w:p>
    <w:p>
      <w:pPr>
        <w:pStyle w:val="BodyText"/>
        <w:spacing w:line="273" w:lineRule="auto" w:before="20"/>
        <w:ind w:left="3306" w:right="230"/>
      </w:pPr>
      <w:r>
        <w:rPr/>
        <w:t>如果您宽限期结束之后仍未支付保险费，则本附加险合同自宽限期满的次日零时起效力中止。</w:t>
      </w:r>
    </w:p>
    <w:p>
      <w:pPr>
        <w:pStyle w:val="BodyText"/>
        <w:spacing w:before="1"/>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245"/>
        <w:gridCol w:w="6947"/>
      </w:tblGrid>
      <w:tr>
        <w:trPr>
          <w:trHeight w:val="2264" w:hRule="atLeast"/>
        </w:trPr>
        <w:tc>
          <w:tcPr>
            <w:tcW w:w="841" w:type="dxa"/>
          </w:tcPr>
          <w:p>
            <w:pPr>
              <w:pStyle w:val="TableParagraph"/>
              <w:spacing w:line="210" w:lineRule="exact"/>
              <w:ind w:left="108"/>
              <w:rPr>
                <w:b/>
                <w:sz w:val="21"/>
              </w:rPr>
            </w:pPr>
            <w:r>
              <w:rPr>
                <w:b/>
                <w:sz w:val="21"/>
              </w:rPr>
              <w:t>3.3</w:t>
            </w:r>
          </w:p>
        </w:tc>
        <w:tc>
          <w:tcPr>
            <w:tcW w:w="2245" w:type="dxa"/>
          </w:tcPr>
          <w:p>
            <w:pPr>
              <w:pStyle w:val="TableParagraph"/>
              <w:spacing w:line="210" w:lineRule="exact"/>
              <w:ind w:left="198"/>
              <w:rPr>
                <w:b/>
                <w:sz w:val="21"/>
              </w:rPr>
            </w:pPr>
            <w:r>
              <w:rPr>
                <w:b/>
                <w:w w:val="95"/>
                <w:sz w:val="21"/>
              </w:rPr>
              <w:t>效力中止与恢复</w:t>
            </w:r>
          </w:p>
        </w:tc>
        <w:tc>
          <w:tcPr>
            <w:tcW w:w="6947" w:type="dxa"/>
          </w:tcPr>
          <w:p>
            <w:pPr>
              <w:pStyle w:val="TableParagraph"/>
              <w:spacing w:line="210" w:lineRule="exact"/>
              <w:ind w:left="107"/>
              <w:rPr>
                <w:sz w:val="21"/>
              </w:rPr>
            </w:pPr>
            <w:r>
              <w:rPr>
                <w:sz w:val="21"/>
              </w:rPr>
              <w:t>在本附加险合同效力中止期间，我们不承担保险责任。</w:t>
            </w:r>
          </w:p>
          <w:p>
            <w:pPr>
              <w:pStyle w:val="TableParagraph"/>
              <w:spacing w:line="273" w:lineRule="auto" w:before="37"/>
              <w:ind w:left="107" w:right="109"/>
              <w:rPr>
                <w:sz w:val="21"/>
              </w:rPr>
            </w:pPr>
            <w:r>
              <w:rPr>
                <w:spacing w:val="-5"/>
                <w:sz w:val="21"/>
              </w:rPr>
              <w:t>本附加险合同效力中止后 </w:t>
            </w:r>
            <w:r>
              <w:rPr>
                <w:sz w:val="21"/>
              </w:rPr>
              <w:t>2</w:t>
            </w:r>
            <w:r>
              <w:rPr>
                <w:spacing w:val="-8"/>
                <w:sz w:val="21"/>
              </w:rPr>
              <w:t> 年内，您可以申请恢复合同效力。经您与我们协商并达成协议，自您补交保险费之日起，合同效力恢复。</w:t>
            </w:r>
          </w:p>
          <w:p>
            <w:pPr>
              <w:pStyle w:val="TableParagraph"/>
              <w:spacing w:before="7"/>
              <w:ind w:left="107"/>
              <w:rPr>
                <w:sz w:val="21"/>
              </w:rPr>
            </w:pPr>
            <w:r>
              <w:rPr>
                <w:sz w:val="21"/>
              </w:rPr>
              <w:t>主险合同效力中止期间，本附加险合同不得单独申请复效。</w:t>
            </w:r>
          </w:p>
          <w:p>
            <w:pPr>
              <w:pStyle w:val="TableParagraph"/>
              <w:spacing w:line="273" w:lineRule="auto" w:before="36"/>
              <w:ind w:left="107" w:right="109"/>
              <w:jc w:val="both"/>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w:t>
            </w:r>
          </w:p>
        </w:tc>
      </w:tr>
      <w:tr>
        <w:trPr>
          <w:trHeight w:val="1117" w:hRule="atLeast"/>
        </w:trPr>
        <w:tc>
          <w:tcPr>
            <w:tcW w:w="841" w:type="dxa"/>
            <w:tcBorders>
              <w:bottom w:val="single" w:sz="8" w:space="0" w:color="000000"/>
            </w:tcBorders>
          </w:tcPr>
          <w:p>
            <w:pPr>
              <w:pStyle w:val="TableParagraph"/>
              <w:spacing w:before="143"/>
              <w:ind w:left="0" w:right="195"/>
              <w:jc w:val="right"/>
              <w:rPr>
                <w:rFonts w:ascii="Arial" w:hAnsi="Arial"/>
                <w:b/>
                <w:sz w:val="40"/>
              </w:rPr>
            </w:pPr>
            <w:r>
              <w:rPr>
                <w:rFonts w:ascii="Arial" w:hAnsi="Arial"/>
                <w:b/>
                <w:w w:val="118"/>
                <w:sz w:val="40"/>
              </w:rPr>
              <w:t></w:t>
            </w:r>
          </w:p>
        </w:tc>
        <w:tc>
          <w:tcPr>
            <w:tcW w:w="9192" w:type="dxa"/>
            <w:gridSpan w:val="2"/>
            <w:tcBorders>
              <w:bottom w:val="single" w:sz="8" w:space="0" w:color="000000"/>
            </w:tcBorders>
          </w:tcPr>
          <w:p>
            <w:pPr>
              <w:pStyle w:val="TableParagraph"/>
              <w:spacing w:before="142"/>
              <w:ind w:left="198"/>
              <w:rPr>
                <w:b/>
                <w:sz w:val="24"/>
              </w:rPr>
            </w:pPr>
            <w:r>
              <w:rPr>
                <w:b/>
                <w:w w:val="95"/>
                <w:sz w:val="24"/>
              </w:rPr>
              <w:t>如何领取保险金</w:t>
            </w:r>
          </w:p>
          <w:p>
            <w:pPr>
              <w:pStyle w:val="TableParagraph"/>
              <w:spacing w:before="133"/>
              <w:ind w:left="198"/>
              <w:rPr>
                <w:sz w:val="24"/>
              </w:rPr>
            </w:pPr>
            <w:r>
              <w:rPr>
                <w:sz w:val="24"/>
              </w:rPr>
              <w:t>这部分讲的是发生重大疾病后受益人如何领取保险金。</w:t>
            </w:r>
          </w:p>
        </w:tc>
      </w:tr>
      <w:tr>
        <w:trPr>
          <w:trHeight w:val="764" w:hRule="atLeast"/>
        </w:trPr>
        <w:tc>
          <w:tcPr>
            <w:tcW w:w="841" w:type="dxa"/>
            <w:tcBorders>
              <w:top w:val="single" w:sz="8" w:space="0" w:color="000000"/>
            </w:tcBorders>
          </w:tcPr>
          <w:p>
            <w:pPr>
              <w:pStyle w:val="TableParagraph"/>
              <w:spacing w:before="8"/>
              <w:ind w:left="0"/>
              <w:rPr>
                <w:sz w:val="22"/>
              </w:rPr>
            </w:pPr>
          </w:p>
          <w:p>
            <w:pPr>
              <w:pStyle w:val="TableParagraph"/>
              <w:spacing w:before="1"/>
              <w:ind w:left="108"/>
              <w:rPr>
                <w:b/>
                <w:sz w:val="21"/>
              </w:rPr>
            </w:pPr>
            <w:r>
              <w:rPr>
                <w:b/>
                <w:sz w:val="21"/>
              </w:rPr>
              <w:t>4.1</w:t>
            </w:r>
          </w:p>
        </w:tc>
        <w:tc>
          <w:tcPr>
            <w:tcW w:w="2245" w:type="dxa"/>
            <w:tcBorders>
              <w:top w:val="single" w:sz="8" w:space="0" w:color="000000"/>
            </w:tcBorders>
          </w:tcPr>
          <w:p>
            <w:pPr>
              <w:pStyle w:val="TableParagraph"/>
              <w:spacing w:before="8"/>
              <w:ind w:left="0"/>
              <w:rPr>
                <w:sz w:val="22"/>
              </w:rPr>
            </w:pPr>
          </w:p>
          <w:p>
            <w:pPr>
              <w:pStyle w:val="TableParagraph"/>
              <w:spacing w:before="1"/>
              <w:ind w:left="198"/>
              <w:rPr>
                <w:b/>
                <w:sz w:val="21"/>
              </w:rPr>
            </w:pPr>
            <w:r>
              <w:rPr>
                <w:b/>
                <w:sz w:val="21"/>
              </w:rPr>
              <w:t>受益人</w:t>
            </w:r>
          </w:p>
        </w:tc>
        <w:tc>
          <w:tcPr>
            <w:tcW w:w="6947" w:type="dxa"/>
            <w:tcBorders>
              <w:top w:val="single" w:sz="8" w:space="0" w:color="000000"/>
            </w:tcBorders>
          </w:tcPr>
          <w:p>
            <w:pPr>
              <w:pStyle w:val="TableParagraph"/>
              <w:spacing w:before="8"/>
              <w:ind w:left="0"/>
              <w:rPr>
                <w:sz w:val="22"/>
              </w:rPr>
            </w:pPr>
          </w:p>
          <w:p>
            <w:pPr>
              <w:pStyle w:val="TableParagraph"/>
              <w:spacing w:before="1"/>
              <w:ind w:left="107"/>
              <w:rPr>
                <w:sz w:val="21"/>
              </w:rPr>
            </w:pPr>
            <w:r>
              <w:rPr>
                <w:sz w:val="21"/>
              </w:rPr>
              <w:t>除另有指定外，重大疾病保险金受益人为被保险人本人。</w:t>
            </w:r>
          </w:p>
        </w:tc>
      </w:tr>
      <w:tr>
        <w:trPr>
          <w:trHeight w:val="601" w:hRule="atLeast"/>
        </w:trPr>
        <w:tc>
          <w:tcPr>
            <w:tcW w:w="841" w:type="dxa"/>
          </w:tcPr>
          <w:p>
            <w:pPr>
              <w:pStyle w:val="TableParagraph"/>
              <w:spacing w:before="128"/>
              <w:ind w:left="108"/>
              <w:rPr>
                <w:b/>
                <w:sz w:val="21"/>
              </w:rPr>
            </w:pPr>
            <w:r>
              <w:rPr>
                <w:b/>
                <w:sz w:val="21"/>
              </w:rPr>
              <w:t>4.2</w:t>
            </w:r>
          </w:p>
        </w:tc>
        <w:tc>
          <w:tcPr>
            <w:tcW w:w="2245" w:type="dxa"/>
          </w:tcPr>
          <w:p>
            <w:pPr>
              <w:pStyle w:val="TableParagraph"/>
              <w:spacing w:before="128"/>
              <w:ind w:left="198"/>
              <w:rPr>
                <w:b/>
                <w:sz w:val="21"/>
              </w:rPr>
            </w:pPr>
            <w:r>
              <w:rPr>
                <w:b/>
                <w:w w:val="95"/>
                <w:sz w:val="21"/>
              </w:rPr>
              <w:t>保险金申请</w:t>
            </w:r>
          </w:p>
        </w:tc>
        <w:tc>
          <w:tcPr>
            <w:tcW w:w="6947" w:type="dxa"/>
          </w:tcPr>
          <w:p>
            <w:pPr>
              <w:pStyle w:val="TableParagraph"/>
              <w:spacing w:before="128"/>
              <w:ind w:left="107"/>
              <w:rPr>
                <w:sz w:val="21"/>
              </w:rPr>
            </w:pPr>
            <w:r>
              <w:rPr>
                <w:sz w:val="21"/>
              </w:rPr>
              <w:t>在申请保险金时，请按照下列方式办理：</w:t>
            </w:r>
          </w:p>
        </w:tc>
      </w:tr>
      <w:tr>
        <w:trPr>
          <w:trHeight w:val="2803" w:hRule="atLeast"/>
        </w:trPr>
        <w:tc>
          <w:tcPr>
            <w:tcW w:w="841" w:type="dxa"/>
          </w:tcPr>
          <w:p>
            <w:pPr>
              <w:pStyle w:val="TableParagraph"/>
              <w:ind w:left="0"/>
              <w:rPr>
                <w:rFonts w:ascii="Times New Roman"/>
                <w:sz w:val="20"/>
              </w:rPr>
            </w:pPr>
          </w:p>
        </w:tc>
        <w:tc>
          <w:tcPr>
            <w:tcW w:w="2245" w:type="dxa"/>
          </w:tcPr>
          <w:p>
            <w:pPr>
              <w:pStyle w:val="TableParagraph"/>
              <w:spacing w:line="232" w:lineRule="auto" w:before="128"/>
              <w:ind w:left="198" w:right="104"/>
              <w:rPr>
                <w:rFonts w:ascii="等线" w:eastAsia="等线" w:hint="eastAsia"/>
                <w:b/>
                <w:sz w:val="24"/>
              </w:rPr>
            </w:pPr>
            <w:r>
              <w:rPr>
                <w:rFonts w:ascii="等线" w:eastAsia="等线" w:hint="eastAsia"/>
                <w:b/>
                <w:sz w:val="24"/>
              </w:rPr>
              <w:t>重大疾病保险金申请</w:t>
            </w:r>
          </w:p>
        </w:tc>
        <w:tc>
          <w:tcPr>
            <w:tcW w:w="6947" w:type="dxa"/>
          </w:tcPr>
          <w:p>
            <w:pPr>
              <w:pStyle w:val="TableParagraph"/>
              <w:spacing w:before="151"/>
              <w:ind w:left="107"/>
              <w:rPr>
                <w:sz w:val="21"/>
              </w:rPr>
            </w:pPr>
            <w:r>
              <w:rPr>
                <w:sz w:val="21"/>
              </w:rPr>
              <w:t>由受益人填写保险金给付申请书，并提供下列证明和资料：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47" w:right="110" w:hanging="524"/>
              <w:rPr>
                <w:sz w:val="21"/>
              </w:rPr>
            </w:pPr>
            <w:r>
              <w:rPr>
                <w:sz w:val="21"/>
              </w:rPr>
              <w:t>（3）医院出具的附有病理显微镜检查、血液检验及其他科学方法检验报告的疾病诊断证明书；</w:t>
            </w:r>
          </w:p>
          <w:p>
            <w:pPr>
              <w:pStyle w:val="TableParagraph"/>
              <w:spacing w:before="7"/>
              <w:ind w:left="107"/>
              <w:rPr>
                <w:sz w:val="21"/>
              </w:rPr>
            </w:pPr>
            <w:r>
              <w:rPr>
                <w:sz w:val="21"/>
              </w:rPr>
              <w:t>（4）与确认保险事故的性质、原因等有关的其他证明和资料。</w:t>
            </w:r>
          </w:p>
          <w:p>
            <w:pPr>
              <w:pStyle w:val="TableParagraph"/>
              <w:spacing w:line="273" w:lineRule="auto" w:before="36"/>
              <w:ind w:left="107" w:right="110"/>
              <w:rPr>
                <w:sz w:val="21"/>
              </w:rPr>
            </w:pPr>
            <w:r>
              <w:rPr>
                <w:sz w:val="21"/>
              </w:rPr>
              <w:t>以上证明和资料不完整的，我们将一次性通知受益人补充提供有关证明和资料。</w:t>
            </w:r>
          </w:p>
        </w:tc>
      </w:tr>
      <w:tr>
        <w:trPr>
          <w:trHeight w:val="3705" w:hRule="atLeast"/>
        </w:trPr>
        <w:tc>
          <w:tcPr>
            <w:tcW w:w="841" w:type="dxa"/>
          </w:tcPr>
          <w:p>
            <w:pPr>
              <w:pStyle w:val="TableParagraph"/>
              <w:spacing w:before="128"/>
              <w:ind w:left="108"/>
              <w:rPr>
                <w:b/>
                <w:sz w:val="21"/>
              </w:rPr>
            </w:pPr>
            <w:r>
              <w:rPr>
                <w:b/>
                <w:sz w:val="21"/>
              </w:rPr>
              <w:t>4.3</w:t>
            </w:r>
          </w:p>
        </w:tc>
        <w:tc>
          <w:tcPr>
            <w:tcW w:w="2245" w:type="dxa"/>
          </w:tcPr>
          <w:p>
            <w:pPr>
              <w:pStyle w:val="TableParagraph"/>
              <w:spacing w:before="128"/>
              <w:ind w:left="198"/>
              <w:rPr>
                <w:b/>
                <w:sz w:val="21"/>
              </w:rPr>
            </w:pPr>
            <w:r>
              <w:rPr>
                <w:b/>
                <w:w w:val="95"/>
                <w:sz w:val="21"/>
              </w:rPr>
              <w:t>保险金的给付</w:t>
            </w:r>
          </w:p>
        </w:tc>
        <w:tc>
          <w:tcPr>
            <w:tcW w:w="6947" w:type="dxa"/>
          </w:tcPr>
          <w:p>
            <w:pPr>
              <w:pStyle w:val="TableParagraph"/>
              <w:spacing w:before="128"/>
              <w:ind w:left="107"/>
              <w:rPr>
                <w:sz w:val="21"/>
              </w:rPr>
            </w:pPr>
            <w:r>
              <w:rPr>
                <w:sz w:val="21"/>
              </w:rPr>
              <w:t>我们在收到保险金给付申请书及上述有关证明和资料后，将在 5 日内作出</w:t>
            </w:r>
          </w:p>
          <w:p>
            <w:pPr>
              <w:pStyle w:val="TableParagraph"/>
              <w:spacing w:before="37"/>
              <w:ind w:left="107"/>
              <w:rPr>
                <w:sz w:val="21"/>
              </w:rPr>
            </w:pPr>
            <w:r>
              <w:rPr>
                <w:sz w:val="21"/>
              </w:rPr>
              <w:t>核定；情形复杂的，在 30 日内作出核定。</w:t>
            </w:r>
          </w:p>
          <w:p>
            <w:pPr>
              <w:pStyle w:val="TableParagraph"/>
              <w:spacing w:line="273" w:lineRule="auto" w:before="37"/>
              <w:ind w:right="108"/>
              <w:jc w:val="both"/>
              <w:rPr>
                <w:sz w:val="21"/>
              </w:rPr>
            </w:pPr>
            <w:r>
              <w:rPr>
                <w:spacing w:val="-8"/>
                <w:sz w:val="21"/>
              </w:rPr>
              <w:t>对属于保险责任的，我们在与受益人达成给付保险金的协议后 </w:t>
            </w:r>
            <w:r>
              <w:rPr>
                <w:sz w:val="21"/>
              </w:rPr>
              <w:t>10</w:t>
            </w:r>
            <w:r>
              <w:rPr>
                <w:spacing w:val="-21"/>
                <w:sz w:val="21"/>
              </w:rPr>
              <w:t> 日内，履行给付保险金义务；若我们在收到保险金给付申请书及上述有关证明和资</w:t>
            </w:r>
            <w:r>
              <w:rPr>
                <w:spacing w:val="-29"/>
                <w:sz w:val="21"/>
              </w:rPr>
              <w:t>料后第 </w:t>
            </w:r>
            <w:r>
              <w:rPr>
                <w:sz w:val="21"/>
              </w:rPr>
              <w:t>30</w:t>
            </w:r>
            <w:r>
              <w:rPr>
                <w:spacing w:val="-10"/>
                <w:sz w:val="21"/>
              </w:rPr>
              <w:t> 日仍未作出核定，除支付保险金外，我们将从第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5"/>
                <w:sz w:val="21"/>
              </w:rPr>
              <w:t>和资料的，则上述的 </w:t>
            </w:r>
            <w:r>
              <w:rPr>
                <w:sz w:val="21"/>
              </w:rPr>
              <w:t>30</w:t>
            </w:r>
            <w:r>
              <w:rPr>
                <w:spacing w:val="-8"/>
                <w:sz w:val="21"/>
              </w:rPr>
              <w:t> 日不包括补充提供有关证明和资料的期间。</w:t>
            </w:r>
          </w:p>
          <w:p>
            <w:pPr>
              <w:pStyle w:val="TableParagraph"/>
              <w:spacing w:line="273" w:lineRule="auto" w:before="7"/>
              <w:ind w:left="107" w:right="109"/>
              <w:jc w:val="both"/>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r>
        <w:trPr>
          <w:trHeight w:val="1117" w:hRule="atLeast"/>
        </w:trPr>
        <w:tc>
          <w:tcPr>
            <w:tcW w:w="841" w:type="dxa"/>
            <w:tcBorders>
              <w:bottom w:val="single" w:sz="8" w:space="0" w:color="000000"/>
            </w:tcBorders>
          </w:tcPr>
          <w:p>
            <w:pPr>
              <w:pStyle w:val="TableParagraph"/>
              <w:spacing w:before="144"/>
              <w:ind w:left="0" w:right="195"/>
              <w:jc w:val="right"/>
              <w:rPr>
                <w:rFonts w:ascii="Arial" w:hAnsi="Arial"/>
                <w:b/>
                <w:sz w:val="40"/>
              </w:rPr>
            </w:pPr>
            <w:r>
              <w:rPr>
                <w:rFonts w:ascii="Arial" w:hAnsi="Arial"/>
                <w:b/>
                <w:w w:val="118"/>
                <w:sz w:val="40"/>
              </w:rPr>
              <w:t></w:t>
            </w:r>
          </w:p>
        </w:tc>
        <w:tc>
          <w:tcPr>
            <w:tcW w:w="9192" w:type="dxa"/>
            <w:gridSpan w:val="2"/>
            <w:tcBorders>
              <w:bottom w:val="single" w:sz="8" w:space="0" w:color="000000"/>
            </w:tcBorders>
          </w:tcPr>
          <w:p>
            <w:pPr>
              <w:pStyle w:val="TableParagraph"/>
              <w:spacing w:before="142"/>
              <w:ind w:left="198"/>
              <w:rPr>
                <w:b/>
                <w:sz w:val="24"/>
              </w:rPr>
            </w:pPr>
            <w:r>
              <w:rPr>
                <w:b/>
                <w:sz w:val="24"/>
              </w:rPr>
              <w:t>如何退保</w:t>
            </w:r>
          </w:p>
          <w:p>
            <w:pPr>
              <w:pStyle w:val="TableParagraph"/>
              <w:spacing w:before="132"/>
              <w:ind w:left="198" w:right="-15"/>
              <w:rPr>
                <w:sz w:val="24"/>
              </w:rPr>
            </w:pPr>
            <w:r>
              <w:rPr>
                <w:spacing w:val="-12"/>
                <w:sz w:val="24"/>
              </w:rPr>
              <w:t>这部分讲的是您可以随时申请退保，在犹豫期内退保没有损失，犹豫期后退保会有损失。</w:t>
            </w:r>
          </w:p>
        </w:tc>
      </w:tr>
    </w:tbl>
    <w:p>
      <w:pPr>
        <w:pStyle w:val="BodyText"/>
        <w:rPr>
          <w:sz w:val="20"/>
        </w:rPr>
      </w:pPr>
    </w:p>
    <w:p>
      <w:pPr>
        <w:pStyle w:val="BodyText"/>
        <w:spacing w:before="1"/>
        <w:rPr>
          <w:sz w:val="18"/>
        </w:rPr>
      </w:pPr>
      <w:r>
        <w:rPr/>
        <w:pict>
          <v:line style="position:absolute;mso-position-horizontal-relative:page;mso-position-vertical-relative:paragraph;z-index:1360;mso-wrap-distance-left:0;mso-wrap-distance-right:0" from="51.060001pt,14.124063pt" to="195.060001pt,14.124063pt" stroked="true" strokeweight=".54pt" strokecolor="#000000">
            <v:stroke dashstyle="solid"/>
            <w10:wrap type="topAndBottom"/>
          </v:line>
        </w:pict>
      </w:r>
    </w:p>
    <w:p>
      <w:pPr>
        <w:spacing w:line="259" w:lineRule="auto" w:before="17"/>
        <w:ind w:left="402" w:right="179"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80" w:bottom="280" w:left="800" w:right="840"/>
        </w:sectPr>
      </w:pPr>
    </w:p>
    <w:p>
      <w:pPr>
        <w:pStyle w:val="ListParagraph"/>
        <w:numPr>
          <w:ilvl w:val="1"/>
          <w:numId w:val="4"/>
        </w:numPr>
        <w:tabs>
          <w:tab w:pos="1152" w:val="left" w:leader="none"/>
          <w:tab w:pos="1153" w:val="left" w:leader="none"/>
          <w:tab w:pos="3306" w:val="left" w:leader="none"/>
        </w:tabs>
        <w:spacing w:line="240" w:lineRule="auto" w:before="20" w:after="0"/>
        <w:ind w:left="1152" w:right="0" w:hanging="931"/>
        <w:jc w:val="left"/>
        <w:rPr>
          <w:sz w:val="21"/>
        </w:rPr>
      </w:pPr>
      <w:r>
        <w:rPr>
          <w:b/>
          <w:sz w:val="21"/>
        </w:rPr>
        <w:t>犹豫期</w:t>
        <w:tab/>
      </w:r>
      <w:r>
        <w:rPr>
          <w:sz w:val="21"/>
        </w:rPr>
        <w:t>自您签收本附加险合同次日起</w:t>
      </w:r>
      <w:r>
        <w:rPr>
          <w:spacing w:val="-49"/>
          <w:sz w:val="21"/>
        </w:rPr>
        <w:t>，</w:t>
      </w:r>
      <w:r>
        <w:rPr>
          <w:sz w:val="21"/>
        </w:rPr>
        <w:t>有</w:t>
      </w:r>
      <w:r>
        <w:rPr>
          <w:spacing w:val="-55"/>
          <w:sz w:val="21"/>
        </w:rPr>
        <w:t> </w:t>
      </w:r>
      <w:r>
        <w:rPr>
          <w:sz w:val="21"/>
        </w:rPr>
        <w:t>10</w:t>
      </w:r>
      <w:r>
        <w:rPr>
          <w:spacing w:val="-54"/>
          <w:sz w:val="21"/>
        </w:rPr>
        <w:t> </w:t>
      </w:r>
      <w:r>
        <w:rPr>
          <w:sz w:val="21"/>
        </w:rPr>
        <w:t>日的犹豫期</w:t>
      </w:r>
      <w:r>
        <w:rPr>
          <w:spacing w:val="-49"/>
          <w:sz w:val="21"/>
        </w:rPr>
        <w:t>。</w:t>
      </w:r>
      <w:r>
        <w:rPr>
          <w:sz w:val="21"/>
        </w:rPr>
        <w:t>在此期间请您认真审视</w:t>
      </w:r>
    </w:p>
    <w:p>
      <w:pPr>
        <w:pStyle w:val="BodyText"/>
        <w:spacing w:line="273" w:lineRule="auto" w:before="36"/>
        <w:ind w:left="3306" w:right="219"/>
      </w:pPr>
      <w:r>
        <w:rPr/>
        <w:t>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BodyText"/>
        <w:spacing w:line="273" w:lineRule="auto" w:before="7"/>
        <w:ind w:left="3306" w:right="104"/>
      </w:pPr>
      <w:r>
        <w:rPr>
          <w:spacing w:val="-10"/>
        </w:rPr>
        <w:t>份证件。自我们收到您解除合同的书面申请时起，本附加险合同即被解除， 合同解除前发生的保险事故我们不承担保险责任。</w:t>
      </w:r>
    </w:p>
    <w:p>
      <w:pPr>
        <w:pStyle w:val="BodyText"/>
        <w:spacing w:before="7"/>
        <w:ind w:left="3306"/>
      </w:pPr>
      <w:r>
        <w:rPr/>
        <w:t>若您申请解除本附加险合同，主险合同必须与本附加险合同同时申请解除。</w:t>
      </w:r>
    </w:p>
    <w:p>
      <w:pPr>
        <w:pStyle w:val="BodyText"/>
        <w:spacing w:before="9"/>
      </w:pPr>
    </w:p>
    <w:p>
      <w:pPr>
        <w:spacing w:after="0"/>
        <w:sectPr>
          <w:pgSz w:w="11910" w:h="16840"/>
          <w:pgMar w:top="1080" w:bottom="280" w:left="800" w:right="860"/>
        </w:sectPr>
      </w:pPr>
    </w:p>
    <w:p>
      <w:pPr>
        <w:pStyle w:val="Heading4"/>
        <w:numPr>
          <w:ilvl w:val="1"/>
          <w:numId w:val="4"/>
        </w:numPr>
        <w:tabs>
          <w:tab w:pos="1152" w:val="left" w:leader="none"/>
          <w:tab w:pos="1153" w:val="left" w:leader="none"/>
        </w:tabs>
        <w:spacing w:line="273" w:lineRule="auto" w:before="36" w:after="0"/>
        <w:ind w:left="1152" w:right="0" w:hanging="931"/>
        <w:jc w:val="left"/>
        <w:rPr>
          <w:rFonts w:ascii="宋体" w:eastAsia="宋体" w:hint="eastAsia"/>
        </w:rPr>
      </w:pPr>
      <w:r>
        <w:rPr>
          <w:rFonts w:ascii="宋体" w:eastAsia="宋体" w:hint="eastAsia"/>
          <w:spacing w:val="3"/>
        </w:rPr>
        <w:t>您解除合同的手续及</w:t>
      </w:r>
      <w:r>
        <w:rPr>
          <w:rFonts w:ascii="宋体" w:eastAsia="宋体" w:hint="eastAsia"/>
        </w:rPr>
        <w:t>风险</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tabs>
          <w:tab w:pos="1152" w:val="left" w:leader="none"/>
        </w:tabs>
        <w:spacing w:before="151"/>
        <w:ind w:left="400" w:right="0" w:firstLine="0"/>
        <w:jc w:val="left"/>
        <w:rPr>
          <w:b/>
          <w:sz w:val="24"/>
        </w:rPr>
      </w:pPr>
      <w:r>
        <w:rPr>
          <w:rFonts w:ascii="Arial" w:hAnsi="Arial" w:eastAsia="Arial"/>
          <w:b/>
          <w:w w:val="105"/>
          <w:position w:val="-9"/>
          <w:sz w:val="40"/>
        </w:rPr>
        <w:t></w:t>
        <w:tab/>
      </w:r>
      <w:r>
        <w:rPr>
          <w:b/>
          <w:sz w:val="24"/>
        </w:rPr>
        <w:t>其他权益</w:t>
      </w:r>
    </w:p>
    <w:p>
      <w:pPr>
        <w:pStyle w:val="BodyText"/>
        <w:spacing w:line="273" w:lineRule="auto" w:before="36"/>
        <w:ind w:left="175" w:right="210"/>
      </w:pPr>
      <w:r>
        <w:rPr/>
        <w:br w:type="column"/>
      </w:r>
      <w:r>
        <w:rPr/>
        <w:t>您在犹豫期后可以申请解除本附加险合同，请填写解除合同申请书并向我们提供下列资料：</w:t>
      </w:r>
    </w:p>
    <w:p>
      <w:pPr>
        <w:pStyle w:val="BodyText"/>
        <w:spacing w:before="7"/>
        <w:ind w:left="175"/>
      </w:pPr>
      <w:r>
        <w:rPr/>
        <w:t>（1）保险合同；</w:t>
      </w:r>
    </w:p>
    <w:p>
      <w:pPr>
        <w:pStyle w:val="BodyText"/>
        <w:spacing w:before="36"/>
        <w:ind w:left="175"/>
      </w:pPr>
      <w:r>
        <w:rPr/>
        <w:t>（2）您的有效身份证件。</w:t>
      </w:r>
    </w:p>
    <w:p>
      <w:pPr>
        <w:pStyle w:val="BodyText"/>
        <w:spacing w:line="273" w:lineRule="auto" w:before="36"/>
        <w:ind w:left="175" w:right="210"/>
      </w:pPr>
      <w:r>
        <w:rPr/>
        <w:t>自我们收到解除合同申请书时起，本附加险合同终止。我们自收到解除合同申请书之日起 30 日内向您退还本附加险合同的现金价值。</w:t>
      </w:r>
    </w:p>
    <w:p>
      <w:pPr>
        <w:pStyle w:val="BodyText"/>
        <w:spacing w:line="273" w:lineRule="auto" w:before="6"/>
        <w:ind w:left="175" w:right="104"/>
      </w:pPr>
      <w:r>
        <w:rPr>
          <w:spacing w:val="-8"/>
        </w:rPr>
        <w:t>若您申请解除本附加险合同，主险合同必须与本附加险合同同时申请解除。您在犹豫期后解除合同会遭受一定损失。</w:t>
      </w:r>
    </w:p>
    <w:p>
      <w:pPr>
        <w:pStyle w:val="BodyText"/>
        <w:spacing w:before="7"/>
        <w:ind w:left="175"/>
      </w:pPr>
      <w:r>
        <w:rPr/>
        <w:t>解除合同后，您会失去原有的保障。</w:t>
      </w:r>
    </w:p>
    <w:p>
      <w:pPr>
        <w:spacing w:after="0"/>
        <w:sectPr>
          <w:type w:val="continuous"/>
          <w:pgSz w:w="11910" w:h="16840"/>
          <w:pgMar w:top="540" w:bottom="280" w:left="800" w:right="860"/>
          <w:cols w:num="2" w:equalWidth="0">
            <w:col w:w="3091" w:space="40"/>
            <w:col w:w="7119"/>
          </w:cols>
        </w:sectPr>
      </w:pPr>
    </w:p>
    <w:p>
      <w:pPr>
        <w:pStyle w:val="Heading3"/>
        <w:spacing w:line="296" w:lineRule="exact"/>
      </w:pPr>
      <w:r>
        <w:rPr/>
        <w:t>这部分讲的是您所拥有的其他相关权益。</w:t>
      </w:r>
    </w:p>
    <w:p>
      <w:pPr>
        <w:pStyle w:val="BodyText"/>
        <w:spacing w:before="3"/>
        <w:rPr>
          <w:sz w:val="13"/>
        </w:rPr>
      </w:pPr>
      <w:r>
        <w:rPr/>
        <w:pict>
          <v:group style="position:absolute;margin-left:45.66pt;margin-top:10.673509pt;width:501.5pt;height:1pt;mso-position-horizontal-relative:page;mso-position-vertical-relative:paragraph;z-index:1384;mso-wrap-distance-left:0;mso-wrap-distance-right:0" coordorigin="913,213" coordsize="10030,20">
            <v:line style="position:absolute" from="913,223" to="1844,223" stroked="true" strokeweight=".959pt" strokecolor="#000000">
              <v:stroke dashstyle="solid"/>
            </v:line>
            <v:rect style="position:absolute;left:1844;top:213;width:20;height:20" filled="true" fillcolor="#000000" stroked="false">
              <v:fill type="solid"/>
            </v:rect>
            <v:line style="position:absolute" from="1864,223" to="3998,223" stroked="true" strokeweight=".959pt" strokecolor="#000000">
              <v:stroke dashstyle="solid"/>
            </v:line>
            <v:rect style="position:absolute;left:3998;top:213;width:20;height:20" filled="true" fillcolor="#000000" stroked="false">
              <v:fill type="solid"/>
            </v:rect>
            <v:line style="position:absolute" from="4018,223" to="10943,223" stroked="true" strokeweight=".959pt" strokecolor="#000000">
              <v:stroke dashstyle="solid"/>
            </v:line>
            <w10:wrap type="topAndBottom"/>
          </v:group>
        </w:pict>
      </w:r>
    </w:p>
    <w:p>
      <w:pPr>
        <w:pStyle w:val="BodyText"/>
        <w:spacing w:before="1"/>
        <w:rPr>
          <w:sz w:val="14"/>
        </w:rPr>
      </w:pPr>
    </w:p>
    <w:p>
      <w:pPr>
        <w:tabs>
          <w:tab w:pos="1152" w:val="left" w:leader="none"/>
          <w:tab w:pos="3306" w:val="left" w:leader="none"/>
        </w:tabs>
        <w:spacing w:before="35"/>
        <w:ind w:left="221" w:right="0" w:firstLine="0"/>
        <w:jc w:val="left"/>
        <w:rPr>
          <w:sz w:val="21"/>
        </w:rPr>
      </w:pPr>
      <w:r>
        <w:rPr>
          <w:b/>
          <w:sz w:val="21"/>
        </w:rPr>
        <w:t>6.1</w:t>
        <w:tab/>
        <w:t>现金价值</w:t>
        <w:tab/>
      </w:r>
      <w:r>
        <w:rPr>
          <w:sz w:val="21"/>
        </w:rPr>
        <w:t>指保险单所具有的价值。通常体现为解除合同时，由本公司退还的那部分</w:t>
      </w:r>
    </w:p>
    <w:p>
      <w:pPr>
        <w:pStyle w:val="BodyText"/>
        <w:spacing w:before="36"/>
        <w:ind w:left="3306"/>
      </w:pPr>
      <w:r>
        <w:rPr/>
        <w:t>金额。</w:t>
      </w:r>
    </w:p>
    <w:p>
      <w:pPr>
        <w:pStyle w:val="BodyText"/>
        <w:spacing w:line="273" w:lineRule="auto" w:before="36"/>
        <w:ind w:left="3306" w:right="210"/>
      </w:pPr>
      <w:r>
        <w:rPr/>
        <w:t>本附加险合同保单年度末的现金价值会在保险单上载明。保单年度内的现金价值，您可以向我们咨询。</w:t>
      </w:r>
    </w:p>
    <w:p>
      <w:pPr>
        <w:pStyle w:val="BodyText"/>
        <w:spacing w:before="10"/>
        <w:rPr>
          <w:sz w:val="15"/>
        </w:rPr>
      </w:pPr>
    </w:p>
    <w:p>
      <w:pPr>
        <w:tabs>
          <w:tab w:pos="1152" w:val="left" w:leader="none"/>
        </w:tabs>
        <w:spacing w:line="456" w:lineRule="exact" w:before="61"/>
        <w:ind w:left="422" w:right="0" w:firstLine="0"/>
        <w:jc w:val="left"/>
        <w:rPr>
          <w:b/>
          <w:sz w:val="24"/>
        </w:rPr>
      </w:pPr>
      <w:r>
        <w:rPr>
          <w:rFonts w:ascii="Arial" w:hAnsi="Arial" w:eastAsia="Arial"/>
          <w:b/>
          <w:position w:val="-9"/>
          <w:sz w:val="40"/>
        </w:rPr>
        <w:t></w:t>
        <w:tab/>
      </w:r>
      <w:r>
        <w:rPr>
          <w:b/>
          <w:w w:val="95"/>
          <w:sz w:val="24"/>
        </w:rPr>
        <w:t>重大疾病释义</w:t>
      </w:r>
    </w:p>
    <w:p>
      <w:pPr>
        <w:pStyle w:val="Heading3"/>
      </w:pPr>
      <w:r>
        <w:rPr>
          <w:spacing w:val="-17"/>
        </w:rPr>
        <w:t>这部分讲的是我们提供保障的</w:t>
      </w:r>
      <w:r>
        <w:rPr>
          <w:spacing w:val="-5"/>
        </w:rPr>
        <w:t>45</w:t>
      </w:r>
      <w:r>
        <w:rPr>
          <w:spacing w:val="-36"/>
        </w:rPr>
        <w:t> 种重大疾病的定义，其中包含一些免责条款，请您特别留意。</w:t>
      </w:r>
    </w:p>
    <w:p>
      <w:pPr>
        <w:pStyle w:val="BodyText"/>
        <w:spacing w:before="3"/>
        <w:rPr>
          <w:sz w:val="13"/>
        </w:rPr>
      </w:pPr>
      <w:r>
        <w:rPr/>
        <w:pict>
          <v:group style="position:absolute;margin-left:45.66pt;margin-top:10.671192pt;width:501.5pt;height:1pt;mso-position-horizontal-relative:page;mso-position-vertical-relative:paragraph;z-index:1408;mso-wrap-distance-left:0;mso-wrap-distance-right:0" coordorigin="913,213" coordsize="10030,20">
            <v:line style="position:absolute" from="913,223" to="1844,223" stroked="true" strokeweight=".96pt" strokecolor="#000000">
              <v:stroke dashstyle="solid"/>
            </v:line>
            <v:rect style="position:absolute;left:1844;top:213;width:20;height:20" filled="true" fillcolor="#000000" stroked="false">
              <v:fill type="solid"/>
            </v:rect>
            <v:line style="position:absolute" from="1864,223" to="3998,223" stroked="true" strokeweight=".96pt" strokecolor="#000000">
              <v:stroke dashstyle="solid"/>
            </v:line>
            <v:rect style="position:absolute;left:3998;top:213;width:20;height:20" filled="true" fillcolor="#000000" stroked="false">
              <v:fill type="solid"/>
            </v:rect>
            <v:line style="position:absolute" from="4018,223" to="10943,223" stroked="true" strokeweight=".96pt" strokecolor="#000000">
              <v:stroke dashstyle="solid"/>
            </v:line>
            <w10:wrap type="topAndBottom"/>
          </v:group>
        </w:pict>
      </w:r>
    </w:p>
    <w:p>
      <w:pPr>
        <w:pStyle w:val="BodyText"/>
        <w:spacing w:before="7"/>
        <w:rPr>
          <w:sz w:val="12"/>
        </w:rPr>
      </w:pPr>
    </w:p>
    <w:p>
      <w:pPr>
        <w:pStyle w:val="Heading4"/>
        <w:tabs>
          <w:tab w:pos="3306" w:val="left" w:leader="none"/>
        </w:tabs>
        <w:spacing w:before="35"/>
        <w:ind w:left="1152"/>
        <w:rPr>
          <w:rFonts w:ascii="宋体" w:eastAsia="宋体" w:hint="eastAsia"/>
        </w:rPr>
      </w:pPr>
      <w:r>
        <w:rPr>
          <w:rFonts w:ascii="宋体" w:eastAsia="宋体" w:hint="eastAsia"/>
          <w:position w:val="2"/>
        </w:rPr>
        <w:t>第</w:t>
      </w:r>
      <w:r>
        <w:rPr>
          <w:rFonts w:ascii="宋体" w:eastAsia="宋体" w:hint="eastAsia"/>
          <w:spacing w:val="-53"/>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w w:val="95"/>
        </w:rPr>
        <w:t>与恶性肿瘤相关的疾病</w:t>
      </w:r>
    </w:p>
    <w:p>
      <w:pPr>
        <w:pStyle w:val="BodyText"/>
        <w:spacing w:before="9"/>
        <w:rPr>
          <w:b/>
        </w:rPr>
      </w:pPr>
    </w:p>
    <w:p>
      <w:pPr>
        <w:pStyle w:val="BodyText"/>
        <w:tabs>
          <w:tab w:pos="3306" w:val="left" w:leader="none"/>
        </w:tabs>
        <w:spacing w:line="266" w:lineRule="auto"/>
        <w:ind w:left="3306" w:right="210" w:hanging="2154"/>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306"/>
      </w:pPr>
      <w:r>
        <w:rPr>
          <w:shd w:fill="DADADA" w:color="auto" w:val="clear"/>
        </w:rPr>
        <w:t>（1）原位癌；</w:t>
      </w:r>
    </w:p>
    <w:p>
      <w:pPr>
        <w:pStyle w:val="BodyText"/>
        <w:spacing w:before="37"/>
        <w:ind w:left="3306"/>
      </w:pPr>
      <w:r>
        <w:rPr>
          <w:shd w:fill="DADADA" w:color="auto" w:val="clear"/>
        </w:rPr>
        <w:t>（2）相当于Binet 分期方案 A 期程度的慢性淋巴细胞白血病；</w:t>
      </w:r>
    </w:p>
    <w:p>
      <w:pPr>
        <w:pStyle w:val="BodyText"/>
        <w:spacing w:before="37"/>
        <w:ind w:left="3306"/>
      </w:pPr>
      <w:r>
        <w:rPr>
          <w:shd w:fill="DADADA" w:color="auto" w:val="clear"/>
        </w:rPr>
        <w:t>（3）相当于Ann Arbor 分期方案 I 期程度的何杰金氏病；</w:t>
      </w:r>
    </w:p>
    <w:p>
      <w:pPr>
        <w:pStyle w:val="BodyText"/>
        <w:spacing w:before="37"/>
        <w:ind w:left="3306"/>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7"/>
        <w:ind w:left="330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832" w:right="209" w:hanging="526"/>
      </w:pPr>
      <w:r>
        <w:rPr>
          <w:spacing w:val="-17"/>
          <w:shd w:fill="DADADA" w:color="auto" w:val="clear"/>
        </w:rPr>
        <w:t>（6）</w:t>
      </w:r>
      <w:r>
        <w:rPr>
          <w:spacing w:val="-3"/>
          <w:shd w:fill="DADADA" w:color="auto" w:val="clear"/>
        </w:rPr>
        <w:t>感染艾滋病病毒或患艾滋病期间所患恶性肿瘤</w:t>
      </w:r>
      <w:r>
        <w:rPr>
          <w:shd w:fill="DADADA" w:color="auto" w:val="clear"/>
        </w:rPr>
        <w:t>（</w:t>
      </w:r>
      <w:r>
        <w:rPr/>
        <w:t>不包括经输血导致的艾滋病病毒感染或患艾滋病</w:t>
      </w:r>
      <w:r>
        <w:rPr>
          <w:spacing w:val="-105"/>
        </w:rPr>
        <w:t>）。</w:t>
      </w:r>
    </w:p>
    <w:p>
      <w:pPr>
        <w:pStyle w:val="BodyText"/>
        <w:spacing w:before="3"/>
        <w:rPr>
          <w:sz w:val="18"/>
        </w:rPr>
      </w:pPr>
    </w:p>
    <w:p>
      <w:pPr>
        <w:spacing w:after="0"/>
        <w:rPr>
          <w:sz w:val="18"/>
        </w:rPr>
        <w:sectPr>
          <w:type w:val="continuous"/>
          <w:pgSz w:w="11910" w:h="16840"/>
          <w:pgMar w:top="540" w:bottom="280" w:left="800" w:right="860"/>
        </w:sectPr>
      </w:pPr>
    </w:p>
    <w:p>
      <w:pPr>
        <w:pStyle w:val="Heading2"/>
        <w:spacing w:line="232" w:lineRule="auto"/>
        <w:ind w:left="1152"/>
      </w:pPr>
      <w:r>
        <w:rPr/>
        <w:t>侵蚀性葡萄胎（或称恶性葡萄胎）</w:t>
      </w:r>
    </w:p>
    <w:p>
      <w:pPr>
        <w:pStyle w:val="BodyText"/>
        <w:spacing w:line="273" w:lineRule="auto" w:before="53"/>
        <w:ind w:left="173" w:right="21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40" w:bottom="280" w:left="800" w:right="860"/>
          <w:cols w:num="2" w:equalWidth="0">
            <w:col w:w="3093" w:space="40"/>
            <w:col w:w="7117"/>
          </w:cols>
        </w:sect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035"/>
      </w:tblGrid>
      <w:tr>
        <w:trPr>
          <w:trHeight w:val="449" w:hRule="atLeast"/>
        </w:trPr>
        <w:tc>
          <w:tcPr>
            <w:tcW w:w="2247" w:type="dxa"/>
          </w:tcPr>
          <w:p>
            <w:pPr>
              <w:pStyle w:val="TableParagraph"/>
              <w:spacing w:line="210" w:lineRule="exact"/>
              <w:ind w:left="200"/>
              <w:rPr>
                <w:b/>
                <w:sz w:val="21"/>
              </w:rPr>
            </w:pPr>
            <w:r>
              <w:rPr>
                <w:b/>
                <w:sz w:val="21"/>
              </w:rPr>
              <w:t>第 2 类：</w:t>
            </w:r>
          </w:p>
        </w:tc>
        <w:tc>
          <w:tcPr>
            <w:tcW w:w="7035" w:type="dxa"/>
          </w:tcPr>
          <w:p>
            <w:pPr>
              <w:pStyle w:val="TableParagraph"/>
              <w:spacing w:line="210" w:lineRule="exact"/>
              <w:rPr>
                <w:b/>
                <w:sz w:val="21"/>
              </w:rPr>
            </w:pPr>
            <w:r>
              <w:rPr>
                <w:b/>
                <w:w w:val="95"/>
                <w:sz w:val="21"/>
              </w:rPr>
              <w:t>与心脏或脑血管相关的疾病</w:t>
            </w:r>
          </w:p>
        </w:tc>
      </w:tr>
      <w:tr>
        <w:trPr>
          <w:trHeight w:val="2937" w:hRule="atLeast"/>
        </w:trPr>
        <w:tc>
          <w:tcPr>
            <w:tcW w:w="2247" w:type="dxa"/>
          </w:tcPr>
          <w:p>
            <w:pPr>
              <w:pStyle w:val="TableParagraph"/>
              <w:spacing w:before="159"/>
              <w:ind w:left="200"/>
              <w:rPr>
                <w:rFonts w:ascii="等线" w:eastAsia="等线" w:hint="eastAsia"/>
                <w:b/>
                <w:sz w:val="24"/>
              </w:rPr>
            </w:pPr>
            <w:r>
              <w:rPr>
                <w:rFonts w:ascii="等线" w:eastAsia="等线" w:hint="eastAsia"/>
                <w:b/>
                <w:w w:val="105"/>
                <w:sz w:val="24"/>
              </w:rPr>
              <w:t>急性心ft梗塞</w:t>
            </w:r>
          </w:p>
        </w:tc>
        <w:tc>
          <w:tcPr>
            <w:tcW w:w="7035" w:type="dxa"/>
          </w:tcPr>
          <w:p>
            <w:pPr>
              <w:pStyle w:val="TableParagraph"/>
              <w:spacing w:before="8"/>
              <w:ind w:left="0"/>
              <w:rPr>
                <w:sz w:val="14"/>
              </w:rPr>
            </w:pPr>
          </w:p>
          <w:p>
            <w:pPr>
              <w:pStyle w:val="TableParagraph"/>
              <w:spacing w:line="273" w:lineRule="auto"/>
              <w:ind w:right="198"/>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32" w:right="197" w:hanging="526"/>
              <w:rPr>
                <w:sz w:val="21"/>
              </w:rPr>
            </w:pPr>
            <w:r>
              <w:rPr>
                <w:spacing w:val="-17"/>
                <w:sz w:val="21"/>
              </w:rPr>
              <w:t>（3）</w:t>
            </w:r>
            <w:r>
              <w:rPr>
                <w:spacing w:val="-3"/>
                <w:sz w:val="21"/>
              </w:rPr>
              <w:t>心肌酶或肌钙蛋白有诊断意义的升高，或呈符合急性心肌梗塞的动态性变化；</w:t>
            </w:r>
          </w:p>
          <w:p>
            <w:pPr>
              <w:pStyle w:val="TableParagraph"/>
              <w:spacing w:before="7"/>
              <w:rPr>
                <w:sz w:val="21"/>
              </w:rPr>
            </w:pPr>
            <w:r>
              <w:rPr>
                <w:sz w:val="21"/>
              </w:rPr>
              <w:t>（4）发病 90 日后，经检查证实左心室功能降低，如左心室射血分数低于</w:t>
            </w:r>
          </w:p>
          <w:p>
            <w:pPr>
              <w:pStyle w:val="TableParagraph"/>
              <w:spacing w:before="36"/>
              <w:ind w:left="632"/>
              <w:rPr>
                <w:sz w:val="21"/>
              </w:rPr>
            </w:pPr>
            <w:r>
              <w:rPr>
                <w:sz w:val="21"/>
              </w:rPr>
              <w:t>50%。</w:t>
            </w:r>
          </w:p>
        </w:tc>
      </w:tr>
      <w:tr>
        <w:trPr>
          <w:trHeight w:val="1419" w:hRule="atLeast"/>
        </w:trPr>
        <w:tc>
          <w:tcPr>
            <w:tcW w:w="2247" w:type="dxa"/>
          </w:tcPr>
          <w:p>
            <w:pPr>
              <w:pStyle w:val="TableParagraph"/>
              <w:spacing w:before="7"/>
              <w:ind w:left="0"/>
              <w:rPr>
                <w:sz w:val="16"/>
              </w:rPr>
            </w:pPr>
          </w:p>
          <w:p>
            <w:pPr>
              <w:pStyle w:val="TableParagraph"/>
              <w:spacing w:line="232" w:lineRule="auto"/>
              <w:ind w:left="200" w:right="104"/>
              <w:rPr>
                <w:rFonts w:ascii="等线" w:eastAsia="等线" w:hint="eastAsia"/>
                <w:b/>
                <w:sz w:val="24"/>
              </w:rPr>
            </w:pPr>
            <w:r>
              <w:rPr>
                <w:rFonts w:ascii="等线" w:eastAsia="等线" w:hint="eastAsia"/>
                <w:b/>
                <w:sz w:val="24"/>
              </w:rPr>
              <w:t>严重原发性肺动脉高压</w:t>
            </w:r>
          </w:p>
        </w:tc>
        <w:tc>
          <w:tcPr>
            <w:tcW w:w="7035" w:type="dxa"/>
          </w:tcPr>
          <w:p>
            <w:pPr>
              <w:pStyle w:val="TableParagraph"/>
              <w:spacing w:before="3"/>
              <w:ind w:left="0"/>
              <w:rPr>
                <w:sz w:val="18"/>
              </w:rPr>
            </w:pPr>
          </w:p>
          <w:p>
            <w:pPr>
              <w:pStyle w:val="TableParagraph"/>
              <w:spacing w:line="273" w:lineRule="auto"/>
              <w:ind w:right="197"/>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3">
              <w:r>
                <w:rPr>
                  <w:rFonts w:ascii="黑体" w:eastAsia="黑体" w:hint="eastAsia"/>
                  <w:b/>
                  <w:position w:val="11"/>
                  <w:sz w:val="11"/>
                </w:rPr>
                <w:t>14</w:t>
              </w:r>
            </w:hyperlink>
            <w:r>
              <w:rPr>
                <w:sz w:val="21"/>
              </w:rPr>
              <w:t>性的体力活动能力受限，达到美国纽约心脏病学会</w:t>
            </w:r>
            <w:r>
              <w:rPr>
                <w:rFonts w:ascii="黑体" w:eastAsia="黑体" w:hint="eastAsia"/>
                <w:b/>
                <w:sz w:val="21"/>
              </w:rPr>
              <w:t>心功能状态分级 </w:t>
            </w:r>
            <w:hyperlink w:history="true" w:anchor="_bookmark14">
              <w:r>
                <w:rPr>
                  <w:rFonts w:ascii="黑体" w:eastAsia="黑体" w:hint="eastAsia"/>
                  <w:b/>
                  <w:position w:val="11"/>
                  <w:sz w:val="11"/>
                </w:rPr>
                <w:t>15</w:t>
              </w:r>
            </w:hyperlink>
            <w:r>
              <w:rPr>
                <w:sz w:val="21"/>
              </w:rPr>
              <w:t>IV 级，且静息状态下肺动脉平均压超过 30mmHg。</w:t>
            </w:r>
          </w:p>
        </w:tc>
      </w:tr>
      <w:tr>
        <w:trPr>
          <w:trHeight w:val="1088" w:hRule="atLeast"/>
        </w:trPr>
        <w:tc>
          <w:tcPr>
            <w:tcW w:w="2247" w:type="dxa"/>
          </w:tcPr>
          <w:p>
            <w:pPr>
              <w:pStyle w:val="TableParagraph"/>
              <w:spacing w:before="202"/>
              <w:ind w:left="200"/>
              <w:rPr>
                <w:rFonts w:ascii="等线" w:eastAsia="等线" w:hint="eastAsia"/>
                <w:b/>
                <w:sz w:val="24"/>
              </w:rPr>
            </w:pPr>
            <w:r>
              <w:rPr>
                <w:rFonts w:ascii="等线" w:eastAsia="等线" w:hint="eastAsia"/>
                <w:b/>
                <w:sz w:val="24"/>
              </w:rPr>
              <w:t>心脏瓣膜手术</w:t>
            </w:r>
          </w:p>
        </w:tc>
        <w:tc>
          <w:tcPr>
            <w:tcW w:w="7035" w:type="dxa"/>
          </w:tcPr>
          <w:p>
            <w:pPr>
              <w:pStyle w:val="TableParagraph"/>
              <w:spacing w:before="11"/>
              <w:ind w:left="0"/>
              <w:rPr>
                <w:sz w:val="17"/>
              </w:rPr>
            </w:pPr>
          </w:p>
          <w:p>
            <w:pPr>
              <w:pStyle w:val="TableParagraph"/>
              <w:spacing w:line="273" w:lineRule="auto" w:before="1"/>
              <w:ind w:right="198"/>
              <w:rPr>
                <w:sz w:val="21"/>
              </w:rPr>
            </w:pPr>
            <w:r>
              <w:rPr>
                <w:sz w:val="21"/>
              </w:rPr>
              <w:t>指为治疗心脏瓣膜疾病，实际实施了开胸进行的心脏瓣膜置换或修复的手术。</w:t>
            </w:r>
          </w:p>
        </w:tc>
      </w:tr>
      <w:tr>
        <w:trPr>
          <w:trHeight w:val="2309" w:hRule="atLeast"/>
        </w:trPr>
        <w:tc>
          <w:tcPr>
            <w:tcW w:w="2247" w:type="dxa"/>
          </w:tcPr>
          <w:p>
            <w:pPr>
              <w:pStyle w:val="TableParagraph"/>
              <w:spacing w:line="232" w:lineRule="auto" w:before="197"/>
              <w:ind w:left="200" w:right="104"/>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35" w:type="dxa"/>
          </w:tcPr>
          <w:p>
            <w:pPr>
              <w:pStyle w:val="TableParagraph"/>
              <w:spacing w:before="10"/>
              <w:ind w:left="0"/>
              <w:rPr>
                <w:sz w:val="16"/>
              </w:rPr>
            </w:pPr>
          </w:p>
          <w:p>
            <w:pPr>
              <w:pStyle w:val="TableParagraph"/>
              <w:spacing w:line="273" w:lineRule="auto"/>
              <w:ind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sz w:val="21"/>
              </w:rPr>
              <w:t>态分级的标准判定，心功能状态已达Ⅳ级</w:t>
            </w:r>
            <w:r>
              <w:rPr>
                <w:spacing w:val="-77"/>
                <w:sz w:val="21"/>
              </w:rPr>
              <w:t>）</w:t>
            </w:r>
            <w:r>
              <w:rPr>
                <w:spacing w:val="-9"/>
                <w:sz w:val="21"/>
              </w:rPr>
              <w:t>，且有相关住院医疗记录显示Ⅳ </w:t>
            </w:r>
            <w:r>
              <w:rPr>
                <w:spacing w:val="-13"/>
                <w:sz w:val="21"/>
              </w:rPr>
              <w:t>级心功能衰竭状态已持续至少 </w:t>
            </w:r>
            <w:r>
              <w:rPr>
                <w:sz w:val="21"/>
              </w:rPr>
              <w:t>180</w:t>
            </w:r>
            <w:r>
              <w:rPr>
                <w:spacing w:val="-8"/>
                <w:sz w:val="21"/>
              </w:rPr>
              <w:t> 日。本病须经专科医生明确诊断。</w:t>
            </w:r>
          </w:p>
          <w:p>
            <w:pPr>
              <w:pStyle w:val="TableParagraph"/>
              <w:spacing w:before="7"/>
              <w:jc w:val="both"/>
              <w:rPr>
                <w:sz w:val="21"/>
              </w:rPr>
            </w:pPr>
            <w:r>
              <w:rPr>
                <w:sz w:val="21"/>
                <w:shd w:fill="DADADA" w:color="auto" w:val="clear"/>
              </w:rPr>
              <w:t>继发于全身性疾病或其它器官系统疾病造成的心肌病变不在保障范围内。</w:t>
            </w:r>
          </w:p>
        </w:tc>
      </w:tr>
      <w:tr>
        <w:trPr>
          <w:trHeight w:val="1730" w:hRule="atLeast"/>
        </w:trPr>
        <w:tc>
          <w:tcPr>
            <w:tcW w:w="2247" w:type="dxa"/>
          </w:tcPr>
          <w:p>
            <w:pPr>
              <w:pStyle w:val="TableParagraph"/>
              <w:spacing w:before="175"/>
              <w:ind w:left="200"/>
              <w:rPr>
                <w:rFonts w:ascii="等线" w:eastAsia="等线" w:hint="eastAsia"/>
                <w:b/>
                <w:sz w:val="24"/>
              </w:rPr>
            </w:pPr>
            <w:r>
              <w:rPr>
                <w:rFonts w:ascii="等线" w:eastAsia="等线" w:hint="eastAsia"/>
                <w:b/>
                <w:sz w:val="24"/>
              </w:rPr>
              <w:t>脑中风后遗症</w:t>
            </w:r>
          </w:p>
        </w:tc>
        <w:tc>
          <w:tcPr>
            <w:tcW w:w="7035" w:type="dxa"/>
          </w:tcPr>
          <w:p>
            <w:pPr>
              <w:pStyle w:val="TableParagraph"/>
              <w:spacing w:before="11"/>
              <w:ind w:left="0"/>
              <w:rPr>
                <w:sz w:val="15"/>
              </w:rPr>
            </w:pPr>
          </w:p>
          <w:p>
            <w:pPr>
              <w:pStyle w:val="TableParagraph"/>
              <w:spacing w:line="273" w:lineRule="auto"/>
              <w:ind w:right="197"/>
              <w:jc w:val="both"/>
              <w:rPr>
                <w:sz w:val="21"/>
              </w:rPr>
            </w:pP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11"/>
                <w:sz w:val="21"/>
              </w:rPr>
              <w:t> 日后，仍遗留下列一种或一种以上障碍：</w:t>
            </w:r>
          </w:p>
          <w:p>
            <w:pPr>
              <w:pStyle w:val="TableParagraph"/>
              <w:spacing w:before="7"/>
              <w:jc w:val="both"/>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pStyle w:val="TableParagraph"/>
              <w:spacing w:line="255" w:lineRule="exact" w:before="36"/>
              <w:jc w:val="both"/>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tc>
      </w:tr>
    </w:tbl>
    <w:p>
      <w:pPr>
        <w:pStyle w:val="BodyText"/>
        <w:rPr>
          <w:sz w:val="20"/>
        </w:rPr>
      </w:pPr>
    </w:p>
    <w:p>
      <w:pPr>
        <w:pStyle w:val="BodyText"/>
        <w:rPr>
          <w:sz w:val="20"/>
        </w:rPr>
      </w:pPr>
    </w:p>
    <w:p>
      <w:pPr>
        <w:pStyle w:val="BodyText"/>
        <w:spacing w:before="10"/>
        <w:rPr>
          <w:sz w:val="14"/>
        </w:rPr>
      </w:pPr>
      <w:r>
        <w:rPr/>
        <w:pict>
          <v:line style="position:absolute;mso-position-horizontal-relative:page;mso-position-vertical-relative:paragraph;z-index:1432;mso-wrap-distance-left:0;mso-wrap-distance-right:0" from="51.060001pt,11.955125pt" to="195.060001pt,11.955125pt" stroked="true" strokeweight=".54pt" strokecolor="#000000">
            <v:stroke dashstyle="solid"/>
            <w10:wrap type="topAndBottom"/>
          </v:line>
        </w:pict>
      </w:r>
    </w:p>
    <w:p>
      <w:pPr>
        <w:spacing w:line="269"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3"/>
        <w:ind w:left="311" w:right="0" w:firstLine="0"/>
        <w:jc w:val="left"/>
        <w:rPr>
          <w:sz w:val="18"/>
        </w:rPr>
      </w:pPr>
      <w:r>
        <w:rPr>
          <w:sz w:val="18"/>
        </w:rPr>
        <w:t>Ⅰ级：体力活动不受限制，日常活动不引起乏力、心悸、呼吸困难或心绞痛等症状；</w:t>
      </w:r>
    </w:p>
    <w:p>
      <w:pPr>
        <w:spacing w:before="44"/>
        <w:ind w:left="311" w:right="0" w:firstLine="0"/>
        <w:jc w:val="left"/>
        <w:rPr>
          <w:sz w:val="18"/>
        </w:rPr>
      </w:pPr>
      <w:r>
        <w:rPr>
          <w:sz w:val="18"/>
        </w:rPr>
        <w:t>Ⅱ级：体力活动轻度受限，休息时无症状，日常活动即可引起乏力、心悸、呼吸困难或心绞痛等症状；</w:t>
      </w:r>
    </w:p>
    <w:p>
      <w:pPr>
        <w:spacing w:line="285" w:lineRule="auto" w:before="43"/>
        <w:ind w:left="311" w:right="361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29" w:lineRule="exact" w:before="23"/>
        <w:ind w:left="282" w:right="0" w:firstLine="0"/>
        <w:jc w:val="left"/>
        <w:rPr>
          <w:sz w:val="18"/>
        </w:rPr>
      </w:pPr>
      <w:r>
        <w:rPr>
          <w:sz w:val="18"/>
        </w:rPr>
        <w:t>的整个下肢。</w:t>
      </w:r>
    </w:p>
    <w:p>
      <w:pPr>
        <w:spacing w:line="280" w:lineRule="exact" w:before="36"/>
        <w:ind w:left="282" w:right="259"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3"/>
        <w:ind w:left="259" w:right="242" w:firstLine="0"/>
        <w:jc w:val="left"/>
        <w:rPr>
          <w:sz w:val="18"/>
        </w:rPr>
      </w:pPr>
      <w:r>
        <w:rPr>
          <w:sz w:val="18"/>
        </w:rPr>
        <w:t>咀嚼吞咽能力完全丧失，指因牙齿以外的原因导致器质障碍或机能障碍，以致不能作咀嚼吞咽运动，除流质食物外不能摄取或吞咽的状态。</w:t>
      </w:r>
    </w:p>
    <w:p>
      <w:pPr>
        <w:spacing w:after="0" w:line="285" w:lineRule="auto"/>
        <w:jc w:val="left"/>
        <w:rPr>
          <w:sz w:val="18"/>
        </w:rPr>
        <w:sectPr>
          <w:pgSz w:w="11910" w:h="16840"/>
          <w:pgMar w:top="1580" w:bottom="280" w:left="920" w:right="760"/>
        </w:sectPr>
      </w:pPr>
    </w:p>
    <w:p>
      <w:pPr>
        <w:pStyle w:val="BodyText"/>
        <w:rPr>
          <w:sz w:val="24"/>
        </w:rPr>
      </w:pPr>
    </w:p>
    <w:p>
      <w:pPr>
        <w:pStyle w:val="BodyText"/>
        <w:spacing w:before="9"/>
        <w:rPr>
          <w:sz w:val="30"/>
        </w:rPr>
      </w:pPr>
    </w:p>
    <w:p>
      <w:pPr>
        <w:pStyle w:val="Heading2"/>
        <w:spacing w:line="323" w:lineRule="exact" w:before="0"/>
        <w:ind w:left="1032"/>
      </w:pPr>
      <w:r>
        <w:rPr/>
        <w:t>冠状动脉搭桥术 </w:t>
      </w:r>
    </w:p>
    <w:p>
      <w:pPr>
        <w:spacing w:line="232" w:lineRule="auto" w:before="4"/>
        <w:ind w:left="1032" w:right="38" w:firstLine="0"/>
        <w:jc w:val="left"/>
        <w:rPr>
          <w:rFonts w:ascii="等线" w:eastAsia="等线" w:hint="eastAsia"/>
          <w:b/>
          <w:sz w:val="24"/>
        </w:rPr>
      </w:pPr>
      <w:r>
        <w:rPr>
          <w:rFonts w:ascii="等线" w:eastAsia="等线" w:hint="eastAsia"/>
          <w:b/>
          <w:sz w:val="24"/>
        </w:rPr>
        <w:t>（或称冠状动脉旁路移植术）</w:t>
      </w:r>
    </w:p>
    <w:p>
      <w:pPr>
        <w:spacing w:line="273" w:lineRule="auto" w:before="40"/>
        <w:ind w:left="658" w:right="208" w:hanging="526"/>
        <w:jc w:val="left"/>
        <w:rPr>
          <w:sz w:val="21"/>
        </w:rPr>
      </w:pPr>
      <w:r>
        <w:rPr/>
        <w:br w:type="column"/>
      </w:r>
      <w:r>
        <w:rPr>
          <w:spacing w:val="-12"/>
          <w:sz w:val="21"/>
        </w:rPr>
        <w:t>（3）</w:t>
      </w:r>
      <w:r>
        <w:rPr>
          <w:spacing w:val="-4"/>
          <w:sz w:val="21"/>
        </w:rPr>
        <w:t>自主生活能力完全丧失，无法独立完成</w:t>
      </w:r>
      <w:r>
        <w:rPr>
          <w:rFonts w:ascii="黑体" w:eastAsia="黑体" w:hint="eastAsia"/>
          <w:b/>
          <w:sz w:val="21"/>
        </w:rPr>
        <w:t>六项基本日常Th</w:t>
      </w:r>
      <w:r>
        <w:rPr>
          <w:rFonts w:ascii="黑体" w:eastAsia="黑体" w:hint="eastAsia"/>
          <w:b/>
          <w:spacing w:val="-12"/>
          <w:sz w:val="21"/>
        </w:rPr>
        <w:t>活活动 </w:t>
      </w:r>
      <w:hyperlink w:history="true" w:anchor="_bookmark17">
        <w:r>
          <w:rPr>
            <w:rFonts w:ascii="黑体" w:eastAsia="黑体" w:hint="eastAsia"/>
            <w:b/>
            <w:position w:val="11"/>
            <w:sz w:val="11"/>
          </w:rPr>
          <w:t>18</w:t>
        </w:r>
      </w:hyperlink>
      <w:r>
        <w:rPr>
          <w:sz w:val="21"/>
        </w:rPr>
        <w:t>中的三项或三项以上。</w:t>
      </w:r>
    </w:p>
    <w:p>
      <w:pPr>
        <w:pStyle w:val="BodyText"/>
        <w:spacing w:line="273" w:lineRule="auto" w:before="91"/>
        <w:ind w:left="132" w:right="210"/>
      </w:pPr>
      <w:r>
        <w:rPr/>
        <w:t>指为治疗严重的冠心病，实际实施了开胸进行的冠状动脉血管旁路移植的手术。</w:t>
      </w:r>
    </w:p>
    <w:p>
      <w:pPr>
        <w:pStyle w:val="BodyText"/>
        <w:spacing w:line="273" w:lineRule="auto" w:before="7"/>
        <w:ind w:left="132" w:right="210"/>
      </w:pPr>
      <w:r>
        <w:rPr>
          <w:shd w:fill="DADADA" w:color="auto" w:val="clear"/>
        </w:rPr>
        <w:t>冠状动脉支架植入术、心导管球囊扩张术、激光射频技术及其它非开胸的介入手术、腔镜手术不在保障范围内。</w:t>
      </w:r>
    </w:p>
    <w:p>
      <w:pPr>
        <w:spacing w:after="0" w:line="273" w:lineRule="auto"/>
        <w:sectPr>
          <w:pgSz w:w="11910" w:h="16840"/>
          <w:pgMar w:top="1060" w:bottom="280" w:left="920" w:right="860"/>
          <w:cols w:num="2" w:equalWidth="0">
            <w:col w:w="3014" w:space="40"/>
            <w:col w:w="7076"/>
          </w:cols>
        </w:sectPr>
      </w:pPr>
    </w:p>
    <w:p>
      <w:pPr>
        <w:pStyle w:val="BodyText"/>
        <w:rPr>
          <w:sz w:val="20"/>
        </w:rPr>
      </w:pPr>
    </w:p>
    <w:p>
      <w:pPr>
        <w:pStyle w:val="BodyText"/>
        <w:spacing w:before="1"/>
        <w:rPr>
          <w:sz w:val="14"/>
        </w:rPr>
      </w:pPr>
    </w:p>
    <w:p>
      <w:pPr>
        <w:pStyle w:val="BodyText"/>
        <w:tabs>
          <w:tab w:pos="3186" w:val="left" w:leader="none"/>
        </w:tabs>
        <w:spacing w:line="254" w:lineRule="auto" w:before="17"/>
        <w:ind w:left="3186" w:right="210" w:hanging="2154"/>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86" w:right="219"/>
      </w:pPr>
      <w:r>
        <w:rPr/>
        <w:t>主动脉指胸主动脉和腹主动脉，</w:t>
      </w:r>
      <w:r>
        <w:rPr>
          <w:shd w:fill="DADADA" w:color="auto" w:val="clear"/>
        </w:rPr>
        <w:t>不包括胸主动脉和腹主动脉的分支血管。</w:t>
      </w:r>
      <w:r>
        <w:rPr>
          <w:spacing w:val="-210"/>
          <w:shd w:fill="DADADA" w:color="auto" w:val="clear"/>
        </w:rPr>
        <w:t>动</w:t>
      </w:r>
      <w:r>
        <w:rPr>
          <w:shd w:fill="DADADA" w:color="auto" w:val="clear"/>
        </w:rPr>
        <w:t>脉内血管成形术不在保障范围内。</w:t>
      </w:r>
    </w:p>
    <w:p>
      <w:pPr>
        <w:pStyle w:val="BodyText"/>
        <w:spacing w:before="3"/>
        <w:rPr>
          <w:sz w:val="20"/>
        </w:rPr>
      </w:pPr>
    </w:p>
    <w:p>
      <w:pPr>
        <w:spacing w:after="0"/>
        <w:rPr>
          <w:sz w:val="20"/>
        </w:rPr>
        <w:sectPr>
          <w:type w:val="continuous"/>
          <w:pgSz w:w="11910" w:h="16840"/>
          <w:pgMar w:top="540" w:bottom="280" w:left="920" w:right="860"/>
        </w:sectPr>
      </w:pPr>
    </w:p>
    <w:p>
      <w:pPr>
        <w:pStyle w:val="Heading2"/>
        <w:spacing w:line="232" w:lineRule="auto"/>
        <w:ind w:left="1032"/>
      </w:pPr>
      <w:r>
        <w:rPr/>
        <w:t>严重感染性心内膜炎</w:t>
      </w:r>
    </w:p>
    <w:p>
      <w:pPr>
        <w:pStyle w:val="BodyText"/>
        <w:spacing w:line="256" w:lineRule="auto" w:before="53"/>
        <w:ind w:left="173" w:right="210"/>
      </w:pPr>
      <w:r>
        <w:rPr/>
        <w:br w:type="column"/>
      </w:r>
      <w:r>
        <w:rPr/>
        <w:t>指因感染性微生物造成心脏内膜发炎，经由专科医生确诊，并符合下</w:t>
      </w:r>
      <w:r>
        <w:rPr>
          <w:rFonts w:ascii="Times New Roman" w:eastAsia="Times New Roman"/>
          <w:w w:val="110"/>
        </w:rPr>
        <w:t>列</w:t>
      </w:r>
      <w:r>
        <w:rPr>
          <w:spacing w:val="-66"/>
        </w:rPr>
        <w:t>所</w:t>
      </w:r>
      <w:r>
        <w:rPr/>
        <w:t>有条件:</w:t>
      </w:r>
    </w:p>
    <w:p>
      <w:pPr>
        <w:pStyle w:val="BodyText"/>
        <w:spacing w:before="22"/>
        <w:ind w:left="173"/>
      </w:pPr>
      <w:r>
        <w:rPr/>
        <w:t>（1）以下方法之一血液培养测试结果为阳性，证实存在感染性微生物：</w:t>
      </w:r>
    </w:p>
    <w:p>
      <w:pPr>
        <w:pStyle w:val="BodyText"/>
        <w:tabs>
          <w:tab w:pos="700" w:val="left" w:leader="none"/>
        </w:tabs>
        <w:spacing w:before="37"/>
        <w:ind w:left="279"/>
      </w:pPr>
      <w:r>
        <w:rPr/>
        <w:t>①</w:t>
        <w:tab/>
      </w:r>
      <w:r>
        <w:rPr>
          <w:spacing w:val="-1"/>
        </w:rPr>
        <w:t>微生物：在赘生物或心脏内脓疡经培养或组织检查证实有微生物；</w:t>
      </w:r>
    </w:p>
    <w:p>
      <w:pPr>
        <w:pStyle w:val="BodyText"/>
        <w:tabs>
          <w:tab w:pos="700" w:val="left" w:leader="none"/>
        </w:tabs>
        <w:spacing w:before="37"/>
        <w:ind w:left="279"/>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700" w:val="left" w:leader="none"/>
        </w:tabs>
        <w:spacing w:before="21"/>
        <w:ind w:left="279"/>
      </w:pPr>
      <w:r>
        <w:rPr/>
        <w:t>③</w:t>
        <w:tab/>
      </w:r>
      <w:r>
        <w:rPr>
          <w:spacing w:val="-1"/>
        </w:rPr>
        <w:t>分别两次血液培养证实有微生物，且与心内膜炎符合；</w:t>
      </w:r>
    </w:p>
    <w:p>
      <w:pPr>
        <w:pStyle w:val="BodyText"/>
        <w:spacing w:line="273" w:lineRule="auto" w:before="37"/>
        <w:ind w:left="699" w:right="209" w:hanging="526"/>
      </w:pPr>
      <w:r>
        <w:rPr>
          <w:spacing w:val="-17"/>
        </w:rPr>
        <w:t>（2）</w:t>
      </w:r>
      <w:r>
        <w:rPr>
          <w:spacing w:val="-5"/>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40" w:bottom="280" w:left="920" w:right="860"/>
          <w:cols w:num="2" w:equalWidth="0">
            <w:col w:w="2973" w:space="40"/>
            <w:col w:w="7117"/>
          </w:cols>
        </w:sectPr>
      </w:pPr>
    </w:p>
    <w:p>
      <w:pPr>
        <w:pStyle w:val="BodyText"/>
        <w:spacing w:before="9"/>
      </w:pPr>
    </w:p>
    <w:p>
      <w:pPr>
        <w:pStyle w:val="Heading4"/>
        <w:tabs>
          <w:tab w:pos="3186" w:val="left" w:leader="none"/>
        </w:tabs>
        <w:spacing w:before="35"/>
        <w:ind w:left="1032"/>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5"/>
        <w:rPr>
          <w:b/>
          <w:sz w:val="20"/>
        </w:rPr>
      </w:pPr>
    </w:p>
    <w:p>
      <w:pPr>
        <w:spacing w:after="0"/>
        <w:rPr>
          <w:sz w:val="20"/>
        </w:rPr>
        <w:sectPr>
          <w:type w:val="continuous"/>
          <w:pgSz w:w="11910" w:h="16840"/>
          <w:pgMar w:top="540" w:bottom="280" w:left="920" w:right="860"/>
        </w:sectPr>
      </w:pPr>
    </w:p>
    <w:p>
      <w:pPr>
        <w:spacing w:line="232" w:lineRule="auto" w:before="31"/>
        <w:ind w:left="1032"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73" w:right="210"/>
      </w:pPr>
      <w:r>
        <w:rPr/>
        <w:br w:type="column"/>
      </w:r>
      <w:r>
        <w:rPr/>
        <w:t>指因骨髓造血功能慢性持续性衰竭导致的贫血、中性粒细胞减少及血小板减少。须满足下列全部条件：</w:t>
      </w:r>
    </w:p>
    <w:p>
      <w:pPr>
        <w:pStyle w:val="BodyText"/>
        <w:spacing w:before="7"/>
        <w:ind w:left="173"/>
      </w:pPr>
      <w:r>
        <w:rPr/>
        <w:t>（1）骨髓穿刺检查或骨髓活检结果支持诊断；</w:t>
      </w:r>
    </w:p>
    <w:p>
      <w:pPr>
        <w:pStyle w:val="BodyText"/>
        <w:spacing w:before="36"/>
        <w:ind w:left="173"/>
      </w:pPr>
      <w:r>
        <w:rPr/>
        <w:t>（2）外周血象须具备以下三项条件：</w:t>
      </w:r>
    </w:p>
    <w:p>
      <w:pPr>
        <w:pStyle w:val="BodyText"/>
        <w:tabs>
          <w:tab w:pos="700" w:val="left" w:leader="none"/>
        </w:tabs>
        <w:spacing w:before="36"/>
        <w:ind w:left="279"/>
      </w:pPr>
      <w:r>
        <w:rPr/>
        <w:t>①</w:t>
        <w:tab/>
      </w:r>
      <w:r>
        <w:rPr>
          <w:spacing w:val="-1"/>
        </w:rPr>
        <w:t>中性粒细胞绝对值</w:t>
      </w:r>
      <w:r>
        <w:rPr/>
        <w:t>≤0.5×10</w:t>
      </w:r>
      <w:r>
        <w:rPr>
          <w:position w:val="11"/>
          <w:sz w:val="11"/>
        </w:rPr>
        <w:t>9</w:t>
      </w:r>
      <w:r>
        <w:rPr/>
        <w:t>/L；</w:t>
      </w:r>
    </w:p>
    <w:p>
      <w:pPr>
        <w:pStyle w:val="BodyText"/>
        <w:tabs>
          <w:tab w:pos="700" w:val="left" w:leader="none"/>
        </w:tabs>
        <w:spacing w:before="36"/>
        <w:ind w:left="279"/>
      </w:pPr>
      <w:r>
        <w:rPr/>
        <w:t>②</w:t>
        <w:tab/>
      </w:r>
      <w:r>
        <w:rPr>
          <w:spacing w:val="-1"/>
        </w:rPr>
        <w:t>网织红细胞</w:t>
      </w:r>
      <w:r>
        <w:rPr/>
        <w:t>＜1%；</w:t>
      </w:r>
    </w:p>
    <w:p>
      <w:pPr>
        <w:pStyle w:val="BodyText"/>
        <w:tabs>
          <w:tab w:pos="700" w:val="left" w:leader="none"/>
        </w:tabs>
        <w:spacing w:before="36"/>
        <w:ind w:left="279"/>
      </w:pPr>
      <w:r>
        <w:rPr/>
        <w:t>③</w:t>
        <w:tab/>
      </w:r>
      <w:r>
        <w:rPr>
          <w:spacing w:val="-1"/>
        </w:rPr>
        <w:t>血小板绝对值</w:t>
      </w:r>
      <w:r>
        <w:rPr/>
        <w:t>≤20×10</w:t>
      </w:r>
      <w:r>
        <w:rPr>
          <w:position w:val="11"/>
          <w:sz w:val="11"/>
        </w:rPr>
        <w:t>9</w:t>
      </w:r>
      <w:r>
        <w:rPr/>
        <w:t>/L。</w:t>
      </w:r>
    </w:p>
    <w:p>
      <w:pPr>
        <w:spacing w:after="0"/>
        <w:sectPr>
          <w:type w:val="continuous"/>
          <w:pgSz w:w="11910" w:h="16840"/>
          <w:pgMar w:top="540" w:bottom="280" w:left="920" w:right="860"/>
          <w:cols w:num="2" w:equalWidth="0">
            <w:col w:w="2973" w:space="40"/>
            <w:col w:w="7117"/>
          </w:cols>
        </w:sectPr>
      </w:pPr>
    </w:p>
    <w:p>
      <w:pPr>
        <w:pStyle w:val="BodyText"/>
        <w:rPr>
          <w:sz w:val="23"/>
        </w:rPr>
      </w:pPr>
    </w:p>
    <w:p>
      <w:pPr>
        <w:spacing w:after="0"/>
        <w:rPr>
          <w:sz w:val="23"/>
        </w:rPr>
        <w:sectPr>
          <w:type w:val="continuous"/>
          <w:pgSz w:w="11910" w:h="16840"/>
          <w:pgMar w:top="540" w:bottom="280" w:left="920" w:right="860"/>
        </w:sectPr>
      </w:pPr>
    </w:p>
    <w:p>
      <w:pPr>
        <w:pStyle w:val="Heading2"/>
        <w:spacing w:line="232" w:lineRule="auto" w:before="31"/>
        <w:ind w:left="1032"/>
      </w:pPr>
      <w:r>
        <w:rPr/>
        <w:t>重大器官移植术或造血干细胞移植术</w:t>
      </w:r>
    </w:p>
    <w:p>
      <w:pPr>
        <w:pStyle w:val="BodyText"/>
        <w:spacing w:line="273" w:lineRule="auto" w:before="53"/>
        <w:ind w:left="173" w:right="210"/>
      </w:pPr>
      <w:r>
        <w:rPr/>
        <w:br w:type="column"/>
      </w:r>
      <w:r>
        <w:rPr/>
        <w:t>重大器官移植术，指因相应器官功能衰竭，已经实施了肾脏、肝脏、心脏或肺脏的异体移植手术。</w:t>
      </w:r>
    </w:p>
    <w:p>
      <w:pPr>
        <w:pStyle w:val="BodyText"/>
        <w:spacing w:line="273" w:lineRule="auto" w:before="7"/>
        <w:ind w:left="173" w:right="103"/>
      </w:pPr>
      <w:r>
        <w:rPr/>
        <w:t>造血干细胞移植术，指因造血功能损害或造血系统恶性肿瘤，已经实施了</w:t>
      </w:r>
      <w:r>
        <w:rPr>
          <w:spacing w:val="-10"/>
        </w:rPr>
        <w:t>造血干细胞</w:t>
      </w:r>
      <w:r>
        <w:rPr/>
        <w:t>（</w:t>
      </w:r>
      <w:r>
        <w:rPr>
          <w:spacing w:val="-5"/>
        </w:rPr>
        <w:t>包括骨髓造血干细胞、外周血造血干细胞和脐血造血干细胞</w:t>
      </w:r>
      <w:r>
        <w:rPr/>
        <w:t>） 的异体移植手术。</w:t>
      </w:r>
    </w:p>
    <w:p>
      <w:pPr>
        <w:spacing w:after="0" w:line="273" w:lineRule="auto"/>
        <w:sectPr>
          <w:type w:val="continuous"/>
          <w:pgSz w:w="11910" w:h="16840"/>
          <w:pgMar w:top="540" w:bottom="280" w:left="920" w:right="860"/>
          <w:cols w:num="2" w:equalWidth="0">
            <w:col w:w="2973" w:space="40"/>
            <w:col w:w="7117"/>
          </w:cols>
        </w:sect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before="38"/>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4"/>
        <w:ind w:left="248" w:right="0" w:firstLine="0"/>
        <w:jc w:val="left"/>
        <w:rPr>
          <w:sz w:val="18"/>
        </w:rPr>
      </w:pPr>
      <w:r>
        <w:rPr>
          <w:sz w:val="18"/>
        </w:rPr>
        <w:t>（1）穿衣：自己能够穿衣及脱衣；</w:t>
      </w:r>
    </w:p>
    <w:p>
      <w:pPr>
        <w:spacing w:before="43"/>
        <w:ind w:left="248" w:right="0" w:firstLine="0"/>
        <w:jc w:val="left"/>
        <w:rPr>
          <w:sz w:val="18"/>
        </w:rPr>
      </w:pPr>
      <w:r>
        <w:rPr>
          <w:sz w:val="18"/>
        </w:rPr>
        <w:t>（2）移动：自己从一个房间到另一个房间；</w:t>
      </w:r>
    </w:p>
    <w:p>
      <w:pPr>
        <w:spacing w:before="43"/>
        <w:ind w:left="248" w:right="0" w:firstLine="0"/>
        <w:jc w:val="left"/>
        <w:rPr>
          <w:sz w:val="18"/>
        </w:rPr>
      </w:pPr>
      <w:r>
        <w:rPr>
          <w:sz w:val="18"/>
        </w:rPr>
        <w:t>（3）行动：自己上下床或上下轮椅；</w:t>
      </w:r>
    </w:p>
    <w:p>
      <w:pPr>
        <w:spacing w:before="44"/>
        <w:ind w:left="248" w:right="0" w:firstLine="0"/>
        <w:jc w:val="left"/>
        <w:rPr>
          <w:sz w:val="18"/>
        </w:rPr>
      </w:pPr>
      <w:r>
        <w:rPr>
          <w:sz w:val="18"/>
        </w:rPr>
        <w:t>（4）如厕：自己控制进行大小便；</w:t>
      </w:r>
    </w:p>
    <w:p>
      <w:pPr>
        <w:spacing w:before="43"/>
        <w:ind w:left="248" w:right="0" w:firstLine="0"/>
        <w:jc w:val="left"/>
        <w:rPr>
          <w:sz w:val="18"/>
        </w:rPr>
      </w:pPr>
      <w:r>
        <w:rPr>
          <w:sz w:val="18"/>
        </w:rPr>
        <w:t>（5）进食：自己从已准备好的碗或碟中取食物放入口中；</w:t>
      </w:r>
    </w:p>
    <w:p>
      <w:pPr>
        <w:spacing w:before="43"/>
        <w:ind w:left="248" w:right="0" w:firstLine="0"/>
        <w:jc w:val="left"/>
        <w:rPr>
          <w:sz w:val="18"/>
        </w:rPr>
      </w:pPr>
      <w:r>
        <w:rPr>
          <w:sz w:val="18"/>
        </w:rPr>
        <w:t>（6）洗澡：自己进行淋浴或盆浴。</w:t>
      </w:r>
    </w:p>
    <w:p>
      <w:pPr>
        <w:spacing w:after="0"/>
        <w:jc w:val="left"/>
        <w:rPr>
          <w:sz w:val="18"/>
        </w:rPr>
        <w:sectPr>
          <w:type w:val="continuous"/>
          <w:pgSz w:w="11910" w:h="16840"/>
          <w:pgMar w:top="540" w:bottom="280" w:left="92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140"/>
      </w:tblGrid>
      <w:tr>
        <w:trPr>
          <w:trHeight w:val="1659" w:hRule="atLeast"/>
        </w:trPr>
        <w:tc>
          <w:tcPr>
            <w:tcW w:w="2247" w:type="dxa"/>
          </w:tcPr>
          <w:p>
            <w:pPr>
              <w:pStyle w:val="TableParagraph"/>
              <w:spacing w:line="248" w:lineRule="exact"/>
              <w:ind w:left="200"/>
              <w:rPr>
                <w:rFonts w:ascii="等线" w:eastAsia="等线" w:hint="eastAsia"/>
                <w:b/>
                <w:sz w:val="24"/>
              </w:rPr>
            </w:pPr>
            <w:r>
              <w:rPr>
                <w:rFonts w:ascii="等线" w:eastAsia="等线" w:hint="eastAsia"/>
                <w:b/>
                <w:sz w:val="24"/>
              </w:rPr>
              <w:t>双耳失聪</w:t>
            </w:r>
          </w:p>
        </w:tc>
        <w:tc>
          <w:tcPr>
            <w:tcW w:w="7140" w:type="dxa"/>
          </w:tcPr>
          <w:p>
            <w:pPr>
              <w:pStyle w:val="TableParagraph"/>
              <w:spacing w:line="228" w:lineRule="exact"/>
              <w:rPr>
                <w:sz w:val="21"/>
              </w:rPr>
            </w:pPr>
            <w:r>
              <w:rPr>
                <w:sz w:val="21"/>
              </w:rPr>
              <w:t>指因疾病或意外伤害导致双耳听力永久不可逆性丧失，在 500 赫兹、1000</w:t>
            </w:r>
          </w:p>
          <w:p>
            <w:pPr>
              <w:pStyle w:val="TableParagraph"/>
              <w:spacing w:line="273" w:lineRule="auto" w:before="37"/>
              <w:ind w:right="198"/>
              <w:rPr>
                <w:sz w:val="21"/>
              </w:rPr>
            </w:pPr>
            <w:r>
              <w:rPr>
                <w:spacing w:val="-14"/>
                <w:sz w:val="21"/>
              </w:rPr>
              <w:t>赫兹和 </w:t>
            </w:r>
            <w:r>
              <w:rPr>
                <w:sz w:val="21"/>
              </w:rPr>
              <w:t>2000</w:t>
            </w:r>
            <w:r>
              <w:rPr>
                <w:spacing w:val="-14"/>
                <w:sz w:val="21"/>
              </w:rPr>
              <w:t> 赫兹语音频率下，平均听阈大于 </w:t>
            </w:r>
            <w:r>
              <w:rPr>
                <w:sz w:val="21"/>
              </w:rPr>
              <w:t>90</w:t>
            </w:r>
            <w:r>
              <w:rPr>
                <w:spacing w:val="-11"/>
                <w:sz w:val="21"/>
              </w:rPr>
              <w:t> 分贝，且经纯音听力测试、声导抗检测或听觉诱发电位检测等证实。</w:t>
            </w:r>
          </w:p>
          <w:p>
            <w:pPr>
              <w:pStyle w:val="TableParagraph"/>
              <w:spacing w:line="273" w:lineRule="auto" w:before="7"/>
              <w:ind w:right="302"/>
              <w:rPr>
                <w:sz w:val="21"/>
              </w:rPr>
            </w:pPr>
            <w:r>
              <w:rPr>
                <w:spacing w:val="-8"/>
                <w:sz w:val="21"/>
                <w:shd w:fill="DADADA" w:color="auto" w:val="clear"/>
              </w:rPr>
              <w:t>若被保险人在 </w:t>
            </w:r>
            <w:r>
              <w:rPr>
                <w:sz w:val="21"/>
                <w:shd w:fill="DADADA" w:color="auto" w:val="clear"/>
              </w:rPr>
              <w:t>0</w:t>
            </w:r>
            <w:r>
              <w:rPr>
                <w:spacing w:val="-35"/>
                <w:sz w:val="21"/>
                <w:shd w:fill="DADADA" w:color="auto" w:val="clear"/>
              </w:rPr>
              <w:t> 至 </w:t>
            </w:r>
            <w:r>
              <w:rPr>
                <w:sz w:val="21"/>
                <w:shd w:fill="DADADA" w:color="auto" w:val="clear"/>
              </w:rPr>
              <w:t>3</w:t>
            </w:r>
            <w:r>
              <w:rPr>
                <w:spacing w:val="-8"/>
                <w:sz w:val="21"/>
                <w:shd w:fill="DADADA" w:color="auto" w:val="clear"/>
              </w:rPr>
              <w:t> 周岁保单周年日期间双耳失聪，在本附加险合同保险期间内我们对双耳失聪不承担保险责任。</w:t>
            </w:r>
          </w:p>
        </w:tc>
      </w:tr>
      <w:tr>
        <w:trPr>
          <w:trHeight w:val="2155" w:hRule="atLeast"/>
        </w:trPr>
        <w:tc>
          <w:tcPr>
            <w:tcW w:w="2247" w:type="dxa"/>
          </w:tcPr>
          <w:p>
            <w:pPr>
              <w:pStyle w:val="TableParagraph"/>
              <w:spacing w:line="232" w:lineRule="auto" w:before="114"/>
              <w:ind w:left="200" w:right="104"/>
              <w:rPr>
                <w:rFonts w:ascii="等线" w:eastAsia="等线" w:hint="eastAsia"/>
                <w:b/>
                <w:sz w:val="24"/>
              </w:rPr>
            </w:pPr>
            <w:r>
              <w:rPr>
                <w:rFonts w:ascii="等线" w:eastAsia="等线" w:hint="eastAsia"/>
                <w:b/>
                <w:sz w:val="24"/>
              </w:rPr>
              <w:t>慢性肝功能衰竭失代偿期</w:t>
            </w:r>
          </w:p>
        </w:tc>
        <w:tc>
          <w:tcPr>
            <w:tcW w:w="7140" w:type="dxa"/>
          </w:tcPr>
          <w:p>
            <w:pPr>
              <w:pStyle w:val="TableParagraph"/>
              <w:spacing w:before="137"/>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1" w:lineRule="auto" w:before="37"/>
              <w:ind w:right="188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双目失明</w:t>
            </w:r>
          </w:p>
        </w:tc>
        <w:tc>
          <w:tcPr>
            <w:tcW w:w="7140" w:type="dxa"/>
          </w:tcPr>
          <w:p>
            <w:pPr>
              <w:pStyle w:val="TableParagraph"/>
              <w:spacing w:line="273" w:lineRule="auto" w:before="136"/>
              <w:ind w:right="303"/>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32" w:right="303" w:hanging="526"/>
              <w:rPr>
                <w:sz w:val="21"/>
              </w:rPr>
            </w:pPr>
            <w:r>
              <w:rPr>
                <w:sz w:val="21"/>
              </w:rPr>
              <w:t>（2）矫正视力低于 0.02（采用国际标准视力表，如果使用其它视力表应进行换算</w:t>
            </w:r>
            <w:r>
              <w:rPr>
                <w:spacing w:val="-105"/>
                <w:sz w:val="21"/>
              </w:rPr>
              <w:t>）</w:t>
            </w:r>
            <w:r>
              <w:rPr>
                <w:sz w:val="21"/>
              </w:rPr>
              <w:t>；</w:t>
            </w:r>
          </w:p>
          <w:p>
            <w:pPr>
              <w:pStyle w:val="TableParagraph"/>
              <w:spacing w:before="8"/>
              <w:rPr>
                <w:sz w:val="21"/>
              </w:rPr>
            </w:pPr>
            <w:r>
              <w:rPr>
                <w:sz w:val="21"/>
              </w:rPr>
              <w:t>（3）视野半径小于 5 度。</w:t>
            </w:r>
          </w:p>
        </w:tc>
      </w:tr>
      <w:tr>
        <w:trPr>
          <w:trHeight w:val="8213" w:hRule="atLeast"/>
        </w:trPr>
        <w:tc>
          <w:tcPr>
            <w:tcW w:w="2247" w:type="dxa"/>
          </w:tcPr>
          <w:p>
            <w:pPr>
              <w:pStyle w:val="TableParagraph"/>
              <w:spacing w:line="232" w:lineRule="auto" w:before="114"/>
              <w:ind w:left="200" w:right="104"/>
              <w:rPr>
                <w:rFonts w:ascii="等线" w:eastAsia="等线" w:hint="eastAsia"/>
                <w:b/>
                <w:sz w:val="24"/>
              </w:rPr>
            </w:pPr>
            <w:r>
              <w:rPr>
                <w:rFonts w:ascii="等线" w:eastAsia="等线" w:hint="eastAsia"/>
                <w:b/>
                <w:sz w:val="24"/>
              </w:rPr>
              <w:t>系统性红斑狼疮并发肾功能损害</w:t>
            </w:r>
          </w:p>
        </w:tc>
        <w:tc>
          <w:tcPr>
            <w:tcW w:w="7140" w:type="dxa"/>
          </w:tcPr>
          <w:p>
            <w:pPr>
              <w:pStyle w:val="TableParagraph"/>
              <w:spacing w:line="273" w:lineRule="auto" w:before="137"/>
              <w:ind w:right="303"/>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8"/>
              <w:jc w:val="both"/>
              <w:rPr>
                <w:sz w:val="21"/>
              </w:rPr>
            </w:pPr>
            <w:r>
              <w:rPr>
                <w:sz w:val="21"/>
              </w:rPr>
              <w:t>（1）临床表现至少具备下列条件中的 4 个：</w:t>
            </w:r>
          </w:p>
          <w:p>
            <w:pPr>
              <w:pStyle w:val="TableParagraph"/>
              <w:tabs>
                <w:tab w:pos="633" w:val="left" w:leader="none"/>
              </w:tabs>
              <w:spacing w:before="37"/>
              <w:ind w:left="212"/>
              <w:rPr>
                <w:sz w:val="21"/>
              </w:rPr>
            </w:pPr>
            <w:r>
              <w:rPr>
                <w:sz w:val="21"/>
              </w:rPr>
              <w:t>①</w:t>
              <w:tab/>
            </w:r>
            <w:r>
              <w:rPr>
                <w:spacing w:val="-1"/>
                <w:sz w:val="21"/>
              </w:rPr>
              <w:t>蝶形红斑或盘形红斑；</w:t>
            </w:r>
          </w:p>
          <w:p>
            <w:pPr>
              <w:pStyle w:val="TableParagraph"/>
              <w:tabs>
                <w:tab w:pos="633" w:val="left" w:leader="none"/>
              </w:tabs>
              <w:spacing w:before="37"/>
              <w:ind w:left="212"/>
              <w:rPr>
                <w:sz w:val="21"/>
              </w:rPr>
            </w:pPr>
            <w:r>
              <w:rPr>
                <w:sz w:val="21"/>
              </w:rPr>
              <w:t>②</w:t>
              <w:tab/>
            </w:r>
            <w:r>
              <w:rPr>
                <w:spacing w:val="-1"/>
                <w:sz w:val="21"/>
              </w:rPr>
              <w:t>光敏感；</w:t>
            </w:r>
          </w:p>
          <w:p>
            <w:pPr>
              <w:pStyle w:val="TableParagraph"/>
              <w:tabs>
                <w:tab w:pos="633" w:val="left" w:leader="none"/>
              </w:tabs>
              <w:spacing w:before="37"/>
              <w:ind w:left="212"/>
              <w:rPr>
                <w:sz w:val="21"/>
              </w:rPr>
            </w:pPr>
            <w:r>
              <w:rPr>
                <w:sz w:val="21"/>
              </w:rPr>
              <w:t>③</w:t>
              <w:tab/>
            </w:r>
            <w:r>
              <w:rPr>
                <w:spacing w:val="-1"/>
                <w:sz w:val="21"/>
              </w:rPr>
              <w:t>口鼻腔黏膜溃疡；</w:t>
            </w:r>
          </w:p>
          <w:p>
            <w:pPr>
              <w:pStyle w:val="TableParagraph"/>
              <w:tabs>
                <w:tab w:pos="633" w:val="left" w:leader="none"/>
              </w:tabs>
              <w:spacing w:before="37"/>
              <w:ind w:left="212"/>
              <w:rPr>
                <w:sz w:val="21"/>
              </w:rPr>
            </w:pPr>
            <w:r>
              <w:rPr>
                <w:sz w:val="21"/>
              </w:rPr>
              <w:t>④</w:t>
              <w:tab/>
            </w:r>
            <w:r>
              <w:rPr>
                <w:spacing w:val="-1"/>
                <w:sz w:val="21"/>
              </w:rPr>
              <w:t>非畸形性关节炎或多关节痛；</w:t>
            </w:r>
          </w:p>
          <w:p>
            <w:pPr>
              <w:pStyle w:val="TableParagraph"/>
              <w:tabs>
                <w:tab w:pos="633" w:val="left" w:leader="none"/>
              </w:tabs>
              <w:spacing w:before="37"/>
              <w:ind w:left="212"/>
              <w:rPr>
                <w:sz w:val="21"/>
              </w:rPr>
            </w:pPr>
            <w:r>
              <w:rPr>
                <w:sz w:val="21"/>
              </w:rPr>
              <w:t>⑤</w:t>
              <w:tab/>
            </w:r>
            <w:r>
              <w:rPr>
                <w:spacing w:val="-1"/>
                <w:sz w:val="21"/>
              </w:rPr>
              <w:t>胸膜炎或心包炎；</w:t>
            </w:r>
          </w:p>
          <w:p>
            <w:pPr>
              <w:pStyle w:val="TableParagraph"/>
              <w:tabs>
                <w:tab w:pos="633" w:val="left" w:leader="none"/>
              </w:tabs>
              <w:spacing w:before="37"/>
              <w:ind w:left="212"/>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3" w:val="left" w:leader="none"/>
              </w:tabs>
              <w:spacing w:line="273" w:lineRule="auto" w:before="37"/>
              <w:ind w:left="632" w:right="301" w:hanging="420"/>
              <w:rPr>
                <w:sz w:val="21"/>
              </w:rPr>
            </w:pPr>
            <w:r>
              <w:rPr>
                <w:sz w:val="21"/>
              </w:rPr>
              <w:t>⑦</w:t>
              <w:tab/>
              <w:tab/>
            </w:r>
            <w:r>
              <w:rPr>
                <w:spacing w:val="-24"/>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7"/>
              <w:jc w:val="both"/>
              <w:rPr>
                <w:sz w:val="21"/>
              </w:rPr>
            </w:pPr>
            <w:r>
              <w:rPr>
                <w:sz w:val="21"/>
              </w:rPr>
              <w:t>（2）检测结果至少具备下列条件中的 2 个：</w:t>
            </w:r>
          </w:p>
          <w:p>
            <w:pPr>
              <w:pStyle w:val="TableParagraph"/>
              <w:tabs>
                <w:tab w:pos="633" w:val="left" w:leader="none"/>
              </w:tabs>
              <w:spacing w:before="37"/>
              <w:ind w:left="212"/>
              <w:rPr>
                <w:sz w:val="21"/>
              </w:rPr>
            </w:pPr>
            <w:r>
              <w:rPr>
                <w:sz w:val="21"/>
              </w:rPr>
              <w:t>①</w:t>
              <w:tab/>
            </w:r>
            <w:r>
              <w:rPr>
                <w:spacing w:val="50"/>
                <w:sz w:val="21"/>
              </w:rPr>
              <w:t>抗</w:t>
            </w:r>
            <w:r>
              <w:rPr>
                <w:sz w:val="21"/>
              </w:rPr>
              <w:t>dsDNA</w:t>
            </w:r>
            <w:r>
              <w:rPr>
                <w:spacing w:val="-10"/>
                <w:sz w:val="21"/>
              </w:rPr>
              <w:t> 抗体阳性；</w:t>
            </w:r>
          </w:p>
          <w:p>
            <w:pPr>
              <w:pStyle w:val="TableParagraph"/>
              <w:tabs>
                <w:tab w:pos="633" w:val="left" w:leader="none"/>
              </w:tabs>
              <w:spacing w:before="37"/>
              <w:ind w:left="212"/>
              <w:rPr>
                <w:sz w:val="21"/>
              </w:rPr>
            </w:pPr>
            <w:r>
              <w:rPr>
                <w:sz w:val="21"/>
              </w:rPr>
              <w:t>②</w:t>
              <w:tab/>
            </w:r>
            <w:r>
              <w:rPr>
                <w:spacing w:val="-28"/>
                <w:sz w:val="21"/>
              </w:rPr>
              <w:t>抗 </w:t>
            </w:r>
            <w:r>
              <w:rPr>
                <w:sz w:val="21"/>
              </w:rPr>
              <w:t>Sm</w:t>
            </w:r>
            <w:r>
              <w:rPr>
                <w:spacing w:val="-10"/>
                <w:sz w:val="21"/>
              </w:rPr>
              <w:t> 抗体阳性；</w:t>
            </w:r>
          </w:p>
          <w:p>
            <w:pPr>
              <w:pStyle w:val="TableParagraph"/>
              <w:tabs>
                <w:tab w:pos="633" w:val="left" w:leader="none"/>
              </w:tabs>
              <w:spacing w:before="37"/>
              <w:ind w:left="212"/>
              <w:rPr>
                <w:sz w:val="21"/>
              </w:rPr>
            </w:pPr>
            <w:r>
              <w:rPr>
                <w:sz w:val="21"/>
              </w:rPr>
              <w:t>③</w:t>
              <w:tab/>
            </w:r>
            <w:r>
              <w:rPr>
                <w:spacing w:val="-1"/>
                <w:sz w:val="21"/>
              </w:rPr>
              <w:t>抗核抗体阳性；</w:t>
            </w:r>
          </w:p>
          <w:p>
            <w:pPr>
              <w:pStyle w:val="TableParagraph"/>
              <w:tabs>
                <w:tab w:pos="633" w:val="left" w:leader="none"/>
              </w:tabs>
              <w:spacing w:before="37"/>
              <w:ind w:left="212"/>
              <w:rPr>
                <w:sz w:val="21"/>
              </w:rPr>
            </w:pPr>
            <w:r>
              <w:rPr>
                <w:sz w:val="21"/>
              </w:rPr>
              <w:t>④</w:t>
              <w:tab/>
            </w:r>
            <w:r>
              <w:rPr>
                <w:spacing w:val="-1"/>
                <w:sz w:val="21"/>
              </w:rPr>
              <w:t>皮肤狼疮带试验</w:t>
            </w:r>
            <w:r>
              <w:rPr>
                <w:sz w:val="21"/>
              </w:rPr>
              <w:t>（非病损部位）或肾活检阳性；</w:t>
            </w:r>
          </w:p>
          <w:p>
            <w:pPr>
              <w:pStyle w:val="TableParagraph"/>
              <w:tabs>
                <w:tab w:pos="632" w:val="left" w:leader="none"/>
              </w:tabs>
              <w:spacing w:before="37"/>
              <w:ind w:left="212"/>
              <w:rPr>
                <w:sz w:val="21"/>
              </w:rPr>
            </w:pPr>
            <w:r>
              <w:rPr>
                <w:sz w:val="21"/>
              </w:rPr>
              <w:t>⑤</w:t>
              <w:tab/>
              <w:t>C3</w:t>
            </w:r>
            <w:r>
              <w:rPr>
                <w:spacing w:val="-9"/>
                <w:sz w:val="21"/>
              </w:rPr>
              <w:t> 低于正常值。</w:t>
            </w:r>
          </w:p>
          <w:p>
            <w:pPr>
              <w:pStyle w:val="TableParagraph"/>
              <w:spacing w:before="3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33" w:val="left" w:leader="none"/>
              </w:tabs>
              <w:spacing w:line="273" w:lineRule="auto" w:before="37"/>
              <w:ind w:left="632" w:right="301" w:hanging="420"/>
              <w:rPr>
                <w:sz w:val="21"/>
              </w:rPr>
            </w:pPr>
            <w:r>
              <w:rPr>
                <w:sz w:val="21"/>
              </w:rPr>
              <w:t>①</w:t>
              <w:tab/>
              <w:tab/>
            </w:r>
            <w:r>
              <w:rPr>
                <w:spacing w:val="-3"/>
                <w:sz w:val="21"/>
              </w:rPr>
              <w:t>系统性红斑狼疮造成肾脏功能损害，尿蛋白</w:t>
            </w:r>
            <w:r>
              <w:rPr>
                <w:sz w:val="21"/>
              </w:rPr>
              <w:t>＞2g/24</w:t>
            </w:r>
            <w:r>
              <w:rPr>
                <w:spacing w:val="-8"/>
                <w:sz w:val="21"/>
              </w:rPr>
              <w:t> 小时且持续性蛋</w:t>
            </w:r>
            <w:r>
              <w:rPr>
                <w:spacing w:val="-1"/>
                <w:sz w:val="21"/>
              </w:rPr>
              <w:t>白尿＞+++；</w:t>
            </w:r>
          </w:p>
          <w:p>
            <w:pPr>
              <w:pStyle w:val="TableParagraph"/>
              <w:tabs>
                <w:tab w:pos="633" w:val="left" w:leader="none"/>
              </w:tabs>
              <w:spacing w:line="273" w:lineRule="auto" w:before="8"/>
              <w:ind w:right="1465"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8"/>
              <w:jc w:val="both"/>
              <w:rPr>
                <w:sz w:val="21"/>
              </w:rPr>
            </w:pPr>
            <w:r>
              <w:rPr>
                <w:sz w:val="21"/>
              </w:rPr>
              <w:t>Ⅰ型（微小病变型）  镜下阴性，尿液正常；</w:t>
            </w:r>
          </w:p>
          <w:p>
            <w:pPr>
              <w:pStyle w:val="TableParagraph"/>
              <w:spacing w:before="37"/>
              <w:jc w:val="both"/>
              <w:rPr>
                <w:sz w:val="21"/>
              </w:rPr>
            </w:pPr>
            <w:r>
              <w:rPr>
                <w:sz w:val="21"/>
              </w:rPr>
              <w:t>Ⅱ型（系膜病变型）  中度蛋白尿，偶有尿沉渣改变；</w:t>
            </w:r>
          </w:p>
          <w:p>
            <w:pPr>
              <w:pStyle w:val="TableParagraph"/>
              <w:spacing w:line="255" w:lineRule="exact" w:before="37"/>
              <w:jc w:val="both"/>
              <w:rPr>
                <w:sz w:val="21"/>
              </w:rPr>
            </w:pPr>
            <w:r>
              <w:rPr>
                <w:sz w:val="21"/>
              </w:rPr>
              <w:t>Ⅲ型（局灶及节段增生型） 蛋白尿，尿沉渣改变；</w:t>
            </w:r>
          </w:p>
        </w:tc>
      </w:tr>
    </w:tbl>
    <w:p>
      <w:pPr>
        <w:spacing w:after="0" w:line="255" w:lineRule="exact"/>
        <w:jc w:val="both"/>
        <w:rPr>
          <w:sz w:val="21"/>
        </w:rPr>
        <w:sectPr>
          <w:pgSz w:w="11910" w:h="16840"/>
          <w:pgMar w:top="1140" w:bottom="280" w:left="1640" w:right="660"/>
        </w:sectPr>
      </w:pPr>
    </w:p>
    <w:p>
      <w:pPr>
        <w:pStyle w:val="BodyText"/>
        <w:tabs>
          <w:tab w:pos="4526" w:val="left" w:leader="none"/>
        </w:tabs>
        <w:spacing w:before="20"/>
        <w:ind w:left="2426"/>
      </w:pPr>
      <w:r>
        <w:rPr/>
        <w:t>Ⅳ型（弥漫增生型）</w:t>
        <w:tab/>
      </w:r>
      <w:r>
        <w:rPr>
          <w:spacing w:val="-1"/>
        </w:rPr>
        <w:t>急性</w:t>
      </w:r>
      <w:r>
        <w:rPr/>
        <w:t>肾炎伴有尿沉渣改变及/或肾病综合征；</w:t>
      </w:r>
    </w:p>
    <w:p>
      <w:pPr>
        <w:pStyle w:val="BodyText"/>
        <w:tabs>
          <w:tab w:pos="3897" w:val="left" w:leader="none"/>
        </w:tabs>
        <w:spacing w:before="36"/>
        <w:ind w:left="2426"/>
      </w:pPr>
      <w:r>
        <w:rPr/>
        <w:t>Ⅴ型（膜型）</w:t>
        <w:tab/>
      </w:r>
      <w:r>
        <w:rPr>
          <w:spacing w:val="-1"/>
        </w:rPr>
        <w:t>肾病</w:t>
      </w:r>
      <w:r>
        <w:rPr/>
        <w:t>综合征或重度蛋白尿。</w:t>
      </w:r>
    </w:p>
    <w:p>
      <w:pPr>
        <w:pStyle w:val="BodyText"/>
        <w:spacing w:before="9"/>
      </w:pPr>
    </w:p>
    <w:p>
      <w:pPr>
        <w:pStyle w:val="BodyText"/>
        <w:tabs>
          <w:tab w:pos="2426" w:val="left" w:leader="none"/>
        </w:tabs>
        <w:spacing w:before="1"/>
        <w:ind w:left="272"/>
      </w:pPr>
      <w:r>
        <w:rPr>
          <w:rFonts w:ascii="等线" w:eastAsia="等线" w:hint="eastAsia"/>
          <w:b/>
          <w:position w:val="1"/>
          <w:sz w:val="24"/>
        </w:rPr>
        <w:t>语言能力丧失</w:t>
        <w:tab/>
      </w:r>
      <w:r>
        <w:rPr/>
        <w:t>指因疾病或意外伤害导致完全丧失语言能力，经过积极治疗至少</w:t>
      </w:r>
      <w:r>
        <w:rPr>
          <w:spacing w:val="1"/>
        </w:rPr>
        <w:t> </w:t>
      </w:r>
      <w:r>
        <w:rPr/>
        <w:t>12</w:t>
      </w:r>
      <w:r>
        <w:rPr>
          <w:spacing w:val="1"/>
        </w:rPr>
        <w:t> </w:t>
      </w:r>
      <w:r>
        <w:rPr/>
        <w:t>个月</w:t>
      </w:r>
    </w:p>
    <w:p>
      <w:pPr>
        <w:pStyle w:val="BodyText"/>
        <w:spacing w:line="273" w:lineRule="auto" w:before="21"/>
        <w:ind w:left="2426" w:right="643"/>
      </w:pPr>
      <w:r>
        <w:rPr/>
        <w:t>（声带完全切除不受此时间限制</w:t>
      </w:r>
      <w:r>
        <w:rPr>
          <w:spacing w:val="-105"/>
        </w:rPr>
        <w:t>）</w:t>
      </w:r>
      <w:r>
        <w:rPr>
          <w:spacing w:val="-1"/>
        </w:rPr>
        <w:t>，仍无法通过现有医疗手段恢复。</w:t>
      </w:r>
      <w:r>
        <w:rPr>
          <w:spacing w:val="-1"/>
          <w:shd w:fill="DADADA" w:color="auto" w:val="clear"/>
        </w:rPr>
        <w:t>精神心理因素所致的语言能力丧失不在保障范围内。</w:t>
      </w:r>
    </w:p>
    <w:p>
      <w:pPr>
        <w:pStyle w:val="BodyText"/>
        <w:spacing w:line="273" w:lineRule="auto" w:before="7"/>
        <w:ind w:left="2426" w:right="109"/>
      </w:pPr>
      <w:r>
        <w:rPr>
          <w:spacing w:val="-8"/>
          <w:shd w:fill="DADADA" w:color="auto" w:val="clear"/>
        </w:rPr>
        <w:t>若被保险人在 </w:t>
      </w:r>
      <w:r>
        <w:rPr>
          <w:shd w:fill="DADADA" w:color="auto" w:val="clear"/>
        </w:rPr>
        <w:t>0</w:t>
      </w:r>
      <w:r>
        <w:rPr>
          <w:spacing w:val="-35"/>
          <w:shd w:fill="DADADA" w:color="auto" w:val="clear"/>
        </w:rPr>
        <w:t> 至 </w:t>
      </w:r>
      <w:r>
        <w:rPr>
          <w:shd w:fill="DADADA" w:color="auto" w:val="clear"/>
        </w:rPr>
        <w:t>3</w:t>
      </w:r>
      <w:r>
        <w:rPr>
          <w:spacing w:val="-8"/>
          <w:shd w:fill="DADADA" w:color="auto" w:val="clear"/>
        </w:rPr>
        <w:t> 周岁保单周年日期间语言能力丧失，在本附加险合同</w:t>
      </w:r>
      <w:r>
        <w:rPr>
          <w:spacing w:val="-210"/>
          <w:shd w:fill="DADADA" w:color="auto" w:val="clear"/>
        </w:rPr>
        <w:t>保</w:t>
      </w:r>
      <w:r>
        <w:rPr>
          <w:shd w:fill="DADADA" w:color="auto" w:val="clear"/>
        </w:rPr>
        <w:t>险期间内我们对语言能力丧失不承担保险责任。</w:t>
      </w:r>
    </w:p>
    <w:p>
      <w:pPr>
        <w:pStyle w:val="BodyText"/>
        <w:spacing w:before="2"/>
        <w:rPr>
          <w:sz w:val="18"/>
        </w:rPr>
      </w:pPr>
    </w:p>
    <w:p>
      <w:pPr>
        <w:spacing w:after="0"/>
        <w:rPr>
          <w:sz w:val="18"/>
        </w:rPr>
        <w:sectPr>
          <w:pgSz w:w="11910" w:h="16840"/>
          <w:pgMar w:top="1080" w:bottom="280" w:left="1680" w:right="960"/>
        </w:sectPr>
      </w:pPr>
    </w:p>
    <w:p>
      <w:pPr>
        <w:pStyle w:val="Heading2"/>
        <w:spacing w:line="232" w:lineRule="auto"/>
      </w:pPr>
      <w:r>
        <w:rPr/>
        <w:t>急性或亚急性重症肝炎</w:t>
      </w:r>
    </w:p>
    <w:p>
      <w:pPr>
        <w:pStyle w:val="BodyText"/>
        <w:spacing w:line="273" w:lineRule="auto" w:before="53"/>
        <w:ind w:left="173" w:right="110"/>
      </w:pPr>
      <w:r>
        <w:rPr/>
        <w:br w:type="column"/>
      </w:r>
      <w:r>
        <w:rPr/>
        <w:t>指因肝炎病毒感染引起肝脏组织弥漫性坏死，导致急性肝功能衰竭，且经血清学或病毒学检查证实，并须满足下列全部条件：</w:t>
      </w:r>
    </w:p>
    <w:p>
      <w:pPr>
        <w:pStyle w:val="BodyText"/>
        <w:spacing w:before="8"/>
        <w:ind w:left="173"/>
      </w:pPr>
      <w:r>
        <w:rPr/>
        <w:t>（1）重度黄疸或黄疸迅速加重；</w:t>
      </w:r>
    </w:p>
    <w:p>
      <w:pPr>
        <w:pStyle w:val="BodyText"/>
        <w:spacing w:before="37"/>
        <w:ind w:left="173"/>
      </w:pPr>
      <w:r>
        <w:rPr/>
        <w:t>（2）肝性脑病；</w:t>
      </w:r>
    </w:p>
    <w:p>
      <w:pPr>
        <w:pStyle w:val="BodyText"/>
        <w:spacing w:before="37"/>
        <w:ind w:left="173"/>
      </w:pPr>
      <w:r>
        <w:rPr/>
        <w:t>（3）B 超或其它影像学检查显示肝脏体积急速萎缩；</w:t>
      </w:r>
    </w:p>
    <w:p>
      <w:pPr>
        <w:pStyle w:val="BodyText"/>
        <w:spacing w:before="37"/>
        <w:ind w:left="173"/>
      </w:pPr>
      <w:r>
        <w:rPr/>
        <w:t>（4）肝功能指标进行性恶化。</w:t>
      </w:r>
    </w:p>
    <w:p>
      <w:pPr>
        <w:spacing w:after="0"/>
        <w:sectPr>
          <w:type w:val="continuous"/>
          <w:pgSz w:w="11910" w:h="16840"/>
          <w:pgMar w:top="540" w:bottom="280" w:left="1680" w:right="960"/>
          <w:cols w:num="2" w:equalWidth="0">
            <w:col w:w="2213" w:space="40"/>
            <w:col w:w="7017"/>
          </w:cols>
        </w:sectPr>
      </w:pPr>
    </w:p>
    <w:p>
      <w:pPr>
        <w:pStyle w:val="BodyText"/>
        <w:spacing w:before="6"/>
        <w:rPr>
          <w:sz w:val="20"/>
        </w:rPr>
      </w:pPr>
    </w:p>
    <w:p>
      <w:pPr>
        <w:pStyle w:val="BodyText"/>
        <w:spacing w:line="266" w:lineRule="auto" w:before="17"/>
        <w:ind w:left="2426" w:right="110" w:hanging="2154"/>
        <w:jc w:val="both"/>
      </w:pPr>
      <w:r>
        <w:rPr>
          <w:rFonts w:ascii="等线" w:eastAsia="等线" w:hint="eastAsia"/>
          <w:b/>
          <w:position w:val="1"/>
          <w:sz w:val="24"/>
        </w:rPr>
        <w:t>严重溃疡性结肠炎 </w:t>
      </w:r>
      <w:r>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0"/>
        <w:rPr>
          <w:sz w:val="18"/>
        </w:rPr>
      </w:pPr>
    </w:p>
    <w:p>
      <w:pPr>
        <w:spacing w:after="0"/>
        <w:rPr>
          <w:sz w:val="18"/>
        </w:rPr>
        <w:sectPr>
          <w:type w:val="continuous"/>
          <w:pgSz w:w="11910" w:h="16840"/>
          <w:pgMar w:top="540" w:bottom="280" w:left="1680" w:right="960"/>
        </w:sectPr>
      </w:pPr>
    </w:p>
    <w:p>
      <w:pPr>
        <w:pStyle w:val="Heading2"/>
        <w:spacing w:line="232" w:lineRule="auto"/>
        <w:jc w:val="both"/>
      </w:pPr>
      <w:r>
        <w:rPr/>
        <w:t>终末期肾病（或称慢性肾功能衰竭尿毒症期）</w:t>
      </w:r>
    </w:p>
    <w:p>
      <w:pPr>
        <w:pStyle w:val="BodyText"/>
        <w:spacing w:before="52"/>
        <w:ind w:left="173"/>
      </w:pPr>
      <w:r>
        <w:rPr/>
        <w:br w:type="column"/>
      </w:r>
      <w:r>
        <w:rPr/>
        <w:t>指双肾功能慢性不可逆性衰竭，达到尿毒症期，经诊断后已经进行了至少</w:t>
      </w:r>
    </w:p>
    <w:p>
      <w:pPr>
        <w:pStyle w:val="BodyText"/>
        <w:spacing w:before="36"/>
        <w:ind w:left="173"/>
      </w:pPr>
      <w:r>
        <w:rPr/>
        <w:t>90 日的规律性透析治疗或实施了肾脏移植手术。</w:t>
      </w:r>
    </w:p>
    <w:p>
      <w:pPr>
        <w:spacing w:after="0"/>
        <w:sectPr>
          <w:type w:val="continuous"/>
          <w:pgSz w:w="11910" w:h="16840"/>
          <w:pgMar w:top="540" w:bottom="280" w:left="1680" w:right="960"/>
          <w:cols w:num="2" w:equalWidth="0">
            <w:col w:w="2213" w:space="40"/>
            <w:col w:w="7017"/>
          </w:cols>
        </w:sectPr>
      </w:pPr>
    </w:p>
    <w:p>
      <w:pPr>
        <w:pStyle w:val="BodyText"/>
        <w:spacing w:before="4"/>
        <w:rPr>
          <w:sz w:val="19"/>
        </w:rPr>
      </w:pPr>
    </w:p>
    <w:p>
      <w:pPr>
        <w:pStyle w:val="BodyText"/>
        <w:tabs>
          <w:tab w:pos="2426" w:val="left" w:leader="none"/>
        </w:tabs>
        <w:spacing w:line="254" w:lineRule="auto" w:before="17"/>
        <w:ind w:left="2426" w:right="119" w:hanging="2154"/>
      </w:pPr>
      <w:r>
        <w:rPr>
          <w:rFonts w:ascii="等线" w:eastAsia="等线" w:hint="eastAsia"/>
          <w:b/>
          <w:position w:val="1"/>
          <w:sz w:val="24"/>
        </w:rPr>
        <w:t>终末期肺病</w:t>
        <w:tab/>
      </w:r>
      <w:r>
        <w:rPr/>
        <w:t>指经专科医生明确诊断，且被保险人已出现慢性呼吸功能衰竭，其诊断标准必须满足下列所有条件：</w:t>
      </w:r>
    </w:p>
    <w:p>
      <w:pPr>
        <w:pStyle w:val="BodyText"/>
        <w:spacing w:before="24"/>
        <w:ind w:left="2426"/>
      </w:pPr>
      <w:r>
        <w:rPr/>
        <w:t>（1）肺功能测试其 FEV1 持续低于 1 升；</w:t>
      </w:r>
    </w:p>
    <w:p>
      <w:pPr>
        <w:pStyle w:val="BodyText"/>
        <w:spacing w:before="36"/>
        <w:ind w:left="2426"/>
      </w:pPr>
      <w:r>
        <w:rPr/>
        <w:t>（2）动脉血气分析氧分压低于 55mmHg；</w:t>
      </w:r>
    </w:p>
    <w:p>
      <w:pPr>
        <w:pStyle w:val="BodyText"/>
        <w:spacing w:before="36"/>
        <w:ind w:left="2426"/>
      </w:pPr>
      <w:r>
        <w:rPr/>
        <w:t>（3）病人缺氧必须进行输氧治疗。</w:t>
      </w:r>
    </w:p>
    <w:p>
      <w:pPr>
        <w:pStyle w:val="BodyText"/>
        <w:spacing w:before="9"/>
      </w:pPr>
    </w:p>
    <w:p>
      <w:pPr>
        <w:pStyle w:val="BodyText"/>
        <w:tabs>
          <w:tab w:pos="2426" w:val="left" w:leader="none"/>
        </w:tabs>
        <w:spacing w:line="254" w:lineRule="auto"/>
        <w:ind w:left="2426" w:right="110" w:hanging="2154"/>
      </w:pPr>
      <w:r>
        <w:rPr>
          <w:rFonts w:ascii="等线" w:eastAsia="等线" w:hint="eastAsia"/>
          <w:b/>
          <w:position w:val="1"/>
          <w:sz w:val="24"/>
        </w:rPr>
        <w:t>胰腺移植</w:t>
        <w:tab/>
      </w:r>
      <w:r>
        <w:rPr/>
        <w:t>指因胰腺功能衰竭，已经实施了在全身麻醉下进行的胰腺的异体器官移植 手术。</w:t>
      </w:r>
    </w:p>
    <w:p>
      <w:pPr>
        <w:pStyle w:val="BodyText"/>
        <w:spacing w:before="24"/>
        <w:ind w:left="2426"/>
      </w:pPr>
      <w:r>
        <w:rPr>
          <w:shd w:fill="DADADA" w:color="auto" w:val="clear"/>
        </w:rPr>
        <w:t>单纯胰岛移植、部分胰腺组织或细胞的移植不在保障范围内。</w:t>
      </w:r>
    </w:p>
    <w:p>
      <w:pPr>
        <w:pStyle w:val="BodyText"/>
        <w:rPr>
          <w:sz w:val="23"/>
        </w:rPr>
      </w:pPr>
    </w:p>
    <w:p>
      <w:pPr>
        <w:spacing w:after="0"/>
        <w:rPr>
          <w:sz w:val="23"/>
        </w:rPr>
        <w:sectPr>
          <w:type w:val="continuous"/>
          <w:pgSz w:w="11910" w:h="16840"/>
          <w:pgMar w:top="540" w:bottom="280" w:left="1680" w:right="960"/>
        </w:sectPr>
      </w:pPr>
    </w:p>
    <w:p>
      <w:pPr>
        <w:pStyle w:val="Heading2"/>
        <w:spacing w:line="232" w:lineRule="auto"/>
      </w:pPr>
      <w:r>
        <w:rPr/>
        <w:t>急性坏死性胰腺炎开腹手术</w:t>
      </w:r>
    </w:p>
    <w:p>
      <w:pPr>
        <w:pStyle w:val="BodyText"/>
        <w:spacing w:line="273" w:lineRule="auto" w:before="53"/>
        <w:ind w:left="173" w:right="110"/>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73" w:right="110"/>
      </w:pPr>
      <w:r>
        <w:rPr>
          <w:shd w:fill="DADADA" w:color="auto" w:val="clear"/>
        </w:rPr>
        <w:t>因酗酒或饮酒过量所致的急性坏死性胰腺炎以及腹腔镜手术不在保障范围内。</w:t>
      </w:r>
    </w:p>
    <w:p>
      <w:pPr>
        <w:spacing w:after="0" w:line="273" w:lineRule="auto"/>
        <w:sectPr>
          <w:type w:val="continuous"/>
          <w:pgSz w:w="11910" w:h="16840"/>
          <w:pgMar w:top="540" w:bottom="280" w:left="1680" w:right="960"/>
          <w:cols w:num="2" w:equalWidth="0">
            <w:col w:w="2213" w:space="40"/>
            <w:col w:w="7017"/>
          </w:cols>
        </w:sectPr>
      </w:pPr>
    </w:p>
    <w:p>
      <w:pPr>
        <w:pStyle w:val="BodyText"/>
        <w:spacing w:before="3"/>
        <w:rPr>
          <w:sz w:val="18"/>
        </w:rPr>
      </w:pPr>
    </w:p>
    <w:p>
      <w:pPr>
        <w:tabs>
          <w:tab w:pos="2153" w:val="left" w:leader="none"/>
        </w:tabs>
        <w:spacing w:before="16"/>
        <w:ind w:left="0" w:right="475" w:firstLine="0"/>
        <w:jc w:val="center"/>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26"/>
      </w:pPr>
      <w:r>
        <w:rPr/>
        <w:t>（1）肾髓质有囊肿、肾小管萎缩及间质纤维化等病理改变；</w:t>
      </w:r>
    </w:p>
    <w:p>
      <w:pPr>
        <w:pStyle w:val="BodyText"/>
        <w:spacing w:before="37"/>
        <w:ind w:left="2426"/>
      </w:pPr>
      <w:r>
        <w:rPr/>
        <w:t>（2）贫血、多尿及肾功能衰竭等临床表现；</w:t>
      </w:r>
    </w:p>
    <w:p>
      <w:pPr>
        <w:pStyle w:val="BodyText"/>
        <w:spacing w:before="37"/>
        <w:ind w:left="2426"/>
      </w:pPr>
      <w:r>
        <w:rPr/>
        <w:t>（3）诊断须由肾组织活检确定。</w:t>
      </w:r>
    </w:p>
    <w:p>
      <w:pPr>
        <w:pStyle w:val="BodyText"/>
        <w:spacing w:before="6"/>
        <w:rPr>
          <w:sz w:val="20"/>
        </w:rPr>
      </w:pPr>
    </w:p>
    <w:p>
      <w:pPr>
        <w:spacing w:after="0"/>
        <w:rPr>
          <w:sz w:val="20"/>
        </w:rPr>
        <w:sectPr>
          <w:type w:val="continuous"/>
          <w:pgSz w:w="11910" w:h="16840"/>
          <w:pgMar w:top="540" w:bottom="280" w:left="1680" w:right="960"/>
        </w:sectPr>
      </w:pPr>
    </w:p>
    <w:p>
      <w:pPr>
        <w:pStyle w:val="Heading2"/>
        <w:spacing w:line="322" w:lineRule="exact" w:before="21"/>
      </w:pPr>
      <w:r>
        <w:rPr/>
        <w:t>严重肝豆状核变性</w:t>
      </w:r>
    </w:p>
    <w:p>
      <w:pPr>
        <w:spacing w:line="322" w:lineRule="exact" w:before="0"/>
        <w:ind w:left="272"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73" w:right="110"/>
      </w:pPr>
      <w:r>
        <w:rPr/>
        <w:br w:type="column"/>
      </w:r>
      <w:r>
        <w:rPr/>
        <w:t>指由于铜代谢障碍所引起的一种疾病，其特点为肝硬化与双侧脑基底神经节变性同时存在，且须经专科医生明确诊断，并同时必须具备下列情况：</w:t>
      </w:r>
    </w:p>
    <w:p>
      <w:pPr>
        <w:spacing w:after="0" w:line="273" w:lineRule="auto"/>
        <w:sectPr>
          <w:type w:val="continuous"/>
          <w:pgSz w:w="11910" w:h="16840"/>
          <w:pgMar w:top="540" w:bottom="280" w:left="1680" w:right="960"/>
          <w:cols w:num="2" w:equalWidth="0">
            <w:col w:w="2213" w:space="40"/>
            <w:col w:w="7017"/>
          </w:cols>
        </w:sectPr>
      </w:pPr>
    </w:p>
    <w:p>
      <w:pPr>
        <w:pStyle w:val="BodyText"/>
        <w:spacing w:line="273" w:lineRule="auto" w:before="20"/>
        <w:ind w:left="2952" w:right="113" w:hanging="526"/>
      </w:pPr>
      <w:r>
        <w:rPr/>
        <w:t>（1）临床表现包括：进行性加剧的肢体震颤，肌强直，吞咽及发音困难， 精神异常；</w:t>
      </w:r>
    </w:p>
    <w:p>
      <w:pPr>
        <w:pStyle w:val="BodyText"/>
        <w:spacing w:before="7"/>
        <w:ind w:left="2426"/>
      </w:pPr>
      <w:r>
        <w:rPr/>
        <w:t>（2）角膜色素环（K-F</w:t>
      </w:r>
      <w:r>
        <w:rPr>
          <w:spacing w:val="-29"/>
        </w:rPr>
        <w:t> 环</w:t>
      </w:r>
      <w:r>
        <w:rPr>
          <w:spacing w:val="-105"/>
        </w:rPr>
        <w:t>）；</w:t>
      </w:r>
    </w:p>
    <w:p>
      <w:pPr>
        <w:pStyle w:val="BodyText"/>
        <w:spacing w:before="37"/>
        <w:ind w:left="2426"/>
      </w:pPr>
      <w:r>
        <w:rPr/>
        <w:t>（3）血清铜和血清铜蓝蛋白降低，尿铜增加；</w:t>
      </w:r>
    </w:p>
    <w:p>
      <w:pPr>
        <w:pStyle w:val="BodyText"/>
        <w:spacing w:before="37"/>
        <w:ind w:left="2426"/>
      </w:pPr>
      <w:r>
        <w:rPr/>
        <w:t>（4）食管静脉曲张；</w:t>
      </w:r>
    </w:p>
    <w:p>
      <w:pPr>
        <w:pStyle w:val="BodyText"/>
        <w:spacing w:before="37"/>
        <w:ind w:left="2426"/>
      </w:pPr>
      <w:r>
        <w:rPr/>
        <w:t>（5）腹水。</w:t>
      </w:r>
    </w:p>
    <w:p>
      <w:pPr>
        <w:pStyle w:val="BodyText"/>
        <w:spacing w:before="10"/>
        <w:rPr>
          <w:sz w:val="19"/>
        </w:rPr>
      </w:pPr>
    </w:p>
    <w:p>
      <w:pPr>
        <w:spacing w:after="0"/>
        <w:rPr>
          <w:sz w:val="19"/>
        </w:rPr>
        <w:sectPr>
          <w:pgSz w:w="11910" w:h="16840"/>
          <w:pgMar w:top="1080" w:bottom="280" w:left="1680" w:right="860"/>
        </w:sectPr>
      </w:pPr>
    </w:p>
    <w:p>
      <w:pPr>
        <w:pStyle w:val="Heading2"/>
        <w:spacing w:line="232" w:lineRule="auto"/>
      </w:pPr>
      <w:r>
        <w:rPr/>
        <w:t>严重自身免疫性肝炎</w:t>
      </w:r>
    </w:p>
    <w:p>
      <w:pPr>
        <w:pStyle w:val="BodyText"/>
        <w:spacing w:line="273" w:lineRule="auto" w:before="53"/>
        <w:ind w:left="173" w:right="21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73"/>
      </w:pPr>
      <w:r>
        <w:rPr/>
        <w:t>（1）高γ球蛋白血症；</w:t>
      </w:r>
    </w:p>
    <w:p>
      <w:pPr>
        <w:pStyle w:val="BodyText"/>
        <w:spacing w:line="273" w:lineRule="auto" w:before="37"/>
        <w:ind w:left="699" w:right="208" w:hanging="526"/>
      </w:pPr>
      <w:r>
        <w:rPr>
          <w:spacing w:val="-3"/>
        </w:rPr>
        <w:t>（2）</w:t>
      </w:r>
      <w:r>
        <w:rPr>
          <w:spacing w:val="-4"/>
        </w:rPr>
        <w:t>血液中存在高水平的自身免疫抗体，如 </w:t>
      </w:r>
      <w:r>
        <w:rPr>
          <w:spacing w:val="-3"/>
        </w:rPr>
        <w:t>ANA（</w:t>
      </w:r>
      <w:r>
        <w:rPr/>
        <w:t>抗核抗体</w:t>
      </w:r>
      <w:r>
        <w:rPr>
          <w:spacing w:val="-106"/>
        </w:rPr>
        <w:t>）</w:t>
      </w:r>
      <w:r>
        <w:rPr>
          <w:spacing w:val="-9"/>
        </w:rPr>
        <w:t>、</w:t>
      </w:r>
      <w:r>
        <w:rPr>
          <w:spacing w:val="-3"/>
        </w:rPr>
        <w:t>SMA（</w:t>
      </w:r>
      <w:r>
        <w:rPr/>
        <w:t>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73"/>
        <w:jc w:val="both"/>
      </w:pPr>
      <w:r>
        <w:rPr/>
        <w:t>（3）肝脏活检证实免疫性肝炎；</w:t>
      </w:r>
    </w:p>
    <w:p>
      <w:pPr>
        <w:pStyle w:val="BodyText"/>
        <w:spacing w:before="36"/>
        <w:ind w:left="173"/>
        <w:jc w:val="both"/>
      </w:pPr>
      <w:r>
        <w:rPr/>
        <w:t>（4）临床已经出现腹水、食道静脉曲张和脾肿大等肝硬化表现。</w:t>
      </w:r>
    </w:p>
    <w:p>
      <w:pPr>
        <w:spacing w:after="0"/>
        <w:jc w:val="both"/>
        <w:sectPr>
          <w:type w:val="continuous"/>
          <w:pgSz w:w="11910" w:h="16840"/>
          <w:pgMar w:top="540" w:bottom="280" w:left="1680" w:right="860"/>
          <w:cols w:num="2" w:equalWidth="0">
            <w:col w:w="2213" w:space="40"/>
            <w:col w:w="7117"/>
          </w:cols>
        </w:sectPr>
      </w:pPr>
    </w:p>
    <w:p>
      <w:pPr>
        <w:pStyle w:val="BodyText"/>
        <w:spacing w:before="5"/>
        <w:rPr>
          <w:sz w:val="20"/>
        </w:rPr>
      </w:pPr>
    </w:p>
    <w:p>
      <w:pPr>
        <w:spacing w:after="0"/>
        <w:rPr>
          <w:sz w:val="20"/>
        </w:rPr>
        <w:sectPr>
          <w:type w:val="continuous"/>
          <w:pgSz w:w="11910" w:h="16840"/>
          <w:pgMar w:top="540" w:bottom="280" w:left="1680" w:right="860"/>
        </w:sectPr>
      </w:pPr>
    </w:p>
    <w:p>
      <w:pPr>
        <w:pStyle w:val="Heading2"/>
        <w:spacing w:line="232" w:lineRule="auto" w:before="31"/>
      </w:pPr>
      <w:r>
        <w:rPr/>
        <w:t>严重弥漫性系统性硬皮病</w:t>
      </w:r>
    </w:p>
    <w:p>
      <w:pPr>
        <w:pStyle w:val="BodyText"/>
        <w:spacing w:line="273" w:lineRule="auto" w:before="53"/>
        <w:ind w:left="173" w:right="20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73"/>
      </w:pPr>
      <w:r>
        <w:rPr/>
        <w:t>（1）肺纤维化，已经出现肺动脉高压、肺心病；</w:t>
      </w:r>
    </w:p>
    <w:p>
      <w:pPr>
        <w:pStyle w:val="BodyText"/>
        <w:spacing w:line="273" w:lineRule="auto" w:before="37"/>
        <w:ind w:left="699" w:right="209" w:hanging="526"/>
      </w:pPr>
      <w:r>
        <w:rPr>
          <w:spacing w:val="-17"/>
        </w:rPr>
        <w:t>（2）</w:t>
      </w:r>
      <w:r>
        <w:rPr>
          <w:spacing w:val="-7"/>
        </w:rPr>
        <w:t>心脏功能损害，心脏功能衰竭程度达到纽约心脏病学会的心功能分级</w:t>
      </w:r>
      <w:r>
        <w:rPr>
          <w:spacing w:val="-14"/>
        </w:rPr>
        <w:t>标准之心功能 </w:t>
      </w:r>
      <w:r>
        <w:rPr/>
        <w:t>IV</w:t>
      </w:r>
      <w:r>
        <w:rPr>
          <w:spacing w:val="-18"/>
        </w:rPr>
        <w:t> 级；</w:t>
      </w:r>
    </w:p>
    <w:p>
      <w:pPr>
        <w:pStyle w:val="BodyText"/>
        <w:spacing w:line="271" w:lineRule="auto" w:before="7"/>
        <w:ind w:left="173" w:right="2844" w:hanging="1"/>
      </w:pPr>
      <w:r>
        <w:rPr/>
        <w:t>（3）肾脏功能损害，已经出现肾功能衰竭。</w:t>
      </w:r>
      <w:r>
        <w:rPr>
          <w:shd w:fill="DADADA" w:color="auto" w:val="clear"/>
        </w:rPr>
        <w:t>下列疾病不在保障范围内：</w:t>
      </w:r>
    </w:p>
    <w:p>
      <w:pPr>
        <w:pStyle w:val="BodyText"/>
        <w:spacing w:before="9"/>
        <w:ind w:left="173"/>
        <w:jc w:val="both"/>
      </w:pPr>
      <w:r>
        <w:rPr>
          <w:shd w:fill="DADADA" w:color="auto" w:val="clear"/>
        </w:rPr>
        <w:t>（1）局限硬皮病；</w:t>
      </w:r>
    </w:p>
    <w:p>
      <w:pPr>
        <w:pStyle w:val="BodyText"/>
        <w:spacing w:before="37"/>
        <w:ind w:left="173"/>
        <w:jc w:val="both"/>
      </w:pPr>
      <w:r>
        <w:rPr>
          <w:shd w:fill="DADADA" w:color="auto" w:val="clear"/>
        </w:rPr>
        <w:t>（2）嗜酸细胞筋膜炎；</w:t>
      </w:r>
    </w:p>
    <w:p>
      <w:pPr>
        <w:pStyle w:val="BodyText"/>
        <w:spacing w:before="37"/>
        <w:ind w:left="173"/>
        <w:jc w:val="both"/>
      </w:pPr>
      <w:r>
        <w:rPr>
          <w:shd w:fill="DADADA" w:color="auto" w:val="clear"/>
        </w:rPr>
        <w:t>（3）CREST 综合征。</w:t>
      </w:r>
    </w:p>
    <w:p>
      <w:pPr>
        <w:spacing w:after="0"/>
        <w:jc w:val="both"/>
        <w:sectPr>
          <w:type w:val="continuous"/>
          <w:pgSz w:w="11910" w:h="16840"/>
          <w:pgMar w:top="540" w:bottom="280" w:left="1680" w:right="860"/>
          <w:cols w:num="2" w:equalWidth="0">
            <w:col w:w="2213" w:space="40"/>
            <w:col w:w="7117"/>
          </w:cols>
        </w:sectPr>
      </w:pPr>
    </w:p>
    <w:p>
      <w:pPr>
        <w:pStyle w:val="BodyText"/>
        <w:rPr>
          <w:sz w:val="24"/>
        </w:rPr>
      </w:pPr>
    </w:p>
    <w:p>
      <w:pPr>
        <w:pStyle w:val="Heading4"/>
        <w:tabs>
          <w:tab w:pos="2426" w:val="left" w:leader="none"/>
        </w:tabs>
        <w:spacing w:before="36"/>
        <w:ind w:left="272"/>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2"/>
        <w:rPr>
          <w:b/>
          <w:sz w:val="17"/>
        </w:rPr>
      </w:pPr>
    </w:p>
    <w:p>
      <w:pPr>
        <w:pStyle w:val="BodyText"/>
        <w:tabs>
          <w:tab w:pos="2426" w:val="left" w:leader="none"/>
        </w:tabs>
        <w:spacing w:line="266" w:lineRule="auto"/>
        <w:ind w:left="2426" w:right="209" w:hanging="2154"/>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5"/>
        </w:rPr>
        <w:t>）、</w:t>
      </w:r>
      <w:r>
        <w:rPr/>
        <w:t>核磁共振检查（MRI）或正电子发射断层扫描（PET）等影像学检查证实， 并须满足下列至少一项条件：</w:t>
      </w:r>
    </w:p>
    <w:p>
      <w:pPr>
        <w:pStyle w:val="BodyText"/>
        <w:spacing w:before="13"/>
        <w:ind w:left="2426"/>
      </w:pPr>
      <w:r>
        <w:rPr/>
        <w:t>（1）实际实施了开颅进行的脑肿瘤完全切除或部分切除的手术；</w:t>
      </w:r>
    </w:p>
    <w:p>
      <w:pPr>
        <w:pStyle w:val="BodyText"/>
        <w:spacing w:before="36"/>
        <w:ind w:left="2426"/>
      </w:pPr>
      <w:r>
        <w:rPr/>
        <w:t>（2）实际实施了对脑肿瘤进行的放射治疗。</w:t>
      </w:r>
    </w:p>
    <w:p>
      <w:pPr>
        <w:pStyle w:val="BodyText"/>
        <w:spacing w:before="36"/>
        <w:ind w:left="2426"/>
      </w:pPr>
      <w:r>
        <w:rPr>
          <w:shd w:fill="DADADA" w:color="auto" w:val="clear"/>
        </w:rPr>
        <w:t>脑垂体瘤、脑囊肿、脑血管性疾病不在保障范围内。</w:t>
      </w:r>
    </w:p>
    <w:p>
      <w:pPr>
        <w:pStyle w:val="BodyText"/>
        <w:spacing w:before="7"/>
        <w:rPr>
          <w:sz w:val="20"/>
        </w:rPr>
      </w:pPr>
    </w:p>
    <w:p>
      <w:pPr>
        <w:spacing w:after="0"/>
        <w:rPr>
          <w:sz w:val="20"/>
        </w:rPr>
        <w:sectPr>
          <w:type w:val="continuous"/>
          <w:pgSz w:w="11910" w:h="16840"/>
          <w:pgMar w:top="540" w:bottom="280" w:left="1680" w:right="860"/>
        </w:sectPr>
      </w:pPr>
    </w:p>
    <w:p>
      <w:pPr>
        <w:pStyle w:val="Heading2"/>
        <w:spacing w:line="232" w:lineRule="auto"/>
      </w:pPr>
      <w:r>
        <w:rPr/>
        <w:t>脑炎后遗症或脑膜炎后遗症</w:t>
      </w:r>
    </w:p>
    <w:p>
      <w:pPr>
        <w:pStyle w:val="BodyText"/>
        <w:spacing w:line="273" w:lineRule="auto" w:before="52"/>
        <w:ind w:left="173" w:right="210"/>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73"/>
      </w:pPr>
      <w:r>
        <w:rPr/>
        <w:t>（1）一肢或一肢以上肢体机能完全丧失；</w:t>
      </w:r>
    </w:p>
    <w:p>
      <w:pPr>
        <w:pStyle w:val="BodyText"/>
        <w:spacing w:before="37"/>
        <w:ind w:left="173"/>
      </w:pPr>
      <w:r>
        <w:rPr/>
        <w:t>（2）语言能力或咀嚼吞咽能力完全丧失；</w:t>
      </w:r>
    </w:p>
    <w:p>
      <w:pPr>
        <w:pStyle w:val="BodyText"/>
        <w:spacing w:line="273" w:lineRule="auto" w:before="37"/>
        <w:ind w:left="699" w:right="209" w:hanging="526"/>
      </w:pPr>
      <w:r>
        <w:rPr>
          <w:spacing w:val="-17"/>
        </w:rPr>
        <w:t>（3）</w:t>
      </w:r>
      <w:r>
        <w:rPr>
          <w:spacing w:val="-5"/>
        </w:rPr>
        <w:t>自主生活能力完全丧失，无法独立完成六项基本日常生活活动中的三项或三项以上。</w:t>
      </w:r>
    </w:p>
    <w:p>
      <w:pPr>
        <w:spacing w:after="0" w:line="273" w:lineRule="auto"/>
        <w:sectPr>
          <w:type w:val="continuous"/>
          <w:pgSz w:w="11910" w:h="16840"/>
          <w:pgMar w:top="540" w:bottom="280" w:left="1680" w:right="860"/>
          <w:cols w:num="2" w:equalWidth="0">
            <w:col w:w="2213" w:space="40"/>
            <w:col w:w="7117"/>
          </w:cols>
        </w:sectPr>
      </w:pPr>
    </w:p>
    <w:p>
      <w:pPr>
        <w:pStyle w:val="BodyText"/>
        <w:spacing w:before="7"/>
        <w:rPr>
          <w:sz w:val="20"/>
        </w:rPr>
      </w:pPr>
    </w:p>
    <w:p>
      <w:pPr>
        <w:pStyle w:val="BodyText"/>
        <w:tabs>
          <w:tab w:pos="2426" w:val="left" w:leader="none"/>
        </w:tabs>
        <w:spacing w:line="254" w:lineRule="auto" w:before="16"/>
        <w:ind w:left="2426" w:right="210" w:hanging="2154"/>
      </w:pPr>
      <w:r>
        <w:rPr>
          <w:rFonts w:ascii="等线" w:eastAsia="等线" w:hint="eastAsia"/>
          <w:b/>
          <w:position w:val="1"/>
          <w:sz w:val="24"/>
        </w:rPr>
        <w:t>深度昏迷</w:t>
        <w:tab/>
      </w:r>
      <w:r>
        <w:rPr/>
        <w:t>指因疾病或意外伤害导致意识丧失，对外界刺激和体内需求均无反应，昏 迷程度按照格拉斯哥昏迷分级（Glasgow</w:t>
      </w:r>
      <w:r>
        <w:rPr>
          <w:spacing w:val="-4"/>
        </w:rPr>
        <w:t> </w:t>
      </w:r>
      <w:r>
        <w:rPr/>
        <w:t>coma</w:t>
      </w:r>
      <w:r>
        <w:rPr>
          <w:spacing w:val="-4"/>
        </w:rPr>
        <w:t> </w:t>
      </w:r>
      <w:r>
        <w:rPr/>
        <w:t>scale）结果为</w:t>
      </w:r>
      <w:r>
        <w:rPr>
          <w:spacing w:val="-52"/>
        </w:rPr>
        <w:t> </w:t>
      </w:r>
      <w:r>
        <w:rPr/>
        <w:t>5</w:t>
      </w:r>
      <w:r>
        <w:rPr>
          <w:spacing w:val="-52"/>
        </w:rPr>
        <w:t> </w:t>
      </w:r>
      <w:r>
        <w:rPr/>
        <w:t>分或</w:t>
      </w:r>
      <w:r>
        <w:rPr>
          <w:spacing w:val="-54"/>
        </w:rPr>
        <w:t> </w:t>
      </w:r>
      <w:r>
        <w:rPr/>
        <w:t>5</w:t>
      </w:r>
      <w:r>
        <w:rPr>
          <w:spacing w:val="-53"/>
        </w:rPr>
        <w:t> </w:t>
      </w:r>
      <w:r>
        <w:rPr/>
        <w:t>分</w:t>
      </w:r>
    </w:p>
    <w:p>
      <w:pPr>
        <w:spacing w:after="0" w:line="254" w:lineRule="auto"/>
        <w:sectPr>
          <w:type w:val="continuous"/>
          <w:pgSz w:w="11910" w:h="16840"/>
          <w:pgMar w:top="540" w:bottom="280" w:left="168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140"/>
      </w:tblGrid>
      <w:tr>
        <w:trPr>
          <w:trHeight w:val="706" w:hRule="atLeast"/>
        </w:trPr>
        <w:tc>
          <w:tcPr>
            <w:tcW w:w="2247" w:type="dxa"/>
          </w:tcPr>
          <w:p>
            <w:pPr>
              <w:pStyle w:val="TableParagraph"/>
              <w:ind w:left="0"/>
              <w:rPr>
                <w:rFonts w:ascii="Times New Roman"/>
                <w:sz w:val="20"/>
              </w:rPr>
            </w:pPr>
          </w:p>
        </w:tc>
        <w:tc>
          <w:tcPr>
            <w:tcW w:w="7140" w:type="dxa"/>
          </w:tcPr>
          <w:p>
            <w:pPr>
              <w:pStyle w:val="TableParagraph"/>
              <w:spacing w:line="210" w:lineRule="exact"/>
              <w:rPr>
                <w:sz w:val="21"/>
              </w:rPr>
            </w:pPr>
            <w:r>
              <w:rPr>
                <w:sz w:val="21"/>
              </w:rPr>
              <w:t>以下，且已经持续使用呼吸机及其它生命维持系统 96 小时以上。</w:t>
            </w:r>
          </w:p>
          <w:p>
            <w:pPr>
              <w:pStyle w:val="TableParagraph"/>
              <w:spacing w:before="37"/>
              <w:rPr>
                <w:sz w:val="21"/>
              </w:rPr>
            </w:pPr>
            <w:r>
              <w:rPr>
                <w:sz w:val="21"/>
                <w:shd w:fill="DADADA" w:color="auto" w:val="clear"/>
              </w:rPr>
              <w:t>因酗酒或药物滥用导致的深度昏迷不在保障范围内。</w:t>
            </w:r>
          </w:p>
        </w:tc>
      </w:tr>
      <w:tr>
        <w:trPr>
          <w:trHeight w:val="2146" w:hRule="atLeast"/>
        </w:trPr>
        <w:tc>
          <w:tcPr>
            <w:tcW w:w="2247" w:type="dxa"/>
          </w:tcPr>
          <w:p>
            <w:pPr>
              <w:pStyle w:val="TableParagraph"/>
              <w:spacing w:before="105"/>
              <w:ind w:left="200"/>
              <w:rPr>
                <w:rFonts w:ascii="等线" w:eastAsia="等线" w:hint="eastAsia"/>
                <w:b/>
                <w:sz w:val="24"/>
              </w:rPr>
            </w:pPr>
            <w:r>
              <w:rPr>
                <w:rFonts w:ascii="等线" w:eastAsia="等线" w:hint="eastAsia"/>
                <w:b/>
                <w:sz w:val="24"/>
              </w:rPr>
              <w:t>严重阿尔茨海默病</w:t>
            </w:r>
          </w:p>
        </w:tc>
        <w:tc>
          <w:tcPr>
            <w:tcW w:w="7140" w:type="dxa"/>
          </w:tcPr>
          <w:p>
            <w:pPr>
              <w:pStyle w:val="TableParagraph"/>
              <w:spacing w:line="273" w:lineRule="auto" w:before="137"/>
              <w:ind w:right="302"/>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w:t>
            </w:r>
            <w:r>
              <w:rPr>
                <w:spacing w:val="-105"/>
                <w:sz w:val="21"/>
              </w:rPr>
              <w:t>）</w:t>
            </w:r>
            <w:r>
              <w:rPr>
                <w:sz w:val="21"/>
              </w:rPr>
              <w:t>、核磁共振检查（MRI）或正电子发射</w:t>
            </w:r>
            <w:r>
              <w:rPr>
                <w:spacing w:val="-7"/>
                <w:sz w:val="21"/>
              </w:rPr>
              <w:t>断层扫描</w:t>
            </w:r>
            <w:r>
              <w:rPr>
                <w:spacing w:val="-6"/>
                <w:sz w:val="21"/>
              </w:rPr>
              <w:t>（PET）</w:t>
            </w:r>
            <w:r>
              <w:rPr>
                <w:spacing w:val="-5"/>
                <w:sz w:val="21"/>
              </w:rPr>
              <w: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210" w:hRule="atLeast"/>
        </w:trPr>
        <w:tc>
          <w:tcPr>
            <w:tcW w:w="2247" w:type="dxa"/>
          </w:tcPr>
          <w:p>
            <w:pPr>
              <w:pStyle w:val="TableParagraph"/>
              <w:spacing w:before="95"/>
              <w:ind w:left="200"/>
              <w:rPr>
                <w:rFonts w:ascii="等线" w:eastAsia="等线" w:hint="eastAsia"/>
                <w:b/>
                <w:sz w:val="24"/>
              </w:rPr>
            </w:pPr>
            <w:r>
              <w:rPr>
                <w:rFonts w:ascii="等线" w:eastAsia="等线" w:hint="eastAsia"/>
                <w:b/>
                <w:sz w:val="24"/>
              </w:rPr>
              <w:t>瘫痪</w:t>
            </w:r>
          </w:p>
        </w:tc>
        <w:tc>
          <w:tcPr>
            <w:tcW w:w="7140" w:type="dxa"/>
          </w:tcPr>
          <w:p>
            <w:pPr>
              <w:pStyle w:val="TableParagraph"/>
              <w:spacing w:line="273" w:lineRule="auto" w:before="127"/>
              <w:ind w:right="301"/>
              <w:jc w:val="both"/>
              <w:rPr>
                <w:sz w:val="21"/>
              </w:rPr>
            </w:pPr>
            <w:r>
              <w:rPr>
                <w:sz w:val="21"/>
              </w:rPr>
              <w:t>指因疾病或意外伤害导致两肢或两肢以上肢体机能永久完全丧失。肢体机</w:t>
            </w:r>
            <w:r>
              <w:rPr>
                <w:spacing w:val="-4"/>
                <w:sz w:val="21"/>
              </w:rPr>
              <w:t>能永久完全丧失，指疾病确诊 </w:t>
            </w:r>
            <w:r>
              <w:rPr>
                <w:sz w:val="21"/>
              </w:rPr>
              <w:t>180</w:t>
            </w:r>
            <w:r>
              <w:rPr>
                <w:spacing w:val="-12"/>
                <w:sz w:val="21"/>
              </w:rPr>
              <w:t> 日后或意外伤害发生 </w:t>
            </w:r>
            <w:r>
              <w:rPr>
                <w:sz w:val="21"/>
              </w:rPr>
              <w:t>180</w:t>
            </w:r>
            <w:r>
              <w:rPr>
                <w:spacing w:val="-9"/>
                <w:sz w:val="21"/>
              </w:rPr>
              <w:t> 日后，每肢三大关节中的两大关节仍然完全僵硬，或不能随意识活动。</w:t>
            </w:r>
          </w:p>
        </w:tc>
      </w:tr>
      <w:tr>
        <w:trPr>
          <w:trHeight w:val="2780"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严重的多发性硬化</w:t>
            </w:r>
          </w:p>
        </w:tc>
        <w:tc>
          <w:tcPr>
            <w:tcW w:w="7140" w:type="dxa"/>
          </w:tcPr>
          <w:p>
            <w:pPr>
              <w:pStyle w:val="TableParagraph"/>
              <w:spacing w:line="273" w:lineRule="auto" w:before="137"/>
              <w:ind w:right="198"/>
              <w:rPr>
                <w:sz w:val="21"/>
              </w:rPr>
            </w:pPr>
            <w:r>
              <w:rPr>
                <w:sz w:val="21"/>
              </w:rPr>
              <w:t>指因中枢神经系统脱髓鞘而导致的不可逆的身体部位的功能障碍，需由神</w:t>
            </w:r>
            <w:r>
              <w:rPr>
                <w:spacing w:val="-13"/>
                <w:sz w:val="21"/>
              </w:rPr>
              <w:t>经科专科医生提供明确诊断，并有头颅断层扫描</w:t>
            </w:r>
            <w:r>
              <w:rPr>
                <w:sz w:val="21"/>
              </w:rPr>
              <w:t>（CT</w:t>
            </w:r>
            <w:r>
              <w:rPr>
                <w:spacing w:val="-104"/>
                <w:sz w:val="21"/>
              </w:rPr>
              <w:t>）</w:t>
            </w:r>
            <w:r>
              <w:rPr>
                <w:spacing w:val="-16"/>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160"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140" w:type="dxa"/>
          </w:tcPr>
          <w:p>
            <w:pPr>
              <w:pStyle w:val="TableParagraph"/>
              <w:spacing w:line="273" w:lineRule="auto" w:before="137"/>
              <w:ind w:right="303"/>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left="589" w:right="302" w:hanging="483"/>
              <w:rPr>
                <w:sz w:val="21"/>
              </w:rPr>
            </w:pPr>
            <w:r>
              <w:rPr>
                <w:spacing w:val="-17"/>
                <w:sz w:val="21"/>
              </w:rPr>
              <w:t>（2）</w:t>
            </w:r>
            <w:r>
              <w:rPr>
                <w:spacing w:val="-5"/>
                <w:sz w:val="21"/>
              </w:rPr>
              <w:t>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1504" w:hRule="atLeast"/>
        </w:trPr>
        <w:tc>
          <w:tcPr>
            <w:tcW w:w="2247" w:type="dxa"/>
          </w:tcPr>
          <w:p>
            <w:pPr>
              <w:pStyle w:val="TableParagraph"/>
              <w:spacing w:before="109"/>
              <w:ind w:left="200"/>
              <w:rPr>
                <w:rFonts w:ascii="等线" w:eastAsia="等线" w:hint="eastAsia"/>
                <w:b/>
                <w:sz w:val="24"/>
              </w:rPr>
            </w:pPr>
            <w:r>
              <w:rPr>
                <w:rFonts w:ascii="等线" w:eastAsia="等线" w:hint="eastAsia"/>
                <w:b/>
                <w:sz w:val="24"/>
              </w:rPr>
              <w:t>严重运动神经元病</w:t>
            </w:r>
          </w:p>
        </w:tc>
        <w:tc>
          <w:tcPr>
            <w:tcW w:w="7140" w:type="dxa"/>
          </w:tcPr>
          <w:p>
            <w:pPr>
              <w:pStyle w:val="TableParagraph"/>
              <w:spacing w:line="273" w:lineRule="auto" w:before="142"/>
              <w:ind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27" w:hRule="atLeast"/>
        </w:trPr>
        <w:tc>
          <w:tcPr>
            <w:tcW w:w="2247" w:type="dxa"/>
          </w:tcPr>
          <w:p>
            <w:pPr>
              <w:pStyle w:val="TableParagraph"/>
              <w:spacing w:before="72"/>
              <w:ind w:left="200"/>
              <w:rPr>
                <w:rFonts w:ascii="等线" w:eastAsia="等线" w:hint="eastAsia"/>
                <w:b/>
                <w:sz w:val="24"/>
              </w:rPr>
            </w:pPr>
            <w:r>
              <w:rPr>
                <w:rFonts w:ascii="等线" w:eastAsia="等线" w:hint="eastAsia"/>
                <w:b/>
                <w:sz w:val="24"/>
              </w:rPr>
              <w:t>严重脑损伤</w:t>
            </w:r>
          </w:p>
        </w:tc>
        <w:tc>
          <w:tcPr>
            <w:tcW w:w="7140" w:type="dxa"/>
          </w:tcPr>
          <w:p>
            <w:pPr>
              <w:pStyle w:val="TableParagraph"/>
              <w:spacing w:line="273" w:lineRule="auto" w:before="104"/>
              <w:ind w:right="302"/>
              <w:jc w:val="both"/>
              <w:rPr>
                <w:sz w:val="21"/>
              </w:rPr>
            </w:pPr>
            <w:r>
              <w:rPr>
                <w:sz w:val="21"/>
              </w:rPr>
              <w:t>指因头部遭受机械性外力，引起脑重要部位损伤，导致神经系统永久性的功能障碍。须由头颅断层扫描（CT</w:t>
            </w:r>
            <w:r>
              <w:rPr>
                <w:spacing w:val="-105"/>
                <w:sz w:val="21"/>
              </w:rPr>
              <w:t>）</w:t>
            </w:r>
            <w:r>
              <w:rPr>
                <w:sz w:val="21"/>
              </w:rPr>
              <w:t>、核磁共振检查（MRI）或正电子发射</w:t>
            </w:r>
            <w:r>
              <w:rPr>
                <w:spacing w:val="-7"/>
                <w:sz w:val="21"/>
              </w:rPr>
              <w:t>断层扫描</w:t>
            </w:r>
            <w:r>
              <w:rPr>
                <w:spacing w:val="-6"/>
                <w:sz w:val="21"/>
              </w:rPr>
              <w:t>（PET）</w:t>
            </w:r>
            <w:r>
              <w:rPr>
                <w:spacing w:val="-4"/>
                <w:sz w:val="21"/>
              </w:rPr>
              <w:t>等影像学检查证实。神经系统永久性的功能障碍，指脑损</w:t>
            </w:r>
            <w:r>
              <w:rPr>
                <w:spacing w:val="-30"/>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589" w:right="302" w:hanging="483"/>
              <w:rPr>
                <w:sz w:val="21"/>
              </w:rPr>
            </w:pPr>
            <w:r>
              <w:rPr>
                <w:spacing w:val="-17"/>
                <w:sz w:val="21"/>
              </w:rPr>
              <w:t>（3）</w:t>
            </w:r>
            <w:r>
              <w:rPr>
                <w:spacing w:val="-5"/>
                <w:sz w:val="21"/>
              </w:rPr>
              <w:t>自主生活能力完全丧失，无法独立完成六项基本日常生活活动中的三项或三项以上。</w:t>
            </w:r>
          </w:p>
        </w:tc>
      </w:tr>
      <w:tr>
        <w:trPr>
          <w:trHeight w:val="1014" w:hRule="atLeast"/>
        </w:trPr>
        <w:tc>
          <w:tcPr>
            <w:tcW w:w="2247" w:type="dxa"/>
          </w:tcPr>
          <w:p>
            <w:pPr>
              <w:pStyle w:val="TableParagraph"/>
              <w:spacing w:line="232" w:lineRule="auto" w:before="93"/>
              <w:ind w:left="200" w:right="104"/>
              <w:rPr>
                <w:rFonts w:ascii="等线" w:eastAsia="等线" w:hint="eastAsia"/>
                <w:b/>
                <w:sz w:val="24"/>
              </w:rPr>
            </w:pPr>
            <w:r>
              <w:rPr>
                <w:rFonts w:ascii="等线" w:eastAsia="等线" w:hint="eastAsia"/>
                <w:b/>
                <w:sz w:val="24"/>
              </w:rPr>
              <w:t>非阿尔茨海默病所致严重痴呆</w:t>
            </w:r>
          </w:p>
        </w:tc>
        <w:tc>
          <w:tcPr>
            <w:tcW w:w="7140" w:type="dxa"/>
          </w:tcPr>
          <w:p>
            <w:pPr>
              <w:pStyle w:val="TableParagraph"/>
              <w:spacing w:line="310" w:lineRule="atLeast" w:before="80"/>
              <w:ind w:right="303"/>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w:t>
            </w:r>
          </w:p>
        </w:tc>
      </w:tr>
    </w:tbl>
    <w:p>
      <w:pPr>
        <w:spacing w:after="0" w:line="310" w:lineRule="atLeast"/>
        <w:jc w:val="both"/>
        <w:rPr>
          <w:sz w:val="21"/>
        </w:rPr>
        <w:sectPr>
          <w:pgSz w:w="11910" w:h="16840"/>
          <w:pgMar w:top="1160" w:bottom="280" w:left="164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035"/>
      </w:tblGrid>
      <w:tr>
        <w:trPr>
          <w:trHeight w:val="1345" w:hRule="atLeast"/>
        </w:trPr>
        <w:tc>
          <w:tcPr>
            <w:tcW w:w="2247" w:type="dxa"/>
          </w:tcPr>
          <w:p>
            <w:pPr>
              <w:pStyle w:val="TableParagraph"/>
              <w:ind w:left="0"/>
              <w:rPr>
                <w:rFonts w:ascii="Times New Roman"/>
                <w:sz w:val="20"/>
              </w:rPr>
            </w:pPr>
          </w:p>
        </w:tc>
        <w:tc>
          <w:tcPr>
            <w:tcW w:w="7035" w:type="dxa"/>
          </w:tcPr>
          <w:p>
            <w:pPr>
              <w:pStyle w:val="TableParagraph"/>
              <w:spacing w:line="210" w:lineRule="exact"/>
              <w:rPr>
                <w:sz w:val="21"/>
              </w:rPr>
            </w:pPr>
            <w:r>
              <w:rPr>
                <w:sz w:val="21"/>
              </w:rPr>
              <w:t>动中的三项或三项以上，日常生活必须持续受到他人监护。导致痴呆的疾</w:t>
            </w:r>
          </w:p>
          <w:p>
            <w:pPr>
              <w:pStyle w:val="TableParagraph"/>
              <w:spacing w:line="273" w:lineRule="auto" w:before="37"/>
              <w:ind w:right="198"/>
              <w:rPr>
                <w:sz w:val="21"/>
              </w:rPr>
            </w:pPr>
            <w:r>
              <w:rPr>
                <w:sz w:val="21"/>
              </w:rPr>
              <w:t>病必须经专科医生明确诊断，并且由完整的临床、实验室和影像学检查结果证实。</w:t>
            </w:r>
          </w:p>
          <w:p>
            <w:pPr>
              <w:pStyle w:val="TableParagraph"/>
              <w:spacing w:before="7"/>
              <w:rPr>
                <w:sz w:val="21"/>
              </w:rPr>
            </w:pPr>
            <w:r>
              <w:rPr>
                <w:sz w:val="21"/>
                <w:shd w:fill="DADADA" w:color="auto" w:val="clear"/>
              </w:rPr>
              <w:t>神经官能症、精神疾病及酒精中毒所致脑损害不在保障范围内。</w:t>
            </w:r>
          </w:p>
        </w:tc>
      </w:tr>
      <w:tr>
        <w:trPr>
          <w:trHeight w:val="1581" w:hRule="atLeast"/>
        </w:trPr>
        <w:tc>
          <w:tcPr>
            <w:tcW w:w="2247" w:type="dxa"/>
          </w:tcPr>
          <w:p>
            <w:pPr>
              <w:pStyle w:val="TableParagraph"/>
              <w:spacing w:before="120"/>
              <w:ind w:left="200"/>
              <w:rPr>
                <w:rFonts w:ascii="等线" w:eastAsia="等线" w:hint="eastAsia"/>
                <w:b/>
                <w:sz w:val="24"/>
              </w:rPr>
            </w:pPr>
            <w:r>
              <w:rPr>
                <w:rFonts w:ascii="等线" w:eastAsia="等线" w:hint="eastAsia"/>
                <w:b/>
                <w:sz w:val="24"/>
              </w:rPr>
              <w:t>植物人状态</w:t>
            </w:r>
          </w:p>
        </w:tc>
        <w:tc>
          <w:tcPr>
            <w:tcW w:w="7035" w:type="dxa"/>
          </w:tcPr>
          <w:p>
            <w:pPr>
              <w:pStyle w:val="TableParagraph"/>
              <w:spacing w:line="273" w:lineRule="auto" w:before="152"/>
              <w:ind w:right="198"/>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657" w:hRule="atLeast"/>
        </w:trPr>
        <w:tc>
          <w:tcPr>
            <w:tcW w:w="2247" w:type="dxa"/>
          </w:tcPr>
          <w:p>
            <w:pPr>
              <w:pStyle w:val="TableParagraph"/>
              <w:spacing w:before="153"/>
              <w:ind w:left="200"/>
              <w:rPr>
                <w:b/>
                <w:sz w:val="21"/>
              </w:rPr>
            </w:pPr>
            <w:r>
              <w:rPr>
                <w:b/>
                <w:sz w:val="21"/>
              </w:rPr>
              <w:t>第 5 类：</w:t>
            </w:r>
          </w:p>
        </w:tc>
        <w:tc>
          <w:tcPr>
            <w:tcW w:w="7035" w:type="dxa"/>
          </w:tcPr>
          <w:p>
            <w:pPr>
              <w:pStyle w:val="TableParagraph"/>
              <w:spacing w:before="153"/>
              <w:rPr>
                <w:b/>
                <w:sz w:val="21"/>
              </w:rPr>
            </w:pPr>
            <w:r>
              <w:rPr>
                <w:b/>
                <w:w w:val="95"/>
                <w:sz w:val="21"/>
              </w:rPr>
              <w:t>其他重大疾病</w:t>
            </w:r>
          </w:p>
        </w:tc>
      </w:tr>
      <w:tr>
        <w:trPr>
          <w:trHeight w:val="969" w:hRule="atLeast"/>
        </w:trPr>
        <w:tc>
          <w:tcPr>
            <w:tcW w:w="2247" w:type="dxa"/>
          </w:tcPr>
          <w:p>
            <w:pPr>
              <w:pStyle w:val="TableParagraph"/>
              <w:spacing w:before="149"/>
              <w:ind w:left="200"/>
              <w:rPr>
                <w:rFonts w:ascii="等线" w:eastAsia="等线" w:hint="eastAsia"/>
                <w:b/>
                <w:sz w:val="24"/>
              </w:rPr>
            </w:pPr>
            <w:r>
              <w:rPr>
                <w:rFonts w:ascii="等线" w:eastAsia="等线" w:hint="eastAsia"/>
                <w:b/>
                <w:sz w:val="24"/>
              </w:rPr>
              <w:t>多个肢体缺失</w:t>
            </w:r>
          </w:p>
        </w:tc>
        <w:tc>
          <w:tcPr>
            <w:tcW w:w="7035" w:type="dxa"/>
          </w:tcPr>
          <w:p>
            <w:pPr>
              <w:pStyle w:val="TableParagraph"/>
              <w:spacing w:before="11"/>
              <w:ind w:left="0"/>
              <w:rPr>
                <w:sz w:val="13"/>
              </w:rPr>
            </w:pPr>
          </w:p>
          <w:p>
            <w:pPr>
              <w:pStyle w:val="TableParagraph"/>
              <w:spacing w:line="273" w:lineRule="auto"/>
              <w:ind w:right="198"/>
              <w:rPr>
                <w:sz w:val="21"/>
              </w:rPr>
            </w:pPr>
            <w:r>
              <w:rPr>
                <w:sz w:val="21"/>
              </w:rPr>
              <w:t>指因疾病或意外伤害导致两个或两个以上肢体自腕关节或踝关节近端（靠近躯干端）以上完全性断离。</w:t>
            </w:r>
          </w:p>
        </w:tc>
      </w:tr>
      <w:tr>
        <w:trPr>
          <w:trHeight w:val="2484" w:hRule="atLeast"/>
        </w:trPr>
        <w:tc>
          <w:tcPr>
            <w:tcW w:w="2247" w:type="dxa"/>
          </w:tcPr>
          <w:p>
            <w:pPr>
              <w:pStyle w:val="TableParagraph"/>
              <w:spacing w:before="121"/>
              <w:ind w:left="200"/>
              <w:rPr>
                <w:rFonts w:ascii="等线" w:eastAsia="等线" w:hint="eastAsia"/>
                <w:b/>
                <w:sz w:val="24"/>
              </w:rPr>
            </w:pPr>
            <w:r>
              <w:rPr>
                <w:rFonts w:ascii="等线" w:eastAsia="等线" w:hint="eastAsia"/>
                <w:b/>
                <w:sz w:val="24"/>
              </w:rPr>
              <w:t>严重的 1 型糖尿病</w:t>
            </w:r>
          </w:p>
        </w:tc>
        <w:tc>
          <w:tcPr>
            <w:tcW w:w="7035" w:type="dxa"/>
          </w:tcPr>
          <w:p>
            <w:pPr>
              <w:pStyle w:val="TableParagraph"/>
              <w:spacing w:line="273" w:lineRule="auto" w:before="154"/>
              <w:ind w:right="198"/>
              <w:jc w:val="both"/>
              <w:rPr>
                <w:sz w:val="21"/>
              </w:rPr>
            </w:pPr>
            <w:r>
              <w:rPr>
                <w:sz w:val="21"/>
              </w:rPr>
              <w:t>指由于胰岛素分泌绝对不足引起的慢性血糖升高，且已经持续性地依赖外</w:t>
            </w:r>
            <w:r>
              <w:rPr>
                <w:spacing w:val="-7"/>
                <w:sz w:val="21"/>
              </w:rPr>
              <w:t>源性胰岛素维持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8"/>
                <w:sz w:val="21"/>
              </w:rPr>
              <w:t> 肽测定，结果异常，并由内分泌科专科医生明确诊断。并须在本附加险合同保</w:t>
            </w:r>
            <w:r>
              <w:rPr>
                <w:spacing w:val="-21"/>
                <w:sz w:val="21"/>
              </w:rPr>
              <w:t>险期间内，满足下述至少 </w:t>
            </w:r>
            <w:r>
              <w:rPr>
                <w:sz w:val="21"/>
              </w:rPr>
              <w:t>1</w:t>
            </w:r>
            <w:r>
              <w:rPr>
                <w:spacing w:val="-12"/>
                <w:sz w:val="21"/>
              </w:rPr>
              <w:t> 个条件：</w:t>
            </w:r>
          </w:p>
          <w:p>
            <w:pPr>
              <w:pStyle w:val="TableParagraph"/>
              <w:spacing w:before="8"/>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907" w:hRule="atLeast"/>
        </w:trPr>
        <w:tc>
          <w:tcPr>
            <w:tcW w:w="2247" w:type="dxa"/>
          </w:tcPr>
          <w:p>
            <w:pPr>
              <w:pStyle w:val="TableParagraph"/>
              <w:spacing w:before="103"/>
              <w:ind w:left="200"/>
              <w:rPr>
                <w:rFonts w:ascii="等线" w:hAnsi="等线" w:eastAsia="等线" w:hint="eastAsia"/>
                <w:b/>
                <w:sz w:val="24"/>
              </w:rPr>
            </w:pPr>
            <w:r>
              <w:rPr>
                <w:rFonts w:ascii="等线" w:hAnsi="等线" w:eastAsia="等线" w:hint="eastAsia"/>
                <w:b/>
                <w:sz w:val="24"/>
              </w:rPr>
              <w:t>严重Ⅲ度烧伤</w:t>
            </w:r>
          </w:p>
        </w:tc>
        <w:tc>
          <w:tcPr>
            <w:tcW w:w="7035" w:type="dxa"/>
          </w:tcPr>
          <w:p>
            <w:pPr>
              <w:pStyle w:val="TableParagraph"/>
              <w:spacing w:line="273" w:lineRule="auto" w:before="135"/>
              <w:ind w:right="198"/>
              <w:rPr>
                <w:sz w:val="21"/>
              </w:rPr>
            </w:pPr>
            <w:r>
              <w:rPr>
                <w:sz w:val="21"/>
              </w:rPr>
              <w:t>指烧伤程度为Ⅲ度，且Ⅲ度烧伤的面积达到全身体表面积的 20%或 20%以上。体表面积根据《中国新九分法》计算。</w:t>
            </w:r>
          </w:p>
        </w:tc>
      </w:tr>
      <w:tr>
        <w:trPr>
          <w:trHeight w:val="4963" w:hRule="atLeast"/>
        </w:trPr>
        <w:tc>
          <w:tcPr>
            <w:tcW w:w="2247" w:type="dxa"/>
          </w:tcPr>
          <w:p>
            <w:pPr>
              <w:pStyle w:val="TableParagraph"/>
              <w:spacing w:line="232" w:lineRule="auto" w:before="114"/>
              <w:ind w:left="200" w:right="104"/>
              <w:rPr>
                <w:rFonts w:ascii="等线" w:eastAsia="等线" w:hint="eastAsia"/>
                <w:b/>
                <w:sz w:val="24"/>
              </w:rPr>
            </w:pPr>
            <w:r>
              <w:rPr>
                <w:rFonts w:ascii="等线" w:eastAsia="等线" w:hint="eastAsia"/>
                <w:b/>
                <w:sz w:val="24"/>
              </w:rPr>
              <w:t>严重类风湿性关节炎</w:t>
            </w:r>
          </w:p>
        </w:tc>
        <w:tc>
          <w:tcPr>
            <w:tcW w:w="7035" w:type="dxa"/>
          </w:tcPr>
          <w:p>
            <w:pPr>
              <w:pStyle w:val="TableParagraph"/>
              <w:spacing w:line="273" w:lineRule="auto" w:before="137"/>
              <w:ind w:right="197"/>
              <w:jc w:val="both"/>
              <w:rPr>
                <w:sz w:val="21"/>
              </w:rPr>
            </w:pPr>
            <w:r>
              <w:rPr>
                <w:sz w:val="21"/>
              </w:rPr>
              <w:t>指广泛分布的慢性进行性多关节病变，表现为关节严重变形，侵犯至少三个主要关节或关节组，[如:双手（多手指）关节、双足（多足趾）关节、</w:t>
            </w:r>
            <w:r>
              <w:rPr>
                <w:spacing w:val="-10"/>
                <w:sz w:val="21"/>
              </w:rPr>
              <w:t>双腕关节、双膝关节和双髋关节]。被保人所患的类风湿性关节炎必须明确诊断并且已经达到类风湿性关节炎功能分级 </w:t>
            </w:r>
            <w:r>
              <w:rPr>
                <w:sz w:val="21"/>
              </w:rPr>
              <w:t>IV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558"/>
              <w:rPr>
                <w:sz w:val="21"/>
              </w:rPr>
            </w:pPr>
            <w:r>
              <w:rPr>
                <w:sz w:val="21"/>
              </w:rPr>
              <w:t>（5）X 线显示严重的关节（软骨和骨）破坏和关节畸形。类风湿性关节炎功能分级标准：</w:t>
            </w:r>
          </w:p>
          <w:p>
            <w:pPr>
              <w:pStyle w:val="TableParagraph"/>
              <w:spacing w:before="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035"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象皮病</w:t>
            </w:r>
          </w:p>
        </w:tc>
        <w:tc>
          <w:tcPr>
            <w:tcW w:w="7035" w:type="dxa"/>
          </w:tcPr>
          <w:p>
            <w:pPr>
              <w:pStyle w:val="TableParagraph"/>
              <w:spacing w:line="310" w:lineRule="atLeast" w:before="101"/>
              <w:ind w:right="1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bl>
    <w:p>
      <w:pPr>
        <w:spacing w:after="0" w:line="310" w:lineRule="atLeast"/>
        <w:jc w:val="both"/>
        <w:rPr>
          <w:sz w:val="21"/>
        </w:rPr>
        <w:sectPr>
          <w:pgSz w:w="11910" w:h="16840"/>
          <w:pgMar w:top="1160" w:bottom="280" w:left="16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245"/>
        <w:gridCol w:w="6943"/>
      </w:tblGrid>
      <w:tr>
        <w:trPr>
          <w:trHeight w:val="2847" w:hRule="atLeast"/>
        </w:trPr>
        <w:tc>
          <w:tcPr>
            <w:tcW w:w="841" w:type="dxa"/>
          </w:tcPr>
          <w:p>
            <w:pPr>
              <w:pStyle w:val="TableParagraph"/>
              <w:ind w:left="0"/>
              <w:rPr>
                <w:rFonts w:ascii="Times New Roman"/>
                <w:sz w:val="20"/>
              </w:rPr>
            </w:pPr>
          </w:p>
        </w:tc>
        <w:tc>
          <w:tcPr>
            <w:tcW w:w="2245" w:type="dxa"/>
          </w:tcPr>
          <w:p>
            <w:pPr>
              <w:pStyle w:val="TableParagraph"/>
              <w:spacing w:line="243" w:lineRule="exact"/>
              <w:ind w:left="198"/>
              <w:rPr>
                <w:rFonts w:ascii="等线" w:eastAsia="等线" w:hint="eastAsia"/>
                <w:b/>
                <w:sz w:val="24"/>
              </w:rPr>
            </w:pPr>
            <w:r>
              <w:rPr>
                <w:rFonts w:ascii="等线" w:eastAsia="等线" w:hint="eastAsia"/>
                <w:b/>
                <w:sz w:val="24"/>
              </w:rPr>
              <w:t>经输血导致的艾滋</w:t>
            </w:r>
          </w:p>
          <w:p>
            <w:pPr>
              <w:pStyle w:val="TableParagraph"/>
              <w:spacing w:line="232" w:lineRule="auto" w:before="5"/>
              <w:ind w:left="198" w:right="104"/>
              <w:rPr>
                <w:rFonts w:ascii="等线" w:eastAsia="等线" w:hint="eastAsia"/>
                <w:b/>
                <w:sz w:val="24"/>
              </w:rPr>
            </w:pPr>
            <w:r>
              <w:rPr>
                <w:rFonts w:ascii="等线" w:eastAsia="等线" w:hint="eastAsia"/>
                <w:b/>
                <w:sz w:val="24"/>
              </w:rPr>
              <w:t>病病毒感染或患艾滋病</w:t>
            </w:r>
          </w:p>
        </w:tc>
        <w:tc>
          <w:tcPr>
            <w:tcW w:w="6943" w:type="dxa"/>
          </w:tcPr>
          <w:p>
            <w:pPr>
              <w:pStyle w:val="TableParagraph"/>
              <w:spacing w:line="228" w:lineRule="exact"/>
              <w:ind w:left="107"/>
              <w:rPr>
                <w:sz w:val="21"/>
              </w:rPr>
            </w:pPr>
            <w:r>
              <w:rPr>
                <w:sz w:val="21"/>
              </w:rPr>
              <w:t>指被保险人因输血而感染上人类免疫缺陷病毒（HIV）或患艾滋病必须满足</w:t>
            </w:r>
          </w:p>
          <w:p>
            <w:pPr>
              <w:pStyle w:val="TableParagraph"/>
              <w:spacing w:before="37"/>
              <w:rPr>
                <w:sz w:val="21"/>
              </w:rPr>
            </w:pPr>
            <w:r>
              <w:rPr>
                <w:sz w:val="21"/>
              </w:rPr>
              <w:t>以下全部条件：</w:t>
            </w:r>
          </w:p>
          <w:p>
            <w:pPr>
              <w:pStyle w:val="TableParagraph"/>
              <w:spacing w:before="37"/>
              <w:rPr>
                <w:sz w:val="21"/>
              </w:rPr>
            </w:pPr>
            <w:r>
              <w:rPr>
                <w:sz w:val="21"/>
              </w:rPr>
              <w:t>（1）被保险人因输血而感染 HIV 或患艾滋病；</w:t>
            </w:r>
          </w:p>
          <w:p>
            <w:pPr>
              <w:pStyle w:val="TableParagraph"/>
              <w:spacing w:line="273" w:lineRule="auto" w:before="37"/>
              <w:ind w:left="632" w:right="105" w:hanging="526"/>
              <w:rPr>
                <w:sz w:val="21"/>
              </w:rPr>
            </w:pPr>
            <w:r>
              <w:rPr>
                <w:sz w:val="21"/>
              </w:rPr>
              <w:t>（2</w:t>
            </w:r>
            <w:r>
              <w:rPr>
                <w:spacing w:val="-96"/>
                <w:sz w:val="21"/>
              </w:rPr>
              <w:t>）</w:t>
            </w:r>
            <w:r>
              <w:rPr>
                <w:spacing w:val="-1"/>
                <w:sz w:val="21"/>
              </w:rPr>
              <w:t>提供输血治疗的输血中心或医院出具该项输血感染属医疗责任事故的报告，或者法院终审裁定为医疗责任；</w:t>
            </w:r>
          </w:p>
          <w:p>
            <w:pPr>
              <w:pStyle w:val="TableParagraph"/>
              <w:spacing w:before="7"/>
              <w:rPr>
                <w:sz w:val="21"/>
              </w:rPr>
            </w:pPr>
            <w:r>
              <w:rPr>
                <w:sz w:val="21"/>
              </w:rPr>
              <w:t>（3）受感染的被保险人不是血友病患者。</w:t>
            </w:r>
          </w:p>
          <w:p>
            <w:pPr>
              <w:pStyle w:val="TableParagraph"/>
              <w:spacing w:line="273" w:lineRule="auto" w:before="36"/>
              <w:ind w:left="107" w:right="105"/>
              <w:jc w:val="both"/>
              <w:rPr>
                <w:sz w:val="21"/>
              </w:rPr>
            </w:pPr>
            <w:r>
              <w:rPr>
                <w:sz w:val="21"/>
                <w:shd w:fill="DADADA" w:color="auto" w:val="clear"/>
              </w:rPr>
              <w:t>任何因其他传播方式（包括：性传播或静脉注射毒品等）</w:t>
            </w:r>
            <w:r>
              <w:rPr>
                <w:spacing w:val="-13"/>
                <w:sz w:val="21"/>
                <w:shd w:fill="DADADA" w:color="auto" w:val="clear"/>
              </w:rPr>
              <w:t>导致的 </w:t>
            </w:r>
            <w:r>
              <w:rPr>
                <w:sz w:val="21"/>
                <w:shd w:fill="DADADA" w:color="auto" w:val="clear"/>
              </w:rPr>
              <w:t>HIV</w:t>
            </w:r>
            <w:r>
              <w:rPr>
                <w:spacing w:val="-17"/>
                <w:sz w:val="21"/>
                <w:shd w:fill="DADADA" w:color="auto" w:val="clear"/>
              </w:rPr>
              <w:t> 感染或患艾滋病不在保障</w:t>
            </w:r>
            <w:r>
              <w:rPr>
                <w:spacing w:val="-53"/>
                <w:sz w:val="21"/>
                <w:shd w:fill="DADADA" w:color="auto" w:val="clear"/>
              </w:rPr>
              <w:t>范围内。</w:t>
            </w:r>
            <w:r>
              <w:rPr>
                <w:sz w:val="21"/>
              </w:rPr>
              <w:t>本公司具有获得使用被保险人的所有血液样本的权利和能够对这些样本进行独立检验的权利。</w:t>
            </w:r>
          </w:p>
        </w:tc>
      </w:tr>
      <w:tr>
        <w:trPr>
          <w:trHeight w:val="2097" w:hRule="atLeast"/>
        </w:trPr>
        <w:tc>
          <w:tcPr>
            <w:tcW w:w="841" w:type="dxa"/>
          </w:tcPr>
          <w:p>
            <w:pPr>
              <w:pStyle w:val="TableParagraph"/>
              <w:ind w:left="0"/>
              <w:rPr>
                <w:rFonts w:ascii="Times New Roman"/>
                <w:sz w:val="20"/>
              </w:rPr>
            </w:pPr>
          </w:p>
        </w:tc>
        <w:tc>
          <w:tcPr>
            <w:tcW w:w="2245" w:type="dxa"/>
          </w:tcPr>
          <w:p>
            <w:pPr>
              <w:pStyle w:val="TableParagraph"/>
              <w:spacing w:before="45"/>
              <w:ind w:left="198"/>
              <w:rPr>
                <w:rFonts w:ascii="等线" w:eastAsia="等线" w:hint="eastAsia"/>
                <w:b/>
                <w:sz w:val="24"/>
              </w:rPr>
            </w:pPr>
            <w:r>
              <w:rPr>
                <w:rFonts w:ascii="等线" w:eastAsia="等线" w:hint="eastAsia"/>
                <w:b/>
                <w:sz w:val="24"/>
              </w:rPr>
              <w:t>严重ft营养不良症</w:t>
            </w:r>
          </w:p>
        </w:tc>
        <w:tc>
          <w:tcPr>
            <w:tcW w:w="6943" w:type="dxa"/>
          </w:tcPr>
          <w:p>
            <w:pPr>
              <w:pStyle w:val="TableParagraph"/>
              <w:spacing w:line="273" w:lineRule="auto" w:before="77"/>
              <w:ind w:left="107" w:right="106"/>
              <w:rPr>
                <w:sz w:val="21"/>
              </w:rPr>
            </w:pPr>
            <w:r>
              <w:rPr>
                <w:sz w:val="21"/>
              </w:rPr>
              <w:t>指一组原发于肌肉的疾病，临床表现为与神经系统无关的肌肉无力和肌肉萎缩。且须满足下列全部条件：</w:t>
            </w:r>
          </w:p>
          <w:p>
            <w:pPr>
              <w:pStyle w:val="TableParagraph"/>
              <w:spacing w:line="273" w:lineRule="auto" w:before="7"/>
              <w:ind w:left="632" w:right="105" w:hanging="526"/>
              <w:rPr>
                <w:sz w:val="21"/>
              </w:rPr>
            </w:pPr>
            <w:r>
              <w:rPr>
                <w:spacing w:val="-17"/>
                <w:sz w:val="21"/>
              </w:rPr>
              <w:t>（1）</w:t>
            </w:r>
            <w:r>
              <w:rPr>
                <w:spacing w:val="-3"/>
                <w:sz w:val="21"/>
              </w:rPr>
              <w:t>肌肉组织活检结果满足肌营养不良症的肌肉细胞变性、坏死等阳性改变；</w:t>
            </w:r>
          </w:p>
          <w:p>
            <w:pPr>
              <w:pStyle w:val="TableParagraph"/>
              <w:spacing w:line="273" w:lineRule="auto" w:before="7"/>
              <w:ind w:left="632" w:right="105" w:hanging="526"/>
              <w:rPr>
                <w:sz w:val="21"/>
              </w:rPr>
            </w:pPr>
            <w:r>
              <w:rPr>
                <w:spacing w:val="-17"/>
                <w:sz w:val="21"/>
              </w:rPr>
              <w:t>（2）</w:t>
            </w:r>
            <w:r>
              <w:rPr>
                <w:spacing w:val="-5"/>
                <w:sz w:val="21"/>
              </w:rPr>
              <w:t>自主生活能力完全丧失，无法独立完成六项基本日常生活活动中的三项或三项以上。</w:t>
            </w:r>
          </w:p>
        </w:tc>
      </w:tr>
      <w:tr>
        <w:trPr>
          <w:trHeight w:val="1120" w:hRule="atLeast"/>
        </w:trPr>
        <w:tc>
          <w:tcPr>
            <w:tcW w:w="841" w:type="dxa"/>
            <w:tcBorders>
              <w:bottom w:val="single" w:sz="8" w:space="0" w:color="000000"/>
            </w:tcBorders>
          </w:tcPr>
          <w:p>
            <w:pPr>
              <w:pStyle w:val="TableParagraph"/>
              <w:spacing w:before="146"/>
              <w:ind w:left="286"/>
              <w:rPr>
                <w:rFonts w:ascii="Arial" w:hAnsi="Arial"/>
                <w:b/>
                <w:sz w:val="40"/>
              </w:rPr>
            </w:pPr>
            <w:r>
              <w:rPr>
                <w:rFonts w:ascii="Arial" w:hAnsi="Arial"/>
                <w:b/>
                <w:w w:val="118"/>
                <w:sz w:val="40"/>
              </w:rPr>
              <w:t></w:t>
            </w:r>
          </w:p>
        </w:tc>
        <w:tc>
          <w:tcPr>
            <w:tcW w:w="9188" w:type="dxa"/>
            <w:gridSpan w:val="2"/>
            <w:tcBorders>
              <w:bottom w:val="single" w:sz="8" w:space="0" w:color="000000"/>
            </w:tcBorders>
          </w:tcPr>
          <w:p>
            <w:pPr>
              <w:pStyle w:val="TableParagraph"/>
              <w:spacing w:before="145"/>
              <w:ind w:left="198"/>
              <w:rPr>
                <w:b/>
                <w:sz w:val="24"/>
              </w:rPr>
            </w:pPr>
            <w:r>
              <w:rPr>
                <w:b/>
                <w:w w:val="95"/>
                <w:sz w:val="24"/>
              </w:rPr>
              <w:t>需关注的其他内容</w:t>
            </w:r>
          </w:p>
          <w:p>
            <w:pPr>
              <w:pStyle w:val="TableParagraph"/>
              <w:spacing w:before="133"/>
              <w:ind w:left="198"/>
              <w:rPr>
                <w:sz w:val="24"/>
              </w:rPr>
            </w:pPr>
            <w:r>
              <w:rPr>
                <w:sz w:val="24"/>
              </w:rPr>
              <w:t>这部分讲的是您应当注意的其他事项。</w:t>
            </w:r>
          </w:p>
        </w:tc>
      </w:tr>
      <w:tr>
        <w:trPr>
          <w:trHeight w:val="717" w:hRule="atLeast"/>
        </w:trPr>
        <w:tc>
          <w:tcPr>
            <w:tcW w:w="841" w:type="dxa"/>
            <w:tcBorders>
              <w:top w:val="single" w:sz="8" w:space="0" w:color="000000"/>
            </w:tcBorders>
          </w:tcPr>
          <w:p>
            <w:pPr>
              <w:pStyle w:val="TableParagraph"/>
              <w:spacing w:before="1"/>
              <w:ind w:left="0"/>
              <w:rPr>
                <w:sz w:val="19"/>
              </w:rPr>
            </w:pPr>
          </w:p>
          <w:p>
            <w:pPr>
              <w:pStyle w:val="TableParagraph"/>
              <w:ind w:left="108"/>
              <w:rPr>
                <w:b/>
                <w:sz w:val="21"/>
              </w:rPr>
            </w:pPr>
            <w:r>
              <w:rPr>
                <w:b/>
                <w:sz w:val="21"/>
              </w:rPr>
              <w:t>8.1</w:t>
            </w:r>
          </w:p>
        </w:tc>
        <w:tc>
          <w:tcPr>
            <w:tcW w:w="2245" w:type="dxa"/>
            <w:tcBorders>
              <w:top w:val="single" w:sz="8" w:space="0" w:color="000000"/>
            </w:tcBorders>
          </w:tcPr>
          <w:p>
            <w:pPr>
              <w:pStyle w:val="TableParagraph"/>
              <w:spacing w:before="1"/>
              <w:ind w:left="0"/>
              <w:rPr>
                <w:sz w:val="19"/>
              </w:rPr>
            </w:pPr>
          </w:p>
          <w:p>
            <w:pPr>
              <w:pStyle w:val="TableParagraph"/>
              <w:ind w:left="198"/>
              <w:rPr>
                <w:b/>
                <w:sz w:val="21"/>
              </w:rPr>
            </w:pPr>
            <w:r>
              <w:rPr>
                <w:b/>
                <w:sz w:val="21"/>
              </w:rPr>
              <w:t>合同订立</w:t>
            </w:r>
          </w:p>
        </w:tc>
        <w:tc>
          <w:tcPr>
            <w:tcW w:w="6943" w:type="dxa"/>
            <w:tcBorders>
              <w:top w:val="single" w:sz="8" w:space="0" w:color="000000"/>
            </w:tcBorders>
          </w:tcPr>
          <w:p>
            <w:pPr>
              <w:pStyle w:val="TableParagraph"/>
              <w:spacing w:before="1"/>
              <w:ind w:left="0"/>
              <w:rPr>
                <w:sz w:val="19"/>
              </w:rPr>
            </w:pPr>
          </w:p>
          <w:p>
            <w:pPr>
              <w:pStyle w:val="TableParagraph"/>
              <w:ind w:left="107"/>
              <w:rPr>
                <w:sz w:val="21"/>
              </w:rPr>
            </w:pPr>
            <w:r>
              <w:rPr>
                <w:sz w:val="21"/>
              </w:rPr>
              <w:t>本附加险合同由主险合同投保人提出申请，经我们同意而订立。</w:t>
            </w:r>
          </w:p>
        </w:tc>
      </w:tr>
      <w:tr>
        <w:trPr>
          <w:trHeight w:val="1170" w:hRule="atLeast"/>
        </w:trPr>
        <w:tc>
          <w:tcPr>
            <w:tcW w:w="841" w:type="dxa"/>
          </w:tcPr>
          <w:p>
            <w:pPr>
              <w:pStyle w:val="TableParagraph"/>
              <w:spacing w:before="127"/>
              <w:ind w:left="108"/>
              <w:rPr>
                <w:b/>
                <w:sz w:val="21"/>
              </w:rPr>
            </w:pPr>
            <w:r>
              <w:rPr>
                <w:b/>
                <w:sz w:val="21"/>
              </w:rPr>
              <w:t>8.2</w:t>
            </w:r>
          </w:p>
        </w:tc>
        <w:tc>
          <w:tcPr>
            <w:tcW w:w="2245" w:type="dxa"/>
          </w:tcPr>
          <w:p>
            <w:pPr>
              <w:pStyle w:val="TableParagraph"/>
              <w:spacing w:before="127"/>
              <w:ind w:left="198"/>
              <w:rPr>
                <w:b/>
                <w:sz w:val="21"/>
              </w:rPr>
            </w:pPr>
            <w:r>
              <w:rPr>
                <w:b/>
                <w:sz w:val="21"/>
              </w:rPr>
              <w:t>合同生效</w:t>
            </w:r>
          </w:p>
        </w:tc>
        <w:tc>
          <w:tcPr>
            <w:tcW w:w="6943" w:type="dxa"/>
          </w:tcPr>
          <w:p>
            <w:pPr>
              <w:pStyle w:val="TableParagraph"/>
              <w:spacing w:line="273" w:lineRule="auto" w:before="127"/>
              <w:ind w:left="107" w:right="3053"/>
              <w:rPr>
                <w:sz w:val="21"/>
              </w:rPr>
            </w:pPr>
            <w:r>
              <w:rPr>
                <w:sz w:val="21"/>
              </w:rPr>
              <w:t>本附加险合同须与主险合同同时投保。 本附加险合同的生效日与主险合同相同。</w:t>
            </w:r>
          </w:p>
          <w:p>
            <w:pPr>
              <w:pStyle w:val="TableParagraph"/>
              <w:spacing w:before="7"/>
              <w:ind w:left="107"/>
              <w:rPr>
                <w:sz w:val="21"/>
              </w:rPr>
            </w:pPr>
            <w:r>
              <w:rPr>
                <w:sz w:val="21"/>
              </w:rPr>
              <w:t>本附加险合同的保单周年日同主险合同的保单周年日。</w:t>
            </w:r>
          </w:p>
        </w:tc>
      </w:tr>
      <w:tr>
        <w:trPr>
          <w:trHeight w:val="1128" w:hRule="atLeast"/>
        </w:trPr>
        <w:tc>
          <w:tcPr>
            <w:tcW w:w="841" w:type="dxa"/>
          </w:tcPr>
          <w:p>
            <w:pPr>
              <w:pStyle w:val="TableParagraph"/>
              <w:spacing w:before="78"/>
              <w:ind w:left="108"/>
              <w:rPr>
                <w:b/>
                <w:sz w:val="21"/>
              </w:rPr>
            </w:pPr>
            <w:r>
              <w:rPr>
                <w:b/>
                <w:sz w:val="21"/>
              </w:rPr>
              <w:t>8.3</w:t>
            </w:r>
          </w:p>
        </w:tc>
        <w:tc>
          <w:tcPr>
            <w:tcW w:w="2245" w:type="dxa"/>
          </w:tcPr>
          <w:p>
            <w:pPr>
              <w:pStyle w:val="TableParagraph"/>
              <w:spacing w:before="78"/>
              <w:ind w:left="198"/>
              <w:rPr>
                <w:b/>
                <w:sz w:val="21"/>
              </w:rPr>
            </w:pPr>
            <w:r>
              <w:rPr>
                <w:b/>
                <w:sz w:val="21"/>
              </w:rPr>
              <w:t>投保年龄</w:t>
            </w:r>
          </w:p>
        </w:tc>
        <w:tc>
          <w:tcPr>
            <w:tcW w:w="6943" w:type="dxa"/>
          </w:tcPr>
          <w:p>
            <w:pPr>
              <w:pStyle w:val="TableParagraph"/>
              <w:spacing w:line="273" w:lineRule="auto" w:before="78"/>
              <w:ind w:left="107" w:right="104"/>
              <w:rPr>
                <w:sz w:val="21"/>
              </w:rPr>
            </w:pPr>
            <w:r>
              <w:rPr>
                <w:sz w:val="21"/>
              </w:rPr>
              <w:t>指投保时被保险人的年龄，投保年龄以周岁计算。本附加险合同接受的投</w:t>
            </w:r>
            <w:r>
              <w:rPr>
                <w:spacing w:val="-7"/>
                <w:sz w:val="21"/>
              </w:rPr>
              <w:t>保年龄为 </w:t>
            </w:r>
            <w:r>
              <w:rPr>
                <w:sz w:val="21"/>
              </w:rPr>
              <w:t>0</w:t>
            </w:r>
            <w:r>
              <w:rPr>
                <w:spacing w:val="-14"/>
                <w:sz w:val="21"/>
              </w:rPr>
              <w:t> 周岁至 </w:t>
            </w:r>
            <w:r>
              <w:rPr>
                <w:sz w:val="21"/>
              </w:rPr>
              <w:t>50</w:t>
            </w:r>
            <w:r>
              <w:rPr>
                <w:spacing w:val="-9"/>
                <w:sz w:val="21"/>
              </w:rPr>
              <w:t> 周岁，投保时被保险人为 </w:t>
            </w:r>
            <w:r>
              <w:rPr>
                <w:sz w:val="21"/>
              </w:rPr>
              <w:t>0</w:t>
            </w:r>
            <w:r>
              <w:rPr>
                <w:spacing w:val="-6"/>
                <w:sz w:val="21"/>
              </w:rPr>
              <w:t> 周岁的，应当为出生满</w:t>
            </w:r>
          </w:p>
          <w:p>
            <w:pPr>
              <w:pStyle w:val="TableParagraph"/>
              <w:spacing w:before="7"/>
              <w:ind w:left="107"/>
              <w:rPr>
                <w:sz w:val="21"/>
              </w:rPr>
            </w:pPr>
            <w:r>
              <w:rPr>
                <w:sz w:val="21"/>
              </w:rPr>
              <w:t>28 日且已健康出院的婴儿。</w:t>
            </w:r>
          </w:p>
        </w:tc>
      </w:tr>
      <w:tr>
        <w:trPr>
          <w:trHeight w:val="1280" w:hRule="atLeast"/>
        </w:trPr>
        <w:tc>
          <w:tcPr>
            <w:tcW w:w="841" w:type="dxa"/>
          </w:tcPr>
          <w:p>
            <w:pPr>
              <w:pStyle w:val="TableParagraph"/>
              <w:spacing w:before="85"/>
              <w:ind w:left="108"/>
              <w:rPr>
                <w:b/>
                <w:sz w:val="21"/>
              </w:rPr>
            </w:pPr>
            <w:r>
              <w:rPr>
                <w:b/>
                <w:sz w:val="21"/>
              </w:rPr>
              <w:t>8.4</w:t>
            </w:r>
          </w:p>
        </w:tc>
        <w:tc>
          <w:tcPr>
            <w:tcW w:w="2245" w:type="dxa"/>
          </w:tcPr>
          <w:p>
            <w:pPr>
              <w:pStyle w:val="TableParagraph"/>
              <w:spacing w:before="85"/>
              <w:ind w:left="198"/>
              <w:rPr>
                <w:b/>
                <w:sz w:val="21"/>
              </w:rPr>
            </w:pPr>
            <w:r>
              <w:rPr>
                <w:b/>
                <w:sz w:val="21"/>
              </w:rPr>
              <w:t>年龄错误</w:t>
            </w:r>
          </w:p>
        </w:tc>
        <w:tc>
          <w:tcPr>
            <w:tcW w:w="6943" w:type="dxa"/>
          </w:tcPr>
          <w:p>
            <w:pPr>
              <w:pStyle w:val="TableParagraph"/>
              <w:spacing w:line="273" w:lineRule="auto" w:before="85"/>
              <w:ind w:left="149" w:right="105" w:hanging="42"/>
              <w:jc w:val="both"/>
              <w:rPr>
                <w:sz w:val="21"/>
              </w:rPr>
            </w:pPr>
            <w:r>
              <w:rPr>
                <w:sz w:val="21"/>
              </w:rPr>
              <w:t>您在申请投保时，应将与有效身份证件相符的被保险人的出生日期在投保</w:t>
            </w:r>
            <w:r>
              <w:rPr>
                <w:spacing w:val="-5"/>
                <w:sz w:val="21"/>
              </w:rPr>
              <w:t>书上填明，如果发生错误按照《中华人民共和国保险法》处理</w:t>
            </w:r>
            <w:r>
              <w:rPr>
                <w:sz w:val="21"/>
              </w:rPr>
              <w:t>（请扫描二维码查看相关内容</w:t>
            </w:r>
            <w:r>
              <w:rPr>
                <w:spacing w:val="-105"/>
                <w:sz w:val="21"/>
              </w:rPr>
              <w:t>）</w:t>
            </w:r>
            <w:r>
              <w:rPr>
                <w:sz w:val="21"/>
              </w:rPr>
              <w:t>。</w:t>
            </w:r>
          </w:p>
        </w:tc>
      </w:tr>
      <w:tr>
        <w:trPr>
          <w:trHeight w:val="1270" w:hRule="atLeast"/>
        </w:trPr>
        <w:tc>
          <w:tcPr>
            <w:tcW w:w="841" w:type="dxa"/>
          </w:tcPr>
          <w:p>
            <w:pPr>
              <w:pStyle w:val="TableParagraph"/>
              <w:spacing w:before="8"/>
              <w:ind w:left="0"/>
              <w:rPr>
                <w:sz w:val="17"/>
              </w:rPr>
            </w:pPr>
          </w:p>
          <w:p>
            <w:pPr>
              <w:pStyle w:val="TableParagraph"/>
              <w:ind w:left="108"/>
              <w:rPr>
                <w:b/>
                <w:sz w:val="21"/>
              </w:rPr>
            </w:pPr>
            <w:r>
              <w:rPr>
                <w:b/>
                <w:sz w:val="21"/>
              </w:rPr>
              <w:t>8.5</w:t>
            </w:r>
          </w:p>
        </w:tc>
        <w:tc>
          <w:tcPr>
            <w:tcW w:w="2245" w:type="dxa"/>
          </w:tcPr>
          <w:p>
            <w:pPr>
              <w:pStyle w:val="TableParagraph"/>
              <w:spacing w:before="8"/>
              <w:ind w:left="0"/>
              <w:rPr>
                <w:sz w:val="17"/>
              </w:rPr>
            </w:pPr>
          </w:p>
          <w:p>
            <w:pPr>
              <w:pStyle w:val="TableParagraph"/>
              <w:ind w:left="198"/>
              <w:rPr>
                <w:b/>
                <w:sz w:val="21"/>
              </w:rPr>
            </w:pPr>
            <w:r>
              <w:rPr>
                <w:b/>
                <w:sz w:val="21"/>
              </w:rPr>
              <w:t>效力终止</w:t>
            </w:r>
          </w:p>
        </w:tc>
        <w:tc>
          <w:tcPr>
            <w:tcW w:w="6943" w:type="dxa"/>
          </w:tcPr>
          <w:p>
            <w:pPr>
              <w:pStyle w:val="TableParagraph"/>
              <w:spacing w:before="8"/>
              <w:ind w:left="0"/>
              <w:rPr>
                <w:sz w:val="17"/>
              </w:rPr>
            </w:pPr>
          </w:p>
          <w:p>
            <w:pPr>
              <w:pStyle w:val="TableParagraph"/>
              <w:ind w:left="107"/>
              <w:rPr>
                <w:sz w:val="21"/>
              </w:rPr>
            </w:pPr>
            <w:r>
              <w:rPr>
                <w:sz w:val="21"/>
              </w:rPr>
              <w:t>当发生下列情形之一时，本附加险合同效力终止：</w:t>
            </w:r>
          </w:p>
          <w:p>
            <w:pPr>
              <w:pStyle w:val="TableParagraph"/>
              <w:spacing w:before="36"/>
              <w:ind w:left="107"/>
              <w:rPr>
                <w:sz w:val="21"/>
              </w:rPr>
            </w:pPr>
            <w:r>
              <w:rPr>
                <w:sz w:val="21"/>
              </w:rPr>
              <w:t>（1）主险合同效力终止；</w:t>
            </w:r>
          </w:p>
          <w:p>
            <w:pPr>
              <w:pStyle w:val="TableParagraph"/>
              <w:spacing w:before="36"/>
              <w:ind w:left="107"/>
              <w:rPr>
                <w:sz w:val="21"/>
              </w:rPr>
            </w:pPr>
            <w:r>
              <w:rPr>
                <w:sz w:val="21"/>
              </w:rPr>
              <w:t>（2）您申请解除本附加险合同。</w:t>
            </w:r>
          </w:p>
        </w:tc>
      </w:tr>
      <w:tr>
        <w:trPr>
          <w:trHeight w:val="1910" w:hRule="atLeast"/>
        </w:trPr>
        <w:tc>
          <w:tcPr>
            <w:tcW w:w="841" w:type="dxa"/>
          </w:tcPr>
          <w:p>
            <w:pPr>
              <w:pStyle w:val="TableParagraph"/>
              <w:spacing w:before="75"/>
              <w:ind w:left="108"/>
              <w:rPr>
                <w:b/>
                <w:sz w:val="21"/>
              </w:rPr>
            </w:pPr>
            <w:r>
              <w:rPr>
                <w:b/>
                <w:sz w:val="21"/>
              </w:rPr>
              <w:t>8.6</w:t>
            </w:r>
          </w:p>
        </w:tc>
        <w:tc>
          <w:tcPr>
            <w:tcW w:w="2245" w:type="dxa"/>
          </w:tcPr>
          <w:p>
            <w:pPr>
              <w:pStyle w:val="TableParagraph"/>
              <w:spacing w:before="75"/>
              <w:ind w:left="198"/>
              <w:rPr>
                <w:b/>
                <w:sz w:val="21"/>
              </w:rPr>
            </w:pPr>
            <w:r>
              <w:rPr>
                <w:b/>
                <w:w w:val="95"/>
                <w:sz w:val="21"/>
              </w:rPr>
              <w:t>适用主险合同条款</w:t>
            </w:r>
          </w:p>
        </w:tc>
        <w:tc>
          <w:tcPr>
            <w:tcW w:w="6943" w:type="dxa"/>
          </w:tcPr>
          <w:p>
            <w:pPr>
              <w:pStyle w:val="TableParagraph"/>
              <w:spacing w:before="75"/>
              <w:ind w:left="107"/>
              <w:rPr>
                <w:sz w:val="21"/>
              </w:rPr>
            </w:pPr>
            <w:r>
              <w:rPr>
                <w:sz w:val="21"/>
              </w:rPr>
              <w:t>下列各项条款，适用主险合同条款：</w:t>
            </w:r>
          </w:p>
          <w:p>
            <w:pPr>
              <w:pStyle w:val="TableParagraph"/>
              <w:spacing w:before="36"/>
              <w:ind w:left="107"/>
              <w:rPr>
                <w:sz w:val="21"/>
              </w:rPr>
            </w:pPr>
            <w:r>
              <w:rPr>
                <w:sz w:val="21"/>
              </w:rPr>
              <w:t>（1）保险事故通知；</w:t>
            </w:r>
          </w:p>
          <w:p>
            <w:pPr>
              <w:pStyle w:val="TableParagraph"/>
              <w:spacing w:before="36"/>
              <w:ind w:left="107"/>
              <w:rPr>
                <w:sz w:val="21"/>
              </w:rPr>
            </w:pPr>
            <w:r>
              <w:rPr>
                <w:sz w:val="21"/>
              </w:rPr>
              <w:t>（2）明确说明与如实告知；</w:t>
            </w:r>
          </w:p>
          <w:p>
            <w:pPr>
              <w:pStyle w:val="TableParagraph"/>
              <w:spacing w:before="36"/>
              <w:ind w:left="107"/>
              <w:rPr>
                <w:sz w:val="21"/>
              </w:rPr>
            </w:pPr>
            <w:r>
              <w:rPr>
                <w:sz w:val="21"/>
              </w:rPr>
              <w:t>（3）未还款项；</w:t>
            </w:r>
          </w:p>
          <w:p>
            <w:pPr>
              <w:pStyle w:val="TableParagraph"/>
              <w:spacing w:before="36"/>
              <w:ind w:left="107"/>
              <w:rPr>
                <w:sz w:val="21"/>
              </w:rPr>
            </w:pPr>
            <w:r>
              <w:rPr>
                <w:sz w:val="21"/>
              </w:rPr>
              <w:t>（4）合同内容变更；</w:t>
            </w:r>
          </w:p>
          <w:p>
            <w:pPr>
              <w:pStyle w:val="TableParagraph"/>
              <w:spacing w:line="255" w:lineRule="exact" w:before="36"/>
              <w:ind w:left="107"/>
              <w:rPr>
                <w:sz w:val="21"/>
              </w:rPr>
            </w:pPr>
            <w:r>
              <w:rPr>
                <w:sz w:val="21"/>
              </w:rPr>
              <w:t>（5）争议处理。</w:t>
            </w:r>
          </w:p>
        </w:tc>
      </w:tr>
    </w:tbl>
    <w:p>
      <w:pPr>
        <w:pStyle w:val="BodyText"/>
        <w:rPr>
          <w:sz w:val="20"/>
        </w:rPr>
      </w:pPr>
      <w:r>
        <w:rPr/>
        <w:drawing>
          <wp:anchor distT="0" distB="0" distL="0" distR="0" allowOverlap="1" layoutInCell="1" locked="0" behindDoc="1" simplePos="0" relativeHeight="268405151">
            <wp:simplePos x="0" y="0"/>
            <wp:positionH relativeFrom="page">
              <wp:posOffset>1244263</wp:posOffset>
            </wp:positionH>
            <wp:positionV relativeFrom="page">
              <wp:posOffset>6813492</wp:posOffset>
            </wp:positionV>
            <wp:extent cx="541020" cy="541020"/>
            <wp:effectExtent l="0" t="0" r="0" b="0"/>
            <wp:wrapNone/>
            <wp:docPr id="5" name="image12.png" descr="年龄错误"/>
            <wp:cNvGraphicFramePr>
              <a:graphicFrameLocks noChangeAspect="1"/>
            </wp:cNvGraphicFramePr>
            <a:graphic>
              <a:graphicData uri="http://schemas.openxmlformats.org/drawingml/2006/picture">
                <pic:pic>
                  <pic:nvPicPr>
                    <pic:cNvPr id="6" name="image12.png"/>
                    <pic:cNvPicPr/>
                  </pic:nvPicPr>
                  <pic:blipFill>
                    <a:blip r:embed="rId16" cstate="print"/>
                    <a:stretch>
                      <a:fillRect/>
                    </a:stretch>
                  </pic:blipFill>
                  <pic:spPr>
                    <a:xfrm>
                      <a:off x="0" y="0"/>
                      <a:ext cx="541020" cy="541020"/>
                    </a:xfrm>
                    <a:prstGeom prst="rect">
                      <a:avLst/>
                    </a:prstGeom>
                  </pic:spPr>
                </pic:pic>
              </a:graphicData>
            </a:graphic>
          </wp:anchor>
        </w:drawing>
      </w:r>
    </w:p>
    <w:p>
      <w:pPr>
        <w:pStyle w:val="BodyText"/>
        <w:spacing w:before="5"/>
        <w:rPr>
          <w:sz w:val="28"/>
        </w:rPr>
      </w:pPr>
    </w:p>
    <w:p>
      <w:pPr>
        <w:pStyle w:val="BodyText"/>
        <w:spacing w:before="36"/>
        <w:ind w:left="4977" w:right="4602"/>
        <w:jc w:val="center"/>
      </w:pPr>
      <w:r>
        <w:rPr/>
        <w:t>（完）</w:t>
      </w:r>
    </w:p>
    <w:sectPr>
      <w:pgSz w:w="11910" w:h="16840"/>
      <w:pgMar w:top="1140" w:bottom="280" w:left="8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1152" w:hanging="932"/>
        <w:jc w:val="left"/>
      </w:pPr>
      <w:rPr>
        <w:rFonts w:hint="default"/>
      </w:rPr>
    </w:lvl>
    <w:lvl w:ilvl="1">
      <w:start w:val="1"/>
      <w:numFmt w:val="decimal"/>
      <w:lvlText w:val="%1.%2"/>
      <w:lvlJc w:val="left"/>
      <w:pPr>
        <w:ind w:left="1152" w:hanging="932"/>
        <w:jc w:val="left"/>
      </w:pPr>
      <w:rPr>
        <w:rFonts w:hint="default" w:ascii="宋体" w:hAnsi="宋体" w:eastAsia="宋体" w:cs="宋体"/>
        <w:b/>
        <w:bCs/>
        <w:w w:val="99"/>
        <w:sz w:val="21"/>
        <w:szCs w:val="21"/>
      </w:rPr>
    </w:lvl>
    <w:lvl w:ilvl="2">
      <w:start w:val="0"/>
      <w:numFmt w:val="bullet"/>
      <w:lvlText w:val="•"/>
      <w:lvlJc w:val="left"/>
      <w:pPr>
        <w:ind w:left="1546" w:hanging="932"/>
      </w:pPr>
      <w:rPr>
        <w:rFonts w:hint="default"/>
      </w:rPr>
    </w:lvl>
    <w:lvl w:ilvl="3">
      <w:start w:val="0"/>
      <w:numFmt w:val="bullet"/>
      <w:lvlText w:val="•"/>
      <w:lvlJc w:val="left"/>
      <w:pPr>
        <w:ind w:left="1739" w:hanging="932"/>
      </w:pPr>
      <w:rPr>
        <w:rFonts w:hint="default"/>
      </w:rPr>
    </w:lvl>
    <w:lvl w:ilvl="4">
      <w:start w:val="0"/>
      <w:numFmt w:val="bullet"/>
      <w:lvlText w:val="•"/>
      <w:lvlJc w:val="left"/>
      <w:pPr>
        <w:ind w:left="1932" w:hanging="932"/>
      </w:pPr>
      <w:rPr>
        <w:rFonts w:hint="default"/>
      </w:rPr>
    </w:lvl>
    <w:lvl w:ilvl="5">
      <w:start w:val="0"/>
      <w:numFmt w:val="bullet"/>
      <w:lvlText w:val="•"/>
      <w:lvlJc w:val="left"/>
      <w:pPr>
        <w:ind w:left="2125" w:hanging="932"/>
      </w:pPr>
      <w:rPr>
        <w:rFonts w:hint="default"/>
      </w:rPr>
    </w:lvl>
    <w:lvl w:ilvl="6">
      <w:start w:val="0"/>
      <w:numFmt w:val="bullet"/>
      <w:lvlText w:val="•"/>
      <w:lvlJc w:val="left"/>
      <w:pPr>
        <w:ind w:left="2318" w:hanging="932"/>
      </w:pPr>
      <w:rPr>
        <w:rFonts w:hint="default"/>
      </w:rPr>
    </w:lvl>
    <w:lvl w:ilvl="7">
      <w:start w:val="0"/>
      <w:numFmt w:val="bullet"/>
      <w:lvlText w:val="•"/>
      <w:lvlJc w:val="left"/>
      <w:pPr>
        <w:ind w:left="2511" w:hanging="932"/>
      </w:pPr>
      <w:rPr>
        <w:rFonts w:hint="default"/>
      </w:rPr>
    </w:lvl>
    <w:lvl w:ilvl="8">
      <w:start w:val="0"/>
      <w:numFmt w:val="bullet"/>
      <w:lvlText w:val="•"/>
      <w:lvlJc w:val="left"/>
      <w:pPr>
        <w:ind w:left="2704" w:hanging="932"/>
      </w:pPr>
      <w:rPr>
        <w:rFonts w:hint="default"/>
      </w:rPr>
    </w:lvl>
  </w:abstractNum>
  <w:abstractNum w:abstractNumId="2">
    <w:multiLevelType w:val="hybridMultilevel"/>
    <w:lvl w:ilvl="0">
      <w:start w:val="1"/>
      <w:numFmt w:val="decimal"/>
      <w:lvlText w:val="%1"/>
      <w:lvlJc w:val="left"/>
      <w:pPr>
        <w:ind w:left="1152" w:hanging="932"/>
        <w:jc w:val="left"/>
      </w:pPr>
      <w:rPr>
        <w:rFonts w:hint="default"/>
      </w:rPr>
    </w:lvl>
    <w:lvl w:ilvl="1">
      <w:start w:val="1"/>
      <w:numFmt w:val="decimal"/>
      <w:lvlText w:val="%1.%2"/>
      <w:lvlJc w:val="left"/>
      <w:pPr>
        <w:ind w:left="1152" w:hanging="932"/>
        <w:jc w:val="left"/>
      </w:pPr>
      <w:rPr>
        <w:rFonts w:hint="default" w:ascii="宋体" w:hAnsi="宋体" w:eastAsia="宋体" w:cs="宋体"/>
        <w:b/>
        <w:bCs/>
        <w:w w:val="99"/>
        <w:sz w:val="21"/>
        <w:szCs w:val="21"/>
      </w:rPr>
    </w:lvl>
    <w:lvl w:ilvl="2">
      <w:start w:val="0"/>
      <w:numFmt w:val="bullet"/>
      <w:lvlText w:val="•"/>
      <w:lvlJc w:val="left"/>
      <w:pPr>
        <w:ind w:left="2985" w:hanging="932"/>
      </w:pPr>
      <w:rPr>
        <w:rFonts w:hint="default"/>
      </w:rPr>
    </w:lvl>
    <w:lvl w:ilvl="3">
      <w:start w:val="0"/>
      <w:numFmt w:val="bullet"/>
      <w:lvlText w:val="•"/>
      <w:lvlJc w:val="left"/>
      <w:pPr>
        <w:ind w:left="3897" w:hanging="932"/>
      </w:pPr>
      <w:rPr>
        <w:rFonts w:hint="default"/>
      </w:rPr>
    </w:lvl>
    <w:lvl w:ilvl="4">
      <w:start w:val="0"/>
      <w:numFmt w:val="bullet"/>
      <w:lvlText w:val="•"/>
      <w:lvlJc w:val="left"/>
      <w:pPr>
        <w:ind w:left="4810" w:hanging="932"/>
      </w:pPr>
      <w:rPr>
        <w:rFonts w:hint="default"/>
      </w:rPr>
    </w:lvl>
    <w:lvl w:ilvl="5">
      <w:start w:val="0"/>
      <w:numFmt w:val="bullet"/>
      <w:lvlText w:val="•"/>
      <w:lvlJc w:val="left"/>
      <w:pPr>
        <w:ind w:left="5723" w:hanging="932"/>
      </w:pPr>
      <w:rPr>
        <w:rFonts w:hint="default"/>
      </w:rPr>
    </w:lvl>
    <w:lvl w:ilvl="6">
      <w:start w:val="0"/>
      <w:numFmt w:val="bullet"/>
      <w:lvlText w:val="•"/>
      <w:lvlJc w:val="left"/>
      <w:pPr>
        <w:ind w:left="6635" w:hanging="932"/>
      </w:pPr>
      <w:rPr>
        <w:rFonts w:hint="default"/>
      </w:rPr>
    </w:lvl>
    <w:lvl w:ilvl="7">
      <w:start w:val="0"/>
      <w:numFmt w:val="bullet"/>
      <w:lvlText w:val="•"/>
      <w:lvlJc w:val="left"/>
      <w:pPr>
        <w:ind w:left="7548" w:hanging="932"/>
      </w:pPr>
      <w:rPr>
        <w:rFonts w:hint="default"/>
      </w:rPr>
    </w:lvl>
    <w:lvl w:ilvl="8">
      <w:start w:val="0"/>
      <w:numFmt w:val="bullet"/>
      <w:lvlText w:val="•"/>
      <w:lvlJc w:val="left"/>
      <w:pPr>
        <w:ind w:left="8461" w:hanging="932"/>
      </w:pPr>
      <w:rPr>
        <w:rFonts w:hint="default"/>
      </w:rPr>
    </w:lvl>
  </w:abstractNum>
  <w:abstractNum w:abstractNumId="1">
    <w:multiLevelType w:val="hybridMultilevel"/>
    <w:lvl w:ilvl="0">
      <w:start w:val="3"/>
      <w:numFmt w:val="decimal"/>
      <w:lvlText w:val="%1"/>
      <w:lvlJc w:val="left"/>
      <w:pPr>
        <w:ind w:left="680" w:hanging="420"/>
        <w:jc w:val="left"/>
      </w:pPr>
      <w:rPr>
        <w:rFonts w:hint="default"/>
      </w:rPr>
    </w:lvl>
    <w:lvl w:ilvl="1">
      <w:start w:val="2"/>
      <w:numFmt w:val="decimal"/>
      <w:lvlText w:val="%1.%2"/>
      <w:lvlJc w:val="left"/>
      <w:pPr>
        <w:ind w:left="680" w:hanging="420"/>
        <w:jc w:val="left"/>
      </w:pPr>
      <w:rPr>
        <w:rFonts w:hint="default" w:ascii="宋体" w:hAnsi="宋体" w:eastAsia="宋体" w:cs="宋体"/>
        <w:spacing w:val="-1"/>
        <w:w w:val="100"/>
        <w:sz w:val="21"/>
        <w:szCs w:val="21"/>
      </w:rPr>
    </w:lvl>
    <w:lvl w:ilvl="2">
      <w:start w:val="0"/>
      <w:numFmt w:val="bullet"/>
      <w:lvlText w:val="•"/>
      <w:lvlJc w:val="left"/>
      <w:pPr>
        <w:ind w:left="1035" w:hanging="420"/>
      </w:pPr>
      <w:rPr>
        <w:rFonts w:hint="default"/>
      </w:rPr>
    </w:lvl>
    <w:lvl w:ilvl="3">
      <w:start w:val="0"/>
      <w:numFmt w:val="bullet"/>
      <w:lvlText w:val="•"/>
      <w:lvlJc w:val="left"/>
      <w:pPr>
        <w:ind w:left="1213" w:hanging="420"/>
      </w:pPr>
      <w:rPr>
        <w:rFonts w:hint="default"/>
      </w:rPr>
    </w:lvl>
    <w:lvl w:ilvl="4">
      <w:start w:val="0"/>
      <w:numFmt w:val="bullet"/>
      <w:lvlText w:val="•"/>
      <w:lvlJc w:val="left"/>
      <w:pPr>
        <w:ind w:left="1391" w:hanging="420"/>
      </w:pPr>
      <w:rPr>
        <w:rFonts w:hint="default"/>
      </w:rPr>
    </w:lvl>
    <w:lvl w:ilvl="5">
      <w:start w:val="0"/>
      <w:numFmt w:val="bullet"/>
      <w:lvlText w:val="•"/>
      <w:lvlJc w:val="left"/>
      <w:pPr>
        <w:ind w:left="1569" w:hanging="420"/>
      </w:pPr>
      <w:rPr>
        <w:rFonts w:hint="default"/>
      </w:rPr>
    </w:lvl>
    <w:lvl w:ilvl="6">
      <w:start w:val="0"/>
      <w:numFmt w:val="bullet"/>
      <w:lvlText w:val="•"/>
      <w:lvlJc w:val="left"/>
      <w:pPr>
        <w:ind w:left="1746" w:hanging="420"/>
      </w:pPr>
      <w:rPr>
        <w:rFonts w:hint="default"/>
      </w:rPr>
    </w:lvl>
    <w:lvl w:ilvl="7">
      <w:start w:val="0"/>
      <w:numFmt w:val="bullet"/>
      <w:lvlText w:val="•"/>
      <w:lvlJc w:val="left"/>
      <w:pPr>
        <w:ind w:left="1924" w:hanging="420"/>
      </w:pPr>
      <w:rPr>
        <w:rFonts w:hint="default"/>
      </w:rPr>
    </w:lvl>
    <w:lvl w:ilvl="8">
      <w:start w:val="0"/>
      <w:numFmt w:val="bullet"/>
      <w:lvlText w:val="•"/>
      <w:lvlJc w:val="left"/>
      <w:pPr>
        <w:ind w:left="2102"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76" w:hanging="420"/>
      </w:pPr>
      <w:rPr>
        <w:rFonts w:hint="default"/>
      </w:rPr>
    </w:lvl>
    <w:lvl w:ilvl="2">
      <w:start w:val="0"/>
      <w:numFmt w:val="bullet"/>
      <w:lvlText w:val="•"/>
      <w:lvlJc w:val="left"/>
      <w:pPr>
        <w:ind w:left="3153" w:hanging="420"/>
      </w:pPr>
      <w:rPr>
        <w:rFonts w:hint="default"/>
      </w:rPr>
    </w:lvl>
    <w:lvl w:ilvl="3">
      <w:start w:val="0"/>
      <w:numFmt w:val="bullet"/>
      <w:lvlText w:val="•"/>
      <w:lvlJc w:val="left"/>
      <w:pPr>
        <w:ind w:left="4129" w:hanging="420"/>
      </w:pPr>
      <w:rPr>
        <w:rFonts w:hint="default"/>
      </w:rPr>
    </w:lvl>
    <w:lvl w:ilvl="4">
      <w:start w:val="0"/>
      <w:numFmt w:val="bullet"/>
      <w:lvlText w:val="•"/>
      <w:lvlJc w:val="left"/>
      <w:pPr>
        <w:ind w:left="5106" w:hanging="420"/>
      </w:pPr>
      <w:rPr>
        <w:rFonts w:hint="default"/>
      </w:rPr>
    </w:lvl>
    <w:lvl w:ilvl="5">
      <w:start w:val="0"/>
      <w:numFmt w:val="bullet"/>
      <w:lvlText w:val="•"/>
      <w:lvlJc w:val="left"/>
      <w:pPr>
        <w:ind w:left="6083" w:hanging="420"/>
      </w:pPr>
      <w:rPr>
        <w:rFonts w:hint="default"/>
      </w:rPr>
    </w:lvl>
    <w:lvl w:ilvl="6">
      <w:start w:val="0"/>
      <w:numFmt w:val="bullet"/>
      <w:lvlText w:val="•"/>
      <w:lvlJc w:val="left"/>
      <w:pPr>
        <w:ind w:left="7059" w:hanging="420"/>
      </w:pPr>
      <w:rPr>
        <w:rFonts w:hint="default"/>
      </w:rPr>
    </w:lvl>
    <w:lvl w:ilvl="7">
      <w:start w:val="0"/>
      <w:numFmt w:val="bullet"/>
      <w:lvlText w:val="•"/>
      <w:lvlJc w:val="left"/>
      <w:pPr>
        <w:ind w:left="8036" w:hanging="420"/>
      </w:pPr>
      <w:rPr>
        <w:rFonts w:hint="default"/>
      </w:rPr>
    </w:lvl>
    <w:lvl w:ilvl="8">
      <w:start w:val="0"/>
      <w:numFmt w:val="bullet"/>
      <w:lvlText w:val="•"/>
      <w:lvlJc w:val="left"/>
      <w:pPr>
        <w:ind w:left="901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ind w:left="194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272"/>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1152"/>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102"/>
      <w:ind w:left="1152" w:hanging="931"/>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2018-10-20T03:12:12Z</dcterms:created>
  <dcterms:modified xsi:type="dcterms:W3CDTF">2018-10-20T03:12:12Z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Creator">
    <vt:lpwstr>Acrobat PDFMaker 11 Word 版</vt:lpwstr>
  </property>
  <property fmtid="{D5CDD505-2E9C-101B-9397-08002B2CF9AE}" pid="4" name="LastSaved">
    <vt:filetime>2018-10-19T00:00:00Z</vt:filetime>
  </property>
</Properties>
</file>