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245029</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泰康人寿[2010]疾病保险 015 号</w:t>
      </w:r>
    </w:p>
    <w:p>
      <w:pPr>
        <w:pStyle w:val="BodyText"/>
        <w:ind w:left="0"/>
        <w:rPr>
          <w:sz w:val="20"/>
        </w:rPr>
      </w:pPr>
    </w:p>
    <w:p>
      <w:pPr>
        <w:pStyle w:val="BodyText"/>
        <w:ind w:left="0"/>
        <w:rPr>
          <w:sz w:val="19"/>
        </w:rPr>
      </w:pPr>
    </w:p>
    <w:p>
      <w:pPr>
        <w:spacing w:after="0"/>
        <w:rPr>
          <w:sz w:val="19"/>
        </w:rPr>
        <w:sectPr>
          <w:type w:val="continuous"/>
          <w:pgSz w:w="11900" w:h="16840"/>
          <w:pgMar w:top="700" w:bottom="280" w:left="780" w:right="380"/>
        </w:sectPr>
      </w:pPr>
    </w:p>
    <w:p>
      <w:pPr>
        <w:pStyle w:val="Heading1"/>
        <w:spacing w:line="506" w:lineRule="exact"/>
        <w:ind w:left="2047"/>
        <w:jc w:val="center"/>
      </w:pPr>
      <w:r>
        <w:rPr/>
        <w:t>泰康 e 顺少儿重大疾病保险条款</w:t>
      </w:r>
    </w:p>
    <w:p>
      <w:pPr>
        <w:spacing w:before="92"/>
        <w:ind w:left="2042" w:right="0" w:firstLine="0"/>
        <w:jc w:val="center"/>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110"/>
        <w:ind w:left="2042"/>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为</w:t>
      </w:r>
      <w:r>
        <w:rPr>
          <w:spacing w:val="-63"/>
          <w:w w:val="100"/>
          <w:position w:val="-7"/>
        </w:rPr>
        <w:t>．</w:t>
      </w:r>
      <w:r>
        <w:rPr>
          <w:spacing w:val="-154"/>
          <w:w w:val="100"/>
        </w:rPr>
        <w:t>准</w:t>
      </w:r>
      <w:r>
        <w:rPr>
          <w:spacing w:val="-63"/>
          <w:w w:val="100"/>
          <w:position w:val="-7"/>
        </w:rPr>
        <w:t>．</w:t>
      </w:r>
      <w:r>
        <w:rPr>
          <w:w w:val="100"/>
        </w:rPr>
        <w:t>。</w:t>
      </w:r>
    </w:p>
    <w:p>
      <w:pPr>
        <w:pStyle w:val="BodyText"/>
        <w:spacing w:before="3"/>
        <w:ind w:left="0"/>
        <w:rPr>
          <w:sz w:val="30"/>
        </w:rPr>
      </w:pPr>
    </w:p>
    <w:p>
      <w:pPr>
        <w:pStyle w:val="Heading4"/>
        <w:tabs>
          <w:tab w:pos="1250" w:val="left" w:leader="none"/>
        </w:tabs>
        <w:ind w:left="242"/>
      </w:pPr>
      <w:r>
        <w:rPr/>
        <w:drawing>
          <wp:anchor distT="0" distB="0" distL="0" distR="0" allowOverlap="1" layoutInCell="1" locked="0" behindDoc="1" simplePos="0" relativeHeight="268412711">
            <wp:simplePos x="0" y="0"/>
            <wp:positionH relativeFrom="page">
              <wp:posOffset>560830</wp:posOffset>
            </wp:positionH>
            <wp:positionV relativeFrom="paragraph">
              <wp:posOffset>-31652</wp:posOffset>
            </wp:positionV>
            <wp:extent cx="6519673" cy="75925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19673" cy="7592568"/>
                    </a:xfrm>
                    <a:prstGeom prst="rect">
                      <a:avLst/>
                    </a:prstGeom>
                  </pic:spPr>
                </pic:pic>
              </a:graphicData>
            </a:graphic>
          </wp:anchor>
        </w:drawing>
      </w:r>
      <w:r>
        <w:rPr>
          <w:rFonts w:ascii="Arial" w:hAnsi="Arial" w:eastAsia="Arial"/>
          <w:w w:val="105"/>
          <w:position w:val="-11"/>
          <w:sz w:val="52"/>
        </w:rPr>
        <w:t></w:t>
        <w:tab/>
      </w:r>
      <w:r>
        <w:rPr/>
        <w:t>您拥有的重要权益</w:t>
      </w:r>
    </w:p>
    <w:p>
      <w:pPr>
        <w:pStyle w:val="BodyText"/>
        <w:ind w:left="0"/>
        <w:rPr>
          <w:rFonts w:ascii="Microsoft JhengHei"/>
          <w:b/>
          <w:sz w:val="20"/>
        </w:rPr>
      </w:pPr>
      <w:r>
        <w:rPr/>
        <w:br w:type="column"/>
      </w:r>
      <w:r>
        <w:rPr>
          <w:rFonts w:ascii="Microsoft JhengHei"/>
          <w:b/>
          <w:sz w:val="20"/>
        </w:rPr>
      </w:r>
    </w:p>
    <w:p>
      <w:pPr>
        <w:pStyle w:val="BodyText"/>
        <w:spacing w:before="2"/>
        <w:ind w:left="0"/>
        <w:rPr>
          <w:rFonts w:ascii="Microsoft JhengHei"/>
          <w:b/>
          <w:sz w:val="26"/>
        </w:rPr>
      </w:pPr>
    </w:p>
    <w:p>
      <w:pPr>
        <w:pStyle w:val="BodyText"/>
        <w:ind w:left="-36"/>
      </w:pPr>
      <w:r>
        <w:rPr/>
        <w:t>请扫描以查询验证条款</w:t>
      </w:r>
    </w:p>
    <w:p>
      <w:pPr>
        <w:spacing w:after="0"/>
        <w:sectPr>
          <w:type w:val="continuous"/>
          <w:pgSz w:w="11900" w:h="16840"/>
          <w:pgMar w:top="700" w:bottom="280" w:left="780" w:right="380"/>
          <w:cols w:num="2" w:equalWidth="0">
            <w:col w:w="8134" w:space="40"/>
            <w:col w:w="2566"/>
          </w:cols>
        </w:sectPr>
      </w:pPr>
    </w:p>
    <w:p>
      <w:pPr>
        <w:pStyle w:val="ListParagraph"/>
        <w:numPr>
          <w:ilvl w:val="0"/>
          <w:numId w:val="1"/>
        </w:numPr>
        <w:tabs>
          <w:tab w:pos="1634" w:val="left" w:leader="none"/>
          <w:tab w:pos="1635" w:val="left" w:leader="none"/>
          <w:tab w:pos="9933" w:val="right" w:leader="dot"/>
        </w:tabs>
        <w:spacing w:line="240" w:lineRule="auto" w:before="23" w:after="0"/>
        <w:ind w:left="1634" w:right="0" w:hanging="418"/>
        <w:jc w:val="left"/>
        <w:rPr>
          <w:sz w:val="21"/>
        </w:rPr>
      </w:pPr>
      <w:r>
        <w:rPr>
          <w:sz w:val="21"/>
        </w:rPr>
        <w:t>本合同提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2.3</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您有退保</w:t>
      </w:r>
      <w:r>
        <w:rPr>
          <w:spacing w:val="-5"/>
          <w:sz w:val="21"/>
        </w:rPr>
        <w:t>的</w:t>
      </w:r>
      <w:r>
        <w:rPr>
          <w:sz w:val="21"/>
        </w:rPr>
        <w:t>权利</w:t>
        <w:tab/>
        <w:t>5.1</w:t>
      </w:r>
    </w:p>
    <w:p>
      <w:pPr>
        <w:pStyle w:val="Heading4"/>
        <w:tabs>
          <w:tab w:pos="1250" w:val="left" w:leader="none"/>
        </w:tabs>
        <w:spacing w:before="24"/>
        <w:ind w:left="242"/>
      </w:pPr>
      <w:r>
        <w:rPr>
          <w:rFonts w:ascii="Arial" w:hAnsi="Arial" w:eastAsia="Arial"/>
          <w:w w:val="105"/>
          <w:position w:val="-11"/>
          <w:sz w:val="52"/>
        </w:rPr>
        <w:t></w:t>
        <w:tab/>
      </w:r>
      <w:r>
        <w:rPr/>
        <w:t>您应当特别注意的事项</w:t>
      </w:r>
    </w:p>
    <w:p>
      <w:pPr>
        <w:pStyle w:val="ListParagraph"/>
        <w:numPr>
          <w:ilvl w:val="0"/>
          <w:numId w:val="1"/>
        </w:numPr>
        <w:tabs>
          <w:tab w:pos="1634" w:val="left" w:leader="none"/>
          <w:tab w:pos="1635" w:val="left" w:leader="none"/>
          <w:tab w:pos="9933" w:val="right" w:leader="dot"/>
        </w:tabs>
        <w:spacing w:line="240" w:lineRule="auto" w:before="23" w:after="0"/>
        <w:ind w:left="1634" w:right="0" w:hanging="418"/>
        <w:jc w:val="left"/>
        <w:rPr>
          <w:sz w:val="21"/>
        </w:rPr>
      </w:pPr>
      <w:r>
        <w:rPr>
          <w:sz w:val="21"/>
        </w:rPr>
        <w:t>本合同的</w:t>
      </w:r>
      <w:r>
        <w:rPr>
          <w:spacing w:val="-5"/>
          <w:sz w:val="21"/>
        </w:rPr>
        <w:t>保</w:t>
      </w:r>
      <w:r>
        <w:rPr>
          <w:sz w:val="21"/>
        </w:rPr>
        <w:t>险期间</w:t>
      </w:r>
      <w:r>
        <w:rPr>
          <w:spacing w:val="-5"/>
          <w:sz w:val="21"/>
        </w:rPr>
        <w:t>为</w:t>
      </w:r>
      <w:r>
        <w:rPr>
          <w:sz w:val="21"/>
        </w:rPr>
        <w:t>一年</w:t>
        <w:tab/>
        <w:t>2.2</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保险事故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634" w:val="left" w:leader="none"/>
          <w:tab w:pos="1635" w:val="left" w:leader="none"/>
          <w:tab w:pos="9933" w:val="right" w:leader="dot"/>
        </w:tabs>
        <w:spacing w:line="240" w:lineRule="auto" w:before="22" w:after="0"/>
        <w:ind w:left="1634" w:right="0" w:hanging="418"/>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5.1</w:t>
      </w:r>
    </w:p>
    <w:p>
      <w:pPr>
        <w:pStyle w:val="ListParagraph"/>
        <w:numPr>
          <w:ilvl w:val="0"/>
          <w:numId w:val="1"/>
        </w:numPr>
        <w:tabs>
          <w:tab w:pos="1634" w:val="left" w:leader="none"/>
          <w:tab w:pos="1635" w:val="left" w:leader="none"/>
          <w:tab w:pos="9722" w:val="right" w:leader="dot"/>
        </w:tabs>
        <w:spacing w:line="240" w:lineRule="auto" w:before="22" w:after="0"/>
        <w:ind w:left="1634" w:right="0" w:hanging="418"/>
        <w:jc w:val="left"/>
        <w:rPr>
          <w:sz w:val="21"/>
        </w:rPr>
      </w:pPr>
      <w:r>
        <w:rPr>
          <w:sz w:val="21"/>
        </w:rPr>
        <w:t>本合同对</w:t>
      </w:r>
      <w:r>
        <w:rPr>
          <w:spacing w:val="-5"/>
          <w:sz w:val="21"/>
        </w:rPr>
        <w:t>重</w:t>
      </w:r>
      <w:r>
        <w:rPr>
          <w:sz w:val="21"/>
        </w:rPr>
        <w:t>大疾病</w:t>
      </w:r>
      <w:r>
        <w:rPr>
          <w:spacing w:val="-5"/>
          <w:sz w:val="21"/>
        </w:rPr>
        <w:t>进</w:t>
      </w:r>
      <w:r>
        <w:rPr>
          <w:sz w:val="21"/>
        </w:rPr>
        <w:t>行了明</w:t>
      </w:r>
      <w:r>
        <w:rPr>
          <w:spacing w:val="-5"/>
          <w:sz w:val="21"/>
        </w:rPr>
        <w:t>确</w:t>
      </w:r>
      <w:r>
        <w:rPr>
          <w:sz w:val="21"/>
        </w:rPr>
        <w:t>定义，</w:t>
      </w:r>
      <w:r>
        <w:rPr>
          <w:spacing w:val="-5"/>
          <w:sz w:val="21"/>
        </w:rPr>
        <w:t>请</w:t>
      </w:r>
      <w:r>
        <w:rPr>
          <w:sz w:val="21"/>
        </w:rPr>
        <w:t>您仔细</w:t>
      </w:r>
      <w:r>
        <w:rPr>
          <w:spacing w:val="-5"/>
          <w:sz w:val="21"/>
        </w:rPr>
        <w:t>阅</w:t>
      </w:r>
      <w:r>
        <w:rPr>
          <w:sz w:val="21"/>
        </w:rPr>
        <w:t>读</w:t>
        <w:tab/>
        <w:t>7</w:t>
      </w:r>
    </w:p>
    <w:p>
      <w:pPr>
        <w:pStyle w:val="ListParagraph"/>
        <w:numPr>
          <w:ilvl w:val="0"/>
          <w:numId w:val="1"/>
        </w:numPr>
        <w:tabs>
          <w:tab w:pos="1634" w:val="left" w:leader="none"/>
          <w:tab w:pos="1635" w:val="left" w:leader="none"/>
          <w:tab w:pos="9722" w:val="right" w:leader="dot"/>
        </w:tabs>
        <w:spacing w:line="240" w:lineRule="auto" w:before="22" w:after="0"/>
        <w:ind w:left="1634" w:right="0" w:hanging="418"/>
        <w:jc w:val="left"/>
        <w:rPr>
          <w:sz w:val="21"/>
        </w:rPr>
      </w:pPr>
      <w:r>
        <w:rPr>
          <w:sz w:val="21"/>
        </w:rPr>
        <w:t>我们对一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w:t>
      </w:r>
      <w:r>
        <w:rPr>
          <w:sz w:val="21"/>
        </w:rPr>
        <w:t>了显著</w:t>
      </w:r>
      <w:r>
        <w:rPr>
          <w:spacing w:val="-5"/>
          <w:sz w:val="21"/>
        </w:rPr>
        <w:t>标</w:t>
      </w:r>
      <w:r>
        <w:rPr>
          <w:sz w:val="21"/>
        </w:rPr>
        <w:t>识</w:t>
      </w:r>
      <w:r>
        <w:rPr>
          <w:spacing w:val="-5"/>
          <w:sz w:val="21"/>
        </w:rPr>
        <w:t>，</w:t>
      </w:r>
      <w:r>
        <w:rPr>
          <w:sz w:val="21"/>
        </w:rPr>
        <w:t>请您注意</w:t>
        <w:tab/>
        <w:t>8</w:t>
      </w:r>
    </w:p>
    <w:p>
      <w:pPr>
        <w:pStyle w:val="Heading4"/>
        <w:tabs>
          <w:tab w:pos="1250" w:val="left" w:leader="none"/>
        </w:tabs>
        <w:spacing w:before="24"/>
        <w:ind w:left="242"/>
      </w:pPr>
      <w:r>
        <w:rPr>
          <w:rFonts w:ascii="Arial" w:hAnsi="Arial" w:eastAsia="Arial"/>
          <w:w w:val="105"/>
          <w:position w:val="-11"/>
          <w:sz w:val="52"/>
        </w:rPr>
        <w:t></w:t>
        <w:tab/>
      </w:r>
      <w:r>
        <w:rPr>
          <w:spacing w:val="-1"/>
        </w:rPr>
        <w:t>条款是保险合同的重要内容，为充分保障您的权益，请您仔细阅读本条款。</w:t>
      </w:r>
    </w:p>
    <w:p>
      <w:pPr>
        <w:spacing w:before="25"/>
        <w:ind w:left="242"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9.019997pt;margin-top:10.562683pt;width:444.95pt;height:25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3442"/>
                    <w:gridCol w:w="752"/>
                    <w:gridCol w:w="2206"/>
                  </w:tblGrid>
                  <w:tr>
                    <w:trPr>
                      <w:trHeight w:val="343" w:hRule="atLeast"/>
                    </w:trPr>
                    <w:tc>
                      <w:tcPr>
                        <w:tcW w:w="250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条款目录</w:t>
                        </w:r>
                      </w:p>
                    </w:tc>
                    <w:tc>
                      <w:tcPr>
                        <w:tcW w:w="6400" w:type="dxa"/>
                        <w:gridSpan w:val="3"/>
                      </w:tcPr>
                      <w:p>
                        <w:pPr>
                          <w:pStyle w:val="TableParagraph"/>
                          <w:rPr>
                            <w:rFonts w:ascii="Times New Roman"/>
                            <w:sz w:val="20"/>
                          </w:rPr>
                        </w:pPr>
                      </w:p>
                    </w:tc>
                  </w:tr>
                  <w:tr>
                    <w:trPr>
                      <w:trHeight w:val="372" w:hRule="atLeast"/>
                    </w:trPr>
                    <w:tc>
                      <w:tcPr>
                        <w:tcW w:w="2500" w:type="dxa"/>
                      </w:tcPr>
                      <w:p>
                        <w:pPr>
                          <w:pStyle w:val="TableParagraph"/>
                          <w:spacing w:line="351" w:lineRule="exact" w:before="1"/>
                          <w:ind w:left="64"/>
                          <w:rPr>
                            <w:rFonts w:ascii="Microsoft JhengHei" w:eastAsia="Microsoft JhengHei" w:hint="eastAsia"/>
                            <w:b/>
                            <w:sz w:val="21"/>
                          </w:rPr>
                        </w:pPr>
                        <w:r>
                          <w:rPr>
                            <w:rFonts w:ascii="Microsoft JhengHei" w:eastAsia="Microsoft JhengHei" w:hint="eastAsia"/>
                            <w:b/>
                            <w:sz w:val="21"/>
                          </w:rPr>
                          <w:t>1.您与我们订立的合同</w:t>
                        </w:r>
                      </w:p>
                    </w:tc>
                    <w:tc>
                      <w:tcPr>
                        <w:tcW w:w="3442" w:type="dxa"/>
                      </w:tcPr>
                      <w:p>
                        <w:pPr>
                          <w:pStyle w:val="TableParagraph"/>
                          <w:spacing w:before="68"/>
                          <w:ind w:left="430"/>
                          <w:rPr>
                            <w:sz w:val="21"/>
                          </w:rPr>
                        </w:pPr>
                        <w:r>
                          <w:rPr>
                            <w:sz w:val="21"/>
                          </w:rPr>
                          <w:t>4.1 保险费的交纳</w:t>
                        </w:r>
                      </w:p>
                    </w:tc>
                    <w:tc>
                      <w:tcPr>
                        <w:tcW w:w="752" w:type="dxa"/>
                      </w:tcPr>
                      <w:p>
                        <w:pPr>
                          <w:pStyle w:val="TableParagraph"/>
                          <w:spacing w:before="68"/>
                          <w:ind w:left="276"/>
                          <w:rPr>
                            <w:sz w:val="21"/>
                          </w:rPr>
                        </w:pPr>
                        <w:r>
                          <w:rPr>
                            <w:sz w:val="21"/>
                          </w:rPr>
                          <w:t>8.5</w:t>
                        </w:r>
                      </w:p>
                    </w:tc>
                    <w:tc>
                      <w:tcPr>
                        <w:tcW w:w="2206" w:type="dxa"/>
                      </w:tcPr>
                      <w:p>
                        <w:pPr>
                          <w:pStyle w:val="TableParagraph"/>
                          <w:spacing w:before="68"/>
                          <w:ind w:left="51"/>
                          <w:rPr>
                            <w:sz w:val="21"/>
                          </w:rPr>
                        </w:pPr>
                        <w:r>
                          <w:rPr>
                            <w:sz w:val="21"/>
                          </w:rPr>
                          <w:t>毒品</w:t>
                        </w:r>
                      </w:p>
                    </w:tc>
                  </w:tr>
                  <w:tr>
                    <w:trPr>
                      <w:trHeight w:val="271" w:hRule="atLeast"/>
                    </w:trPr>
                    <w:tc>
                      <w:tcPr>
                        <w:tcW w:w="2500" w:type="dxa"/>
                      </w:tcPr>
                      <w:p>
                        <w:pPr>
                          <w:pStyle w:val="TableParagraph"/>
                          <w:spacing w:line="240" w:lineRule="exact"/>
                          <w:ind w:left="170"/>
                          <w:rPr>
                            <w:sz w:val="21"/>
                          </w:rPr>
                        </w:pPr>
                        <w:r>
                          <w:rPr>
                            <w:sz w:val="21"/>
                          </w:rPr>
                          <w:t>1.1 合同构成</w:t>
                        </w:r>
                      </w:p>
                    </w:tc>
                    <w:tc>
                      <w:tcPr>
                        <w:tcW w:w="3442" w:type="dxa"/>
                      </w:tcPr>
                      <w:p>
                        <w:pPr>
                          <w:pStyle w:val="TableParagraph"/>
                          <w:spacing w:line="240" w:lineRule="exact"/>
                          <w:ind w:left="430"/>
                          <w:rPr>
                            <w:sz w:val="21"/>
                          </w:rPr>
                        </w:pPr>
                        <w:r>
                          <w:rPr>
                            <w:sz w:val="21"/>
                          </w:rPr>
                          <w:t>4.2 续保</w:t>
                        </w:r>
                      </w:p>
                    </w:tc>
                    <w:tc>
                      <w:tcPr>
                        <w:tcW w:w="752" w:type="dxa"/>
                      </w:tcPr>
                      <w:p>
                        <w:pPr>
                          <w:pStyle w:val="TableParagraph"/>
                          <w:spacing w:line="240" w:lineRule="exact"/>
                          <w:ind w:left="276"/>
                          <w:rPr>
                            <w:sz w:val="21"/>
                          </w:rPr>
                        </w:pPr>
                        <w:r>
                          <w:rPr>
                            <w:sz w:val="21"/>
                          </w:rPr>
                          <w:t>8.6</w:t>
                        </w:r>
                      </w:p>
                    </w:tc>
                    <w:tc>
                      <w:tcPr>
                        <w:tcW w:w="2206" w:type="dxa"/>
                      </w:tcPr>
                      <w:p>
                        <w:pPr>
                          <w:pStyle w:val="TableParagraph"/>
                          <w:spacing w:line="240" w:lineRule="exact"/>
                          <w:ind w:left="51"/>
                          <w:rPr>
                            <w:sz w:val="21"/>
                          </w:rPr>
                        </w:pPr>
                        <w:r>
                          <w:rPr>
                            <w:sz w:val="21"/>
                          </w:rPr>
                          <w:t>酒后驾驶</w:t>
                        </w:r>
                      </w:p>
                    </w:tc>
                  </w:tr>
                  <w:tr>
                    <w:trPr>
                      <w:trHeight w:val="273" w:hRule="atLeast"/>
                    </w:trPr>
                    <w:tc>
                      <w:tcPr>
                        <w:tcW w:w="2500" w:type="dxa"/>
                      </w:tcPr>
                      <w:p>
                        <w:pPr>
                          <w:pStyle w:val="TableParagraph"/>
                          <w:spacing w:line="242" w:lineRule="exact"/>
                          <w:ind w:left="170"/>
                          <w:rPr>
                            <w:sz w:val="21"/>
                          </w:rPr>
                        </w:pPr>
                        <w:r>
                          <w:rPr>
                            <w:sz w:val="21"/>
                          </w:rPr>
                          <w:t>1.2 合同成立及生效</w:t>
                        </w:r>
                      </w:p>
                    </w:tc>
                    <w:tc>
                      <w:tcPr>
                        <w:tcW w:w="3442" w:type="dxa"/>
                      </w:tcPr>
                      <w:p>
                        <w:pPr>
                          <w:pStyle w:val="TableParagraph"/>
                          <w:spacing w:line="254" w:lineRule="exact"/>
                          <w:ind w:left="324"/>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合同解除</w:t>
                        </w:r>
                      </w:p>
                    </w:tc>
                    <w:tc>
                      <w:tcPr>
                        <w:tcW w:w="752" w:type="dxa"/>
                      </w:tcPr>
                      <w:p>
                        <w:pPr>
                          <w:pStyle w:val="TableParagraph"/>
                          <w:spacing w:line="242" w:lineRule="exact"/>
                          <w:ind w:left="276"/>
                          <w:rPr>
                            <w:sz w:val="21"/>
                          </w:rPr>
                        </w:pPr>
                        <w:r>
                          <w:rPr>
                            <w:sz w:val="21"/>
                          </w:rPr>
                          <w:t>8.7</w:t>
                        </w:r>
                      </w:p>
                    </w:tc>
                    <w:tc>
                      <w:tcPr>
                        <w:tcW w:w="2206" w:type="dxa"/>
                      </w:tcPr>
                      <w:p>
                        <w:pPr>
                          <w:pStyle w:val="TableParagraph"/>
                          <w:spacing w:line="242" w:lineRule="exact"/>
                          <w:ind w:left="51"/>
                          <w:rPr>
                            <w:sz w:val="21"/>
                          </w:rPr>
                        </w:pPr>
                        <w:r>
                          <w:rPr>
                            <w:sz w:val="21"/>
                          </w:rPr>
                          <w:t>无合法有效驾驶证驾驶</w:t>
                        </w:r>
                      </w:p>
                    </w:tc>
                  </w:tr>
                  <w:tr>
                    <w:trPr>
                      <w:trHeight w:val="273" w:hRule="atLeast"/>
                    </w:trPr>
                    <w:tc>
                      <w:tcPr>
                        <w:tcW w:w="2500" w:type="dxa"/>
                      </w:tcPr>
                      <w:p>
                        <w:pPr>
                          <w:pStyle w:val="TableParagraph"/>
                          <w:spacing w:line="242" w:lineRule="exact"/>
                          <w:ind w:left="170"/>
                          <w:rPr>
                            <w:sz w:val="21"/>
                          </w:rPr>
                        </w:pPr>
                        <w:r>
                          <w:rPr>
                            <w:sz w:val="21"/>
                          </w:rPr>
                          <w:t>1.3 投保年龄</w:t>
                        </w:r>
                      </w:p>
                    </w:tc>
                    <w:tc>
                      <w:tcPr>
                        <w:tcW w:w="3442" w:type="dxa"/>
                      </w:tcPr>
                      <w:p>
                        <w:pPr>
                          <w:pStyle w:val="TableParagraph"/>
                          <w:spacing w:line="242" w:lineRule="exact"/>
                          <w:ind w:left="430"/>
                          <w:rPr>
                            <w:sz w:val="21"/>
                          </w:rPr>
                        </w:pPr>
                        <w:r>
                          <w:rPr>
                            <w:sz w:val="21"/>
                          </w:rPr>
                          <w:t>5.1 您解除合同的手续及风险</w:t>
                        </w:r>
                      </w:p>
                    </w:tc>
                    <w:tc>
                      <w:tcPr>
                        <w:tcW w:w="752" w:type="dxa"/>
                      </w:tcPr>
                      <w:p>
                        <w:pPr>
                          <w:pStyle w:val="TableParagraph"/>
                          <w:spacing w:line="242" w:lineRule="exact"/>
                          <w:ind w:left="276"/>
                          <w:rPr>
                            <w:sz w:val="21"/>
                          </w:rPr>
                        </w:pPr>
                        <w:r>
                          <w:rPr>
                            <w:sz w:val="21"/>
                          </w:rPr>
                          <w:t>8.8</w:t>
                        </w:r>
                      </w:p>
                    </w:tc>
                    <w:tc>
                      <w:tcPr>
                        <w:tcW w:w="2206" w:type="dxa"/>
                      </w:tcPr>
                      <w:p>
                        <w:pPr>
                          <w:pStyle w:val="TableParagraph"/>
                          <w:spacing w:line="242" w:lineRule="exact"/>
                          <w:ind w:left="51"/>
                          <w:rPr>
                            <w:sz w:val="21"/>
                          </w:rPr>
                        </w:pPr>
                        <w:r>
                          <w:rPr>
                            <w:sz w:val="21"/>
                          </w:rPr>
                          <w:t>无有效行驶证</w:t>
                        </w:r>
                      </w:p>
                    </w:tc>
                  </w:tr>
                  <w:tr>
                    <w:trPr>
                      <w:trHeight w:val="271" w:hRule="atLeast"/>
                    </w:trPr>
                    <w:tc>
                      <w:tcPr>
                        <w:tcW w:w="2500" w:type="dxa"/>
                      </w:tcPr>
                      <w:p>
                        <w:pPr>
                          <w:pStyle w:val="TableParagraph"/>
                          <w:spacing w:line="251" w:lineRule="exact"/>
                          <w:ind w:left="64"/>
                          <w:rPr>
                            <w:rFonts w:ascii="Microsoft JhengHei" w:eastAsia="Microsoft JhengHei" w:hint="eastAsia"/>
                            <w:b/>
                            <w:sz w:val="21"/>
                          </w:rPr>
                        </w:pPr>
                        <w:r>
                          <w:rPr>
                            <w:rFonts w:ascii="Microsoft JhengHei" w:eastAsia="Microsoft JhengHei" w:hint="eastAsia"/>
                            <w:b/>
                            <w:sz w:val="21"/>
                          </w:rPr>
                          <w:t>2.我们提供的保障</w:t>
                        </w:r>
                      </w:p>
                    </w:tc>
                    <w:tc>
                      <w:tcPr>
                        <w:tcW w:w="3442"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其他需要关注的事项</w:t>
                        </w:r>
                      </w:p>
                    </w:tc>
                    <w:tc>
                      <w:tcPr>
                        <w:tcW w:w="752" w:type="dxa"/>
                      </w:tcPr>
                      <w:p>
                        <w:pPr>
                          <w:pStyle w:val="TableParagraph"/>
                          <w:spacing w:line="242" w:lineRule="exact"/>
                          <w:ind w:left="276"/>
                          <w:rPr>
                            <w:sz w:val="21"/>
                          </w:rPr>
                        </w:pPr>
                        <w:r>
                          <w:rPr>
                            <w:sz w:val="21"/>
                          </w:rPr>
                          <w:t>8.9</w:t>
                        </w:r>
                      </w:p>
                    </w:tc>
                    <w:tc>
                      <w:tcPr>
                        <w:tcW w:w="2206" w:type="dxa"/>
                      </w:tcPr>
                      <w:p>
                        <w:pPr>
                          <w:pStyle w:val="TableParagraph"/>
                          <w:spacing w:line="242" w:lineRule="exact"/>
                          <w:ind w:left="51"/>
                          <w:rPr>
                            <w:sz w:val="21"/>
                          </w:rPr>
                        </w:pPr>
                        <w:r>
                          <w:rPr>
                            <w:sz w:val="21"/>
                          </w:rPr>
                          <w:t>机动车</w:t>
                        </w:r>
                      </w:p>
                    </w:tc>
                  </w:tr>
                  <w:tr>
                    <w:trPr>
                      <w:trHeight w:val="271" w:hRule="atLeast"/>
                    </w:trPr>
                    <w:tc>
                      <w:tcPr>
                        <w:tcW w:w="2500" w:type="dxa"/>
                      </w:tcPr>
                      <w:p>
                        <w:pPr>
                          <w:pStyle w:val="TableParagraph"/>
                          <w:spacing w:line="240" w:lineRule="exact"/>
                          <w:ind w:left="170"/>
                          <w:rPr>
                            <w:sz w:val="21"/>
                          </w:rPr>
                        </w:pPr>
                        <w:r>
                          <w:rPr>
                            <w:sz w:val="21"/>
                          </w:rPr>
                          <w:t>2.1 保险金额</w:t>
                        </w:r>
                      </w:p>
                    </w:tc>
                    <w:tc>
                      <w:tcPr>
                        <w:tcW w:w="3442" w:type="dxa"/>
                      </w:tcPr>
                      <w:p>
                        <w:pPr>
                          <w:pStyle w:val="TableParagraph"/>
                          <w:spacing w:line="240" w:lineRule="exact"/>
                          <w:ind w:left="430"/>
                          <w:rPr>
                            <w:sz w:val="21"/>
                          </w:rPr>
                        </w:pPr>
                        <w:r>
                          <w:rPr>
                            <w:sz w:val="21"/>
                          </w:rPr>
                          <w:t>6.1 明确说明与如实告知</w:t>
                        </w:r>
                      </w:p>
                    </w:tc>
                    <w:tc>
                      <w:tcPr>
                        <w:tcW w:w="752" w:type="dxa"/>
                      </w:tcPr>
                      <w:p>
                        <w:pPr>
                          <w:pStyle w:val="TableParagraph"/>
                          <w:spacing w:line="240" w:lineRule="exact"/>
                          <w:ind w:left="276"/>
                          <w:rPr>
                            <w:sz w:val="21"/>
                          </w:rPr>
                        </w:pPr>
                        <w:r>
                          <w:rPr>
                            <w:sz w:val="21"/>
                          </w:rPr>
                          <w:t>8.10</w:t>
                        </w:r>
                      </w:p>
                    </w:tc>
                    <w:tc>
                      <w:tcPr>
                        <w:tcW w:w="2206" w:type="dxa"/>
                      </w:tcPr>
                      <w:p>
                        <w:pPr>
                          <w:pStyle w:val="TableParagraph"/>
                          <w:spacing w:line="240" w:lineRule="exact"/>
                          <w:ind w:left="157"/>
                          <w:rPr>
                            <w:sz w:val="21"/>
                          </w:rPr>
                        </w:pPr>
                        <w:r>
                          <w:rPr>
                            <w:sz w:val="21"/>
                          </w:rPr>
                          <w:t>遗传性疾病</w:t>
                        </w:r>
                      </w:p>
                    </w:tc>
                  </w:tr>
                  <w:tr>
                    <w:trPr>
                      <w:trHeight w:val="273" w:hRule="atLeast"/>
                    </w:trPr>
                    <w:tc>
                      <w:tcPr>
                        <w:tcW w:w="2500" w:type="dxa"/>
                      </w:tcPr>
                      <w:p>
                        <w:pPr>
                          <w:pStyle w:val="TableParagraph"/>
                          <w:spacing w:line="242" w:lineRule="exact"/>
                          <w:ind w:left="170"/>
                          <w:rPr>
                            <w:sz w:val="21"/>
                          </w:rPr>
                        </w:pPr>
                        <w:r>
                          <w:rPr>
                            <w:sz w:val="21"/>
                          </w:rPr>
                          <w:t>2.2 保险期间</w:t>
                        </w:r>
                      </w:p>
                    </w:tc>
                    <w:tc>
                      <w:tcPr>
                        <w:tcW w:w="3442" w:type="dxa"/>
                      </w:tcPr>
                      <w:p>
                        <w:pPr>
                          <w:pStyle w:val="TableParagraph"/>
                          <w:spacing w:line="242" w:lineRule="exact"/>
                          <w:ind w:left="430"/>
                          <w:rPr>
                            <w:sz w:val="21"/>
                          </w:rPr>
                        </w:pPr>
                        <w:r>
                          <w:rPr>
                            <w:sz w:val="21"/>
                          </w:rPr>
                          <w:t>6.2 年龄性别错误</w:t>
                        </w:r>
                      </w:p>
                    </w:tc>
                    <w:tc>
                      <w:tcPr>
                        <w:tcW w:w="752" w:type="dxa"/>
                      </w:tcPr>
                      <w:p>
                        <w:pPr>
                          <w:pStyle w:val="TableParagraph"/>
                          <w:spacing w:line="242" w:lineRule="exact"/>
                          <w:ind w:left="276"/>
                          <w:rPr>
                            <w:sz w:val="21"/>
                          </w:rPr>
                        </w:pPr>
                        <w:r>
                          <w:rPr>
                            <w:sz w:val="21"/>
                          </w:rPr>
                          <w:t>8.11</w:t>
                        </w:r>
                      </w:p>
                    </w:tc>
                    <w:tc>
                      <w:tcPr>
                        <w:tcW w:w="2206" w:type="dxa"/>
                      </w:tcPr>
                      <w:p>
                        <w:pPr>
                          <w:pStyle w:val="TableParagraph"/>
                          <w:spacing w:line="242" w:lineRule="exact"/>
                          <w:ind w:left="51"/>
                          <w:rPr>
                            <w:sz w:val="21"/>
                          </w:rPr>
                        </w:pPr>
                        <w:r>
                          <w:rPr>
                            <w:sz w:val="21"/>
                          </w:rPr>
                          <w:t>先天性畸形、变形或</w:t>
                        </w:r>
                      </w:p>
                    </w:tc>
                  </w:tr>
                  <w:tr>
                    <w:trPr>
                      <w:trHeight w:val="271" w:hRule="atLeast"/>
                    </w:trPr>
                    <w:tc>
                      <w:tcPr>
                        <w:tcW w:w="2500" w:type="dxa"/>
                      </w:tcPr>
                      <w:p>
                        <w:pPr>
                          <w:pStyle w:val="TableParagraph"/>
                          <w:spacing w:line="242" w:lineRule="exact"/>
                          <w:ind w:left="170"/>
                          <w:rPr>
                            <w:sz w:val="21"/>
                          </w:rPr>
                        </w:pPr>
                        <w:r>
                          <w:rPr>
                            <w:sz w:val="21"/>
                          </w:rPr>
                          <w:t>2.3 保险责任</w:t>
                        </w:r>
                      </w:p>
                    </w:tc>
                    <w:tc>
                      <w:tcPr>
                        <w:tcW w:w="3442" w:type="dxa"/>
                      </w:tcPr>
                      <w:p>
                        <w:pPr>
                          <w:pStyle w:val="TableParagraph"/>
                          <w:spacing w:line="242" w:lineRule="exact"/>
                          <w:ind w:left="430"/>
                          <w:rPr>
                            <w:sz w:val="21"/>
                          </w:rPr>
                        </w:pPr>
                        <w:r>
                          <w:rPr>
                            <w:sz w:val="21"/>
                          </w:rPr>
                          <w:t>6.3 合同内容变更</w:t>
                        </w:r>
                      </w:p>
                    </w:tc>
                    <w:tc>
                      <w:tcPr>
                        <w:tcW w:w="752" w:type="dxa"/>
                      </w:tcPr>
                      <w:p>
                        <w:pPr>
                          <w:pStyle w:val="TableParagraph"/>
                          <w:rPr>
                            <w:rFonts w:ascii="Times New Roman"/>
                            <w:sz w:val="20"/>
                          </w:rPr>
                        </w:pPr>
                      </w:p>
                    </w:tc>
                    <w:tc>
                      <w:tcPr>
                        <w:tcW w:w="2206" w:type="dxa"/>
                      </w:tcPr>
                      <w:p>
                        <w:pPr>
                          <w:pStyle w:val="TableParagraph"/>
                          <w:spacing w:line="242" w:lineRule="exact"/>
                          <w:ind w:left="133"/>
                          <w:rPr>
                            <w:sz w:val="21"/>
                          </w:rPr>
                        </w:pPr>
                        <w:r>
                          <w:rPr>
                            <w:sz w:val="21"/>
                          </w:rPr>
                          <w:t>染色体异常</w:t>
                        </w:r>
                      </w:p>
                    </w:tc>
                  </w:tr>
                  <w:tr>
                    <w:trPr>
                      <w:trHeight w:val="271" w:hRule="atLeast"/>
                    </w:trPr>
                    <w:tc>
                      <w:tcPr>
                        <w:tcW w:w="2500" w:type="dxa"/>
                      </w:tcPr>
                      <w:p>
                        <w:pPr>
                          <w:pStyle w:val="TableParagraph"/>
                          <w:spacing w:line="240" w:lineRule="exact"/>
                          <w:ind w:left="170"/>
                          <w:rPr>
                            <w:sz w:val="21"/>
                          </w:rPr>
                        </w:pPr>
                        <w:r>
                          <w:rPr>
                            <w:sz w:val="21"/>
                          </w:rPr>
                          <w:t>2.4 责任免除</w:t>
                        </w:r>
                      </w:p>
                    </w:tc>
                    <w:tc>
                      <w:tcPr>
                        <w:tcW w:w="3442" w:type="dxa"/>
                      </w:tcPr>
                      <w:p>
                        <w:pPr>
                          <w:pStyle w:val="TableParagraph"/>
                          <w:spacing w:line="240" w:lineRule="exact"/>
                          <w:ind w:left="430"/>
                          <w:rPr>
                            <w:sz w:val="21"/>
                          </w:rPr>
                        </w:pPr>
                        <w:r>
                          <w:rPr>
                            <w:sz w:val="21"/>
                          </w:rPr>
                          <w:t>6.4 联系方式变更</w:t>
                        </w:r>
                      </w:p>
                    </w:tc>
                    <w:tc>
                      <w:tcPr>
                        <w:tcW w:w="752" w:type="dxa"/>
                      </w:tcPr>
                      <w:p>
                        <w:pPr>
                          <w:pStyle w:val="TableParagraph"/>
                          <w:spacing w:line="240" w:lineRule="exact"/>
                          <w:ind w:left="276"/>
                          <w:rPr>
                            <w:sz w:val="21"/>
                          </w:rPr>
                        </w:pPr>
                        <w:r>
                          <w:rPr>
                            <w:sz w:val="21"/>
                          </w:rPr>
                          <w:t>8.12</w:t>
                        </w:r>
                      </w:p>
                    </w:tc>
                    <w:tc>
                      <w:tcPr>
                        <w:tcW w:w="2206" w:type="dxa"/>
                      </w:tcPr>
                      <w:p>
                        <w:pPr>
                          <w:pStyle w:val="TableParagraph"/>
                          <w:spacing w:line="240" w:lineRule="exact"/>
                          <w:ind w:left="51"/>
                          <w:rPr>
                            <w:sz w:val="21"/>
                          </w:rPr>
                        </w:pPr>
                        <w:r>
                          <w:rPr>
                            <w:sz w:val="21"/>
                          </w:rPr>
                          <w:t>未满期净保险费</w:t>
                        </w:r>
                      </w:p>
                    </w:tc>
                  </w:tr>
                  <w:tr>
                    <w:trPr>
                      <w:trHeight w:val="273" w:hRule="atLeast"/>
                    </w:trPr>
                    <w:tc>
                      <w:tcPr>
                        <w:tcW w:w="2500" w:type="dxa"/>
                      </w:tcPr>
                      <w:p>
                        <w:pPr>
                          <w:pStyle w:val="TableParagraph"/>
                          <w:spacing w:line="254" w:lineRule="exact"/>
                          <w:ind w:left="64"/>
                          <w:rPr>
                            <w:rFonts w:ascii="Microsoft JhengHei" w:eastAsia="Microsoft JhengHei" w:hint="eastAsia"/>
                            <w:b/>
                            <w:sz w:val="21"/>
                          </w:rPr>
                        </w:pPr>
                        <w:r>
                          <w:rPr>
                            <w:rFonts w:ascii="Microsoft JhengHei" w:eastAsia="Microsoft JhengHei" w:hint="eastAsia"/>
                            <w:b/>
                            <w:sz w:val="21"/>
                          </w:rPr>
                          <w:t>3.保险金的申请</w:t>
                        </w:r>
                      </w:p>
                    </w:tc>
                    <w:tc>
                      <w:tcPr>
                        <w:tcW w:w="3442" w:type="dxa"/>
                      </w:tcPr>
                      <w:p>
                        <w:pPr>
                          <w:pStyle w:val="TableParagraph"/>
                          <w:spacing w:line="242" w:lineRule="exact"/>
                          <w:ind w:left="430"/>
                          <w:rPr>
                            <w:sz w:val="21"/>
                          </w:rPr>
                        </w:pPr>
                        <w:r>
                          <w:rPr>
                            <w:sz w:val="21"/>
                          </w:rPr>
                          <w:t>6.5 争议处理</w:t>
                        </w:r>
                      </w:p>
                    </w:tc>
                    <w:tc>
                      <w:tcPr>
                        <w:tcW w:w="752" w:type="dxa"/>
                      </w:tcPr>
                      <w:p>
                        <w:pPr>
                          <w:pStyle w:val="TableParagraph"/>
                          <w:spacing w:line="242" w:lineRule="exact"/>
                          <w:ind w:left="276"/>
                          <w:rPr>
                            <w:sz w:val="21"/>
                          </w:rPr>
                        </w:pPr>
                        <w:r>
                          <w:rPr>
                            <w:sz w:val="21"/>
                          </w:rPr>
                          <w:t>8.13</w:t>
                        </w:r>
                      </w:p>
                    </w:tc>
                    <w:tc>
                      <w:tcPr>
                        <w:tcW w:w="2206" w:type="dxa"/>
                      </w:tcPr>
                      <w:p>
                        <w:pPr>
                          <w:pStyle w:val="TableParagraph"/>
                          <w:spacing w:line="242" w:lineRule="exact"/>
                          <w:ind w:left="51"/>
                          <w:rPr>
                            <w:sz w:val="21"/>
                          </w:rPr>
                        </w:pPr>
                        <w:r>
                          <w:rPr>
                            <w:sz w:val="21"/>
                          </w:rPr>
                          <w:t>有效身份证件</w:t>
                        </w:r>
                      </w:p>
                    </w:tc>
                  </w:tr>
                  <w:tr>
                    <w:trPr>
                      <w:trHeight w:val="273" w:hRule="atLeast"/>
                    </w:trPr>
                    <w:tc>
                      <w:tcPr>
                        <w:tcW w:w="2500" w:type="dxa"/>
                      </w:tcPr>
                      <w:p>
                        <w:pPr>
                          <w:pStyle w:val="TableParagraph"/>
                          <w:spacing w:line="242" w:lineRule="exact"/>
                          <w:ind w:left="170"/>
                          <w:rPr>
                            <w:sz w:val="21"/>
                          </w:rPr>
                        </w:pPr>
                        <w:r>
                          <w:rPr>
                            <w:sz w:val="21"/>
                          </w:rPr>
                          <w:t>3.1 受益人</w:t>
                        </w:r>
                      </w:p>
                    </w:tc>
                    <w:tc>
                      <w:tcPr>
                        <w:tcW w:w="3442" w:type="dxa"/>
                      </w:tcPr>
                      <w:p>
                        <w:pPr>
                          <w:pStyle w:val="TableParagraph"/>
                          <w:spacing w:line="242" w:lineRule="exact"/>
                          <w:ind w:left="430"/>
                          <w:rPr>
                            <w:sz w:val="21"/>
                          </w:rPr>
                        </w:pPr>
                        <w:r>
                          <w:rPr>
                            <w:sz w:val="21"/>
                          </w:rPr>
                          <w:t>6.6 保险事故鉴定</w:t>
                        </w:r>
                      </w:p>
                    </w:tc>
                    <w:tc>
                      <w:tcPr>
                        <w:tcW w:w="752" w:type="dxa"/>
                      </w:tcPr>
                      <w:p>
                        <w:pPr>
                          <w:pStyle w:val="TableParagraph"/>
                          <w:spacing w:line="242" w:lineRule="exact"/>
                          <w:ind w:left="276"/>
                          <w:rPr>
                            <w:sz w:val="21"/>
                          </w:rPr>
                        </w:pPr>
                        <w:r>
                          <w:rPr>
                            <w:sz w:val="21"/>
                          </w:rPr>
                          <w:t>8.14</w:t>
                        </w:r>
                      </w:p>
                    </w:tc>
                    <w:tc>
                      <w:tcPr>
                        <w:tcW w:w="2206" w:type="dxa"/>
                      </w:tcPr>
                      <w:p>
                        <w:pPr>
                          <w:pStyle w:val="TableParagraph"/>
                          <w:spacing w:line="242" w:lineRule="exact"/>
                          <w:ind w:left="51"/>
                          <w:rPr>
                            <w:sz w:val="21"/>
                          </w:rPr>
                        </w:pPr>
                        <w:r>
                          <w:rPr>
                            <w:sz w:val="21"/>
                          </w:rPr>
                          <w:t>专科医生</w:t>
                        </w:r>
                      </w:p>
                    </w:tc>
                  </w:tr>
                  <w:tr>
                    <w:trPr>
                      <w:trHeight w:val="271" w:hRule="atLeast"/>
                    </w:trPr>
                    <w:tc>
                      <w:tcPr>
                        <w:tcW w:w="2500" w:type="dxa"/>
                      </w:tcPr>
                      <w:p>
                        <w:pPr>
                          <w:pStyle w:val="TableParagraph"/>
                          <w:spacing w:line="242" w:lineRule="exact"/>
                          <w:ind w:left="170"/>
                          <w:rPr>
                            <w:sz w:val="21"/>
                          </w:rPr>
                        </w:pPr>
                        <w:r>
                          <w:rPr>
                            <w:sz w:val="21"/>
                          </w:rPr>
                          <w:t>3.2 保险事故通知</w:t>
                        </w:r>
                      </w:p>
                    </w:tc>
                    <w:tc>
                      <w:tcPr>
                        <w:tcW w:w="3442"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重大疾病定义</w:t>
                        </w:r>
                      </w:p>
                    </w:tc>
                    <w:tc>
                      <w:tcPr>
                        <w:tcW w:w="752" w:type="dxa"/>
                      </w:tcPr>
                      <w:p>
                        <w:pPr>
                          <w:pStyle w:val="TableParagraph"/>
                          <w:spacing w:line="242" w:lineRule="exact"/>
                          <w:ind w:left="276"/>
                          <w:rPr>
                            <w:sz w:val="21"/>
                          </w:rPr>
                        </w:pPr>
                        <w:r>
                          <w:rPr>
                            <w:sz w:val="21"/>
                          </w:rPr>
                          <w:t>8.15</w:t>
                        </w:r>
                      </w:p>
                    </w:tc>
                    <w:tc>
                      <w:tcPr>
                        <w:tcW w:w="2206" w:type="dxa"/>
                      </w:tcPr>
                      <w:p>
                        <w:pPr>
                          <w:pStyle w:val="TableParagraph"/>
                          <w:spacing w:line="242" w:lineRule="exact"/>
                          <w:ind w:left="51"/>
                          <w:rPr>
                            <w:sz w:val="21"/>
                          </w:rPr>
                        </w:pPr>
                        <w:r>
                          <w:rPr>
                            <w:sz w:val="21"/>
                          </w:rPr>
                          <w:t>永久不可逆</w:t>
                        </w:r>
                      </w:p>
                    </w:tc>
                  </w:tr>
                  <w:tr>
                    <w:trPr>
                      <w:trHeight w:val="271" w:hRule="atLeast"/>
                    </w:trPr>
                    <w:tc>
                      <w:tcPr>
                        <w:tcW w:w="2500" w:type="dxa"/>
                      </w:tcPr>
                      <w:p>
                        <w:pPr>
                          <w:pStyle w:val="TableParagraph"/>
                          <w:spacing w:line="240" w:lineRule="exact"/>
                          <w:ind w:left="170"/>
                          <w:rPr>
                            <w:sz w:val="21"/>
                          </w:rPr>
                        </w:pPr>
                        <w:r>
                          <w:rPr>
                            <w:sz w:val="21"/>
                          </w:rPr>
                          <w:t>3.3 保险金申请</w:t>
                        </w:r>
                      </w:p>
                    </w:tc>
                    <w:tc>
                      <w:tcPr>
                        <w:tcW w:w="3442" w:type="dxa"/>
                      </w:tcPr>
                      <w:p>
                        <w:pPr>
                          <w:pStyle w:val="TableParagraph"/>
                          <w:spacing w:line="251" w:lineRule="exact"/>
                          <w:ind w:left="324"/>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w w:val="100"/>
                            <w:sz w:val="21"/>
                          </w:rPr>
                          <w:t>释义</w:t>
                        </w:r>
                      </w:p>
                    </w:tc>
                    <w:tc>
                      <w:tcPr>
                        <w:tcW w:w="752" w:type="dxa"/>
                      </w:tcPr>
                      <w:p>
                        <w:pPr>
                          <w:pStyle w:val="TableParagraph"/>
                          <w:spacing w:line="240" w:lineRule="exact"/>
                          <w:ind w:left="276"/>
                          <w:rPr>
                            <w:sz w:val="21"/>
                          </w:rPr>
                        </w:pPr>
                        <w:r>
                          <w:rPr>
                            <w:sz w:val="21"/>
                          </w:rPr>
                          <w:t>8.16</w:t>
                        </w:r>
                      </w:p>
                    </w:tc>
                    <w:tc>
                      <w:tcPr>
                        <w:tcW w:w="2206" w:type="dxa"/>
                      </w:tcPr>
                      <w:p>
                        <w:pPr>
                          <w:pStyle w:val="TableParagraph"/>
                          <w:spacing w:line="240" w:lineRule="exact"/>
                          <w:ind w:left="51"/>
                          <w:rPr>
                            <w:sz w:val="21"/>
                          </w:rPr>
                        </w:pPr>
                        <w:r>
                          <w:rPr>
                            <w:sz w:val="21"/>
                          </w:rPr>
                          <w:t>肢体机能完全丧失</w:t>
                        </w:r>
                      </w:p>
                    </w:tc>
                  </w:tr>
                  <w:tr>
                    <w:trPr>
                      <w:trHeight w:val="273" w:hRule="atLeast"/>
                    </w:trPr>
                    <w:tc>
                      <w:tcPr>
                        <w:tcW w:w="2500" w:type="dxa"/>
                      </w:tcPr>
                      <w:p>
                        <w:pPr>
                          <w:pStyle w:val="TableParagraph"/>
                          <w:spacing w:line="242" w:lineRule="exact"/>
                          <w:ind w:left="170"/>
                          <w:rPr>
                            <w:sz w:val="21"/>
                          </w:rPr>
                        </w:pPr>
                        <w:r>
                          <w:rPr>
                            <w:sz w:val="21"/>
                          </w:rPr>
                          <w:t>3.4 保险金给付</w:t>
                        </w:r>
                      </w:p>
                    </w:tc>
                    <w:tc>
                      <w:tcPr>
                        <w:tcW w:w="3442" w:type="dxa"/>
                      </w:tcPr>
                      <w:p>
                        <w:pPr>
                          <w:pStyle w:val="TableParagraph"/>
                          <w:spacing w:line="242" w:lineRule="exact"/>
                          <w:ind w:left="430"/>
                          <w:rPr>
                            <w:sz w:val="21"/>
                          </w:rPr>
                        </w:pPr>
                        <w:r>
                          <w:rPr>
                            <w:sz w:val="21"/>
                          </w:rPr>
                          <w:t>8.1 周岁</w:t>
                        </w:r>
                      </w:p>
                    </w:tc>
                    <w:tc>
                      <w:tcPr>
                        <w:tcW w:w="752" w:type="dxa"/>
                      </w:tcPr>
                      <w:p>
                        <w:pPr>
                          <w:pStyle w:val="TableParagraph"/>
                          <w:spacing w:line="242" w:lineRule="exact"/>
                          <w:ind w:left="276"/>
                          <w:rPr>
                            <w:sz w:val="21"/>
                          </w:rPr>
                        </w:pPr>
                        <w:r>
                          <w:rPr>
                            <w:sz w:val="21"/>
                          </w:rPr>
                          <w:t>8.17</w:t>
                        </w:r>
                      </w:p>
                    </w:tc>
                    <w:tc>
                      <w:tcPr>
                        <w:tcW w:w="2206" w:type="dxa"/>
                      </w:tcPr>
                      <w:p>
                        <w:pPr>
                          <w:pStyle w:val="TableParagraph"/>
                          <w:spacing w:line="242" w:lineRule="exact"/>
                          <w:ind w:left="51"/>
                          <w:rPr>
                            <w:sz w:val="21"/>
                          </w:rPr>
                        </w:pPr>
                        <w:r>
                          <w:rPr>
                            <w:sz w:val="21"/>
                          </w:rPr>
                          <w:t>语言能力或咀嚼吞咽</w:t>
                        </w:r>
                      </w:p>
                    </w:tc>
                  </w:tr>
                  <w:tr>
                    <w:trPr>
                      <w:trHeight w:val="273" w:hRule="atLeast"/>
                    </w:trPr>
                    <w:tc>
                      <w:tcPr>
                        <w:tcW w:w="2500" w:type="dxa"/>
                      </w:tcPr>
                      <w:p>
                        <w:pPr>
                          <w:pStyle w:val="TableParagraph"/>
                          <w:spacing w:line="242" w:lineRule="exact"/>
                          <w:ind w:left="170"/>
                          <w:rPr>
                            <w:sz w:val="21"/>
                          </w:rPr>
                        </w:pPr>
                        <w:r>
                          <w:rPr>
                            <w:sz w:val="21"/>
                          </w:rPr>
                          <w:t>3.5 诉讼时效</w:t>
                        </w:r>
                      </w:p>
                    </w:tc>
                    <w:tc>
                      <w:tcPr>
                        <w:tcW w:w="3442" w:type="dxa"/>
                      </w:tcPr>
                      <w:p>
                        <w:pPr>
                          <w:pStyle w:val="TableParagraph"/>
                          <w:spacing w:line="242" w:lineRule="exact"/>
                          <w:ind w:left="430"/>
                          <w:rPr>
                            <w:sz w:val="21"/>
                          </w:rPr>
                        </w:pPr>
                        <w:r>
                          <w:rPr>
                            <w:sz w:val="21"/>
                          </w:rPr>
                          <w:t>8.2 医院</w:t>
                        </w:r>
                      </w:p>
                    </w:tc>
                    <w:tc>
                      <w:tcPr>
                        <w:tcW w:w="752" w:type="dxa"/>
                      </w:tcPr>
                      <w:p>
                        <w:pPr>
                          <w:pStyle w:val="TableParagraph"/>
                          <w:rPr>
                            <w:rFonts w:ascii="Times New Roman"/>
                            <w:sz w:val="20"/>
                          </w:rPr>
                        </w:pPr>
                      </w:p>
                    </w:tc>
                    <w:tc>
                      <w:tcPr>
                        <w:tcW w:w="2206" w:type="dxa"/>
                      </w:tcPr>
                      <w:p>
                        <w:pPr>
                          <w:pStyle w:val="TableParagraph"/>
                          <w:spacing w:line="242" w:lineRule="exact"/>
                          <w:ind w:left="157"/>
                          <w:rPr>
                            <w:sz w:val="21"/>
                          </w:rPr>
                        </w:pPr>
                        <w:r>
                          <w:rPr>
                            <w:sz w:val="21"/>
                          </w:rPr>
                          <w:t>能力完全丧失</w:t>
                        </w:r>
                      </w:p>
                    </w:tc>
                  </w:tr>
                  <w:tr>
                    <w:trPr>
                      <w:trHeight w:val="271" w:hRule="atLeast"/>
                    </w:trPr>
                    <w:tc>
                      <w:tcPr>
                        <w:tcW w:w="2500" w:type="dxa"/>
                      </w:tcPr>
                      <w:p>
                        <w:pPr>
                          <w:pStyle w:val="TableParagraph"/>
                          <w:spacing w:line="251" w:lineRule="exact"/>
                          <w:ind w:left="64"/>
                          <w:rPr>
                            <w:rFonts w:ascii="Microsoft JhengHei" w:eastAsia="Microsoft JhengHei" w:hint="eastAsia"/>
                            <w:b/>
                            <w:sz w:val="21"/>
                          </w:rPr>
                        </w:pPr>
                        <w:r>
                          <w:rPr>
                            <w:rFonts w:ascii="Microsoft JhengHei" w:eastAsia="Microsoft JhengHei" w:hint="eastAsia"/>
                            <w:b/>
                            <w:sz w:val="21"/>
                          </w:rPr>
                          <w:t>4.保险费的交纳</w:t>
                        </w:r>
                      </w:p>
                    </w:tc>
                    <w:tc>
                      <w:tcPr>
                        <w:tcW w:w="3442" w:type="dxa"/>
                      </w:tcPr>
                      <w:p>
                        <w:pPr>
                          <w:pStyle w:val="TableParagraph"/>
                          <w:spacing w:line="242" w:lineRule="exact"/>
                          <w:ind w:left="430"/>
                          <w:rPr>
                            <w:sz w:val="21"/>
                          </w:rPr>
                        </w:pPr>
                        <w:r>
                          <w:rPr>
                            <w:sz w:val="21"/>
                          </w:rPr>
                          <w:t>8.3 初次确诊</w:t>
                        </w:r>
                      </w:p>
                    </w:tc>
                    <w:tc>
                      <w:tcPr>
                        <w:tcW w:w="752" w:type="dxa"/>
                      </w:tcPr>
                      <w:p>
                        <w:pPr>
                          <w:pStyle w:val="TableParagraph"/>
                          <w:spacing w:line="242" w:lineRule="exact"/>
                          <w:ind w:left="276"/>
                          <w:rPr>
                            <w:sz w:val="21"/>
                          </w:rPr>
                        </w:pPr>
                        <w:r>
                          <w:rPr>
                            <w:sz w:val="21"/>
                          </w:rPr>
                          <w:t>8.18</w:t>
                        </w:r>
                      </w:p>
                    </w:tc>
                    <w:tc>
                      <w:tcPr>
                        <w:tcW w:w="2206" w:type="dxa"/>
                      </w:tcPr>
                      <w:p>
                        <w:pPr>
                          <w:pStyle w:val="TableParagraph"/>
                          <w:spacing w:line="242" w:lineRule="exact"/>
                          <w:ind w:left="51"/>
                          <w:rPr>
                            <w:sz w:val="21"/>
                          </w:rPr>
                        </w:pPr>
                        <w:r>
                          <w:rPr>
                            <w:sz w:val="21"/>
                          </w:rPr>
                          <w:t>六项基本日常生活</w:t>
                        </w:r>
                      </w:p>
                    </w:tc>
                  </w:tr>
                  <w:tr>
                    <w:trPr>
                      <w:trHeight w:val="240" w:hRule="atLeast"/>
                    </w:trPr>
                    <w:tc>
                      <w:tcPr>
                        <w:tcW w:w="2500" w:type="dxa"/>
                      </w:tcPr>
                      <w:p>
                        <w:pPr>
                          <w:pStyle w:val="TableParagraph"/>
                          <w:rPr>
                            <w:rFonts w:ascii="Times New Roman"/>
                            <w:sz w:val="16"/>
                          </w:rPr>
                        </w:pPr>
                      </w:p>
                    </w:tc>
                    <w:tc>
                      <w:tcPr>
                        <w:tcW w:w="3442" w:type="dxa"/>
                      </w:tcPr>
                      <w:p>
                        <w:pPr>
                          <w:pStyle w:val="TableParagraph"/>
                          <w:spacing w:line="220" w:lineRule="exact"/>
                          <w:ind w:left="430"/>
                          <w:rPr>
                            <w:sz w:val="21"/>
                          </w:rPr>
                        </w:pPr>
                        <w:r>
                          <w:rPr>
                            <w:sz w:val="21"/>
                          </w:rPr>
                          <w:t>8.4 意外伤害</w:t>
                        </w:r>
                      </w:p>
                    </w:tc>
                    <w:tc>
                      <w:tcPr>
                        <w:tcW w:w="752" w:type="dxa"/>
                      </w:tcPr>
                      <w:p>
                        <w:pPr>
                          <w:pStyle w:val="TableParagraph"/>
                          <w:rPr>
                            <w:rFonts w:ascii="Times New Roman"/>
                            <w:sz w:val="16"/>
                          </w:rPr>
                        </w:pPr>
                      </w:p>
                    </w:tc>
                    <w:tc>
                      <w:tcPr>
                        <w:tcW w:w="2206" w:type="dxa"/>
                      </w:tcPr>
                      <w:p>
                        <w:pPr>
                          <w:pStyle w:val="TableParagraph"/>
                          <w:spacing w:line="220" w:lineRule="exact"/>
                          <w:ind w:left="109"/>
                          <w:rPr>
                            <w:sz w:val="21"/>
                          </w:rPr>
                        </w:pPr>
                        <w:r>
                          <w:rPr>
                            <w:sz w:val="21"/>
                          </w:rPr>
                          <w:t>活动</w:t>
                        </w:r>
                      </w:p>
                    </w:tc>
                  </w:tr>
                </w:tbl>
                <w:p>
                  <w:pPr>
                    <w:pStyle w:val="BodyText"/>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00" w:h="16840"/>
          <w:pgMar w:top="700" w:bottom="280" w:left="780" w:right="380"/>
        </w:sectPr>
      </w:pPr>
    </w:p>
    <w:p>
      <w:pPr>
        <w:pStyle w:val="BodyText"/>
        <w:spacing w:before="7"/>
        <w:ind w:left="0"/>
        <w:rPr>
          <w:rFonts w:ascii="Arial"/>
          <w:b/>
          <w:sz w:val="13"/>
        </w:rPr>
      </w:pPr>
    </w:p>
    <w:p>
      <w:pPr>
        <w:pStyle w:val="Heading1"/>
        <w:spacing w:line="506" w:lineRule="exact"/>
        <w:ind w:left="3145"/>
      </w:pPr>
      <w:r>
        <w:rPr/>
        <w:t>泰康人寿保险股份有限公司</w:t>
      </w:r>
    </w:p>
    <w:p>
      <w:pPr>
        <w:spacing w:before="92"/>
        <w:ind w:left="2824" w:right="0" w:firstLine="0"/>
        <w:jc w:val="left"/>
        <w:rPr>
          <w:rFonts w:ascii="Microsoft JhengHei UI" w:eastAsia="Microsoft JhengHei UI" w:hint="eastAsia"/>
          <w:b/>
          <w:sz w:val="32"/>
        </w:rPr>
      </w:pPr>
      <w:r>
        <w:rPr>
          <w:rFonts w:ascii="Microsoft JhengHei UI" w:eastAsia="Microsoft JhengHei UI" w:hint="eastAsia"/>
          <w:b/>
          <w:sz w:val="32"/>
        </w:rPr>
        <w:t>泰康 e 顺少儿重大疾病保险条款</w:t>
      </w:r>
    </w:p>
    <w:p>
      <w:pPr>
        <w:pStyle w:val="Heading3"/>
        <w:spacing w:before="79"/>
        <w:ind w:left="2636"/>
      </w:pPr>
      <w:r>
        <w:rPr/>
        <w:t>（2010 年 5 月向中国保险监督管理委员会备案）</w:t>
      </w:r>
    </w:p>
    <w:p>
      <w:pPr>
        <w:pStyle w:val="BodyText"/>
        <w:spacing w:before="7"/>
        <w:ind w:left="0"/>
        <w:rPr>
          <w:sz w:val="25"/>
        </w:rPr>
      </w:pPr>
    </w:p>
    <w:p>
      <w:pPr>
        <w:pStyle w:val="BodyText"/>
        <w:spacing w:line="273" w:lineRule="auto"/>
        <w:ind w:left="222" w:right="113"/>
        <w:jc w:val="both"/>
      </w:pPr>
      <w:r>
        <w:rPr>
          <w:spacing w:val="-5"/>
        </w:rPr>
        <w:t>在本条款中，“您”指投保人，“我们”、“本公司”均指记载于电子保险单上的泰康人寿保险股份有限</w:t>
      </w:r>
      <w:r>
        <w:rPr>
          <w:spacing w:val="-12"/>
          <w:w w:val="100"/>
        </w:rPr>
        <w:t>公司的分公司，“本合同”指您与我们之间订立的“泰康</w:t>
      </w:r>
      <w:r>
        <w:rPr>
          <w:spacing w:val="-53"/>
        </w:rPr>
        <w:t> </w:t>
      </w:r>
      <w:r>
        <w:rPr>
          <w:w w:val="100"/>
        </w:rPr>
        <w:t>e</w:t>
      </w:r>
      <w:r>
        <w:rPr>
          <w:spacing w:val="-53"/>
        </w:rPr>
        <w:t> </w:t>
      </w:r>
      <w:r>
        <w:rPr>
          <w:spacing w:val="-5"/>
          <w:w w:val="100"/>
        </w:rPr>
        <w:t>顺少儿重大疾病保险合同”。</w:t>
      </w:r>
      <w:r>
        <w:rPr/>
        <w:t> </w:t>
      </w:r>
      <w:r>
        <w:rPr>
          <w:spacing w:val="-4"/>
          <w:w w:val="100"/>
        </w:rPr>
        <w:t>“被保险人”指</w:t>
      </w:r>
      <w:r>
        <w:rPr>
          <w:spacing w:val="-5"/>
        </w:rPr>
        <w:t>本合同的被保险人。投保人、被保险人的姓名在电子保险单上载明。</w:t>
      </w:r>
    </w:p>
    <w:p>
      <w:pPr>
        <w:pStyle w:val="BodyText"/>
        <w:ind w:left="0"/>
        <w:rPr>
          <w:sz w:val="20"/>
        </w:rPr>
      </w:pPr>
    </w:p>
    <w:p>
      <w:pPr>
        <w:pStyle w:val="BodyText"/>
        <w:spacing w:before="6"/>
        <w:ind w:left="0"/>
        <w:rPr>
          <w:sz w:val="20"/>
        </w:rPr>
      </w:pPr>
    </w:p>
    <w:p>
      <w:pPr>
        <w:pStyle w:val="ListParagraph"/>
        <w:numPr>
          <w:ilvl w:val="0"/>
          <w:numId w:val="2"/>
        </w:numPr>
        <w:tabs>
          <w:tab w:pos="933" w:val="left" w:leader="none"/>
        </w:tabs>
        <w:spacing w:line="240" w:lineRule="auto" w:before="0" w:after="11"/>
        <w:ind w:left="932" w:right="0" w:hanging="710"/>
        <w:jc w:val="both"/>
        <w:rPr>
          <w:rFonts w:ascii="Microsoft JhengHei" w:eastAsia="Microsoft JhengHei" w:hint="eastAsia"/>
          <w:b/>
          <w:sz w:val="24"/>
        </w:rPr>
      </w:pPr>
      <w:r>
        <w:rPr>
          <w:rFonts w:ascii="Microsoft JhengHei" w:eastAsia="Microsoft JhengHei" w:hint="eastAsia"/>
          <w:b/>
          <w:sz w:val="24"/>
        </w:rPr>
        <w:t>您与我们订立的合同</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816,10" stroked="true" strokeweight=".96pt" strokecolor="#000000">
              <v:stroke dashstyle="solid"/>
            </v:line>
            <v:rect style="position:absolute;left:816;top:0;width:20;height:20" filled="true" fillcolor="#000000" stroked="false">
              <v:fill type="solid"/>
            </v:rect>
            <v:line style="position:absolute" from="835,10" to="2290,10" stroked="true" strokeweight=".96pt" strokecolor="#000000">
              <v:stroke dashstyle="solid"/>
            </v:line>
            <v:rect style="position:absolute;left:2289;top:0;width:20;height:20" filled="true" fillcolor="#000000" stroked="false">
              <v:fill type="solid"/>
            </v:rect>
            <v:line style="position:absolute" from="2309,10" to="9773,10" stroked="true" strokeweight=".96pt" strokecolor="#000000">
              <v:stroke dashstyle="solid"/>
            </v:line>
          </v:group>
        </w:pict>
      </w:r>
      <w:r>
        <w:rPr>
          <w:rFonts w:ascii="Microsoft JhengHei"/>
          <w:spacing w:val="6"/>
          <w:sz w:val="2"/>
        </w:rPr>
      </w:r>
    </w:p>
    <w:p>
      <w:pPr>
        <w:pStyle w:val="BodyText"/>
        <w:spacing w:before="15"/>
        <w:ind w:left="0"/>
        <w:rPr>
          <w:rFonts w:ascii="Microsoft JhengHei"/>
          <w:b/>
          <w:sz w:val="5"/>
        </w:rPr>
      </w:pPr>
    </w:p>
    <w:p>
      <w:pPr>
        <w:pStyle w:val="ListParagraph"/>
        <w:numPr>
          <w:ilvl w:val="1"/>
          <w:numId w:val="2"/>
        </w:numPr>
        <w:tabs>
          <w:tab w:pos="933" w:val="left" w:leader="none"/>
          <w:tab w:pos="2511" w:val="left" w:leader="none"/>
        </w:tabs>
        <w:spacing w:line="312" w:lineRule="exact" w:before="32" w:after="0"/>
        <w:ind w:left="2512" w:right="218" w:hanging="2290"/>
        <w:jc w:val="both"/>
        <w:rPr>
          <w:sz w:val="21"/>
        </w:rPr>
      </w:pPr>
      <w:r>
        <w:rPr>
          <w:rFonts w:ascii="Microsoft JhengHei" w:eastAsia="Microsoft JhengHei" w:hint="eastAsia"/>
          <w:b/>
          <w:sz w:val="21"/>
        </w:rPr>
        <w:t>合同构成</w:t>
        <w:tab/>
      </w:r>
      <w:r>
        <w:rPr>
          <w:spacing w:val="-1"/>
          <w:sz w:val="21"/>
        </w:rPr>
        <w:t>本</w:t>
      </w:r>
      <w:r>
        <w:rPr>
          <w:sz w:val="21"/>
        </w:rPr>
        <w:t>合同是</w:t>
      </w:r>
      <w:r>
        <w:rPr>
          <w:spacing w:val="-5"/>
          <w:sz w:val="21"/>
        </w:rPr>
        <w:t>您</w:t>
      </w:r>
      <w:r>
        <w:rPr>
          <w:sz w:val="21"/>
        </w:rPr>
        <w:t>与我们</w:t>
      </w:r>
      <w:r>
        <w:rPr>
          <w:spacing w:val="-5"/>
          <w:sz w:val="21"/>
        </w:rPr>
        <w:t>约</w:t>
      </w:r>
      <w:r>
        <w:rPr>
          <w:sz w:val="21"/>
        </w:rPr>
        <w:t>定保险</w:t>
      </w:r>
      <w:r>
        <w:rPr>
          <w:spacing w:val="-5"/>
          <w:sz w:val="21"/>
        </w:rPr>
        <w:t>权</w:t>
      </w:r>
      <w:r>
        <w:rPr>
          <w:sz w:val="21"/>
        </w:rPr>
        <w:t>利义务</w:t>
      </w:r>
      <w:r>
        <w:rPr>
          <w:spacing w:val="-5"/>
          <w:sz w:val="21"/>
        </w:rPr>
        <w:t>关</w:t>
      </w:r>
      <w:r>
        <w:rPr>
          <w:sz w:val="21"/>
        </w:rPr>
        <w:t>系的协</w:t>
      </w:r>
      <w:r>
        <w:rPr>
          <w:spacing w:val="-5"/>
          <w:sz w:val="21"/>
        </w:rPr>
        <w:t>议</w:t>
      </w:r>
      <w:r>
        <w:rPr>
          <w:spacing w:val="-87"/>
          <w:sz w:val="21"/>
        </w:rPr>
        <w:t>，</w:t>
      </w:r>
      <w:r>
        <w:rPr>
          <w:spacing w:val="-5"/>
          <w:sz w:val="21"/>
        </w:rPr>
        <w:t>包</w:t>
      </w:r>
      <w:r>
        <w:rPr>
          <w:sz w:val="21"/>
        </w:rPr>
        <w:t>括电子保</w:t>
      </w:r>
      <w:r>
        <w:rPr>
          <w:spacing w:val="-5"/>
          <w:sz w:val="21"/>
        </w:rPr>
        <w:t>险</w:t>
      </w:r>
      <w:r>
        <w:rPr>
          <w:sz w:val="21"/>
        </w:rPr>
        <w:t>单及其</w:t>
      </w:r>
      <w:r>
        <w:rPr>
          <w:spacing w:val="-5"/>
          <w:sz w:val="21"/>
        </w:rPr>
        <w:t>所</w:t>
      </w:r>
      <w:r>
        <w:rPr>
          <w:sz w:val="21"/>
        </w:rPr>
        <w:t>附的保 险条款</w:t>
      </w:r>
      <w:r>
        <w:rPr>
          <w:spacing w:val="-20"/>
          <w:sz w:val="21"/>
        </w:rPr>
        <w:t>、</w:t>
      </w:r>
      <w:r>
        <w:rPr>
          <w:sz w:val="21"/>
        </w:rPr>
        <w:t>电子</w:t>
      </w:r>
      <w:r>
        <w:rPr>
          <w:spacing w:val="-5"/>
          <w:sz w:val="21"/>
        </w:rPr>
        <w:t>投</w:t>
      </w:r>
      <w:r>
        <w:rPr>
          <w:sz w:val="21"/>
        </w:rPr>
        <w:t>保单</w:t>
      </w:r>
      <w:r>
        <w:rPr>
          <w:spacing w:val="-20"/>
          <w:sz w:val="21"/>
        </w:rPr>
        <w:t>、</w:t>
      </w:r>
      <w:r>
        <w:rPr>
          <w:sz w:val="21"/>
        </w:rPr>
        <w:t>与</w:t>
      </w:r>
      <w:r>
        <w:rPr>
          <w:spacing w:val="-5"/>
          <w:sz w:val="21"/>
        </w:rPr>
        <w:t>本</w:t>
      </w:r>
      <w:r>
        <w:rPr>
          <w:sz w:val="21"/>
        </w:rPr>
        <w:t>合同有</w:t>
      </w:r>
      <w:r>
        <w:rPr>
          <w:spacing w:val="-5"/>
          <w:sz w:val="21"/>
        </w:rPr>
        <w:t>关</w:t>
      </w:r>
      <w:r>
        <w:rPr>
          <w:sz w:val="21"/>
        </w:rPr>
        <w:t>的投保</w:t>
      </w:r>
      <w:r>
        <w:rPr>
          <w:spacing w:val="-5"/>
          <w:sz w:val="21"/>
        </w:rPr>
        <w:t>文</w:t>
      </w:r>
      <w:r>
        <w:rPr>
          <w:sz w:val="21"/>
        </w:rPr>
        <w:t>件</w:t>
      </w:r>
      <w:r>
        <w:rPr>
          <w:spacing w:val="-20"/>
          <w:sz w:val="21"/>
        </w:rPr>
        <w:t>、</w:t>
      </w:r>
      <w:r>
        <w:rPr>
          <w:spacing w:val="-5"/>
          <w:sz w:val="21"/>
        </w:rPr>
        <w:t>合</w:t>
      </w:r>
      <w:r>
        <w:rPr>
          <w:sz w:val="21"/>
        </w:rPr>
        <w:t>法有效的</w:t>
      </w:r>
      <w:r>
        <w:rPr>
          <w:spacing w:val="-5"/>
          <w:sz w:val="21"/>
        </w:rPr>
        <w:t>声</w:t>
      </w:r>
      <w:r>
        <w:rPr>
          <w:sz w:val="21"/>
        </w:rPr>
        <w:t>明</w:t>
      </w:r>
      <w:r>
        <w:rPr>
          <w:spacing w:val="-20"/>
          <w:sz w:val="21"/>
        </w:rPr>
        <w:t>、</w:t>
      </w:r>
      <w:r>
        <w:rPr>
          <w:sz w:val="21"/>
        </w:rPr>
        <w:t>批注</w:t>
      </w:r>
      <w:r>
        <w:rPr>
          <w:spacing w:val="-20"/>
          <w:sz w:val="21"/>
        </w:rPr>
        <w:t>、</w:t>
      </w:r>
      <w:r>
        <w:rPr>
          <w:sz w:val="21"/>
        </w:rPr>
        <w:t>批单及其它您</w:t>
      </w:r>
      <w:r>
        <w:rPr>
          <w:spacing w:val="-5"/>
          <w:sz w:val="21"/>
        </w:rPr>
        <w:t>与</w:t>
      </w:r>
      <w:r>
        <w:rPr>
          <w:sz w:val="21"/>
        </w:rPr>
        <w:t>我们共</w:t>
      </w:r>
      <w:r>
        <w:rPr>
          <w:spacing w:val="-5"/>
          <w:sz w:val="21"/>
        </w:rPr>
        <w:t>同</w:t>
      </w:r>
      <w:r>
        <w:rPr>
          <w:sz w:val="21"/>
        </w:rPr>
        <w:t>认可的</w:t>
      </w:r>
      <w:r>
        <w:rPr>
          <w:spacing w:val="-5"/>
          <w:sz w:val="21"/>
        </w:rPr>
        <w:t>书</w:t>
      </w:r>
      <w:r>
        <w:rPr>
          <w:sz w:val="21"/>
        </w:rPr>
        <w:t>面或电</w:t>
      </w:r>
      <w:r>
        <w:rPr>
          <w:spacing w:val="-5"/>
          <w:sz w:val="21"/>
        </w:rPr>
        <w:t>子</w:t>
      </w:r>
      <w:r>
        <w:rPr>
          <w:sz w:val="21"/>
        </w:rPr>
        <w:t>协议。</w:t>
      </w:r>
    </w:p>
    <w:p>
      <w:pPr>
        <w:pStyle w:val="BodyText"/>
        <w:spacing w:before="5"/>
        <w:ind w:left="0"/>
        <w:rPr>
          <w:sz w:val="10"/>
        </w:rPr>
      </w:pPr>
    </w:p>
    <w:p>
      <w:pPr>
        <w:spacing w:after="0"/>
        <w:rPr>
          <w:sz w:val="10"/>
        </w:rPr>
        <w:sectPr>
          <w:pgSz w:w="11900" w:h="16840"/>
          <w:pgMar w:top="1600" w:bottom="280" w:left="800" w:right="1100"/>
        </w:sectPr>
      </w:pPr>
    </w:p>
    <w:p>
      <w:pPr>
        <w:pStyle w:val="Heading4"/>
        <w:numPr>
          <w:ilvl w:val="1"/>
          <w:numId w:val="2"/>
        </w:numPr>
        <w:tabs>
          <w:tab w:pos="932" w:val="left" w:leader="none"/>
          <w:tab w:pos="933" w:val="left" w:leader="none"/>
        </w:tabs>
        <w:spacing w:line="308" w:lineRule="exact" w:before="0" w:after="0"/>
        <w:ind w:left="2512" w:right="0" w:hanging="2290"/>
        <w:jc w:val="left"/>
      </w:pPr>
      <w:r>
        <w:rPr/>
        <w:t>合同成立及生</w:t>
      </w:r>
    </w:p>
    <w:p>
      <w:pPr>
        <w:spacing w:line="339" w:lineRule="exact" w:before="0"/>
        <w:ind w:left="0" w:right="121" w:firstLine="0"/>
        <w:jc w:val="center"/>
        <w:rPr>
          <w:rFonts w:ascii="Microsoft JhengHei" w:eastAsia="Microsoft JhengHei" w:hint="eastAsia"/>
          <w:b/>
          <w:sz w:val="21"/>
        </w:rPr>
      </w:pPr>
      <w:r>
        <w:rPr>
          <w:rFonts w:ascii="Microsoft JhengHei" w:eastAsia="Microsoft JhengHei" w:hint="eastAsia"/>
          <w:b/>
          <w:w w:val="100"/>
          <w:sz w:val="21"/>
        </w:rPr>
        <w:t>效</w:t>
      </w:r>
    </w:p>
    <w:p>
      <w:pPr>
        <w:pStyle w:val="BodyText"/>
        <w:spacing w:before="36"/>
        <w:ind w:left="222"/>
      </w:pPr>
      <w:r>
        <w:rPr/>
        <w:br w:type="column"/>
      </w:r>
      <w:r>
        <w:rPr/>
        <w:t>您提出保险申请且我们同意承保，本合同成立。</w:t>
      </w:r>
    </w:p>
    <w:p>
      <w:pPr>
        <w:pStyle w:val="BodyText"/>
        <w:spacing w:before="36"/>
        <w:ind w:left="222"/>
      </w:pPr>
      <w:r>
        <w:rPr/>
        <w:t>本合同的成立日、生效日以电子保险单记载的日期为准。</w:t>
      </w:r>
    </w:p>
    <w:p>
      <w:pPr>
        <w:spacing w:after="0"/>
        <w:sectPr>
          <w:type w:val="continuous"/>
          <w:pgSz w:w="11900" w:h="16840"/>
          <w:pgMar w:top="700" w:bottom="280" w:left="800" w:right="1100"/>
          <w:cols w:num="2" w:equalWidth="0">
            <w:col w:w="2200" w:space="89"/>
            <w:col w:w="7711"/>
          </w:cols>
        </w:sectPr>
      </w:pPr>
    </w:p>
    <w:p>
      <w:pPr>
        <w:pStyle w:val="BodyText"/>
        <w:spacing w:before="1"/>
        <w:ind w:left="0"/>
        <w:rPr>
          <w:sz w:val="11"/>
        </w:rPr>
      </w:pPr>
    </w:p>
    <w:p>
      <w:pPr>
        <w:pStyle w:val="ListParagraph"/>
        <w:numPr>
          <w:ilvl w:val="1"/>
          <w:numId w:val="2"/>
        </w:numPr>
        <w:tabs>
          <w:tab w:pos="932" w:val="left" w:leader="none"/>
          <w:tab w:pos="933" w:val="left" w:leader="none"/>
          <w:tab w:pos="2511" w:val="left" w:leader="none"/>
        </w:tabs>
        <w:spacing w:line="335" w:lineRule="exact" w:before="0" w:after="0"/>
        <w:ind w:left="2512" w:right="0" w:hanging="2290"/>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8.1）计算。</w:t>
      </w:r>
    </w:p>
    <w:p>
      <w:pPr>
        <w:pStyle w:val="Heading2"/>
        <w:numPr>
          <w:ilvl w:val="0"/>
          <w:numId w:val="2"/>
        </w:numPr>
        <w:tabs>
          <w:tab w:pos="932" w:val="left" w:leader="none"/>
          <w:tab w:pos="933" w:val="left" w:leader="none"/>
        </w:tabs>
        <w:spacing w:line="240" w:lineRule="auto" w:before="84" w:after="10"/>
        <w:ind w:left="932" w:right="0" w:hanging="710"/>
        <w:jc w:val="left"/>
      </w:pPr>
      <w:r>
        <w:rPr/>
        <w:t>我们提供的保障</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816,10" stroked="true" strokeweight=".96pt" strokecolor="#000000">
              <v:stroke dashstyle="solid"/>
            </v:line>
            <v:rect style="position:absolute;left:816;top:0;width:20;height:20" filled="true" fillcolor="#000000" stroked="false">
              <v:fill type="solid"/>
            </v:rect>
            <v:line style="position:absolute" from="835,10" to="2290,10" stroked="true" strokeweight=".96pt" strokecolor="#000000">
              <v:stroke dashstyle="solid"/>
            </v:line>
            <v:rect style="position:absolute;left:2289;top:0;width:20;height:20" filled="true" fillcolor="#000000" stroked="false">
              <v:fill type="solid"/>
            </v:rect>
            <v:line style="position:absolute" from="2309,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932" w:val="left" w:leader="none"/>
          <w:tab w:pos="933" w:val="left" w:leader="none"/>
          <w:tab w:pos="2511" w:val="left" w:leader="none"/>
        </w:tabs>
        <w:spacing w:line="335" w:lineRule="exact" w:before="0" w:after="0"/>
        <w:ind w:left="2512" w:right="0" w:hanging="2290"/>
        <w:jc w:val="left"/>
        <w:rPr>
          <w:sz w:val="21"/>
        </w:rPr>
      </w:pPr>
      <w:r>
        <w:rPr>
          <w:rFonts w:ascii="Microsoft JhengHei" w:eastAsia="Microsoft JhengHei" w:hint="eastAsia"/>
          <w:b/>
          <w:sz w:val="21"/>
        </w:rPr>
        <w:t>保险金额</w:t>
        <w:tab/>
      </w:r>
      <w:r>
        <w:rPr>
          <w:spacing w:val="-1"/>
          <w:sz w:val="21"/>
        </w:rPr>
        <w:t>本合</w:t>
      </w:r>
      <w:r>
        <w:rPr>
          <w:sz w:val="21"/>
        </w:rPr>
        <w:t>同的</w:t>
      </w:r>
      <w:r>
        <w:rPr>
          <w:spacing w:val="-5"/>
          <w:sz w:val="21"/>
        </w:rPr>
        <w:t>保</w:t>
      </w:r>
      <w:r>
        <w:rPr>
          <w:sz w:val="21"/>
        </w:rPr>
        <w:t>险金额</w:t>
      </w:r>
      <w:r>
        <w:rPr>
          <w:spacing w:val="-5"/>
          <w:sz w:val="21"/>
        </w:rPr>
        <w:t>由</w:t>
      </w:r>
      <w:r>
        <w:rPr>
          <w:sz w:val="21"/>
        </w:rPr>
        <w:t>您在投</w:t>
      </w:r>
      <w:r>
        <w:rPr>
          <w:spacing w:val="-5"/>
          <w:sz w:val="21"/>
        </w:rPr>
        <w:t>保</w:t>
      </w:r>
      <w:r>
        <w:rPr>
          <w:sz w:val="21"/>
        </w:rPr>
        <w:t>时与我</w:t>
      </w:r>
      <w:r>
        <w:rPr>
          <w:spacing w:val="-5"/>
          <w:sz w:val="21"/>
        </w:rPr>
        <w:t>们</w:t>
      </w:r>
      <w:r>
        <w:rPr>
          <w:sz w:val="21"/>
        </w:rPr>
        <w:t>约定，</w:t>
      </w:r>
      <w:r>
        <w:rPr>
          <w:spacing w:val="-5"/>
          <w:sz w:val="21"/>
        </w:rPr>
        <w:t>并</w:t>
      </w:r>
      <w:r>
        <w:rPr>
          <w:sz w:val="21"/>
        </w:rPr>
        <w:t>在</w:t>
      </w:r>
      <w:r>
        <w:rPr>
          <w:spacing w:val="-5"/>
          <w:sz w:val="21"/>
        </w:rPr>
        <w:t>电</w:t>
      </w:r>
      <w:r>
        <w:rPr>
          <w:sz w:val="21"/>
        </w:rPr>
        <w:t>子保险单</w:t>
      </w:r>
      <w:r>
        <w:rPr>
          <w:spacing w:val="-5"/>
          <w:sz w:val="21"/>
        </w:rPr>
        <w:t>上</w:t>
      </w:r>
      <w:r>
        <w:rPr>
          <w:sz w:val="21"/>
        </w:rPr>
        <w:t>载明。</w:t>
      </w:r>
    </w:p>
    <w:p>
      <w:pPr>
        <w:pStyle w:val="ListParagraph"/>
        <w:numPr>
          <w:ilvl w:val="1"/>
          <w:numId w:val="2"/>
        </w:numPr>
        <w:tabs>
          <w:tab w:pos="932" w:val="left" w:leader="none"/>
          <w:tab w:pos="933" w:val="left" w:leader="none"/>
          <w:tab w:pos="2511" w:val="left" w:leader="none"/>
        </w:tabs>
        <w:spacing w:line="249" w:lineRule="auto" w:before="119" w:after="0"/>
        <w:ind w:left="2512" w:right="218" w:hanging="2290"/>
        <w:jc w:val="left"/>
        <w:rPr>
          <w:sz w:val="21"/>
        </w:rPr>
      </w:pPr>
      <w:r>
        <w:rPr>
          <w:rFonts w:ascii="Microsoft JhengHei" w:eastAsia="Microsoft JhengHei" w:hint="eastAsia"/>
          <w:b/>
          <w:sz w:val="21"/>
        </w:rPr>
        <w:t>保险期间</w:t>
        <w:tab/>
      </w:r>
      <w:r>
        <w:rPr>
          <w:sz w:val="21"/>
        </w:rPr>
        <w:t>本合同的</w:t>
      </w:r>
      <w:r>
        <w:rPr>
          <w:spacing w:val="-5"/>
          <w:sz w:val="21"/>
        </w:rPr>
        <w:t>保</w:t>
      </w:r>
      <w:r>
        <w:rPr>
          <w:sz w:val="21"/>
        </w:rPr>
        <w:t>险期间为</w:t>
      </w:r>
      <w:r>
        <w:rPr>
          <w:spacing w:val="-39"/>
          <w:sz w:val="21"/>
        </w:rPr>
        <w:t> </w:t>
      </w:r>
      <w:r>
        <w:rPr>
          <w:sz w:val="21"/>
        </w:rPr>
        <w:t>1</w:t>
      </w:r>
      <w:r>
        <w:rPr>
          <w:spacing w:val="-33"/>
          <w:sz w:val="21"/>
        </w:rPr>
        <w:t> </w:t>
      </w:r>
      <w:r>
        <w:rPr>
          <w:sz w:val="21"/>
        </w:rPr>
        <w:t>年</w:t>
      </w:r>
      <w:r>
        <w:rPr>
          <w:spacing w:val="-44"/>
          <w:sz w:val="21"/>
        </w:rPr>
        <w:t>，</w:t>
      </w:r>
      <w:r>
        <w:rPr>
          <w:spacing w:val="-5"/>
          <w:sz w:val="21"/>
        </w:rPr>
        <w:t>自</w:t>
      </w:r>
      <w:r>
        <w:rPr>
          <w:sz w:val="21"/>
        </w:rPr>
        <w:t>本合同</w:t>
      </w:r>
      <w:r>
        <w:rPr>
          <w:spacing w:val="-5"/>
          <w:sz w:val="21"/>
        </w:rPr>
        <w:t>生</w:t>
      </w:r>
      <w:r>
        <w:rPr>
          <w:sz w:val="21"/>
        </w:rPr>
        <w:t>效之时</w:t>
      </w:r>
      <w:r>
        <w:rPr>
          <w:spacing w:val="-5"/>
          <w:sz w:val="21"/>
        </w:rPr>
        <w:t>开</w:t>
      </w:r>
      <w:r>
        <w:rPr>
          <w:sz w:val="21"/>
        </w:rPr>
        <w:t>始</w:t>
      </w:r>
      <w:r>
        <w:rPr>
          <w:spacing w:val="-48"/>
          <w:sz w:val="21"/>
        </w:rPr>
        <w:t>，</w:t>
      </w:r>
      <w:r>
        <w:rPr>
          <w:sz w:val="21"/>
        </w:rPr>
        <w:t>至电子保</w:t>
      </w:r>
      <w:r>
        <w:rPr>
          <w:spacing w:val="-5"/>
          <w:sz w:val="21"/>
        </w:rPr>
        <w:t>险</w:t>
      </w:r>
      <w:r>
        <w:rPr>
          <w:sz w:val="21"/>
        </w:rPr>
        <w:t>单载明</w:t>
      </w:r>
      <w:r>
        <w:rPr>
          <w:spacing w:val="-5"/>
          <w:sz w:val="21"/>
        </w:rPr>
        <w:t>的</w:t>
      </w:r>
      <w:r>
        <w:rPr>
          <w:sz w:val="21"/>
        </w:rPr>
        <w:t>保险期间期满日的</w:t>
      </w:r>
      <w:r>
        <w:rPr>
          <w:spacing w:val="-47"/>
          <w:sz w:val="21"/>
        </w:rPr>
        <w:t> </w:t>
      </w:r>
      <w:r>
        <w:rPr>
          <w:spacing w:val="-3"/>
          <w:sz w:val="21"/>
        </w:rPr>
        <w:t>24</w:t>
      </w:r>
      <w:r>
        <w:rPr>
          <w:spacing w:val="-48"/>
          <w:sz w:val="21"/>
        </w:rPr>
        <w:t> </w:t>
      </w:r>
      <w:r>
        <w:rPr>
          <w:sz w:val="21"/>
        </w:rPr>
        <w:t>时止。</w:t>
      </w:r>
    </w:p>
    <w:p>
      <w:pPr>
        <w:pStyle w:val="ListParagraph"/>
        <w:numPr>
          <w:ilvl w:val="1"/>
          <w:numId w:val="2"/>
        </w:numPr>
        <w:tabs>
          <w:tab w:pos="932" w:val="left" w:leader="none"/>
          <w:tab w:pos="933" w:val="left" w:leader="none"/>
          <w:tab w:pos="2511" w:val="left" w:leader="none"/>
        </w:tabs>
        <w:spacing w:line="240" w:lineRule="auto" w:before="129" w:after="0"/>
        <w:ind w:left="2512" w:right="0" w:hanging="2290"/>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担如下</w:t>
      </w:r>
      <w:r>
        <w:rPr>
          <w:spacing w:val="-5"/>
          <w:sz w:val="21"/>
        </w:rPr>
        <w:t>保</w:t>
      </w:r>
      <w:r>
        <w:rPr>
          <w:sz w:val="21"/>
        </w:rPr>
        <w:t>险责任：</w:t>
      </w:r>
    </w:p>
    <w:p>
      <w:pPr>
        <w:pStyle w:val="BodyText"/>
        <w:spacing w:before="5"/>
        <w:ind w:left="0"/>
        <w:rPr>
          <w:sz w:val="11"/>
        </w:rPr>
      </w:pPr>
    </w:p>
    <w:p>
      <w:pPr>
        <w:spacing w:after="0"/>
        <w:rPr>
          <w:sz w:val="11"/>
        </w:rPr>
        <w:sectPr>
          <w:type w:val="continuous"/>
          <w:pgSz w:w="11900" w:h="16840"/>
          <w:pgMar w:top="700" w:bottom="280" w:left="800" w:right="1100"/>
        </w:sectPr>
      </w:pPr>
    </w:p>
    <w:p>
      <w:pPr>
        <w:pStyle w:val="Heading4"/>
        <w:spacing w:line="208" w:lineRule="auto" w:before="41"/>
        <w:ind w:left="932"/>
      </w:pPr>
      <w:r>
        <w:rPr/>
        <w:t>重大疾病保险金</w:t>
      </w:r>
    </w:p>
    <w:p>
      <w:pPr>
        <w:pStyle w:val="BodyText"/>
        <w:spacing w:before="36"/>
        <w:ind w:left="267"/>
      </w:pPr>
      <w:r>
        <w:rPr/>
        <w:br w:type="column"/>
      </w:r>
      <w:r>
        <w:rPr/>
        <w:t>投保人首次为被保险人投保本保险或非连续投保本保险时，自本合同生效日起</w:t>
      </w:r>
    </w:p>
    <w:p>
      <w:pPr>
        <w:pStyle w:val="BodyText"/>
        <w:spacing w:line="232" w:lineRule="auto" w:before="45"/>
        <w:ind w:left="267" w:right="290"/>
        <w:jc w:val="both"/>
      </w:pPr>
      <w:r>
        <w:rPr/>
        <w:t>90</w:t>
      </w:r>
      <w:r>
        <w:rPr>
          <w:spacing w:val="-6"/>
        </w:rPr>
        <w:t> 日为等待期，投保人连续为同一被保险人投保本保险的续保合同无等待期； 被保险人经</w:t>
      </w:r>
      <w:r>
        <w:rPr>
          <w:rFonts w:ascii="Microsoft JhengHei" w:eastAsia="Microsoft JhengHei" w:hint="eastAsia"/>
          <w:b/>
        </w:rPr>
        <w:t>医院</w:t>
      </w:r>
      <w:r>
        <w:rPr/>
        <w:t>（</w:t>
      </w:r>
      <w:r>
        <w:rPr>
          <w:spacing w:val="-21"/>
        </w:rPr>
        <w:t>见 </w:t>
      </w:r>
      <w:r>
        <w:rPr>
          <w:spacing w:val="-3"/>
        </w:rPr>
        <w:t>8.2）</w:t>
      </w:r>
      <w:r>
        <w:rPr>
          <w:rFonts w:ascii="Microsoft JhengHei" w:eastAsia="Microsoft JhengHei" w:hint="eastAsia"/>
          <w:b/>
        </w:rPr>
        <w:t>初次确诊</w:t>
      </w:r>
      <w:r>
        <w:rPr>
          <w:spacing w:val="-5"/>
        </w:rPr>
        <w:t>（</w:t>
      </w:r>
      <w:r>
        <w:rPr>
          <w:spacing w:val="-21"/>
        </w:rPr>
        <w:t>见 </w:t>
      </w:r>
      <w:r>
        <w:rPr/>
        <w:t>8.3）</w:t>
      </w:r>
      <w:r>
        <w:rPr>
          <w:spacing w:val="-5"/>
        </w:rPr>
        <w:t>因</w:t>
      </w:r>
      <w:r>
        <w:rPr>
          <w:rFonts w:ascii="Microsoft JhengHei" w:eastAsia="Microsoft JhengHei" w:hint="eastAsia"/>
          <w:b/>
          <w:spacing w:val="-2"/>
        </w:rPr>
        <w:t>意外伤害</w:t>
      </w:r>
      <w:r>
        <w:rPr/>
        <w:t>（</w:t>
      </w:r>
      <w:r>
        <w:rPr>
          <w:spacing w:val="-21"/>
        </w:rPr>
        <w:t>见 </w:t>
      </w:r>
      <w:r>
        <w:rPr/>
        <w:t>8.4）</w:t>
      </w:r>
      <w:r>
        <w:rPr>
          <w:spacing w:val="-2"/>
        </w:rPr>
        <w:t>导致罹患</w:t>
      </w:r>
      <w:r>
        <w:rPr>
          <w:spacing w:val="-5"/>
        </w:rPr>
        <w:t>重大疾病的，保险责任无等待期。</w:t>
      </w:r>
    </w:p>
    <w:p>
      <w:pPr>
        <w:pStyle w:val="BodyText"/>
        <w:spacing w:line="273" w:lineRule="auto" w:before="37"/>
        <w:ind w:left="267" w:right="218"/>
        <w:jc w:val="both"/>
      </w:pPr>
      <w:r>
        <w:rPr>
          <w:spacing w:val="-9"/>
        </w:rPr>
        <w:t>在等待期内，被保险人经医院初次确诊罹患本合同所定义的重大疾病</w:t>
      </w:r>
      <w:r>
        <w:rPr>
          <w:spacing w:val="-5"/>
        </w:rPr>
        <w:t>（</w:t>
      </w:r>
      <w:r>
        <w:rPr>
          <w:spacing w:val="-2"/>
        </w:rPr>
        <w:t>无论一种</w:t>
      </w:r>
      <w:r>
        <w:rPr>
          <w:spacing w:val="-2"/>
          <w:w w:val="100"/>
        </w:rPr>
        <w:t>或多种</w:t>
      </w:r>
      <w:r>
        <w:rPr>
          <w:spacing w:val="-106"/>
          <w:w w:val="100"/>
        </w:rPr>
        <w:t>）</w:t>
      </w:r>
      <w:r>
        <w:rPr>
          <w:spacing w:val="-5"/>
          <w:w w:val="100"/>
        </w:rPr>
        <w:t>，我们按您已交的本合同的保险费数额向重大疾病保险金受益人给付重</w:t>
      </w:r>
      <w:r>
        <w:rPr>
          <w:spacing w:val="-5"/>
        </w:rPr>
        <w:t>大疾病保险金，本合同终止。</w:t>
      </w:r>
    </w:p>
    <w:p>
      <w:pPr>
        <w:pStyle w:val="BodyText"/>
        <w:spacing w:line="273" w:lineRule="auto" w:before="7"/>
        <w:ind w:left="272" w:right="218"/>
        <w:jc w:val="both"/>
      </w:pPr>
      <w:r>
        <w:rPr>
          <w:spacing w:val="-9"/>
        </w:rPr>
        <w:t>在等待期后，被保险人经医院初次确诊罹患本合同所定义的重大疾病</w:t>
      </w:r>
      <w:r>
        <w:rPr/>
        <w:t>（</w:t>
      </w:r>
      <w:r>
        <w:rPr>
          <w:spacing w:val="-2"/>
        </w:rPr>
        <w:t>无论一种</w:t>
      </w:r>
      <w:r>
        <w:rPr>
          <w:spacing w:val="-2"/>
          <w:w w:val="100"/>
        </w:rPr>
        <w:t>或多种</w:t>
      </w:r>
      <w:r>
        <w:rPr>
          <w:spacing w:val="-106"/>
          <w:w w:val="100"/>
        </w:rPr>
        <w:t>）</w:t>
      </w:r>
      <w:r>
        <w:rPr>
          <w:spacing w:val="-5"/>
          <w:w w:val="100"/>
        </w:rPr>
        <w:t>，我们按本合同的保险金额向重大疾病保险金受益人给付重大疾病保险</w:t>
      </w:r>
      <w:r>
        <w:rPr>
          <w:spacing w:val="-5"/>
        </w:rPr>
        <w:t>金，本合同终止。</w:t>
      </w:r>
    </w:p>
    <w:p>
      <w:pPr>
        <w:pStyle w:val="BodyText"/>
        <w:spacing w:before="161"/>
        <w:ind w:left="267"/>
        <w:jc w:val="both"/>
        <w:rPr>
          <w:rFonts w:ascii="黑体" w:hAnsi="黑体" w:eastAsia="黑体" w:hint="eastAsia"/>
        </w:rPr>
      </w:pPr>
      <w:r>
        <w:rPr>
          <w:rFonts w:ascii="黑体" w:hAnsi="黑体" w:eastAsia="黑体" w:hint="eastAsia"/>
        </w:rPr>
        <w:t>本合同所定义的重大疾病载明于本合同“7.重大疾病定义”。</w:t>
      </w:r>
    </w:p>
    <w:p>
      <w:pPr>
        <w:spacing w:after="0"/>
        <w:jc w:val="both"/>
        <w:rPr>
          <w:rFonts w:ascii="黑体" w:hAnsi="黑体" w:eastAsia="黑体" w:hint="eastAsia"/>
        </w:rPr>
        <w:sectPr>
          <w:type w:val="continuous"/>
          <w:pgSz w:w="11900" w:h="16840"/>
          <w:pgMar w:top="700" w:bottom="280" w:left="800" w:right="1100"/>
          <w:cols w:num="2" w:equalWidth="0">
            <w:col w:w="2200" w:space="40"/>
            <w:col w:w="7760"/>
          </w:cols>
        </w:sectPr>
      </w:pPr>
    </w:p>
    <w:p>
      <w:pPr>
        <w:pStyle w:val="BodyText"/>
        <w:ind w:left="0"/>
        <w:rPr>
          <w:rFonts w:ascii="黑体"/>
          <w:sz w:val="25"/>
        </w:rPr>
      </w:pPr>
    </w:p>
    <w:p>
      <w:pPr>
        <w:pStyle w:val="ListParagraph"/>
        <w:numPr>
          <w:ilvl w:val="1"/>
          <w:numId w:val="2"/>
        </w:numPr>
        <w:tabs>
          <w:tab w:pos="932" w:val="left" w:leader="none"/>
          <w:tab w:pos="933" w:val="left" w:leader="none"/>
          <w:tab w:pos="2511" w:val="left" w:leader="none"/>
        </w:tabs>
        <w:spacing w:line="312" w:lineRule="exact" w:before="32" w:after="0"/>
        <w:ind w:left="2512" w:right="218" w:hanging="2290"/>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w:t>
      </w:r>
      <w:r>
        <w:rPr>
          <w:rFonts w:ascii="黑体" w:eastAsia="黑体" w:hint="eastAsia"/>
          <w:sz w:val="21"/>
        </w:rPr>
        <w:t>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合</w:t>
      </w:r>
      <w:r>
        <w:rPr>
          <w:rFonts w:ascii="黑体" w:eastAsia="黑体" w:hint="eastAsia"/>
          <w:sz w:val="21"/>
        </w:rPr>
        <w:t>同定义</w:t>
      </w:r>
      <w:r>
        <w:rPr>
          <w:rFonts w:ascii="黑体" w:eastAsia="黑体" w:hint="eastAsia"/>
          <w:spacing w:val="-5"/>
          <w:sz w:val="21"/>
        </w:rPr>
        <w:t>的</w:t>
      </w:r>
      <w:r>
        <w:rPr>
          <w:rFonts w:ascii="黑体" w:eastAsia="黑体" w:hint="eastAsia"/>
          <w:sz w:val="21"/>
        </w:rPr>
        <w:t>重</w:t>
      </w:r>
      <w:r>
        <w:rPr>
          <w:rFonts w:ascii="黑体" w:eastAsia="黑体" w:hint="eastAsia"/>
          <w:spacing w:val="-5"/>
          <w:sz w:val="21"/>
        </w:rPr>
        <w:t>大</w:t>
      </w:r>
      <w:r>
        <w:rPr>
          <w:rFonts w:ascii="黑体" w:eastAsia="黑体" w:hint="eastAsia"/>
          <w:sz w:val="21"/>
        </w:rPr>
        <w:t>疾病的</w:t>
      </w:r>
      <w:r>
        <w:rPr>
          <w:rFonts w:ascii="黑体" w:eastAsia="黑体" w:hint="eastAsia"/>
          <w:spacing w:val="-87"/>
          <w:sz w:val="21"/>
        </w:rPr>
        <w:t>，</w:t>
      </w:r>
      <w:r>
        <w:rPr>
          <w:rFonts w:ascii="黑体" w:eastAsia="黑体" w:hint="eastAsia"/>
          <w:spacing w:val="-5"/>
          <w:sz w:val="21"/>
        </w:rPr>
        <w:t>我</w:t>
      </w:r>
      <w:r>
        <w:rPr>
          <w:rFonts w:ascii="黑体" w:eastAsia="黑体" w:hint="eastAsia"/>
          <w:sz w:val="21"/>
        </w:rPr>
        <w:t>们不承</w:t>
      </w:r>
      <w:r>
        <w:rPr>
          <w:rFonts w:ascii="黑体" w:eastAsia="黑体" w:hint="eastAsia"/>
          <w:spacing w:val="-5"/>
          <w:sz w:val="21"/>
        </w:rPr>
        <w:t>担</w:t>
      </w:r>
      <w:r>
        <w:rPr>
          <w:rFonts w:ascii="黑体" w:eastAsia="黑体" w:hint="eastAsia"/>
          <w:sz w:val="21"/>
        </w:rPr>
        <w:t>给付保 险金的责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232" w:val="left" w:leader="none"/>
        </w:tabs>
        <w:spacing w:line="240" w:lineRule="auto" w:before="4" w:after="0"/>
        <w:ind w:left="3232" w:right="0" w:hanging="720"/>
        <w:jc w:val="left"/>
        <w:rPr>
          <w:sz w:val="21"/>
        </w:rPr>
      </w:pPr>
      <w:r>
        <w:rPr>
          <w:rFonts w:ascii="黑体" w:eastAsia="黑体" w:hint="eastAsia"/>
          <w:spacing w:val="-4"/>
          <w:sz w:val="21"/>
        </w:rPr>
        <w:t>投保人对被保险人的故意杀害、故意伤害；</w:t>
      </w:r>
    </w:p>
    <w:p>
      <w:pPr>
        <w:pStyle w:val="ListParagraph"/>
        <w:numPr>
          <w:ilvl w:val="2"/>
          <w:numId w:val="2"/>
        </w:numPr>
        <w:tabs>
          <w:tab w:pos="3232" w:val="left" w:leader="none"/>
        </w:tabs>
        <w:spacing w:line="241" w:lineRule="exact" w:before="13" w:after="0"/>
        <w:ind w:left="3232" w:right="0" w:hanging="720"/>
        <w:jc w:val="left"/>
        <w:rPr>
          <w:sz w:val="21"/>
        </w:rPr>
      </w:pPr>
      <w:r>
        <w:rPr>
          <w:rFonts w:ascii="黑体" w:eastAsia="黑体" w:hint="eastAsia"/>
          <w:spacing w:val="-5"/>
          <w:sz w:val="21"/>
        </w:rPr>
        <w:t>被保险人故意自伤、故意犯罪或抗拒依法采取的刑事强制措施；</w:t>
      </w:r>
    </w:p>
    <w:p>
      <w:pPr>
        <w:pStyle w:val="ListParagraph"/>
        <w:numPr>
          <w:ilvl w:val="2"/>
          <w:numId w:val="2"/>
        </w:numPr>
        <w:tabs>
          <w:tab w:pos="3232" w:val="left" w:leader="none"/>
        </w:tabs>
        <w:spacing w:line="332" w:lineRule="exact" w:before="0" w:after="0"/>
        <w:ind w:left="3232" w:right="0" w:hanging="720"/>
        <w:jc w:val="left"/>
        <w:rPr>
          <w:sz w:val="21"/>
        </w:rPr>
      </w:pPr>
      <w:r>
        <w:rPr>
          <w:rFonts w:ascii="黑体" w:eastAsia="黑体" w:hint="eastAsia"/>
          <w:spacing w:val="-3"/>
          <w:w w:val="100"/>
          <w:sz w:val="21"/>
        </w:rPr>
        <w:t>被保险人主动吸食或注射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8.5</w:t>
      </w:r>
      <w:r>
        <w:rPr>
          <w:rFonts w:ascii="黑体" w:eastAsia="黑体" w:hint="eastAsia"/>
          <w:spacing w:val="-106"/>
          <w:w w:val="100"/>
          <w:sz w:val="21"/>
        </w:rPr>
        <w:t>）</w:t>
      </w:r>
      <w:r>
        <w:rPr>
          <w:rFonts w:ascii="黑体" w:eastAsia="黑体" w:hint="eastAsia"/>
          <w:w w:val="100"/>
          <w:sz w:val="21"/>
        </w:rPr>
        <w:t>；</w:t>
      </w:r>
    </w:p>
    <w:p>
      <w:pPr>
        <w:spacing w:after="0" w:line="332" w:lineRule="exact"/>
        <w:jc w:val="left"/>
        <w:rPr>
          <w:sz w:val="21"/>
        </w:rPr>
        <w:sectPr>
          <w:type w:val="continuous"/>
          <w:pgSz w:w="11900" w:h="16840"/>
          <w:pgMar w:top="700" w:bottom="280" w:left="800" w:right="1100"/>
        </w:sectPr>
      </w:pPr>
    </w:p>
    <w:p>
      <w:pPr>
        <w:pStyle w:val="ListParagraph"/>
        <w:numPr>
          <w:ilvl w:val="2"/>
          <w:numId w:val="2"/>
        </w:numPr>
        <w:tabs>
          <w:tab w:pos="3232" w:val="left" w:leader="none"/>
        </w:tabs>
        <w:spacing w:line="180" w:lineRule="auto" w:before="40" w:after="0"/>
        <w:ind w:left="3232" w:right="348" w:hanging="720"/>
        <w:jc w:val="left"/>
        <w:rPr>
          <w:sz w:val="21"/>
        </w:rPr>
      </w:pPr>
      <w:r>
        <w:rPr>
          <w:rFonts w:ascii="黑体" w:eastAsia="黑体" w:hint="eastAsia"/>
          <w:spacing w:val="-2"/>
          <w:w w:val="100"/>
          <w:sz w:val="21"/>
        </w:rPr>
        <w:t>被保险人</w:t>
      </w:r>
      <w:r>
        <w:rPr>
          <w:rFonts w:ascii="Microsoft JhengHei" w:eastAsia="Microsoft JhengHei" w:hint="eastAsia"/>
          <w:b/>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8.6</w:t>
      </w:r>
      <w:r>
        <w:rPr>
          <w:rFonts w:ascii="黑体" w:eastAsia="黑体" w:hint="eastAsia"/>
          <w:spacing w:val="-111"/>
          <w:w w:val="100"/>
          <w:sz w:val="21"/>
        </w:rPr>
        <w:t>）</w:t>
      </w:r>
      <w:r>
        <w:rPr>
          <w:rFonts w:ascii="黑体" w:eastAsia="黑体" w:hint="eastAsia"/>
          <w:spacing w:val="-5"/>
          <w:w w:val="100"/>
          <w:sz w:val="21"/>
        </w:rPr>
        <w:t>、</w:t>
      </w:r>
      <w:r>
        <w:rPr>
          <w:rFonts w:ascii="Microsoft JhengHei" w:eastAsia="Microsoft JhengHei" w:hint="eastAsia"/>
          <w:b/>
          <w:spacing w:val="-1"/>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8.7</w:t>
      </w:r>
      <w:r>
        <w:rPr>
          <w:rFonts w:ascii="黑体" w:eastAsia="黑体" w:hint="eastAsia"/>
          <w:spacing w:val="-106"/>
          <w:w w:val="100"/>
          <w:sz w:val="21"/>
        </w:rPr>
        <w:t>）</w:t>
      </w:r>
      <w:r>
        <w:rPr>
          <w:rFonts w:ascii="黑体" w:eastAsia="黑体" w:hint="eastAsia"/>
          <w:spacing w:val="-2"/>
          <w:w w:val="100"/>
          <w:sz w:val="21"/>
        </w:rPr>
        <w:t>，或驾驶</w:t>
      </w:r>
      <w:r>
        <w:rPr>
          <w:rFonts w:ascii="Microsoft JhengHei" w:eastAsia="Microsoft JhengHei" w:hint="eastAsia"/>
          <w:b/>
          <w:spacing w:val="-2"/>
          <w:w w:val="100"/>
          <w:sz w:val="21"/>
        </w:rPr>
        <w:t>无有效行驶证</w:t>
      </w:r>
      <w:r>
        <w:rPr>
          <w:rFonts w:ascii="黑体" w:eastAsia="黑体" w:hint="eastAsia"/>
          <w:spacing w:val="-2"/>
          <w:w w:val="100"/>
          <w:sz w:val="21"/>
        </w:rPr>
        <w:t>（见</w:t>
      </w:r>
      <w:r>
        <w:rPr>
          <w:rFonts w:ascii="黑体" w:eastAsia="黑体" w:hint="eastAsia"/>
          <w:spacing w:val="-53"/>
          <w:sz w:val="21"/>
        </w:rPr>
        <w:t> </w:t>
      </w:r>
      <w:r>
        <w:rPr>
          <w:rFonts w:ascii="黑体" w:eastAsia="黑体" w:hint="eastAsia"/>
          <w:spacing w:val="-5"/>
          <w:w w:val="100"/>
          <w:sz w:val="21"/>
        </w:rPr>
        <w:t>8</w:t>
      </w:r>
      <w:r>
        <w:rPr>
          <w:rFonts w:ascii="黑体" w:eastAsia="黑体" w:hint="eastAsia"/>
          <w:w w:val="100"/>
          <w:sz w:val="21"/>
        </w:rPr>
        <w:t>.8）</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5"/>
          <w:w w:val="100"/>
          <w:sz w:val="21"/>
        </w:rPr>
        <w:t>9</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232" w:val="left" w:leader="none"/>
        </w:tabs>
        <w:spacing w:line="247" w:lineRule="exact" w:before="0" w:after="0"/>
        <w:ind w:left="3232" w:right="0" w:hanging="720"/>
        <w:jc w:val="left"/>
        <w:rPr>
          <w:sz w:val="21"/>
        </w:rPr>
      </w:pPr>
      <w:r>
        <w:rPr>
          <w:rFonts w:ascii="黑体" w:eastAsia="黑体" w:hint="eastAsia"/>
          <w:spacing w:val="-4"/>
          <w:sz w:val="21"/>
        </w:rPr>
        <w:t>战争、军事冲突、暴乱或武装叛乱；</w:t>
      </w:r>
    </w:p>
    <w:p>
      <w:pPr>
        <w:pStyle w:val="ListParagraph"/>
        <w:numPr>
          <w:ilvl w:val="2"/>
          <w:numId w:val="2"/>
        </w:numPr>
        <w:tabs>
          <w:tab w:pos="3232" w:val="left" w:leader="none"/>
        </w:tabs>
        <w:spacing w:line="238" w:lineRule="exact" w:before="0" w:after="0"/>
        <w:ind w:left="3232" w:right="0" w:hanging="720"/>
        <w:jc w:val="left"/>
        <w:rPr>
          <w:sz w:val="21"/>
        </w:rPr>
      </w:pPr>
      <w:r>
        <w:rPr>
          <w:rFonts w:ascii="黑体" w:eastAsia="黑体" w:hint="eastAsia"/>
          <w:spacing w:val="-3"/>
          <w:sz w:val="21"/>
        </w:rPr>
        <w:t>核爆炸、核辐射或核污染；</w:t>
      </w:r>
    </w:p>
    <w:p>
      <w:pPr>
        <w:pStyle w:val="ListParagraph"/>
        <w:numPr>
          <w:ilvl w:val="2"/>
          <w:numId w:val="2"/>
        </w:numPr>
        <w:tabs>
          <w:tab w:pos="3232" w:val="left" w:leader="none"/>
        </w:tabs>
        <w:spacing w:line="220" w:lineRule="auto" w:before="0" w:after="0"/>
        <w:ind w:left="3232" w:right="343" w:hanging="720"/>
        <w:jc w:val="left"/>
        <w:rPr>
          <w:sz w:val="21"/>
        </w:rPr>
      </w:pPr>
      <w:r>
        <w:rPr>
          <w:rFonts w:ascii="Microsoft JhengHei" w:eastAsia="Microsoft JhengHei" w:hint="eastAsia"/>
          <w:b/>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5"/>
          <w:w w:val="100"/>
          <w:sz w:val="21"/>
        </w:rPr>
        <w:t>1</w:t>
      </w:r>
      <w:r>
        <w:rPr>
          <w:rFonts w:ascii="黑体" w:eastAsia="黑体" w:hint="eastAsia"/>
          <w:spacing w:val="-1"/>
          <w:w w:val="100"/>
          <w:sz w:val="21"/>
        </w:rPr>
        <w:t>0</w:t>
      </w:r>
      <w:r>
        <w:rPr>
          <w:rFonts w:ascii="黑体" w:eastAsia="黑体" w:hint="eastAsia"/>
          <w:spacing w:val="-106"/>
          <w:w w:val="100"/>
          <w:sz w:val="21"/>
        </w:rPr>
        <w:t>）</w:t>
      </w:r>
      <w:r>
        <w:rPr>
          <w:rFonts w:ascii="黑体" w:eastAsia="黑体" w:hint="eastAsia"/>
          <w:spacing w:val="-5"/>
          <w:w w:val="100"/>
          <w:sz w:val="21"/>
        </w:rPr>
        <w:t>，</w:t>
      </w:r>
      <w:r>
        <w:rPr>
          <w:rFonts w:ascii="Microsoft JhengHei" w:eastAsia="Microsoft JhengHei" w:hint="eastAsia"/>
          <w:b/>
          <w:w w:val="100"/>
          <w:sz w:val="21"/>
        </w:rPr>
        <w:t>先天性畸形</w:t>
      </w:r>
      <w:r>
        <w:rPr>
          <w:rFonts w:ascii="黑体" w:eastAsia="黑体" w:hint="eastAsia"/>
          <w:spacing w:val="-5"/>
          <w:w w:val="100"/>
          <w:sz w:val="21"/>
        </w:rPr>
        <w:t>、</w:t>
      </w:r>
      <w:r>
        <w:rPr>
          <w:rFonts w:ascii="Microsoft JhengHei" w:eastAsia="Microsoft JhengHei" w:hint="eastAsia"/>
          <w:b/>
          <w:w w:val="100"/>
          <w:sz w:val="21"/>
        </w:rPr>
        <w:t>变形或染色体异常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8.11</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2"/>
          <w:sz w:val="21"/>
        </w:rPr>
        <w:t>但本合同有特别约定的除外。</w:t>
      </w:r>
    </w:p>
    <w:p>
      <w:pPr>
        <w:pStyle w:val="BodyText"/>
        <w:spacing w:line="189" w:lineRule="auto" w:before="61"/>
        <w:ind w:right="146"/>
        <w:rPr>
          <w:rFonts w:ascii="黑体" w:eastAsia="黑体" w:hint="eastAsia"/>
        </w:rPr>
      </w:pPr>
      <w:r>
        <w:rPr>
          <w:rFonts w:ascii="黑体" w:eastAsia="黑体" w:hint="eastAsia"/>
          <w:spacing w:val="-11"/>
        </w:rPr>
        <w:t>因上述第</w:t>
      </w:r>
      <w:r>
        <w:rPr>
          <w:rFonts w:ascii="黑体" w:eastAsia="黑体" w:hint="eastAsia"/>
          <w:spacing w:val="-13"/>
        </w:rPr>
        <w:t>（1）</w:t>
      </w:r>
      <w:r>
        <w:rPr>
          <w:rFonts w:ascii="黑体" w:eastAsia="黑体" w:hint="eastAsia"/>
          <w:spacing w:val="-4"/>
        </w:rPr>
        <w:t>项情形导致被保险人发</w:t>
      </w:r>
      <w:r>
        <w:rPr>
          <w:rFonts w:ascii="黑体" w:eastAsia="黑体" w:hint="eastAsia"/>
        </w:rPr>
        <w:t>Th</w:t>
      </w:r>
      <w:r>
        <w:rPr>
          <w:rFonts w:ascii="黑体" w:eastAsia="黑体" w:hint="eastAsia"/>
          <w:spacing w:val="-8"/>
        </w:rPr>
        <w:t>本合同定义的重大疾病的，本合同终止， </w:t>
      </w:r>
      <w:r>
        <w:rPr>
          <w:rFonts w:ascii="黑体" w:eastAsia="黑体" w:hint="eastAsia"/>
          <w:spacing w:val="-5"/>
        </w:rPr>
        <w:t>我们向重大疾病保险金受益人给付本合同终止之日的</w:t>
      </w:r>
      <w:r>
        <w:rPr>
          <w:rFonts w:ascii="Microsoft JhengHei" w:eastAsia="Microsoft JhengHei" w:hint="eastAsia"/>
          <w:b/>
        </w:rPr>
        <w:t>未满期净保险费</w:t>
      </w:r>
      <w:r>
        <w:rPr>
          <w:rFonts w:ascii="黑体" w:eastAsia="黑体" w:hint="eastAsia"/>
        </w:rPr>
        <w:t>（见</w:t>
      </w:r>
    </w:p>
    <w:p>
      <w:pPr>
        <w:pStyle w:val="BodyText"/>
        <w:spacing w:line="250" w:lineRule="exact"/>
        <w:rPr>
          <w:rFonts w:ascii="黑体" w:eastAsia="黑体" w:hint="eastAsia"/>
        </w:rPr>
      </w:pPr>
      <w:r>
        <w:rPr>
          <w:rFonts w:ascii="黑体" w:eastAsia="黑体" w:hint="eastAsia"/>
          <w:w w:val="100"/>
        </w:rPr>
        <w:t>8.12</w:t>
      </w:r>
      <w:r>
        <w:rPr>
          <w:rFonts w:ascii="黑体" w:eastAsia="黑体" w:hint="eastAsia"/>
          <w:spacing w:val="-106"/>
          <w:w w:val="100"/>
        </w:rPr>
        <w:t>）</w:t>
      </w:r>
      <w:r>
        <w:rPr>
          <w:rFonts w:ascii="黑体" w:eastAsia="黑体" w:hint="eastAsia"/>
          <w:w w:val="100"/>
        </w:rPr>
        <w:t>。</w:t>
      </w:r>
    </w:p>
    <w:p>
      <w:pPr>
        <w:pStyle w:val="BodyText"/>
        <w:spacing w:line="273" w:lineRule="auto" w:before="23"/>
        <w:ind w:right="218"/>
        <w:rPr>
          <w:rFonts w:ascii="黑体" w:eastAsia="黑体" w:hint="eastAsia"/>
        </w:rPr>
      </w:pPr>
      <w:r>
        <w:rPr>
          <w:rFonts w:ascii="黑体" w:eastAsia="黑体" w:hint="eastAsia"/>
          <w:spacing w:val="-3"/>
        </w:rPr>
        <w:t>因上述其他情形导致被保险人发</w:t>
      </w:r>
      <w:r>
        <w:rPr>
          <w:rFonts w:ascii="黑体" w:eastAsia="黑体" w:hint="eastAsia"/>
        </w:rPr>
        <w:t>Th</w:t>
      </w:r>
      <w:r>
        <w:rPr>
          <w:rFonts w:ascii="黑体" w:eastAsia="黑体" w:hint="eastAsia"/>
          <w:spacing w:val="-10"/>
        </w:rPr>
        <w:t>本合同定义的重大疾病的，本合同终止，我们</w:t>
      </w:r>
      <w:r>
        <w:rPr>
          <w:rFonts w:ascii="黑体" w:eastAsia="黑体" w:hint="eastAsia"/>
          <w:spacing w:val="-5"/>
        </w:rPr>
        <w:t>向您退还本合同终止之日的未满期净保险费。</w:t>
      </w:r>
    </w:p>
    <w:p>
      <w:pPr>
        <w:pStyle w:val="BodyText"/>
        <w:spacing w:before="6"/>
        <w:ind w:left="0"/>
        <w:rPr>
          <w:rFonts w:ascii="黑体"/>
          <w:sz w:val="9"/>
        </w:rPr>
      </w:pPr>
    </w:p>
    <w:p>
      <w:pPr>
        <w:pStyle w:val="Heading2"/>
        <w:numPr>
          <w:ilvl w:val="0"/>
          <w:numId w:val="2"/>
        </w:numPr>
        <w:tabs>
          <w:tab w:pos="932" w:val="left" w:leader="none"/>
          <w:tab w:pos="933" w:val="left" w:leader="none"/>
        </w:tabs>
        <w:spacing w:line="368" w:lineRule="exact" w:before="0" w:after="11"/>
        <w:ind w:left="932" w:right="0" w:hanging="710"/>
        <w:jc w:val="left"/>
      </w:pPr>
      <w:r>
        <w:rPr/>
        <w:t>保险金的申请</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816,10" stroked="true" strokeweight=".96pt" strokecolor="#000000">
              <v:stroke dashstyle="solid"/>
            </v:line>
            <v:rect style="position:absolute;left:816;top:0;width:20;height:20" filled="true" fillcolor="#000000" stroked="false">
              <v:fill type="solid"/>
            </v:rect>
            <v:line style="position:absolute" from="835,10" to="2290,10" stroked="true" strokeweight=".96pt" strokecolor="#000000">
              <v:stroke dashstyle="solid"/>
            </v:line>
            <v:rect style="position:absolute;left:2289;top:0;width:20;height:20" filled="true" fillcolor="#000000" stroked="false">
              <v:fill type="solid"/>
            </v:rect>
            <v:line style="position:absolute" from="2309,10" to="9773,10" stroked="true" strokeweight=".96pt" strokecolor="#000000">
              <v:stroke dashstyle="solid"/>
            </v:line>
          </v:group>
        </w:pict>
      </w:r>
      <w:r>
        <w:rPr>
          <w:rFonts w:ascii="Microsoft JhengHei"/>
          <w:spacing w:val="6"/>
          <w:sz w:val="2"/>
        </w:rPr>
      </w:r>
    </w:p>
    <w:p>
      <w:pPr>
        <w:pStyle w:val="BodyText"/>
        <w:spacing w:before="15"/>
        <w:ind w:left="0"/>
        <w:rPr>
          <w:rFonts w:ascii="Microsoft JhengHei"/>
          <w:b/>
          <w:sz w:val="5"/>
        </w:rPr>
      </w:pPr>
    </w:p>
    <w:p>
      <w:pPr>
        <w:pStyle w:val="ListParagraph"/>
        <w:numPr>
          <w:ilvl w:val="1"/>
          <w:numId w:val="2"/>
        </w:numPr>
        <w:tabs>
          <w:tab w:pos="932" w:val="left" w:leader="none"/>
          <w:tab w:pos="933" w:val="left" w:leader="none"/>
          <w:tab w:pos="2511" w:val="left" w:leader="none"/>
        </w:tabs>
        <w:spacing w:line="335" w:lineRule="exact" w:before="0" w:after="0"/>
        <w:ind w:left="2512" w:right="0" w:hanging="2290"/>
        <w:jc w:val="left"/>
        <w:rPr>
          <w:sz w:val="21"/>
        </w:rPr>
      </w:pPr>
      <w:r>
        <w:rPr>
          <w:rFonts w:ascii="Microsoft JhengHei" w:eastAsia="Microsoft JhengHei" w:hint="eastAsia"/>
          <w:b/>
          <w:sz w:val="21"/>
        </w:rPr>
        <w:t>受益人</w:t>
        <w:tab/>
      </w:r>
      <w:r>
        <w:rPr>
          <w:spacing w:val="-1"/>
          <w:sz w:val="21"/>
        </w:rPr>
        <w:t>除</w:t>
      </w:r>
      <w:r>
        <w:rPr>
          <w:sz w:val="21"/>
        </w:rPr>
        <w:t>另有指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2"/>
        </w:numPr>
        <w:tabs>
          <w:tab w:pos="932" w:val="left" w:leader="none"/>
          <w:tab w:pos="933" w:val="left" w:leader="none"/>
          <w:tab w:pos="2511" w:val="left" w:leader="none"/>
        </w:tabs>
        <w:spacing w:line="264" w:lineRule="auto" w:before="114" w:after="0"/>
        <w:ind w:left="2512" w:right="218" w:hanging="2290"/>
        <w:jc w:val="left"/>
        <w:rPr>
          <w:rFonts w:ascii="黑体" w:eastAsia="黑体" w:hint="eastAsia"/>
          <w:sz w:val="21"/>
        </w:rPr>
      </w:pPr>
      <w:r>
        <w:rPr>
          <w:rFonts w:ascii="Microsoft JhengHei" w:eastAsia="Microsoft JhengHei" w:hint="eastAsia"/>
          <w:b/>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我们。故</w:t>
      </w:r>
      <w:r>
        <w:rPr>
          <w:rFonts w:ascii="黑体" w:eastAsia="黑体" w:hint="eastAsia"/>
          <w:spacing w:val="-5"/>
          <w:sz w:val="21"/>
        </w:rPr>
        <w:t>意</w:t>
      </w:r>
      <w:r>
        <w:rPr>
          <w:rFonts w:ascii="黑体" w:eastAsia="黑体" w:hint="eastAsia"/>
          <w:sz w:val="21"/>
        </w:rPr>
        <w:t>或者因</w:t>
      </w:r>
      <w:r>
        <w:rPr>
          <w:rFonts w:ascii="黑体" w:eastAsia="黑体" w:hint="eastAsia"/>
          <w:spacing w:val="-5"/>
          <w:sz w:val="21"/>
        </w:rPr>
        <w:t>重</w:t>
      </w:r>
      <w:r>
        <w:rPr>
          <w:rFonts w:ascii="黑体" w:eastAsia="黑体" w:hint="eastAsia"/>
          <w:sz w:val="21"/>
        </w:rPr>
        <w:t>大过失未及时通知</w:t>
      </w:r>
      <w:r>
        <w:rPr>
          <w:rFonts w:ascii="黑体" w:eastAsia="黑体" w:hint="eastAsia"/>
          <w:spacing w:val="-24"/>
          <w:sz w:val="21"/>
        </w:rPr>
        <w:t>，</w:t>
      </w:r>
      <w:r>
        <w:rPr>
          <w:rFonts w:ascii="黑体" w:eastAsia="黑体" w:hint="eastAsia"/>
          <w:spacing w:val="-5"/>
          <w:sz w:val="21"/>
        </w:rPr>
        <w:t>致</w:t>
      </w:r>
      <w:r>
        <w:rPr>
          <w:rFonts w:ascii="黑体" w:eastAsia="黑体" w:hint="eastAsia"/>
          <w:sz w:val="21"/>
        </w:rPr>
        <w:t>使保险</w:t>
      </w:r>
      <w:r>
        <w:rPr>
          <w:rFonts w:ascii="黑体" w:eastAsia="黑体" w:hint="eastAsia"/>
          <w:spacing w:val="-5"/>
          <w:sz w:val="21"/>
        </w:rPr>
        <w:t>事</w:t>
      </w:r>
      <w:r>
        <w:rPr>
          <w:rFonts w:ascii="黑体" w:eastAsia="黑体" w:hint="eastAsia"/>
          <w:sz w:val="21"/>
        </w:rPr>
        <w:t>故的性质</w:t>
      </w:r>
      <w:r>
        <w:rPr>
          <w:rFonts w:ascii="黑体" w:eastAsia="黑体" w:hint="eastAsia"/>
          <w:spacing w:val="-24"/>
          <w:sz w:val="21"/>
        </w:rPr>
        <w:t>、</w:t>
      </w:r>
      <w:r>
        <w:rPr>
          <w:rFonts w:ascii="黑体" w:eastAsia="黑体" w:hint="eastAsia"/>
          <w:spacing w:val="-5"/>
          <w:sz w:val="21"/>
        </w:rPr>
        <w:t>原</w:t>
      </w:r>
      <w:r>
        <w:rPr>
          <w:rFonts w:ascii="黑体" w:eastAsia="黑体" w:hint="eastAsia"/>
          <w:sz w:val="21"/>
        </w:rPr>
        <w:t>因</w:t>
      </w:r>
      <w:r>
        <w:rPr>
          <w:rFonts w:ascii="黑体" w:eastAsia="黑体" w:hint="eastAsia"/>
          <w:spacing w:val="-24"/>
          <w:sz w:val="21"/>
        </w:rPr>
        <w:t>、</w:t>
      </w:r>
      <w:r>
        <w:rPr>
          <w:rFonts w:ascii="黑体" w:eastAsia="黑体" w:hint="eastAsia"/>
          <w:sz w:val="21"/>
        </w:rPr>
        <w:t>损失程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w:t>
      </w:r>
      <w:r>
        <w:rPr>
          <w:rFonts w:ascii="黑体" w:eastAsia="黑体" w:hint="eastAsia"/>
          <w:spacing w:val="-24"/>
          <w:sz w:val="21"/>
        </w:rPr>
        <w:t>，</w:t>
      </w:r>
      <w:r>
        <w:rPr>
          <w:rFonts w:ascii="黑体" w:eastAsia="黑体" w:hint="eastAsia"/>
          <w:sz w:val="21"/>
        </w:rPr>
        <w:t>我们对</w:t>
      </w:r>
      <w:r>
        <w:rPr>
          <w:rFonts w:ascii="黑体" w:eastAsia="黑体" w:hint="eastAsia"/>
          <w:spacing w:val="-5"/>
          <w:sz w:val="21"/>
        </w:rPr>
        <w:t>无</w:t>
      </w:r>
      <w:r>
        <w:rPr>
          <w:rFonts w:ascii="黑体" w:eastAsia="黑体" w:hint="eastAsia"/>
          <w:sz w:val="21"/>
        </w:rPr>
        <w:t>法确定的部</w:t>
      </w:r>
      <w:r>
        <w:rPr>
          <w:rFonts w:ascii="黑体" w:eastAsia="黑体" w:hint="eastAsia"/>
          <w:spacing w:val="-5"/>
          <w:sz w:val="21"/>
        </w:rPr>
        <w:t>分</w:t>
      </w:r>
      <w:r>
        <w:rPr>
          <w:rFonts w:ascii="黑体" w:eastAsia="黑体" w:hint="eastAsia"/>
          <w:spacing w:val="-44"/>
          <w:sz w:val="21"/>
        </w:rPr>
        <w:t>，</w:t>
      </w:r>
      <w:r>
        <w:rPr>
          <w:rFonts w:ascii="黑体" w:eastAsia="黑体" w:hint="eastAsia"/>
          <w:sz w:val="21"/>
        </w:rPr>
        <w:t>不承</w:t>
      </w:r>
      <w:r>
        <w:rPr>
          <w:rFonts w:ascii="黑体" w:eastAsia="黑体" w:hint="eastAsia"/>
          <w:spacing w:val="-5"/>
          <w:sz w:val="21"/>
        </w:rPr>
        <w:t>担</w:t>
      </w:r>
      <w:r>
        <w:rPr>
          <w:rFonts w:ascii="黑体" w:eastAsia="黑体" w:hint="eastAsia"/>
          <w:sz w:val="21"/>
        </w:rPr>
        <w:t>给付保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pacing w:val="-44"/>
          <w:sz w:val="21"/>
        </w:rPr>
        <w:t>，</w:t>
      </w:r>
      <w:r>
        <w:rPr>
          <w:rFonts w:ascii="黑体" w:eastAsia="黑体" w:hint="eastAsia"/>
          <w:sz w:val="21"/>
        </w:rPr>
        <w:t>但</w:t>
      </w:r>
      <w:r>
        <w:rPr>
          <w:rFonts w:ascii="黑体" w:eastAsia="黑体" w:hint="eastAsia"/>
          <w:spacing w:val="-5"/>
          <w:sz w:val="21"/>
        </w:rPr>
        <w:t>我</w:t>
      </w:r>
      <w:r>
        <w:rPr>
          <w:rFonts w:ascii="黑体" w:eastAsia="黑体" w:hint="eastAsia"/>
          <w:sz w:val="21"/>
        </w:rPr>
        <w:t>们通</w:t>
      </w:r>
      <w:r>
        <w:rPr>
          <w:rFonts w:ascii="黑体" w:eastAsia="黑体" w:hint="eastAsia"/>
          <w:spacing w:val="-5"/>
          <w:sz w:val="21"/>
        </w:rPr>
        <w:t>过</w:t>
      </w:r>
      <w:r>
        <w:rPr>
          <w:rFonts w:ascii="黑体" w:eastAsia="黑体" w:hint="eastAsia"/>
          <w:sz w:val="21"/>
        </w:rPr>
        <w:t>其他途径</w:t>
      </w:r>
      <w:r>
        <w:rPr>
          <w:rFonts w:ascii="黑体" w:eastAsia="黑体" w:hint="eastAsia"/>
          <w:spacing w:val="-5"/>
          <w:sz w:val="21"/>
        </w:rPr>
        <w:t>已</w:t>
      </w:r>
      <w:r>
        <w:rPr>
          <w:rFonts w:ascii="黑体" w:eastAsia="黑体" w:hint="eastAsia"/>
          <w:sz w:val="21"/>
        </w:rPr>
        <w:t>经及时</w:t>
      </w:r>
      <w:r>
        <w:rPr>
          <w:rFonts w:ascii="黑体" w:eastAsia="黑体" w:hint="eastAsia"/>
          <w:spacing w:val="-5"/>
          <w:sz w:val="21"/>
        </w:rPr>
        <w:t>知</w:t>
      </w:r>
      <w:r>
        <w:rPr>
          <w:rFonts w:ascii="黑体" w:eastAsia="黑体" w:hint="eastAsia"/>
          <w:sz w:val="21"/>
        </w:rPr>
        <w:t>道或者应当及时</w:t>
      </w:r>
      <w:r>
        <w:rPr>
          <w:rFonts w:ascii="黑体" w:eastAsia="黑体" w:hint="eastAsia"/>
          <w:spacing w:val="-5"/>
          <w:sz w:val="21"/>
        </w:rPr>
        <w:t>知</w:t>
      </w:r>
      <w:r>
        <w:rPr>
          <w:rFonts w:ascii="黑体" w:eastAsia="黑体" w:hint="eastAsia"/>
          <w:sz w:val="21"/>
        </w:rPr>
        <w:t>道保险</w:t>
      </w:r>
      <w:r>
        <w:rPr>
          <w:rFonts w:ascii="黑体" w:eastAsia="黑体" w:hint="eastAsia"/>
          <w:spacing w:val="-5"/>
          <w:sz w:val="21"/>
        </w:rPr>
        <w:t>事</w:t>
      </w:r>
      <w:r>
        <w:rPr>
          <w:rFonts w:ascii="黑体" w:eastAsia="黑体" w:hint="eastAsia"/>
          <w:sz w:val="21"/>
        </w:rPr>
        <w:t>故发Th</w:t>
      </w:r>
      <w:r>
        <w:rPr>
          <w:rFonts w:ascii="黑体" w:eastAsia="黑体" w:hint="eastAsia"/>
          <w:spacing w:val="-5"/>
          <w:sz w:val="21"/>
        </w:rPr>
        <w:t>或</w:t>
      </w:r>
      <w:r>
        <w:rPr>
          <w:rFonts w:ascii="黑体" w:eastAsia="黑体" w:hint="eastAsia"/>
          <w:sz w:val="21"/>
        </w:rPr>
        <w:t>者虽未</w:t>
      </w:r>
      <w:r>
        <w:rPr>
          <w:rFonts w:ascii="黑体" w:eastAsia="黑体" w:hint="eastAsia"/>
          <w:spacing w:val="-5"/>
          <w:sz w:val="21"/>
        </w:rPr>
        <w:t>及</w:t>
      </w:r>
      <w:r>
        <w:rPr>
          <w:rFonts w:ascii="黑体" w:eastAsia="黑体" w:hint="eastAsia"/>
          <w:sz w:val="21"/>
        </w:rPr>
        <w:t>时通知</w:t>
      </w:r>
      <w:r>
        <w:rPr>
          <w:rFonts w:ascii="黑体" w:eastAsia="黑体" w:hint="eastAsia"/>
          <w:spacing w:val="-5"/>
          <w:sz w:val="21"/>
        </w:rPr>
        <w:t>但</w:t>
      </w:r>
      <w:r>
        <w:rPr>
          <w:rFonts w:ascii="黑体" w:eastAsia="黑体" w:hint="eastAsia"/>
          <w:sz w:val="21"/>
        </w:rPr>
        <w:t>不</w:t>
      </w:r>
      <w:r>
        <w:rPr>
          <w:rFonts w:ascii="黑体" w:eastAsia="黑体" w:hint="eastAsia"/>
          <w:spacing w:val="-5"/>
          <w:sz w:val="21"/>
        </w:rPr>
        <w:t>影</w:t>
      </w:r>
      <w:r>
        <w:rPr>
          <w:rFonts w:ascii="黑体" w:eastAsia="黑体" w:hint="eastAsia"/>
          <w:sz w:val="21"/>
        </w:rPr>
        <w:t>响我们确</w:t>
      </w:r>
      <w:r>
        <w:rPr>
          <w:rFonts w:ascii="黑体" w:eastAsia="黑体" w:hint="eastAsia"/>
          <w:spacing w:val="-5"/>
          <w:sz w:val="21"/>
        </w:rPr>
        <w:t>定</w:t>
      </w:r>
      <w:r>
        <w:rPr>
          <w:rFonts w:ascii="黑体" w:eastAsia="黑体" w:hint="eastAsia"/>
          <w:sz w:val="21"/>
        </w:rPr>
        <w:t>保险事</w:t>
      </w:r>
      <w:r>
        <w:rPr>
          <w:rFonts w:ascii="黑体" w:eastAsia="黑体" w:hint="eastAsia"/>
          <w:spacing w:val="-5"/>
          <w:sz w:val="21"/>
        </w:rPr>
        <w:t>故</w:t>
      </w:r>
      <w:r>
        <w:rPr>
          <w:rFonts w:ascii="黑体" w:eastAsia="黑体" w:hint="eastAsia"/>
          <w:sz w:val="21"/>
        </w:rPr>
        <w:t>的性质、原因</w:t>
      </w:r>
      <w:r>
        <w:rPr>
          <w:rFonts w:ascii="黑体" w:eastAsia="黑体" w:hint="eastAsia"/>
          <w:spacing w:val="-5"/>
          <w:sz w:val="21"/>
        </w:rPr>
        <w:t>、</w:t>
      </w:r>
      <w:r>
        <w:rPr>
          <w:rFonts w:ascii="黑体" w:eastAsia="黑体" w:hint="eastAsia"/>
          <w:sz w:val="21"/>
        </w:rPr>
        <w:t>损失程</w:t>
      </w:r>
      <w:r>
        <w:rPr>
          <w:rFonts w:ascii="黑体" w:eastAsia="黑体" w:hint="eastAsia"/>
          <w:spacing w:val="-5"/>
          <w:sz w:val="21"/>
        </w:rPr>
        <w:t>度</w:t>
      </w:r>
      <w:r>
        <w:rPr>
          <w:rFonts w:ascii="黑体" w:eastAsia="黑体" w:hint="eastAsia"/>
          <w:sz w:val="21"/>
        </w:rPr>
        <w:t>的除外。</w:t>
      </w:r>
    </w:p>
    <w:p>
      <w:pPr>
        <w:pStyle w:val="ListParagraph"/>
        <w:numPr>
          <w:ilvl w:val="1"/>
          <w:numId w:val="2"/>
        </w:numPr>
        <w:tabs>
          <w:tab w:pos="932" w:val="left" w:leader="none"/>
          <w:tab w:pos="933" w:val="left" w:leader="none"/>
          <w:tab w:pos="2511" w:val="left" w:leader="none"/>
        </w:tabs>
        <w:spacing w:line="235" w:lineRule="auto" w:before="128" w:after="0"/>
        <w:ind w:left="2512" w:right="132" w:hanging="2290"/>
        <w:jc w:val="left"/>
        <w:rPr>
          <w:sz w:val="21"/>
        </w:rPr>
      </w:pPr>
      <w:r>
        <w:rPr>
          <w:rFonts w:ascii="Microsoft JhengHei" w:eastAsia="Microsoft JhengHei" w:hint="eastAsia"/>
          <w:b/>
          <w:position w:val="-1"/>
          <w:sz w:val="21"/>
        </w:rPr>
        <w:t>保险金申请</w:t>
        <w:tab/>
      </w:r>
      <w:r>
        <w:rPr>
          <w:sz w:val="21"/>
        </w:rPr>
        <w:t>在申请保</w:t>
      </w:r>
      <w:r>
        <w:rPr>
          <w:spacing w:val="-5"/>
          <w:sz w:val="21"/>
        </w:rPr>
        <w:t>险</w:t>
      </w:r>
      <w:r>
        <w:rPr>
          <w:sz w:val="21"/>
        </w:rPr>
        <w:t>金时，</w:t>
      </w:r>
      <w:r>
        <w:rPr>
          <w:spacing w:val="-5"/>
          <w:sz w:val="21"/>
        </w:rPr>
        <w:t>重</w:t>
      </w:r>
      <w:r>
        <w:rPr>
          <w:sz w:val="21"/>
        </w:rPr>
        <w:t>大疾病</w:t>
      </w:r>
      <w:r>
        <w:rPr>
          <w:spacing w:val="-5"/>
          <w:sz w:val="21"/>
        </w:rPr>
        <w:t>保</w:t>
      </w:r>
      <w:r>
        <w:rPr>
          <w:sz w:val="21"/>
        </w:rPr>
        <w:t>险金受</w:t>
      </w:r>
      <w:r>
        <w:rPr>
          <w:spacing w:val="-5"/>
          <w:sz w:val="21"/>
        </w:rPr>
        <w:t>益</w:t>
      </w:r>
      <w:r>
        <w:rPr>
          <w:sz w:val="21"/>
        </w:rPr>
        <w:t>人作为</w:t>
      </w:r>
      <w:r>
        <w:rPr>
          <w:spacing w:val="-5"/>
          <w:sz w:val="21"/>
        </w:rPr>
        <w:t>申</w:t>
      </w:r>
      <w:r>
        <w:rPr>
          <w:sz w:val="21"/>
        </w:rPr>
        <w:t>请</w:t>
      </w:r>
      <w:r>
        <w:rPr>
          <w:spacing w:val="-5"/>
          <w:sz w:val="21"/>
        </w:rPr>
        <w:t>人</w:t>
      </w:r>
      <w:r>
        <w:rPr>
          <w:sz w:val="21"/>
        </w:rPr>
        <w:t>须填写领</w:t>
      </w:r>
      <w:r>
        <w:rPr>
          <w:spacing w:val="-5"/>
          <w:sz w:val="21"/>
        </w:rPr>
        <w:t>取</w:t>
      </w:r>
      <w:r>
        <w:rPr>
          <w:sz w:val="21"/>
        </w:rPr>
        <w:t>保险金</w:t>
      </w:r>
      <w:r>
        <w:rPr>
          <w:spacing w:val="-5"/>
          <w:sz w:val="21"/>
        </w:rPr>
        <w:t>申</w:t>
      </w:r>
      <w:r>
        <w:rPr>
          <w:sz w:val="21"/>
        </w:rPr>
        <w:t>请书， 并须提供</w:t>
      </w:r>
      <w:r>
        <w:rPr>
          <w:spacing w:val="-5"/>
          <w:sz w:val="21"/>
        </w:rPr>
        <w:t>下</w:t>
      </w:r>
      <w:r>
        <w:rPr>
          <w:sz w:val="21"/>
        </w:rPr>
        <w:t>列证明</w:t>
      </w:r>
      <w:r>
        <w:rPr>
          <w:spacing w:val="-5"/>
          <w:sz w:val="21"/>
        </w:rPr>
        <w:t>和</w:t>
      </w:r>
      <w:r>
        <w:rPr>
          <w:sz w:val="21"/>
        </w:rPr>
        <w:t>资料的</w:t>
      </w:r>
      <w:r>
        <w:rPr>
          <w:spacing w:val="-5"/>
          <w:sz w:val="21"/>
        </w:rPr>
        <w:t>原</w:t>
      </w:r>
      <w:r>
        <w:rPr>
          <w:sz w:val="21"/>
        </w:rPr>
        <w:t>件：</w:t>
      </w:r>
    </w:p>
    <w:p>
      <w:pPr>
        <w:pStyle w:val="ListParagraph"/>
        <w:numPr>
          <w:ilvl w:val="0"/>
          <w:numId w:val="3"/>
        </w:numPr>
        <w:tabs>
          <w:tab w:pos="3232" w:val="left" w:leader="none"/>
        </w:tabs>
        <w:spacing w:line="309" w:lineRule="exact" w:before="0" w:after="0"/>
        <w:ind w:left="3232" w:right="0" w:hanging="720"/>
        <w:jc w:val="left"/>
        <w:rPr>
          <w:sz w:val="21"/>
        </w:rPr>
      </w:pPr>
      <w:r>
        <w:rPr>
          <w:spacing w:val="-3"/>
          <w:w w:val="100"/>
          <w:sz w:val="21"/>
        </w:rPr>
        <w:t>重大疾病保险金受益人的</w:t>
      </w:r>
      <w:r>
        <w:rPr>
          <w:rFonts w:ascii="Microsoft JhengHei" w:eastAsia="Microsoft JhengHei" w:hint="eastAsia"/>
          <w:b/>
          <w:w w:val="100"/>
          <w:sz w:val="21"/>
        </w:rPr>
        <w:t>有效身份证件</w:t>
      </w:r>
      <w:r>
        <w:rPr>
          <w:w w:val="100"/>
          <w:sz w:val="21"/>
        </w:rPr>
        <w:t>（8.13</w:t>
      </w:r>
      <w:r>
        <w:rPr>
          <w:spacing w:val="-106"/>
          <w:w w:val="100"/>
          <w:sz w:val="21"/>
        </w:rPr>
        <w:t>）</w:t>
      </w:r>
      <w:r>
        <w:rPr>
          <w:w w:val="100"/>
          <w:sz w:val="21"/>
        </w:rPr>
        <w:t>；</w:t>
      </w:r>
    </w:p>
    <w:p>
      <w:pPr>
        <w:pStyle w:val="ListParagraph"/>
        <w:numPr>
          <w:ilvl w:val="0"/>
          <w:numId w:val="3"/>
        </w:numPr>
        <w:tabs>
          <w:tab w:pos="3232" w:val="left" w:leader="none"/>
        </w:tabs>
        <w:spacing w:line="312" w:lineRule="exact" w:before="36" w:after="0"/>
        <w:ind w:left="3232" w:right="218" w:hanging="720"/>
        <w:jc w:val="both"/>
        <w:rPr>
          <w:sz w:val="21"/>
        </w:rPr>
      </w:pPr>
      <w:r>
        <w:rPr>
          <w:spacing w:val="-2"/>
          <w:sz w:val="21"/>
        </w:rPr>
        <w:t>由医院</w:t>
      </w:r>
      <w:r>
        <w:rPr>
          <w:rFonts w:ascii="Microsoft JhengHei" w:eastAsia="Microsoft JhengHei" w:hint="eastAsia"/>
          <w:b/>
          <w:spacing w:val="-3"/>
          <w:sz w:val="21"/>
        </w:rPr>
        <w:t>专科医生</w:t>
      </w:r>
      <w:r>
        <w:rPr>
          <w:sz w:val="21"/>
        </w:rPr>
        <w:t>（</w:t>
      </w:r>
      <w:r>
        <w:rPr>
          <w:spacing w:val="-11"/>
          <w:sz w:val="21"/>
        </w:rPr>
        <w:t>见 </w:t>
      </w:r>
      <w:r>
        <w:rPr>
          <w:spacing w:val="-3"/>
          <w:sz w:val="21"/>
        </w:rPr>
        <w:t>8.14）</w:t>
      </w:r>
      <w:r>
        <w:rPr>
          <w:spacing w:val="-5"/>
          <w:sz w:val="21"/>
        </w:rPr>
        <w:t>出具的疾病诊断证明书以及由医院出具的与该疾病诊断证明书相关的病理显微镜检查、血液检验及其他科学方法检验报告；</w:t>
      </w:r>
    </w:p>
    <w:p>
      <w:pPr>
        <w:pStyle w:val="ListParagraph"/>
        <w:numPr>
          <w:ilvl w:val="0"/>
          <w:numId w:val="3"/>
        </w:numPr>
        <w:tabs>
          <w:tab w:pos="3232" w:val="left" w:leader="none"/>
        </w:tabs>
        <w:spacing w:line="273" w:lineRule="auto" w:before="4" w:after="0"/>
        <w:ind w:left="2512" w:right="218" w:firstLine="0"/>
        <w:jc w:val="left"/>
        <w:rPr>
          <w:sz w:val="21"/>
        </w:rPr>
      </w:pPr>
      <w:r>
        <w:rPr>
          <w:spacing w:val="-5"/>
          <w:sz w:val="21"/>
        </w:rPr>
        <w:t>所能提供的与确认保险事故的性质、原因等有关的其他证明和资料。 </w:t>
      </w:r>
      <w:r>
        <w:rPr>
          <w:spacing w:val="-12"/>
          <w:sz w:val="21"/>
        </w:rPr>
        <w:t>以上证明和资料不完整的，我们将及时一次性通知受益人补充提供有关的证明和资料。</w:t>
      </w:r>
    </w:p>
    <w:p>
      <w:pPr>
        <w:pStyle w:val="BodyText"/>
        <w:spacing w:line="273" w:lineRule="auto" w:before="8"/>
        <w:ind w:right="218"/>
        <w:jc w:val="both"/>
      </w:pPr>
      <w:r>
        <w:rPr>
          <w:spacing w:val="-10"/>
        </w:rPr>
        <w:t>委托他人领取保险金时，受托人还必须提供本人的有效身份证件及委托人亲笔签</w:t>
      </w:r>
      <w:r>
        <w:rPr>
          <w:spacing w:val="-7"/>
        </w:rPr>
        <w:t>名的授权委托书。</w:t>
      </w:r>
    </w:p>
    <w:p>
      <w:pPr>
        <w:pStyle w:val="BodyText"/>
        <w:spacing w:line="273" w:lineRule="auto" w:before="8"/>
        <w:ind w:right="218"/>
        <w:jc w:val="both"/>
      </w:pPr>
      <w:r>
        <w:rPr>
          <w:spacing w:val="-9"/>
        </w:rPr>
        <w:t>保险金作为被保险人遗产时，继承人还必须提供可证明其合法继承权的相关权利文件。</w:t>
      </w:r>
    </w:p>
    <w:p>
      <w:pPr>
        <w:pStyle w:val="BodyText"/>
        <w:spacing w:line="273" w:lineRule="auto" w:before="8"/>
        <w:ind w:right="218"/>
        <w:jc w:val="both"/>
      </w:pPr>
      <w:r>
        <w:rPr>
          <w:spacing w:val="-9"/>
        </w:rPr>
        <w:t>受益人或继承人为未成年人或无民事行为能力人时，由其合法监护人代其申请领</w:t>
      </w:r>
      <w:r>
        <w:rPr>
          <w:spacing w:val="-13"/>
        </w:rPr>
        <w:t>取保险金，其合法监护人还必须提供受益人或继承人为未成年人或无民事行为能</w:t>
      </w:r>
      <w:r>
        <w:rPr>
          <w:spacing w:val="-8"/>
        </w:rPr>
        <w:t>力人的证明和监护人具有合法监护权的证明。</w:t>
      </w:r>
    </w:p>
    <w:p>
      <w:pPr>
        <w:pStyle w:val="BodyText"/>
        <w:spacing w:line="273" w:lineRule="auto" w:before="8"/>
        <w:ind w:right="218"/>
        <w:jc w:val="both"/>
      </w:pPr>
      <w:r>
        <w:rPr>
          <w:spacing w:val="-9"/>
        </w:rPr>
        <w:t>如果被保险人已向我们书面申领重大疾病保险金，但在实际领取重大疾病保险金</w:t>
      </w:r>
      <w:r>
        <w:rPr>
          <w:spacing w:val="-12"/>
        </w:rPr>
        <w:t>前身故，重大疾病保险金将作为被保险人的遗产，由我们向被保险人的合法继承人给付。</w:t>
      </w:r>
    </w:p>
    <w:p>
      <w:pPr>
        <w:pStyle w:val="ListParagraph"/>
        <w:numPr>
          <w:ilvl w:val="1"/>
          <w:numId w:val="2"/>
        </w:numPr>
        <w:tabs>
          <w:tab w:pos="933" w:val="left" w:leader="none"/>
        </w:tabs>
        <w:spacing w:line="259" w:lineRule="auto" w:before="109" w:after="0"/>
        <w:ind w:left="2512" w:right="218" w:hanging="2290"/>
        <w:jc w:val="both"/>
        <w:rPr>
          <w:sz w:val="21"/>
        </w:rPr>
      </w:pPr>
      <w:r>
        <w:rPr>
          <w:rFonts w:ascii="Microsoft JhengHei" w:eastAsia="Microsoft JhengHei" w:hint="eastAsia"/>
          <w:b/>
          <w:spacing w:val="1"/>
          <w:sz w:val="21"/>
        </w:rPr>
        <w:t>保险金给付       </w:t>
      </w:r>
      <w:r>
        <w:rPr>
          <w:spacing w:val="-11"/>
          <w:sz w:val="21"/>
        </w:rPr>
        <w:t>我们在收到领取保险金申请书及本合同约定的证明和资料后，将在 </w:t>
      </w:r>
      <w:r>
        <w:rPr>
          <w:sz w:val="21"/>
        </w:rPr>
        <w:t>5</w:t>
      </w:r>
      <w:r>
        <w:rPr>
          <w:spacing w:val="-10"/>
          <w:sz w:val="21"/>
        </w:rPr>
        <w:t> 日内作出核</w:t>
      </w:r>
      <w:r>
        <w:rPr>
          <w:spacing w:val="-11"/>
          <w:sz w:val="21"/>
        </w:rPr>
        <w:t>定；情形复杂的，在 </w:t>
      </w:r>
      <w:r>
        <w:rPr>
          <w:sz w:val="21"/>
        </w:rPr>
        <w:t>30</w:t>
      </w:r>
      <w:r>
        <w:rPr>
          <w:spacing w:val="-7"/>
          <w:sz w:val="21"/>
        </w:rPr>
        <w:t> 日内作出核定。对属于保险责任的，我们在与受益人达</w:t>
      </w:r>
      <w:r>
        <w:rPr>
          <w:spacing w:val="-10"/>
          <w:sz w:val="21"/>
        </w:rPr>
        <w:t>成给付保险金的协议后 </w:t>
      </w:r>
      <w:r>
        <w:rPr>
          <w:sz w:val="21"/>
        </w:rPr>
        <w:t>10</w:t>
      </w:r>
      <w:r>
        <w:rPr>
          <w:spacing w:val="-8"/>
          <w:sz w:val="21"/>
        </w:rPr>
        <w:t> 日内，履行给付保险金义务。</w:t>
      </w:r>
    </w:p>
    <w:p>
      <w:pPr>
        <w:pStyle w:val="BodyText"/>
        <w:spacing w:line="273" w:lineRule="auto" w:before="20"/>
        <w:ind w:right="218"/>
        <w:jc w:val="both"/>
      </w:pPr>
      <w:r>
        <w:rPr>
          <w:spacing w:val="-7"/>
        </w:rPr>
        <w:t>我们未及时履行前款规定的义务的，对属于保险责任的，除支付保险金外，应当</w:t>
      </w:r>
      <w:r>
        <w:rPr>
          <w:spacing w:val="-11"/>
        </w:rPr>
        <w:t>赔偿受益人因此受到的利息损失。利息按照我们确定的利率按单利计算，且我们</w:t>
      </w:r>
      <w:r>
        <w:rPr>
          <w:spacing w:val="-7"/>
        </w:rPr>
        <w:t>确定的利率不低于中国人民银行公布的金融机构人民币活期存款基准利率。</w:t>
      </w:r>
    </w:p>
    <w:p>
      <w:pPr>
        <w:pStyle w:val="BodyText"/>
        <w:spacing w:line="273" w:lineRule="auto" w:before="7"/>
        <w:ind w:right="218"/>
        <w:jc w:val="both"/>
      </w:pPr>
      <w:r>
        <w:rPr>
          <w:spacing w:val="-12"/>
        </w:rPr>
        <w:t>对不属于保险责任的，我们自作出核定之日起 </w:t>
      </w:r>
      <w:r>
        <w:rPr/>
        <w:t>3</w:t>
      </w:r>
      <w:r>
        <w:rPr>
          <w:spacing w:val="-6"/>
        </w:rPr>
        <w:t> 日内向受益人发出拒绝给付保险</w:t>
      </w:r>
      <w:r>
        <w:rPr>
          <w:spacing w:val="-5"/>
        </w:rPr>
        <w:t>金通知书并说明理由。</w:t>
      </w:r>
    </w:p>
    <w:p>
      <w:pPr>
        <w:spacing w:after="0" w:line="273" w:lineRule="auto"/>
        <w:jc w:val="both"/>
        <w:sectPr>
          <w:pgSz w:w="11900" w:h="16840"/>
          <w:pgMar w:top="1080" w:bottom="280" w:left="800" w:right="1100"/>
        </w:sectPr>
      </w:pPr>
    </w:p>
    <w:p>
      <w:pPr>
        <w:pStyle w:val="BodyText"/>
        <w:spacing w:line="273" w:lineRule="auto" w:before="19"/>
        <w:ind w:right="298"/>
        <w:jc w:val="both"/>
      </w:pPr>
      <w:r>
        <w:rPr>
          <w:spacing w:val="-7"/>
        </w:rPr>
        <w:t>我们在收到领取保险金申请书及有关证明和资料之日起 </w:t>
      </w:r>
      <w:r>
        <w:rPr/>
        <w:t>60</w:t>
      </w:r>
      <w:r>
        <w:rPr>
          <w:spacing w:val="-7"/>
        </w:rPr>
        <w:t> 日内，对给付保险金</w:t>
      </w:r>
      <w:r>
        <w:rPr>
          <w:spacing w:val="-12"/>
        </w:rPr>
        <w:t>的数额不能确定的，根据已有证明和资料可以确定的数额先予支付；我们最终确</w:t>
      </w:r>
      <w:r>
        <w:rPr>
          <w:spacing w:val="-8"/>
        </w:rPr>
        <w:t>定给付保险金的数额后，将支付相应的差额。</w:t>
      </w:r>
    </w:p>
    <w:p>
      <w:pPr>
        <w:pStyle w:val="ListParagraph"/>
        <w:numPr>
          <w:ilvl w:val="1"/>
          <w:numId w:val="2"/>
        </w:numPr>
        <w:tabs>
          <w:tab w:pos="932" w:val="left" w:leader="none"/>
          <w:tab w:pos="933" w:val="left" w:leader="none"/>
          <w:tab w:pos="2511" w:val="left" w:leader="none"/>
        </w:tabs>
        <w:spacing w:line="249" w:lineRule="auto" w:before="113" w:after="0"/>
        <w:ind w:left="2512" w:right="298" w:hanging="2290"/>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87"/>
          <w:sz w:val="21"/>
        </w:rPr>
        <w:t>，</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Heading2"/>
        <w:numPr>
          <w:ilvl w:val="0"/>
          <w:numId w:val="2"/>
        </w:numPr>
        <w:tabs>
          <w:tab w:pos="932" w:val="left" w:leader="none"/>
          <w:tab w:pos="933" w:val="left" w:leader="none"/>
        </w:tabs>
        <w:spacing w:line="240" w:lineRule="auto" w:before="94" w:after="10"/>
        <w:ind w:left="932" w:right="0" w:hanging="710"/>
        <w:jc w:val="left"/>
      </w:pPr>
      <w:r>
        <w:rPr/>
        <w:t>保险费的交纳</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816,10" stroked="true" strokeweight=".96pt" strokecolor="#000000">
              <v:stroke dashstyle="solid"/>
            </v:line>
            <v:rect style="position:absolute;left:816;top:0;width:20;height:20" filled="true" fillcolor="#000000" stroked="false">
              <v:fill type="solid"/>
            </v:rect>
            <v:line style="position:absolute" from="835,10" to="2290,10" stroked="true" strokeweight=".96pt" strokecolor="#000000">
              <v:stroke dashstyle="solid"/>
            </v:line>
            <v:rect style="position:absolute;left:2289;top:0;width:20;height:20" filled="true" fillcolor="#000000" stroked="false">
              <v:fill type="solid"/>
            </v:rect>
            <v:line style="position:absolute" from="2309,10" to="9773,10" stroked="true" strokeweight=".96pt" strokecolor="#000000">
              <v:stroke dashstyle="solid"/>
            </v:line>
          </v:group>
        </w:pict>
      </w:r>
      <w:r>
        <w:rPr>
          <w:rFonts w:ascii="Microsoft JhengHei"/>
          <w:spacing w:val="6"/>
          <w:sz w:val="2"/>
        </w:rPr>
      </w:r>
    </w:p>
    <w:p>
      <w:pPr>
        <w:pStyle w:val="BodyText"/>
        <w:spacing w:before="10"/>
        <w:ind w:left="0"/>
        <w:rPr>
          <w:rFonts w:ascii="Microsoft JhengHei"/>
          <w:b/>
          <w:sz w:val="5"/>
        </w:rPr>
      </w:pPr>
    </w:p>
    <w:p>
      <w:pPr>
        <w:pStyle w:val="ListParagraph"/>
        <w:numPr>
          <w:ilvl w:val="1"/>
          <w:numId w:val="2"/>
        </w:numPr>
        <w:tabs>
          <w:tab w:pos="933" w:val="left" w:leader="none"/>
        </w:tabs>
        <w:spacing w:line="312" w:lineRule="exact" w:before="32" w:after="0"/>
        <w:ind w:left="2512" w:right="212" w:hanging="2290"/>
        <w:jc w:val="both"/>
        <w:rPr>
          <w:sz w:val="21"/>
        </w:rPr>
      </w:pPr>
      <w:r>
        <w:rPr>
          <w:rFonts w:ascii="Microsoft JhengHei" w:eastAsia="Microsoft JhengHei" w:hint="eastAsia"/>
          <w:b/>
          <w:spacing w:val="3"/>
          <w:sz w:val="21"/>
        </w:rPr>
        <w:t>保险费的交纳   </w:t>
      </w:r>
      <w:r>
        <w:rPr>
          <w:spacing w:val="-5"/>
          <w:sz w:val="21"/>
        </w:rPr>
        <w:t>本合同的保险费按照保险金额和约定的费率标准确定，并在电子保险单上载明。您在投保时应一次性交纳本合同的保险费。</w:t>
      </w:r>
    </w:p>
    <w:p>
      <w:pPr>
        <w:pStyle w:val="ListParagraph"/>
        <w:numPr>
          <w:ilvl w:val="1"/>
          <w:numId w:val="2"/>
        </w:numPr>
        <w:tabs>
          <w:tab w:pos="933" w:val="left" w:leader="none"/>
          <w:tab w:pos="2507" w:val="left" w:leader="none"/>
        </w:tabs>
        <w:spacing w:line="259" w:lineRule="auto" w:before="110" w:after="0"/>
        <w:ind w:left="2507" w:right="217" w:hanging="2285"/>
        <w:jc w:val="both"/>
        <w:rPr>
          <w:sz w:val="21"/>
        </w:rPr>
      </w:pPr>
      <w:r>
        <w:rPr>
          <w:rFonts w:ascii="Microsoft JhengHei" w:eastAsia="Microsoft JhengHei" w:hint="eastAsia"/>
          <w:b/>
          <w:sz w:val="21"/>
        </w:rPr>
        <w:t>续保</w:t>
        <w:tab/>
      </w:r>
      <w:r>
        <w:rPr>
          <w:sz w:val="21"/>
        </w:rPr>
        <w:t>如果我们</w:t>
      </w:r>
      <w:r>
        <w:rPr>
          <w:spacing w:val="-5"/>
          <w:sz w:val="21"/>
        </w:rPr>
        <w:t>同</w:t>
      </w:r>
      <w:r>
        <w:rPr>
          <w:sz w:val="21"/>
        </w:rPr>
        <w:t>意您按</w:t>
      </w:r>
      <w:r>
        <w:rPr>
          <w:spacing w:val="-5"/>
          <w:sz w:val="21"/>
        </w:rPr>
        <w:t>本</w:t>
      </w:r>
      <w:r>
        <w:rPr>
          <w:sz w:val="21"/>
        </w:rPr>
        <w:t>合同约</w:t>
      </w:r>
      <w:r>
        <w:rPr>
          <w:spacing w:val="-5"/>
          <w:sz w:val="21"/>
        </w:rPr>
        <w:t>定</w:t>
      </w:r>
      <w:r>
        <w:rPr>
          <w:sz w:val="21"/>
        </w:rPr>
        <w:t>的承保</w:t>
      </w:r>
      <w:r>
        <w:rPr>
          <w:spacing w:val="-5"/>
          <w:sz w:val="21"/>
        </w:rPr>
        <w:t>条</w:t>
      </w:r>
      <w:r>
        <w:rPr>
          <w:sz w:val="21"/>
        </w:rPr>
        <w:t>件继续</w:t>
      </w:r>
      <w:r>
        <w:rPr>
          <w:spacing w:val="-5"/>
          <w:sz w:val="21"/>
        </w:rPr>
        <w:t>投</w:t>
      </w:r>
      <w:r>
        <w:rPr>
          <w:sz w:val="21"/>
        </w:rPr>
        <w:t>保</w:t>
      </w:r>
      <w:r>
        <w:rPr>
          <w:spacing w:val="-5"/>
          <w:sz w:val="21"/>
        </w:rPr>
        <w:t>本</w:t>
      </w:r>
      <w:r>
        <w:rPr>
          <w:sz w:val="21"/>
        </w:rPr>
        <w:t>合同，且</w:t>
      </w:r>
      <w:r>
        <w:rPr>
          <w:spacing w:val="-5"/>
          <w:sz w:val="21"/>
        </w:rPr>
        <w:t>在</w:t>
      </w:r>
      <w:r>
        <w:rPr>
          <w:sz w:val="21"/>
        </w:rPr>
        <w:t>本合同</w:t>
      </w:r>
      <w:r>
        <w:rPr>
          <w:spacing w:val="-5"/>
          <w:sz w:val="21"/>
        </w:rPr>
        <w:t>期</w:t>
      </w:r>
      <w:r>
        <w:rPr>
          <w:sz w:val="21"/>
        </w:rPr>
        <w:t>满日前 未收到您</w:t>
      </w:r>
      <w:r>
        <w:rPr>
          <w:spacing w:val="-5"/>
          <w:sz w:val="21"/>
        </w:rPr>
        <w:t>停</w:t>
      </w:r>
      <w:r>
        <w:rPr>
          <w:sz w:val="21"/>
        </w:rPr>
        <w:t>止继续</w:t>
      </w:r>
      <w:r>
        <w:rPr>
          <w:spacing w:val="-5"/>
          <w:sz w:val="21"/>
        </w:rPr>
        <w:t>投</w:t>
      </w:r>
      <w:r>
        <w:rPr>
          <w:sz w:val="21"/>
        </w:rPr>
        <w:t>保本合</w:t>
      </w:r>
      <w:r>
        <w:rPr>
          <w:spacing w:val="-5"/>
          <w:sz w:val="21"/>
        </w:rPr>
        <w:t>同</w:t>
      </w:r>
      <w:r>
        <w:rPr>
          <w:sz w:val="21"/>
        </w:rPr>
        <w:t>的书面</w:t>
      </w:r>
      <w:r>
        <w:rPr>
          <w:spacing w:val="-5"/>
          <w:sz w:val="21"/>
        </w:rPr>
        <w:t>申</w:t>
      </w:r>
      <w:r>
        <w:rPr>
          <w:sz w:val="21"/>
        </w:rPr>
        <w:t>请，我</w:t>
      </w:r>
      <w:r>
        <w:rPr>
          <w:spacing w:val="-5"/>
          <w:sz w:val="21"/>
        </w:rPr>
        <w:t>们</w:t>
      </w:r>
      <w:r>
        <w:rPr>
          <w:sz w:val="21"/>
        </w:rPr>
        <w:t>将</w:t>
      </w:r>
      <w:r>
        <w:rPr>
          <w:spacing w:val="-5"/>
          <w:sz w:val="21"/>
        </w:rPr>
        <w:t>自</w:t>
      </w:r>
      <w:r>
        <w:rPr>
          <w:sz w:val="21"/>
        </w:rPr>
        <w:t>动为您办</w:t>
      </w:r>
      <w:r>
        <w:rPr>
          <w:spacing w:val="-5"/>
          <w:sz w:val="21"/>
        </w:rPr>
        <w:t>理</w:t>
      </w:r>
      <w:r>
        <w:rPr>
          <w:sz w:val="21"/>
        </w:rPr>
        <w:t>相关续</w:t>
      </w:r>
      <w:r>
        <w:rPr>
          <w:spacing w:val="-5"/>
          <w:sz w:val="21"/>
        </w:rPr>
        <w:t>保</w:t>
      </w:r>
      <w:r>
        <w:rPr>
          <w:sz w:val="21"/>
        </w:rPr>
        <w:t>手续， 新续保的</w:t>
      </w:r>
      <w:r>
        <w:rPr>
          <w:spacing w:val="-5"/>
          <w:sz w:val="21"/>
        </w:rPr>
        <w:t>合</w:t>
      </w:r>
      <w:r>
        <w:rPr>
          <w:sz w:val="21"/>
        </w:rPr>
        <w:t>同自期</w:t>
      </w:r>
      <w:r>
        <w:rPr>
          <w:spacing w:val="-5"/>
          <w:sz w:val="21"/>
        </w:rPr>
        <w:t>满</w:t>
      </w:r>
      <w:r>
        <w:rPr>
          <w:sz w:val="21"/>
        </w:rPr>
        <w:t>日次日</w:t>
      </w:r>
      <w:r>
        <w:rPr>
          <w:spacing w:val="-5"/>
          <w:sz w:val="21"/>
        </w:rPr>
        <w:t>零</w:t>
      </w:r>
      <w:r>
        <w:rPr>
          <w:sz w:val="21"/>
        </w:rPr>
        <w:t>时起生</w:t>
      </w:r>
      <w:r>
        <w:rPr>
          <w:spacing w:val="-5"/>
          <w:sz w:val="21"/>
        </w:rPr>
        <w:t>效</w:t>
      </w:r>
      <w:r>
        <w:rPr>
          <w:sz w:val="21"/>
        </w:rPr>
        <w:t>，有效</w:t>
      </w:r>
      <w:r>
        <w:rPr>
          <w:spacing w:val="-5"/>
          <w:sz w:val="21"/>
        </w:rPr>
        <w:t>期</w:t>
      </w:r>
      <w:r>
        <w:rPr>
          <w:sz w:val="21"/>
        </w:rPr>
        <w:t>为</w:t>
      </w:r>
      <w:r>
        <w:rPr>
          <w:spacing w:val="-39"/>
          <w:sz w:val="21"/>
        </w:rPr>
        <w:t> </w:t>
      </w:r>
      <w:r>
        <w:rPr>
          <w:sz w:val="21"/>
        </w:rPr>
        <w:t>1</w:t>
      </w:r>
      <w:r>
        <w:rPr>
          <w:spacing w:val="-44"/>
          <w:sz w:val="21"/>
        </w:rPr>
        <w:t> </w:t>
      </w:r>
      <w:r>
        <w:rPr>
          <w:sz w:val="21"/>
        </w:rPr>
        <w:t>年。</w:t>
      </w:r>
    </w:p>
    <w:p>
      <w:pPr>
        <w:pStyle w:val="BodyText"/>
        <w:spacing w:line="273" w:lineRule="auto" w:before="20"/>
        <w:ind w:left="2507" w:right="197"/>
      </w:pPr>
      <w:r>
        <w:rPr/>
        <w:t>如果我们做出不同意您继续投保本合同决定的，我们将以书面形式通知您，本合同自期满日次日零时起效力终止。</w:t>
      </w:r>
    </w:p>
    <w:p>
      <w:pPr>
        <w:pStyle w:val="BodyText"/>
        <w:spacing w:line="273" w:lineRule="auto" w:before="7"/>
        <w:ind w:left="2507" w:right="116"/>
      </w:pPr>
      <w:r>
        <w:rPr>
          <w:spacing w:val="-4"/>
        </w:rPr>
        <w:t>我们同意您按本合同约定的承保条件继续投保本合同的，则自本合同期满日次日</w:t>
      </w:r>
      <w:r>
        <w:rPr>
          <w:spacing w:val="-20"/>
        </w:rPr>
        <w:t>起 </w:t>
      </w:r>
      <w:r>
        <w:rPr/>
        <w:t>60</w:t>
      </w:r>
      <w:r>
        <w:rPr>
          <w:spacing w:val="-7"/>
        </w:rPr>
        <w:t> 日内为新续保合同交费期。交费期内发生保险事故的，我们承担保险责任， 但在给付保险金时会扣除您欠交的保险费。如果交费期结束之后您仍未交纳新续保合同的保险费，则我们视同您自动放弃继续投保本合同的权利，本合同自交费</w:t>
      </w:r>
      <w:r>
        <w:rPr>
          <w:spacing w:val="-6"/>
        </w:rPr>
        <w:t>期期满日的次日零时起效力终止。</w:t>
      </w:r>
    </w:p>
    <w:p>
      <w:pPr>
        <w:pStyle w:val="BodyText"/>
        <w:spacing w:line="273" w:lineRule="auto" w:before="7"/>
        <w:ind w:right="298"/>
        <w:jc w:val="both"/>
        <w:rPr>
          <w:rFonts w:ascii="黑体" w:eastAsia="黑体" w:hint="eastAsia"/>
        </w:rPr>
      </w:pPr>
      <w:r>
        <w:rPr>
          <w:rFonts w:ascii="黑体" w:eastAsia="黑体" w:hint="eastAsia"/>
          <w:spacing w:val="-7"/>
        </w:rPr>
        <w:t>我们接受继续投保本合同的被保险人的年龄最高不超过 </w:t>
      </w:r>
      <w:r>
        <w:rPr>
          <w:rFonts w:ascii="黑体" w:eastAsia="黑体" w:hint="eastAsia"/>
        </w:rPr>
        <w:t>17</w:t>
      </w:r>
      <w:r>
        <w:rPr>
          <w:rFonts w:ascii="黑体" w:eastAsia="黑体" w:hint="eastAsia"/>
          <w:spacing w:val="-7"/>
        </w:rPr>
        <w:t> 周岁。投保人为被保</w:t>
      </w:r>
      <w:r>
        <w:rPr>
          <w:rFonts w:ascii="黑体" w:eastAsia="黑体" w:hint="eastAsia"/>
          <w:spacing w:val="-12"/>
        </w:rPr>
        <w:t>险人继续投保本合同时，我们有权调整本合同的保险费，但须经中国保险监督管</w:t>
      </w:r>
      <w:r>
        <w:rPr>
          <w:rFonts w:ascii="黑体" w:eastAsia="黑体" w:hint="eastAsia"/>
          <w:spacing w:val="-10"/>
        </w:rPr>
        <w:t>理机构备案。</w:t>
      </w:r>
    </w:p>
    <w:p>
      <w:pPr>
        <w:pStyle w:val="Heading2"/>
        <w:numPr>
          <w:ilvl w:val="0"/>
          <w:numId w:val="2"/>
        </w:numPr>
        <w:tabs>
          <w:tab w:pos="932" w:val="left" w:leader="none"/>
          <w:tab w:pos="933" w:val="left" w:leader="none"/>
        </w:tabs>
        <w:spacing w:line="240" w:lineRule="auto" w:before="73" w:after="10"/>
        <w:ind w:left="932" w:right="0" w:hanging="710"/>
        <w:jc w:val="left"/>
      </w:pPr>
      <w:r>
        <w:rPr/>
        <w:t>合同解除</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488.65pt;height:1pt;mso-position-horizontal-relative:char;mso-position-vertical-relative:line" coordorigin="0,0" coordsize="9773,20">
            <v:line style="position:absolute" from="0,10" to="816,10" stroked="true" strokeweight=".96pt" strokecolor="#000000">
              <v:stroke dashstyle="solid"/>
            </v:line>
            <v:rect style="position:absolute;left:816;top:0;width:20;height:20" filled="true" fillcolor="#000000" stroked="false">
              <v:fill type="solid"/>
            </v:rect>
            <v:line style="position:absolute" from="835,10" to="2290,10" stroked="true" strokeweight=".96pt" strokecolor="#000000">
              <v:stroke dashstyle="solid"/>
            </v:line>
            <v:rect style="position:absolute;left:2289;top:0;width:20;height:20" filled="true" fillcolor="#000000" stroked="false">
              <v:fill type="solid"/>
            </v:rect>
            <v:line style="position:absolute" from="2309,10" to="9773,10" stroked="true" strokeweight=".96pt" strokecolor="#000000">
              <v:stroke dashstyle="solid"/>
            </v:line>
          </v:group>
        </w:pict>
      </w:r>
      <w:r>
        <w:rPr>
          <w:rFonts w:ascii="Microsoft JhengHei"/>
          <w:spacing w:val="6"/>
          <w:sz w:val="2"/>
        </w:rPr>
      </w:r>
    </w:p>
    <w:p>
      <w:pPr>
        <w:pStyle w:val="BodyText"/>
        <w:spacing w:before="15"/>
        <w:ind w:left="0"/>
        <w:rPr>
          <w:rFonts w:ascii="Microsoft JhengHei"/>
          <w:b/>
          <w:sz w:val="5"/>
        </w:rPr>
      </w:pPr>
    </w:p>
    <w:p>
      <w:pPr>
        <w:spacing w:after="0"/>
        <w:rPr>
          <w:rFonts w:ascii="Microsoft JhengHei"/>
          <w:sz w:val="5"/>
        </w:rPr>
        <w:sectPr>
          <w:pgSz w:w="11900" w:h="16840"/>
          <w:pgMar w:top="1100" w:bottom="280" w:left="800" w:right="1020"/>
        </w:sectPr>
      </w:pPr>
    </w:p>
    <w:p>
      <w:pPr>
        <w:pStyle w:val="Heading4"/>
        <w:numPr>
          <w:ilvl w:val="1"/>
          <w:numId w:val="2"/>
        </w:numPr>
        <w:tabs>
          <w:tab w:pos="932" w:val="left" w:leader="none"/>
          <w:tab w:pos="933" w:val="left" w:leader="none"/>
        </w:tabs>
        <w:spacing w:line="308" w:lineRule="exact" w:before="0" w:after="0"/>
        <w:ind w:left="932" w:right="0" w:hanging="710"/>
        <w:jc w:val="left"/>
      </w:pPr>
      <w:r>
        <w:rPr/>
        <w:t>您解除合同的</w:t>
      </w:r>
    </w:p>
    <w:p>
      <w:pPr>
        <w:spacing w:line="339" w:lineRule="exact" w:before="0"/>
        <w:ind w:left="932"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3" w:lineRule="auto" w:before="36"/>
        <w:ind w:left="222" w:right="298"/>
      </w:pPr>
      <w:r>
        <w:rPr/>
        <w:br w:type="column"/>
      </w:r>
      <w:r>
        <w:rPr>
          <w:spacing w:val="-8"/>
        </w:rPr>
        <w:t>如果被保险人未发生保险事故，且您要求解除本合同，请填写解除合同申请书并</w:t>
      </w:r>
      <w:r>
        <w:rPr>
          <w:spacing w:val="-6"/>
        </w:rPr>
        <w:t>向我们提供您的有效身份证件的原件。</w:t>
      </w:r>
    </w:p>
    <w:p>
      <w:pPr>
        <w:pStyle w:val="BodyText"/>
        <w:spacing w:line="273" w:lineRule="auto" w:before="7"/>
        <w:ind w:left="222" w:right="298"/>
      </w:pPr>
      <w:r>
        <w:rPr>
          <w:spacing w:val="-8"/>
        </w:rPr>
        <w:t>自我们收到解除合同申请书时起，本合同终止，我们自收到解除合同申请书之日</w:t>
      </w:r>
      <w:r>
        <w:rPr>
          <w:spacing w:val="-25"/>
        </w:rPr>
        <w:t>起 </w:t>
      </w:r>
      <w:r>
        <w:rPr/>
        <w:t>30</w:t>
      </w:r>
      <w:r>
        <w:rPr>
          <w:spacing w:val="-8"/>
        </w:rPr>
        <w:t> 日内向您退还本合同终止时的未满期净保险费。</w:t>
      </w:r>
    </w:p>
    <w:p>
      <w:pPr>
        <w:spacing w:after="0" w:line="273" w:lineRule="auto"/>
        <w:sectPr>
          <w:type w:val="continuous"/>
          <w:pgSz w:w="11900" w:h="16840"/>
          <w:pgMar w:top="700" w:bottom="280" w:left="800" w:right="1020"/>
          <w:cols w:num="2" w:equalWidth="0">
            <w:col w:w="2200" w:space="89"/>
            <w:col w:w="7791"/>
          </w:cols>
        </w:sectPr>
      </w:pPr>
    </w:p>
    <w:p>
      <w:pPr>
        <w:pStyle w:val="BodyText"/>
        <w:ind w:left="0"/>
        <w:rPr>
          <w:sz w:val="20"/>
        </w:rPr>
      </w:pPr>
    </w:p>
    <w:p>
      <w:pPr>
        <w:pStyle w:val="Heading2"/>
        <w:numPr>
          <w:ilvl w:val="0"/>
          <w:numId w:val="2"/>
        </w:numPr>
        <w:tabs>
          <w:tab w:pos="932" w:val="left" w:leader="none"/>
          <w:tab w:pos="933" w:val="left" w:leader="none"/>
        </w:tabs>
        <w:spacing w:line="240" w:lineRule="auto" w:before="123" w:after="10"/>
        <w:ind w:left="932" w:right="0" w:hanging="710"/>
        <w:jc w:val="left"/>
      </w:pPr>
      <w:r>
        <w:rPr/>
        <w:t>其他需要关注的事项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8.65pt;height:.5pt;mso-position-horizontal-relative:char;mso-position-vertical-relative:line" coordorigin="0,0" coordsize="9773,10">
            <v:line style="position:absolute" from="0,5" to="816,5" stroked="true" strokeweight=".48pt" strokecolor="#000000">
              <v:stroke dashstyle="solid"/>
            </v:line>
            <v:rect style="position:absolute;left:816;top:0;width:10;height:10" filled="true" fillcolor="#000000" stroked="false">
              <v:fill type="solid"/>
            </v:rect>
            <v:line style="position:absolute" from="826,5" to="2290,5" stroked="true" strokeweight=".48pt" strokecolor="#000000">
              <v:stroke dashstyle="solid"/>
            </v:line>
            <v:rect style="position:absolute;left:2289;top:0;width:10;height:10" filled="true" fillcolor="#000000" stroked="false">
              <v:fill type="solid"/>
            </v:rect>
            <v:line style="position:absolute" from="2299,5" to="9773,5" stroked="true" strokeweight=".48pt" strokecolor="#000000">
              <v:stroke dashstyle="solid"/>
            </v:line>
          </v:group>
        </w:pict>
      </w:r>
      <w:r>
        <w:rPr>
          <w:rFonts w:ascii="Microsoft JhengHei"/>
          <w:spacing w:val="5"/>
          <w:sz w:val="2"/>
        </w:rPr>
      </w:r>
    </w:p>
    <w:p>
      <w:pPr>
        <w:pStyle w:val="BodyText"/>
        <w:spacing w:before="10"/>
        <w:ind w:left="0"/>
        <w:rPr>
          <w:rFonts w:ascii="Microsoft JhengHei"/>
          <w:b/>
          <w:sz w:val="7"/>
        </w:rPr>
      </w:pPr>
    </w:p>
    <w:p>
      <w:pPr>
        <w:spacing w:after="0"/>
        <w:rPr>
          <w:rFonts w:ascii="Microsoft JhengHei"/>
          <w:sz w:val="7"/>
        </w:rPr>
        <w:sectPr>
          <w:type w:val="continuous"/>
          <w:pgSz w:w="11900" w:h="16840"/>
          <w:pgMar w:top="700" w:bottom="280" w:left="800" w:right="1020"/>
        </w:sectPr>
      </w:pPr>
    </w:p>
    <w:p>
      <w:pPr>
        <w:pStyle w:val="Heading4"/>
        <w:numPr>
          <w:ilvl w:val="1"/>
          <w:numId w:val="2"/>
        </w:numPr>
        <w:tabs>
          <w:tab w:pos="1038" w:val="left" w:leader="none"/>
          <w:tab w:pos="1039" w:val="left" w:leader="none"/>
        </w:tabs>
        <w:spacing w:line="204" w:lineRule="auto" w:before="24" w:after="0"/>
        <w:ind w:left="1038" w:right="0" w:hanging="816"/>
        <w:jc w:val="left"/>
      </w:pPr>
      <w:r>
        <w:rPr/>
        <w:t>明确说明与如实告知</w:t>
      </w:r>
    </w:p>
    <w:p>
      <w:pPr>
        <w:pStyle w:val="BodyText"/>
        <w:spacing w:line="273" w:lineRule="auto" w:before="36"/>
        <w:ind w:left="222" w:right="298"/>
        <w:jc w:val="both"/>
      </w:pPr>
      <w:r>
        <w:rPr/>
        <w:br w:type="column"/>
      </w:r>
      <w:r>
        <w:rPr>
          <w:spacing w:val="-9"/>
        </w:rPr>
        <w:t>订立本合同时，我们应当向您明确说明本合同的内容。对保险条款中免除我们责</w:t>
      </w:r>
      <w:r>
        <w:rPr>
          <w:spacing w:val="-12"/>
        </w:rPr>
        <w:t>任的条款，我们在订立合同时应当在电子投保单、电子保险单或者其他保险凭证</w:t>
      </w:r>
      <w:r>
        <w:rPr>
          <w:spacing w:val="-14"/>
        </w:rPr>
        <w:t>上作出足以引起您注意的提示，并对该条款的内容以书面或者口头形式向您作出</w:t>
      </w:r>
      <w:r>
        <w:rPr>
          <w:spacing w:val="-9"/>
        </w:rPr>
        <w:t>明确说明，未作提示或者明确说明的，该条款不产生效力。</w:t>
      </w:r>
    </w:p>
    <w:p>
      <w:pPr>
        <w:pStyle w:val="BodyText"/>
        <w:spacing w:before="7"/>
        <w:ind w:left="222"/>
      </w:pPr>
      <w:r>
        <w:rPr/>
        <w:t>我们会就您和被保险人的有关情况提出书面询问，您应当如实告知。</w:t>
      </w:r>
    </w:p>
    <w:p>
      <w:pPr>
        <w:pStyle w:val="BodyText"/>
        <w:spacing w:line="273" w:lineRule="auto" w:before="36"/>
        <w:ind w:left="222" w:right="298"/>
        <w:jc w:val="both"/>
      </w:pPr>
      <w:r>
        <w:rPr>
          <w:spacing w:val="-9"/>
        </w:rPr>
        <w:t>如果您故意或者因重大过失未履行前款规定的如实告知义务，足以影响我们决定</w:t>
      </w:r>
      <w:r>
        <w:rPr>
          <w:spacing w:val="-12"/>
        </w:rPr>
        <w:t>是否同意承保或者提高保险费率的，我们有权解除本合同。合同解除权自我们知</w:t>
      </w:r>
      <w:r>
        <w:rPr>
          <w:spacing w:val="-11"/>
        </w:rPr>
        <w:t>道有解除事由之日起超过 </w:t>
      </w:r>
      <w:r>
        <w:rPr/>
        <w:t>30</w:t>
      </w:r>
      <w:r>
        <w:rPr>
          <w:spacing w:val="-8"/>
        </w:rPr>
        <w:t> 日不行使而消灭。</w:t>
      </w:r>
    </w:p>
    <w:p>
      <w:pPr>
        <w:pStyle w:val="BodyText"/>
        <w:spacing w:line="273" w:lineRule="auto" w:before="7"/>
        <w:ind w:left="222" w:right="298"/>
        <w:jc w:val="both"/>
        <w:rPr>
          <w:rFonts w:ascii="黑体" w:eastAsia="黑体" w:hint="eastAsia"/>
        </w:rPr>
      </w:pPr>
      <w:r>
        <w:rPr>
          <w:rFonts w:ascii="黑体" w:eastAsia="黑体" w:hint="eastAsia"/>
          <w:spacing w:val="-6"/>
        </w:rPr>
        <w:t>如果您故意不履行如实告知义务，对于本合同解除前发</w:t>
      </w:r>
      <w:r>
        <w:rPr>
          <w:rFonts w:ascii="黑体" w:eastAsia="黑体" w:hint="eastAsia"/>
        </w:rPr>
        <w:t>Th</w:t>
      </w:r>
      <w:r>
        <w:rPr>
          <w:rFonts w:ascii="黑体" w:eastAsia="黑体" w:hint="eastAsia"/>
          <w:spacing w:val="-8"/>
        </w:rPr>
        <w:t>的保险事故，我们不承</w:t>
      </w:r>
      <w:r>
        <w:rPr>
          <w:rFonts w:ascii="黑体" w:eastAsia="黑体" w:hint="eastAsia"/>
          <w:spacing w:val="-6"/>
        </w:rPr>
        <w:t>担给付保险金的责任，并不退还保险费。</w:t>
      </w:r>
    </w:p>
    <w:p>
      <w:pPr>
        <w:pStyle w:val="BodyText"/>
        <w:spacing w:line="273" w:lineRule="auto" w:before="7"/>
        <w:ind w:left="222" w:right="298"/>
        <w:jc w:val="both"/>
        <w:rPr>
          <w:rFonts w:ascii="黑体" w:eastAsia="黑体" w:hint="eastAsia"/>
        </w:rPr>
      </w:pPr>
      <w:r>
        <w:rPr>
          <w:rFonts w:ascii="黑体" w:eastAsia="黑体" w:hint="eastAsia"/>
          <w:spacing w:val="-7"/>
        </w:rPr>
        <w:t>如果您因重大过失未履行如实告知义务，对保险事故的发</w:t>
      </w:r>
      <w:r>
        <w:rPr>
          <w:rFonts w:ascii="黑体" w:eastAsia="黑体" w:hint="eastAsia"/>
        </w:rPr>
        <w:t>Th</w:t>
      </w:r>
      <w:r>
        <w:rPr>
          <w:rFonts w:ascii="黑体" w:eastAsia="黑体" w:hint="eastAsia"/>
          <w:spacing w:val="-8"/>
        </w:rPr>
        <w:t>有严重影响的，对于</w:t>
      </w:r>
      <w:r>
        <w:rPr>
          <w:rFonts w:ascii="黑体" w:eastAsia="黑体" w:hint="eastAsia"/>
          <w:spacing w:val="-6"/>
        </w:rPr>
        <w:t>本合同解除前发</w:t>
      </w:r>
      <w:r>
        <w:rPr>
          <w:rFonts w:ascii="黑体" w:eastAsia="黑体" w:hint="eastAsia"/>
        </w:rPr>
        <w:t>Th</w:t>
      </w:r>
      <w:r>
        <w:rPr>
          <w:rFonts w:ascii="黑体" w:eastAsia="黑体" w:hint="eastAsia"/>
          <w:spacing w:val="-10"/>
        </w:rPr>
        <w:t>的保险事故，我们不承担给付保险金的责任，但应当向您退还保险费。</w:t>
      </w:r>
    </w:p>
    <w:p>
      <w:pPr>
        <w:pStyle w:val="BodyText"/>
        <w:spacing w:before="7"/>
        <w:ind w:left="222"/>
        <w:jc w:val="both"/>
      </w:pPr>
      <w:r>
        <w:rPr/>
        <w:t>我们在合同订立时已经知道您未如实告知的情况的，我们不得解除合同；发生保</w:t>
      </w:r>
    </w:p>
    <w:p>
      <w:pPr>
        <w:spacing w:after="0"/>
        <w:jc w:val="both"/>
        <w:sectPr>
          <w:type w:val="continuous"/>
          <w:pgSz w:w="11900" w:h="16840"/>
          <w:pgMar w:top="700" w:bottom="280" w:left="800" w:right="1020"/>
          <w:cols w:num="2" w:equalWidth="0">
            <w:col w:w="2095" w:space="195"/>
            <w:col w:w="7790"/>
          </w:cols>
        </w:sectPr>
      </w:pPr>
    </w:p>
    <w:p>
      <w:pPr>
        <w:pStyle w:val="BodyText"/>
        <w:spacing w:before="19"/>
      </w:pPr>
      <w:r>
        <w:rPr/>
        <w:t>险事故的，我们承担给付保险金的责任。</w:t>
      </w:r>
    </w:p>
    <w:p>
      <w:pPr>
        <w:pStyle w:val="ListParagraph"/>
        <w:numPr>
          <w:ilvl w:val="1"/>
          <w:numId w:val="2"/>
        </w:numPr>
        <w:tabs>
          <w:tab w:pos="933" w:val="left" w:leader="none"/>
        </w:tabs>
        <w:spacing w:line="249" w:lineRule="auto" w:before="142" w:after="0"/>
        <w:ind w:left="2512" w:right="218" w:hanging="2290"/>
        <w:jc w:val="both"/>
        <w:rPr>
          <w:sz w:val="21"/>
        </w:rPr>
      </w:pPr>
      <w:r>
        <w:rPr>
          <w:rFonts w:ascii="Microsoft JhengHei" w:eastAsia="Microsoft JhengHei" w:hint="eastAsia"/>
          <w:b/>
          <w:spacing w:val="3"/>
          <w:sz w:val="21"/>
        </w:rPr>
        <w:t>年龄性别错误   </w:t>
      </w:r>
      <w:r>
        <w:rPr>
          <w:spacing w:val="-10"/>
          <w:sz w:val="21"/>
        </w:rPr>
        <w:t>您在申请投保时，应将与有效身份证件相符的被保险人的出生日期和性别在投保</w:t>
      </w:r>
      <w:r>
        <w:rPr>
          <w:spacing w:val="-7"/>
          <w:sz w:val="21"/>
        </w:rPr>
        <w:t>单上填明，如果发生错误按照下列方式办理：</w:t>
      </w:r>
    </w:p>
    <w:p>
      <w:pPr>
        <w:pStyle w:val="BodyText"/>
        <w:spacing w:line="273" w:lineRule="auto" w:before="28"/>
        <w:ind w:right="113"/>
        <w:jc w:val="both"/>
        <w:rPr>
          <w:rFonts w:ascii="黑体" w:eastAsia="黑体" w:hint="eastAsia"/>
        </w:rPr>
      </w:pPr>
      <w:r>
        <w:rPr>
          <w:rFonts w:ascii="黑体" w:eastAsia="黑体" w:hint="eastAsia"/>
          <w:spacing w:val="-9"/>
        </w:rPr>
        <w:t>您申报的被保险人年龄不真实，并且其真实年龄不符合本合同约定投保年龄限制的，我们有权解除合同，合同解除权自我们知道有解除事由之日起超过 </w:t>
      </w:r>
      <w:r>
        <w:rPr>
          <w:rFonts w:ascii="黑体" w:eastAsia="黑体" w:hint="eastAsia"/>
        </w:rPr>
        <w:t>30</w:t>
      </w:r>
      <w:r>
        <w:rPr>
          <w:rFonts w:ascii="黑体" w:eastAsia="黑体" w:hint="eastAsia"/>
          <w:spacing w:val="-17"/>
        </w:rPr>
        <w:t> 日不</w:t>
      </w:r>
      <w:r>
        <w:rPr>
          <w:rFonts w:ascii="黑体" w:eastAsia="黑体" w:hint="eastAsia"/>
          <w:spacing w:val="-14"/>
        </w:rPr>
        <w:t>行使而消灭。对于解除本合同的，本合同自解除之日起终止，我们向您退还未满期净保险费。对于本合同解除前发</w:t>
      </w:r>
      <w:r>
        <w:rPr>
          <w:rFonts w:ascii="黑体" w:eastAsia="黑体" w:hint="eastAsia"/>
        </w:rPr>
        <w:t>Th</w:t>
      </w:r>
      <w:r>
        <w:rPr>
          <w:rFonts w:ascii="黑体" w:eastAsia="黑体" w:hint="eastAsia"/>
          <w:spacing w:val="-12"/>
        </w:rPr>
        <w:t>的保险事故，我们不承担给付保险金的责任。</w:t>
      </w:r>
    </w:p>
    <w:p>
      <w:pPr>
        <w:pStyle w:val="ListParagraph"/>
        <w:numPr>
          <w:ilvl w:val="1"/>
          <w:numId w:val="2"/>
        </w:numPr>
        <w:tabs>
          <w:tab w:pos="933" w:val="left" w:leader="none"/>
        </w:tabs>
        <w:spacing w:line="259" w:lineRule="auto" w:before="109" w:after="0"/>
        <w:ind w:left="2512" w:right="218" w:hanging="2290"/>
        <w:jc w:val="both"/>
        <w:rPr>
          <w:sz w:val="21"/>
        </w:rPr>
      </w:pPr>
      <w:r>
        <w:rPr>
          <w:rFonts w:ascii="Microsoft JhengHei" w:eastAsia="Microsoft JhengHei" w:hint="eastAsia"/>
          <w:b/>
          <w:spacing w:val="3"/>
          <w:sz w:val="21"/>
        </w:rPr>
        <w:t>合同内容变更   </w:t>
      </w:r>
      <w:r>
        <w:rPr>
          <w:spacing w:val="-8"/>
          <w:sz w:val="21"/>
        </w:rPr>
        <w:t>在本合同有效期内，经您与我们协商一致，可以变更本合同的有关内容。变更本</w:t>
      </w:r>
      <w:r>
        <w:rPr>
          <w:spacing w:val="-12"/>
          <w:sz w:val="21"/>
        </w:rPr>
        <w:t>合同的，应当由我们在电子保险单或者其他保险凭证上批注或者附贴批单，或者</w:t>
      </w:r>
      <w:r>
        <w:rPr>
          <w:spacing w:val="-8"/>
          <w:sz w:val="21"/>
        </w:rPr>
        <w:t>由您与我们订立书面的变更协议。</w:t>
      </w:r>
    </w:p>
    <w:p>
      <w:pPr>
        <w:pStyle w:val="BodyText"/>
        <w:spacing w:line="273" w:lineRule="auto" w:before="20"/>
        <w:ind w:right="218"/>
      </w:pPr>
      <w:r>
        <w:rPr>
          <w:spacing w:val="-9"/>
        </w:rPr>
        <w:t>您通过我们同意或认可的网站对本合同进行变更，视为您的书面申请，您向我们</w:t>
      </w:r>
      <w:r>
        <w:rPr>
          <w:spacing w:val="-7"/>
        </w:rPr>
        <w:t>在线提交的电子信息与您向我们提交的书面文件具有相同的法律效力。</w:t>
      </w:r>
    </w:p>
    <w:p>
      <w:pPr>
        <w:pStyle w:val="ListParagraph"/>
        <w:numPr>
          <w:ilvl w:val="1"/>
          <w:numId w:val="2"/>
        </w:numPr>
        <w:tabs>
          <w:tab w:pos="933" w:val="left" w:leader="none"/>
        </w:tabs>
        <w:spacing w:line="264" w:lineRule="auto" w:before="108" w:after="0"/>
        <w:ind w:left="2512" w:right="218" w:hanging="2290"/>
        <w:jc w:val="both"/>
        <w:rPr>
          <w:sz w:val="21"/>
        </w:rPr>
      </w:pPr>
      <w:r>
        <w:rPr>
          <w:rFonts w:ascii="Microsoft JhengHei" w:eastAsia="Microsoft JhengHei" w:hint="eastAsia"/>
          <w:b/>
          <w:spacing w:val="3"/>
          <w:sz w:val="21"/>
        </w:rPr>
        <w:t>联系方式变更   </w:t>
      </w:r>
      <w:r>
        <w:rPr>
          <w:spacing w:val="-8"/>
          <w:sz w:val="21"/>
        </w:rPr>
        <w:t>为了保障您的合法权益，您的住所、通讯地址或电话等联系方式变更时，请及时</w:t>
      </w:r>
      <w:r>
        <w:rPr>
          <w:spacing w:val="-11"/>
          <w:sz w:val="21"/>
        </w:rPr>
        <w:t>以书面形式或双方认可的其他形式通知我们。若您未以书面形式或双方认可的其</w:t>
      </w:r>
      <w:r>
        <w:rPr>
          <w:spacing w:val="-12"/>
          <w:sz w:val="21"/>
        </w:rPr>
        <w:t>他形式通知我们，我们按本合同载明的最后住所或通讯地址发送的有关通知，均</w:t>
      </w:r>
      <w:r>
        <w:rPr>
          <w:spacing w:val="-8"/>
          <w:sz w:val="21"/>
        </w:rPr>
        <w:t>视为已送达给您。</w:t>
      </w:r>
    </w:p>
    <w:p>
      <w:pPr>
        <w:pStyle w:val="ListParagraph"/>
        <w:numPr>
          <w:ilvl w:val="1"/>
          <w:numId w:val="2"/>
        </w:numPr>
        <w:tabs>
          <w:tab w:pos="933" w:val="left" w:leader="none"/>
          <w:tab w:pos="2511" w:val="left" w:leader="none"/>
        </w:tabs>
        <w:spacing w:line="249" w:lineRule="auto" w:before="121" w:after="0"/>
        <w:ind w:left="2512" w:right="218" w:hanging="2290"/>
        <w:jc w:val="both"/>
        <w:rPr>
          <w:sz w:val="21"/>
        </w:rPr>
      </w:pPr>
      <w:r>
        <w:rPr>
          <w:rFonts w:ascii="Microsoft JhengHei" w:eastAsia="Microsoft JhengHei" w:hint="eastAsia"/>
          <w:b/>
          <w:sz w:val="21"/>
        </w:rPr>
        <w:t>争议处理</w:t>
        <w:tab/>
      </w:r>
      <w:r>
        <w:rPr>
          <w:sz w:val="21"/>
        </w:rPr>
        <w:t>本合同履</w:t>
      </w:r>
      <w:r>
        <w:rPr>
          <w:spacing w:val="-5"/>
          <w:sz w:val="21"/>
        </w:rPr>
        <w:t>行</w:t>
      </w:r>
      <w:r>
        <w:rPr>
          <w:sz w:val="21"/>
        </w:rPr>
        <w:t>过程中</w:t>
      </w:r>
      <w:r>
        <w:rPr>
          <w:spacing w:val="-48"/>
          <w:sz w:val="21"/>
        </w:rPr>
        <w:t>，</w:t>
      </w:r>
      <w:r>
        <w:rPr>
          <w:sz w:val="21"/>
        </w:rPr>
        <w:t>双方发</w:t>
      </w:r>
      <w:r>
        <w:rPr>
          <w:spacing w:val="-5"/>
          <w:sz w:val="21"/>
        </w:rPr>
        <w:t>生</w:t>
      </w:r>
      <w:r>
        <w:rPr>
          <w:sz w:val="21"/>
        </w:rPr>
        <w:t>争议时</w:t>
      </w:r>
      <w:r>
        <w:rPr>
          <w:spacing w:val="-48"/>
          <w:sz w:val="21"/>
        </w:rPr>
        <w:t>，</w:t>
      </w:r>
      <w:r>
        <w:rPr>
          <w:sz w:val="21"/>
        </w:rPr>
        <w:t>可以</w:t>
      </w:r>
      <w:r>
        <w:rPr>
          <w:spacing w:val="-5"/>
          <w:sz w:val="21"/>
        </w:rPr>
        <w:t>从</w:t>
      </w:r>
      <w:r>
        <w:rPr>
          <w:sz w:val="21"/>
        </w:rPr>
        <w:t>下列</w:t>
      </w:r>
      <w:r>
        <w:rPr>
          <w:spacing w:val="-5"/>
          <w:sz w:val="21"/>
        </w:rPr>
        <w:t>两</w:t>
      </w:r>
      <w:r>
        <w:rPr>
          <w:sz w:val="21"/>
        </w:rPr>
        <w:t>种方式中</w:t>
      </w:r>
      <w:r>
        <w:rPr>
          <w:spacing w:val="-5"/>
          <w:sz w:val="21"/>
        </w:rPr>
        <w:t>选</w:t>
      </w:r>
      <w:r>
        <w:rPr>
          <w:sz w:val="21"/>
        </w:rPr>
        <w:t>择一种</w:t>
      </w:r>
      <w:r>
        <w:rPr>
          <w:spacing w:val="-5"/>
          <w:sz w:val="21"/>
        </w:rPr>
        <w:t>争</w:t>
      </w:r>
      <w:r>
        <w:rPr>
          <w:sz w:val="21"/>
        </w:rPr>
        <w:t>议处理 方式：</w:t>
      </w:r>
    </w:p>
    <w:p>
      <w:pPr>
        <w:pStyle w:val="ListParagraph"/>
        <w:numPr>
          <w:ilvl w:val="0"/>
          <w:numId w:val="4"/>
        </w:numPr>
        <w:tabs>
          <w:tab w:pos="3232" w:val="left" w:leader="none"/>
          <w:tab w:pos="9826" w:val="left" w:leader="none"/>
        </w:tabs>
        <w:spacing w:line="273" w:lineRule="auto" w:before="28" w:after="0"/>
        <w:ind w:left="3232" w:right="171" w:hanging="720"/>
        <w:jc w:val="left"/>
        <w:rPr>
          <w:sz w:val="21"/>
        </w:rPr>
      </w:pPr>
      <w:r>
        <w:rPr>
          <w:spacing w:val="-1"/>
          <w:sz w:val="21"/>
        </w:rPr>
        <w:t>因履</w:t>
      </w:r>
      <w:r>
        <w:rPr>
          <w:sz w:val="21"/>
        </w:rPr>
        <w:t>行本</w:t>
      </w:r>
      <w:r>
        <w:rPr>
          <w:spacing w:val="-5"/>
          <w:sz w:val="21"/>
        </w:rPr>
        <w:t>合</w:t>
      </w:r>
      <w:r>
        <w:rPr>
          <w:sz w:val="21"/>
        </w:rPr>
        <w:t>同发生</w:t>
      </w:r>
      <w:r>
        <w:rPr>
          <w:spacing w:val="-5"/>
          <w:sz w:val="21"/>
        </w:rPr>
        <w:t>的</w:t>
      </w:r>
      <w:r>
        <w:rPr>
          <w:sz w:val="21"/>
        </w:rPr>
        <w:t>争议</w:t>
      </w:r>
      <w:r>
        <w:rPr>
          <w:spacing w:val="-24"/>
          <w:sz w:val="21"/>
        </w:rPr>
        <w:t>，</w:t>
      </w:r>
      <w:r>
        <w:rPr>
          <w:spacing w:val="-5"/>
          <w:sz w:val="21"/>
        </w:rPr>
        <w:t>由</w:t>
      </w:r>
      <w:r>
        <w:rPr>
          <w:sz w:val="21"/>
        </w:rPr>
        <w:t>双方协</w:t>
      </w:r>
      <w:r>
        <w:rPr>
          <w:spacing w:val="-5"/>
          <w:sz w:val="21"/>
        </w:rPr>
        <w:t>商</w:t>
      </w:r>
      <w:r>
        <w:rPr>
          <w:sz w:val="21"/>
        </w:rPr>
        <w:t>解决</w:t>
      </w:r>
      <w:r>
        <w:rPr>
          <w:spacing w:val="-24"/>
          <w:sz w:val="21"/>
        </w:rPr>
        <w:t>，</w:t>
      </w:r>
      <w:r>
        <w:rPr>
          <w:spacing w:val="-5"/>
          <w:sz w:val="21"/>
        </w:rPr>
        <w:t>协</w:t>
      </w:r>
      <w:r>
        <w:rPr>
          <w:sz w:val="21"/>
        </w:rPr>
        <w:t>商</w:t>
      </w:r>
      <w:r>
        <w:rPr>
          <w:spacing w:val="-5"/>
          <w:sz w:val="21"/>
        </w:rPr>
        <w:t>不</w:t>
      </w:r>
      <w:r>
        <w:rPr>
          <w:sz w:val="21"/>
        </w:rPr>
        <w:t>成的</w:t>
      </w:r>
      <w:r>
        <w:rPr>
          <w:spacing w:val="-24"/>
          <w:sz w:val="21"/>
        </w:rPr>
        <w:t>，</w:t>
      </w:r>
      <w:r>
        <w:rPr>
          <w:sz w:val="21"/>
        </w:rPr>
        <w:t>提交</w:t>
      </w:r>
      <w:r>
        <w:rPr>
          <w:sz w:val="21"/>
          <w:u w:val="single"/>
        </w:rPr>
        <w:tab/>
      </w:r>
      <w:r>
        <w:rPr>
          <w:sz w:val="21"/>
        </w:rPr>
        <w:t>      仲裁委员</w:t>
      </w:r>
      <w:r>
        <w:rPr>
          <w:spacing w:val="-5"/>
          <w:sz w:val="21"/>
        </w:rPr>
        <w:t>会</w:t>
      </w:r>
      <w:r>
        <w:rPr>
          <w:sz w:val="21"/>
        </w:rPr>
        <w:t>仲裁；</w:t>
      </w:r>
    </w:p>
    <w:p>
      <w:pPr>
        <w:pStyle w:val="ListParagraph"/>
        <w:numPr>
          <w:ilvl w:val="0"/>
          <w:numId w:val="4"/>
        </w:numPr>
        <w:tabs>
          <w:tab w:pos="3232" w:val="left" w:leader="none"/>
        </w:tabs>
        <w:spacing w:line="273" w:lineRule="auto" w:before="7" w:after="0"/>
        <w:ind w:left="3232" w:right="252" w:hanging="720"/>
        <w:jc w:val="left"/>
        <w:rPr>
          <w:sz w:val="21"/>
        </w:rPr>
      </w:pPr>
      <w:r>
        <w:rPr>
          <w:spacing w:val="-5"/>
          <w:sz w:val="21"/>
        </w:rPr>
        <w:t>因履行本合同发生的争议，由双方协商解决，协商不成的，依法向人民法院起诉。</w:t>
      </w:r>
    </w:p>
    <w:p>
      <w:pPr>
        <w:pStyle w:val="ListParagraph"/>
        <w:numPr>
          <w:ilvl w:val="1"/>
          <w:numId w:val="2"/>
        </w:numPr>
        <w:tabs>
          <w:tab w:pos="933" w:val="left" w:leader="none"/>
        </w:tabs>
        <w:spacing w:line="249" w:lineRule="auto" w:before="108" w:after="0"/>
        <w:ind w:left="2512" w:right="218" w:hanging="2290"/>
        <w:jc w:val="both"/>
        <w:rPr>
          <w:sz w:val="21"/>
        </w:rPr>
      </w:pPr>
      <w:r>
        <w:rPr>
          <w:rFonts w:ascii="Microsoft JhengHei" w:eastAsia="Microsoft JhengHei" w:hint="eastAsia"/>
          <w:b/>
          <w:spacing w:val="3"/>
          <w:sz w:val="21"/>
        </w:rPr>
        <w:t>保险事故鉴定   </w:t>
      </w:r>
      <w:r>
        <w:rPr>
          <w:spacing w:val="-9"/>
          <w:sz w:val="21"/>
        </w:rPr>
        <w:t>如果被保险人发生保险事故，您和我们均可以委托保险公估机构等依法设立的独</w:t>
      </w:r>
      <w:r>
        <w:rPr>
          <w:spacing w:val="-7"/>
          <w:sz w:val="21"/>
        </w:rPr>
        <w:t>立评估机构或者具有相关专业知识的人员，对保险事故进行评估和鉴定。</w:t>
      </w:r>
    </w:p>
    <w:p>
      <w:pPr>
        <w:pStyle w:val="BodyText"/>
        <w:spacing w:before="6"/>
        <w:ind w:left="0"/>
        <w:rPr>
          <w:sz w:val="11"/>
        </w:rPr>
      </w:pPr>
    </w:p>
    <w:p>
      <w:pPr>
        <w:spacing w:after="0"/>
        <w:rPr>
          <w:sz w:val="11"/>
        </w:rPr>
        <w:sectPr>
          <w:pgSz w:w="11900" w:h="16840"/>
          <w:pgMar w:top="1100" w:bottom="280" w:left="800" w:right="1100"/>
        </w:sectPr>
      </w:pPr>
    </w:p>
    <w:p>
      <w:pPr>
        <w:pStyle w:val="Heading4"/>
        <w:numPr>
          <w:ilvl w:val="0"/>
          <w:numId w:val="2"/>
        </w:numPr>
        <w:tabs>
          <w:tab w:pos="932" w:val="left" w:leader="none"/>
          <w:tab w:pos="933" w:val="left" w:leader="none"/>
        </w:tabs>
        <w:spacing w:line="367" w:lineRule="exact" w:before="0" w:after="0"/>
        <w:ind w:left="932" w:right="0" w:hanging="710"/>
        <w:jc w:val="left"/>
      </w:pPr>
      <w:r>
        <w:rPr/>
        <w:pict>
          <v:group style="position:absolute;margin-left:45.599998pt;margin-top:18.915091pt;width:488.65pt;height:.5pt;mso-position-horizontal-relative:page;mso-position-vertical-relative:paragraph;z-index:-22528" coordorigin="912,378" coordsize="9773,10">
            <v:line style="position:absolute" from="912,383" to="1728,383" stroked="true" strokeweight=".48pt" strokecolor="#000000">
              <v:stroke dashstyle="solid"/>
            </v:line>
            <v:rect style="position:absolute;left:1728;top:378;width:10;height:10" filled="true" fillcolor="#000000" stroked="false">
              <v:fill type="solid"/>
            </v:rect>
            <v:line style="position:absolute" from="1738,383" to="3202,383" stroked="true" strokeweight=".48pt" strokecolor="#000000">
              <v:stroke dashstyle="solid"/>
            </v:line>
            <v:rect style="position:absolute;left:3201;top:378;width:10;height:10" filled="true" fillcolor="#000000" stroked="false">
              <v:fill type="solid"/>
            </v:rect>
            <v:line style="position:absolute" from="3211,383" to="10685,383" stroked="true" strokeweight=".48pt" strokecolor="#000000">
              <v:stroke dashstyle="solid"/>
            </v:line>
            <w10:wrap type="none"/>
          </v:group>
        </w:pict>
      </w:r>
      <w:r>
        <w:rPr>
          <w:position w:val="1"/>
        </w:rPr>
        <w:t>重大疾病定义</w:t>
      </w:r>
    </w:p>
    <w:p>
      <w:pPr>
        <w:pStyle w:val="BodyText"/>
        <w:spacing w:before="7"/>
        <w:ind w:left="0"/>
        <w:rPr>
          <w:rFonts w:ascii="Microsoft JhengHei"/>
          <w:b/>
        </w:rPr>
      </w:pPr>
      <w:r>
        <w:rPr/>
        <w:br w:type="column"/>
      </w:r>
      <w:r>
        <w:rPr>
          <w:rFonts w:ascii="Microsoft JhengHei"/>
          <w:b/>
        </w:rPr>
      </w:r>
    </w:p>
    <w:p>
      <w:pPr>
        <w:pStyle w:val="BodyText"/>
        <w:spacing w:line="273" w:lineRule="auto"/>
        <w:ind w:left="222" w:right="218"/>
        <w:jc w:val="both"/>
      </w:pPr>
      <w:r>
        <w:rPr>
          <w:spacing w:val="-6"/>
        </w:rPr>
        <w:t>本合同所定义的重大疾病共有 </w:t>
      </w:r>
      <w:r>
        <w:rPr/>
        <w:t>18</w:t>
      </w:r>
      <w:r>
        <w:rPr>
          <w:spacing w:val="-29"/>
        </w:rPr>
        <w:t> 种，其中第 </w:t>
      </w:r>
      <w:r>
        <w:rPr/>
        <w:t>1</w:t>
      </w:r>
      <w:r>
        <w:rPr>
          <w:spacing w:val="-33"/>
        </w:rPr>
        <w:t> 至 </w:t>
      </w:r>
      <w:r>
        <w:rPr/>
        <w:t>12</w:t>
      </w:r>
      <w:r>
        <w:rPr>
          <w:spacing w:val="-8"/>
        </w:rPr>
        <w:t> 种重大疾病为中国保险行业</w:t>
      </w:r>
      <w:r>
        <w:rPr>
          <w:spacing w:val="-11"/>
        </w:rPr>
        <w:t>协会颁布的《重大疾病保险的疾病定义使用规范》</w:t>
      </w:r>
      <w:r>
        <w:rPr>
          <w:spacing w:val="-5"/>
        </w:rPr>
        <w:t>（</w:t>
      </w:r>
      <w:r>
        <w:rPr>
          <w:spacing w:val="-2"/>
        </w:rPr>
        <w:t>以下简称“规范”</w:t>
      </w:r>
      <w:r>
        <w:rPr>
          <w:spacing w:val="-3"/>
        </w:rPr>
        <w:t>）</w:t>
      </w:r>
      <w:r>
        <w:rPr/>
        <w:t>规定的</w:t>
      </w:r>
      <w:r>
        <w:rPr>
          <w:spacing w:val="-15"/>
        </w:rPr>
        <w:t>疾病，且疾病名称和疾病定义与“规范”一致，第</w:t>
      </w:r>
      <w:r>
        <w:rPr/>
        <w:t>13</w:t>
      </w:r>
      <w:r>
        <w:rPr>
          <w:spacing w:val="-20"/>
        </w:rPr>
        <w:t> 至</w:t>
      </w:r>
      <w:r>
        <w:rPr/>
        <w:t>18</w:t>
      </w:r>
      <w:r>
        <w:rPr>
          <w:spacing w:val="-8"/>
        </w:rPr>
        <w:t> 种重大疾病为“规范” </w:t>
      </w:r>
      <w:r>
        <w:rPr>
          <w:spacing w:val="-6"/>
        </w:rPr>
        <w:t>规定范围之外的疾病。</w:t>
      </w:r>
    </w:p>
    <w:p>
      <w:pPr>
        <w:spacing w:after="0" w:line="273" w:lineRule="auto"/>
        <w:jc w:val="both"/>
        <w:sectPr>
          <w:type w:val="continuous"/>
          <w:pgSz w:w="11900" w:h="16840"/>
          <w:pgMar w:top="700" w:bottom="280" w:left="800" w:right="1100"/>
          <w:cols w:num="2" w:equalWidth="0">
            <w:col w:w="2200" w:space="89"/>
            <w:col w:w="7711"/>
          </w:cols>
        </w:sectPr>
      </w:pPr>
    </w:p>
    <w:p>
      <w:pPr>
        <w:pStyle w:val="BodyText"/>
        <w:spacing w:before="8"/>
        <w:ind w:left="0"/>
        <w:rPr>
          <w:sz w:val="10"/>
        </w:rPr>
      </w:pPr>
    </w:p>
    <w:p>
      <w:pPr>
        <w:pStyle w:val="ListParagraph"/>
        <w:numPr>
          <w:ilvl w:val="1"/>
          <w:numId w:val="2"/>
        </w:numPr>
        <w:tabs>
          <w:tab w:pos="932" w:val="left" w:leader="none"/>
          <w:tab w:pos="933" w:val="left" w:leader="none"/>
          <w:tab w:pos="2511" w:val="left" w:leader="none"/>
        </w:tabs>
        <w:spacing w:line="312" w:lineRule="exact" w:before="32" w:after="0"/>
        <w:ind w:left="2512" w:right="113" w:hanging="2290"/>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44"/>
          <w:sz w:val="21"/>
        </w:rPr>
        <w:t>，</w:t>
      </w:r>
      <w:r>
        <w:rPr>
          <w:sz w:val="21"/>
        </w:rPr>
        <w:t>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44"/>
          <w:sz w:val="21"/>
        </w:rPr>
        <w:t>，</w:t>
      </w:r>
      <w:r>
        <w:rPr>
          <w:spacing w:val="-5"/>
          <w:sz w:val="21"/>
        </w:rPr>
        <w:t>可</w:t>
      </w:r>
      <w:r>
        <w:rPr>
          <w:sz w:val="21"/>
        </w:rPr>
        <w:t>以经血 管</w:t>
      </w:r>
      <w:r>
        <w:rPr>
          <w:spacing w:val="-96"/>
          <w:sz w:val="21"/>
        </w:rPr>
        <w:t>、</w:t>
      </w:r>
      <w:r>
        <w:rPr>
          <w:sz w:val="21"/>
        </w:rPr>
        <w:t>淋巴</w:t>
      </w:r>
      <w:r>
        <w:rPr>
          <w:spacing w:val="-5"/>
          <w:sz w:val="21"/>
        </w:rPr>
        <w:t>管</w:t>
      </w:r>
      <w:r>
        <w:rPr>
          <w:sz w:val="21"/>
        </w:rPr>
        <w:t>和体腔</w:t>
      </w:r>
      <w:r>
        <w:rPr>
          <w:spacing w:val="-5"/>
          <w:sz w:val="21"/>
        </w:rPr>
        <w:t>扩</w:t>
      </w:r>
      <w:r>
        <w:rPr>
          <w:sz w:val="21"/>
        </w:rPr>
        <w:t>散转移</w:t>
      </w:r>
      <w:r>
        <w:rPr>
          <w:spacing w:val="-5"/>
          <w:sz w:val="21"/>
        </w:rPr>
        <w:t>到</w:t>
      </w:r>
      <w:r>
        <w:rPr>
          <w:sz w:val="21"/>
        </w:rPr>
        <w:t>身体其</w:t>
      </w:r>
      <w:r>
        <w:rPr>
          <w:spacing w:val="-5"/>
          <w:sz w:val="21"/>
        </w:rPr>
        <w:t>它</w:t>
      </w:r>
      <w:r>
        <w:rPr>
          <w:sz w:val="21"/>
        </w:rPr>
        <w:t>部位的</w:t>
      </w:r>
      <w:r>
        <w:rPr>
          <w:spacing w:val="-5"/>
          <w:sz w:val="21"/>
        </w:rPr>
        <w:t>疾</w:t>
      </w:r>
      <w:r>
        <w:rPr>
          <w:sz w:val="21"/>
        </w:rPr>
        <w:t>病</w:t>
      </w:r>
      <w:r>
        <w:rPr>
          <w:spacing w:val="-96"/>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w:t>
      </w:r>
      <w:r>
        <w:rPr>
          <w:spacing w:val="-5"/>
          <w:sz w:val="21"/>
        </w:rPr>
        <w:t>属</w:t>
      </w:r>
      <w:r>
        <w:rPr>
          <w:sz w:val="21"/>
        </w:rPr>
        <w:t>于世界</w:t>
      </w:r>
      <w:r>
        <w:rPr>
          <w:spacing w:val="-5"/>
          <w:sz w:val="21"/>
        </w:rPr>
        <w:t>卫</w:t>
      </w:r>
      <w:r>
        <w:rPr>
          <w:sz w:val="21"/>
        </w:rPr>
        <w:t>生组织</w:t>
      </w:r>
      <w:r>
        <w:rPr>
          <w:spacing w:val="-5"/>
          <w:sz w:val="21"/>
        </w:rPr>
        <w:t>《</w:t>
      </w:r>
      <w:r>
        <w:rPr>
          <w:sz w:val="21"/>
        </w:rPr>
        <w:t>疾病和</w:t>
      </w:r>
      <w:r>
        <w:rPr>
          <w:spacing w:val="-5"/>
          <w:sz w:val="21"/>
        </w:rPr>
        <w:t>有</w:t>
      </w:r>
      <w:r>
        <w:rPr>
          <w:sz w:val="21"/>
        </w:rPr>
        <w:t>关健康</w:t>
      </w:r>
      <w:r>
        <w:rPr>
          <w:spacing w:val="-5"/>
          <w:sz w:val="21"/>
        </w:rPr>
        <w:t>问</w:t>
      </w:r>
      <w:r>
        <w:rPr>
          <w:sz w:val="21"/>
        </w:rPr>
        <w:t>题</w:t>
      </w:r>
      <w:r>
        <w:rPr>
          <w:spacing w:val="-5"/>
          <w:sz w:val="21"/>
        </w:rPr>
        <w:t>的</w:t>
      </w:r>
      <w:r>
        <w:rPr>
          <w:sz w:val="21"/>
        </w:rPr>
        <w:t>国际统计</w:t>
      </w:r>
      <w:r>
        <w:rPr>
          <w:spacing w:val="-5"/>
          <w:sz w:val="21"/>
        </w:rPr>
        <w:t>分</w:t>
      </w:r>
      <w:r>
        <w:rPr>
          <w:sz w:val="21"/>
        </w:rPr>
        <w:t>类</w:t>
      </w:r>
      <w:r>
        <w:rPr>
          <w:spacing w:val="-106"/>
          <w:sz w:val="21"/>
        </w:rPr>
        <w:t>》</w:t>
      </w:r>
      <w:r>
        <w:rPr>
          <w:sz w:val="21"/>
        </w:rPr>
        <w:t>（ICD-10） 的恶性肿</w:t>
      </w:r>
      <w:r>
        <w:rPr>
          <w:spacing w:val="-5"/>
          <w:sz w:val="21"/>
        </w:rPr>
        <w:t>瘤</w:t>
      </w:r>
      <w:r>
        <w:rPr>
          <w:sz w:val="21"/>
        </w:rPr>
        <w:t>范畴。</w:t>
      </w:r>
    </w:p>
    <w:p>
      <w:pPr>
        <w:pStyle w:val="BodyText"/>
        <w:spacing w:before="4"/>
        <w:rPr>
          <w:rFonts w:ascii="黑体" w:eastAsia="黑体" w:hint="eastAsia"/>
        </w:rPr>
      </w:pPr>
      <w:r>
        <w:rPr>
          <w:rFonts w:ascii="黑体" w:eastAsia="黑体" w:hint="eastAsia"/>
        </w:rPr>
        <w:t>下列疾病不在保障范围内：</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pacing w:val="-2"/>
          <w:sz w:val="21"/>
        </w:rPr>
        <w:t>原位癌；</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ListParagraph"/>
        <w:numPr>
          <w:ilvl w:val="0"/>
          <w:numId w:val="5"/>
        </w:numPr>
        <w:tabs>
          <w:tab w:pos="3251" w:val="left" w:leader="none"/>
          <w:tab w:pos="3252" w:val="left" w:leader="none"/>
        </w:tabs>
        <w:spacing w:line="240" w:lineRule="auto" w:before="37" w:after="0"/>
        <w:ind w:left="3251" w:right="0" w:hanging="739"/>
        <w:jc w:val="left"/>
        <w:rPr>
          <w:rFonts w:ascii="黑体" w:eastAsia="黑体" w:hint="eastAsia"/>
          <w:sz w:val="21"/>
        </w:rPr>
      </w:pPr>
      <w:r>
        <w:rPr>
          <w:rFonts w:ascii="黑体" w:eastAsia="黑体" w:hint="eastAsia"/>
          <w:spacing w:val="-5"/>
          <w:sz w:val="21"/>
        </w:rPr>
        <w:t>感染艾滋病病毒或患艾滋病期间所患恶性肿瘤。</w:t>
      </w:r>
    </w:p>
    <w:p>
      <w:pPr>
        <w:pStyle w:val="BodyText"/>
        <w:spacing w:before="3"/>
        <w:ind w:left="0"/>
        <w:rPr>
          <w:rFonts w:ascii="黑体"/>
          <w:sz w:val="13"/>
        </w:rPr>
      </w:pPr>
    </w:p>
    <w:p>
      <w:pPr>
        <w:spacing w:after="0"/>
        <w:rPr>
          <w:rFonts w:ascii="黑体"/>
          <w:sz w:val="13"/>
        </w:rPr>
        <w:sectPr>
          <w:type w:val="continuous"/>
          <w:pgSz w:w="11900" w:h="16840"/>
          <w:pgMar w:top="700" w:bottom="280" w:left="800" w:right="1100"/>
        </w:sectPr>
      </w:pPr>
    </w:p>
    <w:p>
      <w:pPr>
        <w:pStyle w:val="Heading4"/>
        <w:numPr>
          <w:ilvl w:val="1"/>
          <w:numId w:val="2"/>
        </w:numPr>
        <w:tabs>
          <w:tab w:pos="932" w:val="left" w:leader="none"/>
          <w:tab w:pos="933" w:val="left" w:leader="none"/>
        </w:tabs>
        <w:spacing w:line="309" w:lineRule="exact" w:before="0" w:after="0"/>
        <w:ind w:left="2512" w:right="0" w:hanging="2290"/>
        <w:jc w:val="left"/>
      </w:pPr>
      <w:r>
        <w:rPr/>
        <w:t>重大器官移植</w:t>
      </w:r>
    </w:p>
    <w:p>
      <w:pPr>
        <w:spacing w:line="339" w:lineRule="exact" w:before="0"/>
        <w:ind w:left="932" w:right="0" w:firstLine="0"/>
        <w:jc w:val="left"/>
        <w:rPr>
          <w:rFonts w:ascii="Microsoft JhengHei" w:eastAsia="Microsoft JhengHei" w:hint="eastAsia"/>
          <w:b/>
          <w:sz w:val="21"/>
        </w:rPr>
      </w:pPr>
      <w:r>
        <w:rPr>
          <w:rFonts w:ascii="Microsoft JhengHei" w:eastAsia="Microsoft JhengHei" w:hint="eastAsia"/>
          <w:b/>
          <w:sz w:val="21"/>
        </w:rPr>
        <w:t>术或造血干细</w:t>
      </w:r>
    </w:p>
    <w:p>
      <w:pPr>
        <w:pStyle w:val="BodyText"/>
        <w:spacing w:line="273" w:lineRule="auto" w:before="36"/>
        <w:ind w:left="222" w:right="218"/>
      </w:pPr>
      <w:r>
        <w:rPr/>
        <w:br w:type="column"/>
      </w:r>
      <w:r>
        <w:rPr>
          <w:spacing w:val="-8"/>
        </w:rPr>
        <w:t>重大器官移植术，指因相应器官功能衰竭，已经实施了肾脏、肝脏、心脏或肺脏</w:t>
      </w:r>
      <w:r>
        <w:rPr>
          <w:spacing w:val="-6"/>
        </w:rPr>
        <w:t>的异体移植手术。</w:t>
      </w:r>
    </w:p>
    <w:p>
      <w:pPr>
        <w:spacing w:after="0" w:line="273" w:lineRule="auto"/>
        <w:sectPr>
          <w:type w:val="continuous"/>
          <w:pgSz w:w="11900" w:h="16840"/>
          <w:pgMar w:top="700" w:bottom="280" w:left="800" w:right="1100"/>
          <w:cols w:num="2" w:equalWidth="0">
            <w:col w:w="2200" w:space="89"/>
            <w:col w:w="7711"/>
          </w:cols>
        </w:sectPr>
      </w:pPr>
    </w:p>
    <w:p>
      <w:pPr>
        <w:pStyle w:val="BodyText"/>
        <w:tabs>
          <w:tab w:pos="2391" w:val="left" w:leader="none"/>
        </w:tabs>
        <w:spacing w:line="312" w:lineRule="exact" w:before="15"/>
        <w:ind w:left="2392" w:right="218" w:hanging="1580"/>
        <w:jc w:val="both"/>
      </w:pPr>
      <w:r>
        <w:rPr>
          <w:rFonts w:ascii="Microsoft JhengHei" w:eastAsia="Microsoft JhengHei" w:hint="eastAsia"/>
          <w:b/>
        </w:rPr>
        <w:t>胞移植术</w:t>
        <w:tab/>
      </w:r>
      <w:r>
        <w:rPr/>
        <w:t>造血干细</w:t>
      </w:r>
      <w:r>
        <w:rPr>
          <w:spacing w:val="-5"/>
        </w:rPr>
        <w:t>胞</w:t>
      </w:r>
      <w:r>
        <w:rPr/>
        <w:t>移植术</w:t>
      </w:r>
      <w:r>
        <w:rPr>
          <w:spacing w:val="-48"/>
        </w:rPr>
        <w:t>，</w:t>
      </w:r>
      <w:r>
        <w:rPr/>
        <w:t>指因造</w:t>
      </w:r>
      <w:r>
        <w:rPr>
          <w:spacing w:val="-5"/>
        </w:rPr>
        <w:t>血</w:t>
      </w:r>
      <w:r>
        <w:rPr/>
        <w:t>功能损</w:t>
      </w:r>
      <w:r>
        <w:rPr>
          <w:spacing w:val="-5"/>
        </w:rPr>
        <w:t>害</w:t>
      </w:r>
      <w:r>
        <w:rPr/>
        <w:t>或造血</w:t>
      </w:r>
      <w:r>
        <w:rPr>
          <w:spacing w:val="-5"/>
        </w:rPr>
        <w:t>系</w:t>
      </w:r>
      <w:r>
        <w:rPr/>
        <w:t>统</w:t>
      </w:r>
      <w:r>
        <w:rPr>
          <w:spacing w:val="-5"/>
        </w:rPr>
        <w:t>恶</w:t>
      </w:r>
      <w:r>
        <w:rPr/>
        <w:t>性肿瘤</w:t>
      </w:r>
      <w:r>
        <w:rPr>
          <w:spacing w:val="-44"/>
        </w:rPr>
        <w:t>，</w:t>
      </w:r>
      <w:r>
        <w:rPr>
          <w:spacing w:val="-5"/>
        </w:rPr>
        <w:t>已</w:t>
      </w:r>
      <w:r>
        <w:rPr/>
        <w:t>经实施</w:t>
      </w:r>
      <w:r>
        <w:rPr>
          <w:spacing w:val="-5"/>
        </w:rPr>
        <w:t>了</w:t>
      </w:r>
      <w:r>
        <w:rPr/>
        <w:t>造血干 细</w:t>
      </w:r>
      <w:r>
        <w:rPr>
          <w:spacing w:val="-29"/>
        </w:rPr>
        <w:t>胞</w:t>
      </w:r>
      <w:r>
        <w:rPr/>
        <w:t>（包</w:t>
      </w:r>
      <w:r>
        <w:rPr>
          <w:spacing w:val="-5"/>
        </w:rPr>
        <w:t>括</w:t>
      </w:r>
      <w:r>
        <w:rPr/>
        <w:t>骨髓造</w:t>
      </w:r>
      <w:r>
        <w:rPr>
          <w:spacing w:val="-5"/>
        </w:rPr>
        <w:t>血</w:t>
      </w:r>
      <w:r>
        <w:rPr/>
        <w:t>干细胞</w:t>
      </w:r>
      <w:r>
        <w:rPr>
          <w:spacing w:val="-34"/>
        </w:rPr>
        <w:t>、</w:t>
      </w:r>
      <w:r>
        <w:rPr/>
        <w:t>外周血</w:t>
      </w:r>
      <w:r>
        <w:rPr>
          <w:spacing w:val="-5"/>
        </w:rPr>
        <w:t>造</w:t>
      </w:r>
      <w:r>
        <w:rPr/>
        <w:t>血干细</w:t>
      </w:r>
      <w:r>
        <w:rPr>
          <w:spacing w:val="-5"/>
        </w:rPr>
        <w:t>胞</w:t>
      </w:r>
      <w:r>
        <w:rPr/>
        <w:t>和</w:t>
      </w:r>
      <w:r>
        <w:rPr>
          <w:spacing w:val="-5"/>
        </w:rPr>
        <w:t>脐</w:t>
      </w:r>
      <w:r>
        <w:rPr/>
        <w:t>血造血干</w:t>
      </w:r>
      <w:r>
        <w:rPr>
          <w:spacing w:val="-5"/>
        </w:rPr>
        <w:t>细</w:t>
      </w:r>
      <w:r>
        <w:rPr/>
        <w:t>胞</w:t>
      </w:r>
      <w:r>
        <w:rPr>
          <w:spacing w:val="-29"/>
        </w:rPr>
        <w:t>）</w:t>
      </w:r>
      <w:r>
        <w:rPr/>
        <w:t>的</w:t>
      </w:r>
      <w:r>
        <w:rPr>
          <w:spacing w:val="-5"/>
        </w:rPr>
        <w:t>异</w:t>
      </w:r>
      <w:r>
        <w:rPr/>
        <w:t>体移植手术。</w:t>
      </w:r>
    </w:p>
    <w:p>
      <w:pPr>
        <w:pStyle w:val="BodyText"/>
        <w:spacing w:before="9"/>
        <w:ind w:left="0"/>
        <w:rPr>
          <w:sz w:val="10"/>
        </w:rPr>
      </w:pPr>
    </w:p>
    <w:p>
      <w:pPr>
        <w:spacing w:after="0"/>
        <w:rPr>
          <w:sz w:val="10"/>
        </w:rPr>
        <w:sectPr>
          <w:pgSz w:w="11900" w:h="16840"/>
          <w:pgMar w:top="1100" w:bottom="280" w:left="920" w:right="1100"/>
        </w:sectPr>
      </w:pPr>
    </w:p>
    <w:p>
      <w:pPr>
        <w:pStyle w:val="Heading4"/>
        <w:numPr>
          <w:ilvl w:val="1"/>
          <w:numId w:val="2"/>
        </w:numPr>
        <w:tabs>
          <w:tab w:pos="812" w:val="left" w:leader="none"/>
          <w:tab w:pos="813" w:val="left" w:leader="none"/>
        </w:tabs>
        <w:spacing w:line="309" w:lineRule="exact" w:before="0" w:after="0"/>
        <w:ind w:left="812" w:right="0" w:hanging="710"/>
        <w:jc w:val="left"/>
      </w:pPr>
      <w:r>
        <w:rPr>
          <w:spacing w:val="-2"/>
        </w:rPr>
        <w:t>终末期肾病</w:t>
      </w:r>
      <w:r>
        <w:rPr/>
        <w:t>（或</w:t>
      </w:r>
    </w:p>
    <w:p>
      <w:pPr>
        <w:spacing w:line="204" w:lineRule="auto" w:before="28"/>
        <w:ind w:left="812" w:right="0" w:firstLine="0"/>
        <w:jc w:val="left"/>
        <w:rPr>
          <w:rFonts w:ascii="Microsoft JhengHei" w:eastAsia="Microsoft JhengHei" w:hint="eastAsia"/>
          <w:b/>
          <w:sz w:val="21"/>
        </w:rPr>
      </w:pPr>
      <w:r>
        <w:rPr>
          <w:rFonts w:ascii="Microsoft JhengHei" w:eastAsia="Microsoft JhengHei" w:hint="eastAsia"/>
          <w:b/>
          <w:sz w:val="21"/>
        </w:rPr>
        <w:t>称慢性肾功能 衰竭尿毒症期）</w:t>
      </w:r>
    </w:p>
    <w:p>
      <w:pPr>
        <w:pStyle w:val="BodyText"/>
        <w:spacing w:line="273" w:lineRule="auto" w:before="37"/>
        <w:ind w:left="60" w:right="238"/>
      </w:pPr>
      <w:r>
        <w:rPr/>
        <w:br w:type="column"/>
      </w:r>
      <w:r>
        <w:rPr>
          <w:spacing w:val="-7"/>
        </w:rPr>
        <w:t>指双肾功能慢性不可逆性衰竭，达到尿毒症期，经诊断后已经进行了至少 </w:t>
      </w:r>
      <w:r>
        <w:rPr/>
        <w:t>90</w:t>
      </w:r>
      <w:r>
        <w:rPr>
          <w:spacing w:val="-17"/>
        </w:rPr>
        <w:t> 天</w:t>
      </w:r>
      <w:r>
        <w:rPr>
          <w:spacing w:val="-10"/>
        </w:rPr>
        <w:t>的规律性透析治疗或实施了肾脏移植手术。</w:t>
      </w:r>
    </w:p>
    <w:p>
      <w:pPr>
        <w:spacing w:after="0" w:line="273" w:lineRule="auto"/>
        <w:sectPr>
          <w:type w:val="continuous"/>
          <w:pgSz w:w="11900" w:h="16840"/>
          <w:pgMar w:top="700" w:bottom="280" w:left="920" w:right="1100"/>
          <w:cols w:num="2" w:equalWidth="0">
            <w:col w:w="2292" w:space="40"/>
            <w:col w:w="7548"/>
          </w:cols>
        </w:sectPr>
      </w:pPr>
    </w:p>
    <w:p>
      <w:pPr>
        <w:pStyle w:val="BodyText"/>
        <w:spacing w:before="1"/>
        <w:ind w:left="0"/>
        <w:rPr>
          <w:sz w:val="11"/>
        </w:rPr>
      </w:pPr>
    </w:p>
    <w:p>
      <w:pPr>
        <w:spacing w:after="0"/>
        <w:rPr>
          <w:sz w:val="11"/>
        </w:rPr>
        <w:sectPr>
          <w:type w:val="continuous"/>
          <w:pgSz w:w="11900" w:h="16840"/>
          <w:pgMar w:top="700" w:bottom="280" w:left="920" w:right="1100"/>
        </w:sectPr>
      </w:pPr>
    </w:p>
    <w:p>
      <w:pPr>
        <w:pStyle w:val="Heading4"/>
        <w:numPr>
          <w:ilvl w:val="1"/>
          <w:numId w:val="2"/>
        </w:numPr>
        <w:tabs>
          <w:tab w:pos="812" w:val="left" w:leader="none"/>
          <w:tab w:pos="813" w:val="left" w:leader="none"/>
        </w:tabs>
        <w:spacing w:line="308" w:lineRule="exact" w:before="0" w:after="0"/>
        <w:ind w:left="812" w:right="0" w:hanging="710"/>
        <w:jc w:val="left"/>
      </w:pPr>
      <w:r>
        <w:rPr/>
        <w:t>急性或亚急性</w:t>
      </w:r>
    </w:p>
    <w:p>
      <w:pPr>
        <w:spacing w:line="339" w:lineRule="exact" w:before="0"/>
        <w:ind w:left="812"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73" w:lineRule="auto" w:before="36"/>
        <w:ind w:left="102" w:right="218"/>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ListParagraph"/>
        <w:numPr>
          <w:ilvl w:val="0"/>
          <w:numId w:val="6"/>
        </w:numPr>
        <w:tabs>
          <w:tab w:pos="841" w:val="left" w:leader="none"/>
          <w:tab w:pos="842" w:val="left" w:leader="none"/>
        </w:tabs>
        <w:spacing w:line="240" w:lineRule="auto" w:before="7" w:after="0"/>
        <w:ind w:left="841" w:right="0" w:hanging="739"/>
        <w:jc w:val="left"/>
        <w:rPr>
          <w:sz w:val="21"/>
        </w:rPr>
      </w:pPr>
      <w:r>
        <w:rPr>
          <w:spacing w:val="-4"/>
          <w:sz w:val="21"/>
        </w:rPr>
        <w:t>重度黄疸或黄疸迅速加重；</w:t>
      </w:r>
    </w:p>
    <w:p>
      <w:pPr>
        <w:pStyle w:val="ListParagraph"/>
        <w:numPr>
          <w:ilvl w:val="0"/>
          <w:numId w:val="6"/>
        </w:numPr>
        <w:tabs>
          <w:tab w:pos="841" w:val="left" w:leader="none"/>
          <w:tab w:pos="842" w:val="left" w:leader="none"/>
        </w:tabs>
        <w:spacing w:line="240" w:lineRule="auto" w:before="36" w:after="0"/>
        <w:ind w:left="841" w:right="0" w:hanging="739"/>
        <w:jc w:val="left"/>
        <w:rPr>
          <w:sz w:val="21"/>
        </w:rPr>
      </w:pPr>
      <w:r>
        <w:rPr>
          <w:spacing w:val="-2"/>
          <w:sz w:val="21"/>
        </w:rPr>
        <w:t>肝性脑病；</w:t>
      </w:r>
    </w:p>
    <w:p>
      <w:pPr>
        <w:pStyle w:val="ListParagraph"/>
        <w:numPr>
          <w:ilvl w:val="0"/>
          <w:numId w:val="6"/>
        </w:numPr>
        <w:tabs>
          <w:tab w:pos="841" w:val="left" w:leader="none"/>
          <w:tab w:pos="842" w:val="left" w:leader="none"/>
        </w:tabs>
        <w:spacing w:line="240" w:lineRule="auto" w:before="36" w:after="0"/>
        <w:ind w:left="841" w:right="0" w:hanging="739"/>
        <w:jc w:val="left"/>
        <w:rPr>
          <w:sz w:val="21"/>
        </w:rPr>
      </w:pPr>
      <w:r>
        <w:rPr>
          <w:sz w:val="21"/>
        </w:rPr>
        <w:t>B</w:t>
      </w:r>
      <w:r>
        <w:rPr>
          <w:spacing w:val="-7"/>
          <w:sz w:val="21"/>
        </w:rPr>
        <w:t> 超或其它影像学检查显示肝脏体积急速萎缩；</w:t>
      </w:r>
    </w:p>
    <w:p>
      <w:pPr>
        <w:pStyle w:val="ListParagraph"/>
        <w:numPr>
          <w:ilvl w:val="0"/>
          <w:numId w:val="6"/>
        </w:numPr>
        <w:tabs>
          <w:tab w:pos="841" w:val="left" w:leader="none"/>
          <w:tab w:pos="842" w:val="left" w:leader="none"/>
        </w:tabs>
        <w:spacing w:line="240" w:lineRule="auto" w:before="36" w:after="0"/>
        <w:ind w:left="841" w:right="0" w:hanging="739"/>
        <w:jc w:val="left"/>
        <w:rPr>
          <w:sz w:val="21"/>
        </w:rPr>
      </w:pPr>
      <w:r>
        <w:rPr>
          <w:spacing w:val="-4"/>
          <w:sz w:val="21"/>
        </w:rPr>
        <w:t>肝功能指标进行性恶化。</w:t>
      </w:r>
    </w:p>
    <w:p>
      <w:pPr>
        <w:spacing w:after="0" w:line="240" w:lineRule="auto"/>
        <w:jc w:val="left"/>
        <w:rPr>
          <w:sz w:val="21"/>
        </w:rPr>
        <w:sectPr>
          <w:type w:val="continuous"/>
          <w:pgSz w:w="11900" w:h="16840"/>
          <w:pgMar w:top="700" w:bottom="280" w:left="920" w:right="1100"/>
          <w:cols w:num="2" w:equalWidth="0">
            <w:col w:w="2080" w:space="209"/>
            <w:col w:w="7591"/>
          </w:cols>
        </w:sectPr>
      </w:pPr>
    </w:p>
    <w:p>
      <w:pPr>
        <w:pStyle w:val="BodyText"/>
        <w:spacing w:before="11"/>
        <w:ind w:left="0"/>
        <w:rPr>
          <w:sz w:val="12"/>
        </w:rPr>
      </w:pPr>
    </w:p>
    <w:p>
      <w:pPr>
        <w:pStyle w:val="ListParagraph"/>
        <w:numPr>
          <w:ilvl w:val="1"/>
          <w:numId w:val="2"/>
        </w:numPr>
        <w:tabs>
          <w:tab w:pos="812" w:val="left" w:leader="none"/>
          <w:tab w:pos="813" w:val="left" w:leader="none"/>
          <w:tab w:pos="2391" w:val="left" w:leader="none"/>
        </w:tabs>
        <w:spacing w:line="312" w:lineRule="exact" w:before="32" w:after="0"/>
        <w:ind w:left="2392" w:right="113" w:hanging="2290"/>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68"/>
          <w:sz w:val="21"/>
        </w:rPr>
        <w:t>，</w:t>
      </w:r>
      <w:r>
        <w:rPr>
          <w:sz w:val="21"/>
        </w:rPr>
        <w:t>已经引</w:t>
      </w:r>
      <w:r>
        <w:rPr>
          <w:spacing w:val="-5"/>
          <w:sz w:val="21"/>
        </w:rPr>
        <w:t>起</w:t>
      </w:r>
      <w:r>
        <w:rPr>
          <w:sz w:val="21"/>
        </w:rPr>
        <w:t>颅内压</w:t>
      </w:r>
      <w:r>
        <w:rPr>
          <w:spacing w:val="-5"/>
          <w:sz w:val="21"/>
        </w:rPr>
        <w:t>增</w:t>
      </w:r>
      <w:r>
        <w:rPr>
          <w:sz w:val="21"/>
        </w:rPr>
        <w:t>高</w:t>
      </w:r>
      <w:r>
        <w:rPr>
          <w:spacing w:val="-68"/>
          <w:sz w:val="21"/>
        </w:rPr>
        <w:t>，</w:t>
      </w:r>
      <w:r>
        <w:rPr>
          <w:sz w:val="21"/>
        </w:rPr>
        <w:t>临床表</w:t>
      </w:r>
      <w:r>
        <w:rPr>
          <w:spacing w:val="-5"/>
          <w:sz w:val="21"/>
        </w:rPr>
        <w:t>现</w:t>
      </w:r>
      <w:r>
        <w:rPr>
          <w:sz w:val="21"/>
        </w:rPr>
        <w:t>为</w:t>
      </w:r>
      <w:r>
        <w:rPr>
          <w:spacing w:val="-5"/>
          <w:sz w:val="21"/>
        </w:rPr>
        <w:t>视</w:t>
      </w:r>
      <w:r>
        <w:rPr>
          <w:sz w:val="21"/>
        </w:rPr>
        <w:t>神经乳头</w:t>
      </w:r>
      <w:r>
        <w:rPr>
          <w:spacing w:val="-5"/>
          <w:sz w:val="21"/>
        </w:rPr>
        <w:t>水</w:t>
      </w:r>
      <w:r>
        <w:rPr>
          <w:sz w:val="21"/>
        </w:rPr>
        <w:t>肿</w:t>
      </w:r>
      <w:r>
        <w:rPr>
          <w:spacing w:val="-63"/>
          <w:sz w:val="21"/>
        </w:rPr>
        <w:t>、</w:t>
      </w:r>
      <w:r>
        <w:rPr>
          <w:spacing w:val="-5"/>
          <w:sz w:val="21"/>
        </w:rPr>
        <w:t>精</w:t>
      </w:r>
      <w:r>
        <w:rPr>
          <w:sz w:val="21"/>
        </w:rPr>
        <w:t>神症状、 </w:t>
      </w:r>
      <w:r>
        <w:rPr>
          <w:w w:val="100"/>
          <w:sz w:val="21"/>
        </w:rPr>
        <w:t>癫痫及运</w:t>
      </w:r>
      <w:r>
        <w:rPr>
          <w:spacing w:val="-5"/>
          <w:w w:val="100"/>
          <w:sz w:val="21"/>
        </w:rPr>
        <w:t>动</w:t>
      </w:r>
      <w:r>
        <w:rPr>
          <w:w w:val="100"/>
          <w:sz w:val="21"/>
        </w:rPr>
        <w:t>感觉障</w:t>
      </w:r>
      <w:r>
        <w:rPr>
          <w:spacing w:val="-5"/>
          <w:w w:val="100"/>
          <w:sz w:val="21"/>
        </w:rPr>
        <w:t>碍</w:t>
      </w:r>
      <w:r>
        <w:rPr>
          <w:w w:val="100"/>
          <w:sz w:val="21"/>
        </w:rPr>
        <w:t>等，并</w:t>
      </w:r>
      <w:r>
        <w:rPr>
          <w:spacing w:val="-5"/>
          <w:w w:val="100"/>
          <w:sz w:val="21"/>
        </w:rPr>
        <w:t>危</w:t>
      </w:r>
      <w:r>
        <w:rPr>
          <w:w w:val="100"/>
          <w:sz w:val="21"/>
        </w:rPr>
        <w:t>及生命</w:t>
      </w:r>
      <w:r>
        <w:rPr>
          <w:spacing w:val="-5"/>
          <w:w w:val="100"/>
          <w:sz w:val="21"/>
        </w:rPr>
        <w:t>。</w:t>
      </w:r>
      <w:r>
        <w:rPr>
          <w:w w:val="100"/>
          <w:sz w:val="21"/>
        </w:rPr>
        <w:t>须由头</w:t>
      </w:r>
      <w:r>
        <w:rPr>
          <w:spacing w:val="-5"/>
          <w:w w:val="100"/>
          <w:sz w:val="21"/>
        </w:rPr>
        <w:t>颅</w:t>
      </w:r>
      <w:r>
        <w:rPr>
          <w:w w:val="100"/>
          <w:sz w:val="21"/>
        </w:rPr>
        <w:t>断</w:t>
      </w:r>
      <w:r>
        <w:rPr>
          <w:spacing w:val="-5"/>
          <w:w w:val="100"/>
          <w:sz w:val="21"/>
        </w:rPr>
        <w:t>层</w:t>
      </w:r>
      <w:r>
        <w:rPr>
          <w:w w:val="100"/>
          <w:sz w:val="21"/>
        </w:rPr>
        <w:t>扫描（CT</w:t>
      </w:r>
      <w:r>
        <w:rPr>
          <w:spacing w:val="-106"/>
          <w:w w:val="100"/>
          <w:sz w:val="21"/>
        </w:rPr>
        <w:t>）</w:t>
      </w:r>
      <w:r>
        <w:rPr>
          <w:spacing w:val="-5"/>
          <w:w w:val="100"/>
          <w:sz w:val="21"/>
        </w:rPr>
        <w:t>、</w:t>
      </w:r>
      <w:r>
        <w:rPr>
          <w:w w:val="100"/>
          <w:sz w:val="21"/>
        </w:rPr>
        <w:t>核磁共</w:t>
      </w:r>
      <w:r>
        <w:rPr>
          <w:spacing w:val="-5"/>
          <w:w w:val="100"/>
          <w:sz w:val="21"/>
        </w:rPr>
        <w:t>振</w:t>
      </w:r>
      <w:r>
        <w:rPr>
          <w:w w:val="100"/>
          <w:sz w:val="21"/>
        </w:rPr>
        <w:t>检查</w:t>
      </w:r>
    </w:p>
    <w:p>
      <w:pPr>
        <w:pStyle w:val="BodyText"/>
        <w:spacing w:line="273" w:lineRule="auto" w:before="4"/>
        <w:ind w:left="2392" w:right="218"/>
      </w:pPr>
      <w:r>
        <w:rPr>
          <w:spacing w:val="-5"/>
        </w:rPr>
        <w:t>（MRI）</w:t>
      </w:r>
      <w:r>
        <w:rPr>
          <w:spacing w:val="-6"/>
        </w:rPr>
        <w:t>或正电子发射断层扫描</w:t>
      </w:r>
      <w:r>
        <w:rPr>
          <w:spacing w:val="-5"/>
        </w:rPr>
        <w:t>（PET）</w:t>
      </w:r>
      <w:r>
        <w:rPr>
          <w:spacing w:val="-6"/>
        </w:rPr>
        <w:t>等影像学检查证实，并须满足下列至少一项条件：</w:t>
      </w:r>
    </w:p>
    <w:p>
      <w:pPr>
        <w:pStyle w:val="ListParagraph"/>
        <w:numPr>
          <w:ilvl w:val="0"/>
          <w:numId w:val="7"/>
        </w:numPr>
        <w:tabs>
          <w:tab w:pos="3131" w:val="left" w:leader="none"/>
          <w:tab w:pos="3132" w:val="left" w:leader="none"/>
        </w:tabs>
        <w:spacing w:line="240" w:lineRule="auto" w:before="7" w:after="0"/>
        <w:ind w:left="3131" w:right="0" w:hanging="739"/>
        <w:jc w:val="left"/>
        <w:rPr>
          <w:sz w:val="21"/>
        </w:rPr>
      </w:pPr>
      <w:r>
        <w:rPr>
          <w:spacing w:val="-5"/>
          <w:sz w:val="21"/>
        </w:rPr>
        <w:t>实际实施了开颅进行的脑肿瘤完全切除或部分切除的手术；</w:t>
      </w:r>
    </w:p>
    <w:p>
      <w:pPr>
        <w:pStyle w:val="ListParagraph"/>
        <w:numPr>
          <w:ilvl w:val="0"/>
          <w:numId w:val="7"/>
        </w:numPr>
        <w:tabs>
          <w:tab w:pos="3131" w:val="left" w:leader="none"/>
          <w:tab w:pos="3132" w:val="left" w:leader="none"/>
        </w:tabs>
        <w:spacing w:line="240" w:lineRule="auto" w:before="36" w:after="0"/>
        <w:ind w:left="3131" w:right="0" w:hanging="739"/>
        <w:jc w:val="left"/>
        <w:rPr>
          <w:sz w:val="21"/>
        </w:rPr>
      </w:pPr>
      <w:r>
        <w:rPr>
          <w:spacing w:val="-5"/>
          <w:sz w:val="21"/>
        </w:rPr>
        <w:t>实际实施了对脑肿瘤进行的放射治疗。</w:t>
      </w:r>
    </w:p>
    <w:p>
      <w:pPr>
        <w:pStyle w:val="BodyText"/>
        <w:spacing w:before="36"/>
        <w:ind w:left="2392"/>
        <w:rPr>
          <w:rFonts w:ascii="黑体" w:eastAsia="黑体" w:hint="eastAsia"/>
        </w:rPr>
      </w:pPr>
      <w:r>
        <w:rPr>
          <w:rFonts w:ascii="黑体" w:eastAsia="黑体" w:hint="eastAsia"/>
        </w:rPr>
        <w:t>脑垂体瘤、脑囊肿、脑血管性疾病不在保障范围内。</w:t>
      </w:r>
    </w:p>
    <w:p>
      <w:pPr>
        <w:pStyle w:val="ListParagraph"/>
        <w:numPr>
          <w:ilvl w:val="1"/>
          <w:numId w:val="2"/>
        </w:numPr>
        <w:tabs>
          <w:tab w:pos="812" w:val="left" w:leader="none"/>
          <w:tab w:pos="813" w:val="left" w:leader="none"/>
          <w:tab w:pos="2391" w:val="left" w:leader="none"/>
        </w:tabs>
        <w:spacing w:line="240" w:lineRule="auto" w:before="142" w:after="0"/>
        <w:ind w:left="812" w:right="0" w:hanging="710"/>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3"/>
          <w:sz w:val="21"/>
        </w:rPr>
        <w:t> </w:t>
      </w:r>
      <w:r>
        <w:rPr>
          <w:sz w:val="21"/>
        </w:rPr>
        <w:t>8.15)性丧失</w:t>
      </w:r>
      <w:r>
        <w:rPr>
          <w:spacing w:val="-5"/>
          <w:sz w:val="21"/>
        </w:rPr>
        <w:t>，</w:t>
      </w:r>
      <w:r>
        <w:rPr>
          <w:sz w:val="21"/>
        </w:rPr>
        <w:t>在</w:t>
      </w:r>
      <w:r>
        <w:rPr>
          <w:spacing w:val="-43"/>
          <w:sz w:val="21"/>
        </w:rPr>
        <w:t> </w:t>
      </w:r>
      <w:r>
        <w:rPr>
          <w:sz w:val="21"/>
        </w:rPr>
        <w:t>500</w:t>
      </w:r>
      <w:r>
        <w:rPr>
          <w:spacing w:val="-43"/>
          <w:sz w:val="21"/>
        </w:rPr>
        <w:t> </w:t>
      </w:r>
      <w:r>
        <w:rPr>
          <w:spacing w:val="-5"/>
          <w:sz w:val="21"/>
        </w:rPr>
        <w:t>赫</w:t>
      </w:r>
      <w:r>
        <w:rPr>
          <w:sz w:val="21"/>
        </w:rPr>
        <w:t>兹、</w:t>
      </w:r>
    </w:p>
    <w:p>
      <w:pPr>
        <w:pStyle w:val="BodyText"/>
        <w:spacing w:line="273" w:lineRule="auto" w:before="12"/>
        <w:ind w:left="2392" w:right="118"/>
      </w:pPr>
      <w:r>
        <w:rPr/>
        <w:t>1000</w:t>
      </w:r>
      <w:r>
        <w:rPr>
          <w:spacing w:val="-20"/>
        </w:rPr>
        <w:t> 赫兹和 </w:t>
      </w:r>
      <w:r>
        <w:rPr/>
        <w:t>2000</w:t>
      </w:r>
      <w:r>
        <w:rPr>
          <w:spacing w:val="-13"/>
        </w:rPr>
        <w:t> 赫兹语音频率下，平均听阈大于 </w:t>
      </w:r>
      <w:r>
        <w:rPr>
          <w:spacing w:val="-3"/>
        </w:rPr>
        <w:t>90</w:t>
      </w:r>
      <w:r>
        <w:rPr>
          <w:spacing w:val="-10"/>
        </w:rPr>
        <w:t> 分贝，且经纯音听力测试、</w:t>
      </w:r>
      <w:r>
        <w:rPr>
          <w:spacing w:val="-7"/>
        </w:rPr>
        <w:t>声导抗检测或听觉诱发电位检测等证实。</w:t>
      </w:r>
    </w:p>
    <w:p>
      <w:pPr>
        <w:pStyle w:val="ListParagraph"/>
        <w:numPr>
          <w:ilvl w:val="1"/>
          <w:numId w:val="2"/>
        </w:numPr>
        <w:tabs>
          <w:tab w:pos="812" w:val="left" w:leader="none"/>
          <w:tab w:pos="813" w:val="left" w:leader="none"/>
          <w:tab w:pos="2391" w:val="left" w:leader="none"/>
        </w:tabs>
        <w:spacing w:line="249" w:lineRule="auto" w:before="108" w:after="0"/>
        <w:ind w:left="2392" w:right="218" w:hanging="2290"/>
        <w:jc w:val="left"/>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87"/>
          <w:sz w:val="21"/>
        </w:rPr>
        <w:t>，</w:t>
      </w:r>
      <w:r>
        <w:rPr>
          <w:sz w:val="21"/>
        </w:rPr>
        <w:t>双眼中</w:t>
      </w:r>
      <w:r>
        <w:rPr>
          <w:spacing w:val="-5"/>
          <w:sz w:val="21"/>
        </w:rPr>
        <w:t>较</w:t>
      </w:r>
      <w:r>
        <w:rPr>
          <w:sz w:val="21"/>
        </w:rPr>
        <w:t>好眼须</w:t>
      </w:r>
      <w:r>
        <w:rPr>
          <w:spacing w:val="-5"/>
          <w:sz w:val="21"/>
        </w:rPr>
        <w:t>满</w:t>
      </w:r>
      <w:r>
        <w:rPr>
          <w:sz w:val="21"/>
        </w:rPr>
        <w:t>足下列 至少一项</w:t>
      </w:r>
      <w:r>
        <w:rPr>
          <w:spacing w:val="-5"/>
          <w:sz w:val="21"/>
        </w:rPr>
        <w:t>条</w:t>
      </w:r>
      <w:r>
        <w:rPr>
          <w:sz w:val="21"/>
        </w:rPr>
        <w:t>件：</w:t>
      </w:r>
    </w:p>
    <w:p>
      <w:pPr>
        <w:pStyle w:val="ListParagraph"/>
        <w:numPr>
          <w:ilvl w:val="0"/>
          <w:numId w:val="8"/>
        </w:numPr>
        <w:tabs>
          <w:tab w:pos="3131" w:val="left" w:leader="none"/>
          <w:tab w:pos="3132" w:val="left" w:leader="none"/>
        </w:tabs>
        <w:spacing w:line="240" w:lineRule="auto" w:before="28" w:after="0"/>
        <w:ind w:left="3112" w:right="0" w:hanging="720"/>
        <w:jc w:val="left"/>
        <w:rPr>
          <w:sz w:val="21"/>
        </w:rPr>
      </w:pPr>
      <w:r>
        <w:rPr>
          <w:spacing w:val="-3"/>
          <w:sz w:val="21"/>
        </w:rPr>
        <w:t>眼球缺失或摘除；</w:t>
      </w:r>
    </w:p>
    <w:p>
      <w:pPr>
        <w:pStyle w:val="ListParagraph"/>
        <w:numPr>
          <w:ilvl w:val="0"/>
          <w:numId w:val="8"/>
        </w:numPr>
        <w:tabs>
          <w:tab w:pos="3117" w:val="left" w:leader="none"/>
        </w:tabs>
        <w:spacing w:line="273" w:lineRule="auto" w:before="36" w:after="0"/>
        <w:ind w:left="3112" w:right="218" w:hanging="720"/>
        <w:jc w:val="left"/>
        <w:rPr>
          <w:sz w:val="21"/>
        </w:rPr>
      </w:pPr>
      <w:r>
        <w:rPr>
          <w:spacing w:val="-5"/>
          <w:sz w:val="21"/>
        </w:rPr>
        <w:t>矫正视力低于 </w:t>
      </w:r>
      <w:r>
        <w:rPr>
          <w:spacing w:val="-3"/>
          <w:sz w:val="21"/>
        </w:rPr>
        <w:t>0.02（</w:t>
      </w:r>
      <w:r>
        <w:rPr>
          <w:spacing w:val="-6"/>
          <w:sz w:val="21"/>
        </w:rPr>
        <w:t>采用国际标准视力表，如果使用其它视力表应进行</w:t>
      </w:r>
      <w:r>
        <w:rPr>
          <w:spacing w:val="-6"/>
          <w:w w:val="100"/>
          <w:sz w:val="21"/>
        </w:rPr>
        <w:t>换算</w:t>
      </w:r>
      <w:r>
        <w:rPr>
          <w:spacing w:val="-106"/>
          <w:w w:val="100"/>
          <w:sz w:val="21"/>
        </w:rPr>
        <w:t>）</w:t>
      </w:r>
      <w:r>
        <w:rPr>
          <w:w w:val="100"/>
          <w:sz w:val="21"/>
        </w:rPr>
        <w:t>；</w:t>
      </w:r>
    </w:p>
    <w:p>
      <w:pPr>
        <w:pStyle w:val="ListParagraph"/>
        <w:numPr>
          <w:ilvl w:val="0"/>
          <w:numId w:val="8"/>
        </w:numPr>
        <w:tabs>
          <w:tab w:pos="3131" w:val="left" w:leader="none"/>
          <w:tab w:pos="3132" w:val="left" w:leader="none"/>
        </w:tabs>
        <w:spacing w:line="240" w:lineRule="auto" w:before="7" w:after="0"/>
        <w:ind w:left="3112" w:right="0" w:hanging="720"/>
        <w:jc w:val="left"/>
        <w:rPr>
          <w:sz w:val="21"/>
        </w:rPr>
      </w:pPr>
      <w:r>
        <w:rPr>
          <w:spacing w:val="-10"/>
          <w:sz w:val="21"/>
        </w:rPr>
        <w:t>视野半径小于 </w:t>
      </w:r>
      <w:r>
        <w:rPr>
          <w:sz w:val="21"/>
        </w:rPr>
        <w:t>5</w:t>
      </w:r>
      <w:r>
        <w:rPr>
          <w:spacing w:val="-17"/>
          <w:sz w:val="21"/>
        </w:rPr>
        <w:t> 度。</w:t>
      </w:r>
    </w:p>
    <w:p>
      <w:pPr>
        <w:pStyle w:val="ListParagraph"/>
        <w:numPr>
          <w:ilvl w:val="1"/>
          <w:numId w:val="2"/>
        </w:numPr>
        <w:tabs>
          <w:tab w:pos="813" w:val="left" w:leader="none"/>
          <w:tab w:pos="2391" w:val="left" w:leader="none"/>
        </w:tabs>
        <w:spacing w:line="259" w:lineRule="auto" w:before="143" w:after="0"/>
        <w:ind w:left="2392" w:right="218" w:hanging="2290"/>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pacing w:val="-87"/>
          <w:sz w:val="21"/>
        </w:rPr>
        <w:t>。</w:t>
      </w:r>
      <w:r>
        <w:rPr>
          <w:sz w:val="21"/>
        </w:rPr>
        <w:t>肢体</w:t>
      </w:r>
      <w:r>
        <w:rPr>
          <w:spacing w:val="-5"/>
          <w:sz w:val="21"/>
        </w:rPr>
        <w:t>机</w:t>
      </w:r>
      <w:r>
        <w:rPr>
          <w:sz w:val="21"/>
        </w:rPr>
        <w:t>能永久 完全丧失</w:t>
      </w:r>
      <w:r>
        <w:rPr>
          <w:spacing w:val="-48"/>
          <w:sz w:val="21"/>
        </w:rPr>
        <w:t>，</w:t>
      </w:r>
      <w:r>
        <w:rPr>
          <w:sz w:val="21"/>
        </w:rPr>
        <w:t>指疾病</w:t>
      </w:r>
      <w:r>
        <w:rPr>
          <w:spacing w:val="-5"/>
          <w:sz w:val="21"/>
        </w:rPr>
        <w:t>确</w:t>
      </w:r>
      <w:r>
        <w:rPr>
          <w:sz w:val="21"/>
        </w:rPr>
        <w:t>诊</w:t>
      </w:r>
      <w:r>
        <w:rPr>
          <w:spacing w:val="-44"/>
          <w:sz w:val="21"/>
        </w:rPr>
        <w:t> </w:t>
      </w:r>
      <w:r>
        <w:rPr>
          <w:sz w:val="21"/>
        </w:rPr>
        <w:t>180</w:t>
      </w:r>
      <w:r>
        <w:rPr>
          <w:spacing w:val="-44"/>
          <w:sz w:val="21"/>
        </w:rPr>
        <w:t> </w:t>
      </w:r>
      <w:r>
        <w:rPr>
          <w:spacing w:val="-5"/>
          <w:sz w:val="21"/>
        </w:rPr>
        <w:t>天</w:t>
      </w:r>
      <w:r>
        <w:rPr>
          <w:sz w:val="21"/>
        </w:rPr>
        <w:t>后或意</w:t>
      </w:r>
      <w:r>
        <w:rPr>
          <w:spacing w:val="-5"/>
          <w:sz w:val="21"/>
        </w:rPr>
        <w:t>外</w:t>
      </w:r>
      <w:r>
        <w:rPr>
          <w:sz w:val="21"/>
        </w:rPr>
        <w:t>伤害</w:t>
      </w:r>
      <w:r>
        <w:rPr>
          <w:spacing w:val="-5"/>
          <w:sz w:val="21"/>
        </w:rPr>
        <w:t>发</w:t>
      </w:r>
      <w:r>
        <w:rPr>
          <w:sz w:val="21"/>
        </w:rPr>
        <w:t>生</w:t>
      </w:r>
      <w:r>
        <w:rPr>
          <w:spacing w:val="-44"/>
          <w:sz w:val="21"/>
        </w:rPr>
        <w:t> </w:t>
      </w:r>
      <w:r>
        <w:rPr>
          <w:sz w:val="21"/>
        </w:rPr>
        <w:t>180</w:t>
      </w:r>
      <w:r>
        <w:rPr>
          <w:spacing w:val="-49"/>
          <w:sz w:val="21"/>
        </w:rPr>
        <w:t> </w:t>
      </w:r>
      <w:r>
        <w:rPr>
          <w:sz w:val="21"/>
        </w:rPr>
        <w:t>天后</w:t>
      </w:r>
      <w:r>
        <w:rPr>
          <w:spacing w:val="-44"/>
          <w:sz w:val="21"/>
        </w:rPr>
        <w:t>，</w:t>
      </w:r>
      <w:r>
        <w:rPr>
          <w:sz w:val="21"/>
        </w:rPr>
        <w:t>每</w:t>
      </w:r>
      <w:r>
        <w:rPr>
          <w:spacing w:val="-5"/>
          <w:sz w:val="21"/>
        </w:rPr>
        <w:t>肢</w:t>
      </w:r>
      <w:r>
        <w:rPr>
          <w:sz w:val="21"/>
        </w:rPr>
        <w:t>三大关</w:t>
      </w:r>
      <w:r>
        <w:rPr>
          <w:spacing w:val="-5"/>
          <w:sz w:val="21"/>
        </w:rPr>
        <w:t>节</w:t>
      </w:r>
      <w:r>
        <w:rPr>
          <w:sz w:val="21"/>
        </w:rPr>
        <w:t>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ListParagraph"/>
        <w:numPr>
          <w:ilvl w:val="1"/>
          <w:numId w:val="2"/>
        </w:numPr>
        <w:tabs>
          <w:tab w:pos="812" w:val="left" w:leader="none"/>
          <w:tab w:pos="813" w:val="left" w:leader="none"/>
          <w:tab w:pos="2391" w:val="left" w:leader="none"/>
        </w:tabs>
        <w:spacing w:line="264" w:lineRule="auto" w:before="121" w:after="0"/>
        <w:ind w:left="2392" w:right="113" w:hanging="2290"/>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44"/>
          <w:sz w:val="21"/>
        </w:rPr>
        <w:t>，</w:t>
      </w:r>
      <w:r>
        <w:rPr>
          <w:spacing w:val="-5"/>
          <w:sz w:val="21"/>
        </w:rPr>
        <w:t>引</w:t>
      </w:r>
      <w:r>
        <w:rPr>
          <w:sz w:val="21"/>
        </w:rPr>
        <w:t>起脑重</w:t>
      </w:r>
      <w:r>
        <w:rPr>
          <w:spacing w:val="-5"/>
          <w:sz w:val="21"/>
        </w:rPr>
        <w:t>要</w:t>
      </w:r>
      <w:r>
        <w:rPr>
          <w:sz w:val="21"/>
        </w:rPr>
        <w:t>部位损</w:t>
      </w:r>
      <w:r>
        <w:rPr>
          <w:spacing w:val="-5"/>
          <w:sz w:val="21"/>
        </w:rPr>
        <w:t>伤</w:t>
      </w:r>
      <w:r>
        <w:rPr>
          <w:spacing w:val="-44"/>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8"/>
          <w:w w:val="100"/>
          <w:sz w:val="21"/>
        </w:rPr>
        <w:t>。</w:t>
      </w:r>
      <w:r>
        <w:rPr>
          <w:w w:val="100"/>
          <w:sz w:val="21"/>
        </w:rPr>
        <w:t>须</w:t>
      </w:r>
      <w:r>
        <w:rPr>
          <w:spacing w:val="-5"/>
          <w:w w:val="100"/>
          <w:sz w:val="21"/>
        </w:rPr>
        <w:t>由</w:t>
      </w:r>
      <w:r>
        <w:rPr>
          <w:w w:val="100"/>
          <w:sz w:val="21"/>
        </w:rPr>
        <w:t>头颅断</w:t>
      </w:r>
      <w:r>
        <w:rPr>
          <w:spacing w:val="-5"/>
          <w:w w:val="100"/>
          <w:sz w:val="21"/>
        </w:rPr>
        <w:t>层</w:t>
      </w:r>
      <w:r>
        <w:rPr>
          <w:w w:val="100"/>
          <w:sz w:val="21"/>
        </w:rPr>
        <w:t>扫</w:t>
      </w:r>
      <w:r>
        <w:rPr>
          <w:spacing w:val="-48"/>
          <w:w w:val="100"/>
          <w:sz w:val="21"/>
        </w:rPr>
        <w:t>描</w:t>
      </w:r>
      <w:r>
        <w:rPr>
          <w:spacing w:val="-5"/>
          <w:w w:val="100"/>
          <w:sz w:val="21"/>
        </w:rPr>
        <w:t>（</w:t>
      </w:r>
      <w:r>
        <w:rPr>
          <w:w w:val="100"/>
          <w:sz w:val="21"/>
        </w:rPr>
        <w:t>CT</w:t>
      </w:r>
      <w:r>
        <w:rPr>
          <w:spacing w:val="-106"/>
          <w:w w:val="100"/>
          <w:sz w:val="21"/>
        </w:rPr>
        <w:t>）</w:t>
      </w:r>
      <w:r>
        <w:rPr>
          <w:spacing w:val="-53"/>
          <w:w w:val="100"/>
          <w:sz w:val="21"/>
        </w:rPr>
        <w:t>、</w:t>
      </w:r>
      <w:r>
        <w:rPr>
          <w:w w:val="100"/>
          <w:sz w:val="21"/>
        </w:rPr>
        <w:t>核磁共</w:t>
      </w:r>
      <w:r>
        <w:rPr>
          <w:spacing w:val="-5"/>
          <w:w w:val="100"/>
          <w:sz w:val="21"/>
        </w:rPr>
        <w:t>振</w:t>
      </w:r>
      <w:r>
        <w:rPr>
          <w:w w:val="100"/>
          <w:sz w:val="21"/>
        </w:rPr>
        <w:t>检</w:t>
      </w:r>
      <w:r>
        <w:rPr>
          <w:spacing w:val="-53"/>
          <w:w w:val="100"/>
          <w:sz w:val="21"/>
        </w:rPr>
        <w:t>查</w:t>
      </w:r>
      <w:r>
        <w:rPr>
          <w:w w:val="100"/>
          <w:sz w:val="21"/>
        </w:rPr>
        <w:t>（MRI</w:t>
      </w:r>
      <w:r>
        <w:rPr>
          <w:spacing w:val="-53"/>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53"/>
          <w:w w:val="100"/>
          <w:sz w:val="21"/>
        </w:rPr>
        <w:t>描</w:t>
      </w:r>
      <w:r>
        <w:rPr>
          <w:w w:val="100"/>
          <w:sz w:val="21"/>
        </w:rPr>
        <w:t>（PET）</w:t>
      </w:r>
      <w:r>
        <w:rPr>
          <w:sz w:val="21"/>
        </w:rPr>
        <w:t>等影像学检查证实。</w:t>
      </w:r>
      <w:r>
        <w:rPr>
          <w:spacing w:val="-5"/>
          <w:sz w:val="21"/>
        </w:rPr>
        <w:t>神</w:t>
      </w:r>
      <w:r>
        <w:rPr>
          <w:sz w:val="21"/>
        </w:rPr>
        <w:t>经系统永久性</w:t>
      </w:r>
      <w:r>
        <w:rPr>
          <w:spacing w:val="-5"/>
          <w:sz w:val="21"/>
        </w:rPr>
        <w:t>的</w:t>
      </w:r>
      <w:r>
        <w:rPr>
          <w:sz w:val="21"/>
        </w:rPr>
        <w:t>功能障碍，</w:t>
      </w:r>
      <w:r>
        <w:rPr>
          <w:spacing w:val="-5"/>
          <w:sz w:val="21"/>
        </w:rPr>
        <w:t>指</w:t>
      </w:r>
      <w:r>
        <w:rPr>
          <w:sz w:val="21"/>
        </w:rPr>
        <w:t>脑损伤</w:t>
      </w:r>
      <w:r>
        <w:rPr>
          <w:spacing w:val="11"/>
          <w:sz w:val="21"/>
        </w:rPr>
        <w:t> </w:t>
      </w:r>
      <w:r>
        <w:rPr>
          <w:sz w:val="21"/>
        </w:rPr>
        <w:t>180</w:t>
      </w:r>
      <w:r>
        <w:rPr>
          <w:spacing w:val="11"/>
          <w:sz w:val="21"/>
        </w:rPr>
        <w:t> </w:t>
      </w:r>
      <w:r>
        <w:rPr>
          <w:sz w:val="21"/>
        </w:rPr>
        <w:t>天后</w:t>
      </w:r>
      <w:r>
        <w:rPr>
          <w:spacing w:val="-5"/>
          <w:sz w:val="21"/>
        </w:rPr>
        <w:t>，</w:t>
      </w:r>
      <w:r>
        <w:rPr>
          <w:sz w:val="21"/>
        </w:rPr>
        <w:t>仍遗留下列一种</w:t>
      </w:r>
      <w:r>
        <w:rPr>
          <w:spacing w:val="-5"/>
          <w:sz w:val="21"/>
        </w:rPr>
        <w:t>或</w:t>
      </w:r>
      <w:r>
        <w:rPr>
          <w:sz w:val="21"/>
        </w:rPr>
        <w:t>一种以</w:t>
      </w:r>
      <w:r>
        <w:rPr>
          <w:spacing w:val="-5"/>
          <w:sz w:val="21"/>
        </w:rPr>
        <w:t>上</w:t>
      </w:r>
      <w:r>
        <w:rPr>
          <w:sz w:val="21"/>
        </w:rPr>
        <w:t>障碍：</w:t>
      </w:r>
    </w:p>
    <w:p>
      <w:pPr>
        <w:pStyle w:val="ListParagraph"/>
        <w:numPr>
          <w:ilvl w:val="0"/>
          <w:numId w:val="9"/>
        </w:numPr>
        <w:tabs>
          <w:tab w:pos="3126" w:val="left" w:leader="none"/>
          <w:tab w:pos="3127" w:val="left" w:leader="none"/>
        </w:tabs>
        <w:spacing w:line="288" w:lineRule="exact" w:before="0" w:after="0"/>
        <w:ind w:left="3126" w:right="0" w:hanging="734"/>
        <w:jc w:val="left"/>
        <w:rPr>
          <w:sz w:val="21"/>
        </w:rPr>
      </w:pPr>
      <w:r>
        <w:rPr>
          <w:spacing w:val="-2"/>
          <w:sz w:val="21"/>
        </w:rPr>
        <w:t>一肢或一肢以上</w:t>
      </w:r>
      <w:r>
        <w:rPr>
          <w:rFonts w:ascii="Microsoft JhengHei" w:eastAsia="Microsoft JhengHei" w:hint="eastAsia"/>
          <w:b/>
          <w:sz w:val="21"/>
        </w:rPr>
        <w:t>肢体机能完全丧失</w:t>
      </w:r>
      <w:r>
        <w:rPr>
          <w:spacing w:val="-12"/>
          <w:sz w:val="21"/>
        </w:rPr>
        <w:t>(见 </w:t>
      </w:r>
      <w:r>
        <w:rPr>
          <w:sz w:val="21"/>
        </w:rPr>
        <w:t>8.16)；</w:t>
      </w:r>
    </w:p>
    <w:p>
      <w:pPr>
        <w:pStyle w:val="ListParagraph"/>
        <w:numPr>
          <w:ilvl w:val="0"/>
          <w:numId w:val="9"/>
        </w:numPr>
        <w:tabs>
          <w:tab w:pos="3126" w:val="left" w:leader="none"/>
          <w:tab w:pos="3127" w:val="left" w:leader="none"/>
        </w:tabs>
        <w:spacing w:line="312" w:lineRule="exact" w:before="0" w:after="0"/>
        <w:ind w:left="3126" w:right="0" w:hanging="734"/>
        <w:jc w:val="left"/>
        <w:rPr>
          <w:sz w:val="21"/>
        </w:rPr>
      </w:pPr>
      <w:r>
        <w:rPr>
          <w:rFonts w:ascii="Microsoft JhengHei" w:eastAsia="Microsoft JhengHei" w:hint="eastAsia"/>
          <w:b/>
          <w:sz w:val="21"/>
        </w:rPr>
        <w:t>语言能力或咀嚼吞咽能力完全丧失</w:t>
      </w:r>
      <w:r>
        <w:rPr>
          <w:spacing w:val="-14"/>
          <w:sz w:val="21"/>
        </w:rPr>
        <w:t>(见 </w:t>
      </w:r>
      <w:r>
        <w:rPr>
          <w:sz w:val="21"/>
        </w:rPr>
        <w:t>8.17)；</w:t>
      </w:r>
    </w:p>
    <w:p>
      <w:pPr>
        <w:pStyle w:val="ListParagraph"/>
        <w:numPr>
          <w:ilvl w:val="0"/>
          <w:numId w:val="9"/>
        </w:numPr>
        <w:tabs>
          <w:tab w:pos="3126" w:val="left" w:leader="none"/>
          <w:tab w:pos="3127" w:val="left" w:leader="none"/>
        </w:tabs>
        <w:spacing w:line="312" w:lineRule="exact" w:before="35" w:after="0"/>
        <w:ind w:left="3126" w:right="218" w:hanging="734"/>
        <w:jc w:val="left"/>
        <w:rPr>
          <w:sz w:val="21"/>
        </w:rPr>
      </w:pPr>
      <w:r>
        <w:rPr>
          <w:spacing w:val="-6"/>
          <w:sz w:val="21"/>
        </w:rPr>
        <w:t>自主生活能力完全丧失，无法独立完成</w:t>
      </w:r>
      <w:r>
        <w:rPr>
          <w:rFonts w:ascii="Microsoft JhengHei" w:eastAsia="Microsoft JhengHei" w:hint="eastAsia"/>
          <w:b/>
          <w:spacing w:val="-1"/>
          <w:sz w:val="21"/>
        </w:rPr>
        <w:t>六项基本日常生活活动</w:t>
      </w:r>
      <w:r>
        <w:rPr>
          <w:spacing w:val="-10"/>
          <w:sz w:val="21"/>
        </w:rPr>
        <w:t>(见 </w:t>
      </w:r>
      <w:r>
        <w:rPr>
          <w:sz w:val="21"/>
        </w:rPr>
        <w:t>8.18) </w:t>
      </w:r>
      <w:r>
        <w:rPr>
          <w:spacing w:val="-2"/>
          <w:sz w:val="21"/>
        </w:rPr>
        <w:t>中的三项或三项以上。</w:t>
      </w:r>
    </w:p>
    <w:p>
      <w:pPr>
        <w:pStyle w:val="ListParagraph"/>
        <w:numPr>
          <w:ilvl w:val="1"/>
          <w:numId w:val="2"/>
        </w:numPr>
        <w:tabs>
          <w:tab w:pos="812" w:val="left" w:leader="none"/>
          <w:tab w:pos="813" w:val="left" w:leader="none"/>
          <w:tab w:pos="2391" w:val="left" w:leader="none"/>
        </w:tabs>
        <w:spacing w:line="249" w:lineRule="auto" w:before="110" w:after="0"/>
        <w:ind w:left="2392" w:right="218" w:hanging="2290"/>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29"/>
          <w:sz w:val="21"/>
        </w:rPr>
        <w:t> </w:t>
      </w:r>
      <w:r>
        <w:rPr>
          <w:sz w:val="21"/>
        </w:rPr>
        <w:t>20％或</w:t>
      </w:r>
      <w:r>
        <w:rPr>
          <w:spacing w:val="-29"/>
          <w:sz w:val="21"/>
        </w:rPr>
        <w:t> </w:t>
      </w:r>
      <w:r>
        <w:rPr>
          <w:sz w:val="21"/>
        </w:rPr>
        <w:t>20％以上。体表面积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spacing w:after="0" w:line="249" w:lineRule="auto"/>
        <w:jc w:val="left"/>
        <w:rPr>
          <w:sz w:val="21"/>
        </w:rPr>
        <w:sectPr>
          <w:type w:val="continuous"/>
          <w:pgSz w:w="11900" w:h="16840"/>
          <w:pgMar w:top="700" w:bottom="280" w:left="920" w:right="1100"/>
        </w:sectPr>
      </w:pPr>
    </w:p>
    <w:p>
      <w:pPr>
        <w:pStyle w:val="Heading4"/>
        <w:numPr>
          <w:ilvl w:val="1"/>
          <w:numId w:val="2"/>
        </w:numPr>
        <w:tabs>
          <w:tab w:pos="932" w:val="left" w:leader="none"/>
          <w:tab w:pos="933" w:val="left" w:leader="none"/>
        </w:tabs>
        <w:spacing w:line="204" w:lineRule="auto" w:before="7" w:after="0"/>
        <w:ind w:left="932" w:right="0" w:hanging="710"/>
        <w:jc w:val="left"/>
      </w:pPr>
      <w:r>
        <w:rPr/>
        <w:t>重型再生障碍性贫血</w:t>
      </w:r>
    </w:p>
    <w:p>
      <w:pPr>
        <w:pStyle w:val="BodyText"/>
        <w:spacing w:line="273" w:lineRule="auto" w:before="19"/>
        <w:ind w:left="222" w:right="132"/>
      </w:pPr>
      <w:r>
        <w:rPr/>
        <w:br w:type="column"/>
      </w:r>
      <w:r>
        <w:rPr/>
        <w:t>指因骨髓造血功能慢性持续性衰竭导致的贫血、中性粒细胞减少及血小板减少。须满足下列全部条件：</w:t>
      </w:r>
    </w:p>
    <w:p>
      <w:pPr>
        <w:pStyle w:val="ListParagraph"/>
        <w:numPr>
          <w:ilvl w:val="0"/>
          <w:numId w:val="10"/>
        </w:numPr>
        <w:tabs>
          <w:tab w:pos="961" w:val="left" w:leader="none"/>
          <w:tab w:pos="962" w:val="left" w:leader="none"/>
        </w:tabs>
        <w:spacing w:line="240" w:lineRule="auto" w:before="7" w:after="0"/>
        <w:ind w:left="961" w:right="0" w:hanging="739"/>
        <w:jc w:val="left"/>
        <w:rPr>
          <w:sz w:val="21"/>
        </w:rPr>
      </w:pPr>
      <w:r>
        <w:rPr>
          <w:spacing w:val="-5"/>
          <w:sz w:val="21"/>
        </w:rPr>
        <w:t>骨髓穿刺检查或骨髓活检结果支持诊断；</w:t>
      </w:r>
    </w:p>
    <w:p>
      <w:pPr>
        <w:pStyle w:val="ListParagraph"/>
        <w:numPr>
          <w:ilvl w:val="0"/>
          <w:numId w:val="10"/>
        </w:numPr>
        <w:tabs>
          <w:tab w:pos="961" w:val="left" w:leader="none"/>
          <w:tab w:pos="962" w:val="left" w:leader="none"/>
        </w:tabs>
        <w:spacing w:line="240" w:lineRule="auto" w:before="37" w:after="0"/>
        <w:ind w:left="961" w:right="0" w:hanging="739"/>
        <w:jc w:val="left"/>
        <w:rPr>
          <w:sz w:val="21"/>
        </w:rPr>
      </w:pPr>
      <w:r>
        <w:rPr>
          <w:spacing w:val="-4"/>
          <w:sz w:val="21"/>
        </w:rPr>
        <w:t>外周血象须具备以下三项条件：</w:t>
      </w:r>
    </w:p>
    <w:p>
      <w:pPr>
        <w:pStyle w:val="BodyText"/>
        <w:spacing w:before="37"/>
        <w:ind w:left="937"/>
      </w:pPr>
      <w:r>
        <w:rPr/>
        <w:t>① 中性粒细胞绝对值≤0.5×10</w:t>
      </w:r>
      <w:r>
        <w:rPr>
          <w:position w:val="11"/>
          <w:sz w:val="11"/>
        </w:rPr>
        <w:t>9</w:t>
      </w:r>
      <w:r>
        <w:rPr/>
        <w:t>/L ；</w:t>
      </w:r>
    </w:p>
    <w:p>
      <w:pPr>
        <w:pStyle w:val="BodyText"/>
        <w:spacing w:before="37"/>
        <w:ind w:left="937"/>
      </w:pPr>
      <w:r>
        <w:rPr/>
        <w:t>② 网织红细胞＜1%；</w:t>
      </w:r>
    </w:p>
    <w:p>
      <w:pPr>
        <w:pStyle w:val="BodyText"/>
        <w:spacing w:before="37"/>
        <w:ind w:left="956"/>
      </w:pPr>
      <w:r>
        <w:rPr/>
        <w:t>③ 血小板绝对值≤20×10</w:t>
      </w:r>
      <w:r>
        <w:rPr>
          <w:position w:val="11"/>
          <w:sz w:val="11"/>
        </w:rPr>
        <w:t>9</w:t>
      </w:r>
      <w:r>
        <w:rPr/>
        <w:t>/L。</w:t>
      </w:r>
    </w:p>
    <w:p>
      <w:pPr>
        <w:spacing w:after="0"/>
        <w:sectPr>
          <w:pgSz w:w="11900" w:h="16840"/>
          <w:pgMar w:top="1100" w:bottom="280" w:left="800" w:right="1100"/>
          <w:cols w:num="2" w:equalWidth="0">
            <w:col w:w="2200" w:space="89"/>
            <w:col w:w="7711"/>
          </w:cols>
        </w:sectPr>
      </w:pPr>
    </w:p>
    <w:p>
      <w:pPr>
        <w:pStyle w:val="BodyText"/>
        <w:spacing w:before="3"/>
        <w:ind w:left="0"/>
        <w:rPr>
          <w:sz w:val="13"/>
        </w:rPr>
      </w:pPr>
    </w:p>
    <w:p>
      <w:pPr>
        <w:pStyle w:val="ListParagraph"/>
        <w:numPr>
          <w:ilvl w:val="1"/>
          <w:numId w:val="2"/>
        </w:numPr>
        <w:tabs>
          <w:tab w:pos="933" w:val="left" w:leader="none"/>
        </w:tabs>
        <w:spacing w:line="312" w:lineRule="exact" w:before="32" w:after="0"/>
        <w:ind w:left="2512" w:right="218" w:hanging="2290"/>
        <w:jc w:val="both"/>
        <w:rPr>
          <w:sz w:val="21"/>
        </w:rPr>
      </w:pPr>
      <w:r>
        <w:rPr>
          <w:rFonts w:ascii="Microsoft JhengHei" w:eastAsia="Microsoft JhengHei" w:hint="eastAsia"/>
          <w:b/>
          <w:spacing w:val="2"/>
          <w:sz w:val="21"/>
        </w:rPr>
        <w:t>主动脉手术       </w:t>
      </w:r>
      <w:r>
        <w:rPr>
          <w:spacing w:val="-7"/>
          <w:sz w:val="21"/>
        </w:rPr>
        <w:t>指为治疗主动脉疾病，实际实施了开胸或开腹进行的切除、置换、修补病损主动</w:t>
      </w:r>
      <w:r>
        <w:rPr>
          <w:spacing w:val="-12"/>
          <w:sz w:val="21"/>
        </w:rPr>
        <w:t>脉血管的手术。主动脉指胸主动脉和腹主动脉，不包括胸主动脉和腹主动脉的分支血管。</w:t>
      </w:r>
    </w:p>
    <w:p>
      <w:pPr>
        <w:pStyle w:val="BodyText"/>
        <w:spacing w:before="4"/>
        <w:rPr>
          <w:rFonts w:ascii="黑体" w:eastAsia="黑体" w:hint="eastAsia"/>
        </w:rPr>
      </w:pPr>
      <w:r>
        <w:rPr>
          <w:rFonts w:ascii="黑体" w:eastAsia="黑体" w:hint="eastAsia"/>
        </w:rPr>
        <w:t>动脉内血管成形术不在保障范围内。</w:t>
      </w:r>
    </w:p>
    <w:p>
      <w:pPr>
        <w:pStyle w:val="BodyText"/>
        <w:spacing w:before="11"/>
        <w:ind w:left="0"/>
        <w:rPr>
          <w:rFonts w:ascii="黑体"/>
          <w:sz w:val="12"/>
        </w:rPr>
      </w:pPr>
    </w:p>
    <w:p>
      <w:pPr>
        <w:spacing w:after="0"/>
        <w:rPr>
          <w:rFonts w:ascii="黑体"/>
          <w:sz w:val="12"/>
        </w:rPr>
        <w:sectPr>
          <w:type w:val="continuous"/>
          <w:pgSz w:w="11900" w:h="16840"/>
          <w:pgMar w:top="700" w:bottom="280" w:left="800" w:right="1100"/>
        </w:sectPr>
      </w:pPr>
    </w:p>
    <w:p>
      <w:pPr>
        <w:pStyle w:val="Heading4"/>
        <w:numPr>
          <w:ilvl w:val="1"/>
          <w:numId w:val="2"/>
        </w:numPr>
        <w:tabs>
          <w:tab w:pos="932" w:val="left" w:leader="none"/>
          <w:tab w:pos="933" w:val="left" w:leader="none"/>
        </w:tabs>
        <w:spacing w:line="204" w:lineRule="auto" w:before="25" w:after="0"/>
        <w:ind w:left="932" w:right="0" w:hanging="710"/>
        <w:jc w:val="left"/>
      </w:pPr>
      <w:r>
        <w:rPr/>
        <w:t>细菌性脑脊髓膜炎</w:t>
      </w:r>
    </w:p>
    <w:p>
      <w:pPr>
        <w:pStyle w:val="BodyText"/>
        <w:spacing w:line="273" w:lineRule="auto" w:before="37"/>
        <w:ind w:left="222" w:right="218"/>
        <w:jc w:val="both"/>
      </w:pPr>
      <w:r>
        <w:rPr/>
        <w:br w:type="column"/>
      </w:r>
      <w:r>
        <w:rPr>
          <w:spacing w:val="-9"/>
        </w:rPr>
        <w:t>指因脑膜炎双球菌感染引起脑脊髓膜化脓性病变，且导致永久性神经损害，持续</w:t>
      </w:r>
      <w:r>
        <w:rPr>
          <w:spacing w:val="-7"/>
        </w:rPr>
        <w:t>三个月以上，并且脑脊液检查显示脑膜炎双球菌阳性。</w:t>
      </w:r>
    </w:p>
    <w:p>
      <w:pPr>
        <w:pStyle w:val="BodyText"/>
        <w:spacing w:line="273" w:lineRule="auto" w:before="7"/>
        <w:ind w:left="222" w:right="218"/>
        <w:jc w:val="both"/>
      </w:pPr>
      <w:r>
        <w:rPr>
          <w:spacing w:val="-8"/>
        </w:rPr>
        <w:t>永久性神经损害是指由细菌性脑脊髓膜炎引起的耳聋、失明、动眼神经麻痹、瘫</w:t>
      </w:r>
      <w:r>
        <w:rPr>
          <w:spacing w:val="-11"/>
        </w:rPr>
        <w:t>痪、脑积水、智力或性情中度以上的损害，且上述症状持续三个月以上仍无改善迹象。</w:t>
      </w:r>
    </w:p>
    <w:p>
      <w:pPr>
        <w:spacing w:after="0" w:line="273" w:lineRule="auto"/>
        <w:jc w:val="both"/>
        <w:sectPr>
          <w:type w:val="continuous"/>
          <w:pgSz w:w="11900" w:h="16840"/>
          <w:pgMar w:top="700" w:bottom="280" w:left="800" w:right="1100"/>
          <w:cols w:num="2" w:equalWidth="0">
            <w:col w:w="2200" w:space="89"/>
            <w:col w:w="7711"/>
          </w:cols>
        </w:sectPr>
      </w:pPr>
    </w:p>
    <w:p>
      <w:pPr>
        <w:pStyle w:val="BodyText"/>
        <w:spacing w:before="8"/>
        <w:ind w:left="0"/>
        <w:rPr>
          <w:sz w:val="10"/>
        </w:rPr>
      </w:pPr>
    </w:p>
    <w:p>
      <w:pPr>
        <w:pStyle w:val="ListParagraph"/>
        <w:numPr>
          <w:ilvl w:val="1"/>
          <w:numId w:val="2"/>
        </w:numPr>
        <w:tabs>
          <w:tab w:pos="932" w:val="left" w:leader="none"/>
          <w:tab w:pos="933" w:val="left" w:leader="none"/>
          <w:tab w:pos="2511" w:val="left" w:leader="none"/>
        </w:tabs>
        <w:spacing w:line="312" w:lineRule="exact" w:before="32" w:after="0"/>
        <w:ind w:left="2512" w:right="218" w:hanging="2290"/>
        <w:jc w:val="left"/>
        <w:rPr>
          <w:sz w:val="21"/>
        </w:rPr>
      </w:pPr>
      <w:r>
        <w:rPr>
          <w:rFonts w:ascii="Microsoft JhengHei" w:eastAsia="Microsoft JhengHei" w:hint="eastAsia"/>
          <w:b/>
          <w:sz w:val="21"/>
        </w:rPr>
        <w:t>植物人</w:t>
        <w:tab/>
      </w:r>
      <w:r>
        <w:rPr>
          <w:sz w:val="21"/>
        </w:rPr>
        <w:t>指大脑皮</w:t>
      </w:r>
      <w:r>
        <w:rPr>
          <w:spacing w:val="-5"/>
          <w:sz w:val="21"/>
        </w:rPr>
        <w:t>质</w:t>
      </w:r>
      <w:r>
        <w:rPr>
          <w:sz w:val="21"/>
        </w:rPr>
        <w:t>全面坏</w:t>
      </w:r>
      <w:r>
        <w:rPr>
          <w:spacing w:val="-5"/>
          <w:sz w:val="21"/>
        </w:rPr>
        <w:t>死</w:t>
      </w:r>
      <w:r>
        <w:rPr>
          <w:spacing w:val="-29"/>
          <w:sz w:val="21"/>
        </w:rPr>
        <w:t>，</w:t>
      </w:r>
      <w:r>
        <w:rPr>
          <w:sz w:val="21"/>
        </w:rPr>
        <w:t>意识</w:t>
      </w:r>
      <w:r>
        <w:rPr>
          <w:spacing w:val="-5"/>
          <w:sz w:val="21"/>
        </w:rPr>
        <w:t>完</w:t>
      </w:r>
      <w:r>
        <w:rPr>
          <w:sz w:val="21"/>
        </w:rPr>
        <w:t>全丧失</w:t>
      </w:r>
      <w:r>
        <w:rPr>
          <w:spacing w:val="-34"/>
          <w:sz w:val="21"/>
        </w:rPr>
        <w:t>，</w:t>
      </w:r>
      <w:r>
        <w:rPr>
          <w:sz w:val="21"/>
        </w:rPr>
        <w:t>但脑干</w:t>
      </w:r>
      <w:r>
        <w:rPr>
          <w:spacing w:val="-5"/>
          <w:sz w:val="21"/>
        </w:rPr>
        <w:t>仍</w:t>
      </w:r>
      <w:r>
        <w:rPr>
          <w:sz w:val="21"/>
        </w:rPr>
        <w:t>保</w:t>
      </w:r>
      <w:r>
        <w:rPr>
          <w:spacing w:val="-5"/>
          <w:sz w:val="21"/>
        </w:rPr>
        <w:t>持</w:t>
      </w:r>
      <w:r>
        <w:rPr>
          <w:sz w:val="21"/>
        </w:rPr>
        <w:t>完好</w:t>
      </w:r>
      <w:r>
        <w:rPr>
          <w:spacing w:val="-29"/>
          <w:sz w:val="21"/>
        </w:rPr>
        <w:t>，</w:t>
      </w:r>
      <w:r>
        <w:rPr>
          <w:sz w:val="21"/>
        </w:rPr>
        <w:t>且</w:t>
      </w:r>
      <w:r>
        <w:rPr>
          <w:spacing w:val="-5"/>
          <w:sz w:val="21"/>
        </w:rPr>
        <w:t>此</w:t>
      </w:r>
      <w:r>
        <w:rPr>
          <w:sz w:val="21"/>
        </w:rPr>
        <w:t>情况持</w:t>
      </w:r>
      <w:r>
        <w:rPr>
          <w:spacing w:val="-5"/>
          <w:sz w:val="21"/>
        </w:rPr>
        <w:t>续</w:t>
      </w:r>
      <w:r>
        <w:rPr>
          <w:sz w:val="21"/>
        </w:rPr>
        <w:t>一个月 或一个月</w:t>
      </w:r>
      <w:r>
        <w:rPr>
          <w:spacing w:val="-5"/>
          <w:sz w:val="21"/>
        </w:rPr>
        <w:t>以</w:t>
      </w:r>
      <w:r>
        <w:rPr>
          <w:sz w:val="21"/>
        </w:rPr>
        <w:t>上。</w:t>
      </w:r>
    </w:p>
    <w:p>
      <w:pPr>
        <w:pStyle w:val="ListParagraph"/>
        <w:numPr>
          <w:ilvl w:val="1"/>
          <w:numId w:val="2"/>
        </w:numPr>
        <w:tabs>
          <w:tab w:pos="932" w:val="left" w:leader="none"/>
          <w:tab w:pos="933" w:val="left" w:leader="none"/>
          <w:tab w:pos="2511" w:val="left" w:leader="none"/>
        </w:tabs>
        <w:spacing w:line="249" w:lineRule="auto" w:before="110" w:after="0"/>
        <w:ind w:left="2512" w:right="218" w:hanging="2290"/>
        <w:jc w:val="left"/>
        <w:rPr>
          <w:sz w:val="21"/>
        </w:rPr>
      </w:pPr>
      <w:r>
        <w:rPr>
          <w:rFonts w:ascii="Microsoft JhengHei" w:eastAsia="Microsoft JhengHei" w:hint="eastAsia"/>
          <w:b/>
          <w:sz w:val="21"/>
        </w:rPr>
        <w:t>Ｉ型糖尿病</w:t>
        <w:tab/>
      </w:r>
      <w:r>
        <w:rPr>
          <w:sz w:val="21"/>
        </w:rPr>
        <w:t>Ｉ型糖尿</w:t>
      </w:r>
      <w:r>
        <w:rPr>
          <w:spacing w:val="-5"/>
          <w:sz w:val="21"/>
        </w:rPr>
        <w:t>病</w:t>
      </w:r>
      <w:r>
        <w:rPr>
          <w:sz w:val="21"/>
        </w:rPr>
        <w:t>为由于</w:t>
      </w:r>
      <w:r>
        <w:rPr>
          <w:spacing w:val="-5"/>
          <w:sz w:val="21"/>
        </w:rPr>
        <w:t>胰</w:t>
      </w:r>
      <w:r>
        <w:rPr>
          <w:sz w:val="21"/>
        </w:rPr>
        <w:t>岛素分</w:t>
      </w:r>
      <w:r>
        <w:rPr>
          <w:spacing w:val="-5"/>
          <w:sz w:val="21"/>
        </w:rPr>
        <w:t>泌</w:t>
      </w:r>
      <w:r>
        <w:rPr>
          <w:sz w:val="21"/>
        </w:rPr>
        <w:t>不足或</w:t>
      </w:r>
      <w:r>
        <w:rPr>
          <w:spacing w:val="-5"/>
          <w:sz w:val="21"/>
        </w:rPr>
        <w:t>胰</w:t>
      </w:r>
      <w:r>
        <w:rPr>
          <w:sz w:val="21"/>
        </w:rPr>
        <w:t>岛素抵</w:t>
      </w:r>
      <w:r>
        <w:rPr>
          <w:spacing w:val="-5"/>
          <w:sz w:val="21"/>
        </w:rPr>
        <w:t>抗</w:t>
      </w:r>
      <w:r>
        <w:rPr>
          <w:sz w:val="21"/>
        </w:rPr>
        <w:t>引</w:t>
      </w:r>
      <w:r>
        <w:rPr>
          <w:spacing w:val="-5"/>
          <w:sz w:val="21"/>
        </w:rPr>
        <w:t>起</w:t>
      </w:r>
      <w:r>
        <w:rPr>
          <w:sz w:val="21"/>
        </w:rPr>
        <w:t>的慢性血</w:t>
      </w:r>
      <w:r>
        <w:rPr>
          <w:spacing w:val="-5"/>
          <w:sz w:val="21"/>
        </w:rPr>
        <w:t>糖</w:t>
      </w:r>
      <w:r>
        <w:rPr>
          <w:sz w:val="21"/>
        </w:rPr>
        <w:t>升高</w:t>
      </w:r>
      <w:r>
        <w:rPr>
          <w:spacing w:val="-87"/>
          <w:sz w:val="21"/>
        </w:rPr>
        <w:t>，</w:t>
      </w:r>
      <w:r>
        <w:rPr>
          <w:spacing w:val="-5"/>
          <w:sz w:val="21"/>
        </w:rPr>
        <w:t>并</w:t>
      </w:r>
      <w:r>
        <w:rPr>
          <w:sz w:val="21"/>
        </w:rPr>
        <w:t>需持续 性地依赖</w:t>
      </w:r>
      <w:r>
        <w:rPr>
          <w:spacing w:val="-5"/>
          <w:sz w:val="21"/>
        </w:rPr>
        <w:t>外</w:t>
      </w:r>
      <w:r>
        <w:rPr>
          <w:sz w:val="21"/>
        </w:rPr>
        <w:t>源性胰</w:t>
      </w:r>
      <w:r>
        <w:rPr>
          <w:spacing w:val="-5"/>
          <w:sz w:val="21"/>
        </w:rPr>
        <w:t>岛</w:t>
      </w:r>
      <w:r>
        <w:rPr>
          <w:sz w:val="21"/>
        </w:rPr>
        <w:t>素维持</w:t>
      </w:r>
      <w:r>
        <w:rPr>
          <w:spacing w:val="-5"/>
          <w:sz w:val="21"/>
        </w:rPr>
        <w:t>生</w:t>
      </w:r>
      <w:r>
        <w:rPr>
          <w:sz w:val="21"/>
        </w:rPr>
        <w:t>命６个</w:t>
      </w:r>
      <w:r>
        <w:rPr>
          <w:spacing w:val="-5"/>
          <w:sz w:val="21"/>
        </w:rPr>
        <w:t>月</w:t>
      </w:r>
      <w:r>
        <w:rPr>
          <w:sz w:val="21"/>
        </w:rPr>
        <w:t>以上。</w:t>
      </w:r>
    </w:p>
    <w:p>
      <w:pPr>
        <w:pStyle w:val="BodyText"/>
        <w:spacing w:before="11"/>
        <w:ind w:left="0"/>
        <w:rPr>
          <w:sz w:val="20"/>
        </w:rPr>
      </w:pPr>
    </w:p>
    <w:p>
      <w:pPr>
        <w:pStyle w:val="ListParagraph"/>
        <w:numPr>
          <w:ilvl w:val="1"/>
          <w:numId w:val="2"/>
        </w:numPr>
        <w:tabs>
          <w:tab w:pos="932" w:val="left" w:leader="none"/>
          <w:tab w:pos="933" w:val="left" w:leader="none"/>
          <w:tab w:pos="2511" w:val="left" w:leader="none"/>
        </w:tabs>
        <w:spacing w:line="249" w:lineRule="auto" w:before="1" w:after="0"/>
        <w:ind w:left="2512" w:right="218" w:hanging="2290"/>
        <w:jc w:val="left"/>
        <w:rPr>
          <w:sz w:val="21"/>
        </w:rPr>
      </w:pPr>
      <w:r>
        <w:rPr>
          <w:rFonts w:ascii="Microsoft JhengHei" w:eastAsia="Microsoft JhengHei" w:hint="eastAsia"/>
          <w:b/>
          <w:sz w:val="21"/>
        </w:rPr>
        <w:t>严重胃肠炎</w:t>
        <w:tab/>
      </w:r>
      <w:r>
        <w:rPr>
          <w:spacing w:val="-1"/>
          <w:sz w:val="21"/>
        </w:rPr>
        <w:t>以</w:t>
      </w:r>
      <w:r>
        <w:rPr>
          <w:sz w:val="21"/>
        </w:rPr>
        <w:t>严重的</w:t>
      </w:r>
      <w:r>
        <w:rPr>
          <w:spacing w:val="-5"/>
          <w:sz w:val="21"/>
        </w:rPr>
        <w:t>腹</w:t>
      </w:r>
      <w:r>
        <w:rPr>
          <w:sz w:val="21"/>
        </w:rPr>
        <w:t>泻</w:t>
      </w:r>
      <w:r>
        <w:rPr>
          <w:spacing w:val="-44"/>
          <w:sz w:val="21"/>
        </w:rPr>
        <w:t>、</w:t>
      </w:r>
      <w:r>
        <w:rPr>
          <w:sz w:val="21"/>
        </w:rPr>
        <w:t>便</w:t>
      </w:r>
      <w:r>
        <w:rPr>
          <w:spacing w:val="-5"/>
          <w:sz w:val="21"/>
        </w:rPr>
        <w:t>血</w:t>
      </w:r>
      <w:r>
        <w:rPr>
          <w:sz w:val="21"/>
        </w:rPr>
        <w:t>和肠段</w:t>
      </w:r>
      <w:r>
        <w:rPr>
          <w:spacing w:val="-5"/>
          <w:sz w:val="21"/>
        </w:rPr>
        <w:t>坏</w:t>
      </w:r>
      <w:r>
        <w:rPr>
          <w:sz w:val="21"/>
        </w:rPr>
        <w:t>死为特</w:t>
      </w:r>
      <w:r>
        <w:rPr>
          <w:spacing w:val="-5"/>
          <w:sz w:val="21"/>
        </w:rPr>
        <w:t>征</w:t>
      </w:r>
      <w:r>
        <w:rPr>
          <w:sz w:val="21"/>
        </w:rPr>
        <w:t>的胃肠</w:t>
      </w:r>
      <w:r>
        <w:rPr>
          <w:spacing w:val="-5"/>
          <w:sz w:val="21"/>
        </w:rPr>
        <w:t>道</w:t>
      </w:r>
      <w:r>
        <w:rPr>
          <w:sz w:val="21"/>
        </w:rPr>
        <w:t>严</w:t>
      </w:r>
      <w:r>
        <w:rPr>
          <w:spacing w:val="-5"/>
          <w:sz w:val="21"/>
        </w:rPr>
        <w:t>重</w:t>
      </w:r>
      <w:r>
        <w:rPr>
          <w:sz w:val="21"/>
        </w:rPr>
        <w:t>感染</w:t>
      </w:r>
      <w:r>
        <w:rPr>
          <w:spacing w:val="-44"/>
          <w:sz w:val="21"/>
        </w:rPr>
        <w:t>。</w:t>
      </w:r>
      <w:r>
        <w:rPr>
          <w:sz w:val="21"/>
        </w:rPr>
        <w:t>大</w:t>
      </w:r>
      <w:r>
        <w:rPr>
          <w:spacing w:val="-5"/>
          <w:sz w:val="21"/>
        </w:rPr>
        <w:t>肠</w:t>
      </w:r>
      <w:r>
        <w:rPr>
          <w:sz w:val="21"/>
        </w:rPr>
        <w:t>或小肠</w:t>
      </w:r>
      <w:r>
        <w:rPr>
          <w:spacing w:val="-5"/>
          <w:sz w:val="21"/>
        </w:rPr>
        <w:t>的</w:t>
      </w:r>
      <w:r>
        <w:rPr>
          <w:sz w:val="21"/>
        </w:rPr>
        <w:t>一处或 </w:t>
      </w:r>
      <w:r>
        <w:rPr>
          <w:spacing w:val="-1"/>
          <w:sz w:val="21"/>
        </w:rPr>
        <w:t>多</w:t>
      </w:r>
      <w:r>
        <w:rPr>
          <w:sz w:val="21"/>
        </w:rPr>
        <w:t>处需手</w:t>
      </w:r>
      <w:r>
        <w:rPr>
          <w:spacing w:val="-5"/>
          <w:sz w:val="21"/>
        </w:rPr>
        <w:t>术</w:t>
      </w:r>
      <w:r>
        <w:rPr>
          <w:sz w:val="21"/>
        </w:rPr>
        <w:t>切除，</w:t>
      </w:r>
      <w:r>
        <w:rPr>
          <w:spacing w:val="-5"/>
          <w:sz w:val="21"/>
        </w:rPr>
        <w:t>且</w:t>
      </w:r>
      <w:r>
        <w:rPr>
          <w:sz w:val="21"/>
        </w:rPr>
        <w:t>经病理</w:t>
      </w:r>
      <w:r>
        <w:rPr>
          <w:spacing w:val="-5"/>
          <w:sz w:val="21"/>
        </w:rPr>
        <w:t>检</w:t>
      </w:r>
      <w:r>
        <w:rPr>
          <w:sz w:val="21"/>
        </w:rPr>
        <w:t>查证实</w:t>
      </w:r>
      <w:r>
        <w:rPr>
          <w:spacing w:val="-5"/>
          <w:sz w:val="21"/>
        </w:rPr>
        <w:t>存</w:t>
      </w:r>
      <w:r>
        <w:rPr>
          <w:sz w:val="21"/>
        </w:rPr>
        <w:t>在严重</w:t>
      </w:r>
      <w:r>
        <w:rPr>
          <w:spacing w:val="-5"/>
          <w:sz w:val="21"/>
        </w:rPr>
        <w:t>感</w:t>
      </w:r>
      <w:r>
        <w:rPr>
          <w:sz w:val="21"/>
        </w:rPr>
        <w:t>染</w:t>
      </w:r>
      <w:r>
        <w:rPr>
          <w:spacing w:val="-5"/>
          <w:sz w:val="21"/>
        </w:rPr>
        <w:t>和</w:t>
      </w:r>
      <w:r>
        <w:rPr>
          <w:sz w:val="21"/>
        </w:rPr>
        <w:t>坏死。</w:t>
      </w:r>
    </w:p>
    <w:p>
      <w:pPr>
        <w:pStyle w:val="ListParagraph"/>
        <w:numPr>
          <w:ilvl w:val="1"/>
          <w:numId w:val="2"/>
        </w:numPr>
        <w:tabs>
          <w:tab w:pos="933" w:val="left" w:leader="none"/>
        </w:tabs>
        <w:spacing w:line="259" w:lineRule="auto" w:before="130" w:after="0"/>
        <w:ind w:left="2512" w:right="218" w:hanging="2290"/>
        <w:jc w:val="both"/>
        <w:rPr>
          <w:sz w:val="21"/>
        </w:rPr>
      </w:pPr>
      <w:r>
        <w:rPr>
          <w:rFonts w:ascii="Microsoft JhengHei" w:eastAsia="Microsoft JhengHei" w:hint="eastAsia"/>
          <w:b/>
          <w:spacing w:val="1"/>
          <w:sz w:val="21"/>
        </w:rPr>
        <w:t>严重心肌炎       </w:t>
      </w:r>
      <w:r>
        <w:rPr>
          <w:spacing w:val="-7"/>
          <w:sz w:val="21"/>
        </w:rPr>
        <w:t>心肌的严重感染而导致至少持续 </w:t>
      </w:r>
      <w:r>
        <w:rPr>
          <w:sz w:val="21"/>
        </w:rPr>
        <w:t>6</w:t>
      </w:r>
      <w:r>
        <w:rPr>
          <w:spacing w:val="-14"/>
          <w:sz w:val="21"/>
        </w:rPr>
        <w:t> 个月的心功能损害。严重的心功能损害必须具</w:t>
      </w:r>
      <w:r>
        <w:rPr>
          <w:spacing w:val="-12"/>
          <w:sz w:val="21"/>
        </w:rPr>
        <w:t>备如下条件：左室腔扩大至少达到正常值上限的 </w:t>
      </w:r>
      <w:r>
        <w:rPr>
          <w:spacing w:val="-5"/>
          <w:sz w:val="21"/>
        </w:rPr>
        <w:t>120％，且左室射血分数持续性</w:t>
      </w:r>
      <w:r>
        <w:rPr>
          <w:spacing w:val="-20"/>
          <w:sz w:val="21"/>
        </w:rPr>
        <w:t>低于 </w:t>
      </w:r>
      <w:r>
        <w:rPr>
          <w:sz w:val="21"/>
        </w:rPr>
        <w:t>40％。</w:t>
      </w:r>
    </w:p>
    <w:p>
      <w:pPr>
        <w:pStyle w:val="ListParagraph"/>
        <w:numPr>
          <w:ilvl w:val="1"/>
          <w:numId w:val="2"/>
        </w:numPr>
        <w:tabs>
          <w:tab w:pos="932" w:val="left" w:leader="none"/>
          <w:tab w:pos="933" w:val="left" w:leader="none"/>
          <w:tab w:pos="2511" w:val="left" w:leader="none"/>
        </w:tabs>
        <w:spacing w:line="240" w:lineRule="auto" w:before="126" w:after="0"/>
        <w:ind w:left="2512" w:right="0" w:hanging="2290"/>
        <w:jc w:val="left"/>
        <w:rPr>
          <w:sz w:val="21"/>
        </w:rPr>
      </w:pPr>
      <w:r>
        <w:rPr>
          <w:rFonts w:ascii="Microsoft JhengHei" w:eastAsia="Microsoft JhengHei" w:hint="eastAsia"/>
          <w:b/>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ListParagraph"/>
        <w:numPr>
          <w:ilvl w:val="0"/>
          <w:numId w:val="11"/>
        </w:numPr>
        <w:tabs>
          <w:tab w:pos="3351" w:val="left" w:leader="none"/>
          <w:tab w:pos="3352" w:val="left" w:leader="none"/>
        </w:tabs>
        <w:spacing w:line="240" w:lineRule="auto" w:before="13" w:after="0"/>
        <w:ind w:left="3352" w:right="0" w:hanging="735"/>
        <w:jc w:val="left"/>
        <w:rPr>
          <w:sz w:val="21"/>
        </w:rPr>
      </w:pPr>
      <w:r>
        <w:rPr>
          <w:spacing w:val="-6"/>
          <w:sz w:val="21"/>
        </w:rPr>
        <w:t>在保障起始日或复效日之后，被保险人因输血而感染 </w:t>
      </w:r>
      <w:r>
        <w:rPr>
          <w:sz w:val="21"/>
        </w:rPr>
        <w:t>HIV；</w:t>
      </w:r>
    </w:p>
    <w:p>
      <w:pPr>
        <w:pStyle w:val="ListParagraph"/>
        <w:numPr>
          <w:ilvl w:val="0"/>
          <w:numId w:val="11"/>
        </w:numPr>
        <w:tabs>
          <w:tab w:pos="3351" w:val="left" w:leader="none"/>
          <w:tab w:pos="3352" w:val="left" w:leader="none"/>
        </w:tabs>
        <w:spacing w:line="273" w:lineRule="auto" w:before="37" w:after="0"/>
        <w:ind w:left="3352" w:right="223" w:hanging="735"/>
        <w:jc w:val="left"/>
        <w:rPr>
          <w:sz w:val="21"/>
        </w:rPr>
      </w:pPr>
      <w:r>
        <w:rPr>
          <w:spacing w:val="1"/>
          <w:sz w:val="21"/>
        </w:rPr>
        <w:t>提供输血前一个月内</w:t>
      </w:r>
      <w:r>
        <w:rPr>
          <w:sz w:val="21"/>
        </w:rPr>
        <w:t>HIV</w:t>
      </w:r>
      <w:r>
        <w:rPr>
          <w:spacing w:val="-7"/>
          <w:sz w:val="21"/>
        </w:rPr>
        <w:t> 检查阴性的报告以及输血后</w:t>
      </w:r>
      <w:r>
        <w:rPr>
          <w:sz w:val="21"/>
        </w:rPr>
        <w:t>HIV</w:t>
      </w:r>
      <w:r>
        <w:rPr>
          <w:spacing w:val="-11"/>
          <w:sz w:val="21"/>
        </w:rPr>
        <w:t> 检查阳性的报告。</w:t>
      </w:r>
    </w:p>
    <w:p>
      <w:pPr>
        <w:pStyle w:val="BodyText"/>
        <w:spacing w:line="273" w:lineRule="auto" w:before="7"/>
        <w:ind w:right="218"/>
        <w:jc w:val="both"/>
      </w:pPr>
      <w:r>
        <w:rPr>
          <w:rFonts w:ascii="黑体" w:eastAsia="黑体" w:hint="eastAsia"/>
          <w:spacing w:val="-5"/>
        </w:rPr>
        <w:t>任何因其他传播方式</w:t>
      </w:r>
      <w:r>
        <w:rPr>
          <w:rFonts w:ascii="黑体" w:eastAsia="黑体" w:hint="eastAsia"/>
        </w:rPr>
        <w:t>（</w:t>
      </w:r>
      <w:r>
        <w:rPr>
          <w:rFonts w:ascii="黑体" w:eastAsia="黑体" w:hint="eastAsia"/>
          <w:spacing w:val="-7"/>
        </w:rPr>
        <w:t>包括：性传播或静脉注射毒品</w:t>
      </w:r>
      <w:r>
        <w:rPr>
          <w:rFonts w:ascii="黑体" w:eastAsia="黑体" w:hint="eastAsia"/>
          <w:spacing w:val="-29"/>
        </w:rPr>
        <w:t>）</w:t>
      </w:r>
      <w:r>
        <w:rPr>
          <w:rFonts w:ascii="黑体" w:eastAsia="黑体" w:hint="eastAsia"/>
          <w:spacing w:val="-10"/>
        </w:rPr>
        <w:t>导致的 </w:t>
      </w:r>
      <w:r>
        <w:rPr>
          <w:rFonts w:ascii="黑体" w:eastAsia="黑体" w:hint="eastAsia"/>
        </w:rPr>
        <w:t>HIV</w:t>
      </w:r>
      <w:r>
        <w:rPr>
          <w:rFonts w:ascii="黑体" w:eastAsia="黑体" w:hint="eastAsia"/>
          <w:spacing w:val="-7"/>
        </w:rPr>
        <w:t> 感染不在本保</w:t>
      </w:r>
      <w:r>
        <w:rPr>
          <w:rFonts w:ascii="黑体" w:eastAsia="黑体" w:hint="eastAsia"/>
          <w:spacing w:val="-18"/>
        </w:rPr>
        <w:t>单保障范围内。</w:t>
      </w:r>
      <w:r>
        <w:rPr>
          <w:spacing w:val="-5"/>
        </w:rPr>
        <w:t>保险公司必须拥有获得使用被保险人的所有血液样本的权利和能够对这些样本进行独立检验的权利。</w:t>
      </w:r>
    </w:p>
    <w:p>
      <w:pPr>
        <w:pStyle w:val="Heading2"/>
        <w:numPr>
          <w:ilvl w:val="0"/>
          <w:numId w:val="2"/>
        </w:numPr>
        <w:tabs>
          <w:tab w:pos="932" w:val="left" w:leader="none"/>
          <w:tab w:pos="933" w:val="left" w:leader="none"/>
        </w:tabs>
        <w:spacing w:line="240" w:lineRule="auto" w:before="73" w:after="10"/>
        <w:ind w:left="932" w:right="0" w:hanging="710"/>
        <w:jc w:val="left"/>
      </w:pPr>
      <w:r>
        <w:rPr>
          <w:w w:val="95"/>
        </w:rPr>
        <w:t>释义</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8.65pt;height:.5pt;mso-position-horizontal-relative:char;mso-position-vertical-relative:line" coordorigin="0,0" coordsize="9773,10">
            <v:line style="position:absolute" from="0,5" to="816,5" stroked="true" strokeweight=".48pt" strokecolor="#000000">
              <v:stroke dashstyle="solid"/>
            </v:line>
            <v:rect style="position:absolute;left:816;top:0;width:10;height:10" filled="true" fillcolor="#000000" stroked="false">
              <v:fill type="solid"/>
            </v:rect>
            <v:line style="position:absolute" from="826,5" to="2290,5" stroked="true" strokeweight=".48pt" strokecolor="#000000">
              <v:stroke dashstyle="solid"/>
            </v:line>
            <v:rect style="position:absolute;left:2289;top:0;width:10;height:10" filled="true" fillcolor="#000000" stroked="false">
              <v:fill type="solid"/>
            </v:rect>
            <v:line style="position:absolute" from="2299,5" to="9773,5" stroked="true" strokeweight=".48pt" strokecolor="#000000">
              <v:stroke dashstyle="solid"/>
            </v:line>
          </v:group>
        </w:pict>
      </w:r>
      <w:r>
        <w:rPr>
          <w:rFonts w:ascii="Microsoft JhengHei"/>
          <w:spacing w:val="5"/>
          <w:sz w:val="2"/>
        </w:rPr>
      </w:r>
    </w:p>
    <w:p>
      <w:pPr>
        <w:pStyle w:val="BodyText"/>
        <w:spacing w:before="10"/>
        <w:ind w:left="0"/>
        <w:rPr>
          <w:rFonts w:ascii="Microsoft JhengHei"/>
          <w:b/>
          <w:sz w:val="5"/>
        </w:rPr>
      </w:pPr>
    </w:p>
    <w:p>
      <w:pPr>
        <w:pStyle w:val="ListParagraph"/>
        <w:numPr>
          <w:ilvl w:val="1"/>
          <w:numId w:val="2"/>
        </w:numPr>
        <w:tabs>
          <w:tab w:pos="933" w:val="left" w:leader="none"/>
          <w:tab w:pos="2511" w:val="left" w:leader="none"/>
        </w:tabs>
        <w:spacing w:line="312" w:lineRule="exact" w:before="32" w:after="0"/>
        <w:ind w:left="2512" w:right="218" w:hanging="2290"/>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4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44"/>
          <w:sz w:val="21"/>
        </w:rPr>
        <w:t>，</w:t>
      </w:r>
      <w:r>
        <w:rPr>
          <w:sz w:val="21"/>
        </w:rPr>
        <w:t>每经 过一年增</w:t>
      </w:r>
      <w:r>
        <w:rPr>
          <w:spacing w:val="-5"/>
          <w:sz w:val="21"/>
        </w:rPr>
        <w:t>加</w:t>
      </w:r>
      <w:r>
        <w:rPr>
          <w:sz w:val="21"/>
        </w:rPr>
        <w:t>一岁</w:t>
      </w:r>
      <w:r>
        <w:rPr>
          <w:spacing w:val="-39"/>
          <w:sz w:val="21"/>
        </w:rPr>
        <w:t>，</w:t>
      </w:r>
      <w:r>
        <w:rPr>
          <w:sz w:val="21"/>
        </w:rPr>
        <w:t>不足一</w:t>
      </w:r>
      <w:r>
        <w:rPr>
          <w:spacing w:val="-5"/>
          <w:sz w:val="21"/>
        </w:rPr>
        <w:t>年</w:t>
      </w:r>
      <w:r>
        <w:rPr>
          <w:sz w:val="21"/>
        </w:rPr>
        <w:t>的不</w:t>
      </w:r>
      <w:r>
        <w:rPr>
          <w:spacing w:val="-5"/>
          <w:sz w:val="21"/>
        </w:rPr>
        <w:t>计</w:t>
      </w:r>
      <w:r>
        <w:rPr>
          <w:spacing w:val="-34"/>
          <w:sz w:val="21"/>
        </w:rPr>
        <w:t>。</w:t>
      </w:r>
      <w:r>
        <w:rPr>
          <w:sz w:val="21"/>
        </w:rPr>
        <w:t>例</w:t>
      </w:r>
      <w:r>
        <w:rPr>
          <w:spacing w:val="-5"/>
          <w:sz w:val="21"/>
        </w:rPr>
        <w:t>如</w:t>
      </w:r>
      <w:r>
        <w:rPr>
          <w:spacing w:val="-34"/>
          <w:sz w:val="21"/>
        </w:rPr>
        <w:t>，</w:t>
      </w:r>
      <w:r>
        <w:rPr>
          <w:sz w:val="21"/>
        </w:rPr>
        <w:t>出生</w:t>
      </w:r>
      <w:r>
        <w:rPr>
          <w:spacing w:val="-5"/>
          <w:sz w:val="21"/>
        </w:rPr>
        <w:t>日期</w:t>
      </w:r>
      <w:r>
        <w:rPr>
          <w:sz w:val="21"/>
        </w:rPr>
        <w:t>为</w:t>
      </w:r>
      <w:r>
        <w:rPr>
          <w:spacing w:val="-49"/>
          <w:sz w:val="21"/>
        </w:rPr>
        <w:t> </w:t>
      </w:r>
      <w:r>
        <w:rPr>
          <w:sz w:val="21"/>
        </w:rPr>
        <w:t>2000</w:t>
      </w:r>
      <w:r>
        <w:rPr>
          <w:spacing w:val="7"/>
          <w:sz w:val="21"/>
        </w:rPr>
        <w:t> </w:t>
      </w:r>
      <w:r>
        <w:rPr>
          <w:sz w:val="21"/>
        </w:rPr>
        <w:t>年</w:t>
      </w:r>
      <w:r>
        <w:rPr>
          <w:spacing w:val="-49"/>
          <w:sz w:val="21"/>
        </w:rPr>
        <w:t> </w:t>
      </w:r>
      <w:r>
        <w:rPr>
          <w:sz w:val="21"/>
        </w:rPr>
        <w:t>9</w:t>
      </w:r>
      <w:r>
        <w:rPr>
          <w:spacing w:val="2"/>
          <w:sz w:val="21"/>
        </w:rPr>
        <w:t> </w:t>
      </w:r>
      <w:r>
        <w:rPr>
          <w:sz w:val="21"/>
        </w:rPr>
        <w:t>月</w:t>
      </w:r>
      <w:r>
        <w:rPr>
          <w:spacing w:val="-49"/>
          <w:sz w:val="21"/>
        </w:rPr>
        <w:t> </w:t>
      </w:r>
      <w:r>
        <w:rPr>
          <w:sz w:val="21"/>
        </w:rPr>
        <w:t>1</w:t>
      </w:r>
      <w:r>
        <w:rPr>
          <w:spacing w:val="7"/>
          <w:sz w:val="21"/>
        </w:rPr>
        <w:t> </w:t>
      </w:r>
      <w:r>
        <w:rPr>
          <w:spacing w:val="-5"/>
          <w:sz w:val="21"/>
        </w:rPr>
        <w:t>日</w:t>
      </w:r>
      <w:r>
        <w:rPr>
          <w:spacing w:val="-7"/>
          <w:sz w:val="21"/>
        </w:rPr>
        <w:t>，2000 </w:t>
      </w:r>
      <w:r>
        <w:rPr>
          <w:w w:val="100"/>
          <w:sz w:val="21"/>
        </w:rPr>
        <w:t>年</w:t>
      </w:r>
      <w:r>
        <w:rPr>
          <w:spacing w:val="-57"/>
          <w:sz w:val="21"/>
        </w:rPr>
        <w:t> </w:t>
      </w:r>
      <w:r>
        <w:rPr>
          <w:w w:val="100"/>
          <w:sz w:val="21"/>
        </w:rPr>
        <w:t>9</w:t>
      </w:r>
      <w:r>
        <w:rPr>
          <w:sz w:val="21"/>
        </w:rPr>
        <w:t> </w:t>
      </w:r>
      <w:r>
        <w:rPr>
          <w:w w:val="100"/>
          <w:sz w:val="21"/>
        </w:rPr>
        <w:t>月</w:t>
      </w:r>
      <w:r>
        <w:rPr>
          <w:spacing w:val="-57"/>
          <w:sz w:val="21"/>
        </w:rPr>
        <w:t> </w:t>
      </w:r>
      <w:r>
        <w:rPr>
          <w:w w:val="100"/>
          <w:sz w:val="21"/>
        </w:rPr>
        <w:t>1</w:t>
      </w:r>
      <w:r>
        <w:rPr>
          <w:sz w:val="21"/>
        </w:rPr>
        <w:t> </w:t>
      </w:r>
      <w:r>
        <w:rPr>
          <w:w w:val="100"/>
          <w:sz w:val="21"/>
        </w:rPr>
        <w:t>日至</w:t>
      </w:r>
      <w:r>
        <w:rPr>
          <w:spacing w:val="-57"/>
          <w:sz w:val="21"/>
        </w:rPr>
        <w:t> </w:t>
      </w:r>
      <w:r>
        <w:rPr>
          <w:w w:val="100"/>
          <w:sz w:val="21"/>
        </w:rPr>
        <w:t>2</w:t>
      </w:r>
      <w:r>
        <w:rPr>
          <w:spacing w:val="-5"/>
          <w:w w:val="100"/>
          <w:sz w:val="21"/>
        </w:rPr>
        <w:t>0</w:t>
      </w:r>
      <w:r>
        <w:rPr>
          <w:w w:val="100"/>
          <w:sz w:val="21"/>
        </w:rPr>
        <w:t>01</w:t>
      </w:r>
      <w:r>
        <w:rPr>
          <w:sz w:val="21"/>
        </w:rPr>
        <w:t> </w:t>
      </w:r>
      <w:r>
        <w:rPr>
          <w:w w:val="100"/>
          <w:sz w:val="21"/>
        </w:rPr>
        <w:t>年</w:t>
      </w:r>
      <w:r>
        <w:rPr>
          <w:spacing w:val="-57"/>
          <w:sz w:val="21"/>
        </w:rPr>
        <w:t> </w:t>
      </w:r>
      <w:r>
        <w:rPr>
          <w:w w:val="100"/>
          <w:sz w:val="21"/>
        </w:rPr>
        <w:t>8</w:t>
      </w:r>
      <w:r>
        <w:rPr>
          <w:sz w:val="21"/>
        </w:rPr>
        <w:t> </w:t>
      </w:r>
      <w:r>
        <w:rPr>
          <w:w w:val="100"/>
          <w:sz w:val="21"/>
        </w:rPr>
        <w:t>月</w:t>
      </w:r>
      <w:r>
        <w:rPr>
          <w:spacing w:val="-57"/>
          <w:sz w:val="21"/>
        </w:rPr>
        <w:t> </w:t>
      </w:r>
      <w:r>
        <w:rPr>
          <w:spacing w:val="-5"/>
          <w:w w:val="100"/>
          <w:sz w:val="21"/>
        </w:rPr>
        <w:t>3</w:t>
      </w:r>
      <w:r>
        <w:rPr>
          <w:w w:val="100"/>
          <w:sz w:val="21"/>
        </w:rPr>
        <w:t>1</w:t>
      </w:r>
      <w:r>
        <w:rPr>
          <w:sz w:val="21"/>
        </w:rPr>
        <w:t> </w:t>
      </w:r>
      <w:r>
        <w:rPr>
          <w:w w:val="100"/>
          <w:sz w:val="21"/>
        </w:rPr>
        <w:t>日期</w:t>
      </w:r>
      <w:r>
        <w:rPr>
          <w:spacing w:val="-5"/>
          <w:w w:val="100"/>
          <w:sz w:val="21"/>
        </w:rPr>
        <w:t>间</w:t>
      </w:r>
      <w:r>
        <w:rPr>
          <w:w w:val="100"/>
          <w:sz w:val="21"/>
        </w:rPr>
        <w:t>为</w:t>
      </w:r>
      <w:r>
        <w:rPr>
          <w:spacing w:val="-57"/>
          <w:sz w:val="21"/>
        </w:rPr>
        <w:t> </w:t>
      </w:r>
      <w:r>
        <w:rPr>
          <w:w w:val="100"/>
          <w:sz w:val="21"/>
        </w:rPr>
        <w:t>0</w:t>
      </w:r>
      <w:r>
        <w:rPr>
          <w:sz w:val="21"/>
        </w:rPr>
        <w:t> </w:t>
      </w:r>
      <w:r>
        <w:rPr>
          <w:w w:val="100"/>
          <w:sz w:val="21"/>
        </w:rPr>
        <w:t>周岁</w:t>
      </w:r>
      <w:r>
        <w:rPr>
          <w:spacing w:val="-111"/>
          <w:w w:val="100"/>
          <w:sz w:val="21"/>
        </w:rPr>
        <w:t>，</w:t>
      </w:r>
      <w:r>
        <w:rPr>
          <w:w w:val="100"/>
          <w:sz w:val="21"/>
        </w:rPr>
        <w:t>20</w:t>
      </w:r>
      <w:r>
        <w:rPr>
          <w:spacing w:val="-5"/>
          <w:w w:val="100"/>
          <w:sz w:val="21"/>
        </w:rPr>
        <w:t>0</w:t>
      </w:r>
      <w:r>
        <w:rPr>
          <w:w w:val="100"/>
          <w:sz w:val="21"/>
        </w:rPr>
        <w:t>1</w:t>
      </w:r>
      <w:r>
        <w:rPr>
          <w:sz w:val="21"/>
        </w:rPr>
        <w:t> </w:t>
      </w:r>
      <w:r>
        <w:rPr>
          <w:w w:val="100"/>
          <w:sz w:val="21"/>
        </w:rPr>
        <w:t>年</w:t>
      </w:r>
      <w:r>
        <w:rPr>
          <w:spacing w:val="-57"/>
          <w:sz w:val="21"/>
        </w:rPr>
        <w:t> </w:t>
      </w:r>
      <w:r>
        <w:rPr>
          <w:w w:val="100"/>
          <w:sz w:val="21"/>
        </w:rPr>
        <w:t>9</w:t>
      </w:r>
      <w:r>
        <w:rPr>
          <w:sz w:val="21"/>
        </w:rPr>
        <w:t> </w:t>
      </w:r>
      <w:r>
        <w:rPr>
          <w:w w:val="100"/>
          <w:sz w:val="21"/>
        </w:rPr>
        <w:t>月</w:t>
      </w:r>
      <w:r>
        <w:rPr>
          <w:spacing w:val="-57"/>
          <w:sz w:val="21"/>
        </w:rPr>
        <w:t> </w:t>
      </w:r>
      <w:r>
        <w:rPr>
          <w:w w:val="100"/>
          <w:sz w:val="21"/>
        </w:rPr>
        <w:t>1</w:t>
      </w:r>
      <w:r>
        <w:rPr>
          <w:sz w:val="21"/>
        </w:rPr>
        <w:t> </w:t>
      </w:r>
      <w:r>
        <w:rPr>
          <w:w w:val="100"/>
          <w:sz w:val="21"/>
        </w:rPr>
        <w:t>日至</w:t>
      </w:r>
      <w:r>
        <w:rPr>
          <w:spacing w:val="-62"/>
          <w:sz w:val="21"/>
        </w:rPr>
        <w:t> </w:t>
      </w:r>
      <w:r>
        <w:rPr>
          <w:w w:val="100"/>
          <w:sz w:val="21"/>
        </w:rPr>
        <w:t>2002</w:t>
      </w:r>
      <w:r>
        <w:rPr>
          <w:sz w:val="21"/>
        </w:rPr>
        <w:t> </w:t>
      </w:r>
      <w:r>
        <w:rPr>
          <w:w w:val="100"/>
          <w:sz w:val="21"/>
        </w:rPr>
        <w:t>年</w:t>
      </w:r>
    </w:p>
    <w:p>
      <w:pPr>
        <w:pStyle w:val="BodyText"/>
        <w:spacing w:before="4"/>
      </w:pPr>
      <w:r>
        <w:rPr/>
        <w:t>8 月 31 日期间为 1 周岁，依此类推。</w:t>
      </w:r>
    </w:p>
    <w:p>
      <w:pPr>
        <w:pStyle w:val="ListParagraph"/>
        <w:numPr>
          <w:ilvl w:val="1"/>
          <w:numId w:val="2"/>
        </w:numPr>
        <w:tabs>
          <w:tab w:pos="933" w:val="left" w:leader="none"/>
          <w:tab w:pos="2511" w:val="left" w:leader="none"/>
        </w:tabs>
        <w:spacing w:line="249" w:lineRule="auto" w:before="143" w:after="0"/>
        <w:ind w:left="2512" w:right="218" w:hanging="2290"/>
        <w:jc w:val="both"/>
        <w:rPr>
          <w:rFonts w:ascii="黑体" w:eastAsia="黑体" w:hint="eastAsia"/>
          <w:sz w:val="21"/>
        </w:rPr>
      </w:pPr>
      <w:r>
        <w:rPr>
          <w:rFonts w:ascii="Microsoft JhengHei" w:eastAsia="Microsoft JhengHei" w:hint="eastAsia"/>
          <w:b/>
          <w:sz w:val="21"/>
        </w:rPr>
        <w:t>医院</w:t>
        <w:tab/>
      </w:r>
      <w:r>
        <w:rPr>
          <w:spacing w:val="-1"/>
          <w:sz w:val="21"/>
        </w:rPr>
        <w:t>指</w:t>
      </w:r>
      <w:r>
        <w:rPr>
          <w:sz w:val="21"/>
        </w:rPr>
        <w:t>中华人</w:t>
      </w:r>
      <w:r>
        <w:rPr>
          <w:spacing w:val="-5"/>
          <w:sz w:val="21"/>
        </w:rPr>
        <w:t>民</w:t>
      </w:r>
      <w:r>
        <w:rPr>
          <w:sz w:val="21"/>
        </w:rPr>
        <w:t>共和国</w:t>
      </w:r>
      <w:r>
        <w:rPr>
          <w:spacing w:val="-5"/>
          <w:sz w:val="21"/>
        </w:rPr>
        <w:t>卫</w:t>
      </w:r>
      <w:r>
        <w:rPr>
          <w:sz w:val="21"/>
        </w:rPr>
        <w:t>生部医</w:t>
      </w:r>
      <w:r>
        <w:rPr>
          <w:spacing w:val="-5"/>
          <w:sz w:val="21"/>
        </w:rPr>
        <w:t>院</w:t>
      </w:r>
      <w:r>
        <w:rPr>
          <w:sz w:val="21"/>
        </w:rPr>
        <w:t>等级分</w:t>
      </w:r>
      <w:r>
        <w:rPr>
          <w:spacing w:val="-5"/>
          <w:sz w:val="21"/>
        </w:rPr>
        <w:t>类</w:t>
      </w:r>
      <w:r>
        <w:rPr>
          <w:sz w:val="21"/>
        </w:rPr>
        <w:t>中的二</w:t>
      </w:r>
      <w:r>
        <w:rPr>
          <w:spacing w:val="-5"/>
          <w:sz w:val="21"/>
        </w:rPr>
        <w:t>级</w:t>
      </w:r>
      <w:r>
        <w:rPr>
          <w:sz w:val="21"/>
        </w:rPr>
        <w:t>合</w:t>
      </w:r>
      <w:r>
        <w:rPr>
          <w:spacing w:val="-5"/>
          <w:sz w:val="21"/>
        </w:rPr>
        <w:t>格</w:t>
      </w:r>
      <w:r>
        <w:rPr>
          <w:sz w:val="21"/>
        </w:rPr>
        <w:t>或二级合</w:t>
      </w:r>
      <w:r>
        <w:rPr>
          <w:spacing w:val="-5"/>
          <w:sz w:val="21"/>
        </w:rPr>
        <w:t>格</w:t>
      </w:r>
      <w:r>
        <w:rPr>
          <w:sz w:val="21"/>
        </w:rPr>
        <w:t>以上的</w:t>
      </w:r>
      <w:r>
        <w:rPr>
          <w:spacing w:val="-5"/>
          <w:sz w:val="21"/>
        </w:rPr>
        <w:t>医</w:t>
      </w:r>
      <w:r>
        <w:rPr>
          <w:sz w:val="21"/>
        </w:rPr>
        <w:t>院</w:t>
      </w:r>
      <w:r>
        <w:rPr>
          <w:spacing w:val="-87"/>
          <w:sz w:val="21"/>
        </w:rPr>
        <w:t>，</w:t>
      </w:r>
      <w:r>
        <w:rPr>
          <w:rFonts w:ascii="黑体" w:eastAsia="黑体" w:hint="eastAsia"/>
          <w:sz w:val="21"/>
        </w:rPr>
        <w:t>但 </w:t>
      </w:r>
      <w:r>
        <w:rPr>
          <w:rFonts w:ascii="黑体" w:eastAsia="黑体" w:hint="eastAsia"/>
          <w:spacing w:val="-1"/>
          <w:sz w:val="21"/>
        </w:rPr>
        <w:t>不</w:t>
      </w:r>
      <w:r>
        <w:rPr>
          <w:rFonts w:ascii="黑体" w:eastAsia="黑体" w:hint="eastAsia"/>
          <w:sz w:val="21"/>
        </w:rPr>
        <w:t>包括主</w:t>
      </w:r>
      <w:r>
        <w:rPr>
          <w:rFonts w:ascii="黑体" w:eastAsia="黑体" w:hint="eastAsia"/>
          <w:spacing w:val="-5"/>
          <w:sz w:val="21"/>
        </w:rPr>
        <w:t>要</w:t>
      </w:r>
      <w:r>
        <w:rPr>
          <w:rFonts w:ascii="黑体" w:eastAsia="黑体" w:hint="eastAsia"/>
          <w:sz w:val="21"/>
        </w:rPr>
        <w:t>作为康</w:t>
      </w:r>
      <w:r>
        <w:rPr>
          <w:rFonts w:ascii="黑体" w:eastAsia="黑体" w:hint="eastAsia"/>
          <w:spacing w:val="-5"/>
          <w:sz w:val="21"/>
        </w:rPr>
        <w:t>复</w:t>
      </w:r>
      <w:r>
        <w:rPr>
          <w:rFonts w:ascii="黑体" w:eastAsia="黑体" w:hint="eastAsia"/>
          <w:sz w:val="21"/>
        </w:rPr>
        <w:t>、护理</w:t>
      </w:r>
      <w:r>
        <w:rPr>
          <w:rFonts w:ascii="黑体" w:eastAsia="黑体" w:hint="eastAsia"/>
          <w:spacing w:val="-5"/>
          <w:sz w:val="21"/>
        </w:rPr>
        <w:t>、</w:t>
      </w:r>
      <w:r>
        <w:rPr>
          <w:rFonts w:ascii="黑体" w:eastAsia="黑体" w:hint="eastAsia"/>
          <w:sz w:val="21"/>
        </w:rPr>
        <w:t>疗养、</w:t>
      </w:r>
      <w:r>
        <w:rPr>
          <w:rFonts w:ascii="黑体" w:eastAsia="黑体" w:hint="eastAsia"/>
          <w:spacing w:val="-5"/>
          <w:sz w:val="21"/>
        </w:rPr>
        <w:t>戒</w:t>
      </w:r>
      <w:r>
        <w:rPr>
          <w:rFonts w:ascii="黑体" w:eastAsia="黑体" w:hint="eastAsia"/>
          <w:sz w:val="21"/>
        </w:rPr>
        <w:t>酒、戒</w:t>
      </w:r>
      <w:r>
        <w:rPr>
          <w:rFonts w:ascii="黑体" w:eastAsia="黑体" w:hint="eastAsia"/>
          <w:spacing w:val="-5"/>
          <w:sz w:val="21"/>
        </w:rPr>
        <w:t>毒</w:t>
      </w:r>
      <w:r>
        <w:rPr>
          <w:rFonts w:ascii="黑体" w:eastAsia="黑体" w:hint="eastAsia"/>
          <w:sz w:val="21"/>
        </w:rPr>
        <w:t>或</w:t>
      </w:r>
      <w:r>
        <w:rPr>
          <w:rFonts w:ascii="黑体" w:eastAsia="黑体" w:hint="eastAsia"/>
          <w:spacing w:val="-5"/>
          <w:sz w:val="21"/>
        </w:rPr>
        <w:t>相</w:t>
      </w:r>
      <w:r>
        <w:rPr>
          <w:rFonts w:ascii="黑体" w:eastAsia="黑体" w:hint="eastAsia"/>
          <w:sz w:val="21"/>
        </w:rPr>
        <w:t>类似的医</w:t>
      </w:r>
      <w:r>
        <w:rPr>
          <w:rFonts w:ascii="黑体" w:eastAsia="黑体" w:hint="eastAsia"/>
          <w:spacing w:val="-5"/>
          <w:sz w:val="21"/>
        </w:rPr>
        <w:t>疗</w:t>
      </w:r>
      <w:r>
        <w:rPr>
          <w:rFonts w:ascii="黑体" w:eastAsia="黑体" w:hint="eastAsia"/>
          <w:sz w:val="21"/>
        </w:rPr>
        <w:t>机构。</w:t>
      </w:r>
    </w:p>
    <w:p>
      <w:pPr>
        <w:pStyle w:val="ListParagraph"/>
        <w:numPr>
          <w:ilvl w:val="1"/>
          <w:numId w:val="2"/>
        </w:numPr>
        <w:tabs>
          <w:tab w:pos="932" w:val="left" w:leader="none"/>
          <w:tab w:pos="933" w:val="left" w:leader="none"/>
          <w:tab w:pos="2511" w:val="left" w:leader="none"/>
        </w:tabs>
        <w:spacing w:line="240" w:lineRule="auto" w:before="130" w:after="0"/>
        <w:ind w:left="2512" w:right="0" w:hanging="2290"/>
        <w:jc w:val="left"/>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87"/>
          <w:sz w:val="21"/>
        </w:rPr>
        <w:t>，</w:t>
      </w:r>
      <w:r>
        <w:rPr>
          <w:sz w:val="21"/>
        </w:rPr>
        <w:t>而</w:t>
      </w:r>
      <w:r>
        <w:rPr>
          <w:spacing w:val="-5"/>
          <w:sz w:val="21"/>
        </w:rPr>
        <w:t>不</w:t>
      </w:r>
      <w:r>
        <w:rPr>
          <w:sz w:val="21"/>
        </w:rPr>
        <w:t>是指自</w:t>
      </w:r>
      <w:r>
        <w:rPr>
          <w:spacing w:val="-5"/>
          <w:sz w:val="21"/>
        </w:rPr>
        <w:t>保</w:t>
      </w:r>
      <w:r>
        <w:rPr>
          <w:sz w:val="21"/>
        </w:rPr>
        <w:t>险合同</w:t>
      </w:r>
    </w:p>
    <w:p>
      <w:pPr>
        <w:spacing w:after="0" w:line="240" w:lineRule="auto"/>
        <w:jc w:val="left"/>
        <w:rPr>
          <w:sz w:val="21"/>
        </w:rPr>
        <w:sectPr>
          <w:type w:val="continuous"/>
          <w:pgSz w:w="11900" w:h="16840"/>
          <w:pgMar w:top="700" w:bottom="280" w:left="80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668"/>
        <w:gridCol w:w="7478"/>
      </w:tblGrid>
      <w:tr>
        <w:trPr>
          <w:trHeight w:val="576" w:hRule="atLeast"/>
        </w:trPr>
        <w:tc>
          <w:tcPr>
            <w:tcW w:w="2284" w:type="dxa"/>
            <w:gridSpan w:val="2"/>
            <w:vMerge w:val="restart"/>
          </w:tcPr>
          <w:p>
            <w:pPr>
              <w:pStyle w:val="TableParagraph"/>
              <w:rPr>
                <w:rFonts w:ascii="Times New Roman"/>
                <w:sz w:val="20"/>
              </w:rPr>
            </w:pPr>
          </w:p>
        </w:tc>
        <w:tc>
          <w:tcPr>
            <w:tcW w:w="7478" w:type="dxa"/>
          </w:tcPr>
          <w:p>
            <w:pPr>
              <w:pStyle w:val="TableParagraph"/>
              <w:spacing w:line="230" w:lineRule="exact"/>
              <w:ind w:left="55"/>
              <w:rPr>
                <w:rFonts w:ascii="Times New Roman" w:eastAsia="Times New Roman"/>
                <w:sz w:val="21"/>
              </w:rPr>
            </w:pPr>
            <w:r>
              <w:rPr>
                <w:spacing w:val="-7"/>
                <w:sz w:val="21"/>
              </w:rPr>
              <w:t>生效、复效或等待期之后第一次经医院确诊患有某种疾病。例如，</w:t>
            </w:r>
            <w:r>
              <w:rPr>
                <w:rFonts w:ascii="Times New Roman" w:eastAsia="Times New Roman"/>
                <w:spacing w:val="-6"/>
                <w:sz w:val="21"/>
              </w:rPr>
              <w:t>2010 </w:t>
            </w:r>
            <w:r>
              <w:rPr>
                <w:spacing w:val="-22"/>
                <w:sz w:val="21"/>
              </w:rPr>
              <w:t>年 </w:t>
            </w:r>
            <w:r>
              <w:rPr>
                <w:rFonts w:ascii="Times New Roman" w:eastAsia="Times New Roman"/>
                <w:sz w:val="21"/>
              </w:rPr>
              <w:t>1 </w:t>
            </w:r>
            <w:r>
              <w:rPr>
                <w:spacing w:val="-22"/>
                <w:sz w:val="21"/>
              </w:rPr>
              <w:t>月 </w:t>
            </w:r>
            <w:r>
              <w:rPr>
                <w:rFonts w:ascii="Times New Roman" w:eastAsia="Times New Roman"/>
                <w:sz w:val="21"/>
              </w:rPr>
              <w:t>1</w:t>
            </w:r>
          </w:p>
          <w:p>
            <w:pPr>
              <w:pStyle w:val="TableParagraph"/>
              <w:spacing w:before="21"/>
              <w:ind w:left="55"/>
              <w:rPr>
                <w:sz w:val="21"/>
              </w:rPr>
            </w:pPr>
            <w:r>
              <w:rPr>
                <w:sz w:val="21"/>
              </w:rPr>
              <w:t>日保险合同生效，若：</w:t>
            </w:r>
          </w:p>
        </w:tc>
      </w:tr>
      <w:tr>
        <w:trPr>
          <w:trHeight w:val="627" w:hRule="atLeast"/>
        </w:trPr>
        <w:tc>
          <w:tcPr>
            <w:tcW w:w="2284" w:type="dxa"/>
            <w:gridSpan w:val="2"/>
            <w:vMerge/>
            <w:tcBorders>
              <w:top w:val="nil"/>
            </w:tcBorders>
          </w:tcPr>
          <w:p>
            <w:pPr>
              <w:rPr>
                <w:sz w:val="2"/>
                <w:szCs w:val="2"/>
              </w:rPr>
            </w:pPr>
          </w:p>
        </w:tc>
        <w:tc>
          <w:tcPr>
            <w:tcW w:w="7478" w:type="dxa"/>
          </w:tcPr>
          <w:p>
            <w:pPr>
              <w:pStyle w:val="TableParagraph"/>
              <w:spacing w:line="277" w:lineRule="exact"/>
              <w:ind w:left="55"/>
              <w:rPr>
                <w:sz w:val="21"/>
              </w:rPr>
            </w:pPr>
            <w:r>
              <w:rPr>
                <w:w w:val="100"/>
                <w:sz w:val="21"/>
              </w:rPr>
              <w:t>（</w:t>
            </w:r>
            <w:r>
              <w:rPr>
                <w:rFonts w:ascii="Times New Roman" w:hAnsi="Times New Roman" w:eastAsia="Times New Roman"/>
                <w:w w:val="100"/>
                <w:sz w:val="21"/>
              </w:rPr>
              <w:t>1</w:t>
            </w:r>
            <w:r>
              <w:rPr>
                <w:w w:val="100"/>
                <w:sz w:val="21"/>
              </w:rPr>
              <w:t>）</w:t>
            </w:r>
            <w:r>
              <w:rPr>
                <w:rFonts w:ascii="Times New Roman" w:hAnsi="Times New Roman" w:eastAsia="Times New Roman"/>
                <w:w w:val="100"/>
                <w:sz w:val="21"/>
              </w:rPr>
              <w:t>2009</w:t>
            </w:r>
            <w:r>
              <w:rPr>
                <w:rFonts w:ascii="Times New Roman" w:hAnsi="Times New Roman" w:eastAsia="Times New Roman"/>
                <w:spacing w:val="8"/>
                <w:sz w:val="21"/>
              </w:rPr>
              <w:t> </w:t>
            </w:r>
            <w:r>
              <w:rPr>
                <w:w w:val="100"/>
                <w:sz w:val="21"/>
              </w:rPr>
              <w:t>年</w:t>
            </w:r>
            <w:r>
              <w:rPr>
                <w:spacing w:val="-38"/>
                <w:sz w:val="21"/>
              </w:rPr>
              <w:t> </w:t>
            </w:r>
            <w:r>
              <w:rPr>
                <w:rFonts w:ascii="Times New Roman" w:hAnsi="Times New Roman" w:eastAsia="Times New Roman"/>
                <w:w w:val="100"/>
                <w:sz w:val="21"/>
              </w:rPr>
              <w:t>1</w:t>
            </w:r>
            <w:r>
              <w:rPr>
                <w:rFonts w:ascii="Times New Roman" w:hAnsi="Times New Roman" w:eastAsia="Times New Roman"/>
                <w:spacing w:val="13"/>
                <w:sz w:val="21"/>
              </w:rPr>
              <w:t> </w:t>
            </w:r>
            <w:r>
              <w:rPr>
                <w:w w:val="100"/>
                <w:sz w:val="21"/>
              </w:rPr>
              <w:t>月</w:t>
            </w:r>
            <w:r>
              <w:rPr>
                <w:spacing w:val="-43"/>
                <w:sz w:val="21"/>
              </w:rPr>
              <w:t> </w:t>
            </w:r>
            <w:r>
              <w:rPr>
                <w:rFonts w:ascii="Times New Roman" w:hAnsi="Times New Roman" w:eastAsia="Times New Roman"/>
                <w:w w:val="100"/>
                <w:sz w:val="21"/>
              </w:rPr>
              <w:t>1</w:t>
            </w:r>
            <w:r>
              <w:rPr>
                <w:rFonts w:ascii="Times New Roman" w:hAnsi="Times New Roman" w:eastAsia="Times New Roman"/>
                <w:spacing w:val="13"/>
                <w:sz w:val="21"/>
              </w:rPr>
              <w:t> </w:t>
            </w:r>
            <w:r>
              <w:rPr>
                <w:spacing w:val="-10"/>
                <w:w w:val="100"/>
                <w:sz w:val="21"/>
              </w:rPr>
              <w:t>日被保险人自出生后第一次经医院确诊罹患“恶性肿瘤”，</w:t>
            </w:r>
          </w:p>
          <w:p>
            <w:pPr>
              <w:pStyle w:val="TableParagraph"/>
              <w:spacing w:before="21"/>
              <w:ind w:left="55"/>
              <w:rPr>
                <w:sz w:val="21"/>
              </w:rPr>
            </w:pPr>
            <w:r>
              <w:rPr>
                <w:sz w:val="21"/>
              </w:rPr>
              <w:t>由于“初次确诊”发生在保险合同生效之前，因此不属于保险责任范围，本公司</w:t>
            </w:r>
          </w:p>
        </w:tc>
      </w:tr>
      <w:tr>
        <w:trPr>
          <w:trHeight w:val="308" w:hRule="atLeast"/>
        </w:trPr>
        <w:tc>
          <w:tcPr>
            <w:tcW w:w="2284" w:type="dxa"/>
            <w:gridSpan w:val="2"/>
            <w:vMerge/>
            <w:tcBorders>
              <w:top w:val="nil"/>
            </w:tcBorders>
          </w:tcPr>
          <w:p>
            <w:pPr>
              <w:rPr>
                <w:sz w:val="2"/>
                <w:szCs w:val="2"/>
              </w:rPr>
            </w:pPr>
          </w:p>
        </w:tc>
        <w:tc>
          <w:tcPr>
            <w:tcW w:w="7478" w:type="dxa"/>
          </w:tcPr>
          <w:p>
            <w:pPr>
              <w:pStyle w:val="TableParagraph"/>
              <w:spacing w:line="258" w:lineRule="exact"/>
              <w:ind w:left="55"/>
              <w:rPr>
                <w:sz w:val="21"/>
              </w:rPr>
            </w:pPr>
            <w:r>
              <w:rPr>
                <w:sz w:val="21"/>
              </w:rPr>
              <w:t>不承担保险责任；</w:t>
            </w:r>
          </w:p>
        </w:tc>
      </w:tr>
      <w:tr>
        <w:trPr>
          <w:trHeight w:val="936" w:hRule="atLeast"/>
        </w:trPr>
        <w:tc>
          <w:tcPr>
            <w:tcW w:w="2284" w:type="dxa"/>
            <w:gridSpan w:val="2"/>
            <w:vMerge/>
            <w:tcBorders>
              <w:top w:val="nil"/>
            </w:tcBorders>
          </w:tcPr>
          <w:p>
            <w:pPr>
              <w:rPr>
                <w:sz w:val="2"/>
                <w:szCs w:val="2"/>
              </w:rPr>
            </w:pPr>
          </w:p>
        </w:tc>
        <w:tc>
          <w:tcPr>
            <w:tcW w:w="7478" w:type="dxa"/>
          </w:tcPr>
          <w:p>
            <w:pPr>
              <w:pStyle w:val="TableParagraph"/>
              <w:spacing w:line="277" w:lineRule="exact"/>
              <w:ind w:left="55"/>
              <w:rPr>
                <w:sz w:val="21"/>
              </w:rPr>
            </w:pPr>
            <w:r>
              <w:rPr>
                <w:w w:val="100"/>
                <w:sz w:val="21"/>
              </w:rPr>
              <w:t>（</w:t>
            </w:r>
            <w:r>
              <w:rPr>
                <w:rFonts w:ascii="Times New Roman" w:hAnsi="Times New Roman" w:eastAsia="Times New Roman"/>
                <w:w w:val="100"/>
                <w:sz w:val="21"/>
              </w:rPr>
              <w:t>2</w:t>
            </w:r>
            <w:r>
              <w:rPr>
                <w:w w:val="100"/>
                <w:sz w:val="21"/>
              </w:rPr>
              <w:t>）</w:t>
            </w:r>
            <w:r>
              <w:rPr>
                <w:rFonts w:ascii="Times New Roman" w:hAnsi="Times New Roman" w:eastAsia="Times New Roman"/>
                <w:w w:val="100"/>
                <w:sz w:val="21"/>
              </w:rPr>
              <w:t>2010</w:t>
            </w:r>
            <w:r>
              <w:rPr>
                <w:rFonts w:ascii="Times New Roman" w:hAnsi="Times New Roman" w:eastAsia="Times New Roman"/>
                <w:spacing w:val="8"/>
                <w:sz w:val="21"/>
              </w:rPr>
              <w:t> </w:t>
            </w:r>
            <w:r>
              <w:rPr>
                <w:w w:val="100"/>
                <w:sz w:val="21"/>
              </w:rPr>
              <w:t>年</w:t>
            </w:r>
            <w:r>
              <w:rPr>
                <w:spacing w:val="-38"/>
                <w:sz w:val="21"/>
              </w:rPr>
              <w:t> </w:t>
            </w:r>
            <w:r>
              <w:rPr>
                <w:rFonts w:ascii="Times New Roman" w:hAnsi="Times New Roman" w:eastAsia="Times New Roman"/>
                <w:w w:val="100"/>
                <w:sz w:val="21"/>
              </w:rPr>
              <w:t>2</w:t>
            </w:r>
            <w:r>
              <w:rPr>
                <w:rFonts w:ascii="Times New Roman" w:hAnsi="Times New Roman" w:eastAsia="Times New Roman"/>
                <w:spacing w:val="13"/>
                <w:sz w:val="21"/>
              </w:rPr>
              <w:t> </w:t>
            </w:r>
            <w:r>
              <w:rPr>
                <w:w w:val="100"/>
                <w:sz w:val="21"/>
              </w:rPr>
              <w:t>月</w:t>
            </w:r>
            <w:r>
              <w:rPr>
                <w:spacing w:val="-43"/>
                <w:sz w:val="21"/>
              </w:rPr>
              <w:t> </w:t>
            </w:r>
            <w:r>
              <w:rPr>
                <w:rFonts w:ascii="Times New Roman" w:hAnsi="Times New Roman" w:eastAsia="Times New Roman"/>
                <w:w w:val="100"/>
                <w:sz w:val="21"/>
              </w:rPr>
              <w:t>2</w:t>
            </w:r>
            <w:r>
              <w:rPr>
                <w:rFonts w:ascii="Times New Roman" w:hAnsi="Times New Roman" w:eastAsia="Times New Roman"/>
                <w:spacing w:val="13"/>
                <w:sz w:val="21"/>
              </w:rPr>
              <w:t> </w:t>
            </w:r>
            <w:r>
              <w:rPr>
                <w:spacing w:val="-10"/>
                <w:w w:val="100"/>
                <w:sz w:val="21"/>
              </w:rPr>
              <w:t>日被保险人自出生后第一次经医院确诊罹患“恶性肿瘤”，</w:t>
            </w:r>
          </w:p>
          <w:p>
            <w:pPr>
              <w:pStyle w:val="TableParagraph"/>
              <w:spacing w:line="256" w:lineRule="auto" w:before="21"/>
              <w:ind w:left="55" w:right="153"/>
              <w:rPr>
                <w:sz w:val="21"/>
              </w:rPr>
            </w:pPr>
            <w:r>
              <w:rPr>
                <w:sz w:val="21"/>
              </w:rPr>
              <w:t>由于“初次确诊”发生在等待期（</w:t>
            </w:r>
            <w:r>
              <w:rPr>
                <w:rFonts w:ascii="Times New Roman" w:hAnsi="Times New Roman" w:eastAsia="Times New Roman"/>
                <w:sz w:val="21"/>
              </w:rPr>
              <w:t>90 </w:t>
            </w:r>
            <w:r>
              <w:rPr>
                <w:sz w:val="21"/>
              </w:rPr>
              <w:t>日）内，我们按投保人已交的本合同的保险费数额向重大疾病保险金受益人给付重大疾病保险金，保险合同终止；</w:t>
            </w:r>
          </w:p>
        </w:tc>
      </w:tr>
      <w:tr>
        <w:trPr>
          <w:trHeight w:val="627" w:hRule="atLeast"/>
        </w:trPr>
        <w:tc>
          <w:tcPr>
            <w:tcW w:w="2284" w:type="dxa"/>
            <w:gridSpan w:val="2"/>
            <w:vMerge/>
            <w:tcBorders>
              <w:top w:val="nil"/>
            </w:tcBorders>
          </w:tcPr>
          <w:p>
            <w:pPr>
              <w:rPr>
                <w:sz w:val="2"/>
                <w:szCs w:val="2"/>
              </w:rPr>
            </w:pPr>
          </w:p>
        </w:tc>
        <w:tc>
          <w:tcPr>
            <w:tcW w:w="7478" w:type="dxa"/>
          </w:tcPr>
          <w:p>
            <w:pPr>
              <w:pStyle w:val="TableParagraph"/>
              <w:spacing w:line="277" w:lineRule="exact"/>
              <w:ind w:left="55"/>
              <w:rPr>
                <w:sz w:val="21"/>
              </w:rPr>
            </w:pPr>
            <w:r>
              <w:rPr>
                <w:w w:val="100"/>
                <w:sz w:val="21"/>
              </w:rPr>
              <w:t>（</w:t>
            </w:r>
            <w:r>
              <w:rPr>
                <w:rFonts w:ascii="Times New Roman" w:hAnsi="Times New Roman" w:eastAsia="Times New Roman"/>
                <w:w w:val="100"/>
                <w:sz w:val="21"/>
              </w:rPr>
              <w:t>3</w:t>
            </w:r>
            <w:r>
              <w:rPr>
                <w:w w:val="100"/>
                <w:sz w:val="21"/>
              </w:rPr>
              <w:t>）</w:t>
            </w:r>
            <w:r>
              <w:rPr>
                <w:rFonts w:ascii="Times New Roman" w:hAnsi="Times New Roman" w:eastAsia="Times New Roman"/>
                <w:w w:val="100"/>
                <w:sz w:val="21"/>
              </w:rPr>
              <w:t>2010</w:t>
            </w:r>
            <w:r>
              <w:rPr>
                <w:rFonts w:ascii="Times New Roman" w:hAnsi="Times New Roman" w:eastAsia="Times New Roman"/>
                <w:spacing w:val="8"/>
                <w:sz w:val="21"/>
              </w:rPr>
              <w:t> </w:t>
            </w:r>
            <w:r>
              <w:rPr>
                <w:w w:val="100"/>
                <w:sz w:val="21"/>
              </w:rPr>
              <w:t>年</w:t>
            </w:r>
            <w:r>
              <w:rPr>
                <w:spacing w:val="-38"/>
                <w:sz w:val="21"/>
              </w:rPr>
              <w:t> </w:t>
            </w:r>
            <w:r>
              <w:rPr>
                <w:rFonts w:ascii="Times New Roman" w:hAnsi="Times New Roman" w:eastAsia="Times New Roman"/>
                <w:w w:val="100"/>
                <w:sz w:val="21"/>
              </w:rPr>
              <w:t>5</w:t>
            </w:r>
            <w:r>
              <w:rPr>
                <w:rFonts w:ascii="Times New Roman" w:hAnsi="Times New Roman" w:eastAsia="Times New Roman"/>
                <w:spacing w:val="13"/>
                <w:sz w:val="21"/>
              </w:rPr>
              <w:t> </w:t>
            </w:r>
            <w:r>
              <w:rPr>
                <w:w w:val="100"/>
                <w:sz w:val="21"/>
              </w:rPr>
              <w:t>月</w:t>
            </w:r>
            <w:r>
              <w:rPr>
                <w:spacing w:val="-43"/>
                <w:sz w:val="21"/>
              </w:rPr>
              <w:t> </w:t>
            </w:r>
            <w:r>
              <w:rPr>
                <w:rFonts w:ascii="Times New Roman" w:hAnsi="Times New Roman" w:eastAsia="Times New Roman"/>
                <w:w w:val="100"/>
                <w:sz w:val="21"/>
              </w:rPr>
              <w:t>2</w:t>
            </w:r>
            <w:r>
              <w:rPr>
                <w:rFonts w:ascii="Times New Roman" w:hAnsi="Times New Roman" w:eastAsia="Times New Roman"/>
                <w:spacing w:val="13"/>
                <w:sz w:val="21"/>
              </w:rPr>
              <w:t> </w:t>
            </w:r>
            <w:r>
              <w:rPr>
                <w:spacing w:val="-10"/>
                <w:w w:val="100"/>
                <w:sz w:val="21"/>
              </w:rPr>
              <w:t>日被保险人自出生后第一次经医院确诊罹患“恶性肿瘤”，</w:t>
            </w:r>
          </w:p>
          <w:p>
            <w:pPr>
              <w:pStyle w:val="TableParagraph"/>
              <w:spacing w:before="21"/>
              <w:ind w:left="55"/>
              <w:rPr>
                <w:sz w:val="21"/>
              </w:rPr>
            </w:pPr>
            <w:r>
              <w:rPr>
                <w:sz w:val="21"/>
              </w:rPr>
              <w:t>由于“初次确诊”发生在等待期后，我们按本合同的保险金额向重大疾病保险金</w:t>
            </w:r>
          </w:p>
        </w:tc>
      </w:tr>
      <w:tr>
        <w:trPr>
          <w:trHeight w:val="398" w:hRule="atLeast"/>
        </w:trPr>
        <w:tc>
          <w:tcPr>
            <w:tcW w:w="2284" w:type="dxa"/>
            <w:gridSpan w:val="2"/>
            <w:vMerge/>
            <w:tcBorders>
              <w:top w:val="nil"/>
            </w:tcBorders>
          </w:tcPr>
          <w:p>
            <w:pPr>
              <w:rPr>
                <w:sz w:val="2"/>
                <w:szCs w:val="2"/>
              </w:rPr>
            </w:pPr>
          </w:p>
        </w:tc>
        <w:tc>
          <w:tcPr>
            <w:tcW w:w="7478" w:type="dxa"/>
          </w:tcPr>
          <w:p>
            <w:pPr>
              <w:pStyle w:val="TableParagraph"/>
              <w:spacing w:line="258" w:lineRule="exact"/>
              <w:ind w:left="55"/>
              <w:rPr>
                <w:sz w:val="21"/>
              </w:rPr>
            </w:pPr>
            <w:r>
              <w:rPr>
                <w:sz w:val="21"/>
              </w:rPr>
              <w:t>受益人给付重大疾病保险金，保险合同终止。</w:t>
            </w:r>
          </w:p>
        </w:tc>
      </w:tr>
      <w:tr>
        <w:trPr>
          <w:trHeight w:val="398" w:hRule="atLeast"/>
        </w:trPr>
        <w:tc>
          <w:tcPr>
            <w:tcW w:w="616" w:type="dxa"/>
          </w:tcPr>
          <w:p>
            <w:pPr>
              <w:pStyle w:val="TableParagraph"/>
              <w:spacing w:before="3"/>
              <w:ind w:left="50"/>
              <w:rPr>
                <w:rFonts w:ascii="Microsoft JhengHei"/>
                <w:b/>
                <w:sz w:val="21"/>
              </w:rPr>
            </w:pPr>
            <w:r>
              <w:rPr>
                <w:rFonts w:ascii="Microsoft JhengHei"/>
                <w:b/>
                <w:w w:val="84"/>
                <w:sz w:val="21"/>
              </w:rPr>
              <w:t>8</w:t>
            </w:r>
            <w:r>
              <w:rPr>
                <w:rFonts w:ascii="Microsoft JhengHei"/>
                <w:b/>
                <w:w w:val="197"/>
                <w:sz w:val="21"/>
              </w:rPr>
              <w:t>.</w:t>
            </w:r>
            <w:r>
              <w:rPr>
                <w:rFonts w:ascii="Microsoft JhengHei"/>
                <w:b/>
                <w:w w:val="84"/>
                <w:sz w:val="21"/>
              </w:rPr>
              <w:t>4</w:t>
            </w:r>
          </w:p>
        </w:tc>
        <w:tc>
          <w:tcPr>
            <w:tcW w:w="1668" w:type="dxa"/>
          </w:tcPr>
          <w:p>
            <w:pPr>
              <w:pStyle w:val="TableParagraph"/>
              <w:spacing w:before="3"/>
              <w:ind w:left="144"/>
              <w:rPr>
                <w:rFonts w:ascii="Microsoft JhengHei" w:eastAsia="Microsoft JhengHei" w:hint="eastAsia"/>
                <w:b/>
                <w:sz w:val="21"/>
              </w:rPr>
            </w:pPr>
            <w:r>
              <w:rPr>
                <w:rFonts w:ascii="Microsoft JhengHei" w:eastAsia="Microsoft JhengHei" w:hint="eastAsia"/>
                <w:b/>
                <w:sz w:val="21"/>
              </w:rPr>
              <w:t>意外伤害</w:t>
            </w:r>
          </w:p>
        </w:tc>
        <w:tc>
          <w:tcPr>
            <w:tcW w:w="7478" w:type="dxa"/>
          </w:tcPr>
          <w:p>
            <w:pPr>
              <w:pStyle w:val="TableParagraph"/>
              <w:spacing w:before="69"/>
              <w:ind w:left="55"/>
              <w:rPr>
                <w:sz w:val="21"/>
              </w:rPr>
            </w:pPr>
            <w:r>
              <w:rPr>
                <w:sz w:val="21"/>
              </w:rPr>
              <w:t>指外来的、突然的、非本意的、非疾病的使被保险人身体受到伤害的客观事件，</w:t>
            </w:r>
          </w:p>
        </w:tc>
      </w:tr>
      <w:tr>
        <w:trPr>
          <w:trHeight w:val="312"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rFonts w:ascii="黑体" w:eastAsia="黑体" w:hint="eastAsia"/>
                <w:sz w:val="21"/>
              </w:rPr>
            </w:pPr>
            <w:r>
              <w:rPr>
                <w:sz w:val="21"/>
              </w:rPr>
              <w:t>并以此客观事件为直接且单独原因导致被保险人身体蒙受伤害或身故</w:t>
            </w:r>
            <w:r>
              <w:rPr>
                <w:rFonts w:ascii="黑体" w:eastAsia="黑体" w:hint="eastAsia"/>
                <w:sz w:val="21"/>
              </w:rPr>
              <w:t>,猝死不属</w:t>
            </w:r>
          </w:p>
        </w:tc>
      </w:tr>
      <w:tr>
        <w:trPr>
          <w:trHeight w:val="395"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rFonts w:ascii="黑体" w:eastAsia="黑体" w:hint="eastAsia"/>
                <w:sz w:val="21"/>
              </w:rPr>
            </w:pPr>
            <w:r>
              <w:rPr>
                <w:rFonts w:ascii="黑体" w:eastAsia="黑体" w:hint="eastAsia"/>
                <w:sz w:val="21"/>
              </w:rPr>
              <w:t>于意外伤害。</w:t>
            </w:r>
          </w:p>
        </w:tc>
      </w:tr>
      <w:tr>
        <w:trPr>
          <w:trHeight w:val="395" w:hRule="atLeast"/>
        </w:trPr>
        <w:tc>
          <w:tcPr>
            <w:tcW w:w="616" w:type="dxa"/>
          </w:tcPr>
          <w:p>
            <w:pPr>
              <w:pStyle w:val="TableParagraph"/>
              <w:ind w:left="50"/>
              <w:rPr>
                <w:rFonts w:ascii="Microsoft JhengHei"/>
                <w:b/>
                <w:sz w:val="21"/>
              </w:rPr>
            </w:pPr>
            <w:r>
              <w:rPr>
                <w:rFonts w:ascii="Microsoft JhengHei"/>
                <w:b/>
                <w:w w:val="84"/>
                <w:sz w:val="21"/>
              </w:rPr>
              <w:t>8</w:t>
            </w:r>
            <w:r>
              <w:rPr>
                <w:rFonts w:ascii="Microsoft JhengHei"/>
                <w:b/>
                <w:w w:val="197"/>
                <w:sz w:val="21"/>
              </w:rPr>
              <w:t>.</w:t>
            </w:r>
            <w:r>
              <w:rPr>
                <w:rFonts w:ascii="Microsoft JhengHei"/>
                <w:b/>
                <w:w w:val="84"/>
                <w:sz w:val="21"/>
              </w:rPr>
              <w:t>5</w:t>
            </w:r>
          </w:p>
        </w:tc>
        <w:tc>
          <w:tcPr>
            <w:tcW w:w="1668" w:type="dxa"/>
          </w:tcPr>
          <w:p>
            <w:pPr>
              <w:pStyle w:val="TableParagraph"/>
              <w:ind w:left="144"/>
              <w:rPr>
                <w:rFonts w:ascii="Microsoft JhengHei" w:eastAsia="Microsoft JhengHei" w:hint="eastAsia"/>
                <w:b/>
                <w:sz w:val="21"/>
              </w:rPr>
            </w:pPr>
            <w:r>
              <w:rPr>
                <w:rFonts w:ascii="Microsoft JhengHei" w:eastAsia="Microsoft JhengHei" w:hint="eastAsia"/>
                <w:b/>
                <w:sz w:val="21"/>
              </w:rPr>
              <w:t>毒品</w:t>
            </w:r>
          </w:p>
        </w:tc>
        <w:tc>
          <w:tcPr>
            <w:tcW w:w="7478" w:type="dxa"/>
          </w:tcPr>
          <w:p>
            <w:pPr>
              <w:pStyle w:val="TableParagraph"/>
              <w:spacing w:before="67"/>
              <w:ind w:left="55"/>
              <w:rPr>
                <w:sz w:val="21"/>
              </w:rPr>
            </w:pPr>
            <w:r>
              <w:rPr>
                <w:spacing w:val="-7"/>
                <w:sz w:val="21"/>
              </w:rPr>
              <w:t>指中华人民共和国刑法规定的鸦片、海洛因、甲基苯丙胺</w:t>
            </w:r>
            <w:r>
              <w:rPr>
                <w:sz w:val="21"/>
              </w:rPr>
              <w:t>（冰毒</w:t>
            </w:r>
            <w:r>
              <w:rPr>
                <w:spacing w:val="-106"/>
                <w:sz w:val="21"/>
              </w:rPr>
              <w:t>）</w:t>
            </w:r>
            <w:r>
              <w:rPr>
                <w:spacing w:val="-8"/>
                <w:sz w:val="21"/>
              </w:rPr>
              <w:t>、吗啡、大麻、</w:t>
            </w:r>
          </w:p>
        </w:tc>
      </w:tr>
      <w:tr>
        <w:trPr>
          <w:trHeight w:val="312"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可卡因以及国家规定管制的其他能够使人形成瘾癖的麻醉药品和精神药品，但不</w:t>
            </w:r>
          </w:p>
        </w:tc>
      </w:tr>
      <w:tr>
        <w:trPr>
          <w:trHeight w:val="396"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包括由医生开具并遵医嘱使用的用于治疗疾病但含有毒品成分的处方药品。</w:t>
            </w:r>
          </w:p>
        </w:tc>
      </w:tr>
      <w:tr>
        <w:trPr>
          <w:trHeight w:val="395" w:hRule="atLeast"/>
        </w:trPr>
        <w:tc>
          <w:tcPr>
            <w:tcW w:w="616" w:type="dxa"/>
          </w:tcPr>
          <w:p>
            <w:pPr>
              <w:pStyle w:val="TableParagraph"/>
              <w:ind w:left="50"/>
              <w:rPr>
                <w:rFonts w:ascii="Microsoft JhengHei"/>
                <w:b/>
                <w:sz w:val="21"/>
              </w:rPr>
            </w:pPr>
            <w:r>
              <w:rPr>
                <w:rFonts w:ascii="Microsoft JhengHei"/>
                <w:b/>
                <w:w w:val="84"/>
                <w:sz w:val="21"/>
              </w:rPr>
              <w:t>8</w:t>
            </w:r>
            <w:r>
              <w:rPr>
                <w:rFonts w:ascii="Microsoft JhengHei"/>
                <w:b/>
                <w:w w:val="197"/>
                <w:sz w:val="21"/>
              </w:rPr>
              <w:t>.</w:t>
            </w:r>
            <w:r>
              <w:rPr>
                <w:rFonts w:ascii="Microsoft JhengHei"/>
                <w:b/>
                <w:w w:val="84"/>
                <w:sz w:val="21"/>
              </w:rPr>
              <w:t>6</w:t>
            </w:r>
          </w:p>
        </w:tc>
        <w:tc>
          <w:tcPr>
            <w:tcW w:w="1668" w:type="dxa"/>
          </w:tcPr>
          <w:p>
            <w:pPr>
              <w:pStyle w:val="TableParagraph"/>
              <w:ind w:left="144"/>
              <w:rPr>
                <w:rFonts w:ascii="Microsoft JhengHei" w:eastAsia="Microsoft JhengHei" w:hint="eastAsia"/>
                <w:b/>
                <w:sz w:val="21"/>
              </w:rPr>
            </w:pPr>
            <w:r>
              <w:rPr>
                <w:rFonts w:ascii="Microsoft JhengHei" w:eastAsia="Microsoft JhengHei" w:hint="eastAsia"/>
                <w:b/>
                <w:sz w:val="21"/>
              </w:rPr>
              <w:t>酒后驾驶</w:t>
            </w:r>
          </w:p>
        </w:tc>
        <w:tc>
          <w:tcPr>
            <w:tcW w:w="7478" w:type="dxa"/>
          </w:tcPr>
          <w:p>
            <w:pPr>
              <w:pStyle w:val="TableParagraph"/>
              <w:spacing w:before="67"/>
              <w:ind w:left="55"/>
              <w:rPr>
                <w:sz w:val="21"/>
              </w:rPr>
            </w:pPr>
            <w:r>
              <w:rPr>
                <w:sz w:val="21"/>
              </w:rPr>
              <w:t>指经检测或鉴定，发生事故时车辆驾驶人员每百毫升血液中的酒精含量达到或超</w:t>
            </w:r>
          </w:p>
        </w:tc>
      </w:tr>
      <w:tr>
        <w:trPr>
          <w:trHeight w:val="312"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过一定的标准，公安机关交通管理部门依据《道路交通安全法》的规定认定为饮</w:t>
            </w:r>
          </w:p>
        </w:tc>
      </w:tr>
      <w:tr>
        <w:trPr>
          <w:trHeight w:val="398"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酒后驾驶或醉酒后驾驶。</w:t>
            </w:r>
          </w:p>
        </w:tc>
      </w:tr>
      <w:tr>
        <w:trPr>
          <w:trHeight w:val="398" w:hRule="atLeast"/>
        </w:trPr>
        <w:tc>
          <w:tcPr>
            <w:tcW w:w="616" w:type="dxa"/>
          </w:tcPr>
          <w:p>
            <w:pPr>
              <w:pStyle w:val="TableParagraph"/>
              <w:spacing w:before="3"/>
              <w:ind w:left="50"/>
              <w:rPr>
                <w:rFonts w:ascii="Microsoft JhengHei"/>
                <w:b/>
                <w:sz w:val="21"/>
              </w:rPr>
            </w:pPr>
            <w:r>
              <w:rPr>
                <w:rFonts w:ascii="Microsoft JhengHei"/>
                <w:b/>
                <w:w w:val="105"/>
                <w:sz w:val="21"/>
              </w:rPr>
              <w:t>8.7</w:t>
            </w:r>
          </w:p>
        </w:tc>
        <w:tc>
          <w:tcPr>
            <w:tcW w:w="1668" w:type="dxa"/>
          </w:tcPr>
          <w:p>
            <w:pPr>
              <w:pStyle w:val="TableParagraph"/>
              <w:spacing w:before="3"/>
              <w:ind w:left="144"/>
              <w:rPr>
                <w:rFonts w:ascii="Microsoft JhengHei" w:eastAsia="Microsoft JhengHei" w:hint="eastAsia"/>
                <w:b/>
                <w:sz w:val="21"/>
              </w:rPr>
            </w:pPr>
            <w:r>
              <w:rPr>
                <w:rFonts w:ascii="Microsoft JhengHei" w:eastAsia="Microsoft JhengHei" w:hint="eastAsia"/>
                <w:b/>
                <w:sz w:val="21"/>
              </w:rPr>
              <w:t>无合法有效驾</w:t>
            </w:r>
          </w:p>
        </w:tc>
        <w:tc>
          <w:tcPr>
            <w:tcW w:w="7478" w:type="dxa"/>
          </w:tcPr>
          <w:p>
            <w:pPr>
              <w:pStyle w:val="TableParagraph"/>
              <w:spacing w:before="69"/>
              <w:ind w:left="55"/>
              <w:rPr>
                <w:sz w:val="21"/>
              </w:rPr>
            </w:pPr>
            <w:r>
              <w:rPr>
                <w:sz w:val="21"/>
              </w:rPr>
              <w:t>指下列情形之一：</w:t>
            </w:r>
          </w:p>
        </w:tc>
      </w:tr>
      <w:tr>
        <w:trPr>
          <w:trHeight w:val="311" w:hRule="atLeast"/>
        </w:trPr>
        <w:tc>
          <w:tcPr>
            <w:tcW w:w="616" w:type="dxa"/>
          </w:tcPr>
          <w:p>
            <w:pPr>
              <w:pStyle w:val="TableParagraph"/>
              <w:rPr>
                <w:rFonts w:ascii="Times New Roman"/>
                <w:sz w:val="20"/>
              </w:rPr>
            </w:pPr>
          </w:p>
        </w:tc>
        <w:tc>
          <w:tcPr>
            <w:tcW w:w="1668" w:type="dxa"/>
          </w:tcPr>
          <w:p>
            <w:pPr>
              <w:pStyle w:val="TableParagraph"/>
              <w:spacing w:line="282" w:lineRule="exact"/>
              <w:ind w:left="144"/>
              <w:rPr>
                <w:rFonts w:ascii="Microsoft JhengHei" w:eastAsia="Microsoft JhengHei" w:hint="eastAsia"/>
                <w:b/>
                <w:sz w:val="21"/>
              </w:rPr>
            </w:pPr>
            <w:r>
              <w:rPr>
                <w:rFonts w:ascii="Microsoft JhengHei" w:eastAsia="Microsoft JhengHei" w:hint="eastAsia"/>
                <w:b/>
                <w:sz w:val="21"/>
              </w:rPr>
              <w:t>驶证驾驶</w:t>
            </w:r>
          </w:p>
        </w:tc>
        <w:tc>
          <w:tcPr>
            <w:tcW w:w="7478" w:type="dxa"/>
          </w:tcPr>
          <w:p>
            <w:pPr>
              <w:pStyle w:val="TableParagraph"/>
              <w:spacing w:line="258" w:lineRule="exact"/>
              <w:ind w:left="55"/>
              <w:rPr>
                <w:sz w:val="21"/>
              </w:rPr>
            </w:pPr>
            <w:r>
              <w:rPr>
                <w:sz w:val="21"/>
              </w:rPr>
              <w:t>（1） 没有驾驶证驾驶；</w:t>
            </w:r>
          </w:p>
        </w:tc>
      </w:tr>
      <w:tr>
        <w:trPr>
          <w:trHeight w:val="311"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（2）  驾驶与驾驶证准驾车型不相符合的车辆；</w:t>
            </w:r>
          </w:p>
        </w:tc>
      </w:tr>
      <w:tr>
        <w:trPr>
          <w:trHeight w:val="312"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（3）  持未审验或审验不合格的驾驶证驾驶；</w:t>
            </w:r>
          </w:p>
        </w:tc>
      </w:tr>
      <w:tr>
        <w:trPr>
          <w:trHeight w:val="312"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（4）  持学习驾驶证学习驾车时，无教练员随车指导，或不按指定时间、路线</w:t>
            </w:r>
          </w:p>
        </w:tc>
      </w:tr>
      <w:tr>
        <w:trPr>
          <w:trHeight w:val="395"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775"/>
              <w:rPr>
                <w:sz w:val="21"/>
              </w:rPr>
            </w:pPr>
            <w:r>
              <w:rPr>
                <w:sz w:val="21"/>
              </w:rPr>
              <w:t>学习驾车。</w:t>
            </w:r>
          </w:p>
        </w:tc>
      </w:tr>
      <w:tr>
        <w:trPr>
          <w:trHeight w:val="396" w:hRule="atLeast"/>
        </w:trPr>
        <w:tc>
          <w:tcPr>
            <w:tcW w:w="616" w:type="dxa"/>
          </w:tcPr>
          <w:p>
            <w:pPr>
              <w:pStyle w:val="TableParagraph"/>
              <w:ind w:left="50"/>
              <w:rPr>
                <w:rFonts w:ascii="Microsoft JhengHei"/>
                <w:b/>
                <w:sz w:val="21"/>
              </w:rPr>
            </w:pPr>
            <w:r>
              <w:rPr>
                <w:rFonts w:ascii="Microsoft JhengHei"/>
                <w:b/>
                <w:w w:val="105"/>
                <w:sz w:val="21"/>
              </w:rPr>
              <w:t>8.8</w:t>
            </w:r>
          </w:p>
        </w:tc>
        <w:tc>
          <w:tcPr>
            <w:tcW w:w="1668" w:type="dxa"/>
          </w:tcPr>
          <w:p>
            <w:pPr>
              <w:pStyle w:val="TableParagraph"/>
              <w:ind w:left="144"/>
              <w:rPr>
                <w:rFonts w:ascii="Microsoft JhengHei" w:eastAsia="Microsoft JhengHei" w:hint="eastAsia"/>
                <w:b/>
                <w:sz w:val="21"/>
              </w:rPr>
            </w:pPr>
            <w:r>
              <w:rPr>
                <w:rFonts w:ascii="Microsoft JhengHei" w:eastAsia="Microsoft JhengHei" w:hint="eastAsia"/>
                <w:b/>
                <w:sz w:val="21"/>
              </w:rPr>
              <w:t>无有效行驶证</w:t>
            </w:r>
          </w:p>
        </w:tc>
        <w:tc>
          <w:tcPr>
            <w:tcW w:w="7478" w:type="dxa"/>
          </w:tcPr>
          <w:p>
            <w:pPr>
              <w:pStyle w:val="TableParagraph"/>
              <w:spacing w:before="67"/>
              <w:ind w:left="55"/>
              <w:rPr>
                <w:sz w:val="21"/>
              </w:rPr>
            </w:pPr>
            <w:r>
              <w:rPr>
                <w:sz w:val="21"/>
              </w:rPr>
              <w:t>指下列情形之一：</w:t>
            </w:r>
          </w:p>
        </w:tc>
      </w:tr>
      <w:tr>
        <w:trPr>
          <w:trHeight w:val="311"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（1）机动车被依法注销登记的；</w:t>
            </w:r>
          </w:p>
        </w:tc>
      </w:tr>
      <w:tr>
        <w:trPr>
          <w:trHeight w:val="398"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（2）未依法按时进行或通过机动车安全技术检验。</w:t>
            </w:r>
          </w:p>
        </w:tc>
      </w:tr>
      <w:tr>
        <w:trPr>
          <w:trHeight w:val="398" w:hRule="atLeast"/>
        </w:trPr>
        <w:tc>
          <w:tcPr>
            <w:tcW w:w="616" w:type="dxa"/>
          </w:tcPr>
          <w:p>
            <w:pPr>
              <w:pStyle w:val="TableParagraph"/>
              <w:spacing w:before="3"/>
              <w:ind w:left="50"/>
              <w:rPr>
                <w:rFonts w:ascii="Microsoft JhengHei"/>
                <w:b/>
                <w:sz w:val="21"/>
              </w:rPr>
            </w:pPr>
            <w:r>
              <w:rPr>
                <w:rFonts w:ascii="Microsoft JhengHei"/>
                <w:b/>
                <w:w w:val="105"/>
                <w:sz w:val="21"/>
              </w:rPr>
              <w:t>8.9</w:t>
            </w:r>
          </w:p>
        </w:tc>
        <w:tc>
          <w:tcPr>
            <w:tcW w:w="1668" w:type="dxa"/>
          </w:tcPr>
          <w:p>
            <w:pPr>
              <w:pStyle w:val="TableParagraph"/>
              <w:spacing w:before="3"/>
              <w:ind w:left="144"/>
              <w:rPr>
                <w:rFonts w:ascii="Microsoft JhengHei" w:eastAsia="Microsoft JhengHei" w:hint="eastAsia"/>
                <w:b/>
                <w:sz w:val="21"/>
              </w:rPr>
            </w:pPr>
            <w:r>
              <w:rPr>
                <w:rFonts w:ascii="Microsoft JhengHei" w:eastAsia="Microsoft JhengHei" w:hint="eastAsia"/>
                <w:b/>
                <w:sz w:val="21"/>
              </w:rPr>
              <w:t>机动车</w:t>
            </w:r>
          </w:p>
        </w:tc>
        <w:tc>
          <w:tcPr>
            <w:tcW w:w="7478" w:type="dxa"/>
          </w:tcPr>
          <w:p>
            <w:pPr>
              <w:pStyle w:val="TableParagraph"/>
              <w:spacing w:before="69"/>
              <w:ind w:left="55"/>
              <w:rPr>
                <w:sz w:val="21"/>
              </w:rPr>
            </w:pPr>
            <w:r>
              <w:rPr>
                <w:sz w:val="21"/>
              </w:rPr>
              <w:t>指以动力装置驱动或者牵引，上道路行驶的供人员乘用或者用于运送物品以及进</w:t>
            </w:r>
          </w:p>
        </w:tc>
      </w:tr>
      <w:tr>
        <w:trPr>
          <w:trHeight w:val="396"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行工程专项作业的轮式车辆。</w:t>
            </w:r>
          </w:p>
        </w:tc>
      </w:tr>
      <w:tr>
        <w:trPr>
          <w:trHeight w:val="395" w:hRule="atLeast"/>
        </w:trPr>
        <w:tc>
          <w:tcPr>
            <w:tcW w:w="616" w:type="dxa"/>
          </w:tcPr>
          <w:p>
            <w:pPr>
              <w:pStyle w:val="TableParagraph"/>
              <w:ind w:left="50"/>
              <w:rPr>
                <w:rFonts w:ascii="Microsoft JhengHei"/>
                <w:b/>
                <w:sz w:val="21"/>
              </w:rPr>
            </w:pPr>
            <w:r>
              <w:rPr>
                <w:rFonts w:ascii="Microsoft JhengHei"/>
                <w:b/>
                <w:sz w:val="21"/>
              </w:rPr>
              <w:t>8.10</w:t>
            </w:r>
          </w:p>
        </w:tc>
        <w:tc>
          <w:tcPr>
            <w:tcW w:w="1668" w:type="dxa"/>
          </w:tcPr>
          <w:p>
            <w:pPr>
              <w:pStyle w:val="TableParagraph"/>
              <w:ind w:left="144"/>
              <w:rPr>
                <w:rFonts w:ascii="Microsoft JhengHei" w:eastAsia="Microsoft JhengHei" w:hint="eastAsia"/>
                <w:b/>
                <w:sz w:val="21"/>
              </w:rPr>
            </w:pPr>
            <w:r>
              <w:rPr>
                <w:rFonts w:ascii="Microsoft JhengHei" w:eastAsia="Microsoft JhengHei" w:hint="eastAsia"/>
                <w:b/>
                <w:sz w:val="21"/>
              </w:rPr>
              <w:t>遗传性疾病</w:t>
            </w:r>
          </w:p>
        </w:tc>
        <w:tc>
          <w:tcPr>
            <w:tcW w:w="7478" w:type="dxa"/>
          </w:tcPr>
          <w:p>
            <w:pPr>
              <w:pStyle w:val="TableParagraph"/>
              <w:spacing w:before="67"/>
              <w:ind w:left="55"/>
              <w:rPr>
                <w:sz w:val="21"/>
              </w:rPr>
            </w:pPr>
            <w:r>
              <w:rPr>
                <w:spacing w:val="-10"/>
                <w:sz w:val="21"/>
              </w:rPr>
              <w:t>指生殖细胞或受精卵的遗传物质</w:t>
            </w:r>
            <w:r>
              <w:rPr>
                <w:sz w:val="21"/>
              </w:rPr>
              <w:t>（</w:t>
            </w:r>
            <w:r>
              <w:rPr>
                <w:spacing w:val="-3"/>
                <w:sz w:val="21"/>
              </w:rPr>
              <w:t>染色体和基因</w:t>
            </w:r>
            <w:r>
              <w:rPr>
                <w:spacing w:val="-96"/>
                <w:sz w:val="21"/>
              </w:rPr>
              <w:t>）</w:t>
            </w:r>
            <w:r>
              <w:rPr>
                <w:spacing w:val="-4"/>
                <w:sz w:val="21"/>
              </w:rPr>
              <w:t>发生突变或畸变所引起的疾病，</w:t>
            </w:r>
          </w:p>
        </w:tc>
      </w:tr>
      <w:tr>
        <w:trPr>
          <w:trHeight w:val="398" w:hRule="atLeast"/>
        </w:trPr>
        <w:tc>
          <w:tcPr>
            <w:tcW w:w="616" w:type="dxa"/>
          </w:tcPr>
          <w:p>
            <w:pPr>
              <w:pStyle w:val="TableParagraph"/>
              <w:rPr>
                <w:rFonts w:ascii="Times New Roman"/>
                <w:sz w:val="20"/>
              </w:rPr>
            </w:pPr>
          </w:p>
        </w:tc>
        <w:tc>
          <w:tcPr>
            <w:tcW w:w="1668" w:type="dxa"/>
          </w:tcPr>
          <w:p>
            <w:pPr>
              <w:pStyle w:val="TableParagraph"/>
              <w:rPr>
                <w:rFonts w:ascii="Times New Roman"/>
                <w:sz w:val="20"/>
              </w:rPr>
            </w:pPr>
          </w:p>
        </w:tc>
        <w:tc>
          <w:tcPr>
            <w:tcW w:w="7478" w:type="dxa"/>
          </w:tcPr>
          <w:p>
            <w:pPr>
              <w:pStyle w:val="TableParagraph"/>
              <w:spacing w:line="258" w:lineRule="exact"/>
              <w:ind w:left="55"/>
              <w:rPr>
                <w:sz w:val="21"/>
              </w:rPr>
            </w:pPr>
            <w:r>
              <w:rPr>
                <w:sz w:val="21"/>
              </w:rPr>
              <w:t>通常具有由亲代传至后代的垂直传递的特征。</w:t>
            </w:r>
          </w:p>
        </w:tc>
      </w:tr>
      <w:tr>
        <w:trPr>
          <w:trHeight w:val="398" w:hRule="atLeast"/>
        </w:trPr>
        <w:tc>
          <w:tcPr>
            <w:tcW w:w="616" w:type="dxa"/>
          </w:tcPr>
          <w:p>
            <w:pPr>
              <w:pStyle w:val="TableParagraph"/>
              <w:spacing w:before="3"/>
              <w:ind w:left="50"/>
              <w:rPr>
                <w:rFonts w:ascii="Microsoft JhengHei"/>
                <w:b/>
                <w:sz w:val="21"/>
              </w:rPr>
            </w:pPr>
            <w:r>
              <w:rPr>
                <w:rFonts w:ascii="Microsoft JhengHei"/>
                <w:b/>
                <w:sz w:val="21"/>
              </w:rPr>
              <w:t>8.11</w:t>
            </w:r>
          </w:p>
        </w:tc>
        <w:tc>
          <w:tcPr>
            <w:tcW w:w="1668" w:type="dxa"/>
          </w:tcPr>
          <w:p>
            <w:pPr>
              <w:pStyle w:val="TableParagraph"/>
              <w:spacing w:before="3"/>
              <w:ind w:left="144"/>
              <w:rPr>
                <w:rFonts w:ascii="Microsoft JhengHei" w:eastAsia="Microsoft JhengHei" w:hint="eastAsia"/>
                <w:b/>
                <w:sz w:val="21"/>
              </w:rPr>
            </w:pPr>
            <w:r>
              <w:rPr>
                <w:rFonts w:ascii="Microsoft JhengHei" w:eastAsia="Microsoft JhengHei" w:hint="eastAsia"/>
                <w:b/>
                <w:sz w:val="21"/>
              </w:rPr>
              <w:t>先天性畸形、变</w:t>
            </w:r>
          </w:p>
        </w:tc>
        <w:tc>
          <w:tcPr>
            <w:tcW w:w="7478" w:type="dxa"/>
          </w:tcPr>
          <w:p>
            <w:pPr>
              <w:pStyle w:val="TableParagraph"/>
              <w:spacing w:before="69"/>
              <w:ind w:left="55"/>
              <w:rPr>
                <w:sz w:val="21"/>
              </w:rPr>
            </w:pPr>
            <w:r>
              <w:rPr>
                <w:sz w:val="21"/>
              </w:rPr>
              <w:t>指被保险人出生时就具有的畸形、变形或染色体异常。先天性畸形、变形和染色</w:t>
            </w:r>
          </w:p>
        </w:tc>
      </w:tr>
      <w:tr>
        <w:trPr>
          <w:trHeight w:val="311" w:hRule="atLeast"/>
        </w:trPr>
        <w:tc>
          <w:tcPr>
            <w:tcW w:w="616" w:type="dxa"/>
          </w:tcPr>
          <w:p>
            <w:pPr>
              <w:pStyle w:val="TableParagraph"/>
              <w:rPr>
                <w:rFonts w:ascii="Times New Roman"/>
                <w:sz w:val="20"/>
              </w:rPr>
            </w:pPr>
          </w:p>
        </w:tc>
        <w:tc>
          <w:tcPr>
            <w:tcW w:w="1668" w:type="dxa"/>
          </w:tcPr>
          <w:p>
            <w:pPr>
              <w:pStyle w:val="TableParagraph"/>
              <w:spacing w:line="282" w:lineRule="exact"/>
              <w:ind w:left="144"/>
              <w:rPr>
                <w:rFonts w:ascii="Microsoft JhengHei" w:eastAsia="Microsoft JhengHei" w:hint="eastAsia"/>
                <w:b/>
                <w:sz w:val="21"/>
              </w:rPr>
            </w:pPr>
            <w:r>
              <w:rPr>
                <w:rFonts w:ascii="Microsoft JhengHei" w:eastAsia="Microsoft JhengHei" w:hint="eastAsia"/>
                <w:b/>
                <w:sz w:val="21"/>
              </w:rPr>
              <w:t>形或染色体异</w:t>
            </w:r>
          </w:p>
        </w:tc>
        <w:tc>
          <w:tcPr>
            <w:tcW w:w="7478" w:type="dxa"/>
          </w:tcPr>
          <w:p>
            <w:pPr>
              <w:pStyle w:val="TableParagraph"/>
              <w:spacing w:line="258" w:lineRule="exact"/>
              <w:ind w:left="55"/>
              <w:rPr>
                <w:sz w:val="21"/>
              </w:rPr>
            </w:pPr>
            <w:r>
              <w:rPr>
                <w:sz w:val="21"/>
              </w:rPr>
              <w:t>体异常依照世界卫生组织《疾病和有关健康问题的国际统计分类》（ICD-10）确</w:t>
            </w:r>
          </w:p>
        </w:tc>
      </w:tr>
      <w:tr>
        <w:trPr>
          <w:trHeight w:val="261" w:hRule="atLeast"/>
        </w:trPr>
        <w:tc>
          <w:tcPr>
            <w:tcW w:w="616" w:type="dxa"/>
          </w:tcPr>
          <w:p>
            <w:pPr>
              <w:pStyle w:val="TableParagraph"/>
              <w:rPr>
                <w:rFonts w:ascii="Times New Roman"/>
                <w:sz w:val="18"/>
              </w:rPr>
            </w:pPr>
          </w:p>
        </w:tc>
        <w:tc>
          <w:tcPr>
            <w:tcW w:w="1668" w:type="dxa"/>
          </w:tcPr>
          <w:p>
            <w:pPr>
              <w:pStyle w:val="TableParagraph"/>
              <w:spacing w:line="242" w:lineRule="exact"/>
              <w:ind w:left="144"/>
              <w:rPr>
                <w:rFonts w:ascii="Microsoft JhengHei" w:eastAsia="Microsoft JhengHei" w:hint="eastAsia"/>
                <w:b/>
                <w:sz w:val="21"/>
              </w:rPr>
            </w:pPr>
            <w:r>
              <w:rPr>
                <w:rFonts w:ascii="Microsoft JhengHei" w:eastAsia="Microsoft JhengHei" w:hint="eastAsia"/>
                <w:b/>
                <w:w w:val="100"/>
                <w:sz w:val="21"/>
              </w:rPr>
              <w:t>常</w:t>
            </w:r>
          </w:p>
        </w:tc>
        <w:tc>
          <w:tcPr>
            <w:tcW w:w="7478" w:type="dxa"/>
          </w:tcPr>
          <w:p>
            <w:pPr>
              <w:pStyle w:val="TableParagraph"/>
              <w:spacing w:line="242" w:lineRule="exact"/>
              <w:ind w:left="55"/>
              <w:rPr>
                <w:sz w:val="21"/>
              </w:rPr>
            </w:pPr>
            <w:r>
              <w:rPr>
                <w:sz w:val="21"/>
              </w:rPr>
              <w:t>定。</w:t>
            </w:r>
          </w:p>
        </w:tc>
      </w:tr>
    </w:tbl>
    <w:p>
      <w:pPr>
        <w:pStyle w:val="BodyText"/>
        <w:spacing w:before="8"/>
        <w:ind w:left="0"/>
        <w:rPr>
          <w:sz w:val="12"/>
        </w:rPr>
      </w:pPr>
    </w:p>
    <w:p>
      <w:pPr>
        <w:spacing w:after="0"/>
        <w:rPr>
          <w:sz w:val="12"/>
        </w:rPr>
        <w:sectPr>
          <w:pgSz w:w="11900" w:h="16840"/>
          <w:pgMar w:top="1180" w:bottom="280" w:left="860" w:right="1060"/>
        </w:sectPr>
      </w:pPr>
    </w:p>
    <w:p>
      <w:pPr>
        <w:pStyle w:val="Heading4"/>
        <w:tabs>
          <w:tab w:pos="872" w:val="left" w:leader="none"/>
          <w:tab w:pos="3959" w:val="left" w:leader="none"/>
        </w:tabs>
        <w:spacing w:line="339" w:lineRule="exact"/>
        <w:ind w:left="162"/>
        <w:rPr>
          <w:rFonts w:ascii="Symbol" w:hAnsi="Symbol"/>
          <w:b w:val="0"/>
          <w:sz w:val="24"/>
        </w:rPr>
      </w:pPr>
      <w:r>
        <w:rPr/>
        <w:t>8.12</w:t>
        <w:tab/>
        <w:t>未满期净保险</w:t>
        <w:tab/>
      </w:r>
      <w:r>
        <w:rPr>
          <w:rFonts w:ascii="Symbol" w:hAnsi="Symbol"/>
          <w:b w:val="0"/>
          <w:position w:val="-12"/>
          <w:sz w:val="24"/>
        </w:rPr>
        <w:t></w:t>
      </w:r>
    </w:p>
    <w:p>
      <w:pPr>
        <w:tabs>
          <w:tab w:pos="594" w:val="left" w:leader="none"/>
        </w:tabs>
        <w:spacing w:line="188" w:lineRule="exact" w:before="150"/>
        <w:ind w:left="162" w:right="0" w:firstLine="0"/>
        <w:jc w:val="left"/>
        <w:rPr>
          <w:rFonts w:ascii="Symbol" w:hAnsi="Symbol"/>
          <w:sz w:val="24"/>
        </w:rPr>
      </w:pPr>
      <w:r>
        <w:rPr/>
        <w:br w:type="column"/>
      </w:r>
      <w:r>
        <w:rPr>
          <w:rFonts w:ascii="Symbol" w:hAnsi="Symbol"/>
          <w:sz w:val="24"/>
        </w:rPr>
        <w:t></w:t>
      </w:r>
      <w:r>
        <w:rPr>
          <w:rFonts w:ascii="Times New Roman" w:hAnsi="Times New Roman"/>
          <w:sz w:val="24"/>
        </w:rPr>
        <w:tab/>
      </w:r>
      <w:r>
        <w:rPr>
          <w:spacing w:val="8"/>
          <w:sz w:val="24"/>
        </w:rPr>
        <w:t>经过天数</w:t>
      </w:r>
      <w:r>
        <w:rPr>
          <w:rFonts w:ascii="Symbol" w:hAnsi="Symbol"/>
          <w:spacing w:val="2"/>
          <w:sz w:val="24"/>
        </w:rPr>
        <w:t></w:t>
      </w:r>
      <w:r>
        <w:rPr>
          <w:rFonts w:ascii="Symbol" w:hAnsi="Symbol"/>
          <w:spacing w:val="2"/>
          <w:position w:val="2"/>
          <w:sz w:val="24"/>
        </w:rPr>
        <w:t></w:t>
      </w:r>
    </w:p>
    <w:p>
      <w:pPr>
        <w:spacing w:after="0" w:line="188" w:lineRule="exact"/>
        <w:jc w:val="left"/>
        <w:rPr>
          <w:rFonts w:ascii="Symbol" w:hAnsi="Symbol"/>
          <w:sz w:val="24"/>
        </w:rPr>
        <w:sectPr>
          <w:type w:val="continuous"/>
          <w:pgSz w:w="11900" w:h="16840"/>
          <w:pgMar w:top="700" w:bottom="280" w:left="860" w:right="1060"/>
          <w:cols w:num="2" w:equalWidth="0">
            <w:col w:w="4052" w:space="1848"/>
            <w:col w:w="4080"/>
          </w:cols>
        </w:sectPr>
      </w:pPr>
    </w:p>
    <w:p>
      <w:pPr>
        <w:tabs>
          <w:tab w:pos="2451" w:val="left" w:leader="none"/>
        </w:tabs>
        <w:spacing w:line="225" w:lineRule="exact" w:before="0"/>
        <w:ind w:left="872" w:right="0" w:firstLine="0"/>
        <w:jc w:val="left"/>
        <w:rPr>
          <w:rFonts w:ascii="Symbol" w:hAnsi="Symbol"/>
          <w:sz w:val="24"/>
        </w:rPr>
      </w:pPr>
      <w:r>
        <w:rPr>
          <w:rFonts w:ascii="Microsoft JhengHei" w:hAnsi="Microsoft JhengHei"/>
          <w:b/>
          <w:sz w:val="21"/>
        </w:rPr>
        <w:t>费</w:t>
        <w:tab/>
      </w:r>
      <w:r>
        <w:rPr>
          <w:position w:val="2"/>
          <w:sz w:val="21"/>
        </w:rPr>
        <w:t>其计算公</w:t>
      </w:r>
      <w:r>
        <w:rPr>
          <w:spacing w:val="-5"/>
          <w:position w:val="2"/>
          <w:sz w:val="21"/>
        </w:rPr>
        <w:t>式</w:t>
      </w:r>
      <w:r>
        <w:rPr>
          <w:position w:val="2"/>
          <w:sz w:val="21"/>
        </w:rPr>
        <w:t>为“</w:t>
      </w:r>
      <w:r>
        <w:rPr>
          <w:spacing w:val="-71"/>
          <w:position w:val="2"/>
          <w:sz w:val="21"/>
        </w:rPr>
        <w:t> </w:t>
      </w:r>
      <w:r>
        <w:rPr>
          <w:rFonts w:ascii="Symbol" w:hAnsi="Symbol"/>
          <w:position w:val="-4"/>
          <w:sz w:val="24"/>
        </w:rPr>
        <w:t></w:t>
      </w:r>
      <w:r>
        <w:rPr>
          <w:position w:val="1"/>
          <w:sz w:val="24"/>
        </w:rPr>
        <w:t>保险</w:t>
      </w:r>
      <w:r>
        <w:rPr>
          <w:spacing w:val="27"/>
          <w:position w:val="1"/>
          <w:sz w:val="24"/>
        </w:rPr>
        <w:t>费</w:t>
      </w:r>
      <w:r>
        <w:rPr>
          <w:rFonts w:ascii="Symbol" w:hAnsi="Symbol"/>
          <w:position w:val="1"/>
          <w:sz w:val="24"/>
        </w:rPr>
        <w:t></w:t>
      </w:r>
      <w:r>
        <w:rPr>
          <w:rFonts w:ascii="Times New Roman" w:hAnsi="Times New Roman"/>
          <w:spacing w:val="-23"/>
          <w:position w:val="1"/>
          <w:sz w:val="24"/>
        </w:rPr>
        <w:t> </w:t>
      </w:r>
      <w:r>
        <w:rPr>
          <w:rFonts w:ascii="Times New Roman" w:hAnsi="Times New Roman"/>
          <w:spacing w:val="-12"/>
          <w:position w:val="1"/>
          <w:sz w:val="24"/>
        </w:rPr>
        <w:t>(1</w:t>
      </w:r>
      <w:r>
        <w:rPr>
          <w:rFonts w:ascii="Times New Roman" w:hAnsi="Times New Roman"/>
          <w:spacing w:val="-30"/>
          <w:position w:val="1"/>
          <w:sz w:val="24"/>
        </w:rPr>
        <w:t> </w:t>
      </w:r>
      <w:r>
        <w:rPr>
          <w:rFonts w:ascii="Symbol" w:hAnsi="Symbol"/>
          <w:position w:val="1"/>
          <w:sz w:val="24"/>
        </w:rPr>
        <w:t></w:t>
      </w:r>
      <w:r>
        <w:rPr>
          <w:rFonts w:ascii="Times New Roman" w:hAnsi="Times New Roman"/>
          <w:spacing w:val="-18"/>
          <w:position w:val="1"/>
          <w:sz w:val="24"/>
        </w:rPr>
        <w:t> </w:t>
      </w:r>
      <w:r>
        <w:rPr>
          <w:rFonts w:ascii="Times New Roman" w:hAnsi="Times New Roman"/>
          <w:position w:val="1"/>
          <w:sz w:val="24"/>
        </w:rPr>
        <w:t>35%)</w:t>
      </w:r>
      <w:r>
        <w:rPr>
          <w:rFonts w:ascii="Times New Roman" w:hAnsi="Times New Roman"/>
          <w:spacing w:val="-29"/>
          <w:position w:val="1"/>
          <w:sz w:val="24"/>
        </w:rPr>
        <w:t> </w:t>
      </w:r>
      <w:r>
        <w:rPr>
          <w:rFonts w:ascii="Symbol" w:hAnsi="Symbol"/>
          <w:position w:val="1"/>
          <w:sz w:val="24"/>
        </w:rPr>
        <w:t></w:t>
      </w:r>
      <w:r>
        <w:rPr>
          <w:rFonts w:ascii="Times New Roman" w:hAnsi="Times New Roman"/>
          <w:spacing w:val="-28"/>
          <w:position w:val="1"/>
          <w:sz w:val="24"/>
        </w:rPr>
        <w:t> </w:t>
      </w:r>
      <w:r>
        <w:rPr>
          <w:rFonts w:ascii="Symbol" w:hAnsi="Symbol"/>
          <w:position w:val="1"/>
          <w:sz w:val="24"/>
        </w:rPr>
        <w:t></w:t>
      </w:r>
      <w:r>
        <w:rPr>
          <w:rFonts w:ascii="Times New Roman" w:hAnsi="Times New Roman"/>
          <w:position w:val="1"/>
          <w:sz w:val="24"/>
        </w:rPr>
        <w:t>1</w:t>
      </w:r>
      <w:r>
        <w:rPr>
          <w:rFonts w:ascii="Times New Roman" w:hAnsi="Times New Roman"/>
          <w:spacing w:val="-36"/>
          <w:position w:val="1"/>
          <w:sz w:val="24"/>
        </w:rPr>
        <w:t> </w:t>
      </w:r>
      <w:r>
        <w:rPr>
          <w:rFonts w:ascii="Symbol" w:hAnsi="Symbol"/>
          <w:position w:val="1"/>
          <w:sz w:val="24"/>
        </w:rPr>
        <w:t></w:t>
      </w:r>
    </w:p>
    <w:p>
      <w:pPr>
        <w:spacing w:line="26" w:lineRule="exact" w:before="198"/>
        <w:ind w:left="322" w:right="0" w:firstLine="0"/>
        <w:jc w:val="left"/>
        <w:rPr>
          <w:rFonts w:ascii="Times New Roman"/>
          <w:sz w:val="24"/>
        </w:rPr>
      </w:pPr>
      <w:r>
        <w:rPr/>
        <w:br w:type="column"/>
      </w:r>
      <w:r>
        <w:rPr>
          <w:rFonts w:ascii="Times New Roman"/>
          <w:sz w:val="24"/>
        </w:rPr>
        <w:t>365</w:t>
      </w:r>
    </w:p>
    <w:p>
      <w:pPr>
        <w:spacing w:line="225" w:lineRule="exact" w:before="0"/>
        <w:ind w:left="296" w:right="0" w:firstLine="0"/>
        <w:jc w:val="left"/>
        <w:rPr>
          <w:sz w:val="21"/>
        </w:rPr>
      </w:pPr>
      <w:r>
        <w:rPr/>
        <w:br w:type="column"/>
      </w:r>
      <w:r>
        <w:rPr>
          <w:rFonts w:ascii="Symbol" w:hAnsi="Symbol" w:eastAsia="Symbol"/>
          <w:spacing w:val="7"/>
          <w:w w:val="99"/>
          <w:sz w:val="24"/>
        </w:rPr>
        <w:t></w:t>
      </w:r>
      <w:r>
        <w:rPr>
          <w:rFonts w:ascii="Symbol" w:hAnsi="Symbol" w:eastAsia="Symbol"/>
          <w:w w:val="99"/>
          <w:position w:val="-5"/>
          <w:sz w:val="24"/>
        </w:rPr>
        <w:t></w:t>
      </w:r>
      <w:r>
        <w:rPr>
          <w:rFonts w:ascii="Times New Roman" w:hAnsi="Times New Roman" w:eastAsia="Times New Roman"/>
          <w:spacing w:val="-23"/>
          <w:position w:val="-5"/>
          <w:sz w:val="24"/>
        </w:rPr>
        <w:t> </w:t>
      </w:r>
      <w:r>
        <w:rPr>
          <w:spacing w:val="-14"/>
          <w:w w:val="100"/>
          <w:position w:val="1"/>
          <w:sz w:val="21"/>
        </w:rPr>
        <w:t>”，经过天数不足一天</w:t>
      </w:r>
    </w:p>
    <w:p>
      <w:pPr>
        <w:spacing w:after="0" w:line="225" w:lineRule="exact"/>
        <w:jc w:val="left"/>
        <w:rPr>
          <w:sz w:val="21"/>
        </w:rPr>
        <w:sectPr>
          <w:type w:val="continuous"/>
          <w:pgSz w:w="11900" w:h="16840"/>
          <w:pgMar w:top="700" w:bottom="280" w:left="860" w:right="1060"/>
          <w:cols w:num="3" w:equalWidth="0">
            <w:col w:w="6434" w:space="40"/>
            <w:col w:w="683" w:space="39"/>
            <w:col w:w="2784"/>
          </w:cols>
        </w:sectPr>
      </w:pPr>
    </w:p>
    <w:p>
      <w:pPr>
        <w:tabs>
          <w:tab w:pos="6061" w:val="left" w:leader="none"/>
          <w:tab w:pos="7491" w:val="left" w:leader="none"/>
        </w:tabs>
        <w:spacing w:line="312" w:lineRule="exact" w:before="0"/>
        <w:ind w:left="3959" w:right="0" w:firstLine="0"/>
        <w:jc w:val="left"/>
        <w:rPr>
          <w:rFonts w:ascii="Symbol" w:hAnsi="Symbol"/>
          <w:sz w:val="24"/>
        </w:rPr>
      </w:pPr>
      <w:r>
        <w:rPr/>
        <w:pict>
          <v:line style="position:absolute;mso-position-horizontal-relative:page;mso-position-vertical-relative:paragraph;z-index:1288" from="367.274994pt,-2.399224pt" to="416.174994pt,-2.399224pt" stroked="true" strokeweight=".4995pt" strokecolor="#000000">
            <v:stroke dashstyle="solid"/>
            <w10:wrap type="none"/>
          </v:line>
        </w:pict>
      </w:r>
      <w:r>
        <w:rPr>
          <w:rFonts w:ascii="Symbol" w:hAnsi="Symbol"/>
          <w:sz w:val="24"/>
        </w:rPr>
        <w:t></w:t>
      </w:r>
      <w:r>
        <w:rPr>
          <w:rFonts w:ascii="Times New Roman" w:hAnsi="Times New Roman"/>
          <w:sz w:val="24"/>
        </w:rPr>
        <w:tab/>
      </w:r>
      <w:r>
        <w:rPr>
          <w:rFonts w:ascii="Symbol" w:hAnsi="Symbol"/>
          <w:position w:val="2"/>
          <w:sz w:val="24"/>
        </w:rPr>
        <w:t></w:t>
      </w:r>
      <w:r>
        <w:rPr>
          <w:rFonts w:ascii="Times New Roman" w:hAnsi="Times New Roman"/>
          <w:position w:val="2"/>
          <w:sz w:val="24"/>
        </w:rPr>
        <w:tab/>
      </w:r>
      <w:r>
        <w:rPr>
          <w:rFonts w:ascii="Symbol" w:hAnsi="Symbol"/>
          <w:spacing w:val="2"/>
          <w:position w:val="2"/>
          <w:sz w:val="24"/>
        </w:rPr>
        <w:t></w:t>
      </w:r>
      <w:r>
        <w:rPr>
          <w:rFonts w:ascii="Symbol" w:hAnsi="Symbol"/>
          <w:spacing w:val="2"/>
          <w:sz w:val="24"/>
        </w:rPr>
        <w:t></w:t>
      </w:r>
    </w:p>
    <w:p>
      <w:pPr>
        <w:pStyle w:val="BodyText"/>
        <w:spacing w:before="95"/>
        <w:ind w:left="2452"/>
      </w:pPr>
      <w:r>
        <w:rPr/>
        <w:t>的不计。“经过天数”是指本合同从生效之日至终止之日实际经过的天数。</w:t>
      </w:r>
    </w:p>
    <w:p>
      <w:pPr>
        <w:pStyle w:val="ListParagraph"/>
        <w:numPr>
          <w:ilvl w:val="1"/>
          <w:numId w:val="12"/>
        </w:numPr>
        <w:tabs>
          <w:tab w:pos="872" w:val="left" w:leader="none"/>
          <w:tab w:pos="873" w:val="left" w:leader="none"/>
          <w:tab w:pos="2451" w:val="left" w:leader="none"/>
        </w:tabs>
        <w:spacing w:line="240" w:lineRule="auto" w:before="137" w:after="0"/>
        <w:ind w:left="2392" w:right="0" w:hanging="2230"/>
        <w:jc w:val="left"/>
        <w:rPr>
          <w:sz w:val="21"/>
        </w:rPr>
      </w:pPr>
      <w:r>
        <w:rPr>
          <w:rFonts w:ascii="Microsoft JhengHei" w:eastAsia="Microsoft JhengHei" w:hint="eastAsia"/>
          <w:b/>
          <w:sz w:val="21"/>
        </w:rPr>
        <w:t>有效身份证件</w:t>
        <w:tab/>
      </w:r>
      <w:r>
        <w:rPr>
          <w:sz w:val="21"/>
        </w:rPr>
        <w:t>指由政府</w:t>
      </w:r>
      <w:r>
        <w:rPr>
          <w:spacing w:val="-5"/>
          <w:sz w:val="21"/>
        </w:rPr>
        <w:t>主</w:t>
      </w:r>
      <w:r>
        <w:rPr>
          <w:sz w:val="21"/>
        </w:rPr>
        <w:t>管部门</w:t>
      </w:r>
      <w:r>
        <w:rPr>
          <w:spacing w:val="-5"/>
          <w:sz w:val="21"/>
        </w:rPr>
        <w:t>规</w:t>
      </w:r>
      <w:r>
        <w:rPr>
          <w:sz w:val="21"/>
        </w:rPr>
        <w:t>定的证</w:t>
      </w:r>
      <w:r>
        <w:rPr>
          <w:spacing w:val="-5"/>
          <w:sz w:val="21"/>
        </w:rPr>
        <w:t>明</w:t>
      </w:r>
      <w:r>
        <w:rPr>
          <w:sz w:val="21"/>
        </w:rPr>
        <w:t>其身份</w:t>
      </w:r>
      <w:r>
        <w:rPr>
          <w:spacing w:val="-5"/>
          <w:sz w:val="21"/>
        </w:rPr>
        <w:t>的</w:t>
      </w:r>
      <w:r>
        <w:rPr>
          <w:sz w:val="21"/>
        </w:rPr>
        <w:t>证件</w:t>
      </w:r>
      <w:r>
        <w:rPr>
          <w:spacing w:val="-29"/>
          <w:sz w:val="21"/>
        </w:rPr>
        <w:t>，</w:t>
      </w:r>
      <w:r>
        <w:rPr>
          <w:spacing w:val="-5"/>
          <w:sz w:val="21"/>
        </w:rPr>
        <w:t>如</w:t>
      </w:r>
      <w:r>
        <w:rPr>
          <w:spacing w:val="-29"/>
          <w:sz w:val="21"/>
        </w:rPr>
        <w:t>：</w:t>
      </w:r>
      <w:r>
        <w:rPr>
          <w:spacing w:val="-5"/>
          <w:sz w:val="21"/>
        </w:rPr>
        <w:t>居</w:t>
      </w:r>
      <w:r>
        <w:rPr>
          <w:sz w:val="21"/>
        </w:rPr>
        <w:t>民身份证</w:t>
      </w:r>
      <w:r>
        <w:rPr>
          <w:spacing w:val="-34"/>
          <w:sz w:val="21"/>
        </w:rPr>
        <w:t>、</w:t>
      </w:r>
      <w:r>
        <w:rPr>
          <w:sz w:val="21"/>
        </w:rPr>
        <w:t>按规定</w:t>
      </w:r>
      <w:r>
        <w:rPr>
          <w:spacing w:val="-5"/>
          <w:sz w:val="21"/>
        </w:rPr>
        <w:t>可</w:t>
      </w:r>
      <w:r>
        <w:rPr>
          <w:sz w:val="21"/>
        </w:rPr>
        <w:t>使用的</w:t>
      </w:r>
    </w:p>
    <w:p>
      <w:pPr>
        <w:spacing w:after="0" w:line="240" w:lineRule="auto"/>
        <w:jc w:val="left"/>
        <w:rPr>
          <w:sz w:val="21"/>
        </w:rPr>
        <w:sectPr>
          <w:type w:val="continuous"/>
          <w:pgSz w:w="11900" w:h="16840"/>
          <w:pgMar w:top="700" w:bottom="280" w:left="860" w:right="1060"/>
        </w:sectPr>
      </w:pPr>
    </w:p>
    <w:p>
      <w:pPr>
        <w:pStyle w:val="BodyText"/>
        <w:spacing w:before="19"/>
        <w:ind w:left="2392"/>
      </w:pPr>
      <w:r>
        <w:rPr/>
        <w:t>有效护照、军官证、警官证、士兵证、户口簿等证件。</w:t>
      </w:r>
    </w:p>
    <w:p>
      <w:pPr>
        <w:pStyle w:val="ListParagraph"/>
        <w:numPr>
          <w:ilvl w:val="1"/>
          <w:numId w:val="12"/>
        </w:numPr>
        <w:tabs>
          <w:tab w:pos="812" w:val="left" w:leader="none"/>
          <w:tab w:pos="813" w:val="left" w:leader="none"/>
          <w:tab w:pos="2391" w:val="left" w:leader="none"/>
        </w:tabs>
        <w:spacing w:line="240" w:lineRule="auto" w:before="142" w:after="0"/>
        <w:ind w:left="812" w:right="0" w:hanging="710"/>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12"/>
        </w:numPr>
        <w:tabs>
          <w:tab w:pos="3131" w:val="left" w:leader="none"/>
          <w:tab w:pos="3132" w:val="left" w:leader="none"/>
        </w:tabs>
        <w:spacing w:line="240" w:lineRule="auto" w:before="12" w:after="0"/>
        <w:ind w:left="3112" w:right="0" w:hanging="720"/>
        <w:jc w:val="left"/>
        <w:rPr>
          <w:sz w:val="21"/>
        </w:rPr>
      </w:pPr>
      <w:r>
        <w:rPr>
          <w:spacing w:val="-11"/>
          <w:sz w:val="21"/>
        </w:rPr>
        <w:t>具有有效的中华人民共和国《医师资格证书》；</w:t>
      </w:r>
    </w:p>
    <w:p>
      <w:pPr>
        <w:pStyle w:val="ListParagraph"/>
        <w:numPr>
          <w:ilvl w:val="2"/>
          <w:numId w:val="12"/>
        </w:numPr>
        <w:tabs>
          <w:tab w:pos="3103" w:val="left" w:leader="none"/>
        </w:tabs>
        <w:spacing w:line="273" w:lineRule="auto" w:before="36" w:after="0"/>
        <w:ind w:left="3112" w:right="98" w:hanging="720"/>
        <w:jc w:val="left"/>
        <w:rPr>
          <w:sz w:val="21"/>
        </w:rPr>
      </w:pPr>
      <w:r>
        <w:rPr>
          <w:spacing w:val="-14"/>
          <w:sz w:val="21"/>
        </w:rPr>
        <w:t>具有有效的中华人民共和国《医师执业证书》，并按期到相关部门登记注册；</w:t>
      </w:r>
    </w:p>
    <w:p>
      <w:pPr>
        <w:pStyle w:val="ListParagraph"/>
        <w:numPr>
          <w:ilvl w:val="2"/>
          <w:numId w:val="12"/>
        </w:numPr>
        <w:tabs>
          <w:tab w:pos="3131" w:val="left" w:leader="none"/>
          <w:tab w:pos="3132" w:val="left" w:leader="none"/>
        </w:tabs>
        <w:spacing w:line="273" w:lineRule="auto" w:before="7" w:after="0"/>
        <w:ind w:left="3112" w:right="118" w:hanging="720"/>
        <w:jc w:val="left"/>
        <w:rPr>
          <w:sz w:val="21"/>
        </w:rPr>
      </w:pPr>
      <w:r>
        <w:rPr>
          <w:spacing w:val="-5"/>
          <w:sz w:val="21"/>
        </w:rPr>
        <w:t>具有有效的中华人民共和国主治医师或主治医师以上职称的《医师职称</w:t>
      </w:r>
      <w:r>
        <w:rPr>
          <w:spacing w:val="-30"/>
          <w:sz w:val="21"/>
        </w:rPr>
        <w:t>证书》；</w:t>
      </w:r>
    </w:p>
    <w:p>
      <w:pPr>
        <w:pStyle w:val="ListParagraph"/>
        <w:numPr>
          <w:ilvl w:val="2"/>
          <w:numId w:val="12"/>
        </w:numPr>
        <w:tabs>
          <w:tab w:pos="3131" w:val="left" w:leader="none"/>
          <w:tab w:pos="3132" w:val="left" w:leader="none"/>
        </w:tabs>
        <w:spacing w:line="240" w:lineRule="auto" w:before="7" w:after="0"/>
        <w:ind w:left="3112" w:right="0" w:hanging="720"/>
        <w:jc w:val="left"/>
        <w:rPr>
          <w:sz w:val="21"/>
        </w:rPr>
      </w:pPr>
      <w:r>
        <w:rPr>
          <w:spacing w:val="-5"/>
          <w:sz w:val="21"/>
        </w:rPr>
        <w:t>在二级或二级以上医院的相应科室从事临床工作三年以上。</w:t>
      </w:r>
    </w:p>
    <w:p>
      <w:pPr>
        <w:pStyle w:val="ListParagraph"/>
        <w:numPr>
          <w:ilvl w:val="1"/>
          <w:numId w:val="12"/>
        </w:numPr>
        <w:tabs>
          <w:tab w:pos="812" w:val="left" w:leader="none"/>
          <w:tab w:pos="813" w:val="left" w:leader="none"/>
          <w:tab w:pos="2391" w:val="left" w:leader="none"/>
        </w:tabs>
        <w:spacing w:line="249" w:lineRule="auto" w:before="138" w:after="0"/>
        <w:ind w:left="2392" w:right="98" w:hanging="2290"/>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48"/>
          <w:sz w:val="21"/>
        </w:rPr>
        <w:t>，</w:t>
      </w:r>
      <w:r>
        <w:rPr>
          <w:sz w:val="21"/>
        </w:rPr>
        <w:t>经过积</w:t>
      </w:r>
      <w:r>
        <w:rPr>
          <w:spacing w:val="-5"/>
          <w:sz w:val="21"/>
        </w:rPr>
        <w:t>极</w:t>
      </w:r>
      <w:r>
        <w:rPr>
          <w:sz w:val="21"/>
        </w:rPr>
        <w:t>治疗</w:t>
      </w:r>
      <w:r>
        <w:rPr>
          <w:spacing w:val="-38"/>
          <w:sz w:val="21"/>
        </w:rPr>
        <w:t> </w:t>
      </w:r>
      <w:r>
        <w:rPr>
          <w:sz w:val="21"/>
        </w:rPr>
        <w:t>180</w:t>
      </w:r>
      <w:r>
        <w:rPr>
          <w:spacing w:val="-33"/>
          <w:sz w:val="21"/>
        </w:rPr>
        <w:t> </w:t>
      </w:r>
      <w:r>
        <w:rPr>
          <w:sz w:val="21"/>
        </w:rPr>
        <w:t>天后</w:t>
      </w:r>
      <w:r>
        <w:rPr>
          <w:spacing w:val="-48"/>
          <w:sz w:val="21"/>
        </w:rPr>
        <w:t>，</w:t>
      </w:r>
      <w:r>
        <w:rPr>
          <w:sz w:val="21"/>
        </w:rPr>
        <w:t>仍无法</w:t>
      </w:r>
      <w:r>
        <w:rPr>
          <w:spacing w:val="-5"/>
          <w:sz w:val="21"/>
        </w:rPr>
        <w:t>通</w:t>
      </w:r>
      <w:r>
        <w:rPr>
          <w:sz w:val="21"/>
        </w:rPr>
        <w:t>过现有医疗手段</w:t>
      </w:r>
      <w:r>
        <w:rPr>
          <w:spacing w:val="-5"/>
          <w:sz w:val="21"/>
        </w:rPr>
        <w:t>恢</w:t>
      </w:r>
      <w:r>
        <w:rPr>
          <w:sz w:val="21"/>
        </w:rPr>
        <w:t>复。</w:t>
      </w:r>
    </w:p>
    <w:p>
      <w:pPr>
        <w:spacing w:after="0" w:line="249" w:lineRule="auto"/>
        <w:jc w:val="left"/>
        <w:rPr>
          <w:sz w:val="21"/>
        </w:rPr>
        <w:sectPr>
          <w:pgSz w:w="11900" w:h="16840"/>
          <w:pgMar w:top="1100" w:bottom="280" w:left="920" w:right="1220"/>
        </w:sectPr>
      </w:pPr>
    </w:p>
    <w:p>
      <w:pPr>
        <w:pStyle w:val="Heading4"/>
        <w:numPr>
          <w:ilvl w:val="1"/>
          <w:numId w:val="12"/>
        </w:numPr>
        <w:tabs>
          <w:tab w:pos="812" w:val="left" w:leader="none"/>
          <w:tab w:pos="813" w:val="left" w:leader="none"/>
        </w:tabs>
        <w:spacing w:line="204" w:lineRule="auto" w:before="17" w:after="0"/>
        <w:ind w:left="812" w:right="0" w:hanging="710"/>
        <w:jc w:val="left"/>
      </w:pPr>
      <w:r>
        <w:rPr/>
        <w:t>肢体机能完全丧失</w:t>
      </w:r>
    </w:p>
    <w:p>
      <w:pPr>
        <w:pStyle w:val="BodyText"/>
        <w:spacing w:line="273" w:lineRule="auto" w:before="29"/>
        <w:ind w:left="102" w:right="98"/>
      </w:pPr>
      <w:r>
        <w:rPr/>
        <w:br w:type="column"/>
      </w:r>
      <w:r>
        <w:rPr>
          <w:spacing w:val="-8"/>
        </w:rPr>
        <w:t>指肢体的三大关节中的两大关节僵硬，或不能随意识活动。肢体是指包括肩关节</w:t>
      </w:r>
      <w:r>
        <w:rPr>
          <w:spacing w:val="-6"/>
        </w:rPr>
        <w:t>的整个上肢或包括髋关节的整个下肢。</w:t>
      </w:r>
    </w:p>
    <w:p>
      <w:pPr>
        <w:spacing w:after="0" w:line="273" w:lineRule="auto"/>
        <w:sectPr>
          <w:type w:val="continuous"/>
          <w:pgSz w:w="11900" w:h="16840"/>
          <w:pgMar w:top="700" w:bottom="280" w:left="920" w:right="1220"/>
          <w:cols w:num="2" w:equalWidth="0">
            <w:col w:w="2080" w:space="209"/>
            <w:col w:w="7471"/>
          </w:cols>
        </w:sectPr>
      </w:pPr>
    </w:p>
    <w:p>
      <w:pPr>
        <w:pStyle w:val="BodyText"/>
        <w:spacing w:before="8"/>
        <w:ind w:left="0"/>
        <w:rPr>
          <w:sz w:val="10"/>
        </w:rPr>
      </w:pPr>
    </w:p>
    <w:p>
      <w:pPr>
        <w:spacing w:after="0"/>
        <w:rPr>
          <w:sz w:val="10"/>
        </w:rPr>
        <w:sectPr>
          <w:type w:val="continuous"/>
          <w:pgSz w:w="11900" w:h="16840"/>
          <w:pgMar w:top="700" w:bottom="280" w:left="920" w:right="1220"/>
        </w:sectPr>
      </w:pPr>
    </w:p>
    <w:p>
      <w:pPr>
        <w:pStyle w:val="Heading4"/>
        <w:numPr>
          <w:ilvl w:val="1"/>
          <w:numId w:val="12"/>
        </w:numPr>
        <w:tabs>
          <w:tab w:pos="812" w:val="left" w:leader="none"/>
          <w:tab w:pos="813" w:val="left" w:leader="none"/>
        </w:tabs>
        <w:spacing w:line="309" w:lineRule="exact" w:before="0" w:after="0"/>
        <w:ind w:left="812" w:right="0" w:hanging="710"/>
        <w:jc w:val="left"/>
      </w:pPr>
      <w:r>
        <w:rPr/>
        <w:t>语言能力或咀</w:t>
      </w:r>
    </w:p>
    <w:p>
      <w:pPr>
        <w:spacing w:line="204" w:lineRule="auto" w:before="28"/>
        <w:ind w:left="812"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3" w:lineRule="auto" w:before="37"/>
        <w:ind w:left="102" w:right="98"/>
        <w:jc w:val="both"/>
      </w:pPr>
      <w:r>
        <w:rPr/>
        <w:br w:type="column"/>
      </w:r>
      <w:r>
        <w:rPr>
          <w:spacing w:val="-7"/>
        </w:rPr>
        <w:t>语言能力完全丧失，指无法发出四种语音</w:t>
      </w:r>
      <w:r>
        <w:rPr/>
        <w:t>（</w:t>
      </w:r>
      <w:r>
        <w:rPr>
          <w:spacing w:val="-8"/>
        </w:rPr>
        <w:t>包括口唇音、齿舌音、口盖音和喉头音</w:t>
      </w:r>
      <w:r>
        <w:rPr>
          <w:spacing w:val="-24"/>
        </w:rPr>
        <w:t>）</w:t>
      </w:r>
      <w:r>
        <w:rPr>
          <w:spacing w:val="-8"/>
        </w:rPr>
        <w:t>中的任何三种、或声带全部切除，或因大脑语言中枢受伤害而患失语症。咀</w:t>
      </w:r>
      <w:r>
        <w:rPr>
          <w:spacing w:val="-12"/>
        </w:rPr>
        <w:t>嚼吞咽能力完全丧失，指因牙齿以外的原因导致器质障碍或机能障碍，以致不能</w:t>
      </w:r>
      <w:r>
        <w:rPr>
          <w:spacing w:val="-5"/>
        </w:rPr>
        <w:t>作咀嚼吞咽运动，除流质食物外不能摄取或吞咽的状态。</w:t>
      </w:r>
    </w:p>
    <w:p>
      <w:pPr>
        <w:spacing w:after="0" w:line="273" w:lineRule="auto"/>
        <w:jc w:val="both"/>
        <w:sectPr>
          <w:type w:val="continuous"/>
          <w:pgSz w:w="11900" w:h="16840"/>
          <w:pgMar w:top="700" w:bottom="280" w:left="920" w:right="1220"/>
          <w:cols w:num="2" w:equalWidth="0">
            <w:col w:w="2080" w:space="209"/>
            <w:col w:w="7471"/>
          </w:cols>
        </w:sectPr>
      </w:pPr>
    </w:p>
    <w:p>
      <w:pPr>
        <w:pStyle w:val="BodyText"/>
        <w:ind w:left="0"/>
        <w:rPr>
          <w:sz w:val="11"/>
        </w:rPr>
      </w:pPr>
    </w:p>
    <w:p>
      <w:pPr>
        <w:spacing w:after="0"/>
        <w:rPr>
          <w:sz w:val="11"/>
        </w:rPr>
        <w:sectPr>
          <w:type w:val="continuous"/>
          <w:pgSz w:w="11900" w:h="16840"/>
          <w:pgMar w:top="700" w:bottom="280" w:left="920" w:right="1220"/>
        </w:sectPr>
      </w:pPr>
    </w:p>
    <w:p>
      <w:pPr>
        <w:pStyle w:val="Heading4"/>
        <w:numPr>
          <w:ilvl w:val="1"/>
          <w:numId w:val="12"/>
        </w:numPr>
        <w:tabs>
          <w:tab w:pos="884" w:val="left" w:leader="none"/>
          <w:tab w:pos="885" w:val="left" w:leader="none"/>
        </w:tabs>
        <w:spacing w:line="309" w:lineRule="exact" w:before="0" w:after="0"/>
        <w:ind w:left="884" w:right="0" w:hanging="782"/>
        <w:jc w:val="left"/>
      </w:pPr>
      <w:r>
        <w:rPr/>
        <w:t>六项基本日常</w:t>
      </w:r>
    </w:p>
    <w:p>
      <w:pPr>
        <w:spacing w:line="339" w:lineRule="exact" w:before="0"/>
        <w:ind w:left="884"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02"/>
      </w:pPr>
      <w:r>
        <w:rPr/>
        <w:br w:type="column"/>
      </w:r>
      <w:r>
        <w:rPr/>
        <w:t>六项基本日常生活活动是指：</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4"/>
          <w:sz w:val="21"/>
        </w:rPr>
        <w:t>穿衣：自己能够穿衣及脱衣；</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5"/>
          <w:sz w:val="21"/>
        </w:rPr>
        <w:t>移动：自己从一个房间到另一个房间；</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4"/>
          <w:sz w:val="21"/>
        </w:rPr>
        <w:t>行动：自己上下床或上下轮椅；</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4"/>
          <w:sz w:val="21"/>
        </w:rPr>
        <w:t>如厕：自己控制进行大小便；</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5"/>
          <w:sz w:val="21"/>
        </w:rPr>
        <w:t>进食：自己从已准备好的碗或碟中取食物放入口中；</w:t>
      </w:r>
    </w:p>
    <w:p>
      <w:pPr>
        <w:pStyle w:val="ListParagraph"/>
        <w:numPr>
          <w:ilvl w:val="0"/>
          <w:numId w:val="13"/>
        </w:numPr>
        <w:tabs>
          <w:tab w:pos="841" w:val="left" w:leader="none"/>
          <w:tab w:pos="842" w:val="left" w:leader="none"/>
        </w:tabs>
        <w:spacing w:line="240" w:lineRule="auto" w:before="36" w:after="0"/>
        <w:ind w:left="841" w:right="0" w:hanging="739"/>
        <w:jc w:val="left"/>
        <w:rPr>
          <w:sz w:val="21"/>
        </w:rPr>
      </w:pPr>
      <w:r>
        <w:rPr>
          <w:spacing w:val="-4"/>
          <w:sz w:val="21"/>
        </w:rPr>
        <w:t>洗澡：自己进行淋浴或盆浴。</w:t>
      </w:r>
    </w:p>
    <w:sectPr>
      <w:type w:val="continuous"/>
      <w:pgSz w:w="11900" w:h="16840"/>
      <w:pgMar w:top="700" w:bottom="280" w:left="920" w:right="1220"/>
      <w:cols w:num="2" w:equalWidth="0">
        <w:col w:w="2152" w:space="166"/>
        <w:col w:w="744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00" w:hanging="740"/>
      </w:pPr>
      <w:rPr>
        <w:rFonts w:hint="default"/>
      </w:rPr>
    </w:lvl>
    <w:lvl w:ilvl="2">
      <w:start w:val="0"/>
      <w:numFmt w:val="bullet"/>
      <w:lvlText w:val="•"/>
      <w:lvlJc w:val="left"/>
      <w:pPr>
        <w:ind w:left="2160" w:hanging="740"/>
      </w:pPr>
      <w:rPr>
        <w:rFonts w:hint="default"/>
      </w:rPr>
    </w:lvl>
    <w:lvl w:ilvl="3">
      <w:start w:val="0"/>
      <w:numFmt w:val="bullet"/>
      <w:lvlText w:val="•"/>
      <w:lvlJc w:val="left"/>
      <w:pPr>
        <w:ind w:left="2820" w:hanging="740"/>
      </w:pPr>
      <w:rPr>
        <w:rFonts w:hint="default"/>
      </w:rPr>
    </w:lvl>
    <w:lvl w:ilvl="4">
      <w:start w:val="0"/>
      <w:numFmt w:val="bullet"/>
      <w:lvlText w:val="•"/>
      <w:lvlJc w:val="left"/>
      <w:pPr>
        <w:ind w:left="3480" w:hanging="740"/>
      </w:pPr>
      <w:rPr>
        <w:rFonts w:hint="default"/>
      </w:rPr>
    </w:lvl>
    <w:lvl w:ilvl="5">
      <w:start w:val="0"/>
      <w:numFmt w:val="bullet"/>
      <w:lvlText w:val="•"/>
      <w:lvlJc w:val="left"/>
      <w:pPr>
        <w:ind w:left="4140" w:hanging="740"/>
      </w:pPr>
      <w:rPr>
        <w:rFonts w:hint="default"/>
      </w:rPr>
    </w:lvl>
    <w:lvl w:ilvl="6">
      <w:start w:val="0"/>
      <w:numFmt w:val="bullet"/>
      <w:lvlText w:val="•"/>
      <w:lvlJc w:val="left"/>
      <w:pPr>
        <w:ind w:left="4800" w:hanging="740"/>
      </w:pPr>
      <w:rPr>
        <w:rFonts w:hint="default"/>
      </w:rPr>
    </w:lvl>
    <w:lvl w:ilvl="7">
      <w:start w:val="0"/>
      <w:numFmt w:val="bullet"/>
      <w:lvlText w:val="•"/>
      <w:lvlJc w:val="left"/>
      <w:pPr>
        <w:ind w:left="5461" w:hanging="740"/>
      </w:pPr>
      <w:rPr>
        <w:rFonts w:hint="default"/>
      </w:rPr>
    </w:lvl>
    <w:lvl w:ilvl="8">
      <w:start w:val="0"/>
      <w:numFmt w:val="bullet"/>
      <w:lvlText w:val="•"/>
      <w:lvlJc w:val="left"/>
      <w:pPr>
        <w:ind w:left="6121" w:hanging="740"/>
      </w:pPr>
      <w:rPr>
        <w:rFonts w:hint="default"/>
      </w:rPr>
    </w:lvl>
  </w:abstractNum>
  <w:abstractNum w:abstractNumId="11">
    <w:multiLevelType w:val="hybridMultilevel"/>
    <w:lvl w:ilvl="0">
      <w:start w:val="8"/>
      <w:numFmt w:val="decimal"/>
      <w:lvlText w:val="%1"/>
      <w:lvlJc w:val="left"/>
      <w:pPr>
        <w:ind w:left="872" w:hanging="711"/>
        <w:jc w:val="left"/>
      </w:pPr>
      <w:rPr>
        <w:rFonts w:hint="default"/>
      </w:rPr>
    </w:lvl>
    <w:lvl w:ilvl="1">
      <w:start w:val="13"/>
      <w:numFmt w:val="decimal"/>
      <w:lvlText w:val="%1.%2"/>
      <w:lvlJc w:val="left"/>
      <w:pPr>
        <w:ind w:left="2392" w:hanging="711"/>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112" w:hanging="740"/>
        <w:jc w:val="left"/>
      </w:pPr>
      <w:rPr>
        <w:rFonts w:hint="default" w:ascii="宋体" w:hAnsi="宋体" w:eastAsia="宋体" w:cs="宋体"/>
        <w:w w:val="100"/>
        <w:sz w:val="21"/>
        <w:szCs w:val="21"/>
      </w:rPr>
    </w:lvl>
    <w:lvl w:ilvl="3">
      <w:start w:val="0"/>
      <w:numFmt w:val="bullet"/>
      <w:lvlText w:val="•"/>
      <w:lvlJc w:val="left"/>
      <w:pPr>
        <w:ind w:left="3950" w:hanging="740"/>
      </w:pPr>
      <w:rPr>
        <w:rFonts w:hint="default"/>
      </w:rPr>
    </w:lvl>
    <w:lvl w:ilvl="4">
      <w:start w:val="0"/>
      <w:numFmt w:val="bullet"/>
      <w:lvlText w:val="•"/>
      <w:lvlJc w:val="left"/>
      <w:pPr>
        <w:ind w:left="4780" w:hanging="740"/>
      </w:pPr>
      <w:rPr>
        <w:rFonts w:hint="default"/>
      </w:rPr>
    </w:lvl>
    <w:lvl w:ilvl="5">
      <w:start w:val="0"/>
      <w:numFmt w:val="bullet"/>
      <w:lvlText w:val="•"/>
      <w:lvlJc w:val="left"/>
      <w:pPr>
        <w:ind w:left="5610" w:hanging="740"/>
      </w:pPr>
      <w:rPr>
        <w:rFonts w:hint="default"/>
      </w:rPr>
    </w:lvl>
    <w:lvl w:ilvl="6">
      <w:start w:val="0"/>
      <w:numFmt w:val="bullet"/>
      <w:lvlText w:val="•"/>
      <w:lvlJc w:val="left"/>
      <w:pPr>
        <w:ind w:left="6440" w:hanging="740"/>
      </w:pPr>
      <w:rPr>
        <w:rFonts w:hint="default"/>
      </w:rPr>
    </w:lvl>
    <w:lvl w:ilvl="7">
      <w:start w:val="0"/>
      <w:numFmt w:val="bullet"/>
      <w:lvlText w:val="•"/>
      <w:lvlJc w:val="left"/>
      <w:pPr>
        <w:ind w:left="7270" w:hanging="740"/>
      </w:pPr>
      <w:rPr>
        <w:rFonts w:hint="default"/>
      </w:rPr>
    </w:lvl>
    <w:lvl w:ilvl="8">
      <w:start w:val="0"/>
      <w:numFmt w:val="bullet"/>
      <w:lvlText w:val="•"/>
      <w:lvlJc w:val="left"/>
      <w:pPr>
        <w:ind w:left="8100" w:hanging="740"/>
      </w:pPr>
      <w:rPr>
        <w:rFonts w:hint="default"/>
      </w:rPr>
    </w:lvl>
  </w:abstractNum>
  <w:abstractNum w:abstractNumId="10">
    <w:multiLevelType w:val="hybridMultilevel"/>
    <w:lvl w:ilvl="0">
      <w:start w:val="1"/>
      <w:numFmt w:val="decimal"/>
      <w:lvlText w:val="（%1）"/>
      <w:lvlJc w:val="left"/>
      <w:pPr>
        <w:ind w:left="3352" w:hanging="735"/>
        <w:jc w:val="left"/>
      </w:pPr>
      <w:rPr>
        <w:rFonts w:hint="default" w:ascii="宋体" w:hAnsi="宋体" w:eastAsia="宋体" w:cs="宋体"/>
        <w:w w:val="100"/>
        <w:sz w:val="21"/>
        <w:szCs w:val="21"/>
      </w:rPr>
    </w:lvl>
    <w:lvl w:ilvl="1">
      <w:start w:val="0"/>
      <w:numFmt w:val="bullet"/>
      <w:lvlText w:val="•"/>
      <w:lvlJc w:val="left"/>
      <w:pPr>
        <w:ind w:left="4024" w:hanging="735"/>
      </w:pPr>
      <w:rPr>
        <w:rFonts w:hint="default"/>
      </w:rPr>
    </w:lvl>
    <w:lvl w:ilvl="2">
      <w:start w:val="0"/>
      <w:numFmt w:val="bullet"/>
      <w:lvlText w:val="•"/>
      <w:lvlJc w:val="left"/>
      <w:pPr>
        <w:ind w:left="4688" w:hanging="735"/>
      </w:pPr>
      <w:rPr>
        <w:rFonts w:hint="default"/>
      </w:rPr>
    </w:lvl>
    <w:lvl w:ilvl="3">
      <w:start w:val="0"/>
      <w:numFmt w:val="bullet"/>
      <w:lvlText w:val="•"/>
      <w:lvlJc w:val="left"/>
      <w:pPr>
        <w:ind w:left="5352" w:hanging="735"/>
      </w:pPr>
      <w:rPr>
        <w:rFonts w:hint="default"/>
      </w:rPr>
    </w:lvl>
    <w:lvl w:ilvl="4">
      <w:start w:val="0"/>
      <w:numFmt w:val="bullet"/>
      <w:lvlText w:val="•"/>
      <w:lvlJc w:val="left"/>
      <w:pPr>
        <w:ind w:left="6016" w:hanging="735"/>
      </w:pPr>
      <w:rPr>
        <w:rFonts w:hint="default"/>
      </w:rPr>
    </w:lvl>
    <w:lvl w:ilvl="5">
      <w:start w:val="0"/>
      <w:numFmt w:val="bullet"/>
      <w:lvlText w:val="•"/>
      <w:lvlJc w:val="left"/>
      <w:pPr>
        <w:ind w:left="6680" w:hanging="735"/>
      </w:pPr>
      <w:rPr>
        <w:rFonts w:hint="default"/>
      </w:rPr>
    </w:lvl>
    <w:lvl w:ilvl="6">
      <w:start w:val="0"/>
      <w:numFmt w:val="bullet"/>
      <w:lvlText w:val="•"/>
      <w:lvlJc w:val="left"/>
      <w:pPr>
        <w:ind w:left="7344" w:hanging="735"/>
      </w:pPr>
      <w:rPr>
        <w:rFonts w:hint="default"/>
      </w:rPr>
    </w:lvl>
    <w:lvl w:ilvl="7">
      <w:start w:val="0"/>
      <w:numFmt w:val="bullet"/>
      <w:lvlText w:val="•"/>
      <w:lvlJc w:val="left"/>
      <w:pPr>
        <w:ind w:left="8008" w:hanging="735"/>
      </w:pPr>
      <w:rPr>
        <w:rFonts w:hint="default"/>
      </w:rPr>
    </w:lvl>
    <w:lvl w:ilvl="8">
      <w:start w:val="0"/>
      <w:numFmt w:val="bullet"/>
      <w:lvlText w:val="•"/>
      <w:lvlJc w:val="left"/>
      <w:pPr>
        <w:ind w:left="8672" w:hanging="735"/>
      </w:pPr>
      <w:rPr>
        <w:rFonts w:hint="default"/>
      </w:rPr>
    </w:lvl>
  </w:abstractNum>
  <w:abstractNum w:abstractNumId="9">
    <w:multiLevelType w:val="hybridMultilevel"/>
    <w:lvl w:ilvl="0">
      <w:start w:val="1"/>
      <w:numFmt w:val="decimal"/>
      <w:lvlText w:val="（%1）"/>
      <w:lvlJc w:val="left"/>
      <w:pPr>
        <w:ind w:left="961" w:hanging="740"/>
        <w:jc w:val="left"/>
      </w:pPr>
      <w:rPr>
        <w:rFonts w:hint="default" w:ascii="宋体" w:hAnsi="宋体" w:eastAsia="宋体" w:cs="宋体"/>
        <w:w w:val="100"/>
        <w:sz w:val="21"/>
        <w:szCs w:val="21"/>
      </w:rPr>
    </w:lvl>
    <w:lvl w:ilvl="1">
      <w:start w:val="0"/>
      <w:numFmt w:val="bullet"/>
      <w:lvlText w:val="•"/>
      <w:lvlJc w:val="left"/>
      <w:pPr>
        <w:ind w:left="1635" w:hanging="740"/>
      </w:pPr>
      <w:rPr>
        <w:rFonts w:hint="default"/>
      </w:rPr>
    </w:lvl>
    <w:lvl w:ilvl="2">
      <w:start w:val="0"/>
      <w:numFmt w:val="bullet"/>
      <w:lvlText w:val="•"/>
      <w:lvlJc w:val="left"/>
      <w:pPr>
        <w:ind w:left="2310" w:hanging="740"/>
      </w:pPr>
      <w:rPr>
        <w:rFonts w:hint="default"/>
      </w:rPr>
    </w:lvl>
    <w:lvl w:ilvl="3">
      <w:start w:val="0"/>
      <w:numFmt w:val="bullet"/>
      <w:lvlText w:val="•"/>
      <w:lvlJc w:val="left"/>
      <w:pPr>
        <w:ind w:left="2985" w:hanging="740"/>
      </w:pPr>
      <w:rPr>
        <w:rFonts w:hint="default"/>
      </w:rPr>
    </w:lvl>
    <w:lvl w:ilvl="4">
      <w:start w:val="0"/>
      <w:numFmt w:val="bullet"/>
      <w:lvlText w:val="•"/>
      <w:lvlJc w:val="left"/>
      <w:pPr>
        <w:ind w:left="3660" w:hanging="740"/>
      </w:pPr>
      <w:rPr>
        <w:rFonts w:hint="default"/>
      </w:rPr>
    </w:lvl>
    <w:lvl w:ilvl="5">
      <w:start w:val="0"/>
      <w:numFmt w:val="bullet"/>
      <w:lvlText w:val="•"/>
      <w:lvlJc w:val="left"/>
      <w:pPr>
        <w:ind w:left="4335" w:hanging="740"/>
      </w:pPr>
      <w:rPr>
        <w:rFonts w:hint="default"/>
      </w:rPr>
    </w:lvl>
    <w:lvl w:ilvl="6">
      <w:start w:val="0"/>
      <w:numFmt w:val="bullet"/>
      <w:lvlText w:val="•"/>
      <w:lvlJc w:val="left"/>
      <w:pPr>
        <w:ind w:left="5010" w:hanging="740"/>
      </w:pPr>
      <w:rPr>
        <w:rFonts w:hint="default"/>
      </w:rPr>
    </w:lvl>
    <w:lvl w:ilvl="7">
      <w:start w:val="0"/>
      <w:numFmt w:val="bullet"/>
      <w:lvlText w:val="•"/>
      <w:lvlJc w:val="left"/>
      <w:pPr>
        <w:ind w:left="5685" w:hanging="740"/>
      </w:pPr>
      <w:rPr>
        <w:rFonts w:hint="default"/>
      </w:rPr>
    </w:lvl>
    <w:lvl w:ilvl="8">
      <w:start w:val="0"/>
      <w:numFmt w:val="bullet"/>
      <w:lvlText w:val="•"/>
      <w:lvlJc w:val="left"/>
      <w:pPr>
        <w:ind w:left="6360" w:hanging="740"/>
      </w:pPr>
      <w:rPr>
        <w:rFonts w:hint="default"/>
      </w:rPr>
    </w:lvl>
  </w:abstractNum>
  <w:abstractNum w:abstractNumId="8">
    <w:multiLevelType w:val="hybridMultilevel"/>
    <w:lvl w:ilvl="0">
      <w:start w:val="1"/>
      <w:numFmt w:val="decimal"/>
      <w:lvlText w:val="（%1）"/>
      <w:lvlJc w:val="left"/>
      <w:pPr>
        <w:ind w:left="3126" w:hanging="735"/>
        <w:jc w:val="left"/>
      </w:pPr>
      <w:rPr>
        <w:rFonts w:hint="default" w:ascii="宋体" w:hAnsi="宋体" w:eastAsia="宋体" w:cs="宋体"/>
        <w:w w:val="100"/>
        <w:sz w:val="21"/>
        <w:szCs w:val="21"/>
      </w:rPr>
    </w:lvl>
    <w:lvl w:ilvl="1">
      <w:start w:val="0"/>
      <w:numFmt w:val="bullet"/>
      <w:lvlText w:val="•"/>
      <w:lvlJc w:val="left"/>
      <w:pPr>
        <w:ind w:left="3796" w:hanging="735"/>
      </w:pPr>
      <w:rPr>
        <w:rFonts w:hint="default"/>
      </w:rPr>
    </w:lvl>
    <w:lvl w:ilvl="2">
      <w:start w:val="0"/>
      <w:numFmt w:val="bullet"/>
      <w:lvlText w:val="•"/>
      <w:lvlJc w:val="left"/>
      <w:pPr>
        <w:ind w:left="4472" w:hanging="735"/>
      </w:pPr>
      <w:rPr>
        <w:rFonts w:hint="default"/>
      </w:rPr>
    </w:lvl>
    <w:lvl w:ilvl="3">
      <w:start w:val="0"/>
      <w:numFmt w:val="bullet"/>
      <w:lvlText w:val="•"/>
      <w:lvlJc w:val="left"/>
      <w:pPr>
        <w:ind w:left="5148" w:hanging="735"/>
      </w:pPr>
      <w:rPr>
        <w:rFonts w:hint="default"/>
      </w:rPr>
    </w:lvl>
    <w:lvl w:ilvl="4">
      <w:start w:val="0"/>
      <w:numFmt w:val="bullet"/>
      <w:lvlText w:val="•"/>
      <w:lvlJc w:val="left"/>
      <w:pPr>
        <w:ind w:left="5824" w:hanging="735"/>
      </w:pPr>
      <w:rPr>
        <w:rFonts w:hint="default"/>
      </w:rPr>
    </w:lvl>
    <w:lvl w:ilvl="5">
      <w:start w:val="0"/>
      <w:numFmt w:val="bullet"/>
      <w:lvlText w:val="•"/>
      <w:lvlJc w:val="left"/>
      <w:pPr>
        <w:ind w:left="6500" w:hanging="735"/>
      </w:pPr>
      <w:rPr>
        <w:rFonts w:hint="default"/>
      </w:rPr>
    </w:lvl>
    <w:lvl w:ilvl="6">
      <w:start w:val="0"/>
      <w:numFmt w:val="bullet"/>
      <w:lvlText w:val="•"/>
      <w:lvlJc w:val="left"/>
      <w:pPr>
        <w:ind w:left="7176" w:hanging="735"/>
      </w:pPr>
      <w:rPr>
        <w:rFonts w:hint="default"/>
      </w:rPr>
    </w:lvl>
    <w:lvl w:ilvl="7">
      <w:start w:val="0"/>
      <w:numFmt w:val="bullet"/>
      <w:lvlText w:val="•"/>
      <w:lvlJc w:val="left"/>
      <w:pPr>
        <w:ind w:left="7852" w:hanging="735"/>
      </w:pPr>
      <w:rPr>
        <w:rFonts w:hint="default"/>
      </w:rPr>
    </w:lvl>
    <w:lvl w:ilvl="8">
      <w:start w:val="0"/>
      <w:numFmt w:val="bullet"/>
      <w:lvlText w:val="•"/>
      <w:lvlJc w:val="left"/>
      <w:pPr>
        <w:ind w:left="8528" w:hanging="735"/>
      </w:pPr>
      <w:rPr>
        <w:rFonts w:hint="default"/>
      </w:rPr>
    </w:lvl>
  </w:abstractNum>
  <w:abstractNum w:abstractNumId="7">
    <w:multiLevelType w:val="hybridMultilevel"/>
    <w:lvl w:ilvl="0">
      <w:start w:val="1"/>
      <w:numFmt w:val="decimal"/>
      <w:lvlText w:val="（%1）"/>
      <w:lvlJc w:val="left"/>
      <w:pPr>
        <w:ind w:left="3112" w:hanging="740"/>
        <w:jc w:val="left"/>
      </w:pPr>
      <w:rPr>
        <w:rFonts w:hint="default" w:ascii="宋体" w:hAnsi="宋体" w:eastAsia="宋体" w:cs="宋体"/>
        <w:w w:val="100"/>
        <w:sz w:val="21"/>
        <w:szCs w:val="21"/>
      </w:rPr>
    </w:lvl>
    <w:lvl w:ilvl="1">
      <w:start w:val="0"/>
      <w:numFmt w:val="bullet"/>
      <w:lvlText w:val="•"/>
      <w:lvlJc w:val="left"/>
      <w:pPr>
        <w:ind w:left="3796" w:hanging="740"/>
      </w:pPr>
      <w:rPr>
        <w:rFonts w:hint="default"/>
      </w:rPr>
    </w:lvl>
    <w:lvl w:ilvl="2">
      <w:start w:val="0"/>
      <w:numFmt w:val="bullet"/>
      <w:lvlText w:val="•"/>
      <w:lvlJc w:val="left"/>
      <w:pPr>
        <w:ind w:left="4472" w:hanging="740"/>
      </w:pPr>
      <w:rPr>
        <w:rFonts w:hint="default"/>
      </w:rPr>
    </w:lvl>
    <w:lvl w:ilvl="3">
      <w:start w:val="0"/>
      <w:numFmt w:val="bullet"/>
      <w:lvlText w:val="•"/>
      <w:lvlJc w:val="left"/>
      <w:pPr>
        <w:ind w:left="5148" w:hanging="740"/>
      </w:pPr>
      <w:rPr>
        <w:rFonts w:hint="default"/>
      </w:rPr>
    </w:lvl>
    <w:lvl w:ilvl="4">
      <w:start w:val="0"/>
      <w:numFmt w:val="bullet"/>
      <w:lvlText w:val="•"/>
      <w:lvlJc w:val="left"/>
      <w:pPr>
        <w:ind w:left="5824" w:hanging="740"/>
      </w:pPr>
      <w:rPr>
        <w:rFonts w:hint="default"/>
      </w:rPr>
    </w:lvl>
    <w:lvl w:ilvl="5">
      <w:start w:val="0"/>
      <w:numFmt w:val="bullet"/>
      <w:lvlText w:val="•"/>
      <w:lvlJc w:val="left"/>
      <w:pPr>
        <w:ind w:left="6500" w:hanging="740"/>
      </w:pPr>
      <w:rPr>
        <w:rFonts w:hint="default"/>
      </w:rPr>
    </w:lvl>
    <w:lvl w:ilvl="6">
      <w:start w:val="0"/>
      <w:numFmt w:val="bullet"/>
      <w:lvlText w:val="•"/>
      <w:lvlJc w:val="left"/>
      <w:pPr>
        <w:ind w:left="7176" w:hanging="740"/>
      </w:pPr>
      <w:rPr>
        <w:rFonts w:hint="default"/>
      </w:rPr>
    </w:lvl>
    <w:lvl w:ilvl="7">
      <w:start w:val="0"/>
      <w:numFmt w:val="bullet"/>
      <w:lvlText w:val="•"/>
      <w:lvlJc w:val="left"/>
      <w:pPr>
        <w:ind w:left="7852" w:hanging="740"/>
      </w:pPr>
      <w:rPr>
        <w:rFonts w:hint="default"/>
      </w:rPr>
    </w:lvl>
    <w:lvl w:ilvl="8">
      <w:start w:val="0"/>
      <w:numFmt w:val="bullet"/>
      <w:lvlText w:val="•"/>
      <w:lvlJc w:val="left"/>
      <w:pPr>
        <w:ind w:left="8528" w:hanging="740"/>
      </w:pPr>
      <w:rPr>
        <w:rFonts w:hint="default"/>
      </w:rPr>
    </w:lvl>
  </w:abstractNum>
  <w:abstractNum w:abstractNumId="6">
    <w:multiLevelType w:val="hybridMultilevel"/>
    <w:lvl w:ilvl="0">
      <w:start w:val="1"/>
      <w:numFmt w:val="decimal"/>
      <w:lvlText w:val="（%1）"/>
      <w:lvlJc w:val="left"/>
      <w:pPr>
        <w:ind w:left="3131" w:hanging="740"/>
        <w:jc w:val="left"/>
      </w:pPr>
      <w:rPr>
        <w:rFonts w:hint="default" w:ascii="宋体" w:hAnsi="宋体" w:eastAsia="宋体" w:cs="宋体"/>
        <w:w w:val="100"/>
        <w:sz w:val="21"/>
        <w:szCs w:val="21"/>
      </w:rPr>
    </w:lvl>
    <w:lvl w:ilvl="1">
      <w:start w:val="0"/>
      <w:numFmt w:val="bullet"/>
      <w:lvlText w:val="•"/>
      <w:lvlJc w:val="left"/>
      <w:pPr>
        <w:ind w:left="3814" w:hanging="740"/>
      </w:pPr>
      <w:rPr>
        <w:rFonts w:hint="default"/>
      </w:rPr>
    </w:lvl>
    <w:lvl w:ilvl="2">
      <w:start w:val="0"/>
      <w:numFmt w:val="bullet"/>
      <w:lvlText w:val="•"/>
      <w:lvlJc w:val="left"/>
      <w:pPr>
        <w:ind w:left="4488" w:hanging="740"/>
      </w:pPr>
      <w:rPr>
        <w:rFonts w:hint="default"/>
      </w:rPr>
    </w:lvl>
    <w:lvl w:ilvl="3">
      <w:start w:val="0"/>
      <w:numFmt w:val="bullet"/>
      <w:lvlText w:val="•"/>
      <w:lvlJc w:val="left"/>
      <w:pPr>
        <w:ind w:left="5162" w:hanging="740"/>
      </w:pPr>
      <w:rPr>
        <w:rFonts w:hint="default"/>
      </w:rPr>
    </w:lvl>
    <w:lvl w:ilvl="4">
      <w:start w:val="0"/>
      <w:numFmt w:val="bullet"/>
      <w:lvlText w:val="•"/>
      <w:lvlJc w:val="left"/>
      <w:pPr>
        <w:ind w:left="5836" w:hanging="740"/>
      </w:pPr>
      <w:rPr>
        <w:rFonts w:hint="default"/>
      </w:rPr>
    </w:lvl>
    <w:lvl w:ilvl="5">
      <w:start w:val="0"/>
      <w:numFmt w:val="bullet"/>
      <w:lvlText w:val="•"/>
      <w:lvlJc w:val="left"/>
      <w:pPr>
        <w:ind w:left="6510" w:hanging="740"/>
      </w:pPr>
      <w:rPr>
        <w:rFonts w:hint="default"/>
      </w:rPr>
    </w:lvl>
    <w:lvl w:ilvl="6">
      <w:start w:val="0"/>
      <w:numFmt w:val="bullet"/>
      <w:lvlText w:val="•"/>
      <w:lvlJc w:val="left"/>
      <w:pPr>
        <w:ind w:left="7184" w:hanging="740"/>
      </w:pPr>
      <w:rPr>
        <w:rFonts w:hint="default"/>
      </w:rPr>
    </w:lvl>
    <w:lvl w:ilvl="7">
      <w:start w:val="0"/>
      <w:numFmt w:val="bullet"/>
      <w:lvlText w:val="•"/>
      <w:lvlJc w:val="left"/>
      <w:pPr>
        <w:ind w:left="7858" w:hanging="740"/>
      </w:pPr>
      <w:rPr>
        <w:rFonts w:hint="default"/>
      </w:rPr>
    </w:lvl>
    <w:lvl w:ilvl="8">
      <w:start w:val="0"/>
      <w:numFmt w:val="bullet"/>
      <w:lvlText w:val="•"/>
      <w:lvlJc w:val="left"/>
      <w:pPr>
        <w:ind w:left="8532" w:hanging="740"/>
      </w:pPr>
      <w:rPr>
        <w:rFonts w:hint="default"/>
      </w:rPr>
    </w:lvl>
  </w:abstractNum>
  <w:abstractNum w:abstractNumId="5">
    <w:multiLevelType w:val="hybridMultilevel"/>
    <w:lvl w:ilvl="0">
      <w:start w:val="1"/>
      <w:numFmt w:val="decimal"/>
      <w:lvlText w:val="（%1）"/>
      <w:lvlJc w:val="left"/>
      <w:pPr>
        <w:ind w:left="841" w:hanging="740"/>
        <w:jc w:val="left"/>
      </w:pPr>
      <w:rPr>
        <w:rFonts w:hint="default" w:ascii="宋体" w:hAnsi="宋体" w:eastAsia="宋体" w:cs="宋体"/>
        <w:w w:val="100"/>
        <w:sz w:val="21"/>
        <w:szCs w:val="21"/>
      </w:rPr>
    </w:lvl>
    <w:lvl w:ilvl="1">
      <w:start w:val="0"/>
      <w:numFmt w:val="bullet"/>
      <w:lvlText w:val="•"/>
      <w:lvlJc w:val="left"/>
      <w:pPr>
        <w:ind w:left="1515" w:hanging="740"/>
      </w:pPr>
      <w:rPr>
        <w:rFonts w:hint="default"/>
      </w:rPr>
    </w:lvl>
    <w:lvl w:ilvl="2">
      <w:start w:val="0"/>
      <w:numFmt w:val="bullet"/>
      <w:lvlText w:val="•"/>
      <w:lvlJc w:val="left"/>
      <w:pPr>
        <w:ind w:left="2190" w:hanging="740"/>
      </w:pPr>
      <w:rPr>
        <w:rFonts w:hint="default"/>
      </w:rPr>
    </w:lvl>
    <w:lvl w:ilvl="3">
      <w:start w:val="0"/>
      <w:numFmt w:val="bullet"/>
      <w:lvlText w:val="•"/>
      <w:lvlJc w:val="left"/>
      <w:pPr>
        <w:ind w:left="2865" w:hanging="740"/>
      </w:pPr>
      <w:rPr>
        <w:rFonts w:hint="default"/>
      </w:rPr>
    </w:lvl>
    <w:lvl w:ilvl="4">
      <w:start w:val="0"/>
      <w:numFmt w:val="bullet"/>
      <w:lvlText w:val="•"/>
      <w:lvlJc w:val="left"/>
      <w:pPr>
        <w:ind w:left="3540" w:hanging="740"/>
      </w:pPr>
      <w:rPr>
        <w:rFonts w:hint="default"/>
      </w:rPr>
    </w:lvl>
    <w:lvl w:ilvl="5">
      <w:start w:val="0"/>
      <w:numFmt w:val="bullet"/>
      <w:lvlText w:val="•"/>
      <w:lvlJc w:val="left"/>
      <w:pPr>
        <w:ind w:left="4215" w:hanging="740"/>
      </w:pPr>
      <w:rPr>
        <w:rFonts w:hint="default"/>
      </w:rPr>
    </w:lvl>
    <w:lvl w:ilvl="6">
      <w:start w:val="0"/>
      <w:numFmt w:val="bullet"/>
      <w:lvlText w:val="•"/>
      <w:lvlJc w:val="left"/>
      <w:pPr>
        <w:ind w:left="4890" w:hanging="740"/>
      </w:pPr>
      <w:rPr>
        <w:rFonts w:hint="default"/>
      </w:rPr>
    </w:lvl>
    <w:lvl w:ilvl="7">
      <w:start w:val="0"/>
      <w:numFmt w:val="bullet"/>
      <w:lvlText w:val="•"/>
      <w:lvlJc w:val="left"/>
      <w:pPr>
        <w:ind w:left="5565" w:hanging="740"/>
      </w:pPr>
      <w:rPr>
        <w:rFonts w:hint="default"/>
      </w:rPr>
    </w:lvl>
    <w:lvl w:ilvl="8">
      <w:start w:val="0"/>
      <w:numFmt w:val="bullet"/>
      <w:lvlText w:val="•"/>
      <w:lvlJc w:val="left"/>
      <w:pPr>
        <w:ind w:left="6240" w:hanging="740"/>
      </w:pPr>
      <w:rPr>
        <w:rFonts w:hint="default"/>
      </w:rPr>
    </w:lvl>
  </w:abstractNum>
  <w:abstractNum w:abstractNumId="4">
    <w:multiLevelType w:val="hybridMultilevel"/>
    <w:lvl w:ilvl="0">
      <w:start w:val="1"/>
      <w:numFmt w:val="decimal"/>
      <w:lvlText w:val="（%1）"/>
      <w:lvlJc w:val="left"/>
      <w:pPr>
        <w:ind w:left="3251" w:hanging="740"/>
        <w:jc w:val="left"/>
      </w:pPr>
      <w:rPr>
        <w:rFonts w:hint="default" w:ascii="黑体" w:hAnsi="黑体" w:eastAsia="黑体" w:cs="黑体"/>
        <w:w w:val="100"/>
        <w:sz w:val="21"/>
        <w:szCs w:val="21"/>
      </w:rPr>
    </w:lvl>
    <w:lvl w:ilvl="1">
      <w:start w:val="0"/>
      <w:numFmt w:val="bullet"/>
      <w:lvlText w:val="•"/>
      <w:lvlJc w:val="left"/>
      <w:pPr>
        <w:ind w:left="3934" w:hanging="740"/>
      </w:pPr>
      <w:rPr>
        <w:rFonts w:hint="default"/>
      </w:rPr>
    </w:lvl>
    <w:lvl w:ilvl="2">
      <w:start w:val="0"/>
      <w:numFmt w:val="bullet"/>
      <w:lvlText w:val="•"/>
      <w:lvlJc w:val="left"/>
      <w:pPr>
        <w:ind w:left="4608" w:hanging="740"/>
      </w:pPr>
      <w:rPr>
        <w:rFonts w:hint="default"/>
      </w:rPr>
    </w:lvl>
    <w:lvl w:ilvl="3">
      <w:start w:val="0"/>
      <w:numFmt w:val="bullet"/>
      <w:lvlText w:val="•"/>
      <w:lvlJc w:val="left"/>
      <w:pPr>
        <w:ind w:left="5282" w:hanging="740"/>
      </w:pPr>
      <w:rPr>
        <w:rFonts w:hint="default"/>
      </w:rPr>
    </w:lvl>
    <w:lvl w:ilvl="4">
      <w:start w:val="0"/>
      <w:numFmt w:val="bullet"/>
      <w:lvlText w:val="•"/>
      <w:lvlJc w:val="left"/>
      <w:pPr>
        <w:ind w:left="5956" w:hanging="740"/>
      </w:pPr>
      <w:rPr>
        <w:rFonts w:hint="default"/>
      </w:rPr>
    </w:lvl>
    <w:lvl w:ilvl="5">
      <w:start w:val="0"/>
      <w:numFmt w:val="bullet"/>
      <w:lvlText w:val="•"/>
      <w:lvlJc w:val="left"/>
      <w:pPr>
        <w:ind w:left="6630" w:hanging="740"/>
      </w:pPr>
      <w:rPr>
        <w:rFonts w:hint="default"/>
      </w:rPr>
    </w:lvl>
    <w:lvl w:ilvl="6">
      <w:start w:val="0"/>
      <w:numFmt w:val="bullet"/>
      <w:lvlText w:val="•"/>
      <w:lvlJc w:val="left"/>
      <w:pPr>
        <w:ind w:left="7304" w:hanging="740"/>
      </w:pPr>
      <w:rPr>
        <w:rFonts w:hint="default"/>
      </w:rPr>
    </w:lvl>
    <w:lvl w:ilvl="7">
      <w:start w:val="0"/>
      <w:numFmt w:val="bullet"/>
      <w:lvlText w:val="•"/>
      <w:lvlJc w:val="left"/>
      <w:pPr>
        <w:ind w:left="7978" w:hanging="740"/>
      </w:pPr>
      <w:rPr>
        <w:rFonts w:hint="default"/>
      </w:rPr>
    </w:lvl>
    <w:lvl w:ilvl="8">
      <w:start w:val="0"/>
      <w:numFmt w:val="bullet"/>
      <w:lvlText w:val="•"/>
      <w:lvlJc w:val="left"/>
      <w:pPr>
        <w:ind w:left="8652" w:hanging="740"/>
      </w:pPr>
      <w:rPr>
        <w:rFonts w:hint="default"/>
      </w:rPr>
    </w:lvl>
  </w:abstractNum>
  <w:abstractNum w:abstractNumId="3">
    <w:multiLevelType w:val="hybridMultilevel"/>
    <w:lvl w:ilvl="0">
      <w:start w:val="1"/>
      <w:numFmt w:val="decimal"/>
      <w:lvlText w:val="（%1）"/>
      <w:lvlJc w:val="left"/>
      <w:pPr>
        <w:ind w:left="3232" w:hanging="720"/>
        <w:jc w:val="left"/>
      </w:pPr>
      <w:rPr>
        <w:rFonts w:hint="default" w:ascii="宋体" w:hAnsi="宋体" w:eastAsia="宋体" w:cs="宋体"/>
        <w:w w:val="100"/>
        <w:sz w:val="21"/>
        <w:szCs w:val="21"/>
      </w:rPr>
    </w:lvl>
    <w:lvl w:ilvl="1">
      <w:start w:val="0"/>
      <w:numFmt w:val="bullet"/>
      <w:lvlText w:val="•"/>
      <w:lvlJc w:val="left"/>
      <w:pPr>
        <w:ind w:left="3916" w:hanging="720"/>
      </w:pPr>
      <w:rPr>
        <w:rFonts w:hint="default"/>
      </w:rPr>
    </w:lvl>
    <w:lvl w:ilvl="2">
      <w:start w:val="0"/>
      <w:numFmt w:val="bullet"/>
      <w:lvlText w:val="•"/>
      <w:lvlJc w:val="left"/>
      <w:pPr>
        <w:ind w:left="4592" w:hanging="720"/>
      </w:pPr>
      <w:rPr>
        <w:rFonts w:hint="default"/>
      </w:rPr>
    </w:lvl>
    <w:lvl w:ilvl="3">
      <w:start w:val="0"/>
      <w:numFmt w:val="bullet"/>
      <w:lvlText w:val="•"/>
      <w:lvlJc w:val="left"/>
      <w:pPr>
        <w:ind w:left="5268" w:hanging="720"/>
      </w:pPr>
      <w:rPr>
        <w:rFonts w:hint="default"/>
      </w:rPr>
    </w:lvl>
    <w:lvl w:ilvl="4">
      <w:start w:val="0"/>
      <w:numFmt w:val="bullet"/>
      <w:lvlText w:val="•"/>
      <w:lvlJc w:val="left"/>
      <w:pPr>
        <w:ind w:left="5944"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296" w:hanging="720"/>
      </w:pPr>
      <w:rPr>
        <w:rFonts w:hint="default"/>
      </w:rPr>
    </w:lvl>
    <w:lvl w:ilvl="7">
      <w:start w:val="0"/>
      <w:numFmt w:val="bullet"/>
      <w:lvlText w:val="•"/>
      <w:lvlJc w:val="left"/>
      <w:pPr>
        <w:ind w:left="7972" w:hanging="720"/>
      </w:pPr>
      <w:rPr>
        <w:rFonts w:hint="default"/>
      </w:rPr>
    </w:lvl>
    <w:lvl w:ilvl="8">
      <w:start w:val="0"/>
      <w:numFmt w:val="bullet"/>
      <w:lvlText w:val="•"/>
      <w:lvlJc w:val="left"/>
      <w:pPr>
        <w:ind w:left="8648" w:hanging="720"/>
      </w:pPr>
      <w:rPr>
        <w:rFonts w:hint="default"/>
      </w:rPr>
    </w:lvl>
  </w:abstractNum>
  <w:abstractNum w:abstractNumId="2">
    <w:multiLevelType w:val="hybridMultilevel"/>
    <w:lvl w:ilvl="0">
      <w:start w:val="1"/>
      <w:numFmt w:val="decimal"/>
      <w:lvlText w:val="（%1）"/>
      <w:lvlJc w:val="left"/>
      <w:pPr>
        <w:ind w:left="3232" w:hanging="720"/>
        <w:jc w:val="left"/>
      </w:pPr>
      <w:rPr>
        <w:rFonts w:hint="default" w:ascii="宋体" w:hAnsi="宋体" w:eastAsia="宋体" w:cs="宋体"/>
        <w:w w:val="100"/>
        <w:sz w:val="21"/>
        <w:szCs w:val="21"/>
      </w:rPr>
    </w:lvl>
    <w:lvl w:ilvl="1">
      <w:start w:val="0"/>
      <w:numFmt w:val="bullet"/>
      <w:lvlText w:val="•"/>
      <w:lvlJc w:val="left"/>
      <w:pPr>
        <w:ind w:left="3916" w:hanging="720"/>
      </w:pPr>
      <w:rPr>
        <w:rFonts w:hint="default"/>
      </w:rPr>
    </w:lvl>
    <w:lvl w:ilvl="2">
      <w:start w:val="0"/>
      <w:numFmt w:val="bullet"/>
      <w:lvlText w:val="•"/>
      <w:lvlJc w:val="left"/>
      <w:pPr>
        <w:ind w:left="4592" w:hanging="720"/>
      </w:pPr>
      <w:rPr>
        <w:rFonts w:hint="default"/>
      </w:rPr>
    </w:lvl>
    <w:lvl w:ilvl="3">
      <w:start w:val="0"/>
      <w:numFmt w:val="bullet"/>
      <w:lvlText w:val="•"/>
      <w:lvlJc w:val="left"/>
      <w:pPr>
        <w:ind w:left="5268" w:hanging="720"/>
      </w:pPr>
      <w:rPr>
        <w:rFonts w:hint="default"/>
      </w:rPr>
    </w:lvl>
    <w:lvl w:ilvl="4">
      <w:start w:val="0"/>
      <w:numFmt w:val="bullet"/>
      <w:lvlText w:val="•"/>
      <w:lvlJc w:val="left"/>
      <w:pPr>
        <w:ind w:left="5944"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296" w:hanging="720"/>
      </w:pPr>
      <w:rPr>
        <w:rFonts w:hint="default"/>
      </w:rPr>
    </w:lvl>
    <w:lvl w:ilvl="7">
      <w:start w:val="0"/>
      <w:numFmt w:val="bullet"/>
      <w:lvlText w:val="•"/>
      <w:lvlJc w:val="left"/>
      <w:pPr>
        <w:ind w:left="7972" w:hanging="720"/>
      </w:pPr>
      <w:rPr>
        <w:rFonts w:hint="default"/>
      </w:rPr>
    </w:lvl>
    <w:lvl w:ilvl="8">
      <w:start w:val="0"/>
      <w:numFmt w:val="bullet"/>
      <w:lvlText w:val="•"/>
      <w:lvlJc w:val="left"/>
      <w:pPr>
        <w:ind w:left="8648" w:hanging="720"/>
      </w:pPr>
      <w:rPr>
        <w:rFonts w:hint="default"/>
      </w:rPr>
    </w:lvl>
  </w:abstractNum>
  <w:abstractNum w:abstractNumId="1">
    <w:multiLevelType w:val="hybridMultilevel"/>
    <w:lvl w:ilvl="0">
      <w:start w:val="1"/>
      <w:numFmt w:val="decimal"/>
      <w:lvlText w:val="%1."/>
      <w:lvlJc w:val="left"/>
      <w:pPr>
        <w:ind w:left="932" w:hanging="711"/>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12" w:hanging="711"/>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32" w:hanging="720"/>
        <w:jc w:val="left"/>
      </w:pPr>
      <w:rPr>
        <w:rFonts w:hint="default"/>
        <w:w w:val="100"/>
      </w:rPr>
    </w:lvl>
    <w:lvl w:ilvl="3">
      <w:start w:val="0"/>
      <w:numFmt w:val="bullet"/>
      <w:lvlText w:val="•"/>
      <w:lvlJc w:val="left"/>
      <w:pPr>
        <w:ind w:left="3240" w:hanging="720"/>
      </w:pPr>
      <w:rPr>
        <w:rFonts w:hint="default"/>
      </w:rPr>
    </w:lvl>
    <w:lvl w:ilvl="4">
      <w:start w:val="0"/>
      <w:numFmt w:val="bullet"/>
      <w:lvlText w:val="•"/>
      <w:lvlJc w:val="left"/>
      <w:pPr>
        <w:ind w:left="3076" w:hanging="720"/>
      </w:pPr>
      <w:rPr>
        <w:rFonts w:hint="default"/>
      </w:rPr>
    </w:lvl>
    <w:lvl w:ilvl="5">
      <w:start w:val="0"/>
      <w:numFmt w:val="bullet"/>
      <w:lvlText w:val="•"/>
      <w:lvlJc w:val="left"/>
      <w:pPr>
        <w:ind w:left="2912" w:hanging="720"/>
      </w:pPr>
      <w:rPr>
        <w:rFonts w:hint="default"/>
      </w:rPr>
    </w:lvl>
    <w:lvl w:ilvl="6">
      <w:start w:val="0"/>
      <w:numFmt w:val="bullet"/>
      <w:lvlText w:val="•"/>
      <w:lvlJc w:val="left"/>
      <w:pPr>
        <w:ind w:left="2748" w:hanging="720"/>
      </w:pPr>
      <w:rPr>
        <w:rFonts w:hint="default"/>
      </w:rPr>
    </w:lvl>
    <w:lvl w:ilvl="7">
      <w:start w:val="0"/>
      <w:numFmt w:val="bullet"/>
      <w:lvlText w:val="•"/>
      <w:lvlJc w:val="left"/>
      <w:pPr>
        <w:ind w:left="2585" w:hanging="720"/>
      </w:pPr>
      <w:rPr>
        <w:rFonts w:hint="default"/>
      </w:rPr>
    </w:lvl>
    <w:lvl w:ilvl="8">
      <w:start w:val="0"/>
      <w:numFmt w:val="bullet"/>
      <w:lvlText w:val="•"/>
      <w:lvlJc w:val="left"/>
      <w:pPr>
        <w:ind w:left="2421" w:hanging="720"/>
      </w:pPr>
      <w:rPr>
        <w:rFonts w:hint="default"/>
      </w:rPr>
    </w:lvl>
  </w:abstractNum>
  <w:abstractNum w:abstractNumId="0">
    <w:multiLevelType w:val="hybridMultilevel"/>
    <w:lvl w:ilvl="0">
      <w:start w:val="0"/>
      <w:numFmt w:val="bullet"/>
      <w:lvlText w:val=""/>
      <w:lvlJc w:val="left"/>
      <w:pPr>
        <w:ind w:left="1634" w:hanging="418"/>
      </w:pPr>
      <w:rPr>
        <w:rFonts w:hint="default" w:ascii="Wingdings" w:hAnsi="Wingdings" w:eastAsia="Wingdings" w:cs="Wingdings"/>
        <w:w w:val="100"/>
        <w:sz w:val="21"/>
        <w:szCs w:val="21"/>
      </w:rPr>
    </w:lvl>
    <w:lvl w:ilvl="1">
      <w:start w:val="0"/>
      <w:numFmt w:val="bullet"/>
      <w:lvlText w:val="•"/>
      <w:lvlJc w:val="left"/>
      <w:pPr>
        <w:ind w:left="2550" w:hanging="418"/>
      </w:pPr>
      <w:rPr>
        <w:rFonts w:hint="default"/>
      </w:rPr>
    </w:lvl>
    <w:lvl w:ilvl="2">
      <w:start w:val="0"/>
      <w:numFmt w:val="bullet"/>
      <w:lvlText w:val="•"/>
      <w:lvlJc w:val="left"/>
      <w:pPr>
        <w:ind w:left="3460" w:hanging="418"/>
      </w:pPr>
      <w:rPr>
        <w:rFonts w:hint="default"/>
      </w:rPr>
    </w:lvl>
    <w:lvl w:ilvl="3">
      <w:start w:val="0"/>
      <w:numFmt w:val="bullet"/>
      <w:lvlText w:val="•"/>
      <w:lvlJc w:val="left"/>
      <w:pPr>
        <w:ind w:left="4370" w:hanging="418"/>
      </w:pPr>
      <w:rPr>
        <w:rFonts w:hint="default"/>
      </w:rPr>
    </w:lvl>
    <w:lvl w:ilvl="4">
      <w:start w:val="0"/>
      <w:numFmt w:val="bullet"/>
      <w:lvlText w:val="•"/>
      <w:lvlJc w:val="left"/>
      <w:pPr>
        <w:ind w:left="5280" w:hanging="418"/>
      </w:pPr>
      <w:rPr>
        <w:rFonts w:hint="default"/>
      </w:rPr>
    </w:lvl>
    <w:lvl w:ilvl="5">
      <w:start w:val="0"/>
      <w:numFmt w:val="bullet"/>
      <w:lvlText w:val="•"/>
      <w:lvlJc w:val="left"/>
      <w:pPr>
        <w:ind w:left="6190" w:hanging="418"/>
      </w:pPr>
      <w:rPr>
        <w:rFonts w:hint="default"/>
      </w:rPr>
    </w:lvl>
    <w:lvl w:ilvl="6">
      <w:start w:val="0"/>
      <w:numFmt w:val="bullet"/>
      <w:lvlText w:val="•"/>
      <w:lvlJc w:val="left"/>
      <w:pPr>
        <w:ind w:left="7100" w:hanging="418"/>
      </w:pPr>
      <w:rPr>
        <w:rFonts w:hint="default"/>
      </w:rPr>
    </w:lvl>
    <w:lvl w:ilvl="7">
      <w:start w:val="0"/>
      <w:numFmt w:val="bullet"/>
      <w:lvlText w:val="•"/>
      <w:lvlJc w:val="left"/>
      <w:pPr>
        <w:ind w:left="8010" w:hanging="418"/>
      </w:pPr>
      <w:rPr>
        <w:rFonts w:hint="default"/>
      </w:rPr>
    </w:lvl>
    <w:lvl w:ilvl="8">
      <w:start w:val="0"/>
      <w:numFmt w:val="bullet"/>
      <w:lvlText w:val="•"/>
      <w:lvlJc w:val="left"/>
      <w:pPr>
        <w:ind w:left="8920" w:hanging="41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12"/>
    </w:pPr>
    <w:rPr>
      <w:rFonts w:ascii="宋体" w:hAnsi="宋体" w:eastAsia="宋体" w:cs="宋体"/>
      <w:sz w:val="21"/>
      <w:szCs w:val="21"/>
    </w:rPr>
  </w:style>
  <w:style w:styleId="Heading1" w:type="paragraph">
    <w:name w:val="Heading 1"/>
    <w:basedOn w:val="Normal"/>
    <w:uiPriority w:val="1"/>
    <w:qFormat/>
    <w:pPr>
      <w:ind w:left="2042"/>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spacing w:before="10"/>
      <w:ind w:left="932" w:hanging="71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62"/>
      <w:outlineLvl w:val="3"/>
    </w:pPr>
    <w:rPr>
      <w:rFonts w:ascii="宋体" w:hAnsi="宋体" w:eastAsia="宋体" w:cs="宋体"/>
      <w:sz w:val="24"/>
      <w:szCs w:val="24"/>
    </w:rPr>
  </w:style>
  <w:style w:styleId="Heading4" w:type="paragraph">
    <w:name w:val="Heading 4"/>
    <w:basedOn w:val="Normal"/>
    <w:uiPriority w:val="1"/>
    <w:qFormat/>
    <w:pPr>
      <w:ind w:left="812"/>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512" w:hanging="229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2018-10-20T03:12:36Z</dcterms:created>
  <dcterms:modified xsi:type="dcterms:W3CDTF">2018-10-20T03:12:36Z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LastSaved">
    <vt:filetime>2018-10-19T00:00:00Z</vt:filetime>
  </property>
</Properties>
</file>