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rPr>
          <w:rFonts w:ascii="Times New Roman"/>
          <w:sz w:val="33"/>
        </w:rPr>
      </w:pPr>
    </w:p>
    <w:p>
      <w:pPr>
        <w:spacing w:before="0"/>
        <w:ind w:left="218" w:right="0" w:firstLine="0"/>
        <w:jc w:val="left"/>
        <w:rPr>
          <w:rFonts w:ascii="黑体" w:eastAsia="黑体" w:hint="eastAsia"/>
          <w:sz w:val="32"/>
        </w:rPr>
      </w:pPr>
      <w:r>
        <w:rPr>
          <w:rFonts w:ascii="黑体" w:eastAsia="黑体" w:hint="eastAsia"/>
          <w:spacing w:val="-27"/>
          <w:sz w:val="32"/>
        </w:rPr>
        <w:t>附件 </w:t>
      </w:r>
      <w:r>
        <w:rPr>
          <w:rFonts w:ascii="黑体" w:eastAsia="黑体" w:hint="eastAsia"/>
          <w:sz w:val="32"/>
        </w:rPr>
        <w:t>4</w:t>
      </w:r>
    </w:p>
    <w:p>
      <w:pPr>
        <w:pStyle w:val="BodyText"/>
        <w:rPr>
          <w:rFonts w:ascii="黑体"/>
          <w:sz w:val="32"/>
        </w:rPr>
      </w:pPr>
      <w:r>
        <w:rPr/>
        <w:br w:type="column"/>
      </w:r>
      <w:r>
        <w:rPr>
          <w:rFonts w:ascii="黑体"/>
          <w:sz w:val="32"/>
        </w:rPr>
      </w:r>
    </w:p>
    <w:p>
      <w:pPr>
        <w:spacing w:before="266"/>
        <w:ind w:left="306" w:right="92" w:firstLine="0"/>
        <w:jc w:val="center"/>
        <w:rPr>
          <w:rFonts w:ascii="黑体" w:eastAsia="黑体" w:hint="eastAsia"/>
          <w:b/>
          <w:sz w:val="32"/>
        </w:rPr>
      </w:pPr>
      <w:r>
        <w:rPr>
          <w:rFonts w:ascii="黑体" w:eastAsia="黑体" w:hint="eastAsia"/>
          <w:b/>
          <w:w w:val="95"/>
          <w:sz w:val="32"/>
        </w:rPr>
        <w:t>中韩人寿保险有限公司</w:t>
      </w:r>
    </w:p>
    <w:p>
      <w:pPr>
        <w:spacing w:before="205"/>
        <w:ind w:left="310" w:right="92" w:firstLine="0"/>
        <w:jc w:val="center"/>
        <w:rPr>
          <w:rFonts w:ascii="黑体" w:eastAsia="黑体" w:hint="eastAsia"/>
          <w:b/>
          <w:sz w:val="32"/>
        </w:rPr>
      </w:pPr>
      <w:r>
        <w:rPr>
          <w:rFonts w:ascii="黑体" w:eastAsia="黑体" w:hint="eastAsia"/>
          <w:b/>
          <w:w w:val="95"/>
          <w:sz w:val="32"/>
        </w:rPr>
        <w:t>中韩臻佑终身重大疾病保险条款</w:t>
      </w:r>
    </w:p>
    <w:p>
      <w:pPr>
        <w:spacing w:before="113"/>
        <w:ind w:left="310" w:right="90" w:firstLine="0"/>
        <w:jc w:val="center"/>
        <w:rPr>
          <w:rFonts w:ascii="黑体" w:eastAsia="黑体" w:hint="eastAsia"/>
          <w:b/>
          <w:sz w:val="24"/>
        </w:rPr>
      </w:pPr>
      <w:r>
        <w:rPr>
          <w:rFonts w:ascii="黑体" w:eastAsia="黑体" w:hint="eastAsia"/>
          <w:b/>
          <w:sz w:val="24"/>
        </w:rPr>
        <w:t>阅 读 指 引</w:t>
      </w:r>
    </w:p>
    <w:p>
      <w:pPr>
        <w:pStyle w:val="BodyText"/>
        <w:spacing w:before="6"/>
        <w:ind w:left="177"/>
      </w:pPr>
      <w:r>
        <w:rPr/>
        <w:br w:type="column"/>
      </w:r>
      <w:r>
        <w:rPr/>
        <w:t>中韩人寿〔2016〕疾病保险 007 号</w:t>
      </w:r>
    </w:p>
    <w:p>
      <w:pPr>
        <w:pStyle w:val="BodyText"/>
        <w:spacing w:before="10"/>
        <w:rPr>
          <w:sz w:val="7"/>
        </w:rPr>
      </w:pPr>
    </w:p>
    <w:p>
      <w:pPr>
        <w:pStyle w:val="BodyText"/>
        <w:ind w:left="1284"/>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pStyle w:val="BodyText"/>
        <w:spacing w:before="43"/>
        <w:ind w:left="862"/>
      </w:pPr>
      <w:r>
        <w:rPr/>
        <w:t>请扫描以查询验证条款</w:t>
      </w:r>
    </w:p>
    <w:p>
      <w:pPr>
        <w:spacing w:after="0"/>
        <w:sectPr>
          <w:type w:val="continuous"/>
          <w:pgSz w:w="11910" w:h="16840"/>
          <w:pgMar w:top="200" w:bottom="280" w:left="1020" w:right="220"/>
          <w:cols w:num="3" w:equalWidth="0">
            <w:col w:w="1101" w:space="1364"/>
            <w:col w:w="4716" w:space="40"/>
            <w:col w:w="3449"/>
          </w:cols>
        </w:sectPr>
      </w:pPr>
    </w:p>
    <w:p>
      <w:pPr>
        <w:pStyle w:val="BodyText"/>
        <w:spacing w:before="28"/>
        <w:ind w:left="1884"/>
        <w:rPr>
          <w:rFonts w:ascii="黑体" w:eastAsia="黑体" w:hint="eastAsia"/>
        </w:rPr>
      </w:pPr>
      <w:r>
        <w:rPr/>
        <w:pict>
          <v:shapetype id="_x0000_t202" o:spt="202" coordsize="21600,21600" path="m,l,21600r21600,l21600,xe">
            <v:stroke joinstyle="miter"/>
            <v:path gradientshapeok="t" o:connecttype="rect"/>
          </v:shapetype>
          <v:shape style="position:absolute;margin-left:56.639999pt;margin-top:18.465115pt;width:24.55pt;height:27.5pt;mso-position-horizontal-relative:page;mso-position-vertical-relative:paragraph;z-index:-86416" type="#_x0000_t202" filled="false" stroked="false">
            <v:textbox inset="0,0,0,0">
              <w:txbxContent>
                <w:p>
                  <w:pPr>
                    <w:spacing w:line="549"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rFonts w:ascii="黑体" w:eastAsia="黑体" w:hint="eastAsia"/>
          <w:spacing w:val="-149"/>
          <w:w w:val="100"/>
        </w:rPr>
        <w:t>本</w:t>
      </w:r>
      <w:r>
        <w:rPr>
          <w:spacing w:val="-63"/>
          <w:w w:val="100"/>
          <w:position w:val="-7"/>
        </w:rPr>
        <w:t>．</w:t>
      </w:r>
      <w:r>
        <w:rPr>
          <w:rFonts w:ascii="黑体" w:eastAsia="黑体" w:hint="eastAsia"/>
          <w:spacing w:val="-149"/>
          <w:w w:val="100"/>
        </w:rPr>
        <w:t>阅</w:t>
      </w:r>
      <w:r>
        <w:rPr>
          <w:spacing w:val="-63"/>
          <w:w w:val="100"/>
          <w:position w:val="-7"/>
        </w:rPr>
        <w:t>．</w:t>
      </w:r>
      <w:r>
        <w:rPr>
          <w:rFonts w:ascii="黑体" w:eastAsia="黑体" w:hint="eastAsia"/>
          <w:spacing w:val="-152"/>
          <w:w w:val="100"/>
        </w:rPr>
        <w:t>读</w:t>
      </w:r>
      <w:r>
        <w:rPr>
          <w:spacing w:val="-63"/>
          <w:w w:val="100"/>
          <w:position w:val="-7"/>
        </w:rPr>
        <w:t>．</w:t>
      </w:r>
      <w:r>
        <w:rPr>
          <w:rFonts w:ascii="黑体" w:eastAsia="黑体" w:hint="eastAsia"/>
          <w:spacing w:val="-149"/>
          <w:w w:val="100"/>
        </w:rPr>
        <w:t>指</w:t>
      </w:r>
      <w:r>
        <w:rPr>
          <w:spacing w:val="-63"/>
          <w:w w:val="100"/>
          <w:position w:val="-7"/>
        </w:rPr>
        <w:t>．</w:t>
      </w:r>
      <w:r>
        <w:rPr>
          <w:rFonts w:ascii="黑体" w:eastAsia="黑体" w:hint="eastAsia"/>
          <w:spacing w:val="-151"/>
          <w:w w:val="100"/>
        </w:rPr>
        <w:t>引</w:t>
      </w:r>
      <w:r>
        <w:rPr>
          <w:spacing w:val="-63"/>
          <w:w w:val="100"/>
          <w:position w:val="-7"/>
        </w:rPr>
        <w:t>．</w:t>
      </w:r>
      <w:r>
        <w:rPr>
          <w:rFonts w:ascii="黑体" w:eastAsia="黑体" w:hint="eastAsia"/>
          <w:spacing w:val="-149"/>
          <w:w w:val="100"/>
        </w:rPr>
        <w:t>有</w:t>
      </w:r>
      <w:r>
        <w:rPr>
          <w:spacing w:val="-63"/>
          <w:w w:val="100"/>
          <w:position w:val="-7"/>
        </w:rPr>
        <w:t>．</w:t>
      </w:r>
      <w:r>
        <w:rPr>
          <w:rFonts w:ascii="黑体" w:eastAsia="黑体" w:hint="eastAsia"/>
          <w:spacing w:val="-151"/>
          <w:w w:val="100"/>
        </w:rPr>
        <w:t>助</w:t>
      </w:r>
      <w:r>
        <w:rPr>
          <w:spacing w:val="-63"/>
          <w:w w:val="100"/>
          <w:position w:val="-7"/>
        </w:rPr>
        <w:t>．</w:t>
      </w:r>
      <w:r>
        <w:rPr>
          <w:rFonts w:ascii="黑体" w:eastAsia="黑体" w:hint="eastAsia"/>
          <w:spacing w:val="-149"/>
          <w:w w:val="100"/>
        </w:rPr>
        <w:t>于</w:t>
      </w:r>
      <w:r>
        <w:rPr>
          <w:spacing w:val="-63"/>
          <w:w w:val="100"/>
          <w:position w:val="-7"/>
        </w:rPr>
        <w:t>．</w:t>
      </w:r>
      <w:r>
        <w:rPr>
          <w:rFonts w:ascii="黑体" w:eastAsia="黑体" w:hint="eastAsia"/>
          <w:spacing w:val="-151"/>
          <w:w w:val="100"/>
        </w:rPr>
        <w:t>您</w:t>
      </w:r>
      <w:r>
        <w:rPr>
          <w:spacing w:val="-63"/>
          <w:w w:val="100"/>
          <w:position w:val="-7"/>
        </w:rPr>
        <w:t>．</w:t>
      </w:r>
      <w:r>
        <w:rPr>
          <w:rFonts w:ascii="黑体" w:eastAsia="黑体" w:hint="eastAsia"/>
          <w:spacing w:val="-149"/>
          <w:w w:val="100"/>
        </w:rPr>
        <w:t>理</w:t>
      </w:r>
      <w:r>
        <w:rPr>
          <w:spacing w:val="-63"/>
          <w:w w:val="100"/>
          <w:position w:val="-7"/>
        </w:rPr>
        <w:t>．</w:t>
      </w:r>
      <w:r>
        <w:rPr>
          <w:rFonts w:ascii="黑体" w:eastAsia="黑体" w:hint="eastAsia"/>
          <w:spacing w:val="-151"/>
          <w:w w:val="100"/>
        </w:rPr>
        <w:t>解</w:t>
      </w:r>
      <w:r>
        <w:rPr>
          <w:spacing w:val="-63"/>
          <w:w w:val="100"/>
          <w:position w:val="-7"/>
        </w:rPr>
        <w:t>．</w:t>
      </w:r>
      <w:r>
        <w:rPr>
          <w:rFonts w:ascii="黑体" w:eastAsia="黑体" w:hint="eastAsia"/>
          <w:spacing w:val="-149"/>
          <w:w w:val="100"/>
        </w:rPr>
        <w:t>条</w:t>
      </w:r>
      <w:r>
        <w:rPr>
          <w:spacing w:val="-63"/>
          <w:w w:val="100"/>
          <w:position w:val="-7"/>
        </w:rPr>
        <w:t>．</w:t>
      </w:r>
      <w:r>
        <w:rPr>
          <w:rFonts w:ascii="黑体" w:eastAsia="黑体" w:hint="eastAsia"/>
          <w:spacing w:val="-149"/>
          <w:w w:val="100"/>
        </w:rPr>
        <w:t>款</w:t>
      </w:r>
      <w:r>
        <w:rPr>
          <w:spacing w:val="-63"/>
          <w:w w:val="100"/>
          <w:position w:val="-7"/>
        </w:rPr>
        <w:t>．</w:t>
      </w:r>
      <w:r>
        <w:rPr>
          <w:rFonts w:ascii="黑体" w:eastAsia="黑体" w:hint="eastAsia"/>
          <w:spacing w:val="-151"/>
          <w:w w:val="100"/>
        </w:rPr>
        <w:t>，</w:t>
      </w:r>
      <w:r>
        <w:rPr>
          <w:spacing w:val="-63"/>
          <w:w w:val="100"/>
          <w:position w:val="-7"/>
        </w:rPr>
        <w:t>．</w:t>
      </w:r>
      <w:r>
        <w:rPr>
          <w:rFonts w:ascii="黑体" w:eastAsia="黑体" w:hint="eastAsia"/>
          <w:spacing w:val="-149"/>
          <w:w w:val="100"/>
        </w:rPr>
        <w:t>对</w:t>
      </w:r>
      <w:r>
        <w:rPr>
          <w:spacing w:val="-63"/>
          <w:w w:val="100"/>
          <w:position w:val="-7"/>
        </w:rPr>
        <w:t>．</w:t>
      </w:r>
      <w:r>
        <w:rPr>
          <w:rFonts w:ascii="黑体" w:eastAsia="黑体" w:hint="eastAsia"/>
          <w:spacing w:val="-152"/>
          <w:w w:val="100"/>
        </w:rPr>
        <w:t>本</w:t>
      </w:r>
      <w:r>
        <w:rPr>
          <w:spacing w:val="-63"/>
          <w:w w:val="100"/>
          <w:position w:val="-7"/>
        </w:rPr>
        <w:t>．</w:t>
      </w:r>
      <w:r>
        <w:rPr>
          <w:rFonts w:ascii="黑体" w:eastAsia="黑体" w:hint="eastAsia"/>
          <w:spacing w:val="-149"/>
          <w:w w:val="100"/>
        </w:rPr>
        <w:t>合</w:t>
      </w:r>
      <w:r>
        <w:rPr>
          <w:spacing w:val="-63"/>
          <w:w w:val="100"/>
          <w:position w:val="-7"/>
        </w:rPr>
        <w:t>．</w:t>
      </w:r>
      <w:r>
        <w:rPr>
          <w:rFonts w:ascii="黑体" w:eastAsia="黑体" w:hint="eastAsia"/>
          <w:spacing w:val="-151"/>
          <w:w w:val="100"/>
        </w:rPr>
        <w:t>同</w:t>
      </w:r>
      <w:r>
        <w:rPr>
          <w:spacing w:val="-63"/>
          <w:w w:val="100"/>
          <w:position w:val="-7"/>
        </w:rPr>
        <w:t>．</w:t>
      </w:r>
      <w:r>
        <w:rPr>
          <w:rFonts w:ascii="黑体" w:eastAsia="黑体" w:hint="eastAsia"/>
          <w:spacing w:val="-149"/>
          <w:w w:val="100"/>
        </w:rPr>
        <w:t>内</w:t>
      </w:r>
      <w:r>
        <w:rPr>
          <w:spacing w:val="-63"/>
          <w:w w:val="100"/>
          <w:position w:val="-7"/>
        </w:rPr>
        <w:t>．</w:t>
      </w:r>
      <w:r>
        <w:rPr>
          <w:rFonts w:ascii="黑体" w:eastAsia="黑体" w:hint="eastAsia"/>
          <w:spacing w:val="-151"/>
          <w:w w:val="100"/>
        </w:rPr>
        <w:t>容</w:t>
      </w:r>
      <w:r>
        <w:rPr>
          <w:spacing w:val="-63"/>
          <w:w w:val="100"/>
          <w:position w:val="-7"/>
        </w:rPr>
        <w:t>．</w:t>
      </w:r>
      <w:r>
        <w:rPr>
          <w:rFonts w:ascii="黑体" w:eastAsia="黑体" w:hint="eastAsia"/>
          <w:spacing w:val="-149"/>
          <w:w w:val="100"/>
        </w:rPr>
        <w:t>的</w:t>
      </w:r>
      <w:r>
        <w:rPr>
          <w:spacing w:val="-63"/>
          <w:w w:val="100"/>
          <w:position w:val="-7"/>
        </w:rPr>
        <w:t>．</w:t>
      </w:r>
      <w:r>
        <w:rPr>
          <w:rFonts w:ascii="黑体" w:eastAsia="黑体" w:hint="eastAsia"/>
          <w:spacing w:val="-151"/>
          <w:w w:val="100"/>
        </w:rPr>
        <w:t>解</w:t>
      </w:r>
      <w:r>
        <w:rPr>
          <w:spacing w:val="-63"/>
          <w:w w:val="100"/>
          <w:position w:val="-7"/>
        </w:rPr>
        <w:t>．</w:t>
      </w:r>
      <w:r>
        <w:rPr>
          <w:rFonts w:ascii="黑体" w:eastAsia="黑体" w:hint="eastAsia"/>
          <w:spacing w:val="-149"/>
          <w:w w:val="100"/>
        </w:rPr>
        <w:t>释</w:t>
      </w:r>
      <w:r>
        <w:rPr>
          <w:spacing w:val="-63"/>
          <w:w w:val="100"/>
          <w:position w:val="-7"/>
        </w:rPr>
        <w:t>．</w:t>
      </w:r>
      <w:r>
        <w:rPr>
          <w:rFonts w:ascii="黑体" w:eastAsia="黑体" w:hint="eastAsia"/>
          <w:spacing w:val="-149"/>
          <w:w w:val="100"/>
        </w:rPr>
        <w:t>以</w:t>
      </w:r>
      <w:r>
        <w:rPr>
          <w:spacing w:val="-63"/>
          <w:w w:val="100"/>
          <w:position w:val="-7"/>
        </w:rPr>
        <w:t>．</w:t>
      </w:r>
      <w:r>
        <w:rPr>
          <w:rFonts w:ascii="黑体" w:eastAsia="黑体" w:hint="eastAsia"/>
          <w:spacing w:val="-151"/>
          <w:w w:val="100"/>
        </w:rPr>
        <w:t>条</w:t>
      </w:r>
      <w:r>
        <w:rPr>
          <w:spacing w:val="-63"/>
          <w:w w:val="100"/>
          <w:position w:val="-7"/>
        </w:rPr>
        <w:t>．</w:t>
      </w:r>
      <w:r>
        <w:rPr>
          <w:rFonts w:ascii="黑体" w:eastAsia="黑体" w:hint="eastAsia"/>
          <w:spacing w:val="-149"/>
          <w:w w:val="100"/>
        </w:rPr>
        <w:t>款</w:t>
      </w:r>
      <w:r>
        <w:rPr>
          <w:spacing w:val="-63"/>
          <w:w w:val="100"/>
          <w:position w:val="-7"/>
        </w:rPr>
        <w:t>．</w:t>
      </w:r>
      <w:r>
        <w:rPr>
          <w:rFonts w:ascii="黑体" w:eastAsia="黑体" w:hint="eastAsia"/>
          <w:spacing w:val="-152"/>
          <w:w w:val="100"/>
        </w:rPr>
        <w:t>为</w:t>
      </w:r>
      <w:r>
        <w:rPr>
          <w:spacing w:val="-63"/>
          <w:w w:val="100"/>
          <w:position w:val="-7"/>
        </w:rPr>
        <w:t>．</w:t>
      </w:r>
      <w:r>
        <w:rPr>
          <w:rFonts w:ascii="黑体" w:eastAsia="黑体" w:hint="eastAsia"/>
          <w:spacing w:val="-149"/>
          <w:w w:val="100"/>
        </w:rPr>
        <w:t>准</w:t>
      </w:r>
      <w:r>
        <w:rPr>
          <w:spacing w:val="-63"/>
          <w:w w:val="100"/>
          <w:position w:val="-7"/>
        </w:rPr>
        <w:t>．</w:t>
      </w:r>
      <w:r>
        <w:rPr>
          <w:rFonts w:ascii="黑体" w:eastAsia="黑体" w:hint="eastAsia"/>
          <w:w w:val="100"/>
        </w:rPr>
        <w:t>。</w:t>
      </w:r>
    </w:p>
    <w:p>
      <w:pPr>
        <w:pStyle w:val="Heading1"/>
        <w:spacing w:before="60"/>
        <w:ind w:left="842"/>
      </w:pPr>
      <w:r>
        <w:rPr/>
        <w:t>您拥有的重要权益</w:t>
      </w:r>
    </w:p>
    <w:p>
      <w:pPr>
        <w:pStyle w:val="ListParagraph"/>
        <w:numPr>
          <w:ilvl w:val="0"/>
          <w:numId w:val="1"/>
        </w:numPr>
        <w:tabs>
          <w:tab w:pos="849" w:val="left" w:leader="none"/>
          <w:tab w:pos="851" w:val="left" w:leader="none"/>
          <w:tab w:pos="9755" w:val="right" w:leader="dot"/>
        </w:tabs>
        <w:spacing w:line="240" w:lineRule="auto" w:before="27" w:after="0"/>
        <w:ind w:left="850" w:right="0" w:hanging="454"/>
        <w:jc w:val="left"/>
        <w:rPr>
          <w:sz w:val="21"/>
        </w:rPr>
      </w:pPr>
      <w:r>
        <w:rPr>
          <w:sz w:val="21"/>
        </w:rPr>
        <w:t>在犹豫期内您若要求退保，我们退还保险费</w:t>
        <w:tab/>
        <w:t>1.5</w:t>
      </w:r>
    </w:p>
    <w:p>
      <w:pPr>
        <w:pStyle w:val="ListParagraph"/>
        <w:numPr>
          <w:ilvl w:val="0"/>
          <w:numId w:val="1"/>
        </w:numPr>
        <w:tabs>
          <w:tab w:pos="849" w:val="left" w:leader="none"/>
          <w:tab w:pos="851" w:val="left" w:leader="none"/>
          <w:tab w:pos="9755" w:val="right" w:leader="dot"/>
        </w:tabs>
        <w:spacing w:line="240" w:lineRule="auto" w:before="22" w:after="0"/>
        <w:ind w:left="850" w:right="0" w:hanging="454"/>
        <w:jc w:val="left"/>
        <w:rPr>
          <w:sz w:val="21"/>
        </w:rPr>
      </w:pPr>
      <w:r>
        <w:rPr>
          <w:spacing w:val="2"/>
          <w:sz w:val="21"/>
        </w:rPr>
        <w:t>本</w:t>
      </w:r>
      <w:r>
        <w:rPr>
          <w:sz w:val="21"/>
        </w:rPr>
        <w:t>合同</w:t>
      </w:r>
      <w:r>
        <w:rPr>
          <w:spacing w:val="2"/>
          <w:sz w:val="21"/>
        </w:rPr>
        <w:t>提</w:t>
      </w:r>
      <w:r>
        <w:rPr>
          <w:sz w:val="21"/>
        </w:rPr>
        <w:t>供的</w:t>
      </w:r>
      <w:r>
        <w:rPr>
          <w:spacing w:val="2"/>
          <w:sz w:val="21"/>
        </w:rPr>
        <w:t>保</w:t>
      </w:r>
      <w:r>
        <w:rPr>
          <w:sz w:val="21"/>
        </w:rPr>
        <w:t>障</w:t>
      </w:r>
      <w:r>
        <w:rPr>
          <w:spacing w:val="2"/>
          <w:sz w:val="21"/>
        </w:rPr>
        <w:t>在</w:t>
      </w:r>
      <w:r>
        <w:rPr>
          <w:sz w:val="21"/>
        </w:rPr>
        <w:t>保险</w:t>
      </w:r>
      <w:r>
        <w:rPr>
          <w:spacing w:val="2"/>
          <w:sz w:val="21"/>
        </w:rPr>
        <w:t>责</w:t>
      </w:r>
      <w:r>
        <w:rPr>
          <w:sz w:val="21"/>
        </w:rPr>
        <w:t>任条</w:t>
      </w:r>
      <w:r>
        <w:rPr>
          <w:spacing w:val="2"/>
          <w:sz w:val="21"/>
        </w:rPr>
        <w:t>款</w:t>
      </w:r>
      <w:r>
        <w:rPr>
          <w:sz w:val="21"/>
        </w:rPr>
        <w:t>中列明</w:t>
        <w:tab/>
        <w:t>2.4</w:t>
      </w:r>
    </w:p>
    <w:p>
      <w:pPr>
        <w:pStyle w:val="ListParagraph"/>
        <w:numPr>
          <w:ilvl w:val="0"/>
          <w:numId w:val="1"/>
        </w:numPr>
        <w:tabs>
          <w:tab w:pos="849" w:val="left" w:leader="none"/>
          <w:tab w:pos="851" w:val="left" w:leader="none"/>
          <w:tab w:pos="9757" w:val="right" w:leader="dot"/>
        </w:tabs>
        <w:spacing w:line="240" w:lineRule="auto" w:before="22" w:after="0"/>
        <w:ind w:left="850" w:right="0" w:hanging="454"/>
        <w:jc w:val="left"/>
        <w:rPr>
          <w:sz w:val="21"/>
        </w:rPr>
      </w:pPr>
      <w:r>
        <w:rPr>
          <w:spacing w:val="2"/>
          <w:sz w:val="21"/>
        </w:rPr>
        <w:t>您</w:t>
      </w:r>
      <w:r>
        <w:rPr>
          <w:sz w:val="21"/>
        </w:rPr>
        <w:t>有按</w:t>
      </w:r>
      <w:r>
        <w:rPr>
          <w:spacing w:val="2"/>
          <w:sz w:val="21"/>
        </w:rPr>
        <w:t>本</w:t>
      </w:r>
      <w:r>
        <w:rPr>
          <w:sz w:val="21"/>
        </w:rPr>
        <w:t>合同</w:t>
      </w:r>
      <w:r>
        <w:rPr>
          <w:spacing w:val="2"/>
          <w:sz w:val="21"/>
        </w:rPr>
        <w:t>约</w:t>
      </w:r>
      <w:r>
        <w:rPr>
          <w:sz w:val="21"/>
        </w:rPr>
        <w:t>定</w:t>
      </w:r>
      <w:r>
        <w:rPr>
          <w:spacing w:val="2"/>
          <w:sz w:val="21"/>
        </w:rPr>
        <w:t>申</w:t>
      </w:r>
      <w:r>
        <w:rPr>
          <w:sz w:val="21"/>
        </w:rPr>
        <w:t>请保</w:t>
      </w:r>
      <w:r>
        <w:rPr>
          <w:spacing w:val="2"/>
          <w:sz w:val="21"/>
        </w:rPr>
        <w:t>单</w:t>
      </w:r>
      <w:r>
        <w:rPr>
          <w:sz w:val="21"/>
        </w:rPr>
        <w:t>贷款</w:t>
      </w:r>
      <w:r>
        <w:rPr>
          <w:spacing w:val="2"/>
          <w:sz w:val="21"/>
        </w:rPr>
        <w:t>的</w:t>
      </w:r>
      <w:r>
        <w:rPr>
          <w:sz w:val="21"/>
        </w:rPr>
        <w:t>权利</w:t>
        <w:tab/>
        <w:t>5.2</w:t>
      </w:r>
    </w:p>
    <w:p>
      <w:pPr>
        <w:pStyle w:val="ListParagraph"/>
        <w:numPr>
          <w:ilvl w:val="0"/>
          <w:numId w:val="1"/>
        </w:numPr>
        <w:tabs>
          <w:tab w:pos="849" w:val="left" w:leader="none"/>
          <w:tab w:pos="851" w:val="left" w:leader="none"/>
          <w:tab w:pos="9757" w:val="right" w:leader="dot"/>
        </w:tabs>
        <w:spacing w:line="240" w:lineRule="auto" w:before="22" w:after="0"/>
        <w:ind w:left="850" w:right="0" w:hanging="454"/>
        <w:jc w:val="left"/>
        <w:rPr>
          <w:sz w:val="21"/>
        </w:rPr>
      </w:pPr>
      <w:r>
        <w:rPr/>
        <w:pict>
          <v:shape style="position:absolute;margin-left:56.639999pt;margin-top:14.925122pt;width:24.55pt;height:27.5pt;mso-position-horizontal-relative:page;mso-position-vertical-relative:paragraph;z-index:-86392" type="#_x0000_t202" filled="false" stroked="false">
            <v:textbox inset="0,0,0,0">
              <w:txbxContent>
                <w:p>
                  <w:pPr>
                    <w:spacing w:line="549"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spacing w:val="2"/>
          <w:sz w:val="21"/>
        </w:rPr>
        <w:t>您</w:t>
      </w:r>
      <w:r>
        <w:rPr>
          <w:sz w:val="21"/>
        </w:rPr>
        <w:t>有退</w:t>
      </w:r>
      <w:r>
        <w:rPr>
          <w:spacing w:val="2"/>
          <w:sz w:val="21"/>
        </w:rPr>
        <w:t>保</w:t>
      </w:r>
      <w:r>
        <w:rPr>
          <w:sz w:val="21"/>
        </w:rPr>
        <w:t>的权利</w:t>
        <w:tab/>
        <w:t>7.1</w:t>
      </w:r>
    </w:p>
    <w:p>
      <w:pPr>
        <w:pStyle w:val="Heading1"/>
        <w:spacing w:before="60"/>
        <w:ind w:left="842"/>
      </w:pPr>
      <w:r>
        <w:rPr/>
        <w:t>您应当特别注意的事项</w:t>
      </w:r>
    </w:p>
    <w:p>
      <w:pPr>
        <w:pStyle w:val="ListParagraph"/>
        <w:numPr>
          <w:ilvl w:val="0"/>
          <w:numId w:val="1"/>
        </w:numPr>
        <w:tabs>
          <w:tab w:pos="849" w:val="left" w:leader="none"/>
          <w:tab w:pos="851" w:val="left" w:leader="none"/>
          <w:tab w:pos="9755" w:val="right" w:leader="dot"/>
        </w:tabs>
        <w:spacing w:line="240" w:lineRule="auto" w:before="25" w:after="0"/>
        <w:ind w:left="850" w:right="0" w:hanging="454"/>
        <w:jc w:val="left"/>
        <w:rPr>
          <w:sz w:val="21"/>
        </w:rPr>
      </w:pPr>
      <w:r>
        <w:rPr>
          <w:sz w:val="21"/>
        </w:rPr>
        <w:t>本合</w:t>
      </w:r>
      <w:r>
        <w:rPr>
          <w:spacing w:val="-3"/>
          <w:sz w:val="21"/>
        </w:rPr>
        <w:t>同</w:t>
      </w:r>
      <w:r>
        <w:rPr>
          <w:sz w:val="21"/>
        </w:rPr>
        <w:t>有</w:t>
      </w:r>
      <w:r>
        <w:rPr>
          <w:spacing w:val="-3"/>
          <w:sz w:val="21"/>
        </w:rPr>
        <w:t>责</w:t>
      </w:r>
      <w:r>
        <w:rPr>
          <w:sz w:val="21"/>
        </w:rPr>
        <w:t>任</w:t>
      </w:r>
      <w:r>
        <w:rPr>
          <w:spacing w:val="-3"/>
          <w:sz w:val="21"/>
        </w:rPr>
        <w:t>免</w:t>
      </w:r>
      <w:r>
        <w:rPr>
          <w:sz w:val="21"/>
        </w:rPr>
        <w:t>除</w:t>
      </w:r>
      <w:r>
        <w:rPr>
          <w:spacing w:val="-3"/>
          <w:sz w:val="21"/>
        </w:rPr>
        <w:t>条</w:t>
      </w:r>
      <w:r>
        <w:rPr>
          <w:sz w:val="21"/>
        </w:rPr>
        <w:t>款</w:t>
      </w:r>
      <w:r>
        <w:rPr>
          <w:spacing w:val="-27"/>
          <w:sz w:val="21"/>
        </w:rPr>
        <w:t>，</w:t>
      </w:r>
      <w:r>
        <w:rPr>
          <w:sz w:val="21"/>
        </w:rPr>
        <w:t>请您</w:t>
      </w:r>
      <w:r>
        <w:rPr>
          <w:spacing w:val="-3"/>
          <w:sz w:val="21"/>
        </w:rPr>
        <w:t>注</w:t>
      </w:r>
      <w:r>
        <w:rPr>
          <w:sz w:val="21"/>
        </w:rPr>
        <w:t>意…</w:t>
        <w:tab/>
        <w:t>2.5</w:t>
      </w:r>
    </w:p>
    <w:p>
      <w:pPr>
        <w:pStyle w:val="ListParagraph"/>
        <w:numPr>
          <w:ilvl w:val="0"/>
          <w:numId w:val="1"/>
        </w:numPr>
        <w:tabs>
          <w:tab w:pos="849" w:val="left" w:leader="none"/>
          <w:tab w:pos="851" w:val="left" w:leader="none"/>
          <w:tab w:pos="9753" w:val="right" w:leader="dot"/>
        </w:tabs>
        <w:spacing w:line="240" w:lineRule="auto" w:before="22" w:after="0"/>
        <w:ind w:left="850" w:right="0" w:hanging="454"/>
        <w:jc w:val="left"/>
        <w:rPr>
          <w:sz w:val="21"/>
        </w:rPr>
      </w:pPr>
      <w:r>
        <w:rPr>
          <w:sz w:val="21"/>
        </w:rPr>
        <w:t>保险</w:t>
      </w:r>
      <w:r>
        <w:rPr>
          <w:spacing w:val="-3"/>
          <w:sz w:val="21"/>
        </w:rPr>
        <w:t>事</w:t>
      </w:r>
      <w:r>
        <w:rPr>
          <w:sz w:val="21"/>
        </w:rPr>
        <w:t>故</w:t>
      </w:r>
      <w:r>
        <w:rPr>
          <w:spacing w:val="-3"/>
          <w:sz w:val="21"/>
        </w:rPr>
        <w:t>发</w:t>
      </w:r>
      <w:r>
        <w:rPr>
          <w:sz w:val="21"/>
        </w:rPr>
        <w:t>Th</w:t>
      </w:r>
      <w:r>
        <w:rPr>
          <w:spacing w:val="-3"/>
          <w:sz w:val="21"/>
        </w:rPr>
        <w:t>后</w:t>
      </w:r>
      <w:r>
        <w:rPr>
          <w:spacing w:val="-25"/>
          <w:sz w:val="21"/>
        </w:rPr>
        <w:t>，</w:t>
      </w:r>
      <w:r>
        <w:rPr>
          <w:spacing w:val="-3"/>
          <w:sz w:val="21"/>
        </w:rPr>
        <w:t>请</w:t>
      </w:r>
      <w:r>
        <w:rPr>
          <w:sz w:val="21"/>
        </w:rPr>
        <w:t>及</w:t>
      </w:r>
      <w:r>
        <w:rPr>
          <w:spacing w:val="-3"/>
          <w:sz w:val="21"/>
        </w:rPr>
        <w:t>时</w:t>
      </w:r>
      <w:r>
        <w:rPr>
          <w:sz w:val="21"/>
        </w:rPr>
        <w:t>通知</w:t>
      </w:r>
      <w:r>
        <w:rPr>
          <w:spacing w:val="-3"/>
          <w:sz w:val="21"/>
        </w:rPr>
        <w:t>我</w:t>
      </w:r>
      <w:r>
        <w:rPr>
          <w:sz w:val="21"/>
        </w:rPr>
        <w:t>们…</w:t>
        <w:tab/>
      </w:r>
      <w:r>
        <w:rPr>
          <w:spacing w:val="-3"/>
          <w:sz w:val="21"/>
        </w:rPr>
        <w:t>3.2</w:t>
      </w:r>
    </w:p>
    <w:p>
      <w:pPr>
        <w:pStyle w:val="ListParagraph"/>
        <w:numPr>
          <w:ilvl w:val="0"/>
          <w:numId w:val="1"/>
        </w:numPr>
        <w:tabs>
          <w:tab w:pos="849" w:val="left" w:leader="none"/>
          <w:tab w:pos="851" w:val="left" w:leader="none"/>
          <w:tab w:pos="9757" w:val="right" w:leader="dot"/>
        </w:tabs>
        <w:spacing w:line="240" w:lineRule="auto" w:before="22" w:after="0"/>
        <w:ind w:left="850" w:right="0" w:hanging="454"/>
        <w:jc w:val="left"/>
        <w:rPr>
          <w:sz w:val="21"/>
        </w:rPr>
      </w:pPr>
      <w:r>
        <w:rPr>
          <w:sz w:val="21"/>
        </w:rPr>
        <w:t>您应当按时支付保险费</w:t>
        <w:tab/>
        <w:t>4.1</w:t>
      </w:r>
    </w:p>
    <w:p>
      <w:pPr>
        <w:pStyle w:val="ListParagraph"/>
        <w:numPr>
          <w:ilvl w:val="0"/>
          <w:numId w:val="1"/>
        </w:numPr>
        <w:tabs>
          <w:tab w:pos="849" w:val="left" w:leader="none"/>
          <w:tab w:pos="851" w:val="left" w:leader="none"/>
          <w:tab w:pos="9753" w:val="right" w:leader="dot"/>
        </w:tabs>
        <w:spacing w:line="240" w:lineRule="auto" w:before="22" w:after="0"/>
        <w:ind w:left="850" w:right="0" w:hanging="454"/>
        <w:jc w:val="left"/>
        <w:rPr>
          <w:sz w:val="21"/>
        </w:rPr>
      </w:pPr>
      <w:r>
        <w:rPr>
          <w:sz w:val="21"/>
        </w:rPr>
        <w:t>在本</w:t>
      </w:r>
      <w:r>
        <w:rPr>
          <w:spacing w:val="-3"/>
          <w:sz w:val="21"/>
        </w:rPr>
        <w:t>合</w:t>
      </w:r>
      <w:r>
        <w:rPr>
          <w:sz w:val="21"/>
        </w:rPr>
        <w:t>同</w:t>
      </w:r>
      <w:r>
        <w:rPr>
          <w:spacing w:val="-3"/>
          <w:sz w:val="21"/>
        </w:rPr>
        <w:t>效</w:t>
      </w:r>
      <w:r>
        <w:rPr>
          <w:sz w:val="21"/>
        </w:rPr>
        <w:t>力</w:t>
      </w:r>
      <w:r>
        <w:rPr>
          <w:spacing w:val="-3"/>
          <w:sz w:val="21"/>
        </w:rPr>
        <w:t>中</w:t>
      </w:r>
      <w:r>
        <w:rPr>
          <w:sz w:val="21"/>
        </w:rPr>
        <w:t>止</w:t>
      </w:r>
      <w:r>
        <w:rPr>
          <w:spacing w:val="-3"/>
          <w:sz w:val="21"/>
        </w:rPr>
        <w:t>期</w:t>
      </w:r>
      <w:r>
        <w:rPr>
          <w:sz w:val="21"/>
        </w:rPr>
        <w:t>间</w:t>
      </w:r>
      <w:r>
        <w:rPr>
          <w:spacing w:val="-27"/>
          <w:sz w:val="21"/>
        </w:rPr>
        <w:t>，</w:t>
      </w:r>
      <w:r>
        <w:rPr>
          <w:sz w:val="21"/>
        </w:rPr>
        <w:t>我们</w:t>
      </w:r>
      <w:r>
        <w:rPr>
          <w:spacing w:val="-3"/>
          <w:sz w:val="21"/>
        </w:rPr>
        <w:t>不</w:t>
      </w:r>
      <w:r>
        <w:rPr>
          <w:sz w:val="21"/>
        </w:rPr>
        <w:t>承</w:t>
      </w:r>
      <w:r>
        <w:rPr>
          <w:spacing w:val="-3"/>
          <w:sz w:val="21"/>
        </w:rPr>
        <w:t>担</w:t>
      </w:r>
      <w:r>
        <w:rPr>
          <w:sz w:val="21"/>
        </w:rPr>
        <w:t>保</w:t>
      </w:r>
      <w:r>
        <w:rPr>
          <w:spacing w:val="-3"/>
          <w:sz w:val="21"/>
        </w:rPr>
        <w:t>险</w:t>
      </w:r>
      <w:r>
        <w:rPr>
          <w:sz w:val="21"/>
        </w:rPr>
        <w:t>责任</w:t>
        <w:tab/>
      </w:r>
      <w:r>
        <w:rPr>
          <w:spacing w:val="-3"/>
          <w:sz w:val="21"/>
        </w:rPr>
        <w:t>6.1</w:t>
      </w:r>
    </w:p>
    <w:p>
      <w:pPr>
        <w:pStyle w:val="ListParagraph"/>
        <w:numPr>
          <w:ilvl w:val="0"/>
          <w:numId w:val="1"/>
        </w:numPr>
        <w:tabs>
          <w:tab w:pos="849" w:val="left" w:leader="none"/>
          <w:tab w:pos="851" w:val="left" w:leader="none"/>
          <w:tab w:pos="9753" w:val="right" w:leader="dot"/>
        </w:tabs>
        <w:spacing w:line="240" w:lineRule="auto" w:before="22" w:after="0"/>
        <w:ind w:left="850" w:right="0" w:hanging="454"/>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25"/>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r>
      <w:r>
        <w:rPr>
          <w:spacing w:val="-3"/>
          <w:sz w:val="21"/>
        </w:rPr>
        <w:t>7.1</w:t>
      </w:r>
    </w:p>
    <w:p>
      <w:pPr>
        <w:pStyle w:val="ListParagraph"/>
        <w:numPr>
          <w:ilvl w:val="0"/>
          <w:numId w:val="1"/>
        </w:numPr>
        <w:tabs>
          <w:tab w:pos="849" w:val="left" w:leader="none"/>
          <w:tab w:pos="851" w:val="left" w:leader="none"/>
          <w:tab w:pos="9757" w:val="right" w:leader="dot"/>
        </w:tabs>
        <w:spacing w:line="240" w:lineRule="auto" w:before="22" w:after="0"/>
        <w:ind w:left="850" w:right="0" w:hanging="454"/>
        <w:jc w:val="left"/>
        <w:rPr>
          <w:sz w:val="21"/>
        </w:rPr>
      </w:pPr>
      <w:r>
        <w:rPr>
          <w:sz w:val="21"/>
        </w:rPr>
        <w:t>您有如实告知的义务</w:t>
        <w:tab/>
        <w:t>8.1</w:t>
      </w:r>
    </w:p>
    <w:p>
      <w:pPr>
        <w:pStyle w:val="ListParagraph"/>
        <w:numPr>
          <w:ilvl w:val="0"/>
          <w:numId w:val="1"/>
        </w:numPr>
        <w:tabs>
          <w:tab w:pos="849" w:val="left" w:leader="none"/>
          <w:tab w:pos="851" w:val="left" w:leader="none"/>
          <w:tab w:pos="9705" w:val="right" w:leader="dot"/>
        </w:tabs>
        <w:spacing w:line="269" w:lineRule="exact" w:before="22" w:after="0"/>
        <w:ind w:left="850" w:right="0" w:hanging="454"/>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pacing w:val="-39"/>
          <w:sz w:val="21"/>
        </w:rPr>
        <w:t>，</w:t>
      </w:r>
      <w:r>
        <w:rPr>
          <w:sz w:val="21"/>
        </w:rPr>
        <w:t>并</w:t>
      </w:r>
      <w:r>
        <w:rPr>
          <w:spacing w:val="-3"/>
          <w:sz w:val="21"/>
        </w:rPr>
        <w:t>作</w:t>
      </w:r>
      <w:r>
        <w:rPr>
          <w:sz w:val="21"/>
        </w:rPr>
        <w:t>了</w:t>
      </w:r>
      <w:r>
        <w:rPr>
          <w:spacing w:val="-3"/>
          <w:sz w:val="21"/>
        </w:rPr>
        <w:t>显</w:t>
      </w:r>
      <w:r>
        <w:rPr>
          <w:sz w:val="21"/>
        </w:rPr>
        <w:t>著</w:t>
      </w:r>
      <w:r>
        <w:rPr>
          <w:spacing w:val="-3"/>
          <w:sz w:val="21"/>
        </w:rPr>
        <w:t>标识</w:t>
      </w:r>
      <w:r>
        <w:rPr>
          <w:spacing w:val="-39"/>
          <w:sz w:val="21"/>
        </w:rPr>
        <w:t>，</w:t>
      </w:r>
      <w:r>
        <w:rPr>
          <w:sz w:val="21"/>
        </w:rPr>
        <w:t>请您</w:t>
      </w:r>
      <w:r>
        <w:rPr>
          <w:spacing w:val="-3"/>
          <w:sz w:val="21"/>
        </w:rPr>
        <w:t>注</w:t>
      </w:r>
      <w:r>
        <w:rPr>
          <w:sz w:val="21"/>
        </w:rPr>
        <w:t>意</w:t>
        <w:tab/>
        <w:t>13</w:t>
      </w:r>
    </w:p>
    <w:p>
      <w:pPr>
        <w:pStyle w:val="Heading1"/>
        <w:tabs>
          <w:tab w:pos="842" w:val="left" w:leader="none"/>
        </w:tabs>
        <w:spacing w:line="438" w:lineRule="exact" w:before="0"/>
        <w:ind w:left="112"/>
      </w:pPr>
      <w:r>
        <w:rPr>
          <w:rFonts w:ascii="Wingdings" w:hAnsi="Wingdings" w:eastAsia="Wingdings"/>
          <w:b w:val="0"/>
          <w:w w:val="120"/>
          <w:position w:val="-11"/>
          <w:sz w:val="52"/>
        </w:rPr>
        <w:t></w:t>
      </w:r>
      <w:r>
        <w:rPr>
          <w:rFonts w:ascii="Times New Roman" w:hAnsi="Times New Roman" w:eastAsia="Times New Roman"/>
          <w:b w:val="0"/>
          <w:w w:val="120"/>
          <w:position w:val="-11"/>
          <w:sz w:val="52"/>
        </w:rPr>
        <w:tab/>
      </w:r>
      <w:r>
        <w:rPr>
          <w:spacing w:val="-3"/>
        </w:rPr>
        <w:t>保险条款是保险合同的重要内容，为充分保障您的权益，请您仔细阅读本保险条款。</w:t>
      </w:r>
    </w:p>
    <w:p>
      <w:pPr>
        <w:tabs>
          <w:tab w:pos="842" w:val="left" w:leader="none"/>
        </w:tabs>
        <w:spacing w:line="374" w:lineRule="exact" w:before="0"/>
        <w:ind w:left="112" w:right="0" w:firstLine="0"/>
        <w:jc w:val="left"/>
        <w:rPr>
          <w:b/>
          <w:sz w:val="21"/>
        </w:rPr>
      </w:pPr>
      <w:r>
        <w:rPr/>
        <w:pict>
          <v:rect style="position:absolute;margin-left:77.664001pt;margin-top:17.103846pt;width:135.020pt;height:13.68pt;mso-position-horizontal-relative:page;mso-position-vertical-relative:paragraph;z-index:-86464" filled="true" fillcolor="#a6a6a6" stroked="false">
            <v:fill type="solid"/>
            <w10:wrap type="none"/>
          </v:rect>
        </w:pict>
      </w:r>
      <w:r>
        <w:rPr/>
        <w:pict>
          <v:shape style="position:absolute;margin-left:240.649994pt;margin-top:17.103846pt;width:135.050pt;height:13.7pt;mso-position-horizontal-relative:page;mso-position-vertical-relative:paragraph;z-index:-86440" type="#_x0000_t202" filled="true" fillcolor="#a6a6a6" stroked="false">
            <v:textbox inset="0,0,0,0">
              <w:txbxContent>
                <w:p>
                  <w:pPr>
                    <w:pStyle w:val="BodyText"/>
                    <w:spacing w:line="243" w:lineRule="exact"/>
                    <w:rPr>
                      <w:rFonts w:ascii="黑体" w:eastAsia="黑体" w:hint="eastAsia"/>
                    </w:rPr>
                  </w:pPr>
                  <w:r>
                    <w:rPr>
                      <w:rFonts w:ascii="黑体" w:eastAsia="黑体" w:hint="eastAsia"/>
                    </w:rPr>
                    <w:t>6．合同效力的中止及恢复</w:t>
                  </w:r>
                </w:p>
              </w:txbxContent>
            </v:textbox>
            <v:fill type="solid"/>
            <w10:wrap type="none"/>
          </v:shape>
        </w:pict>
      </w:r>
      <w:r>
        <w:rPr>
          <w:rFonts w:ascii="Wingdings" w:hAnsi="Wingdings" w:eastAsia="Wingdings"/>
          <w:w w:val="120"/>
          <w:position w:val="-11"/>
          <w:sz w:val="52"/>
        </w:rPr>
        <w:t></w:t>
      </w:r>
      <w:r>
        <w:rPr>
          <w:rFonts w:ascii="Times New Roman" w:hAnsi="Times New Roman" w:eastAsia="Times New Roman"/>
          <w:w w:val="120"/>
          <w:position w:val="-11"/>
          <w:sz w:val="52"/>
        </w:rPr>
        <w:tab/>
      </w:r>
      <w:r>
        <w:rPr>
          <w:b/>
          <w:sz w:val="21"/>
        </w:rPr>
        <w:t>条款目录</w:t>
      </w:r>
    </w:p>
    <w:p>
      <w:pPr>
        <w:pStyle w:val="BodyText"/>
        <w:tabs>
          <w:tab w:pos="7050" w:val="left" w:leader="none"/>
        </w:tabs>
        <w:spacing w:line="211" w:lineRule="exact"/>
        <w:ind w:left="533"/>
        <w:rPr>
          <w:rFonts w:ascii="黑体" w:eastAsia="黑体" w:hint="eastAsia"/>
        </w:rPr>
      </w:pPr>
      <w:r>
        <w:rPr/>
        <w:pict>
          <v:shape style="position:absolute;margin-left:75.164001pt;margin-top:15.952169pt;width:420.3pt;height:74.55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2208"/>
                    <w:gridCol w:w="3663"/>
                    <w:gridCol w:w="754"/>
                    <w:gridCol w:w="1366"/>
                  </w:tblGrid>
                  <w:tr>
                    <w:trPr>
                      <w:trHeight w:val="265" w:hRule="atLeast"/>
                    </w:trPr>
                    <w:tc>
                      <w:tcPr>
                        <w:tcW w:w="420" w:type="dxa"/>
                      </w:tcPr>
                      <w:p>
                        <w:pPr>
                          <w:pStyle w:val="TableParagraph"/>
                          <w:spacing w:line="211" w:lineRule="exact"/>
                          <w:ind w:left="50"/>
                          <w:rPr>
                            <w:rFonts w:ascii="黑体"/>
                            <w:sz w:val="21"/>
                          </w:rPr>
                        </w:pPr>
                        <w:r>
                          <w:rPr>
                            <w:rFonts w:ascii="黑体"/>
                            <w:sz w:val="21"/>
                          </w:rPr>
                          <w:t>1.1</w:t>
                        </w:r>
                      </w:p>
                    </w:tc>
                    <w:tc>
                      <w:tcPr>
                        <w:tcW w:w="2208" w:type="dxa"/>
                      </w:tcPr>
                      <w:p>
                        <w:pPr>
                          <w:pStyle w:val="TableParagraph"/>
                          <w:spacing w:line="211" w:lineRule="exact"/>
                          <w:ind w:left="52"/>
                          <w:rPr>
                            <w:rFonts w:ascii="黑体" w:eastAsia="黑体" w:hint="eastAsia"/>
                            <w:sz w:val="21"/>
                          </w:rPr>
                        </w:pPr>
                        <w:r>
                          <w:rPr>
                            <w:rFonts w:ascii="黑体" w:eastAsia="黑体" w:hint="eastAsia"/>
                            <w:sz w:val="21"/>
                          </w:rPr>
                          <w:t>合同构成</w:t>
                        </w:r>
                      </w:p>
                    </w:tc>
                    <w:tc>
                      <w:tcPr>
                        <w:tcW w:w="3663" w:type="dxa"/>
                      </w:tcPr>
                      <w:p>
                        <w:pPr>
                          <w:pStyle w:val="TableParagraph"/>
                          <w:spacing w:line="211" w:lineRule="exact"/>
                          <w:ind w:left="681"/>
                          <w:rPr>
                            <w:rFonts w:ascii="黑体" w:eastAsia="黑体" w:hint="eastAsia"/>
                            <w:sz w:val="21"/>
                          </w:rPr>
                        </w:pPr>
                        <w:r>
                          <w:rPr>
                            <w:rFonts w:ascii="黑体" w:eastAsia="黑体" w:hint="eastAsia"/>
                            <w:sz w:val="21"/>
                          </w:rPr>
                          <w:t>6.1 效力中止</w:t>
                        </w:r>
                      </w:p>
                    </w:tc>
                    <w:tc>
                      <w:tcPr>
                        <w:tcW w:w="754" w:type="dxa"/>
                      </w:tcPr>
                      <w:p>
                        <w:pPr>
                          <w:pStyle w:val="TableParagraph"/>
                          <w:spacing w:line="211" w:lineRule="exact"/>
                          <w:ind w:left="0" w:right="53"/>
                          <w:jc w:val="right"/>
                          <w:rPr>
                            <w:rFonts w:ascii="黑体"/>
                            <w:sz w:val="21"/>
                          </w:rPr>
                        </w:pPr>
                        <w:r>
                          <w:rPr>
                            <w:rFonts w:ascii="黑体"/>
                            <w:sz w:val="21"/>
                          </w:rPr>
                          <w:t>13.4</w:t>
                        </w:r>
                      </w:p>
                    </w:tc>
                    <w:tc>
                      <w:tcPr>
                        <w:tcW w:w="1366" w:type="dxa"/>
                      </w:tcPr>
                      <w:p>
                        <w:pPr>
                          <w:pStyle w:val="TableParagraph"/>
                          <w:spacing w:line="211" w:lineRule="exact"/>
                          <w:ind w:left="47"/>
                          <w:rPr>
                            <w:rFonts w:ascii="黑体" w:eastAsia="黑体" w:hint="eastAsia"/>
                            <w:sz w:val="21"/>
                          </w:rPr>
                        </w:pPr>
                        <w:r>
                          <w:rPr>
                            <w:rFonts w:ascii="黑体" w:eastAsia="黑体" w:hint="eastAsia"/>
                            <w:sz w:val="21"/>
                          </w:rPr>
                          <w:t>周岁</w:t>
                        </w:r>
                      </w:p>
                    </w:tc>
                  </w:tr>
                  <w:tr>
                    <w:trPr>
                      <w:trHeight w:val="320" w:hRule="atLeast"/>
                    </w:trPr>
                    <w:tc>
                      <w:tcPr>
                        <w:tcW w:w="420" w:type="dxa"/>
                      </w:tcPr>
                      <w:p>
                        <w:pPr>
                          <w:pStyle w:val="TableParagraph"/>
                          <w:spacing w:line="265" w:lineRule="exact"/>
                          <w:ind w:left="50"/>
                          <w:rPr>
                            <w:rFonts w:ascii="黑体"/>
                            <w:sz w:val="21"/>
                          </w:rPr>
                        </w:pPr>
                        <w:r>
                          <w:rPr>
                            <w:rFonts w:ascii="黑体"/>
                            <w:sz w:val="21"/>
                          </w:rPr>
                          <w:t>1.2</w:t>
                        </w:r>
                      </w:p>
                    </w:tc>
                    <w:tc>
                      <w:tcPr>
                        <w:tcW w:w="2208" w:type="dxa"/>
                      </w:tcPr>
                      <w:p>
                        <w:pPr>
                          <w:pStyle w:val="TableParagraph"/>
                          <w:spacing w:line="265" w:lineRule="exact"/>
                          <w:ind w:left="52"/>
                          <w:rPr>
                            <w:rFonts w:ascii="黑体" w:eastAsia="黑体" w:hint="eastAsia"/>
                            <w:sz w:val="21"/>
                          </w:rPr>
                        </w:pPr>
                        <w:r>
                          <w:rPr>
                            <w:rFonts w:ascii="黑体" w:eastAsia="黑体" w:hint="eastAsia"/>
                            <w:sz w:val="21"/>
                          </w:rPr>
                          <w:t>合同成立与Th效</w:t>
                        </w:r>
                      </w:p>
                    </w:tc>
                    <w:tc>
                      <w:tcPr>
                        <w:tcW w:w="3663" w:type="dxa"/>
                      </w:tcPr>
                      <w:p>
                        <w:pPr>
                          <w:pStyle w:val="TableParagraph"/>
                          <w:spacing w:line="265" w:lineRule="exact"/>
                          <w:ind w:left="681"/>
                          <w:rPr>
                            <w:rFonts w:ascii="黑体" w:eastAsia="黑体" w:hint="eastAsia"/>
                            <w:sz w:val="21"/>
                          </w:rPr>
                        </w:pPr>
                        <w:r>
                          <w:rPr>
                            <w:rFonts w:ascii="黑体" w:eastAsia="黑体" w:hint="eastAsia"/>
                            <w:sz w:val="21"/>
                          </w:rPr>
                          <w:t>6.2 效力恢复</w:t>
                        </w:r>
                      </w:p>
                    </w:tc>
                    <w:tc>
                      <w:tcPr>
                        <w:tcW w:w="754" w:type="dxa"/>
                      </w:tcPr>
                      <w:p>
                        <w:pPr>
                          <w:pStyle w:val="TableParagraph"/>
                          <w:spacing w:line="265" w:lineRule="exact"/>
                          <w:ind w:left="0" w:right="53"/>
                          <w:jc w:val="right"/>
                          <w:rPr>
                            <w:rFonts w:ascii="黑体"/>
                            <w:sz w:val="21"/>
                          </w:rPr>
                        </w:pPr>
                        <w:r>
                          <w:rPr>
                            <w:rFonts w:ascii="黑体"/>
                            <w:sz w:val="21"/>
                          </w:rPr>
                          <w:t>13.5</w:t>
                        </w:r>
                      </w:p>
                    </w:tc>
                    <w:tc>
                      <w:tcPr>
                        <w:tcW w:w="1366" w:type="dxa"/>
                      </w:tcPr>
                      <w:p>
                        <w:pPr>
                          <w:pStyle w:val="TableParagraph"/>
                          <w:spacing w:line="265" w:lineRule="exact"/>
                          <w:ind w:left="47"/>
                          <w:rPr>
                            <w:rFonts w:ascii="黑体" w:eastAsia="黑体" w:hint="eastAsia"/>
                            <w:sz w:val="21"/>
                          </w:rPr>
                        </w:pPr>
                        <w:r>
                          <w:rPr>
                            <w:rFonts w:ascii="黑体" w:eastAsia="黑体" w:hint="eastAsia"/>
                            <w:sz w:val="21"/>
                          </w:rPr>
                          <w:t>有效身份证件</w:t>
                        </w:r>
                      </w:p>
                    </w:tc>
                  </w:tr>
                  <w:tr>
                    <w:trPr>
                      <w:trHeight w:val="320" w:hRule="atLeast"/>
                    </w:trPr>
                    <w:tc>
                      <w:tcPr>
                        <w:tcW w:w="420" w:type="dxa"/>
                      </w:tcPr>
                      <w:p>
                        <w:pPr>
                          <w:pStyle w:val="TableParagraph"/>
                          <w:spacing w:line="266" w:lineRule="exact"/>
                          <w:ind w:left="50"/>
                          <w:rPr>
                            <w:rFonts w:ascii="黑体"/>
                            <w:sz w:val="21"/>
                          </w:rPr>
                        </w:pPr>
                        <w:r>
                          <w:rPr>
                            <w:rFonts w:ascii="黑体"/>
                            <w:sz w:val="21"/>
                          </w:rPr>
                          <w:t>1.3</w:t>
                        </w:r>
                      </w:p>
                    </w:tc>
                    <w:tc>
                      <w:tcPr>
                        <w:tcW w:w="2208" w:type="dxa"/>
                      </w:tcPr>
                      <w:p>
                        <w:pPr>
                          <w:pStyle w:val="TableParagraph"/>
                          <w:spacing w:line="266" w:lineRule="exact"/>
                          <w:ind w:left="52"/>
                          <w:rPr>
                            <w:rFonts w:ascii="黑体" w:eastAsia="黑体" w:hint="eastAsia"/>
                            <w:sz w:val="21"/>
                          </w:rPr>
                        </w:pPr>
                        <w:r>
                          <w:rPr>
                            <w:rFonts w:ascii="黑体" w:eastAsia="黑体" w:hint="eastAsia"/>
                            <w:sz w:val="21"/>
                          </w:rPr>
                          <w:t>合同终止</w:t>
                        </w:r>
                      </w:p>
                    </w:tc>
                    <w:tc>
                      <w:tcPr>
                        <w:tcW w:w="3663" w:type="dxa"/>
                      </w:tcPr>
                      <w:p>
                        <w:pPr>
                          <w:pStyle w:val="TableParagraph"/>
                          <w:tabs>
                            <w:tab w:pos="3382" w:val="left" w:leader="none"/>
                          </w:tabs>
                          <w:spacing w:line="266" w:lineRule="exact"/>
                          <w:ind w:left="681"/>
                          <w:rPr>
                            <w:rFonts w:ascii="黑体" w:eastAsia="黑体" w:hint="eastAsia"/>
                            <w:sz w:val="21"/>
                          </w:rPr>
                        </w:pPr>
                        <w:r>
                          <w:rPr>
                            <w:rFonts w:ascii="黑体" w:eastAsia="黑体" w:hint="eastAsia"/>
                            <w:sz w:val="21"/>
                            <w:shd w:fill="A6A6A6" w:color="auto" w:val="clear"/>
                          </w:rPr>
                          <w:t>7．</w:t>
                        </w:r>
                        <w:r>
                          <w:rPr>
                            <w:rFonts w:ascii="黑体" w:eastAsia="黑体" w:hint="eastAsia"/>
                            <w:spacing w:val="-3"/>
                            <w:sz w:val="21"/>
                            <w:shd w:fill="A6A6A6" w:color="auto" w:val="clear"/>
                          </w:rPr>
                          <w:t>合</w:t>
                        </w:r>
                        <w:r>
                          <w:rPr>
                            <w:rFonts w:ascii="黑体" w:eastAsia="黑体" w:hint="eastAsia"/>
                            <w:sz w:val="21"/>
                            <w:shd w:fill="A6A6A6" w:color="auto" w:val="clear"/>
                          </w:rPr>
                          <w:t>同</w:t>
                        </w:r>
                        <w:r>
                          <w:rPr>
                            <w:rFonts w:ascii="黑体" w:eastAsia="黑体" w:hint="eastAsia"/>
                            <w:spacing w:val="-3"/>
                            <w:sz w:val="21"/>
                            <w:shd w:fill="A6A6A6" w:color="auto" w:val="clear"/>
                          </w:rPr>
                          <w:t>解</w:t>
                        </w:r>
                        <w:r>
                          <w:rPr>
                            <w:rFonts w:ascii="黑体" w:eastAsia="黑体" w:hint="eastAsia"/>
                            <w:sz w:val="21"/>
                            <w:shd w:fill="A6A6A6" w:color="auto" w:val="clear"/>
                          </w:rPr>
                          <w:t>除</w:t>
                          <w:tab/>
                        </w:r>
                      </w:p>
                    </w:tc>
                    <w:tc>
                      <w:tcPr>
                        <w:tcW w:w="754" w:type="dxa"/>
                      </w:tcPr>
                      <w:p>
                        <w:pPr>
                          <w:pStyle w:val="TableParagraph"/>
                          <w:spacing w:line="266" w:lineRule="exact"/>
                          <w:ind w:left="0" w:right="53"/>
                          <w:jc w:val="right"/>
                          <w:rPr>
                            <w:rFonts w:ascii="黑体"/>
                            <w:sz w:val="21"/>
                          </w:rPr>
                        </w:pPr>
                        <w:r>
                          <w:rPr>
                            <w:rFonts w:ascii="黑体"/>
                            <w:sz w:val="21"/>
                          </w:rPr>
                          <w:t>13.6</w:t>
                        </w:r>
                      </w:p>
                    </w:tc>
                    <w:tc>
                      <w:tcPr>
                        <w:tcW w:w="1366" w:type="dxa"/>
                      </w:tcPr>
                      <w:p>
                        <w:pPr>
                          <w:pStyle w:val="TableParagraph"/>
                          <w:spacing w:line="266" w:lineRule="exact"/>
                          <w:ind w:left="47"/>
                          <w:rPr>
                            <w:rFonts w:ascii="黑体" w:eastAsia="黑体" w:hint="eastAsia"/>
                            <w:sz w:val="21"/>
                          </w:rPr>
                        </w:pPr>
                        <w:r>
                          <w:rPr>
                            <w:rFonts w:ascii="黑体" w:eastAsia="黑体" w:hint="eastAsia"/>
                            <w:sz w:val="21"/>
                          </w:rPr>
                          <w:t>意外伤害</w:t>
                        </w:r>
                      </w:p>
                    </w:tc>
                  </w:tr>
                  <w:tr>
                    <w:trPr>
                      <w:trHeight w:val="319" w:hRule="atLeast"/>
                    </w:trPr>
                    <w:tc>
                      <w:tcPr>
                        <w:tcW w:w="420" w:type="dxa"/>
                      </w:tcPr>
                      <w:p>
                        <w:pPr>
                          <w:pStyle w:val="TableParagraph"/>
                          <w:spacing w:line="265" w:lineRule="exact"/>
                          <w:ind w:left="50"/>
                          <w:rPr>
                            <w:rFonts w:ascii="黑体"/>
                            <w:sz w:val="21"/>
                          </w:rPr>
                        </w:pPr>
                        <w:r>
                          <w:rPr>
                            <w:rFonts w:ascii="黑体"/>
                            <w:sz w:val="21"/>
                          </w:rPr>
                          <w:t>1.4</w:t>
                        </w:r>
                      </w:p>
                    </w:tc>
                    <w:tc>
                      <w:tcPr>
                        <w:tcW w:w="2208" w:type="dxa"/>
                      </w:tcPr>
                      <w:p>
                        <w:pPr>
                          <w:pStyle w:val="TableParagraph"/>
                          <w:spacing w:line="265" w:lineRule="exact"/>
                          <w:ind w:left="52"/>
                          <w:rPr>
                            <w:rFonts w:ascii="黑体" w:eastAsia="黑体" w:hint="eastAsia"/>
                            <w:sz w:val="21"/>
                          </w:rPr>
                        </w:pPr>
                        <w:r>
                          <w:rPr>
                            <w:rFonts w:ascii="黑体" w:eastAsia="黑体" w:hint="eastAsia"/>
                            <w:sz w:val="21"/>
                          </w:rPr>
                          <w:t>投保年龄</w:t>
                        </w:r>
                      </w:p>
                    </w:tc>
                    <w:tc>
                      <w:tcPr>
                        <w:tcW w:w="3663" w:type="dxa"/>
                      </w:tcPr>
                      <w:p>
                        <w:pPr>
                          <w:pStyle w:val="TableParagraph"/>
                          <w:spacing w:line="265" w:lineRule="exact"/>
                          <w:ind w:left="681"/>
                          <w:rPr>
                            <w:rFonts w:ascii="黑体" w:eastAsia="黑体" w:hint="eastAsia"/>
                            <w:sz w:val="21"/>
                          </w:rPr>
                        </w:pPr>
                        <w:r>
                          <w:rPr>
                            <w:rFonts w:ascii="黑体" w:eastAsia="黑体" w:hint="eastAsia"/>
                            <w:sz w:val="21"/>
                          </w:rPr>
                          <w:t>7.1 您解除合同的手续及风险</w:t>
                        </w:r>
                      </w:p>
                    </w:tc>
                    <w:tc>
                      <w:tcPr>
                        <w:tcW w:w="754" w:type="dxa"/>
                      </w:tcPr>
                      <w:p>
                        <w:pPr>
                          <w:pStyle w:val="TableParagraph"/>
                          <w:spacing w:line="265" w:lineRule="exact"/>
                          <w:ind w:left="0" w:right="53"/>
                          <w:jc w:val="right"/>
                          <w:rPr>
                            <w:rFonts w:ascii="黑体"/>
                            <w:sz w:val="21"/>
                          </w:rPr>
                        </w:pPr>
                        <w:r>
                          <w:rPr>
                            <w:rFonts w:ascii="黑体"/>
                            <w:sz w:val="21"/>
                          </w:rPr>
                          <w:t>13.7</w:t>
                        </w:r>
                      </w:p>
                    </w:tc>
                    <w:tc>
                      <w:tcPr>
                        <w:tcW w:w="1366" w:type="dxa"/>
                      </w:tcPr>
                      <w:p>
                        <w:pPr>
                          <w:pStyle w:val="TableParagraph"/>
                          <w:spacing w:line="265" w:lineRule="exact"/>
                          <w:ind w:left="47"/>
                          <w:rPr>
                            <w:rFonts w:ascii="黑体" w:eastAsia="黑体" w:hint="eastAsia"/>
                            <w:sz w:val="21"/>
                          </w:rPr>
                        </w:pPr>
                        <w:r>
                          <w:rPr>
                            <w:rFonts w:ascii="黑体" w:eastAsia="黑体" w:hint="eastAsia"/>
                            <w:sz w:val="21"/>
                          </w:rPr>
                          <w:t>约定医院</w:t>
                        </w:r>
                      </w:p>
                    </w:tc>
                  </w:tr>
                  <w:tr>
                    <w:trPr>
                      <w:trHeight w:val="265" w:hRule="atLeast"/>
                    </w:trPr>
                    <w:tc>
                      <w:tcPr>
                        <w:tcW w:w="420" w:type="dxa"/>
                      </w:tcPr>
                      <w:p>
                        <w:pPr>
                          <w:pStyle w:val="TableParagraph"/>
                          <w:spacing w:line="245" w:lineRule="exact"/>
                          <w:ind w:left="50"/>
                          <w:rPr>
                            <w:rFonts w:ascii="黑体"/>
                            <w:sz w:val="21"/>
                          </w:rPr>
                        </w:pPr>
                        <w:r>
                          <w:rPr>
                            <w:rFonts w:ascii="黑体"/>
                            <w:sz w:val="21"/>
                          </w:rPr>
                          <w:t>1.5</w:t>
                        </w:r>
                      </w:p>
                    </w:tc>
                    <w:tc>
                      <w:tcPr>
                        <w:tcW w:w="2208" w:type="dxa"/>
                      </w:tcPr>
                      <w:p>
                        <w:pPr>
                          <w:pStyle w:val="TableParagraph"/>
                          <w:spacing w:line="245" w:lineRule="exact"/>
                          <w:ind w:left="52"/>
                          <w:rPr>
                            <w:rFonts w:ascii="黑体" w:eastAsia="黑体" w:hint="eastAsia"/>
                            <w:sz w:val="21"/>
                          </w:rPr>
                        </w:pPr>
                        <w:r>
                          <w:rPr>
                            <w:rFonts w:ascii="黑体" w:eastAsia="黑体" w:hint="eastAsia"/>
                            <w:sz w:val="21"/>
                          </w:rPr>
                          <w:t>犹豫期</w:t>
                        </w:r>
                      </w:p>
                    </w:tc>
                    <w:tc>
                      <w:tcPr>
                        <w:tcW w:w="3663" w:type="dxa"/>
                      </w:tcPr>
                      <w:p>
                        <w:pPr>
                          <w:pStyle w:val="TableParagraph"/>
                          <w:spacing w:line="245" w:lineRule="exact"/>
                          <w:ind w:left="681"/>
                          <w:rPr>
                            <w:rFonts w:ascii="黑体" w:eastAsia="黑体" w:hint="eastAsia"/>
                            <w:sz w:val="21"/>
                          </w:rPr>
                        </w:pPr>
                        <w:r>
                          <w:rPr>
                            <w:rFonts w:ascii="黑体" w:eastAsia="黑体" w:hint="eastAsia"/>
                            <w:sz w:val="21"/>
                            <w:shd w:fill="A6A6A6" w:color="auto" w:val="clear"/>
                          </w:rPr>
                          <w:t>8．说明、告知与解除权限制</w:t>
                        </w:r>
                      </w:p>
                    </w:tc>
                    <w:tc>
                      <w:tcPr>
                        <w:tcW w:w="754" w:type="dxa"/>
                      </w:tcPr>
                      <w:p>
                        <w:pPr>
                          <w:pStyle w:val="TableParagraph"/>
                          <w:spacing w:line="245" w:lineRule="exact"/>
                          <w:ind w:left="0" w:right="53"/>
                          <w:jc w:val="right"/>
                          <w:rPr>
                            <w:rFonts w:ascii="黑体"/>
                            <w:sz w:val="21"/>
                          </w:rPr>
                        </w:pPr>
                        <w:r>
                          <w:rPr>
                            <w:rFonts w:ascii="黑体"/>
                            <w:sz w:val="21"/>
                          </w:rPr>
                          <w:t>13.8</w:t>
                        </w:r>
                      </w:p>
                    </w:tc>
                    <w:tc>
                      <w:tcPr>
                        <w:tcW w:w="1366" w:type="dxa"/>
                      </w:tcPr>
                      <w:p>
                        <w:pPr>
                          <w:pStyle w:val="TableParagraph"/>
                          <w:spacing w:line="245" w:lineRule="exact"/>
                          <w:ind w:left="47"/>
                          <w:rPr>
                            <w:rFonts w:ascii="黑体" w:eastAsia="黑体" w:hint="eastAsia"/>
                            <w:sz w:val="21"/>
                          </w:rPr>
                        </w:pPr>
                        <w:r>
                          <w:rPr>
                            <w:rFonts w:ascii="黑体" w:eastAsia="黑体" w:hint="eastAsia"/>
                            <w:sz w:val="21"/>
                          </w:rPr>
                          <w:t>全残</w:t>
                        </w:r>
                      </w:p>
                    </w:tc>
                  </w:tr>
                </w:tbl>
                <w:p>
                  <w:pPr>
                    <w:pStyle w:val="BodyText"/>
                  </w:pPr>
                </w:p>
              </w:txbxContent>
            </v:textbox>
            <w10:wrap type="none"/>
          </v:shape>
        </w:pict>
      </w:r>
      <w:r>
        <w:rPr>
          <w:rFonts w:ascii="黑体" w:eastAsia="黑体" w:hint="eastAsia"/>
        </w:rPr>
        <w:t>1．</w:t>
      </w:r>
      <w:r>
        <w:rPr>
          <w:rFonts w:ascii="黑体" w:eastAsia="黑体" w:hint="eastAsia"/>
          <w:spacing w:val="-3"/>
        </w:rPr>
        <w:t>您</w:t>
      </w:r>
      <w:r>
        <w:rPr>
          <w:rFonts w:ascii="黑体" w:eastAsia="黑体" w:hint="eastAsia"/>
        </w:rPr>
        <w:t>与</w:t>
      </w:r>
      <w:r>
        <w:rPr>
          <w:rFonts w:ascii="黑体" w:eastAsia="黑体" w:hint="eastAsia"/>
          <w:spacing w:val="-3"/>
        </w:rPr>
        <w:t>我</w:t>
      </w:r>
      <w:r>
        <w:rPr>
          <w:rFonts w:ascii="黑体" w:eastAsia="黑体" w:hint="eastAsia"/>
        </w:rPr>
        <w:t>们</w:t>
      </w:r>
      <w:r>
        <w:rPr>
          <w:rFonts w:ascii="黑体" w:eastAsia="黑体" w:hint="eastAsia"/>
          <w:spacing w:val="-3"/>
        </w:rPr>
        <w:t>订</w:t>
      </w:r>
      <w:r>
        <w:rPr>
          <w:rFonts w:ascii="黑体" w:eastAsia="黑体" w:hint="eastAsia"/>
        </w:rPr>
        <w:t>立</w:t>
      </w:r>
      <w:r>
        <w:rPr>
          <w:rFonts w:ascii="黑体" w:eastAsia="黑体" w:hint="eastAsia"/>
          <w:spacing w:val="-3"/>
        </w:rPr>
        <w:t>的</w:t>
      </w:r>
      <w:r>
        <w:rPr>
          <w:rFonts w:ascii="黑体" w:eastAsia="黑体" w:hint="eastAsia"/>
        </w:rPr>
        <w:t>合同</w:t>
        <w:tab/>
        <w:t>13.3</w:t>
      </w:r>
      <w:r>
        <w:rPr>
          <w:rFonts w:ascii="黑体" w:eastAsia="黑体" w:hint="eastAsia"/>
          <w:spacing w:val="10"/>
        </w:rPr>
        <w:t> </w:t>
      </w:r>
      <w:r>
        <w:rPr>
          <w:rFonts w:ascii="黑体" w:eastAsia="黑体" w:hint="eastAsia"/>
        </w:rPr>
        <w:t>保</w:t>
      </w:r>
      <w:r>
        <w:rPr>
          <w:rFonts w:ascii="黑体" w:eastAsia="黑体" w:hint="eastAsia"/>
          <w:spacing w:val="-3"/>
        </w:rPr>
        <w:t>险</w:t>
      </w:r>
      <w:r>
        <w:rPr>
          <w:rFonts w:ascii="黑体" w:eastAsia="黑体" w:hint="eastAsia"/>
        </w:rPr>
        <w:t>费</w:t>
      </w:r>
      <w:r>
        <w:rPr>
          <w:rFonts w:ascii="黑体" w:eastAsia="黑体" w:hint="eastAsia"/>
          <w:spacing w:val="-3"/>
        </w:rPr>
        <w:t>约</w:t>
      </w:r>
      <w:r>
        <w:rPr>
          <w:rFonts w:ascii="黑体" w:eastAsia="黑体" w:hint="eastAsia"/>
        </w:rPr>
        <w:t>定</w:t>
      </w:r>
      <w:r>
        <w:rPr>
          <w:rFonts w:ascii="黑体" w:eastAsia="黑体" w:hint="eastAsia"/>
          <w:spacing w:val="-3"/>
        </w:rPr>
        <w:t>支</w:t>
      </w:r>
      <w:r>
        <w:rPr>
          <w:rFonts w:ascii="黑体" w:eastAsia="黑体" w:hint="eastAsia"/>
        </w:rPr>
        <w:t>付日</w:t>
      </w:r>
    </w:p>
    <w:p>
      <w:pPr>
        <w:spacing w:after="0" w:line="211" w:lineRule="exact"/>
        <w:rPr>
          <w:rFonts w:ascii="黑体" w:eastAsia="黑体" w:hint="eastAsia"/>
        </w:rPr>
        <w:sectPr>
          <w:type w:val="continuous"/>
          <w:pgSz w:w="11910" w:h="16840"/>
          <w:pgMar w:top="200" w:bottom="280" w:left="1020" w:right="220"/>
        </w:sect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spacing w:before="9"/>
        <w:rPr>
          <w:rFonts w:ascii="黑体"/>
          <w:sz w:val="25"/>
        </w:rPr>
      </w:pPr>
    </w:p>
    <w:p>
      <w:pPr>
        <w:pStyle w:val="BodyText"/>
        <w:tabs>
          <w:tab w:pos="3233" w:val="left" w:leader="none"/>
        </w:tabs>
        <w:spacing w:before="1"/>
        <w:ind w:left="533"/>
        <w:rPr>
          <w:rFonts w:ascii="黑体" w:eastAsia="黑体" w:hint="eastAsia"/>
        </w:rPr>
      </w:pPr>
      <w:r>
        <w:rPr>
          <w:rFonts w:ascii="黑体" w:eastAsia="黑体" w:hint="eastAsia"/>
          <w:shd w:fill="A6A6A6" w:color="auto" w:val="clear"/>
        </w:rPr>
        <w:t>2．</w:t>
      </w:r>
      <w:r>
        <w:rPr>
          <w:rFonts w:ascii="黑体" w:eastAsia="黑体" w:hint="eastAsia"/>
          <w:spacing w:val="-3"/>
          <w:shd w:fill="A6A6A6" w:color="auto" w:val="clear"/>
        </w:rPr>
        <w:t>我</w:t>
      </w:r>
      <w:r>
        <w:rPr>
          <w:rFonts w:ascii="黑体" w:eastAsia="黑体" w:hint="eastAsia"/>
          <w:shd w:fill="A6A6A6" w:color="auto" w:val="clear"/>
        </w:rPr>
        <w:t>们</w:t>
      </w:r>
      <w:r>
        <w:rPr>
          <w:rFonts w:ascii="黑体" w:eastAsia="黑体" w:hint="eastAsia"/>
          <w:spacing w:val="-3"/>
          <w:shd w:fill="A6A6A6" w:color="auto" w:val="clear"/>
        </w:rPr>
        <w:t>提</w:t>
      </w:r>
      <w:r>
        <w:rPr>
          <w:rFonts w:ascii="黑体" w:eastAsia="黑体" w:hint="eastAsia"/>
          <w:shd w:fill="A6A6A6" w:color="auto" w:val="clear"/>
        </w:rPr>
        <w:t>供</w:t>
      </w:r>
      <w:r>
        <w:rPr>
          <w:rFonts w:ascii="黑体" w:eastAsia="黑体" w:hint="eastAsia"/>
          <w:spacing w:val="-3"/>
          <w:shd w:fill="A6A6A6" w:color="auto" w:val="clear"/>
        </w:rPr>
        <w:t>的</w:t>
      </w:r>
      <w:r>
        <w:rPr>
          <w:rFonts w:ascii="黑体" w:eastAsia="黑体" w:hint="eastAsia"/>
          <w:shd w:fill="A6A6A6" w:color="auto" w:val="clear"/>
        </w:rPr>
        <w:t>保障</w:t>
        <w:tab/>
      </w:r>
    </w:p>
    <w:p>
      <w:pPr>
        <w:pStyle w:val="ListParagraph"/>
        <w:numPr>
          <w:ilvl w:val="1"/>
          <w:numId w:val="2"/>
        </w:numPr>
        <w:tabs>
          <w:tab w:pos="956" w:val="left" w:leader="none"/>
        </w:tabs>
        <w:spacing w:line="240" w:lineRule="auto" w:before="44" w:after="0"/>
        <w:ind w:left="955" w:right="0" w:hanging="422"/>
        <w:jc w:val="left"/>
        <w:rPr>
          <w:sz w:val="21"/>
        </w:rPr>
      </w:pPr>
      <w:r>
        <w:rPr>
          <w:spacing w:val="-3"/>
          <w:sz w:val="21"/>
        </w:rPr>
        <w:t>基本保险金额</w:t>
      </w:r>
    </w:p>
    <w:p>
      <w:pPr>
        <w:pStyle w:val="ListParagraph"/>
        <w:numPr>
          <w:ilvl w:val="1"/>
          <w:numId w:val="2"/>
        </w:numPr>
        <w:tabs>
          <w:tab w:pos="956" w:val="left" w:leader="none"/>
        </w:tabs>
        <w:spacing w:line="240" w:lineRule="auto" w:before="44" w:after="0"/>
        <w:ind w:left="955" w:right="0" w:hanging="422"/>
        <w:jc w:val="left"/>
        <w:rPr>
          <w:sz w:val="21"/>
        </w:rPr>
      </w:pPr>
      <w:r>
        <w:rPr>
          <w:spacing w:val="-3"/>
          <w:sz w:val="21"/>
        </w:rPr>
        <w:t>保险期间</w:t>
      </w:r>
    </w:p>
    <w:p>
      <w:pPr>
        <w:pStyle w:val="BodyText"/>
        <w:rPr>
          <w:rFonts w:ascii="黑体"/>
          <w:sz w:val="20"/>
        </w:rPr>
      </w:pPr>
      <w:r>
        <w:rPr/>
        <w:br w:type="column"/>
      </w:r>
      <w:r>
        <w:rPr>
          <w:rFonts w:ascii="黑体"/>
          <w:sz w:val="20"/>
        </w:rPr>
      </w: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spacing w:before="9"/>
        <w:rPr>
          <w:rFonts w:ascii="黑体"/>
          <w:sz w:val="25"/>
        </w:rPr>
      </w:pPr>
    </w:p>
    <w:p>
      <w:pPr>
        <w:pStyle w:val="ListParagraph"/>
        <w:numPr>
          <w:ilvl w:val="1"/>
          <w:numId w:val="3"/>
        </w:numPr>
        <w:tabs>
          <w:tab w:pos="942" w:val="left" w:leader="none"/>
        </w:tabs>
        <w:spacing w:line="240" w:lineRule="auto" w:before="1" w:after="0"/>
        <w:ind w:left="941" w:right="0" w:hanging="422"/>
        <w:jc w:val="left"/>
        <w:rPr>
          <w:sz w:val="21"/>
        </w:rPr>
      </w:pPr>
      <w:r>
        <w:rPr>
          <w:spacing w:val="-3"/>
          <w:sz w:val="21"/>
        </w:rPr>
        <w:t>明确说明与如实告知</w:t>
      </w:r>
    </w:p>
    <w:p>
      <w:pPr>
        <w:pStyle w:val="ListParagraph"/>
        <w:numPr>
          <w:ilvl w:val="1"/>
          <w:numId w:val="3"/>
        </w:numPr>
        <w:tabs>
          <w:tab w:pos="942" w:val="left" w:leader="none"/>
        </w:tabs>
        <w:spacing w:line="240" w:lineRule="auto" w:before="44" w:after="0"/>
        <w:ind w:left="941" w:right="0" w:hanging="422"/>
        <w:jc w:val="left"/>
        <w:rPr>
          <w:sz w:val="21"/>
        </w:rPr>
      </w:pPr>
      <w:r>
        <w:rPr>
          <w:spacing w:val="-3"/>
          <w:sz w:val="21"/>
        </w:rPr>
        <w:t>我们合同解除权的限制</w:t>
      </w:r>
    </w:p>
    <w:p>
      <w:pPr>
        <w:pStyle w:val="BodyText"/>
        <w:tabs>
          <w:tab w:pos="3219" w:val="left" w:leader="none"/>
        </w:tabs>
        <w:spacing w:before="44"/>
        <w:ind w:left="519"/>
        <w:rPr>
          <w:rFonts w:ascii="黑体" w:eastAsia="黑体" w:hint="eastAsia"/>
        </w:rPr>
      </w:pPr>
      <w:r>
        <w:rPr>
          <w:rFonts w:ascii="黑体" w:eastAsia="黑体" w:hint="eastAsia"/>
          <w:shd w:fill="A6A6A6" w:color="auto" w:val="clear"/>
        </w:rPr>
        <w:t>9．</w:t>
      </w:r>
      <w:r>
        <w:rPr>
          <w:rFonts w:ascii="黑体" w:eastAsia="黑体" w:hint="eastAsia"/>
          <w:spacing w:val="-3"/>
          <w:shd w:fill="A6A6A6" w:color="auto" w:val="clear"/>
        </w:rPr>
        <w:t>其</w:t>
      </w:r>
      <w:r>
        <w:rPr>
          <w:rFonts w:ascii="黑体" w:eastAsia="黑体" w:hint="eastAsia"/>
          <w:shd w:fill="A6A6A6" w:color="auto" w:val="clear"/>
        </w:rPr>
        <w:t>他</w:t>
      </w:r>
      <w:r>
        <w:rPr>
          <w:rFonts w:ascii="黑体" w:eastAsia="黑体" w:hint="eastAsia"/>
          <w:spacing w:val="-3"/>
          <w:shd w:fill="A6A6A6" w:color="auto" w:val="clear"/>
        </w:rPr>
        <w:t>需</w:t>
      </w:r>
      <w:r>
        <w:rPr>
          <w:rFonts w:ascii="黑体" w:eastAsia="黑体" w:hint="eastAsia"/>
          <w:shd w:fill="A6A6A6" w:color="auto" w:val="clear"/>
        </w:rPr>
        <w:t>要</w:t>
      </w:r>
      <w:r>
        <w:rPr>
          <w:rFonts w:ascii="黑体" w:eastAsia="黑体" w:hint="eastAsia"/>
          <w:spacing w:val="-3"/>
          <w:shd w:fill="A6A6A6" w:color="auto" w:val="clear"/>
        </w:rPr>
        <w:t>关</w:t>
      </w:r>
      <w:r>
        <w:rPr>
          <w:rFonts w:ascii="黑体" w:eastAsia="黑体" w:hint="eastAsia"/>
          <w:shd w:fill="A6A6A6" w:color="auto" w:val="clear"/>
        </w:rPr>
        <w:t>注</w:t>
      </w:r>
      <w:r>
        <w:rPr>
          <w:rFonts w:ascii="黑体" w:eastAsia="黑体" w:hint="eastAsia"/>
          <w:spacing w:val="-3"/>
          <w:shd w:fill="A6A6A6" w:color="auto" w:val="clear"/>
        </w:rPr>
        <w:t>的</w:t>
      </w:r>
      <w:r>
        <w:rPr>
          <w:rFonts w:ascii="黑体" w:eastAsia="黑体" w:hint="eastAsia"/>
          <w:shd w:fill="A6A6A6" w:color="auto" w:val="clear"/>
        </w:rPr>
        <w:t>事项</w:t>
        <w:tab/>
      </w:r>
    </w:p>
    <w:p>
      <w:pPr>
        <w:pStyle w:val="BodyText"/>
        <w:rPr>
          <w:rFonts w:ascii="黑体"/>
          <w:sz w:val="20"/>
        </w:rPr>
      </w:pPr>
      <w:r>
        <w:rPr/>
        <w:br w:type="column"/>
      </w:r>
      <w:r>
        <w:rPr>
          <w:rFonts w:ascii="黑体"/>
          <w:sz w:val="20"/>
        </w:rPr>
      </w: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spacing w:before="9"/>
        <w:rPr>
          <w:rFonts w:ascii="黑体"/>
          <w:sz w:val="25"/>
        </w:rPr>
      </w:pPr>
    </w:p>
    <w:p>
      <w:pPr>
        <w:pStyle w:val="ListParagraph"/>
        <w:numPr>
          <w:ilvl w:val="1"/>
          <w:numId w:val="4"/>
        </w:numPr>
        <w:tabs>
          <w:tab w:pos="1043" w:val="left" w:leader="none"/>
        </w:tabs>
        <w:spacing w:line="240" w:lineRule="auto" w:before="1" w:after="0"/>
        <w:ind w:left="1042" w:right="0" w:hanging="526"/>
        <w:jc w:val="left"/>
        <w:rPr>
          <w:sz w:val="21"/>
        </w:rPr>
      </w:pPr>
      <w:r>
        <w:rPr>
          <w:sz w:val="21"/>
        </w:rPr>
        <w:t>Th</w:t>
      </w:r>
      <w:r>
        <w:rPr>
          <w:spacing w:val="-3"/>
          <w:sz w:val="21"/>
        </w:rPr>
        <w:t>命末期疾病</w:t>
      </w:r>
    </w:p>
    <w:p>
      <w:pPr>
        <w:pStyle w:val="ListParagraph"/>
        <w:numPr>
          <w:ilvl w:val="1"/>
          <w:numId w:val="4"/>
        </w:numPr>
        <w:tabs>
          <w:tab w:pos="1096" w:val="left" w:leader="none"/>
        </w:tabs>
        <w:spacing w:line="240" w:lineRule="auto" w:before="44" w:after="0"/>
        <w:ind w:left="1095" w:right="0" w:hanging="579"/>
        <w:jc w:val="left"/>
        <w:rPr>
          <w:sz w:val="21"/>
        </w:rPr>
      </w:pPr>
      <w:r>
        <w:rPr>
          <w:spacing w:val="-3"/>
          <w:sz w:val="21"/>
        </w:rPr>
        <w:t>六项基本日常</w:t>
      </w:r>
      <w:r>
        <w:rPr>
          <w:sz w:val="21"/>
        </w:rPr>
        <w:t>Th</w:t>
      </w:r>
      <w:r>
        <w:rPr>
          <w:spacing w:val="-2"/>
          <w:sz w:val="21"/>
        </w:rPr>
        <w:t>活活动</w:t>
      </w:r>
    </w:p>
    <w:p>
      <w:pPr>
        <w:pStyle w:val="ListParagraph"/>
        <w:numPr>
          <w:ilvl w:val="1"/>
          <w:numId w:val="4"/>
        </w:numPr>
        <w:tabs>
          <w:tab w:pos="1148" w:val="left" w:leader="none"/>
        </w:tabs>
        <w:spacing w:line="240" w:lineRule="auto" w:before="44" w:after="0"/>
        <w:ind w:left="1148" w:right="0" w:hanging="632"/>
        <w:jc w:val="left"/>
        <w:rPr>
          <w:sz w:val="21"/>
        </w:rPr>
      </w:pPr>
      <w:r>
        <w:rPr>
          <w:spacing w:val="-3"/>
          <w:sz w:val="21"/>
        </w:rPr>
        <w:t>保单周月日</w:t>
      </w:r>
    </w:p>
    <w:p>
      <w:pPr>
        <w:spacing w:after="0" w:line="240" w:lineRule="auto"/>
        <w:jc w:val="left"/>
        <w:rPr>
          <w:sz w:val="21"/>
        </w:rPr>
        <w:sectPr>
          <w:type w:val="continuous"/>
          <w:pgSz w:w="11910" w:h="16840"/>
          <w:pgMar w:top="200" w:bottom="280" w:left="1020" w:right="220"/>
          <w:cols w:num="3" w:equalWidth="0">
            <w:col w:w="3234" w:space="40"/>
            <w:col w:w="3220" w:space="39"/>
            <w:col w:w="4137"/>
          </w:cols>
        </w:sectPr>
      </w:pPr>
    </w:p>
    <w:p>
      <w:pPr>
        <w:pStyle w:val="BodyText"/>
        <w:spacing w:before="6"/>
        <w:rPr>
          <w:rFonts w:ascii="黑体"/>
          <w:sz w:val="8"/>
        </w:rPr>
      </w:pPr>
    </w:p>
    <w:tbl>
      <w:tblPr>
        <w:tblW w:w="0" w:type="auto"/>
        <w:jc w:val="left"/>
        <w:tblInd w:w="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30"/>
        <w:gridCol w:w="3299"/>
        <w:gridCol w:w="791"/>
        <w:gridCol w:w="2200"/>
      </w:tblGrid>
      <w:tr>
        <w:trPr>
          <w:trHeight w:val="265" w:hRule="atLeast"/>
        </w:trPr>
        <w:tc>
          <w:tcPr>
            <w:tcW w:w="3030" w:type="dxa"/>
          </w:tcPr>
          <w:p>
            <w:pPr>
              <w:pStyle w:val="TableParagraph"/>
              <w:spacing w:line="211" w:lineRule="exact"/>
              <w:ind w:left="50"/>
              <w:rPr>
                <w:rFonts w:ascii="黑体" w:eastAsia="黑体" w:hint="eastAsia"/>
                <w:sz w:val="21"/>
              </w:rPr>
            </w:pPr>
            <w:r>
              <w:rPr>
                <w:rFonts w:ascii="黑体" w:eastAsia="黑体" w:hint="eastAsia"/>
                <w:sz w:val="21"/>
              </w:rPr>
              <w:t>2.3 等待期</w:t>
            </w:r>
          </w:p>
        </w:tc>
        <w:tc>
          <w:tcPr>
            <w:tcW w:w="3299" w:type="dxa"/>
          </w:tcPr>
          <w:p>
            <w:pPr>
              <w:pStyle w:val="TableParagraph"/>
              <w:spacing w:line="211" w:lineRule="exact"/>
              <w:ind w:left="279"/>
              <w:rPr>
                <w:rFonts w:ascii="黑体" w:eastAsia="黑体" w:hint="eastAsia"/>
                <w:sz w:val="21"/>
              </w:rPr>
            </w:pPr>
            <w:r>
              <w:rPr>
                <w:rFonts w:ascii="黑体" w:eastAsia="黑体" w:hint="eastAsia"/>
                <w:sz w:val="21"/>
              </w:rPr>
              <w:t>9.1 年龄性别错误</w:t>
            </w:r>
          </w:p>
        </w:tc>
        <w:tc>
          <w:tcPr>
            <w:tcW w:w="791" w:type="dxa"/>
          </w:tcPr>
          <w:p>
            <w:pPr>
              <w:pStyle w:val="TableParagraph"/>
              <w:spacing w:line="211" w:lineRule="exact"/>
              <w:ind w:left="0" w:right="23"/>
              <w:jc w:val="right"/>
              <w:rPr>
                <w:rFonts w:ascii="黑体"/>
                <w:sz w:val="21"/>
              </w:rPr>
            </w:pPr>
            <w:r>
              <w:rPr>
                <w:rFonts w:ascii="黑体"/>
                <w:sz w:val="21"/>
              </w:rPr>
              <w:t>13.12</w:t>
            </w:r>
          </w:p>
        </w:tc>
        <w:tc>
          <w:tcPr>
            <w:tcW w:w="2200" w:type="dxa"/>
          </w:tcPr>
          <w:p>
            <w:pPr>
              <w:pStyle w:val="TableParagraph"/>
              <w:spacing w:line="211" w:lineRule="exact"/>
              <w:ind w:left="78"/>
              <w:rPr>
                <w:rFonts w:ascii="黑体" w:eastAsia="黑体" w:hint="eastAsia"/>
                <w:sz w:val="21"/>
              </w:rPr>
            </w:pPr>
            <w:r>
              <w:rPr>
                <w:rFonts w:ascii="黑体" w:eastAsia="黑体" w:hint="eastAsia"/>
                <w:sz w:val="21"/>
              </w:rPr>
              <w:t>毒品</w:t>
            </w:r>
          </w:p>
        </w:tc>
      </w:tr>
      <w:tr>
        <w:trPr>
          <w:trHeight w:val="319" w:hRule="atLeast"/>
        </w:trPr>
        <w:tc>
          <w:tcPr>
            <w:tcW w:w="3030" w:type="dxa"/>
          </w:tcPr>
          <w:p>
            <w:pPr>
              <w:pStyle w:val="TableParagraph"/>
              <w:spacing w:line="265" w:lineRule="exact"/>
              <w:ind w:left="50"/>
              <w:rPr>
                <w:rFonts w:ascii="黑体" w:eastAsia="黑体" w:hint="eastAsia"/>
                <w:sz w:val="21"/>
              </w:rPr>
            </w:pPr>
            <w:r>
              <w:rPr>
                <w:rFonts w:ascii="黑体" w:eastAsia="黑体" w:hint="eastAsia"/>
                <w:sz w:val="21"/>
              </w:rPr>
              <w:t>2.4 保险责任</w:t>
            </w:r>
          </w:p>
        </w:tc>
        <w:tc>
          <w:tcPr>
            <w:tcW w:w="3299" w:type="dxa"/>
          </w:tcPr>
          <w:p>
            <w:pPr>
              <w:pStyle w:val="TableParagraph"/>
              <w:spacing w:line="265" w:lineRule="exact"/>
              <w:ind w:left="279"/>
              <w:rPr>
                <w:rFonts w:ascii="黑体" w:eastAsia="黑体" w:hint="eastAsia"/>
                <w:sz w:val="21"/>
              </w:rPr>
            </w:pPr>
            <w:r>
              <w:rPr>
                <w:rFonts w:ascii="黑体" w:eastAsia="黑体" w:hint="eastAsia"/>
                <w:sz w:val="21"/>
              </w:rPr>
              <w:t>9.2 未还款项</w:t>
            </w:r>
          </w:p>
        </w:tc>
        <w:tc>
          <w:tcPr>
            <w:tcW w:w="791" w:type="dxa"/>
          </w:tcPr>
          <w:p>
            <w:pPr>
              <w:pStyle w:val="TableParagraph"/>
              <w:spacing w:line="265" w:lineRule="exact"/>
              <w:ind w:left="0" w:right="23"/>
              <w:jc w:val="right"/>
              <w:rPr>
                <w:rFonts w:ascii="黑体"/>
                <w:sz w:val="21"/>
              </w:rPr>
            </w:pPr>
            <w:r>
              <w:rPr>
                <w:rFonts w:ascii="黑体"/>
                <w:sz w:val="21"/>
              </w:rPr>
              <w:t>13.13</w:t>
            </w:r>
          </w:p>
        </w:tc>
        <w:tc>
          <w:tcPr>
            <w:tcW w:w="2200" w:type="dxa"/>
          </w:tcPr>
          <w:p>
            <w:pPr>
              <w:pStyle w:val="TableParagraph"/>
              <w:spacing w:line="265" w:lineRule="exact"/>
              <w:ind w:left="78"/>
              <w:rPr>
                <w:rFonts w:ascii="黑体" w:eastAsia="黑体" w:hint="eastAsia"/>
                <w:sz w:val="21"/>
              </w:rPr>
            </w:pPr>
            <w:r>
              <w:rPr>
                <w:rFonts w:ascii="黑体" w:eastAsia="黑体" w:hint="eastAsia"/>
                <w:sz w:val="21"/>
              </w:rPr>
              <w:t>酒后驾驶</w:t>
            </w:r>
          </w:p>
        </w:tc>
      </w:tr>
      <w:tr>
        <w:trPr>
          <w:trHeight w:val="320" w:hRule="atLeast"/>
        </w:trPr>
        <w:tc>
          <w:tcPr>
            <w:tcW w:w="3030" w:type="dxa"/>
          </w:tcPr>
          <w:p>
            <w:pPr>
              <w:pStyle w:val="TableParagraph"/>
              <w:spacing w:line="265" w:lineRule="exact"/>
              <w:ind w:left="50"/>
              <w:rPr>
                <w:rFonts w:ascii="黑体" w:eastAsia="黑体" w:hint="eastAsia"/>
                <w:sz w:val="21"/>
              </w:rPr>
            </w:pPr>
            <w:r>
              <w:rPr>
                <w:rFonts w:ascii="黑体" w:eastAsia="黑体" w:hint="eastAsia"/>
                <w:sz w:val="21"/>
              </w:rPr>
              <w:t>2.5 责任免除</w:t>
            </w:r>
          </w:p>
        </w:tc>
        <w:tc>
          <w:tcPr>
            <w:tcW w:w="3299" w:type="dxa"/>
          </w:tcPr>
          <w:p>
            <w:pPr>
              <w:pStyle w:val="TableParagraph"/>
              <w:spacing w:line="265" w:lineRule="exact"/>
              <w:ind w:left="279"/>
              <w:rPr>
                <w:rFonts w:ascii="黑体" w:eastAsia="黑体" w:hint="eastAsia"/>
                <w:sz w:val="21"/>
              </w:rPr>
            </w:pPr>
            <w:r>
              <w:rPr>
                <w:rFonts w:ascii="黑体" w:eastAsia="黑体" w:hint="eastAsia"/>
                <w:sz w:val="21"/>
              </w:rPr>
              <w:t>9.3 合同内容变更</w:t>
            </w:r>
          </w:p>
        </w:tc>
        <w:tc>
          <w:tcPr>
            <w:tcW w:w="791" w:type="dxa"/>
          </w:tcPr>
          <w:p>
            <w:pPr>
              <w:pStyle w:val="TableParagraph"/>
              <w:spacing w:line="265" w:lineRule="exact"/>
              <w:ind w:left="0" w:right="23"/>
              <w:jc w:val="right"/>
              <w:rPr>
                <w:rFonts w:ascii="黑体"/>
                <w:sz w:val="21"/>
              </w:rPr>
            </w:pPr>
            <w:r>
              <w:rPr>
                <w:rFonts w:ascii="黑体"/>
                <w:sz w:val="21"/>
              </w:rPr>
              <w:t>13.14</w:t>
            </w:r>
          </w:p>
        </w:tc>
        <w:tc>
          <w:tcPr>
            <w:tcW w:w="2200" w:type="dxa"/>
          </w:tcPr>
          <w:p>
            <w:pPr>
              <w:pStyle w:val="TableParagraph"/>
              <w:spacing w:line="265" w:lineRule="exact"/>
              <w:ind w:left="25"/>
              <w:rPr>
                <w:rFonts w:ascii="黑体" w:eastAsia="黑体" w:hint="eastAsia"/>
                <w:sz w:val="21"/>
              </w:rPr>
            </w:pPr>
            <w:r>
              <w:rPr>
                <w:rFonts w:ascii="黑体" w:eastAsia="黑体" w:hint="eastAsia"/>
                <w:sz w:val="21"/>
              </w:rPr>
              <w:t>无合法有效驾驶证驾驶</w:t>
            </w:r>
          </w:p>
        </w:tc>
      </w:tr>
      <w:tr>
        <w:trPr>
          <w:trHeight w:val="320" w:hRule="atLeast"/>
        </w:trPr>
        <w:tc>
          <w:tcPr>
            <w:tcW w:w="3030" w:type="dxa"/>
          </w:tcPr>
          <w:p>
            <w:pPr>
              <w:pStyle w:val="TableParagraph"/>
              <w:tabs>
                <w:tab w:pos="2750" w:val="left" w:leader="none"/>
              </w:tabs>
              <w:spacing w:line="267" w:lineRule="exact"/>
              <w:ind w:left="50"/>
              <w:rPr>
                <w:rFonts w:ascii="黑体" w:eastAsia="黑体" w:hint="eastAsia"/>
                <w:sz w:val="21"/>
              </w:rPr>
            </w:pPr>
            <w:r>
              <w:rPr>
                <w:rFonts w:ascii="黑体" w:eastAsia="黑体" w:hint="eastAsia"/>
                <w:sz w:val="21"/>
                <w:shd w:fill="A6A6A6" w:color="auto" w:val="clear"/>
              </w:rPr>
              <w:t>3．</w:t>
            </w:r>
            <w:r>
              <w:rPr>
                <w:rFonts w:ascii="黑体" w:eastAsia="黑体" w:hint="eastAsia"/>
                <w:spacing w:val="-3"/>
                <w:sz w:val="21"/>
                <w:shd w:fill="A6A6A6" w:color="auto" w:val="clear"/>
              </w:rPr>
              <w:t>保</w:t>
            </w:r>
            <w:r>
              <w:rPr>
                <w:rFonts w:ascii="黑体" w:eastAsia="黑体" w:hint="eastAsia"/>
                <w:sz w:val="21"/>
                <w:shd w:fill="A6A6A6" w:color="auto" w:val="clear"/>
              </w:rPr>
              <w:t>险</w:t>
            </w:r>
            <w:r>
              <w:rPr>
                <w:rFonts w:ascii="黑体" w:eastAsia="黑体" w:hint="eastAsia"/>
                <w:spacing w:val="-3"/>
                <w:sz w:val="21"/>
                <w:shd w:fill="A6A6A6" w:color="auto" w:val="clear"/>
              </w:rPr>
              <w:t>金</w:t>
            </w:r>
            <w:r>
              <w:rPr>
                <w:rFonts w:ascii="黑体" w:eastAsia="黑体" w:hint="eastAsia"/>
                <w:sz w:val="21"/>
                <w:shd w:fill="A6A6A6" w:color="auto" w:val="clear"/>
              </w:rPr>
              <w:t>的</w:t>
            </w:r>
            <w:r>
              <w:rPr>
                <w:rFonts w:ascii="黑体" w:eastAsia="黑体" w:hint="eastAsia"/>
                <w:spacing w:val="-3"/>
                <w:sz w:val="21"/>
                <w:shd w:fill="A6A6A6" w:color="auto" w:val="clear"/>
              </w:rPr>
              <w:t>申</w:t>
            </w:r>
            <w:r>
              <w:rPr>
                <w:rFonts w:ascii="黑体" w:eastAsia="黑体" w:hint="eastAsia"/>
                <w:sz w:val="21"/>
                <w:shd w:fill="A6A6A6" w:color="auto" w:val="clear"/>
              </w:rPr>
              <w:t>请</w:t>
              <w:tab/>
            </w:r>
          </w:p>
        </w:tc>
        <w:tc>
          <w:tcPr>
            <w:tcW w:w="3299" w:type="dxa"/>
          </w:tcPr>
          <w:p>
            <w:pPr>
              <w:pStyle w:val="TableParagraph"/>
              <w:spacing w:line="267" w:lineRule="exact"/>
              <w:ind w:left="279"/>
              <w:rPr>
                <w:rFonts w:ascii="黑体" w:eastAsia="黑体" w:hint="eastAsia"/>
                <w:sz w:val="21"/>
              </w:rPr>
            </w:pPr>
            <w:r>
              <w:rPr>
                <w:rFonts w:ascii="黑体" w:eastAsia="黑体" w:hint="eastAsia"/>
                <w:sz w:val="21"/>
              </w:rPr>
              <w:t>9.4 联系方式变更</w:t>
            </w:r>
          </w:p>
        </w:tc>
        <w:tc>
          <w:tcPr>
            <w:tcW w:w="791" w:type="dxa"/>
          </w:tcPr>
          <w:p>
            <w:pPr>
              <w:pStyle w:val="TableParagraph"/>
              <w:spacing w:line="267" w:lineRule="exact"/>
              <w:ind w:left="0" w:right="23"/>
              <w:jc w:val="right"/>
              <w:rPr>
                <w:rFonts w:ascii="黑体"/>
                <w:sz w:val="21"/>
              </w:rPr>
            </w:pPr>
            <w:r>
              <w:rPr>
                <w:rFonts w:ascii="黑体"/>
                <w:sz w:val="21"/>
              </w:rPr>
              <w:t>13.15</w:t>
            </w:r>
          </w:p>
        </w:tc>
        <w:tc>
          <w:tcPr>
            <w:tcW w:w="2200" w:type="dxa"/>
          </w:tcPr>
          <w:p>
            <w:pPr>
              <w:pStyle w:val="TableParagraph"/>
              <w:spacing w:line="267" w:lineRule="exact"/>
              <w:ind w:left="78"/>
              <w:rPr>
                <w:rFonts w:ascii="黑体" w:eastAsia="黑体" w:hint="eastAsia"/>
                <w:sz w:val="21"/>
              </w:rPr>
            </w:pPr>
            <w:r>
              <w:rPr>
                <w:rFonts w:ascii="黑体" w:eastAsia="黑体" w:hint="eastAsia"/>
                <w:sz w:val="21"/>
              </w:rPr>
              <w:t>无有效行驶证</w:t>
            </w:r>
          </w:p>
        </w:tc>
      </w:tr>
      <w:tr>
        <w:trPr>
          <w:trHeight w:val="319" w:hRule="atLeast"/>
        </w:trPr>
        <w:tc>
          <w:tcPr>
            <w:tcW w:w="3030" w:type="dxa"/>
          </w:tcPr>
          <w:p>
            <w:pPr>
              <w:pStyle w:val="TableParagraph"/>
              <w:spacing w:line="265" w:lineRule="exact"/>
              <w:ind w:left="50"/>
              <w:rPr>
                <w:rFonts w:ascii="黑体" w:eastAsia="黑体" w:hint="eastAsia"/>
                <w:sz w:val="21"/>
              </w:rPr>
            </w:pPr>
            <w:r>
              <w:rPr>
                <w:rFonts w:ascii="黑体" w:eastAsia="黑体" w:hint="eastAsia"/>
                <w:sz w:val="21"/>
              </w:rPr>
              <w:t>3.1 受益人</w:t>
            </w:r>
          </w:p>
        </w:tc>
        <w:tc>
          <w:tcPr>
            <w:tcW w:w="3299" w:type="dxa"/>
          </w:tcPr>
          <w:p>
            <w:pPr>
              <w:pStyle w:val="TableParagraph"/>
              <w:spacing w:line="265" w:lineRule="exact"/>
              <w:ind w:left="279"/>
              <w:rPr>
                <w:rFonts w:ascii="黑体" w:eastAsia="黑体" w:hint="eastAsia"/>
                <w:sz w:val="21"/>
              </w:rPr>
            </w:pPr>
            <w:r>
              <w:rPr>
                <w:rFonts w:ascii="黑体" w:eastAsia="黑体" w:hint="eastAsia"/>
                <w:sz w:val="21"/>
              </w:rPr>
              <w:t>9.5 争议处理</w:t>
            </w:r>
          </w:p>
        </w:tc>
        <w:tc>
          <w:tcPr>
            <w:tcW w:w="791" w:type="dxa"/>
          </w:tcPr>
          <w:p>
            <w:pPr>
              <w:pStyle w:val="TableParagraph"/>
              <w:spacing w:line="265" w:lineRule="exact"/>
              <w:ind w:left="0" w:right="25"/>
              <w:jc w:val="right"/>
              <w:rPr>
                <w:rFonts w:ascii="黑体"/>
                <w:sz w:val="21"/>
              </w:rPr>
            </w:pPr>
            <w:r>
              <w:rPr>
                <w:rFonts w:ascii="黑体"/>
                <w:sz w:val="21"/>
              </w:rPr>
              <w:t>13.16</w:t>
            </w:r>
          </w:p>
        </w:tc>
        <w:tc>
          <w:tcPr>
            <w:tcW w:w="2200" w:type="dxa"/>
          </w:tcPr>
          <w:p>
            <w:pPr>
              <w:pStyle w:val="TableParagraph"/>
              <w:spacing w:line="265" w:lineRule="exact"/>
              <w:ind w:left="0" w:right="50"/>
              <w:jc w:val="right"/>
              <w:rPr>
                <w:rFonts w:ascii="黑体" w:eastAsia="黑体" w:hint="eastAsia"/>
                <w:sz w:val="21"/>
              </w:rPr>
            </w:pPr>
            <w:r>
              <w:rPr>
                <w:rFonts w:ascii="黑体" w:eastAsia="黑体" w:hint="eastAsia"/>
                <w:sz w:val="21"/>
              </w:rPr>
              <w:t>感染艾滋病病毒或患</w:t>
            </w:r>
          </w:p>
        </w:tc>
      </w:tr>
      <w:tr>
        <w:trPr>
          <w:trHeight w:val="320" w:hRule="atLeast"/>
        </w:trPr>
        <w:tc>
          <w:tcPr>
            <w:tcW w:w="3030" w:type="dxa"/>
          </w:tcPr>
          <w:p>
            <w:pPr>
              <w:pStyle w:val="TableParagraph"/>
              <w:spacing w:line="265" w:lineRule="exact"/>
              <w:ind w:left="50"/>
              <w:rPr>
                <w:rFonts w:ascii="黑体" w:eastAsia="黑体" w:hint="eastAsia"/>
                <w:sz w:val="21"/>
              </w:rPr>
            </w:pPr>
            <w:r>
              <w:rPr>
                <w:rFonts w:ascii="黑体" w:eastAsia="黑体" w:hint="eastAsia"/>
                <w:sz w:val="21"/>
              </w:rPr>
              <w:t>3.2 保险事故通知</w:t>
            </w:r>
          </w:p>
        </w:tc>
        <w:tc>
          <w:tcPr>
            <w:tcW w:w="3299" w:type="dxa"/>
          </w:tcPr>
          <w:p>
            <w:pPr>
              <w:pStyle w:val="TableParagraph"/>
              <w:tabs>
                <w:tab w:pos="2980" w:val="left" w:leader="none"/>
              </w:tabs>
              <w:spacing w:line="265" w:lineRule="exact"/>
              <w:ind w:left="279"/>
              <w:rPr>
                <w:rFonts w:ascii="黑体" w:eastAsia="黑体" w:hint="eastAsia"/>
                <w:sz w:val="21"/>
              </w:rPr>
            </w:pPr>
            <w:r>
              <w:rPr>
                <w:rFonts w:ascii="黑体" w:eastAsia="黑体" w:hint="eastAsia"/>
                <w:sz w:val="21"/>
                <w:shd w:fill="A6A6A6" w:color="auto" w:val="clear"/>
              </w:rPr>
              <w:t>10．</w:t>
            </w:r>
            <w:r>
              <w:rPr>
                <w:rFonts w:ascii="黑体" w:eastAsia="黑体" w:hint="eastAsia"/>
                <w:spacing w:val="-3"/>
                <w:sz w:val="21"/>
                <w:shd w:fill="A6A6A6" w:color="auto" w:val="clear"/>
              </w:rPr>
              <w:t>重</w:t>
            </w:r>
            <w:r>
              <w:rPr>
                <w:rFonts w:ascii="黑体" w:eastAsia="黑体" w:hint="eastAsia"/>
                <w:sz w:val="21"/>
                <w:shd w:fill="A6A6A6" w:color="auto" w:val="clear"/>
              </w:rPr>
              <w:t>大</w:t>
            </w:r>
            <w:r>
              <w:rPr>
                <w:rFonts w:ascii="黑体" w:eastAsia="黑体" w:hint="eastAsia"/>
                <w:spacing w:val="-3"/>
                <w:sz w:val="21"/>
                <w:shd w:fill="A6A6A6" w:color="auto" w:val="clear"/>
              </w:rPr>
              <w:t>疾</w:t>
            </w:r>
            <w:r>
              <w:rPr>
                <w:rFonts w:ascii="黑体" w:eastAsia="黑体" w:hint="eastAsia"/>
                <w:sz w:val="21"/>
                <w:shd w:fill="A6A6A6" w:color="auto" w:val="clear"/>
              </w:rPr>
              <w:t>病</w:t>
            </w:r>
            <w:r>
              <w:rPr>
                <w:rFonts w:ascii="黑体" w:eastAsia="黑体" w:hint="eastAsia"/>
                <w:spacing w:val="-3"/>
                <w:sz w:val="21"/>
                <w:shd w:fill="A6A6A6" w:color="auto" w:val="clear"/>
              </w:rPr>
              <w:t>的</w:t>
            </w:r>
            <w:r>
              <w:rPr>
                <w:rFonts w:ascii="黑体" w:eastAsia="黑体" w:hint="eastAsia"/>
                <w:sz w:val="21"/>
                <w:shd w:fill="A6A6A6" w:color="auto" w:val="clear"/>
              </w:rPr>
              <w:t>定义</w:t>
              <w:tab/>
            </w:r>
          </w:p>
        </w:tc>
        <w:tc>
          <w:tcPr>
            <w:tcW w:w="791" w:type="dxa"/>
          </w:tcPr>
          <w:p>
            <w:pPr>
              <w:pStyle w:val="TableParagraph"/>
              <w:ind w:left="0"/>
              <w:rPr>
                <w:rFonts w:ascii="Times New Roman"/>
                <w:sz w:val="20"/>
              </w:rPr>
            </w:pPr>
          </w:p>
        </w:tc>
        <w:tc>
          <w:tcPr>
            <w:tcW w:w="2200" w:type="dxa"/>
          </w:tcPr>
          <w:p>
            <w:pPr>
              <w:pStyle w:val="TableParagraph"/>
              <w:spacing w:line="265" w:lineRule="exact"/>
              <w:ind w:left="118"/>
              <w:rPr>
                <w:rFonts w:ascii="黑体" w:eastAsia="黑体" w:hint="eastAsia"/>
                <w:sz w:val="21"/>
              </w:rPr>
            </w:pPr>
            <w:r>
              <w:rPr>
                <w:rFonts w:ascii="黑体" w:eastAsia="黑体" w:hint="eastAsia"/>
                <w:sz w:val="21"/>
              </w:rPr>
              <w:t>艾滋病</w:t>
            </w:r>
          </w:p>
        </w:tc>
      </w:tr>
      <w:tr>
        <w:trPr>
          <w:trHeight w:val="320" w:hRule="atLeast"/>
        </w:trPr>
        <w:tc>
          <w:tcPr>
            <w:tcW w:w="3030" w:type="dxa"/>
          </w:tcPr>
          <w:p>
            <w:pPr>
              <w:pStyle w:val="TableParagraph"/>
              <w:spacing w:line="266" w:lineRule="exact"/>
              <w:ind w:left="50"/>
              <w:rPr>
                <w:rFonts w:ascii="黑体" w:eastAsia="黑体" w:hint="eastAsia"/>
                <w:sz w:val="21"/>
              </w:rPr>
            </w:pPr>
            <w:r>
              <w:rPr>
                <w:rFonts w:ascii="黑体" w:eastAsia="黑体" w:hint="eastAsia"/>
                <w:sz w:val="21"/>
              </w:rPr>
              <w:t>3.3 保险金申请</w:t>
            </w:r>
          </w:p>
        </w:tc>
        <w:tc>
          <w:tcPr>
            <w:tcW w:w="3299" w:type="dxa"/>
          </w:tcPr>
          <w:p>
            <w:pPr>
              <w:pStyle w:val="TableParagraph"/>
              <w:spacing w:line="266" w:lineRule="exact"/>
              <w:ind w:left="279"/>
              <w:rPr>
                <w:rFonts w:ascii="黑体" w:eastAsia="黑体" w:hint="eastAsia"/>
                <w:sz w:val="21"/>
              </w:rPr>
            </w:pPr>
            <w:r>
              <w:rPr>
                <w:rFonts w:ascii="黑体" w:eastAsia="黑体" w:hint="eastAsia"/>
                <w:sz w:val="21"/>
              </w:rPr>
              <w:t>10.1 重大疾病的定义</w:t>
            </w:r>
          </w:p>
        </w:tc>
        <w:tc>
          <w:tcPr>
            <w:tcW w:w="791" w:type="dxa"/>
          </w:tcPr>
          <w:p>
            <w:pPr>
              <w:pStyle w:val="TableParagraph"/>
              <w:spacing w:line="266" w:lineRule="exact"/>
              <w:ind w:left="0" w:right="23"/>
              <w:jc w:val="right"/>
              <w:rPr>
                <w:rFonts w:ascii="黑体"/>
                <w:sz w:val="21"/>
              </w:rPr>
            </w:pPr>
            <w:r>
              <w:rPr>
                <w:rFonts w:ascii="黑体"/>
                <w:sz w:val="21"/>
              </w:rPr>
              <w:t>13.17</w:t>
            </w:r>
          </w:p>
        </w:tc>
        <w:tc>
          <w:tcPr>
            <w:tcW w:w="2200" w:type="dxa"/>
          </w:tcPr>
          <w:p>
            <w:pPr>
              <w:pStyle w:val="TableParagraph"/>
              <w:spacing w:line="266" w:lineRule="exact"/>
              <w:ind w:left="78"/>
              <w:rPr>
                <w:rFonts w:ascii="黑体" w:eastAsia="黑体" w:hint="eastAsia"/>
                <w:sz w:val="21"/>
              </w:rPr>
            </w:pPr>
            <w:r>
              <w:rPr>
                <w:rFonts w:ascii="黑体" w:eastAsia="黑体" w:hint="eastAsia"/>
                <w:sz w:val="21"/>
              </w:rPr>
              <w:t>遗传性疾病</w:t>
            </w:r>
          </w:p>
        </w:tc>
      </w:tr>
      <w:tr>
        <w:trPr>
          <w:trHeight w:val="319" w:hRule="atLeast"/>
        </w:trPr>
        <w:tc>
          <w:tcPr>
            <w:tcW w:w="3030" w:type="dxa"/>
          </w:tcPr>
          <w:p>
            <w:pPr>
              <w:pStyle w:val="TableParagraph"/>
              <w:spacing w:line="265" w:lineRule="exact"/>
              <w:ind w:left="50"/>
              <w:rPr>
                <w:rFonts w:ascii="黑体" w:eastAsia="黑体" w:hint="eastAsia"/>
                <w:sz w:val="21"/>
              </w:rPr>
            </w:pPr>
            <w:r>
              <w:rPr>
                <w:rFonts w:ascii="黑体" w:eastAsia="黑体" w:hint="eastAsia"/>
                <w:sz w:val="21"/>
              </w:rPr>
              <w:t>3.4 保险金给付</w:t>
            </w:r>
          </w:p>
        </w:tc>
        <w:tc>
          <w:tcPr>
            <w:tcW w:w="3299" w:type="dxa"/>
          </w:tcPr>
          <w:p>
            <w:pPr>
              <w:pStyle w:val="TableParagraph"/>
              <w:spacing w:line="265" w:lineRule="exact"/>
              <w:ind w:left="279"/>
              <w:rPr>
                <w:rFonts w:ascii="黑体" w:eastAsia="黑体" w:hint="eastAsia"/>
                <w:sz w:val="21"/>
              </w:rPr>
            </w:pPr>
            <w:r>
              <w:rPr>
                <w:rFonts w:ascii="黑体" w:eastAsia="黑体" w:hint="eastAsia"/>
                <w:sz w:val="21"/>
              </w:rPr>
              <w:t>10.2 重大疾病的分组</w:t>
            </w:r>
          </w:p>
        </w:tc>
        <w:tc>
          <w:tcPr>
            <w:tcW w:w="791" w:type="dxa"/>
          </w:tcPr>
          <w:p>
            <w:pPr>
              <w:pStyle w:val="TableParagraph"/>
              <w:spacing w:line="265" w:lineRule="exact"/>
              <w:ind w:left="0" w:right="25"/>
              <w:jc w:val="right"/>
              <w:rPr>
                <w:rFonts w:ascii="黑体"/>
                <w:sz w:val="21"/>
              </w:rPr>
            </w:pPr>
            <w:r>
              <w:rPr>
                <w:rFonts w:ascii="黑体"/>
                <w:sz w:val="21"/>
              </w:rPr>
              <w:t>13.18</w:t>
            </w:r>
          </w:p>
        </w:tc>
        <w:tc>
          <w:tcPr>
            <w:tcW w:w="2200" w:type="dxa"/>
          </w:tcPr>
          <w:p>
            <w:pPr>
              <w:pStyle w:val="TableParagraph"/>
              <w:spacing w:line="265" w:lineRule="exact"/>
              <w:ind w:left="0" w:right="48"/>
              <w:jc w:val="right"/>
              <w:rPr>
                <w:rFonts w:ascii="黑体" w:eastAsia="黑体" w:hint="eastAsia"/>
                <w:sz w:val="21"/>
              </w:rPr>
            </w:pPr>
            <w:r>
              <w:rPr>
                <w:rFonts w:ascii="黑体" w:eastAsia="黑体" w:hint="eastAsia"/>
                <w:sz w:val="21"/>
              </w:rPr>
              <w:t>先天性畸形、变形或染</w:t>
            </w:r>
          </w:p>
        </w:tc>
      </w:tr>
      <w:tr>
        <w:trPr>
          <w:trHeight w:val="320" w:hRule="atLeast"/>
        </w:trPr>
        <w:tc>
          <w:tcPr>
            <w:tcW w:w="3030" w:type="dxa"/>
          </w:tcPr>
          <w:p>
            <w:pPr>
              <w:pStyle w:val="TableParagraph"/>
              <w:spacing w:line="265" w:lineRule="exact"/>
              <w:ind w:left="50"/>
              <w:rPr>
                <w:rFonts w:ascii="黑体" w:eastAsia="黑体" w:hint="eastAsia"/>
                <w:sz w:val="21"/>
              </w:rPr>
            </w:pPr>
            <w:r>
              <w:rPr>
                <w:rFonts w:ascii="黑体" w:eastAsia="黑体" w:hint="eastAsia"/>
                <w:sz w:val="21"/>
              </w:rPr>
              <w:t>3.5 宣告死亡处理</w:t>
            </w:r>
          </w:p>
        </w:tc>
        <w:tc>
          <w:tcPr>
            <w:tcW w:w="3299" w:type="dxa"/>
          </w:tcPr>
          <w:p>
            <w:pPr>
              <w:pStyle w:val="TableParagraph"/>
              <w:spacing w:line="265" w:lineRule="exact"/>
              <w:ind w:left="279"/>
              <w:rPr>
                <w:rFonts w:ascii="黑体" w:eastAsia="黑体" w:hint="eastAsia"/>
                <w:sz w:val="21"/>
              </w:rPr>
            </w:pPr>
            <w:r>
              <w:rPr>
                <w:rFonts w:ascii="黑体" w:eastAsia="黑体" w:hint="eastAsia"/>
                <w:sz w:val="21"/>
              </w:rPr>
              <w:t>10.3 定义来源及确诊医院范围</w:t>
            </w:r>
          </w:p>
        </w:tc>
        <w:tc>
          <w:tcPr>
            <w:tcW w:w="791" w:type="dxa"/>
          </w:tcPr>
          <w:p>
            <w:pPr>
              <w:pStyle w:val="TableParagraph"/>
              <w:ind w:left="0"/>
              <w:rPr>
                <w:rFonts w:ascii="Times New Roman"/>
                <w:sz w:val="20"/>
              </w:rPr>
            </w:pPr>
          </w:p>
        </w:tc>
        <w:tc>
          <w:tcPr>
            <w:tcW w:w="2200" w:type="dxa"/>
          </w:tcPr>
          <w:p>
            <w:pPr>
              <w:pStyle w:val="TableParagraph"/>
              <w:spacing w:line="265" w:lineRule="exact"/>
              <w:ind w:left="118"/>
              <w:rPr>
                <w:rFonts w:ascii="黑体" w:eastAsia="黑体" w:hint="eastAsia"/>
                <w:sz w:val="21"/>
              </w:rPr>
            </w:pPr>
            <w:r>
              <w:rPr>
                <w:rFonts w:ascii="黑体" w:eastAsia="黑体" w:hint="eastAsia"/>
                <w:sz w:val="21"/>
              </w:rPr>
              <w:t>色体异常</w:t>
            </w:r>
          </w:p>
        </w:tc>
      </w:tr>
      <w:tr>
        <w:trPr>
          <w:trHeight w:val="320" w:hRule="atLeast"/>
        </w:trPr>
        <w:tc>
          <w:tcPr>
            <w:tcW w:w="3030" w:type="dxa"/>
          </w:tcPr>
          <w:p>
            <w:pPr>
              <w:pStyle w:val="TableParagraph"/>
              <w:spacing w:line="266" w:lineRule="exact"/>
              <w:ind w:left="50"/>
              <w:rPr>
                <w:rFonts w:ascii="黑体" w:eastAsia="黑体" w:hint="eastAsia"/>
                <w:sz w:val="21"/>
              </w:rPr>
            </w:pPr>
            <w:r>
              <w:rPr>
                <w:rFonts w:ascii="黑体" w:eastAsia="黑体" w:hint="eastAsia"/>
                <w:sz w:val="21"/>
              </w:rPr>
              <w:t>3.6 诉讼时效</w:t>
            </w:r>
          </w:p>
        </w:tc>
        <w:tc>
          <w:tcPr>
            <w:tcW w:w="3299" w:type="dxa"/>
          </w:tcPr>
          <w:p>
            <w:pPr>
              <w:pStyle w:val="TableParagraph"/>
              <w:tabs>
                <w:tab w:pos="2980" w:val="left" w:leader="none"/>
              </w:tabs>
              <w:spacing w:line="266" w:lineRule="exact"/>
              <w:ind w:left="279"/>
              <w:rPr>
                <w:rFonts w:ascii="黑体" w:eastAsia="黑体" w:hint="eastAsia"/>
                <w:sz w:val="21"/>
              </w:rPr>
            </w:pPr>
            <w:r>
              <w:rPr>
                <w:rFonts w:ascii="黑体" w:eastAsia="黑体" w:hint="eastAsia"/>
                <w:sz w:val="21"/>
                <w:shd w:fill="A6A6A6" w:color="auto" w:val="clear"/>
              </w:rPr>
              <w:t>11．</w:t>
            </w:r>
            <w:r>
              <w:rPr>
                <w:rFonts w:ascii="黑体" w:eastAsia="黑体" w:hint="eastAsia"/>
                <w:spacing w:val="-3"/>
                <w:sz w:val="21"/>
                <w:shd w:fill="A6A6A6" w:color="auto" w:val="clear"/>
              </w:rPr>
              <w:t>轻</w:t>
            </w:r>
            <w:r>
              <w:rPr>
                <w:rFonts w:ascii="黑体" w:eastAsia="黑体" w:hint="eastAsia"/>
                <w:sz w:val="21"/>
                <w:shd w:fill="A6A6A6" w:color="auto" w:val="clear"/>
              </w:rPr>
              <w:t>症</w:t>
            </w:r>
            <w:r>
              <w:rPr>
                <w:rFonts w:ascii="黑体" w:eastAsia="黑体" w:hint="eastAsia"/>
                <w:spacing w:val="-3"/>
                <w:sz w:val="21"/>
                <w:shd w:fill="A6A6A6" w:color="auto" w:val="clear"/>
              </w:rPr>
              <w:t>疾</w:t>
            </w:r>
            <w:r>
              <w:rPr>
                <w:rFonts w:ascii="黑体" w:eastAsia="黑体" w:hint="eastAsia"/>
                <w:sz w:val="21"/>
                <w:shd w:fill="A6A6A6" w:color="auto" w:val="clear"/>
              </w:rPr>
              <w:t>病</w:t>
            </w:r>
            <w:r>
              <w:rPr>
                <w:rFonts w:ascii="黑体" w:eastAsia="黑体" w:hint="eastAsia"/>
                <w:spacing w:val="-3"/>
                <w:sz w:val="21"/>
                <w:shd w:fill="A6A6A6" w:color="auto" w:val="clear"/>
              </w:rPr>
              <w:t>的</w:t>
            </w:r>
            <w:r>
              <w:rPr>
                <w:rFonts w:ascii="黑体" w:eastAsia="黑体" w:hint="eastAsia"/>
                <w:sz w:val="21"/>
                <w:shd w:fill="A6A6A6" w:color="auto" w:val="clear"/>
              </w:rPr>
              <w:t>定义</w:t>
              <w:tab/>
            </w:r>
          </w:p>
        </w:tc>
        <w:tc>
          <w:tcPr>
            <w:tcW w:w="791" w:type="dxa"/>
          </w:tcPr>
          <w:p>
            <w:pPr>
              <w:pStyle w:val="TableParagraph"/>
              <w:spacing w:line="266" w:lineRule="exact"/>
              <w:ind w:left="0" w:right="23"/>
              <w:jc w:val="right"/>
              <w:rPr>
                <w:rFonts w:ascii="黑体"/>
                <w:sz w:val="21"/>
              </w:rPr>
            </w:pPr>
            <w:r>
              <w:rPr>
                <w:rFonts w:ascii="黑体"/>
                <w:sz w:val="21"/>
              </w:rPr>
              <w:t>13.19</w:t>
            </w:r>
          </w:p>
        </w:tc>
        <w:tc>
          <w:tcPr>
            <w:tcW w:w="2200" w:type="dxa"/>
          </w:tcPr>
          <w:p>
            <w:pPr>
              <w:pStyle w:val="TableParagraph"/>
              <w:spacing w:line="266" w:lineRule="exact"/>
              <w:ind w:left="78"/>
              <w:rPr>
                <w:rFonts w:ascii="黑体" w:eastAsia="黑体" w:hint="eastAsia"/>
                <w:sz w:val="21"/>
              </w:rPr>
            </w:pPr>
            <w:r>
              <w:rPr>
                <w:rFonts w:ascii="黑体" w:eastAsia="黑体" w:hint="eastAsia"/>
                <w:sz w:val="21"/>
              </w:rPr>
              <w:t>情形复杂</w:t>
            </w:r>
          </w:p>
        </w:tc>
      </w:tr>
      <w:tr>
        <w:trPr>
          <w:trHeight w:val="319" w:hRule="atLeast"/>
        </w:trPr>
        <w:tc>
          <w:tcPr>
            <w:tcW w:w="3030" w:type="dxa"/>
          </w:tcPr>
          <w:p>
            <w:pPr>
              <w:pStyle w:val="TableParagraph"/>
              <w:tabs>
                <w:tab w:pos="2750" w:val="left" w:leader="none"/>
              </w:tabs>
              <w:spacing w:line="265" w:lineRule="exact"/>
              <w:ind w:left="50"/>
              <w:rPr>
                <w:rFonts w:ascii="黑体" w:eastAsia="黑体" w:hint="eastAsia"/>
                <w:sz w:val="21"/>
              </w:rPr>
            </w:pPr>
            <w:r>
              <w:rPr>
                <w:rFonts w:ascii="黑体" w:eastAsia="黑体" w:hint="eastAsia"/>
                <w:sz w:val="21"/>
                <w:shd w:fill="A6A6A6" w:color="auto" w:val="clear"/>
              </w:rPr>
              <w:t>4.</w:t>
            </w:r>
            <w:r>
              <w:rPr>
                <w:rFonts w:ascii="黑体" w:eastAsia="黑体" w:hint="eastAsia"/>
                <w:spacing w:val="7"/>
                <w:sz w:val="21"/>
                <w:shd w:fill="A6A6A6" w:color="auto" w:val="clear"/>
              </w:rPr>
              <w:t> </w:t>
            </w:r>
            <w:r>
              <w:rPr>
                <w:rFonts w:ascii="黑体" w:eastAsia="黑体" w:hint="eastAsia"/>
                <w:spacing w:val="-3"/>
                <w:sz w:val="21"/>
                <w:shd w:fill="A6A6A6" w:color="auto" w:val="clear"/>
              </w:rPr>
              <w:t>保</w:t>
            </w:r>
            <w:r>
              <w:rPr>
                <w:rFonts w:ascii="黑体" w:eastAsia="黑体" w:hint="eastAsia"/>
                <w:sz w:val="21"/>
                <w:shd w:fill="A6A6A6" w:color="auto" w:val="clear"/>
              </w:rPr>
              <w:t>险</w:t>
            </w:r>
            <w:r>
              <w:rPr>
                <w:rFonts w:ascii="黑体" w:eastAsia="黑体" w:hint="eastAsia"/>
                <w:spacing w:val="-3"/>
                <w:sz w:val="21"/>
                <w:shd w:fill="A6A6A6" w:color="auto" w:val="clear"/>
              </w:rPr>
              <w:t>费</w:t>
            </w:r>
            <w:r>
              <w:rPr>
                <w:rFonts w:ascii="黑体" w:eastAsia="黑体" w:hint="eastAsia"/>
                <w:sz w:val="21"/>
                <w:shd w:fill="A6A6A6" w:color="auto" w:val="clear"/>
              </w:rPr>
              <w:t>的</w:t>
            </w:r>
            <w:r>
              <w:rPr>
                <w:rFonts w:ascii="黑体" w:eastAsia="黑体" w:hint="eastAsia"/>
                <w:spacing w:val="-3"/>
                <w:sz w:val="21"/>
                <w:shd w:fill="A6A6A6" w:color="auto" w:val="clear"/>
              </w:rPr>
              <w:t>支</w:t>
            </w:r>
            <w:r>
              <w:rPr>
                <w:rFonts w:ascii="黑体" w:eastAsia="黑体" w:hint="eastAsia"/>
                <w:sz w:val="21"/>
                <w:shd w:fill="A6A6A6" w:color="auto" w:val="clear"/>
              </w:rPr>
              <w:t>付</w:t>
              <w:tab/>
            </w:r>
          </w:p>
        </w:tc>
        <w:tc>
          <w:tcPr>
            <w:tcW w:w="3299" w:type="dxa"/>
          </w:tcPr>
          <w:p>
            <w:pPr>
              <w:pStyle w:val="TableParagraph"/>
              <w:spacing w:line="265" w:lineRule="exact"/>
              <w:ind w:left="279"/>
              <w:rPr>
                <w:rFonts w:ascii="黑体" w:eastAsia="黑体" w:hint="eastAsia"/>
                <w:sz w:val="21"/>
              </w:rPr>
            </w:pPr>
            <w:r>
              <w:rPr>
                <w:rFonts w:ascii="黑体" w:eastAsia="黑体" w:hint="eastAsia"/>
                <w:sz w:val="21"/>
              </w:rPr>
              <w:t>11.1 轻症疾病的定义</w:t>
            </w:r>
          </w:p>
        </w:tc>
        <w:tc>
          <w:tcPr>
            <w:tcW w:w="791" w:type="dxa"/>
          </w:tcPr>
          <w:p>
            <w:pPr>
              <w:pStyle w:val="TableParagraph"/>
              <w:spacing w:line="265" w:lineRule="exact"/>
              <w:ind w:left="0" w:right="23"/>
              <w:jc w:val="right"/>
              <w:rPr>
                <w:rFonts w:ascii="黑体"/>
                <w:sz w:val="21"/>
              </w:rPr>
            </w:pPr>
            <w:r>
              <w:rPr>
                <w:rFonts w:ascii="黑体"/>
                <w:sz w:val="21"/>
              </w:rPr>
              <w:t>13.20</w:t>
            </w:r>
          </w:p>
        </w:tc>
        <w:tc>
          <w:tcPr>
            <w:tcW w:w="2200" w:type="dxa"/>
          </w:tcPr>
          <w:p>
            <w:pPr>
              <w:pStyle w:val="TableParagraph"/>
              <w:spacing w:line="265" w:lineRule="exact"/>
              <w:ind w:left="78"/>
              <w:rPr>
                <w:rFonts w:ascii="黑体" w:eastAsia="黑体" w:hint="eastAsia"/>
                <w:sz w:val="21"/>
              </w:rPr>
            </w:pPr>
            <w:r>
              <w:rPr>
                <w:rFonts w:ascii="黑体" w:eastAsia="黑体" w:hint="eastAsia"/>
                <w:sz w:val="21"/>
              </w:rPr>
              <w:t>本合同约定利率</w:t>
            </w:r>
          </w:p>
        </w:tc>
      </w:tr>
      <w:tr>
        <w:trPr>
          <w:trHeight w:val="320" w:hRule="atLeast"/>
        </w:trPr>
        <w:tc>
          <w:tcPr>
            <w:tcW w:w="3030" w:type="dxa"/>
          </w:tcPr>
          <w:p>
            <w:pPr>
              <w:pStyle w:val="TableParagraph"/>
              <w:spacing w:line="265" w:lineRule="exact"/>
              <w:ind w:left="50"/>
              <w:rPr>
                <w:rFonts w:ascii="黑体" w:eastAsia="黑体" w:hint="eastAsia"/>
                <w:sz w:val="21"/>
              </w:rPr>
            </w:pPr>
            <w:r>
              <w:rPr>
                <w:rFonts w:ascii="黑体" w:eastAsia="黑体" w:hint="eastAsia"/>
                <w:sz w:val="21"/>
              </w:rPr>
              <w:t>4.1 保险费的支付</w:t>
            </w:r>
          </w:p>
        </w:tc>
        <w:tc>
          <w:tcPr>
            <w:tcW w:w="3299" w:type="dxa"/>
          </w:tcPr>
          <w:p>
            <w:pPr>
              <w:pStyle w:val="TableParagraph"/>
              <w:spacing w:line="265" w:lineRule="exact"/>
              <w:ind w:left="279"/>
              <w:rPr>
                <w:rFonts w:ascii="黑体" w:eastAsia="黑体" w:hint="eastAsia"/>
                <w:sz w:val="21"/>
              </w:rPr>
            </w:pPr>
            <w:r>
              <w:rPr>
                <w:rFonts w:ascii="黑体" w:eastAsia="黑体" w:hint="eastAsia"/>
                <w:sz w:val="21"/>
              </w:rPr>
              <w:t>11.2 轻症疾病的分组</w:t>
            </w:r>
          </w:p>
        </w:tc>
        <w:tc>
          <w:tcPr>
            <w:tcW w:w="791" w:type="dxa"/>
          </w:tcPr>
          <w:p>
            <w:pPr>
              <w:pStyle w:val="TableParagraph"/>
              <w:spacing w:line="265" w:lineRule="exact"/>
              <w:ind w:left="0" w:right="23"/>
              <w:jc w:val="right"/>
              <w:rPr>
                <w:rFonts w:ascii="黑体"/>
                <w:sz w:val="21"/>
              </w:rPr>
            </w:pPr>
            <w:r>
              <w:rPr>
                <w:rFonts w:ascii="黑体"/>
                <w:sz w:val="21"/>
              </w:rPr>
              <w:t>13.21</w:t>
            </w:r>
          </w:p>
        </w:tc>
        <w:tc>
          <w:tcPr>
            <w:tcW w:w="2200" w:type="dxa"/>
          </w:tcPr>
          <w:p>
            <w:pPr>
              <w:pStyle w:val="TableParagraph"/>
              <w:spacing w:line="265" w:lineRule="exact"/>
              <w:ind w:left="78"/>
              <w:rPr>
                <w:rFonts w:ascii="黑体" w:eastAsia="黑体" w:hint="eastAsia"/>
                <w:sz w:val="21"/>
              </w:rPr>
            </w:pPr>
            <w:r>
              <w:rPr>
                <w:rFonts w:ascii="黑体" w:eastAsia="黑体" w:hint="eastAsia"/>
                <w:sz w:val="21"/>
              </w:rPr>
              <w:t>专科医Th</w:t>
            </w:r>
          </w:p>
        </w:tc>
      </w:tr>
      <w:tr>
        <w:trPr>
          <w:trHeight w:val="320" w:hRule="atLeast"/>
        </w:trPr>
        <w:tc>
          <w:tcPr>
            <w:tcW w:w="3030" w:type="dxa"/>
          </w:tcPr>
          <w:p>
            <w:pPr>
              <w:pStyle w:val="TableParagraph"/>
              <w:spacing w:line="266" w:lineRule="exact"/>
              <w:ind w:left="50"/>
              <w:rPr>
                <w:rFonts w:ascii="黑体" w:eastAsia="黑体" w:hint="eastAsia"/>
                <w:sz w:val="21"/>
              </w:rPr>
            </w:pPr>
            <w:r>
              <w:rPr>
                <w:rFonts w:ascii="黑体" w:eastAsia="黑体" w:hint="eastAsia"/>
                <w:sz w:val="21"/>
              </w:rPr>
              <w:t>4.2 宽限期</w:t>
            </w:r>
          </w:p>
        </w:tc>
        <w:tc>
          <w:tcPr>
            <w:tcW w:w="3299" w:type="dxa"/>
          </w:tcPr>
          <w:p>
            <w:pPr>
              <w:pStyle w:val="TableParagraph"/>
              <w:tabs>
                <w:tab w:pos="2980" w:val="left" w:leader="none"/>
              </w:tabs>
              <w:spacing w:line="266" w:lineRule="exact"/>
              <w:ind w:left="279"/>
              <w:rPr>
                <w:rFonts w:ascii="黑体" w:eastAsia="黑体" w:hint="eastAsia"/>
                <w:sz w:val="21"/>
              </w:rPr>
            </w:pPr>
            <w:r>
              <w:rPr>
                <w:rFonts w:ascii="黑体" w:eastAsia="黑体" w:hint="eastAsia"/>
                <w:sz w:val="21"/>
                <w:shd w:fill="A6A6A6" w:color="auto" w:val="clear"/>
              </w:rPr>
              <w:t>12．</w:t>
            </w:r>
            <w:r>
              <w:rPr>
                <w:rFonts w:ascii="黑体" w:eastAsia="黑体" w:hint="eastAsia"/>
                <w:spacing w:val="-3"/>
                <w:sz w:val="21"/>
                <w:shd w:fill="A6A6A6" w:color="auto" w:val="clear"/>
              </w:rPr>
              <w:t>特</w:t>
            </w:r>
            <w:r>
              <w:rPr>
                <w:rFonts w:ascii="黑体" w:eastAsia="黑体" w:hint="eastAsia"/>
                <w:sz w:val="21"/>
                <w:shd w:fill="A6A6A6" w:color="auto" w:val="clear"/>
              </w:rPr>
              <w:t>定</w:t>
            </w:r>
            <w:r>
              <w:rPr>
                <w:rFonts w:ascii="黑体" w:eastAsia="黑体" w:hint="eastAsia"/>
                <w:spacing w:val="-3"/>
                <w:sz w:val="21"/>
                <w:shd w:fill="A6A6A6" w:color="auto" w:val="clear"/>
              </w:rPr>
              <w:t>重</w:t>
            </w:r>
            <w:r>
              <w:rPr>
                <w:rFonts w:ascii="黑体" w:eastAsia="黑体" w:hint="eastAsia"/>
                <w:sz w:val="21"/>
                <w:shd w:fill="A6A6A6" w:color="auto" w:val="clear"/>
              </w:rPr>
              <w:t>大</w:t>
            </w:r>
            <w:r>
              <w:rPr>
                <w:rFonts w:ascii="黑体" w:eastAsia="黑体" w:hint="eastAsia"/>
                <w:spacing w:val="-3"/>
                <w:sz w:val="21"/>
                <w:shd w:fill="A6A6A6" w:color="auto" w:val="clear"/>
              </w:rPr>
              <w:t>疾</w:t>
            </w:r>
            <w:r>
              <w:rPr>
                <w:rFonts w:ascii="黑体" w:eastAsia="黑体" w:hint="eastAsia"/>
                <w:sz w:val="21"/>
                <w:shd w:fill="A6A6A6" w:color="auto" w:val="clear"/>
              </w:rPr>
              <w:t>病</w:t>
            </w:r>
            <w:r>
              <w:rPr>
                <w:rFonts w:ascii="黑体" w:eastAsia="黑体" w:hint="eastAsia"/>
                <w:spacing w:val="-3"/>
                <w:sz w:val="21"/>
                <w:shd w:fill="A6A6A6" w:color="auto" w:val="clear"/>
              </w:rPr>
              <w:t>的</w:t>
            </w:r>
            <w:r>
              <w:rPr>
                <w:rFonts w:ascii="黑体" w:eastAsia="黑体" w:hint="eastAsia"/>
                <w:sz w:val="21"/>
                <w:shd w:fill="A6A6A6" w:color="auto" w:val="clear"/>
              </w:rPr>
              <w:t>定义</w:t>
              <w:tab/>
            </w:r>
          </w:p>
        </w:tc>
        <w:tc>
          <w:tcPr>
            <w:tcW w:w="791" w:type="dxa"/>
          </w:tcPr>
          <w:p>
            <w:pPr>
              <w:pStyle w:val="TableParagraph"/>
              <w:spacing w:line="266" w:lineRule="exact"/>
              <w:ind w:left="0" w:right="23"/>
              <w:jc w:val="right"/>
              <w:rPr>
                <w:rFonts w:ascii="黑体"/>
                <w:sz w:val="21"/>
              </w:rPr>
            </w:pPr>
            <w:r>
              <w:rPr>
                <w:rFonts w:ascii="黑体"/>
                <w:sz w:val="21"/>
              </w:rPr>
              <w:t>13.22</w:t>
            </w:r>
          </w:p>
        </w:tc>
        <w:tc>
          <w:tcPr>
            <w:tcW w:w="2200" w:type="dxa"/>
          </w:tcPr>
          <w:p>
            <w:pPr>
              <w:pStyle w:val="TableParagraph"/>
              <w:spacing w:line="266" w:lineRule="exact"/>
              <w:ind w:left="78"/>
              <w:rPr>
                <w:rFonts w:ascii="黑体" w:eastAsia="黑体" w:hint="eastAsia"/>
                <w:sz w:val="21"/>
              </w:rPr>
            </w:pPr>
            <w:r>
              <w:rPr>
                <w:rFonts w:ascii="黑体" w:eastAsia="黑体" w:hint="eastAsia"/>
                <w:sz w:val="21"/>
              </w:rPr>
              <w:t>肢体机能完全丧失</w:t>
            </w:r>
          </w:p>
        </w:tc>
      </w:tr>
      <w:tr>
        <w:trPr>
          <w:trHeight w:val="319" w:hRule="atLeast"/>
        </w:trPr>
        <w:tc>
          <w:tcPr>
            <w:tcW w:w="3030" w:type="dxa"/>
          </w:tcPr>
          <w:p>
            <w:pPr>
              <w:pStyle w:val="TableParagraph"/>
              <w:tabs>
                <w:tab w:pos="2750" w:val="left" w:leader="none"/>
              </w:tabs>
              <w:spacing w:line="265" w:lineRule="exact"/>
              <w:ind w:left="50"/>
              <w:rPr>
                <w:rFonts w:ascii="黑体" w:eastAsia="黑体" w:hint="eastAsia"/>
                <w:sz w:val="21"/>
              </w:rPr>
            </w:pPr>
            <w:r>
              <w:rPr>
                <w:rFonts w:ascii="黑体" w:eastAsia="黑体" w:hint="eastAsia"/>
                <w:sz w:val="21"/>
                <w:shd w:fill="A6A6A6" w:color="auto" w:val="clear"/>
              </w:rPr>
              <w:t>5．</w:t>
            </w:r>
            <w:r>
              <w:rPr>
                <w:rFonts w:ascii="黑体" w:eastAsia="黑体" w:hint="eastAsia"/>
                <w:spacing w:val="-3"/>
                <w:sz w:val="21"/>
                <w:shd w:fill="A6A6A6" w:color="auto" w:val="clear"/>
              </w:rPr>
              <w:t>现</w:t>
            </w:r>
            <w:r>
              <w:rPr>
                <w:rFonts w:ascii="黑体" w:eastAsia="黑体" w:hint="eastAsia"/>
                <w:sz w:val="21"/>
                <w:shd w:fill="A6A6A6" w:color="auto" w:val="clear"/>
              </w:rPr>
              <w:t>金</w:t>
            </w:r>
            <w:r>
              <w:rPr>
                <w:rFonts w:ascii="黑体" w:eastAsia="黑体" w:hint="eastAsia"/>
                <w:spacing w:val="-3"/>
                <w:sz w:val="21"/>
                <w:shd w:fill="A6A6A6" w:color="auto" w:val="clear"/>
              </w:rPr>
              <w:t>价</w:t>
            </w:r>
            <w:r>
              <w:rPr>
                <w:rFonts w:ascii="黑体" w:eastAsia="黑体" w:hint="eastAsia"/>
                <w:sz w:val="21"/>
                <w:shd w:fill="A6A6A6" w:color="auto" w:val="clear"/>
              </w:rPr>
              <w:t>值</w:t>
            </w:r>
            <w:r>
              <w:rPr>
                <w:rFonts w:ascii="黑体" w:eastAsia="黑体" w:hint="eastAsia"/>
                <w:spacing w:val="-3"/>
                <w:sz w:val="21"/>
                <w:shd w:fill="A6A6A6" w:color="auto" w:val="clear"/>
              </w:rPr>
              <w:t>权</w:t>
            </w:r>
            <w:r>
              <w:rPr>
                <w:rFonts w:ascii="黑体" w:eastAsia="黑体" w:hint="eastAsia"/>
                <w:sz w:val="21"/>
                <w:shd w:fill="A6A6A6" w:color="auto" w:val="clear"/>
              </w:rPr>
              <w:t>益</w:t>
              <w:tab/>
            </w:r>
          </w:p>
        </w:tc>
        <w:tc>
          <w:tcPr>
            <w:tcW w:w="3299" w:type="dxa"/>
          </w:tcPr>
          <w:p>
            <w:pPr>
              <w:pStyle w:val="TableParagraph"/>
              <w:spacing w:line="265" w:lineRule="exact"/>
              <w:ind w:left="279"/>
              <w:rPr>
                <w:rFonts w:ascii="黑体" w:eastAsia="黑体" w:hint="eastAsia"/>
                <w:sz w:val="21"/>
              </w:rPr>
            </w:pPr>
            <w:r>
              <w:rPr>
                <w:rFonts w:ascii="黑体" w:eastAsia="黑体" w:hint="eastAsia"/>
                <w:sz w:val="21"/>
              </w:rPr>
              <w:t>12.1 特定重大疾病的定义</w:t>
            </w:r>
          </w:p>
        </w:tc>
        <w:tc>
          <w:tcPr>
            <w:tcW w:w="791" w:type="dxa"/>
          </w:tcPr>
          <w:p>
            <w:pPr>
              <w:pStyle w:val="TableParagraph"/>
              <w:spacing w:line="265" w:lineRule="exact"/>
              <w:ind w:left="0" w:right="23"/>
              <w:jc w:val="right"/>
              <w:rPr>
                <w:rFonts w:ascii="黑体"/>
                <w:sz w:val="21"/>
              </w:rPr>
            </w:pPr>
            <w:r>
              <w:rPr>
                <w:rFonts w:ascii="黑体"/>
                <w:sz w:val="21"/>
              </w:rPr>
              <w:t>13.23</w:t>
            </w:r>
          </w:p>
        </w:tc>
        <w:tc>
          <w:tcPr>
            <w:tcW w:w="2200" w:type="dxa"/>
          </w:tcPr>
          <w:p>
            <w:pPr>
              <w:pStyle w:val="TableParagraph"/>
              <w:spacing w:line="265" w:lineRule="exact"/>
              <w:ind w:left="0" w:right="50"/>
              <w:jc w:val="right"/>
              <w:rPr>
                <w:rFonts w:ascii="黑体" w:eastAsia="黑体" w:hint="eastAsia"/>
                <w:sz w:val="21"/>
              </w:rPr>
            </w:pPr>
            <w:r>
              <w:rPr>
                <w:rFonts w:ascii="黑体" w:eastAsia="黑体" w:hint="eastAsia"/>
                <w:sz w:val="21"/>
              </w:rPr>
              <w:t>语言能力或咀嚼吞咽</w:t>
            </w:r>
          </w:p>
        </w:tc>
      </w:tr>
      <w:tr>
        <w:trPr>
          <w:trHeight w:val="320" w:hRule="atLeast"/>
        </w:trPr>
        <w:tc>
          <w:tcPr>
            <w:tcW w:w="3030" w:type="dxa"/>
          </w:tcPr>
          <w:p>
            <w:pPr>
              <w:pStyle w:val="TableParagraph"/>
              <w:spacing w:line="265" w:lineRule="exact"/>
              <w:ind w:left="50"/>
              <w:rPr>
                <w:rFonts w:ascii="黑体" w:eastAsia="黑体" w:hint="eastAsia"/>
                <w:sz w:val="21"/>
              </w:rPr>
            </w:pPr>
            <w:r>
              <w:rPr>
                <w:rFonts w:ascii="黑体" w:eastAsia="黑体" w:hint="eastAsia"/>
                <w:sz w:val="21"/>
              </w:rPr>
              <w:t>5.1 现金价值</w:t>
            </w:r>
          </w:p>
        </w:tc>
        <w:tc>
          <w:tcPr>
            <w:tcW w:w="3299" w:type="dxa"/>
          </w:tcPr>
          <w:p>
            <w:pPr>
              <w:pStyle w:val="TableParagraph"/>
              <w:tabs>
                <w:tab w:pos="2980" w:val="left" w:leader="none"/>
              </w:tabs>
              <w:spacing w:line="265" w:lineRule="exact"/>
              <w:ind w:left="279"/>
              <w:rPr>
                <w:rFonts w:ascii="黑体" w:eastAsia="黑体" w:hint="eastAsia"/>
                <w:sz w:val="21"/>
              </w:rPr>
            </w:pPr>
            <w:r>
              <w:rPr>
                <w:rFonts w:ascii="黑体" w:eastAsia="黑体" w:hint="eastAsia"/>
                <w:sz w:val="21"/>
                <w:shd w:fill="A6A6A6" w:color="auto" w:val="clear"/>
              </w:rPr>
              <w:t>13．</w:t>
            </w:r>
            <w:r>
              <w:rPr>
                <w:rFonts w:ascii="黑体" w:eastAsia="黑体" w:hint="eastAsia"/>
                <w:spacing w:val="-3"/>
                <w:sz w:val="21"/>
                <w:shd w:fill="A6A6A6" w:color="auto" w:val="clear"/>
              </w:rPr>
              <w:t>释</w:t>
            </w:r>
            <w:r>
              <w:rPr>
                <w:rFonts w:ascii="黑体" w:eastAsia="黑体" w:hint="eastAsia"/>
                <w:sz w:val="21"/>
                <w:shd w:fill="A6A6A6" w:color="auto" w:val="clear"/>
              </w:rPr>
              <w:t>义</w:t>
              <w:tab/>
            </w:r>
          </w:p>
        </w:tc>
        <w:tc>
          <w:tcPr>
            <w:tcW w:w="791" w:type="dxa"/>
          </w:tcPr>
          <w:p>
            <w:pPr>
              <w:pStyle w:val="TableParagraph"/>
              <w:ind w:left="0"/>
              <w:rPr>
                <w:rFonts w:ascii="Times New Roman"/>
                <w:sz w:val="20"/>
              </w:rPr>
            </w:pPr>
          </w:p>
        </w:tc>
        <w:tc>
          <w:tcPr>
            <w:tcW w:w="2200" w:type="dxa"/>
          </w:tcPr>
          <w:p>
            <w:pPr>
              <w:pStyle w:val="TableParagraph"/>
              <w:spacing w:line="265" w:lineRule="exact"/>
              <w:ind w:left="78"/>
              <w:rPr>
                <w:rFonts w:ascii="黑体" w:eastAsia="黑体" w:hint="eastAsia"/>
                <w:sz w:val="21"/>
              </w:rPr>
            </w:pPr>
            <w:r>
              <w:rPr>
                <w:rFonts w:ascii="黑体" w:eastAsia="黑体" w:hint="eastAsia"/>
                <w:sz w:val="21"/>
              </w:rPr>
              <w:t>能力完全丧失</w:t>
            </w:r>
          </w:p>
        </w:tc>
      </w:tr>
      <w:tr>
        <w:trPr>
          <w:trHeight w:val="320" w:hRule="atLeast"/>
        </w:trPr>
        <w:tc>
          <w:tcPr>
            <w:tcW w:w="3030" w:type="dxa"/>
          </w:tcPr>
          <w:p>
            <w:pPr>
              <w:pStyle w:val="TableParagraph"/>
              <w:spacing w:line="266" w:lineRule="exact"/>
              <w:ind w:left="50"/>
              <w:rPr>
                <w:rFonts w:ascii="黑体" w:eastAsia="黑体" w:hint="eastAsia"/>
                <w:sz w:val="21"/>
              </w:rPr>
            </w:pPr>
            <w:r>
              <w:rPr>
                <w:rFonts w:ascii="黑体" w:eastAsia="黑体" w:hint="eastAsia"/>
                <w:sz w:val="21"/>
              </w:rPr>
              <w:t>5.2 保单贷款</w:t>
            </w:r>
          </w:p>
        </w:tc>
        <w:tc>
          <w:tcPr>
            <w:tcW w:w="3299" w:type="dxa"/>
          </w:tcPr>
          <w:p>
            <w:pPr>
              <w:pStyle w:val="TableParagraph"/>
              <w:spacing w:line="266" w:lineRule="exact"/>
              <w:ind w:left="279"/>
              <w:rPr>
                <w:rFonts w:ascii="黑体" w:eastAsia="黑体" w:hint="eastAsia"/>
                <w:sz w:val="21"/>
              </w:rPr>
            </w:pPr>
            <w:r>
              <w:rPr>
                <w:rFonts w:ascii="黑体" w:eastAsia="黑体" w:hint="eastAsia"/>
                <w:sz w:val="21"/>
              </w:rPr>
              <w:t>13.1 保单年度</w:t>
            </w:r>
          </w:p>
        </w:tc>
        <w:tc>
          <w:tcPr>
            <w:tcW w:w="791" w:type="dxa"/>
          </w:tcPr>
          <w:p>
            <w:pPr>
              <w:pStyle w:val="TableParagraph"/>
              <w:spacing w:line="266" w:lineRule="exact"/>
              <w:ind w:left="0" w:right="23"/>
              <w:jc w:val="right"/>
              <w:rPr>
                <w:rFonts w:ascii="黑体"/>
                <w:sz w:val="21"/>
              </w:rPr>
            </w:pPr>
            <w:r>
              <w:rPr>
                <w:rFonts w:ascii="黑体"/>
                <w:sz w:val="21"/>
              </w:rPr>
              <w:t>13.24</w:t>
            </w:r>
          </w:p>
        </w:tc>
        <w:tc>
          <w:tcPr>
            <w:tcW w:w="2200" w:type="dxa"/>
          </w:tcPr>
          <w:p>
            <w:pPr>
              <w:pStyle w:val="TableParagraph"/>
              <w:spacing w:line="266" w:lineRule="exact"/>
              <w:ind w:left="78"/>
              <w:rPr>
                <w:rFonts w:ascii="黑体" w:eastAsia="黑体" w:hint="eastAsia"/>
                <w:sz w:val="21"/>
              </w:rPr>
            </w:pPr>
            <w:r>
              <w:rPr>
                <w:rFonts w:ascii="黑体" w:eastAsia="黑体" w:hint="eastAsia"/>
                <w:sz w:val="21"/>
              </w:rPr>
              <w:t>永久不可逆</w:t>
            </w:r>
          </w:p>
        </w:tc>
      </w:tr>
      <w:tr>
        <w:trPr>
          <w:trHeight w:val="265" w:hRule="atLeast"/>
        </w:trPr>
        <w:tc>
          <w:tcPr>
            <w:tcW w:w="3030" w:type="dxa"/>
          </w:tcPr>
          <w:p>
            <w:pPr>
              <w:pStyle w:val="TableParagraph"/>
              <w:spacing w:line="245" w:lineRule="exact"/>
              <w:ind w:left="50"/>
              <w:rPr>
                <w:rFonts w:ascii="黑体" w:eastAsia="黑体" w:hint="eastAsia"/>
                <w:sz w:val="21"/>
              </w:rPr>
            </w:pPr>
            <w:r>
              <w:rPr>
                <w:rFonts w:ascii="黑体" w:eastAsia="黑体" w:hint="eastAsia"/>
                <w:sz w:val="21"/>
              </w:rPr>
              <w:t>5.3 保险费自动垫交</w:t>
            </w:r>
          </w:p>
        </w:tc>
        <w:tc>
          <w:tcPr>
            <w:tcW w:w="3299" w:type="dxa"/>
          </w:tcPr>
          <w:p>
            <w:pPr>
              <w:pStyle w:val="TableParagraph"/>
              <w:spacing w:line="245" w:lineRule="exact"/>
              <w:ind w:left="279"/>
              <w:rPr>
                <w:rFonts w:ascii="黑体" w:eastAsia="黑体" w:hint="eastAsia"/>
                <w:sz w:val="21"/>
              </w:rPr>
            </w:pPr>
            <w:r>
              <w:rPr>
                <w:rFonts w:ascii="黑体" w:eastAsia="黑体" w:hint="eastAsia"/>
                <w:sz w:val="21"/>
              </w:rPr>
              <w:t>13.2 保单周年日</w:t>
            </w:r>
          </w:p>
        </w:tc>
        <w:tc>
          <w:tcPr>
            <w:tcW w:w="791" w:type="dxa"/>
          </w:tcPr>
          <w:p>
            <w:pPr>
              <w:pStyle w:val="TableParagraph"/>
              <w:ind w:left="0"/>
              <w:rPr>
                <w:rFonts w:ascii="Times New Roman"/>
                <w:sz w:val="18"/>
              </w:rPr>
            </w:pPr>
          </w:p>
        </w:tc>
        <w:tc>
          <w:tcPr>
            <w:tcW w:w="2200" w:type="dxa"/>
          </w:tcPr>
          <w:p>
            <w:pPr>
              <w:pStyle w:val="TableParagraph"/>
              <w:ind w:left="0"/>
              <w:rPr>
                <w:rFonts w:ascii="Times New Roman"/>
                <w:sz w:val="18"/>
              </w:rPr>
            </w:pPr>
          </w:p>
        </w:tc>
      </w:tr>
    </w:tbl>
    <w:p>
      <w:pPr>
        <w:spacing w:after="0"/>
        <w:rPr>
          <w:rFonts w:ascii="Times New Roman"/>
          <w:sz w:val="18"/>
        </w:rPr>
        <w:sectPr>
          <w:type w:val="continuous"/>
          <w:pgSz w:w="11910" w:h="16840"/>
          <w:pgMar w:top="200" w:bottom="280" w:left="1020" w:right="220"/>
        </w:sectPr>
      </w:pPr>
    </w:p>
    <w:p>
      <w:pPr>
        <w:spacing w:line="390" w:lineRule="exact" w:before="0"/>
        <w:ind w:left="3387" w:right="3391" w:firstLine="0"/>
        <w:jc w:val="center"/>
        <w:rPr>
          <w:rFonts w:ascii="黑体" w:eastAsia="黑体" w:hint="eastAsia"/>
          <w:b/>
          <w:sz w:val="32"/>
        </w:rPr>
      </w:pPr>
      <w:r>
        <w:rPr>
          <w:rFonts w:ascii="黑体" w:eastAsia="黑体" w:hint="eastAsia"/>
          <w:b/>
          <w:w w:val="95"/>
          <w:sz w:val="32"/>
        </w:rPr>
        <w:t>中韩人寿保险有限公司</w:t>
      </w:r>
    </w:p>
    <w:p>
      <w:pPr>
        <w:spacing w:before="205"/>
        <w:ind w:left="2683" w:right="0" w:firstLine="0"/>
        <w:jc w:val="left"/>
        <w:rPr>
          <w:rFonts w:ascii="黑体" w:eastAsia="黑体" w:hint="eastAsia"/>
          <w:b/>
          <w:sz w:val="32"/>
        </w:rPr>
      </w:pPr>
      <w:r>
        <w:rPr>
          <w:rFonts w:ascii="黑体" w:eastAsia="黑体" w:hint="eastAsia"/>
          <w:b/>
          <w:w w:val="95"/>
          <w:sz w:val="32"/>
        </w:rPr>
        <w:t>中韩臻佑终身重大疾病保险条款</w:t>
      </w:r>
    </w:p>
    <w:p>
      <w:pPr>
        <w:pStyle w:val="BodyText"/>
        <w:spacing w:before="1"/>
        <w:rPr>
          <w:rFonts w:ascii="黑体"/>
          <w:b/>
          <w:sz w:val="32"/>
        </w:rPr>
      </w:pPr>
    </w:p>
    <w:p>
      <w:pPr>
        <w:pStyle w:val="BodyText"/>
        <w:spacing w:line="273" w:lineRule="auto"/>
        <w:ind w:left="112" w:right="112" w:firstLine="420"/>
      </w:pPr>
      <w:r>
        <w:rPr>
          <w:spacing w:val="-19"/>
          <w:w w:val="100"/>
        </w:rPr>
        <w:t>在本保险条款中，“您”指投保人，“我们”指中韩人寿保险有限公司，“本合同”指您与我们之间订</w:t>
      </w:r>
      <w:r>
        <w:rPr>
          <w:spacing w:val="-9"/>
        </w:rPr>
        <w:t>立的“中韩臻佑终身重大疾病保险合同”。</w:t>
      </w:r>
    </w:p>
    <w:p>
      <w:pPr>
        <w:pStyle w:val="BodyText"/>
        <w:spacing w:before="6"/>
        <w:rPr>
          <w:sz w:val="13"/>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2"/>
        <w:gridCol w:w="2174"/>
        <w:gridCol w:w="6517"/>
      </w:tblGrid>
      <w:tr>
        <w:trPr>
          <w:trHeight w:val="311" w:hRule="atLeast"/>
        </w:trPr>
        <w:tc>
          <w:tcPr>
            <w:tcW w:w="852" w:type="dxa"/>
            <w:shd w:val="clear" w:color="auto" w:fill="A6A6A6"/>
          </w:tcPr>
          <w:p>
            <w:pPr>
              <w:pStyle w:val="TableParagraph"/>
              <w:spacing w:line="262" w:lineRule="exact"/>
              <w:ind w:left="108"/>
              <w:rPr>
                <w:b/>
                <w:sz w:val="21"/>
              </w:rPr>
            </w:pPr>
            <w:r>
              <w:rPr>
                <w:b/>
                <w:sz w:val="21"/>
              </w:rPr>
              <w:t>1．</w:t>
            </w:r>
          </w:p>
        </w:tc>
        <w:tc>
          <w:tcPr>
            <w:tcW w:w="8691" w:type="dxa"/>
            <w:gridSpan w:val="2"/>
            <w:shd w:val="clear" w:color="auto" w:fill="A6A6A6"/>
          </w:tcPr>
          <w:p>
            <w:pPr>
              <w:pStyle w:val="TableParagraph"/>
              <w:spacing w:line="262" w:lineRule="exact"/>
              <w:ind w:left="427"/>
              <w:rPr>
                <w:b/>
                <w:sz w:val="21"/>
              </w:rPr>
            </w:pPr>
            <w:r>
              <w:rPr>
                <w:b/>
                <w:sz w:val="21"/>
              </w:rPr>
              <w:t>您与我们订立的合同</w:t>
            </w:r>
          </w:p>
        </w:tc>
      </w:tr>
      <w:tr>
        <w:trPr>
          <w:trHeight w:val="1152" w:hRule="atLeast"/>
        </w:trPr>
        <w:tc>
          <w:tcPr>
            <w:tcW w:w="852" w:type="dxa"/>
          </w:tcPr>
          <w:p>
            <w:pPr>
              <w:pStyle w:val="TableParagraph"/>
              <w:spacing w:before="131"/>
              <w:ind w:left="108"/>
              <w:rPr>
                <w:b/>
                <w:sz w:val="21"/>
              </w:rPr>
            </w:pPr>
            <w:r>
              <w:rPr>
                <w:b/>
                <w:sz w:val="21"/>
              </w:rPr>
              <w:t>1.1</w:t>
            </w:r>
          </w:p>
        </w:tc>
        <w:tc>
          <w:tcPr>
            <w:tcW w:w="2174" w:type="dxa"/>
          </w:tcPr>
          <w:p>
            <w:pPr>
              <w:pStyle w:val="TableParagraph"/>
              <w:spacing w:before="131"/>
              <w:ind w:left="427"/>
              <w:rPr>
                <w:b/>
                <w:sz w:val="21"/>
              </w:rPr>
            </w:pPr>
            <w:r>
              <w:rPr>
                <w:b/>
                <w:sz w:val="21"/>
              </w:rPr>
              <w:t>合同构成</w:t>
            </w:r>
          </w:p>
        </w:tc>
        <w:tc>
          <w:tcPr>
            <w:tcW w:w="6517" w:type="dxa"/>
          </w:tcPr>
          <w:p>
            <w:pPr>
              <w:pStyle w:val="TableParagraph"/>
              <w:spacing w:line="273" w:lineRule="auto" w:before="131"/>
              <w:ind w:left="270" w:right="-15"/>
              <w:rPr>
                <w:sz w:val="21"/>
              </w:rPr>
            </w:pPr>
            <w:r>
              <w:rPr>
                <w:spacing w:val="-6"/>
                <w:sz w:val="21"/>
              </w:rPr>
              <w:t>本合同是您与我们约定保险权利义务关系的协议，包括本保险条款、保险单、投保单及其他投保文件、合法有效的声明、批注、批单及</w:t>
            </w:r>
            <w:r>
              <w:rPr>
                <w:spacing w:val="-4"/>
                <w:sz w:val="21"/>
              </w:rPr>
              <w:t>其他您与我们共同认可的书面协议。</w:t>
            </w:r>
          </w:p>
        </w:tc>
      </w:tr>
      <w:tr>
        <w:trPr>
          <w:trHeight w:val="1466" w:hRule="atLeast"/>
        </w:trPr>
        <w:tc>
          <w:tcPr>
            <w:tcW w:w="852" w:type="dxa"/>
          </w:tcPr>
          <w:p>
            <w:pPr>
              <w:pStyle w:val="TableParagraph"/>
              <w:spacing w:before="57"/>
              <w:ind w:left="108"/>
              <w:rPr>
                <w:b/>
                <w:sz w:val="21"/>
              </w:rPr>
            </w:pPr>
            <w:r>
              <w:rPr>
                <w:b/>
                <w:sz w:val="21"/>
              </w:rPr>
              <w:t>1.2</w:t>
            </w:r>
          </w:p>
        </w:tc>
        <w:tc>
          <w:tcPr>
            <w:tcW w:w="2174" w:type="dxa"/>
          </w:tcPr>
          <w:p>
            <w:pPr>
              <w:pStyle w:val="TableParagraph"/>
              <w:spacing w:before="57"/>
              <w:ind w:left="427"/>
              <w:rPr>
                <w:b/>
                <w:sz w:val="21"/>
              </w:rPr>
            </w:pPr>
            <w:r>
              <w:rPr>
                <w:b/>
                <w:sz w:val="21"/>
              </w:rPr>
              <w:t>合同成立与生效</w:t>
            </w:r>
          </w:p>
        </w:tc>
        <w:tc>
          <w:tcPr>
            <w:tcW w:w="6517" w:type="dxa"/>
          </w:tcPr>
          <w:p>
            <w:pPr>
              <w:pStyle w:val="TableParagraph"/>
              <w:spacing w:before="57"/>
              <w:ind w:left="270"/>
              <w:rPr>
                <w:sz w:val="21"/>
              </w:rPr>
            </w:pPr>
            <w:r>
              <w:rPr>
                <w:sz w:val="21"/>
              </w:rPr>
              <w:t>您提出保险申请、我们同意承保，本合同成立。</w:t>
            </w:r>
          </w:p>
          <w:p>
            <w:pPr>
              <w:pStyle w:val="TableParagraph"/>
              <w:spacing w:line="273" w:lineRule="auto" w:before="113"/>
              <w:ind w:left="270" w:right="-15"/>
              <w:rPr>
                <w:b/>
                <w:sz w:val="21"/>
              </w:rPr>
            </w:pPr>
            <w:r>
              <w:rPr>
                <w:spacing w:val="-8"/>
                <w:sz w:val="21"/>
              </w:rPr>
              <w:t>本合同自我们同意承保、收到首期保险费并签发保险单后开始生效。</w:t>
            </w:r>
            <w:r>
              <w:rPr>
                <w:spacing w:val="-7"/>
                <w:sz w:val="21"/>
              </w:rPr>
              <w:t>合同生效日期在保险单上载明，</w:t>
            </w:r>
            <w:r>
              <w:rPr>
                <w:b/>
                <w:spacing w:val="-6"/>
                <w:sz w:val="21"/>
              </w:rPr>
              <w:t>保单年度</w:t>
            </w:r>
            <w:r>
              <w:rPr>
                <w:sz w:val="21"/>
              </w:rPr>
              <w:t>（</w:t>
            </w:r>
            <w:r>
              <w:rPr>
                <w:spacing w:val="-3"/>
                <w:sz w:val="21"/>
              </w:rPr>
              <w:t>详见释义</w:t>
            </w:r>
            <w:r>
              <w:rPr>
                <w:spacing w:val="-106"/>
                <w:sz w:val="21"/>
              </w:rPr>
              <w:t>）</w:t>
            </w:r>
            <w:r>
              <w:rPr>
                <w:spacing w:val="-24"/>
                <w:sz w:val="21"/>
              </w:rPr>
              <w:t>、</w:t>
            </w:r>
            <w:r>
              <w:rPr>
                <w:b/>
                <w:sz w:val="21"/>
              </w:rPr>
              <w:t>保单周年日</w:t>
            </w:r>
          </w:p>
          <w:p>
            <w:pPr>
              <w:pStyle w:val="TableParagraph"/>
              <w:spacing w:before="7"/>
              <w:ind w:left="270"/>
              <w:rPr>
                <w:sz w:val="21"/>
              </w:rPr>
            </w:pPr>
            <w:r>
              <w:rPr>
                <w:sz w:val="21"/>
              </w:rPr>
              <w:t>（</w:t>
            </w:r>
            <w:r>
              <w:rPr>
                <w:spacing w:val="-3"/>
                <w:sz w:val="21"/>
              </w:rPr>
              <w:t>详见释义</w:t>
            </w:r>
            <w:r>
              <w:rPr>
                <w:spacing w:val="-106"/>
                <w:sz w:val="21"/>
              </w:rPr>
              <w:t>）</w:t>
            </w:r>
            <w:r>
              <w:rPr>
                <w:spacing w:val="-3"/>
                <w:sz w:val="21"/>
              </w:rPr>
              <w:t>、</w:t>
            </w:r>
            <w:r>
              <w:rPr>
                <w:b/>
                <w:spacing w:val="-1"/>
                <w:sz w:val="21"/>
              </w:rPr>
              <w:t>保险费约定支付日</w:t>
            </w:r>
            <w:r>
              <w:rPr>
                <w:sz w:val="21"/>
              </w:rPr>
              <w:t>（</w:t>
            </w:r>
            <w:r>
              <w:rPr>
                <w:spacing w:val="-3"/>
                <w:sz w:val="21"/>
              </w:rPr>
              <w:t>详见释义）均以该日期计算。</w:t>
            </w:r>
          </w:p>
        </w:tc>
      </w:tr>
      <w:tr>
        <w:trPr>
          <w:trHeight w:val="2327" w:hRule="atLeast"/>
        </w:trPr>
        <w:tc>
          <w:tcPr>
            <w:tcW w:w="852" w:type="dxa"/>
          </w:tcPr>
          <w:p>
            <w:pPr>
              <w:pStyle w:val="TableParagraph"/>
              <w:spacing w:before="57"/>
              <w:ind w:left="108"/>
              <w:rPr>
                <w:b/>
                <w:sz w:val="21"/>
              </w:rPr>
            </w:pPr>
            <w:r>
              <w:rPr>
                <w:b/>
                <w:sz w:val="21"/>
              </w:rPr>
              <w:t>1.3</w:t>
            </w:r>
          </w:p>
        </w:tc>
        <w:tc>
          <w:tcPr>
            <w:tcW w:w="2174" w:type="dxa"/>
          </w:tcPr>
          <w:p>
            <w:pPr>
              <w:pStyle w:val="TableParagraph"/>
              <w:spacing w:before="57"/>
              <w:ind w:left="427"/>
              <w:rPr>
                <w:b/>
                <w:sz w:val="21"/>
              </w:rPr>
            </w:pPr>
            <w:r>
              <w:rPr>
                <w:b/>
                <w:sz w:val="21"/>
              </w:rPr>
              <w:t>合同终止</w:t>
            </w:r>
          </w:p>
        </w:tc>
        <w:tc>
          <w:tcPr>
            <w:tcW w:w="6517" w:type="dxa"/>
          </w:tcPr>
          <w:p>
            <w:pPr>
              <w:pStyle w:val="TableParagraph"/>
              <w:spacing w:before="57"/>
              <w:ind w:left="270"/>
              <w:rPr>
                <w:sz w:val="21"/>
              </w:rPr>
            </w:pPr>
            <w:r>
              <w:rPr>
                <w:sz w:val="21"/>
              </w:rPr>
              <w:t>发生下列情况之一时，本合同效力即时终止：</w:t>
            </w:r>
          </w:p>
          <w:p>
            <w:pPr>
              <w:pStyle w:val="TableParagraph"/>
              <w:spacing w:before="36"/>
              <w:ind w:left="270"/>
              <w:rPr>
                <w:sz w:val="21"/>
              </w:rPr>
            </w:pPr>
            <w:r>
              <w:rPr>
                <w:sz w:val="21"/>
              </w:rPr>
              <w:t>(1)您于合同有效期内向我们申请解除本合同；</w:t>
            </w:r>
          </w:p>
          <w:p>
            <w:pPr>
              <w:pStyle w:val="TableParagraph"/>
              <w:spacing w:before="36"/>
              <w:ind w:left="270" w:right="-15"/>
              <w:rPr>
                <w:sz w:val="21"/>
              </w:rPr>
            </w:pPr>
            <w:r>
              <w:rPr>
                <w:sz w:val="21"/>
              </w:rPr>
              <w:t>(2</w:t>
            </w:r>
            <w:r>
              <w:rPr>
                <w:spacing w:val="-23"/>
                <w:sz w:val="21"/>
              </w:rPr>
              <w:t>)我们给付“身故保险金”、“全残保险金”、“生命末期保险金”、</w:t>
            </w:r>
          </w:p>
          <w:p>
            <w:pPr>
              <w:pStyle w:val="TableParagraph"/>
              <w:spacing w:before="36"/>
              <w:ind w:left="270"/>
              <w:rPr>
                <w:sz w:val="21"/>
              </w:rPr>
            </w:pPr>
            <w:r>
              <w:rPr>
                <w:spacing w:val="-8"/>
                <w:w w:val="100"/>
                <w:sz w:val="21"/>
              </w:rPr>
              <w:t>“长期护理保险金”或“第三次重大疾病保险金”；</w:t>
            </w:r>
          </w:p>
          <w:p>
            <w:pPr>
              <w:pStyle w:val="TableParagraph"/>
              <w:spacing w:line="273" w:lineRule="auto" w:before="37"/>
              <w:ind w:left="270" w:right="36"/>
              <w:rPr>
                <w:sz w:val="21"/>
              </w:rPr>
            </w:pPr>
            <w:r>
              <w:rPr>
                <w:sz w:val="21"/>
              </w:rPr>
              <w:t>(3)本合同效力中止且未能按本保险条款“6.2 效力恢复”办理复效的；</w:t>
            </w:r>
          </w:p>
          <w:p>
            <w:pPr>
              <w:pStyle w:val="TableParagraph"/>
              <w:spacing w:before="8"/>
              <w:ind w:left="270"/>
              <w:rPr>
                <w:sz w:val="21"/>
              </w:rPr>
            </w:pPr>
            <w:r>
              <w:rPr>
                <w:sz w:val="21"/>
              </w:rPr>
              <w:t>(4)本合同约定的其他效力终止的情况。</w:t>
            </w:r>
          </w:p>
        </w:tc>
      </w:tr>
      <w:tr>
        <w:trPr>
          <w:trHeight w:val="766" w:hRule="atLeast"/>
        </w:trPr>
        <w:tc>
          <w:tcPr>
            <w:tcW w:w="852" w:type="dxa"/>
          </w:tcPr>
          <w:p>
            <w:pPr>
              <w:pStyle w:val="TableParagraph"/>
              <w:spacing w:before="58"/>
              <w:ind w:left="108"/>
              <w:rPr>
                <w:b/>
                <w:sz w:val="21"/>
              </w:rPr>
            </w:pPr>
            <w:r>
              <w:rPr>
                <w:b/>
                <w:sz w:val="21"/>
              </w:rPr>
              <w:t>1.4</w:t>
            </w:r>
          </w:p>
        </w:tc>
        <w:tc>
          <w:tcPr>
            <w:tcW w:w="2174" w:type="dxa"/>
          </w:tcPr>
          <w:p>
            <w:pPr>
              <w:pStyle w:val="TableParagraph"/>
              <w:spacing w:before="58"/>
              <w:ind w:left="427"/>
              <w:rPr>
                <w:b/>
                <w:sz w:val="21"/>
              </w:rPr>
            </w:pPr>
            <w:r>
              <w:rPr>
                <w:b/>
                <w:sz w:val="21"/>
              </w:rPr>
              <w:t>投保年龄</w:t>
            </w:r>
          </w:p>
        </w:tc>
        <w:tc>
          <w:tcPr>
            <w:tcW w:w="6517" w:type="dxa"/>
          </w:tcPr>
          <w:p>
            <w:pPr>
              <w:pStyle w:val="TableParagraph"/>
              <w:spacing w:line="273" w:lineRule="auto" w:before="58"/>
              <w:ind w:left="270" w:right="102"/>
              <w:rPr>
                <w:sz w:val="21"/>
              </w:rPr>
            </w:pPr>
            <w:r>
              <w:rPr>
                <w:sz w:val="21"/>
              </w:rPr>
              <w:t>指您投保时被保险人的年龄，以</w:t>
            </w:r>
            <w:r>
              <w:rPr>
                <w:b/>
                <w:sz w:val="21"/>
              </w:rPr>
              <w:t>周岁</w:t>
            </w:r>
            <w:r>
              <w:rPr>
                <w:sz w:val="21"/>
              </w:rPr>
              <w:t>（详见释义）计算，本合同接受的投保年龄范围为出生满 28 日至 55 周岁。</w:t>
            </w:r>
          </w:p>
        </w:tc>
      </w:tr>
      <w:tr>
        <w:trPr>
          <w:trHeight w:val="2472" w:hRule="atLeast"/>
        </w:trPr>
        <w:tc>
          <w:tcPr>
            <w:tcW w:w="852" w:type="dxa"/>
          </w:tcPr>
          <w:p>
            <w:pPr>
              <w:pStyle w:val="TableParagraph"/>
              <w:spacing w:before="57"/>
              <w:ind w:left="108"/>
              <w:rPr>
                <w:b/>
                <w:sz w:val="21"/>
              </w:rPr>
            </w:pPr>
            <w:r>
              <w:rPr>
                <w:b/>
                <w:sz w:val="21"/>
              </w:rPr>
              <w:t>1.5</w:t>
            </w:r>
          </w:p>
        </w:tc>
        <w:tc>
          <w:tcPr>
            <w:tcW w:w="2174" w:type="dxa"/>
          </w:tcPr>
          <w:p>
            <w:pPr>
              <w:pStyle w:val="TableParagraph"/>
              <w:spacing w:before="57"/>
              <w:ind w:left="427"/>
              <w:rPr>
                <w:b/>
                <w:sz w:val="21"/>
              </w:rPr>
            </w:pPr>
            <w:r>
              <w:rPr>
                <w:b/>
                <w:sz w:val="21"/>
              </w:rPr>
              <w:t>犹豫期</w:t>
            </w:r>
          </w:p>
        </w:tc>
        <w:tc>
          <w:tcPr>
            <w:tcW w:w="6517" w:type="dxa"/>
          </w:tcPr>
          <w:p>
            <w:pPr>
              <w:pStyle w:val="TableParagraph"/>
              <w:spacing w:line="273" w:lineRule="auto" w:before="57"/>
              <w:ind w:left="270" w:right="100"/>
              <w:jc w:val="both"/>
              <w:rPr>
                <w:sz w:val="21"/>
              </w:rPr>
            </w:pPr>
            <w:r>
              <w:rPr>
                <w:sz w:val="21"/>
              </w:rPr>
              <w:t>指您签收本合同之日起的一段时期，该时期以保险单上所载的日数为准。在此期间，请您认真审阅本合同，如果您认为本合同与您的需求不相符，您可以在此期间提出解除本合同，我们无息退还您所支付的全部保险费。</w:t>
            </w:r>
          </w:p>
          <w:p>
            <w:pPr>
              <w:pStyle w:val="TableParagraph"/>
              <w:spacing w:line="273" w:lineRule="auto" w:before="84"/>
              <w:ind w:left="270" w:right="-15"/>
              <w:jc w:val="both"/>
              <w:rPr>
                <w:sz w:val="21"/>
              </w:rPr>
            </w:pPr>
            <w:r>
              <w:rPr>
                <w:sz w:val="21"/>
              </w:rPr>
              <w:t>解除合同时，您需要填写申请书，并提供您的保险合同及</w:t>
            </w:r>
            <w:r>
              <w:rPr>
                <w:b/>
                <w:sz w:val="21"/>
              </w:rPr>
              <w:t>有效身份</w:t>
            </w:r>
            <w:r>
              <w:rPr>
                <w:b/>
                <w:spacing w:val="-10"/>
                <w:sz w:val="21"/>
              </w:rPr>
              <w:t>证件</w:t>
            </w:r>
            <w:r>
              <w:rPr>
                <w:sz w:val="21"/>
              </w:rPr>
              <w:t>（</w:t>
            </w:r>
            <w:r>
              <w:rPr>
                <w:spacing w:val="-3"/>
                <w:sz w:val="21"/>
              </w:rPr>
              <w:t>详见释义</w:t>
            </w:r>
            <w:r>
              <w:rPr>
                <w:spacing w:val="-106"/>
                <w:sz w:val="21"/>
              </w:rPr>
              <w:t>）</w:t>
            </w:r>
            <w:r>
              <w:rPr>
                <w:spacing w:val="-7"/>
                <w:sz w:val="21"/>
              </w:rPr>
              <w:t>。自我们收到您解除合同的书面申请时起，本合同</w:t>
            </w:r>
            <w:r>
              <w:rPr>
                <w:spacing w:val="-9"/>
                <w:sz w:val="21"/>
              </w:rPr>
              <w:t>即被解除，对于合同解除前发生的保险事故，我们不承担保险责任。</w:t>
            </w:r>
          </w:p>
        </w:tc>
      </w:tr>
      <w:tr>
        <w:trPr>
          <w:trHeight w:val="312" w:hRule="atLeast"/>
        </w:trPr>
        <w:tc>
          <w:tcPr>
            <w:tcW w:w="852" w:type="dxa"/>
            <w:shd w:val="clear" w:color="auto" w:fill="A6A6A6"/>
          </w:tcPr>
          <w:p>
            <w:pPr>
              <w:pStyle w:val="TableParagraph"/>
              <w:spacing w:line="262" w:lineRule="exact"/>
              <w:ind w:left="108"/>
              <w:rPr>
                <w:b/>
                <w:sz w:val="21"/>
              </w:rPr>
            </w:pPr>
            <w:r>
              <w:rPr>
                <w:b/>
                <w:sz w:val="21"/>
              </w:rPr>
              <w:t>2．</w:t>
            </w:r>
          </w:p>
        </w:tc>
        <w:tc>
          <w:tcPr>
            <w:tcW w:w="2174" w:type="dxa"/>
            <w:shd w:val="clear" w:color="auto" w:fill="A6A6A6"/>
          </w:tcPr>
          <w:p>
            <w:pPr>
              <w:pStyle w:val="TableParagraph"/>
              <w:spacing w:line="262" w:lineRule="exact"/>
              <w:ind w:left="427"/>
              <w:rPr>
                <w:b/>
                <w:sz w:val="21"/>
              </w:rPr>
            </w:pPr>
            <w:r>
              <w:rPr>
                <w:b/>
                <w:sz w:val="21"/>
              </w:rPr>
              <w:t>我们提供的保障</w:t>
            </w:r>
          </w:p>
        </w:tc>
        <w:tc>
          <w:tcPr>
            <w:tcW w:w="6517" w:type="dxa"/>
            <w:shd w:val="clear" w:color="auto" w:fill="A6A6A6"/>
          </w:tcPr>
          <w:p>
            <w:pPr>
              <w:pStyle w:val="TableParagraph"/>
              <w:ind w:left="0"/>
              <w:rPr>
                <w:rFonts w:ascii="Times New Roman"/>
                <w:sz w:val="20"/>
              </w:rPr>
            </w:pPr>
          </w:p>
        </w:tc>
      </w:tr>
      <w:tr>
        <w:trPr>
          <w:trHeight w:val="839" w:hRule="atLeast"/>
        </w:trPr>
        <w:tc>
          <w:tcPr>
            <w:tcW w:w="852" w:type="dxa"/>
          </w:tcPr>
          <w:p>
            <w:pPr>
              <w:pStyle w:val="TableParagraph"/>
              <w:spacing w:before="131"/>
              <w:ind w:left="108"/>
              <w:rPr>
                <w:b/>
                <w:sz w:val="21"/>
              </w:rPr>
            </w:pPr>
            <w:r>
              <w:rPr>
                <w:b/>
                <w:sz w:val="21"/>
              </w:rPr>
              <w:t>2.1</w:t>
            </w:r>
          </w:p>
        </w:tc>
        <w:tc>
          <w:tcPr>
            <w:tcW w:w="2174" w:type="dxa"/>
          </w:tcPr>
          <w:p>
            <w:pPr>
              <w:pStyle w:val="TableParagraph"/>
              <w:spacing w:before="131"/>
              <w:ind w:left="427"/>
              <w:rPr>
                <w:b/>
                <w:sz w:val="21"/>
              </w:rPr>
            </w:pPr>
            <w:r>
              <w:rPr>
                <w:b/>
                <w:sz w:val="21"/>
              </w:rPr>
              <w:t>基本保险金额</w:t>
            </w:r>
          </w:p>
        </w:tc>
        <w:tc>
          <w:tcPr>
            <w:tcW w:w="6517" w:type="dxa"/>
          </w:tcPr>
          <w:p>
            <w:pPr>
              <w:pStyle w:val="TableParagraph"/>
              <w:spacing w:line="273" w:lineRule="auto" w:before="131"/>
              <w:ind w:left="270" w:right="106"/>
              <w:rPr>
                <w:sz w:val="21"/>
              </w:rPr>
            </w:pPr>
            <w:r>
              <w:rPr>
                <w:sz w:val="21"/>
              </w:rPr>
              <w:t>本合同的基本保险金额由您在投保时与我们约定并在保险单上载明。</w:t>
            </w:r>
          </w:p>
        </w:tc>
      </w:tr>
      <w:tr>
        <w:trPr>
          <w:trHeight w:val="453" w:hRule="atLeast"/>
        </w:trPr>
        <w:tc>
          <w:tcPr>
            <w:tcW w:w="852" w:type="dxa"/>
          </w:tcPr>
          <w:p>
            <w:pPr>
              <w:pStyle w:val="TableParagraph"/>
              <w:spacing w:before="57"/>
              <w:ind w:left="108"/>
              <w:rPr>
                <w:b/>
                <w:sz w:val="21"/>
              </w:rPr>
            </w:pPr>
            <w:r>
              <w:rPr>
                <w:b/>
                <w:sz w:val="21"/>
              </w:rPr>
              <w:t>2.2</w:t>
            </w:r>
          </w:p>
        </w:tc>
        <w:tc>
          <w:tcPr>
            <w:tcW w:w="2174" w:type="dxa"/>
          </w:tcPr>
          <w:p>
            <w:pPr>
              <w:pStyle w:val="TableParagraph"/>
              <w:spacing w:before="57"/>
              <w:ind w:left="427"/>
              <w:rPr>
                <w:b/>
                <w:sz w:val="21"/>
              </w:rPr>
            </w:pPr>
            <w:r>
              <w:rPr>
                <w:b/>
                <w:sz w:val="21"/>
              </w:rPr>
              <w:t>保险期间</w:t>
            </w:r>
          </w:p>
        </w:tc>
        <w:tc>
          <w:tcPr>
            <w:tcW w:w="6517" w:type="dxa"/>
          </w:tcPr>
          <w:p>
            <w:pPr>
              <w:pStyle w:val="TableParagraph"/>
              <w:spacing w:before="57"/>
              <w:ind w:left="270"/>
              <w:rPr>
                <w:sz w:val="21"/>
              </w:rPr>
            </w:pPr>
            <w:r>
              <w:rPr>
                <w:sz w:val="21"/>
              </w:rPr>
              <w:t>本合同的保险期间由您在投保时与我们约定并在保险单上载明。</w:t>
            </w:r>
          </w:p>
        </w:tc>
      </w:tr>
      <w:tr>
        <w:trPr>
          <w:trHeight w:val="1268" w:hRule="atLeast"/>
        </w:trPr>
        <w:tc>
          <w:tcPr>
            <w:tcW w:w="852" w:type="dxa"/>
          </w:tcPr>
          <w:p>
            <w:pPr>
              <w:pStyle w:val="TableParagraph"/>
              <w:spacing w:before="57"/>
              <w:ind w:left="108"/>
              <w:rPr>
                <w:b/>
                <w:sz w:val="21"/>
              </w:rPr>
            </w:pPr>
            <w:r>
              <w:rPr>
                <w:b/>
                <w:sz w:val="21"/>
              </w:rPr>
              <w:t>2.3</w:t>
            </w:r>
          </w:p>
        </w:tc>
        <w:tc>
          <w:tcPr>
            <w:tcW w:w="2174" w:type="dxa"/>
          </w:tcPr>
          <w:p>
            <w:pPr>
              <w:pStyle w:val="TableParagraph"/>
              <w:spacing w:before="57"/>
              <w:ind w:left="427"/>
              <w:rPr>
                <w:b/>
                <w:sz w:val="21"/>
              </w:rPr>
            </w:pPr>
            <w:r>
              <w:rPr>
                <w:b/>
                <w:sz w:val="21"/>
              </w:rPr>
              <w:t>等待期</w:t>
            </w:r>
          </w:p>
        </w:tc>
        <w:tc>
          <w:tcPr>
            <w:tcW w:w="6517" w:type="dxa"/>
          </w:tcPr>
          <w:p>
            <w:pPr>
              <w:pStyle w:val="TableParagraph"/>
              <w:spacing w:before="57"/>
              <w:ind w:left="270"/>
              <w:rPr>
                <w:rFonts w:ascii="黑体" w:eastAsia="黑体" w:hint="eastAsia"/>
                <w:sz w:val="21"/>
              </w:rPr>
            </w:pPr>
            <w:r>
              <w:rPr>
                <w:rFonts w:ascii="黑体" w:eastAsia="黑体" w:hint="eastAsia"/>
                <w:spacing w:val="-1"/>
                <w:sz w:val="21"/>
              </w:rPr>
              <w:t>从本合同</w:t>
            </w:r>
            <w:r>
              <w:rPr>
                <w:rFonts w:ascii="黑体" w:eastAsia="黑体" w:hint="eastAsia"/>
                <w:sz w:val="21"/>
              </w:rPr>
              <w:t>Th</w:t>
            </w:r>
            <w:r>
              <w:rPr>
                <w:rFonts w:ascii="黑体" w:eastAsia="黑体" w:hint="eastAsia"/>
                <w:spacing w:val="-7"/>
                <w:sz w:val="21"/>
              </w:rPr>
              <w:t>效或最后一次复效之日起 </w:t>
            </w:r>
            <w:r>
              <w:rPr>
                <w:rFonts w:ascii="黑体" w:eastAsia="黑体" w:hint="eastAsia"/>
                <w:sz w:val="21"/>
              </w:rPr>
              <w:t>90</w:t>
            </w:r>
            <w:r>
              <w:rPr>
                <w:rFonts w:ascii="黑体" w:eastAsia="黑体" w:hint="eastAsia"/>
                <w:spacing w:val="-26"/>
                <w:sz w:val="21"/>
              </w:rPr>
              <w:t> 日内</w:t>
            </w:r>
            <w:r>
              <w:rPr>
                <w:rFonts w:ascii="黑体" w:eastAsia="黑体" w:hint="eastAsia"/>
                <w:spacing w:val="-3"/>
                <w:sz w:val="21"/>
              </w:rPr>
              <w:t>（</w:t>
            </w:r>
            <w:r>
              <w:rPr>
                <w:rFonts w:ascii="黑体" w:eastAsia="黑体" w:hint="eastAsia"/>
                <w:spacing w:val="-16"/>
                <w:sz w:val="21"/>
              </w:rPr>
              <w:t>含第 </w:t>
            </w:r>
            <w:r>
              <w:rPr>
                <w:rFonts w:ascii="黑体" w:eastAsia="黑体" w:hint="eastAsia"/>
                <w:sz w:val="21"/>
              </w:rPr>
              <w:t>90</w:t>
            </w:r>
            <w:r>
              <w:rPr>
                <w:rFonts w:ascii="黑体" w:eastAsia="黑体" w:hint="eastAsia"/>
                <w:spacing w:val="-23"/>
                <w:sz w:val="21"/>
              </w:rPr>
              <w:t> 日</w:t>
            </w:r>
            <w:r>
              <w:rPr>
                <w:rFonts w:ascii="黑体" w:eastAsia="黑体" w:hint="eastAsia"/>
                <w:spacing w:val="-69"/>
                <w:sz w:val="21"/>
              </w:rPr>
              <w:t>）</w:t>
            </w:r>
            <w:r>
              <w:rPr>
                <w:rFonts w:ascii="黑体" w:eastAsia="黑体" w:hint="eastAsia"/>
                <w:spacing w:val="-19"/>
                <w:sz w:val="21"/>
              </w:rPr>
              <w:t>，被保险</w:t>
            </w:r>
          </w:p>
          <w:p>
            <w:pPr>
              <w:pStyle w:val="TableParagraph"/>
              <w:spacing w:before="36"/>
              <w:ind w:left="270"/>
              <w:rPr>
                <w:rFonts w:ascii="黑体" w:eastAsia="黑体" w:hint="eastAsia"/>
                <w:sz w:val="21"/>
              </w:rPr>
            </w:pPr>
            <w:r>
              <w:rPr>
                <w:rFonts w:ascii="黑体" w:eastAsia="黑体" w:hint="eastAsia"/>
                <w:sz w:val="21"/>
              </w:rPr>
              <w:t>人因疾病发Th下列情形之一的：(1)符合本合同第 10 条定义的重大</w:t>
            </w:r>
          </w:p>
          <w:p>
            <w:pPr>
              <w:pStyle w:val="TableParagraph"/>
              <w:spacing w:line="310" w:lineRule="atLeast" w:before="1"/>
              <w:ind w:left="270" w:right="-15"/>
              <w:rPr>
                <w:rFonts w:ascii="黑体" w:eastAsia="黑体" w:hint="eastAsia"/>
                <w:sz w:val="21"/>
              </w:rPr>
            </w:pPr>
            <w:r>
              <w:rPr>
                <w:rFonts w:ascii="黑体" w:eastAsia="黑体" w:hint="eastAsia"/>
                <w:spacing w:val="-1"/>
                <w:w w:val="100"/>
                <w:sz w:val="21"/>
              </w:rPr>
              <w:t>疾病或第</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1</w:t>
            </w:r>
            <w:r>
              <w:rPr>
                <w:rFonts w:ascii="黑体" w:eastAsia="黑体" w:hint="eastAsia"/>
                <w:spacing w:val="-53"/>
                <w:sz w:val="21"/>
              </w:rPr>
              <w:t> </w:t>
            </w:r>
            <w:r>
              <w:rPr>
                <w:rFonts w:ascii="黑体" w:eastAsia="黑体" w:hint="eastAsia"/>
                <w:spacing w:val="-7"/>
                <w:w w:val="100"/>
                <w:sz w:val="21"/>
              </w:rPr>
              <w:t>条定义的轻症疾病</w:t>
            </w:r>
            <w:r>
              <w:rPr>
                <w:rFonts w:ascii="黑体" w:eastAsia="黑体" w:hint="eastAsia"/>
                <w:w w:val="100"/>
                <w:sz w:val="21"/>
              </w:rPr>
              <w:t>（</w:t>
            </w:r>
            <w:r>
              <w:rPr>
                <w:rFonts w:ascii="黑体" w:eastAsia="黑体" w:hint="eastAsia"/>
                <w:spacing w:val="-3"/>
                <w:w w:val="100"/>
                <w:sz w:val="21"/>
              </w:rPr>
              <w:t>无论一种或多种</w:t>
            </w:r>
            <w:r>
              <w:rPr>
                <w:rFonts w:ascii="黑体" w:eastAsia="黑体" w:hint="eastAsia"/>
                <w:spacing w:val="-108"/>
                <w:w w:val="100"/>
                <w:sz w:val="21"/>
              </w:rPr>
              <w:t>）</w:t>
            </w:r>
            <w:r>
              <w:rPr>
                <w:rFonts w:ascii="黑体" w:eastAsia="黑体" w:hint="eastAsia"/>
                <w:spacing w:val="-29"/>
                <w:w w:val="100"/>
                <w:sz w:val="21"/>
              </w:rPr>
              <w:t>，</w:t>
            </w:r>
            <w:r>
              <w:rPr>
                <w:rFonts w:ascii="黑体" w:eastAsia="黑体" w:hint="eastAsia"/>
                <w:w w:val="100"/>
                <w:sz w:val="21"/>
              </w:rPr>
              <w:t>(2)</w:t>
            </w:r>
            <w:r>
              <w:rPr>
                <w:rFonts w:ascii="黑体" w:eastAsia="黑体" w:hint="eastAsia"/>
                <w:spacing w:val="-3"/>
                <w:w w:val="100"/>
                <w:sz w:val="21"/>
              </w:rPr>
              <w:t>因导致本合</w:t>
            </w:r>
            <w:r>
              <w:rPr>
                <w:rFonts w:ascii="黑体" w:eastAsia="黑体" w:hint="eastAsia"/>
                <w:spacing w:val="-5"/>
                <w:sz w:val="21"/>
              </w:rPr>
              <w:t>同约定的重大疾病或轻症疾病</w:t>
            </w:r>
            <w:r>
              <w:rPr>
                <w:rFonts w:ascii="黑体" w:eastAsia="黑体" w:hint="eastAsia"/>
                <w:sz w:val="21"/>
              </w:rPr>
              <w:t>（</w:t>
            </w:r>
            <w:r>
              <w:rPr>
                <w:rFonts w:ascii="黑体" w:eastAsia="黑体" w:hint="eastAsia"/>
                <w:spacing w:val="-3"/>
                <w:sz w:val="21"/>
              </w:rPr>
              <w:t>无论一种或多种</w:t>
            </w:r>
            <w:r>
              <w:rPr>
                <w:rFonts w:ascii="黑体" w:eastAsia="黑体" w:hint="eastAsia"/>
                <w:spacing w:val="-29"/>
                <w:sz w:val="21"/>
              </w:rPr>
              <w:t>）</w:t>
            </w:r>
            <w:r>
              <w:rPr>
                <w:rFonts w:ascii="黑体" w:eastAsia="黑体" w:hint="eastAsia"/>
                <w:spacing w:val="-3"/>
                <w:sz w:val="21"/>
              </w:rPr>
              <w:t>的相关疾病就诊，</w:t>
            </w:r>
          </w:p>
        </w:tc>
      </w:tr>
    </w:tbl>
    <w:p>
      <w:pPr>
        <w:spacing w:after="0" w:line="310" w:lineRule="atLeast"/>
        <w:rPr>
          <w:rFonts w:ascii="黑体" w:eastAsia="黑体" w:hint="eastAsia"/>
          <w:sz w:val="21"/>
        </w:rPr>
        <w:sectPr>
          <w:pgSz w:w="11910" w:h="16840"/>
          <w:pgMar w:top="1480" w:bottom="280" w:left="1020" w:right="102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2172"/>
        <w:gridCol w:w="6671"/>
      </w:tblGrid>
      <w:tr>
        <w:trPr>
          <w:trHeight w:val="956" w:hRule="atLeast"/>
        </w:trPr>
        <w:tc>
          <w:tcPr>
            <w:tcW w:w="944" w:type="dxa"/>
          </w:tcPr>
          <w:p>
            <w:pPr>
              <w:pStyle w:val="TableParagraph"/>
              <w:ind w:left="0"/>
              <w:rPr>
                <w:rFonts w:ascii="Times New Roman"/>
                <w:sz w:val="20"/>
              </w:rPr>
            </w:pPr>
          </w:p>
        </w:tc>
        <w:tc>
          <w:tcPr>
            <w:tcW w:w="2172" w:type="dxa"/>
          </w:tcPr>
          <w:p>
            <w:pPr>
              <w:pStyle w:val="TableParagraph"/>
              <w:ind w:left="0"/>
              <w:rPr>
                <w:rFonts w:ascii="Times New Roman"/>
                <w:sz w:val="20"/>
              </w:rPr>
            </w:pPr>
          </w:p>
        </w:tc>
        <w:tc>
          <w:tcPr>
            <w:tcW w:w="6671" w:type="dxa"/>
          </w:tcPr>
          <w:p>
            <w:pPr>
              <w:pStyle w:val="TableParagraph"/>
              <w:spacing w:line="203" w:lineRule="exact"/>
              <w:ind w:left="271"/>
              <w:rPr>
                <w:rFonts w:ascii="黑体" w:eastAsia="黑体" w:hint="eastAsia"/>
                <w:sz w:val="21"/>
              </w:rPr>
            </w:pPr>
            <w:r>
              <w:rPr>
                <w:rFonts w:ascii="黑体" w:eastAsia="黑体" w:hint="eastAsia"/>
                <w:sz w:val="21"/>
              </w:rPr>
              <w:t>我们不承担本合同约定的保险责任，本合同终止，并无息退还您所</w:t>
            </w:r>
          </w:p>
          <w:p>
            <w:pPr>
              <w:pStyle w:val="TableParagraph"/>
              <w:spacing w:line="273" w:lineRule="auto" w:before="37"/>
              <w:ind w:left="271" w:right="252"/>
              <w:rPr>
                <w:sz w:val="21"/>
              </w:rPr>
            </w:pPr>
            <w:r>
              <w:rPr>
                <w:rFonts w:ascii="黑体" w:eastAsia="黑体" w:hint="eastAsia"/>
                <w:spacing w:val="-10"/>
                <w:sz w:val="21"/>
              </w:rPr>
              <w:t>支付的全部保险费。这 </w:t>
            </w:r>
            <w:r>
              <w:rPr>
                <w:rFonts w:ascii="黑体" w:eastAsia="黑体" w:hint="eastAsia"/>
                <w:sz w:val="21"/>
              </w:rPr>
              <w:t>90</w:t>
            </w:r>
            <w:r>
              <w:rPr>
                <w:rFonts w:ascii="黑体" w:eastAsia="黑体" w:hint="eastAsia"/>
                <w:spacing w:val="-10"/>
                <w:sz w:val="21"/>
              </w:rPr>
              <w:t> 日的时间称为等待期；</w:t>
            </w:r>
            <w:r>
              <w:rPr>
                <w:spacing w:val="-3"/>
                <w:sz w:val="21"/>
              </w:rPr>
              <w:t>但被保险人因</w:t>
            </w:r>
            <w:r>
              <w:rPr>
                <w:b/>
                <w:sz w:val="21"/>
              </w:rPr>
              <w:t>意外伤害</w:t>
            </w:r>
            <w:r>
              <w:rPr>
                <w:sz w:val="21"/>
              </w:rPr>
              <w:t>（</w:t>
            </w:r>
            <w:r>
              <w:rPr>
                <w:spacing w:val="-3"/>
                <w:sz w:val="21"/>
              </w:rPr>
              <w:t>详见释义）发生上述两项情形之一的，则无等待期。</w:t>
            </w:r>
          </w:p>
        </w:tc>
      </w:tr>
      <w:tr>
        <w:trPr>
          <w:trHeight w:val="765" w:hRule="atLeast"/>
        </w:trPr>
        <w:tc>
          <w:tcPr>
            <w:tcW w:w="944" w:type="dxa"/>
          </w:tcPr>
          <w:p>
            <w:pPr>
              <w:pStyle w:val="TableParagraph"/>
              <w:spacing w:before="49"/>
              <w:ind w:left="200"/>
              <w:rPr>
                <w:b/>
                <w:sz w:val="21"/>
              </w:rPr>
            </w:pPr>
            <w:r>
              <w:rPr>
                <w:b/>
                <w:sz w:val="21"/>
              </w:rPr>
              <w:t>2.4</w:t>
            </w:r>
          </w:p>
        </w:tc>
        <w:tc>
          <w:tcPr>
            <w:tcW w:w="2172" w:type="dxa"/>
          </w:tcPr>
          <w:p>
            <w:pPr>
              <w:pStyle w:val="TableParagraph"/>
              <w:spacing w:before="49"/>
              <w:ind w:left="427"/>
              <w:rPr>
                <w:b/>
                <w:sz w:val="21"/>
              </w:rPr>
            </w:pPr>
            <w:r>
              <w:rPr>
                <w:b/>
                <w:sz w:val="21"/>
              </w:rPr>
              <w:t>保险责任</w:t>
            </w:r>
          </w:p>
        </w:tc>
        <w:tc>
          <w:tcPr>
            <w:tcW w:w="6671" w:type="dxa"/>
          </w:tcPr>
          <w:p>
            <w:pPr>
              <w:pStyle w:val="TableParagraph"/>
              <w:spacing w:line="273" w:lineRule="auto" w:before="49"/>
              <w:ind w:left="271" w:right="255"/>
              <w:rPr>
                <w:sz w:val="21"/>
              </w:rPr>
            </w:pPr>
            <w:r>
              <w:rPr>
                <w:sz w:val="21"/>
              </w:rPr>
              <w:t>在本合同保险期间内，且本合同有效的前提下，我们按以下约定承担保险责任：</w:t>
            </w:r>
          </w:p>
        </w:tc>
      </w:tr>
      <w:tr>
        <w:trPr>
          <w:trHeight w:val="6850" w:hRule="atLeast"/>
        </w:trPr>
        <w:tc>
          <w:tcPr>
            <w:tcW w:w="944" w:type="dxa"/>
          </w:tcPr>
          <w:p>
            <w:pPr>
              <w:pStyle w:val="TableParagraph"/>
              <w:ind w:left="0"/>
              <w:rPr>
                <w:rFonts w:ascii="Times New Roman"/>
                <w:sz w:val="20"/>
              </w:rPr>
            </w:pPr>
          </w:p>
        </w:tc>
        <w:tc>
          <w:tcPr>
            <w:tcW w:w="2172" w:type="dxa"/>
          </w:tcPr>
          <w:p>
            <w:pPr>
              <w:pStyle w:val="TableParagraph"/>
              <w:spacing w:before="49"/>
              <w:ind w:left="427"/>
              <w:rPr>
                <w:sz w:val="21"/>
              </w:rPr>
            </w:pPr>
            <w:r>
              <w:rPr>
                <w:sz w:val="21"/>
              </w:rPr>
              <w:t>重大疾病保险金</w:t>
            </w:r>
          </w:p>
        </w:tc>
        <w:tc>
          <w:tcPr>
            <w:tcW w:w="6671" w:type="dxa"/>
          </w:tcPr>
          <w:p>
            <w:pPr>
              <w:pStyle w:val="TableParagraph"/>
              <w:spacing w:before="49"/>
              <w:ind w:left="271"/>
              <w:rPr>
                <w:sz w:val="21"/>
              </w:rPr>
            </w:pPr>
            <w:r>
              <w:rPr>
                <w:sz w:val="21"/>
              </w:rPr>
              <w:t>（1）首次重大疾病保险金</w:t>
            </w:r>
          </w:p>
          <w:p>
            <w:pPr>
              <w:pStyle w:val="TableParagraph"/>
              <w:spacing w:line="273" w:lineRule="auto" w:before="116"/>
              <w:ind w:left="271" w:right="249"/>
              <w:jc w:val="both"/>
              <w:rPr>
                <w:sz w:val="21"/>
              </w:rPr>
            </w:pPr>
            <w:r>
              <w:rPr>
                <w:sz w:val="21"/>
              </w:rPr>
              <w:t>若被保险人于等待期后经</w:t>
            </w:r>
            <w:r>
              <w:rPr>
                <w:b/>
                <w:sz w:val="21"/>
              </w:rPr>
              <w:t>约定医院</w:t>
            </w:r>
            <w:r>
              <w:rPr>
                <w:sz w:val="21"/>
              </w:rPr>
              <w:t>（详见释义）确诊初次发生符合</w:t>
            </w:r>
            <w:r>
              <w:rPr>
                <w:spacing w:val="-1"/>
                <w:w w:val="100"/>
                <w:sz w:val="21"/>
              </w:rPr>
              <w:t>本合同第</w:t>
            </w:r>
            <w:r>
              <w:rPr>
                <w:spacing w:val="-29"/>
                <w:sz w:val="21"/>
              </w:rPr>
              <w:t> </w:t>
            </w:r>
            <w:r>
              <w:rPr>
                <w:w w:val="100"/>
                <w:sz w:val="21"/>
              </w:rPr>
              <w:t>10</w:t>
            </w:r>
            <w:r>
              <w:rPr>
                <w:spacing w:val="-29"/>
                <w:sz w:val="21"/>
              </w:rPr>
              <w:t> </w:t>
            </w:r>
            <w:r>
              <w:rPr>
                <w:spacing w:val="-3"/>
                <w:w w:val="100"/>
                <w:sz w:val="21"/>
              </w:rPr>
              <w:t>条定义的重大疾病</w:t>
            </w:r>
            <w:r>
              <w:rPr>
                <w:w w:val="100"/>
                <w:sz w:val="21"/>
              </w:rPr>
              <w:t>（</w:t>
            </w:r>
            <w:r>
              <w:rPr>
                <w:spacing w:val="-3"/>
                <w:w w:val="100"/>
                <w:sz w:val="21"/>
              </w:rPr>
              <w:t>无论一种或多种</w:t>
            </w:r>
            <w:r>
              <w:rPr>
                <w:spacing w:val="-108"/>
                <w:w w:val="100"/>
                <w:sz w:val="21"/>
              </w:rPr>
              <w:t>）</w:t>
            </w:r>
            <w:r>
              <w:rPr>
                <w:spacing w:val="-2"/>
                <w:w w:val="100"/>
                <w:sz w:val="21"/>
              </w:rPr>
              <w:t>，我们按本合同</w:t>
            </w:r>
            <w:r>
              <w:rPr>
                <w:spacing w:val="-3"/>
                <w:sz w:val="21"/>
              </w:rPr>
              <w:t>的基本保险金额给付首次重大疾病保险金。</w:t>
            </w:r>
          </w:p>
          <w:p>
            <w:pPr>
              <w:pStyle w:val="TableParagraph"/>
              <w:spacing w:line="273" w:lineRule="auto" w:before="84"/>
              <w:ind w:left="271" w:right="254"/>
              <w:jc w:val="both"/>
              <w:rPr>
                <w:rFonts w:ascii="黑体" w:hAnsi="黑体" w:eastAsia="黑体" w:hint="eastAsia"/>
                <w:sz w:val="21"/>
              </w:rPr>
            </w:pPr>
            <w:r>
              <w:rPr>
                <w:rFonts w:ascii="黑体" w:hAnsi="黑体" w:eastAsia="黑体" w:hint="eastAsia"/>
                <w:sz w:val="21"/>
              </w:rPr>
              <w:t>我们给付首次重大疾病保险金后，本合同的现金价值降为零，并豁免本合同在首次重大疾病确诊日以后的保险费，同时其他保险责任</w:t>
            </w:r>
            <w:r>
              <w:rPr>
                <w:rFonts w:ascii="黑体" w:hAnsi="黑体" w:eastAsia="黑体" w:hint="eastAsia"/>
                <w:spacing w:val="-10"/>
                <w:sz w:val="21"/>
              </w:rPr>
              <w:t>均终止，即我们不再承担给付“轻症疾病保险金”、“特定重大疾病</w:t>
            </w:r>
            <w:r>
              <w:rPr>
                <w:rFonts w:ascii="黑体" w:hAnsi="黑体" w:eastAsia="黑体" w:hint="eastAsia"/>
                <w:spacing w:val="-28"/>
                <w:sz w:val="21"/>
              </w:rPr>
              <w:t>保险金”、“身故保险金”</w:t>
            </w:r>
            <w:r>
              <w:rPr>
                <w:rFonts w:ascii="黑体" w:hAnsi="黑体" w:eastAsia="黑体" w:hint="eastAsia"/>
                <w:spacing w:val="-37"/>
                <w:sz w:val="21"/>
              </w:rPr>
              <w:t>、“全残保险金”</w:t>
            </w:r>
            <w:r>
              <w:rPr>
                <w:rFonts w:ascii="黑体" w:hAnsi="黑体" w:eastAsia="黑体" w:hint="eastAsia"/>
                <w:spacing w:val="-80"/>
                <w:sz w:val="21"/>
              </w:rPr>
              <w:t>、“</w:t>
            </w:r>
            <w:r>
              <w:rPr>
                <w:rFonts w:ascii="黑体" w:hAnsi="黑体" w:eastAsia="黑体" w:hint="eastAsia"/>
                <w:sz w:val="21"/>
              </w:rPr>
              <w:t>Th</w:t>
            </w:r>
            <w:r>
              <w:rPr>
                <w:rFonts w:ascii="黑体" w:hAnsi="黑体" w:eastAsia="黑体" w:hint="eastAsia"/>
                <w:spacing w:val="-15"/>
                <w:sz w:val="21"/>
              </w:rPr>
              <w:t>命末期保险金”和“长</w:t>
            </w:r>
            <w:r>
              <w:rPr>
                <w:rFonts w:ascii="黑体" w:hAnsi="黑体" w:eastAsia="黑体" w:hint="eastAsia"/>
                <w:spacing w:val="-7"/>
                <w:sz w:val="21"/>
              </w:rPr>
              <w:t>期护理保险金”的责任。</w:t>
            </w:r>
          </w:p>
          <w:p>
            <w:pPr>
              <w:pStyle w:val="TableParagraph"/>
              <w:spacing w:before="86"/>
              <w:ind w:left="271"/>
              <w:rPr>
                <w:sz w:val="21"/>
              </w:rPr>
            </w:pPr>
            <w:r>
              <w:rPr>
                <w:sz w:val="21"/>
              </w:rPr>
              <w:t>（2）第二次重大疾病保险金</w:t>
            </w:r>
          </w:p>
          <w:p>
            <w:pPr>
              <w:pStyle w:val="TableParagraph"/>
              <w:spacing w:line="273" w:lineRule="auto" w:before="113"/>
              <w:ind w:left="271" w:right="252"/>
              <w:jc w:val="both"/>
              <w:rPr>
                <w:sz w:val="21"/>
              </w:rPr>
            </w:pPr>
            <w:r>
              <w:rPr>
                <w:sz w:val="21"/>
              </w:rPr>
              <w:t>我们给付首次重大疾病保险金后，若被保险人自首次重大疾病确诊</w:t>
            </w:r>
            <w:r>
              <w:rPr>
                <w:spacing w:val="-11"/>
                <w:sz w:val="21"/>
              </w:rPr>
              <w:t>之日起一年后，经约定医院确诊初次发生本合同第 </w:t>
            </w:r>
            <w:r>
              <w:rPr>
                <w:sz w:val="21"/>
              </w:rPr>
              <w:t>10</w:t>
            </w:r>
            <w:r>
              <w:rPr>
                <w:spacing w:val="-9"/>
                <w:sz w:val="21"/>
              </w:rPr>
              <w:t> 条定义的首次</w:t>
            </w:r>
            <w:r>
              <w:rPr>
                <w:sz w:val="21"/>
              </w:rPr>
              <w:t>重大疾病所属组别以外的其他组别中的任何一种重大疾病，我们按</w:t>
            </w:r>
            <w:r>
              <w:rPr>
                <w:spacing w:val="-3"/>
                <w:sz w:val="21"/>
              </w:rPr>
              <w:t>本合同的基本保险金额给付第二次重大疾病保险金。</w:t>
            </w:r>
          </w:p>
          <w:p>
            <w:pPr>
              <w:pStyle w:val="TableParagraph"/>
              <w:spacing w:before="87"/>
              <w:ind w:left="271"/>
              <w:rPr>
                <w:sz w:val="21"/>
              </w:rPr>
            </w:pPr>
            <w:r>
              <w:rPr>
                <w:sz w:val="21"/>
              </w:rPr>
              <w:t>（3）第三次重大疾病保险金</w:t>
            </w:r>
          </w:p>
          <w:p>
            <w:pPr>
              <w:pStyle w:val="TableParagraph"/>
              <w:spacing w:line="273" w:lineRule="auto" w:before="114"/>
              <w:ind w:left="271" w:right="252"/>
              <w:jc w:val="both"/>
              <w:rPr>
                <w:sz w:val="21"/>
              </w:rPr>
            </w:pPr>
            <w:r>
              <w:rPr>
                <w:sz w:val="21"/>
              </w:rPr>
              <w:t>我们给付第二次重大疾病保险金后，若被保险人自第二次重大疾病</w:t>
            </w:r>
            <w:r>
              <w:rPr>
                <w:spacing w:val="-11"/>
                <w:sz w:val="21"/>
              </w:rPr>
              <w:t>确诊之日起一年后，经约定医院确诊初次发生本合同第 </w:t>
            </w:r>
            <w:r>
              <w:rPr>
                <w:sz w:val="21"/>
              </w:rPr>
              <w:t>10</w:t>
            </w:r>
            <w:r>
              <w:rPr>
                <w:spacing w:val="-10"/>
                <w:sz w:val="21"/>
              </w:rPr>
              <w:t> 条定义的首次重大疾病以及第二次重大疾病所属组别以外的其他组别中的任何一种重大疾病，我们按本合同的基本保险金额给付第三次重大疾</w:t>
            </w:r>
            <w:r>
              <w:rPr>
                <w:spacing w:val="-5"/>
                <w:sz w:val="21"/>
              </w:rPr>
              <w:t>病保险金，本合同终止。</w:t>
            </w:r>
          </w:p>
        </w:tc>
      </w:tr>
      <w:tr>
        <w:trPr>
          <w:trHeight w:val="5092" w:hRule="atLeast"/>
        </w:trPr>
        <w:tc>
          <w:tcPr>
            <w:tcW w:w="944" w:type="dxa"/>
          </w:tcPr>
          <w:p>
            <w:pPr>
              <w:pStyle w:val="TableParagraph"/>
              <w:ind w:left="0"/>
              <w:rPr>
                <w:rFonts w:ascii="Times New Roman"/>
                <w:sz w:val="20"/>
              </w:rPr>
            </w:pPr>
          </w:p>
        </w:tc>
        <w:tc>
          <w:tcPr>
            <w:tcW w:w="2172" w:type="dxa"/>
          </w:tcPr>
          <w:p>
            <w:pPr>
              <w:pStyle w:val="TableParagraph"/>
              <w:spacing w:before="49"/>
              <w:ind w:left="427"/>
              <w:rPr>
                <w:sz w:val="21"/>
              </w:rPr>
            </w:pPr>
            <w:r>
              <w:rPr>
                <w:sz w:val="21"/>
              </w:rPr>
              <w:t>轻症疾病保险金</w:t>
            </w:r>
          </w:p>
        </w:tc>
        <w:tc>
          <w:tcPr>
            <w:tcW w:w="6671" w:type="dxa"/>
          </w:tcPr>
          <w:p>
            <w:pPr>
              <w:pStyle w:val="TableParagraph"/>
              <w:spacing w:before="49"/>
              <w:ind w:left="271"/>
              <w:rPr>
                <w:sz w:val="21"/>
              </w:rPr>
            </w:pPr>
            <w:r>
              <w:rPr>
                <w:sz w:val="21"/>
              </w:rPr>
              <w:t>（1）首次轻症疾病保险金</w:t>
            </w:r>
          </w:p>
          <w:p>
            <w:pPr>
              <w:pStyle w:val="TableParagraph"/>
              <w:spacing w:before="116"/>
              <w:ind w:left="271"/>
              <w:rPr>
                <w:sz w:val="21"/>
              </w:rPr>
            </w:pPr>
            <w:r>
              <w:rPr>
                <w:sz w:val="21"/>
              </w:rPr>
              <w:t>若被保险人于等待期后，至年满 80 周岁后的首个保单周年日之前，</w:t>
            </w:r>
          </w:p>
          <w:p>
            <w:pPr>
              <w:pStyle w:val="TableParagraph"/>
              <w:spacing w:line="273" w:lineRule="auto" w:before="37"/>
              <w:ind w:left="271" w:right="252"/>
              <w:jc w:val="both"/>
              <w:rPr>
                <w:sz w:val="21"/>
              </w:rPr>
            </w:pPr>
            <w:r>
              <w:rPr>
                <w:spacing w:val="-6"/>
                <w:sz w:val="21"/>
              </w:rPr>
              <w:t>经约定医院确诊初次发生符合本合同第 </w:t>
            </w:r>
            <w:r>
              <w:rPr>
                <w:sz w:val="21"/>
              </w:rPr>
              <w:t>11</w:t>
            </w:r>
            <w:r>
              <w:rPr>
                <w:spacing w:val="-15"/>
                <w:sz w:val="21"/>
              </w:rPr>
              <w:t> 条定义的轻症疾病</w:t>
            </w:r>
            <w:r>
              <w:rPr>
                <w:spacing w:val="-3"/>
                <w:sz w:val="21"/>
              </w:rPr>
              <w:t>（</w:t>
            </w:r>
            <w:r>
              <w:rPr>
                <w:sz w:val="21"/>
              </w:rPr>
              <w:t>无论</w:t>
            </w:r>
            <w:r>
              <w:rPr>
                <w:spacing w:val="-2"/>
                <w:sz w:val="21"/>
              </w:rPr>
              <w:t>一种或多种</w:t>
            </w:r>
            <w:r>
              <w:rPr>
                <w:spacing w:val="-68"/>
                <w:sz w:val="21"/>
              </w:rPr>
              <w:t>）</w:t>
            </w:r>
            <w:r>
              <w:rPr>
                <w:spacing w:val="-11"/>
                <w:sz w:val="21"/>
              </w:rPr>
              <w:t>，且未达到领取重大疾病保险金的标准时，我们按本合</w:t>
            </w:r>
            <w:r>
              <w:rPr>
                <w:spacing w:val="-9"/>
                <w:sz w:val="21"/>
              </w:rPr>
              <w:t>同的基本保险金额的 </w:t>
            </w:r>
            <w:r>
              <w:rPr>
                <w:sz w:val="21"/>
              </w:rPr>
              <w:t>20</w:t>
            </w:r>
            <w:r>
              <w:rPr>
                <w:spacing w:val="-3"/>
                <w:sz w:val="21"/>
              </w:rPr>
              <w:t>%给付首次轻症疾病保险金。</w:t>
            </w:r>
          </w:p>
          <w:p>
            <w:pPr>
              <w:pStyle w:val="TableParagraph"/>
              <w:spacing w:before="84"/>
              <w:ind w:left="271"/>
              <w:rPr>
                <w:sz w:val="21"/>
              </w:rPr>
            </w:pPr>
            <w:r>
              <w:rPr>
                <w:sz w:val="21"/>
              </w:rPr>
              <w:t>（2）第二次轻症疾病保险金</w:t>
            </w:r>
          </w:p>
          <w:p>
            <w:pPr>
              <w:pStyle w:val="TableParagraph"/>
              <w:spacing w:line="273" w:lineRule="auto" w:before="115"/>
              <w:ind w:left="271" w:right="254"/>
              <w:jc w:val="both"/>
              <w:rPr>
                <w:sz w:val="21"/>
              </w:rPr>
            </w:pPr>
            <w:r>
              <w:rPr>
                <w:sz w:val="21"/>
              </w:rPr>
              <w:t>我们给付首次轻症疾病保险金后，若被保险人自首次轻症疾病确诊</w:t>
            </w:r>
            <w:r>
              <w:rPr>
                <w:spacing w:val="-11"/>
                <w:sz w:val="21"/>
              </w:rPr>
              <w:t>之日起一年后，经约定医院确诊初次发生本合同第 </w:t>
            </w:r>
            <w:r>
              <w:rPr>
                <w:sz w:val="21"/>
              </w:rPr>
              <w:t>11</w:t>
            </w:r>
            <w:r>
              <w:rPr>
                <w:spacing w:val="-8"/>
                <w:sz w:val="21"/>
              </w:rPr>
              <w:t> 条定义的首次轻症疾病所属组别以外的其他组别中的任何一种轻症疾病，我们按</w:t>
            </w:r>
            <w:r>
              <w:rPr>
                <w:spacing w:val="-7"/>
                <w:sz w:val="21"/>
              </w:rPr>
              <w:t>本合同的基本保险金额的 </w:t>
            </w:r>
            <w:r>
              <w:rPr>
                <w:sz w:val="21"/>
              </w:rPr>
              <w:t>20%</w:t>
            </w:r>
            <w:r>
              <w:rPr>
                <w:spacing w:val="-3"/>
                <w:sz w:val="21"/>
              </w:rPr>
              <w:t>给付第二次轻症疾病保险金。</w:t>
            </w:r>
          </w:p>
          <w:p>
            <w:pPr>
              <w:pStyle w:val="TableParagraph"/>
              <w:spacing w:before="84"/>
              <w:ind w:left="271"/>
              <w:rPr>
                <w:sz w:val="21"/>
              </w:rPr>
            </w:pPr>
            <w:r>
              <w:rPr>
                <w:sz w:val="21"/>
              </w:rPr>
              <w:t>（3）第三次轻症疾病保险金</w:t>
            </w:r>
          </w:p>
          <w:p>
            <w:pPr>
              <w:pStyle w:val="TableParagraph"/>
              <w:spacing w:line="273" w:lineRule="auto" w:before="116"/>
              <w:ind w:left="271" w:right="252"/>
              <w:rPr>
                <w:sz w:val="21"/>
              </w:rPr>
            </w:pPr>
            <w:r>
              <w:rPr>
                <w:sz w:val="21"/>
              </w:rPr>
              <w:t>我们给付第二次轻症疾病保险金后，若被保险人自第二次轻症疾病</w:t>
            </w:r>
            <w:r>
              <w:rPr>
                <w:spacing w:val="-11"/>
                <w:sz w:val="21"/>
              </w:rPr>
              <w:t>确诊之日起一年后，经约定医院确诊初次发生本合同第 </w:t>
            </w:r>
            <w:r>
              <w:rPr>
                <w:sz w:val="21"/>
              </w:rPr>
              <w:t>11</w:t>
            </w:r>
            <w:r>
              <w:rPr>
                <w:spacing w:val="-10"/>
                <w:sz w:val="21"/>
              </w:rPr>
              <w:t> 条定义的</w:t>
            </w:r>
          </w:p>
          <w:p>
            <w:pPr>
              <w:pStyle w:val="TableParagraph"/>
              <w:spacing w:line="312" w:lineRule="exact" w:before="3"/>
              <w:ind w:left="271" w:right="252"/>
              <w:rPr>
                <w:sz w:val="21"/>
              </w:rPr>
            </w:pPr>
            <w:r>
              <w:rPr>
                <w:sz w:val="21"/>
              </w:rPr>
              <w:t>首次轻症疾病以及第二次轻症疾病所属组别以外的其他组别中的任何一种轻症疾病，我们按本合同的基本保险金额的 20%给付第三次</w:t>
            </w:r>
          </w:p>
        </w:tc>
      </w:tr>
    </w:tbl>
    <w:p>
      <w:pPr>
        <w:spacing w:after="0" w:line="312" w:lineRule="exact"/>
        <w:rPr>
          <w:sz w:val="21"/>
        </w:rPr>
        <w:sectPr>
          <w:pgSz w:w="11910" w:h="16840"/>
          <w:pgMar w:top="1460" w:bottom="280" w:left="980" w:right="92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2337"/>
        <w:gridCol w:w="6558"/>
      </w:tblGrid>
      <w:tr>
        <w:trPr>
          <w:trHeight w:val="332" w:hRule="atLeast"/>
        </w:trPr>
        <w:tc>
          <w:tcPr>
            <w:tcW w:w="944" w:type="dxa"/>
          </w:tcPr>
          <w:p>
            <w:pPr>
              <w:pStyle w:val="TableParagraph"/>
              <w:ind w:left="0"/>
              <w:rPr>
                <w:rFonts w:ascii="Times New Roman"/>
                <w:sz w:val="20"/>
              </w:rPr>
            </w:pPr>
          </w:p>
        </w:tc>
        <w:tc>
          <w:tcPr>
            <w:tcW w:w="2337" w:type="dxa"/>
          </w:tcPr>
          <w:p>
            <w:pPr>
              <w:pStyle w:val="TableParagraph"/>
              <w:ind w:left="0"/>
              <w:rPr>
                <w:rFonts w:ascii="Times New Roman"/>
                <w:sz w:val="20"/>
              </w:rPr>
            </w:pPr>
          </w:p>
        </w:tc>
        <w:tc>
          <w:tcPr>
            <w:tcW w:w="6558" w:type="dxa"/>
          </w:tcPr>
          <w:p>
            <w:pPr>
              <w:pStyle w:val="TableParagraph"/>
              <w:spacing w:line="203" w:lineRule="exact"/>
              <w:ind w:left="106"/>
              <w:rPr>
                <w:sz w:val="21"/>
              </w:rPr>
            </w:pPr>
            <w:r>
              <w:rPr>
                <w:sz w:val="21"/>
              </w:rPr>
              <w:t>轻症疾病保险金，轻症疾病保险金的保险责任终止。</w:t>
            </w:r>
          </w:p>
        </w:tc>
      </w:tr>
      <w:tr>
        <w:trPr>
          <w:trHeight w:val="4354" w:hRule="atLeast"/>
        </w:trPr>
        <w:tc>
          <w:tcPr>
            <w:tcW w:w="944" w:type="dxa"/>
          </w:tcPr>
          <w:p>
            <w:pPr>
              <w:pStyle w:val="TableParagraph"/>
              <w:ind w:left="0"/>
              <w:rPr>
                <w:rFonts w:ascii="Times New Roman"/>
                <w:sz w:val="20"/>
              </w:rPr>
            </w:pPr>
          </w:p>
        </w:tc>
        <w:tc>
          <w:tcPr>
            <w:tcW w:w="2337" w:type="dxa"/>
          </w:tcPr>
          <w:p>
            <w:pPr>
              <w:pStyle w:val="TableParagraph"/>
              <w:spacing w:line="273" w:lineRule="auto" w:before="49"/>
              <w:ind w:left="427" w:right="227"/>
              <w:rPr>
                <w:sz w:val="21"/>
              </w:rPr>
            </w:pPr>
            <w:r>
              <w:rPr>
                <w:sz w:val="21"/>
              </w:rPr>
              <w:t>特定重大疾病保险金</w:t>
            </w:r>
          </w:p>
        </w:tc>
        <w:tc>
          <w:tcPr>
            <w:tcW w:w="6558" w:type="dxa"/>
          </w:tcPr>
          <w:p>
            <w:pPr>
              <w:pStyle w:val="TableParagraph"/>
              <w:spacing w:before="49"/>
              <w:ind w:left="106"/>
              <w:rPr>
                <w:sz w:val="21"/>
              </w:rPr>
            </w:pPr>
            <w:r>
              <w:rPr>
                <w:sz w:val="21"/>
              </w:rPr>
              <w:t>(1)若被保险人在 18 周岁的保单周年日之前，于等待期后经约定医</w:t>
            </w:r>
          </w:p>
          <w:p>
            <w:pPr>
              <w:pStyle w:val="TableParagraph"/>
              <w:spacing w:line="273" w:lineRule="auto" w:before="37"/>
              <w:ind w:left="106" w:right="304"/>
              <w:jc w:val="both"/>
              <w:rPr>
                <w:sz w:val="21"/>
              </w:rPr>
            </w:pPr>
            <w:r>
              <w:rPr>
                <w:spacing w:val="-6"/>
                <w:sz w:val="21"/>
              </w:rPr>
              <w:t>院确诊初次发生符合本合同第 </w:t>
            </w:r>
            <w:r>
              <w:rPr>
                <w:sz w:val="21"/>
              </w:rPr>
              <w:t>12</w:t>
            </w:r>
            <w:r>
              <w:rPr>
                <w:spacing w:val="-12"/>
                <w:sz w:val="21"/>
              </w:rPr>
              <w:t> 条定义的少儿特定重大疾病</w:t>
            </w:r>
            <w:r>
              <w:rPr>
                <w:spacing w:val="-3"/>
                <w:sz w:val="21"/>
              </w:rPr>
              <w:t>（</w:t>
            </w:r>
            <w:r>
              <w:rPr>
                <w:sz w:val="21"/>
              </w:rPr>
              <w:t>无论</w:t>
            </w:r>
            <w:r>
              <w:rPr>
                <w:spacing w:val="-2"/>
                <w:sz w:val="21"/>
              </w:rPr>
              <w:t>一种或多种</w:t>
            </w:r>
            <w:r>
              <w:rPr>
                <w:spacing w:val="-68"/>
                <w:sz w:val="21"/>
              </w:rPr>
              <w:t>）</w:t>
            </w:r>
            <w:r>
              <w:rPr>
                <w:spacing w:val="-12"/>
                <w:sz w:val="21"/>
              </w:rPr>
              <w:t>，在给付首次重大疾病保险金时，我们还按本合同的基</w:t>
            </w:r>
            <w:r>
              <w:rPr>
                <w:spacing w:val="-4"/>
                <w:sz w:val="21"/>
              </w:rPr>
              <w:t>本保险金额的 </w:t>
            </w:r>
            <w:r>
              <w:rPr>
                <w:sz w:val="21"/>
              </w:rPr>
              <w:t>50%额外给付特定重大疾病保险金，特定重大疾病保</w:t>
            </w:r>
            <w:r>
              <w:rPr>
                <w:spacing w:val="-3"/>
                <w:sz w:val="21"/>
              </w:rPr>
              <w:t>险金的保险责任终止；</w:t>
            </w:r>
          </w:p>
          <w:p>
            <w:pPr>
              <w:pStyle w:val="TableParagraph"/>
              <w:spacing w:before="84"/>
              <w:ind w:left="106"/>
              <w:rPr>
                <w:sz w:val="21"/>
              </w:rPr>
            </w:pPr>
            <w:r>
              <w:rPr>
                <w:sz w:val="21"/>
              </w:rPr>
              <w:t>(2)若被保险人在 18 周岁的保单周年日及以后，于等待期后，至年</w:t>
            </w:r>
          </w:p>
          <w:p>
            <w:pPr>
              <w:pStyle w:val="TableParagraph"/>
              <w:spacing w:before="36"/>
              <w:ind w:left="106"/>
              <w:rPr>
                <w:sz w:val="21"/>
              </w:rPr>
            </w:pPr>
            <w:r>
              <w:rPr>
                <w:sz w:val="21"/>
              </w:rPr>
              <w:t>满 80 周岁后的首个保单周年日之前，经约定医院确诊初次发生符合</w:t>
            </w:r>
          </w:p>
          <w:p>
            <w:pPr>
              <w:pStyle w:val="TableParagraph"/>
              <w:spacing w:line="273" w:lineRule="auto" w:before="36"/>
              <w:ind w:left="106" w:right="304"/>
              <w:jc w:val="both"/>
              <w:rPr>
                <w:sz w:val="21"/>
              </w:rPr>
            </w:pPr>
            <w:r>
              <w:rPr>
                <w:spacing w:val="-9"/>
                <w:sz w:val="21"/>
              </w:rPr>
              <w:t>本合同第 </w:t>
            </w:r>
            <w:r>
              <w:rPr>
                <w:sz w:val="21"/>
              </w:rPr>
              <w:t>12</w:t>
            </w:r>
            <w:r>
              <w:rPr>
                <w:spacing w:val="-11"/>
                <w:sz w:val="21"/>
              </w:rPr>
              <w:t> 条定义的男性特定重大疾病或女性特定重大疾病</w:t>
            </w:r>
            <w:r>
              <w:rPr>
                <w:spacing w:val="-3"/>
                <w:sz w:val="21"/>
              </w:rPr>
              <w:t>（</w:t>
            </w:r>
            <w:r>
              <w:rPr>
                <w:sz w:val="21"/>
              </w:rPr>
              <w:t>无论</w:t>
            </w:r>
            <w:r>
              <w:rPr>
                <w:spacing w:val="-2"/>
                <w:sz w:val="21"/>
              </w:rPr>
              <w:t>一种或多种</w:t>
            </w:r>
            <w:r>
              <w:rPr>
                <w:spacing w:val="-68"/>
                <w:sz w:val="21"/>
              </w:rPr>
              <w:t>）</w:t>
            </w:r>
            <w:r>
              <w:rPr>
                <w:spacing w:val="-12"/>
                <w:sz w:val="21"/>
              </w:rPr>
              <w:t>，在给付首次重大疾病保险金时，我们还按本合同的基</w:t>
            </w:r>
            <w:r>
              <w:rPr>
                <w:spacing w:val="-4"/>
                <w:sz w:val="21"/>
              </w:rPr>
              <w:t>本保险金额的 </w:t>
            </w:r>
            <w:r>
              <w:rPr>
                <w:sz w:val="21"/>
              </w:rPr>
              <w:t>50%额外给付特定重大疾病保险金，特定重大疾病保</w:t>
            </w:r>
            <w:r>
              <w:rPr>
                <w:spacing w:val="-3"/>
                <w:sz w:val="21"/>
              </w:rPr>
              <w:t>险金的保险责任终止。</w:t>
            </w:r>
          </w:p>
          <w:p>
            <w:pPr>
              <w:pStyle w:val="TableParagraph"/>
              <w:spacing w:line="273" w:lineRule="auto" w:before="86"/>
              <w:ind w:left="106" w:right="307"/>
              <w:jc w:val="both"/>
              <w:rPr>
                <w:rFonts w:ascii="黑体" w:eastAsia="黑体" w:hint="eastAsia"/>
                <w:sz w:val="21"/>
              </w:rPr>
            </w:pPr>
            <w:r>
              <w:rPr>
                <w:rFonts w:ascii="黑体" w:eastAsia="黑体" w:hint="eastAsia"/>
                <w:sz w:val="21"/>
              </w:rPr>
              <w:t>我们在给付第二次重大疾病保险金和第三次重大疾病保险金时，不给付特定重大疾病保险金。</w:t>
            </w:r>
          </w:p>
        </w:tc>
      </w:tr>
      <w:tr>
        <w:trPr>
          <w:trHeight w:val="2405" w:hRule="atLeast"/>
        </w:trPr>
        <w:tc>
          <w:tcPr>
            <w:tcW w:w="944" w:type="dxa"/>
          </w:tcPr>
          <w:p>
            <w:pPr>
              <w:pStyle w:val="TableParagraph"/>
              <w:ind w:left="0"/>
              <w:rPr>
                <w:rFonts w:ascii="Times New Roman"/>
                <w:sz w:val="20"/>
              </w:rPr>
            </w:pPr>
          </w:p>
        </w:tc>
        <w:tc>
          <w:tcPr>
            <w:tcW w:w="2337" w:type="dxa"/>
          </w:tcPr>
          <w:p>
            <w:pPr>
              <w:pStyle w:val="TableParagraph"/>
              <w:spacing w:line="273" w:lineRule="auto" w:before="49"/>
              <w:ind w:left="427" w:right="105"/>
              <w:jc w:val="both"/>
              <w:rPr>
                <w:sz w:val="21"/>
              </w:rPr>
            </w:pPr>
            <w:r>
              <w:rPr>
                <w:spacing w:val="-13"/>
                <w:sz w:val="21"/>
              </w:rPr>
              <w:t>身故保险金、全残保</w:t>
            </w:r>
            <w:r>
              <w:rPr>
                <w:spacing w:val="-16"/>
                <w:sz w:val="21"/>
              </w:rPr>
              <w:t>险金、生命末期保险金</w:t>
            </w:r>
          </w:p>
        </w:tc>
        <w:tc>
          <w:tcPr>
            <w:tcW w:w="6558" w:type="dxa"/>
          </w:tcPr>
          <w:p>
            <w:pPr>
              <w:pStyle w:val="TableParagraph"/>
              <w:spacing w:line="273" w:lineRule="auto" w:before="49"/>
              <w:ind w:left="106" w:right="198"/>
              <w:rPr>
                <w:sz w:val="21"/>
              </w:rPr>
            </w:pPr>
            <w:r>
              <w:rPr>
                <w:sz w:val="21"/>
              </w:rPr>
              <w:t>(1)</w:t>
            </w:r>
            <w:r>
              <w:rPr>
                <w:spacing w:val="-9"/>
                <w:sz w:val="21"/>
              </w:rPr>
              <w:t>若被保险人在 </w:t>
            </w:r>
            <w:r>
              <w:rPr>
                <w:sz w:val="21"/>
              </w:rPr>
              <w:t>18</w:t>
            </w:r>
            <w:r>
              <w:rPr>
                <w:spacing w:val="-10"/>
                <w:sz w:val="21"/>
              </w:rPr>
              <w:t> 周岁的保单周年日之前身故、</w:t>
            </w:r>
            <w:r>
              <w:rPr>
                <w:b/>
                <w:spacing w:val="-15"/>
                <w:sz w:val="21"/>
              </w:rPr>
              <w:t>全残</w:t>
            </w:r>
            <w:r>
              <w:rPr>
                <w:sz w:val="21"/>
              </w:rPr>
              <w:t>（</w:t>
            </w:r>
            <w:r>
              <w:rPr>
                <w:spacing w:val="-3"/>
                <w:sz w:val="21"/>
              </w:rPr>
              <w:t>详见释义</w:t>
            </w:r>
            <w:r>
              <w:rPr>
                <w:sz w:val="21"/>
              </w:rPr>
              <w:t>） 或经约定医院诊断确定符合</w:t>
            </w:r>
            <w:r>
              <w:rPr>
                <w:b/>
                <w:sz w:val="21"/>
              </w:rPr>
              <w:t>生命末期疾病</w:t>
            </w:r>
            <w:r>
              <w:rPr>
                <w:sz w:val="21"/>
              </w:rPr>
              <w:t>（详见释义）状态的，我们按您已支付的保险费给付身故保险金、全残保险金或生命末期保</w:t>
            </w:r>
            <w:r>
              <w:rPr>
                <w:spacing w:val="-3"/>
                <w:sz w:val="21"/>
              </w:rPr>
              <w:t>险金，本合同终止；</w:t>
            </w:r>
          </w:p>
          <w:p>
            <w:pPr>
              <w:pStyle w:val="TableParagraph"/>
              <w:spacing w:line="273" w:lineRule="auto" w:before="87"/>
              <w:ind w:left="106" w:right="301"/>
              <w:jc w:val="both"/>
              <w:rPr>
                <w:sz w:val="21"/>
              </w:rPr>
            </w:pPr>
            <w:r>
              <w:rPr>
                <w:sz w:val="21"/>
              </w:rPr>
              <w:t>(2)</w:t>
            </w:r>
            <w:r>
              <w:rPr>
                <w:spacing w:val="-6"/>
                <w:sz w:val="21"/>
              </w:rPr>
              <w:t>若被保险人在 </w:t>
            </w:r>
            <w:r>
              <w:rPr>
                <w:sz w:val="21"/>
              </w:rPr>
              <w:t>18</w:t>
            </w:r>
            <w:r>
              <w:rPr>
                <w:spacing w:val="-5"/>
                <w:sz w:val="21"/>
              </w:rPr>
              <w:t> 周岁的保单周年日及以后身故、全残或经约定医院诊断确定符合生命末期疾病状态的，我们按基本保险金额给付</w:t>
            </w:r>
            <w:r>
              <w:rPr>
                <w:spacing w:val="-3"/>
                <w:sz w:val="21"/>
              </w:rPr>
              <w:t>身故保险金、全残保险金或生命末期保险金，本合同终止。</w:t>
            </w:r>
          </w:p>
        </w:tc>
      </w:tr>
      <w:tr>
        <w:trPr>
          <w:trHeight w:val="4354" w:hRule="atLeast"/>
        </w:trPr>
        <w:tc>
          <w:tcPr>
            <w:tcW w:w="944" w:type="dxa"/>
          </w:tcPr>
          <w:p>
            <w:pPr>
              <w:pStyle w:val="TableParagraph"/>
              <w:ind w:left="0"/>
              <w:rPr>
                <w:rFonts w:ascii="Times New Roman"/>
                <w:sz w:val="20"/>
              </w:rPr>
            </w:pPr>
          </w:p>
        </w:tc>
        <w:tc>
          <w:tcPr>
            <w:tcW w:w="2337" w:type="dxa"/>
          </w:tcPr>
          <w:p>
            <w:pPr>
              <w:pStyle w:val="TableParagraph"/>
              <w:spacing w:before="49"/>
              <w:ind w:left="427"/>
              <w:rPr>
                <w:sz w:val="21"/>
              </w:rPr>
            </w:pPr>
            <w:r>
              <w:rPr>
                <w:sz w:val="21"/>
              </w:rPr>
              <w:t>长期护理保险金</w:t>
            </w:r>
          </w:p>
        </w:tc>
        <w:tc>
          <w:tcPr>
            <w:tcW w:w="6558" w:type="dxa"/>
          </w:tcPr>
          <w:p>
            <w:pPr>
              <w:pStyle w:val="TableParagraph"/>
              <w:spacing w:line="273" w:lineRule="auto" w:before="49"/>
              <w:ind w:left="106" w:right="201"/>
              <w:rPr>
                <w:sz w:val="21"/>
              </w:rPr>
            </w:pPr>
            <w:r>
              <w:rPr>
                <w:spacing w:val="-9"/>
                <w:sz w:val="21"/>
              </w:rPr>
              <w:t>若被保险人年满 </w:t>
            </w:r>
            <w:r>
              <w:rPr>
                <w:sz w:val="21"/>
              </w:rPr>
              <w:t>60</w:t>
            </w:r>
            <w:r>
              <w:rPr>
                <w:spacing w:val="-12"/>
                <w:sz w:val="21"/>
              </w:rPr>
              <w:t> 周岁的首个保单周年日及以后，初次发生并被认定为自主生活能力完全丧失，即无法独立完成</w:t>
            </w:r>
            <w:r>
              <w:rPr>
                <w:b/>
                <w:spacing w:val="-12"/>
                <w:sz w:val="21"/>
              </w:rPr>
              <w:t>六项基本日常生活活</w:t>
            </w:r>
            <w:r>
              <w:rPr>
                <w:b/>
                <w:spacing w:val="-17"/>
                <w:sz w:val="21"/>
              </w:rPr>
              <w:t>动</w:t>
            </w:r>
            <w:r>
              <w:rPr>
                <w:spacing w:val="-3"/>
                <w:sz w:val="21"/>
              </w:rPr>
              <w:t>（详见释义</w:t>
            </w:r>
            <w:r>
              <w:rPr>
                <w:spacing w:val="-20"/>
                <w:sz w:val="21"/>
              </w:rPr>
              <w:t>）</w:t>
            </w:r>
            <w:r>
              <w:rPr>
                <w:spacing w:val="-7"/>
                <w:sz w:val="21"/>
              </w:rPr>
              <w:t>中的三项或三项以上，且该状态持续 </w:t>
            </w:r>
            <w:r>
              <w:rPr>
                <w:sz w:val="21"/>
              </w:rPr>
              <w:t>180</w:t>
            </w:r>
            <w:r>
              <w:rPr>
                <w:spacing w:val="-10"/>
                <w:sz w:val="21"/>
              </w:rPr>
              <w:t> 天以上的， 我们将自被保险人被认定为自主生活能力完全丧失后的下一个</w:t>
            </w:r>
            <w:r>
              <w:rPr>
                <w:b/>
                <w:spacing w:val="-10"/>
                <w:sz w:val="21"/>
              </w:rPr>
              <w:t>保单周月日</w:t>
            </w:r>
            <w:r>
              <w:rPr>
                <w:spacing w:val="-10"/>
                <w:sz w:val="21"/>
              </w:rPr>
              <w:t>（详见释义）起，在每个保单周月日按本合同基本保险金额的一百二十分之一给付长期护理保险金，连续给付十年，共计一百</w:t>
            </w:r>
            <w:r>
              <w:rPr>
                <w:spacing w:val="-6"/>
                <w:sz w:val="21"/>
              </w:rPr>
              <w:t>二十次。</w:t>
            </w:r>
          </w:p>
          <w:p>
            <w:pPr>
              <w:pStyle w:val="TableParagraph"/>
              <w:spacing w:line="273" w:lineRule="auto" w:before="84"/>
              <w:ind w:left="106" w:right="305"/>
              <w:jc w:val="both"/>
              <w:rPr>
                <w:sz w:val="21"/>
              </w:rPr>
            </w:pPr>
            <w:r>
              <w:rPr>
                <w:sz w:val="21"/>
              </w:rPr>
              <w:t>若被保险人在长期护理保险金给付期间全残、符合生命末期疾病状态或被确诊患有重大疾病，则未给付的长期护理保险金将一次性给付给被保险人；若被保险人在长期护理保险金给付期间身故，则未给付的长期护理保险金将一次性给付给被保险人的继承人。</w:t>
            </w:r>
          </w:p>
          <w:p>
            <w:pPr>
              <w:pStyle w:val="TableParagraph"/>
              <w:spacing w:line="273" w:lineRule="auto" w:before="86"/>
              <w:ind w:left="106" w:right="304"/>
              <w:rPr>
                <w:sz w:val="21"/>
              </w:rPr>
            </w:pPr>
            <w:r>
              <w:rPr>
                <w:sz w:val="21"/>
              </w:rPr>
              <w:t>自我们同意给付长期护理保险金之日起，本合同终止，但本项保险金给付责任将延续至长期护理保险金完全给付时止。</w:t>
            </w:r>
          </w:p>
        </w:tc>
      </w:tr>
      <w:tr>
        <w:trPr>
          <w:trHeight w:val="1077" w:hRule="atLeast"/>
        </w:trPr>
        <w:tc>
          <w:tcPr>
            <w:tcW w:w="944" w:type="dxa"/>
          </w:tcPr>
          <w:p>
            <w:pPr>
              <w:pStyle w:val="TableParagraph"/>
              <w:ind w:left="0"/>
              <w:rPr>
                <w:rFonts w:ascii="Times New Roman"/>
                <w:sz w:val="20"/>
              </w:rPr>
            </w:pPr>
          </w:p>
        </w:tc>
        <w:tc>
          <w:tcPr>
            <w:tcW w:w="2337" w:type="dxa"/>
          </w:tcPr>
          <w:p>
            <w:pPr>
              <w:pStyle w:val="TableParagraph"/>
              <w:ind w:left="0"/>
              <w:rPr>
                <w:rFonts w:ascii="Times New Roman"/>
                <w:sz w:val="20"/>
              </w:rPr>
            </w:pPr>
          </w:p>
        </w:tc>
        <w:tc>
          <w:tcPr>
            <w:tcW w:w="6558" w:type="dxa"/>
          </w:tcPr>
          <w:p>
            <w:pPr>
              <w:pStyle w:val="TableParagraph"/>
              <w:spacing w:line="273" w:lineRule="auto" w:before="49"/>
              <w:ind w:left="106" w:right="304"/>
              <w:jc w:val="both"/>
              <w:rPr>
                <w:rFonts w:ascii="黑体" w:hAnsi="黑体" w:eastAsia="黑体" w:hint="eastAsia"/>
                <w:sz w:val="21"/>
              </w:rPr>
            </w:pPr>
            <w:r>
              <w:rPr>
                <w:rFonts w:ascii="黑体" w:hAnsi="黑体" w:eastAsia="黑体" w:hint="eastAsia"/>
                <w:spacing w:val="-28"/>
                <w:sz w:val="21"/>
              </w:rPr>
              <w:t>前述“重大疾病保险金”、“身故保险金”、“全残保险金”、“</w:t>
            </w:r>
            <w:r>
              <w:rPr>
                <w:rFonts w:ascii="黑体" w:hAnsi="黑体" w:eastAsia="黑体" w:hint="eastAsia"/>
                <w:sz w:val="21"/>
              </w:rPr>
              <w:t>Th命末期保险金”和“长期护理保险金”中，任意两项或数项不可兼得， </w:t>
            </w:r>
            <w:r>
              <w:rPr>
                <w:rFonts w:ascii="黑体" w:hAnsi="黑体" w:eastAsia="黑体" w:hint="eastAsia"/>
                <w:spacing w:val="-3"/>
                <w:sz w:val="21"/>
              </w:rPr>
              <w:t>即若我们给付其中任何一项保险金，则其他保险金均不再给付。</w:t>
            </w:r>
          </w:p>
        </w:tc>
      </w:tr>
      <w:tr>
        <w:trPr>
          <w:trHeight w:val="1268" w:hRule="atLeast"/>
        </w:trPr>
        <w:tc>
          <w:tcPr>
            <w:tcW w:w="944" w:type="dxa"/>
          </w:tcPr>
          <w:p>
            <w:pPr>
              <w:pStyle w:val="TableParagraph"/>
              <w:spacing w:before="49"/>
              <w:ind w:left="200"/>
              <w:rPr>
                <w:b/>
                <w:sz w:val="21"/>
              </w:rPr>
            </w:pPr>
            <w:r>
              <w:rPr>
                <w:b/>
                <w:sz w:val="21"/>
              </w:rPr>
              <w:t>2.5</w:t>
            </w:r>
          </w:p>
        </w:tc>
        <w:tc>
          <w:tcPr>
            <w:tcW w:w="2337" w:type="dxa"/>
          </w:tcPr>
          <w:p>
            <w:pPr>
              <w:pStyle w:val="TableParagraph"/>
              <w:spacing w:before="49"/>
              <w:ind w:left="427"/>
              <w:rPr>
                <w:b/>
                <w:sz w:val="21"/>
              </w:rPr>
            </w:pPr>
            <w:r>
              <w:rPr>
                <w:b/>
                <w:sz w:val="21"/>
              </w:rPr>
              <w:t>责任免除</w:t>
            </w:r>
          </w:p>
        </w:tc>
        <w:tc>
          <w:tcPr>
            <w:tcW w:w="6558" w:type="dxa"/>
          </w:tcPr>
          <w:p>
            <w:pPr>
              <w:pStyle w:val="TableParagraph"/>
              <w:spacing w:line="273" w:lineRule="auto" w:before="49"/>
              <w:ind w:left="106" w:right="304"/>
              <w:jc w:val="both"/>
              <w:rPr>
                <w:rFonts w:ascii="黑体" w:eastAsia="黑体" w:hint="eastAsia"/>
                <w:sz w:val="21"/>
              </w:rPr>
            </w:pPr>
            <w:r>
              <w:rPr>
                <w:rFonts w:ascii="黑体" w:eastAsia="黑体" w:hint="eastAsia"/>
                <w:sz w:val="21"/>
              </w:rPr>
              <w:t>1</w:t>
            </w:r>
            <w:r>
              <w:rPr>
                <w:rFonts w:ascii="黑体" w:eastAsia="黑体" w:hint="eastAsia"/>
                <w:spacing w:val="-7"/>
                <w:sz w:val="21"/>
              </w:rPr>
              <w:t>、因下列情形之一导致被保险人自主</w:t>
            </w:r>
            <w:r>
              <w:rPr>
                <w:rFonts w:ascii="黑体" w:eastAsia="黑体" w:hint="eastAsia"/>
                <w:sz w:val="21"/>
              </w:rPr>
              <w:t>Th</w:t>
            </w:r>
            <w:r>
              <w:rPr>
                <w:rFonts w:ascii="黑体" w:eastAsia="黑体" w:hint="eastAsia"/>
                <w:spacing w:val="-6"/>
                <w:sz w:val="21"/>
              </w:rPr>
              <w:t>活能力完全丧失、符合</w:t>
            </w:r>
            <w:r>
              <w:rPr>
                <w:rFonts w:ascii="黑体" w:eastAsia="黑体" w:hint="eastAsia"/>
                <w:sz w:val="21"/>
              </w:rPr>
              <w:t>Th命</w:t>
            </w:r>
            <w:r>
              <w:rPr>
                <w:rFonts w:ascii="黑体" w:eastAsia="黑体" w:hint="eastAsia"/>
                <w:spacing w:val="-3"/>
                <w:sz w:val="21"/>
              </w:rPr>
              <w:t>末期疾病状态、发</w:t>
            </w:r>
            <w:r>
              <w:rPr>
                <w:rFonts w:ascii="黑体" w:eastAsia="黑体" w:hint="eastAsia"/>
                <w:sz w:val="21"/>
              </w:rPr>
              <w:t>Th</w:t>
            </w:r>
            <w:r>
              <w:rPr>
                <w:rFonts w:ascii="黑体" w:eastAsia="黑体" w:hint="eastAsia"/>
                <w:spacing w:val="-3"/>
                <w:sz w:val="21"/>
              </w:rPr>
              <w:t>疾病、达到疾病状态或进行手术的，我们不承担给付长期护理保险金、</w:t>
            </w:r>
            <w:r>
              <w:rPr>
                <w:rFonts w:ascii="黑体" w:eastAsia="黑体" w:hint="eastAsia"/>
                <w:sz w:val="21"/>
              </w:rPr>
              <w:t>Th</w:t>
            </w:r>
            <w:r>
              <w:rPr>
                <w:rFonts w:ascii="黑体" w:eastAsia="黑体" w:hint="eastAsia"/>
                <w:spacing w:val="-3"/>
                <w:sz w:val="21"/>
              </w:rPr>
              <w:t>命末期保险金、重大疾病保险金、轻症</w:t>
            </w:r>
          </w:p>
          <w:p>
            <w:pPr>
              <w:pStyle w:val="TableParagraph"/>
              <w:spacing w:line="263" w:lineRule="exact" w:before="7"/>
              <w:ind w:left="106"/>
              <w:jc w:val="both"/>
              <w:rPr>
                <w:rFonts w:ascii="黑体" w:eastAsia="黑体" w:hint="eastAsia"/>
                <w:sz w:val="21"/>
              </w:rPr>
            </w:pPr>
            <w:r>
              <w:rPr>
                <w:rFonts w:ascii="黑体" w:eastAsia="黑体" w:hint="eastAsia"/>
                <w:sz w:val="21"/>
              </w:rPr>
              <w:t>疾病保险金和特定重大疾病保险金的责任：</w:t>
            </w:r>
          </w:p>
        </w:tc>
      </w:tr>
    </w:tbl>
    <w:p>
      <w:pPr>
        <w:spacing w:after="0" w:line="263" w:lineRule="exact"/>
        <w:jc w:val="both"/>
        <w:rPr>
          <w:rFonts w:ascii="黑体" w:eastAsia="黑体" w:hint="eastAsia"/>
          <w:sz w:val="21"/>
        </w:rPr>
        <w:sectPr>
          <w:pgSz w:w="11910" w:h="16840"/>
          <w:pgMar w:top="1460" w:bottom="280" w:left="980" w:right="8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2"/>
        <w:gridCol w:w="1752"/>
        <w:gridCol w:w="6939"/>
      </w:tblGrid>
      <w:tr>
        <w:trPr>
          <w:trHeight w:val="10543" w:hRule="atLeast"/>
        </w:trPr>
        <w:tc>
          <w:tcPr>
            <w:tcW w:w="852" w:type="dxa"/>
          </w:tcPr>
          <w:p>
            <w:pPr>
              <w:pStyle w:val="TableParagraph"/>
              <w:ind w:left="0"/>
              <w:rPr>
                <w:rFonts w:ascii="Times New Roman"/>
                <w:sz w:val="20"/>
              </w:rPr>
            </w:pPr>
          </w:p>
        </w:tc>
        <w:tc>
          <w:tcPr>
            <w:tcW w:w="1752" w:type="dxa"/>
          </w:tcPr>
          <w:p>
            <w:pPr>
              <w:pStyle w:val="TableParagraph"/>
              <w:ind w:left="0"/>
              <w:rPr>
                <w:rFonts w:ascii="Times New Roman"/>
                <w:sz w:val="20"/>
              </w:rPr>
            </w:pPr>
          </w:p>
        </w:tc>
        <w:tc>
          <w:tcPr>
            <w:tcW w:w="6939" w:type="dxa"/>
          </w:tcPr>
          <w:p>
            <w:pPr>
              <w:pStyle w:val="TableParagraph"/>
              <w:spacing w:line="203" w:lineRule="exact"/>
              <w:ind w:left="692"/>
              <w:rPr>
                <w:rFonts w:ascii="黑体" w:eastAsia="黑体" w:hint="eastAsia"/>
                <w:sz w:val="21"/>
              </w:rPr>
            </w:pPr>
            <w:r>
              <w:rPr>
                <w:rFonts w:ascii="黑体" w:eastAsia="黑体" w:hint="eastAsia"/>
                <w:sz w:val="21"/>
              </w:rPr>
              <w:t>(1)投保人对被保险人的故意杀害、故意伤害；</w:t>
            </w:r>
          </w:p>
          <w:p>
            <w:pPr>
              <w:pStyle w:val="TableParagraph"/>
              <w:spacing w:line="273" w:lineRule="auto" w:before="37"/>
              <w:ind w:left="692" w:right="255"/>
              <w:rPr>
                <w:rFonts w:ascii="黑体" w:eastAsia="黑体" w:hint="eastAsia"/>
                <w:sz w:val="21"/>
              </w:rPr>
            </w:pPr>
            <w:r>
              <w:rPr>
                <w:rFonts w:ascii="黑体" w:eastAsia="黑体" w:hint="eastAsia"/>
                <w:sz w:val="21"/>
              </w:rPr>
              <w:t>(2)被保险人故意自伤、故意犯罪或者抗拒依法采取的刑事强制措施；</w:t>
            </w:r>
          </w:p>
          <w:p>
            <w:pPr>
              <w:pStyle w:val="TableParagraph"/>
              <w:spacing w:before="7"/>
              <w:ind w:left="692"/>
              <w:rPr>
                <w:rFonts w:ascii="黑体" w:eastAsia="黑体" w:hint="eastAsia"/>
                <w:sz w:val="21"/>
              </w:rPr>
            </w:pPr>
            <w:r>
              <w:rPr>
                <w:rFonts w:ascii="黑体" w:eastAsia="黑体" w:hint="eastAsia"/>
                <w:w w:val="100"/>
                <w:sz w:val="21"/>
              </w:rPr>
              <w:t>(3)</w:t>
            </w: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spacing w:val="-3"/>
                <w:w w:val="100"/>
                <w:sz w:val="21"/>
              </w:rPr>
              <w:t>（详见释义</w:t>
            </w:r>
            <w:r>
              <w:rPr>
                <w:rFonts w:ascii="黑体" w:eastAsia="黑体" w:hint="eastAsia"/>
                <w:spacing w:val="-106"/>
                <w:w w:val="100"/>
                <w:sz w:val="21"/>
              </w:rPr>
              <w:t>）</w:t>
            </w:r>
            <w:r>
              <w:rPr>
                <w:rFonts w:ascii="黑体" w:eastAsia="黑体" w:hint="eastAsia"/>
                <w:w w:val="100"/>
                <w:sz w:val="21"/>
              </w:rPr>
              <w:t>；</w:t>
            </w:r>
          </w:p>
          <w:p>
            <w:pPr>
              <w:pStyle w:val="TableParagraph"/>
              <w:spacing w:line="273" w:lineRule="auto" w:before="36"/>
              <w:ind w:left="692" w:right="138"/>
              <w:rPr>
                <w:rFonts w:ascii="黑体" w:eastAsia="黑体" w:hint="eastAsia"/>
                <w:sz w:val="21"/>
              </w:rPr>
            </w:pPr>
            <w:r>
              <w:rPr>
                <w:rFonts w:ascii="黑体" w:eastAsia="黑体" w:hint="eastAsia"/>
                <w:sz w:val="21"/>
              </w:rPr>
              <w:t>(4)</w:t>
            </w:r>
            <w:r>
              <w:rPr>
                <w:rFonts w:ascii="黑体" w:eastAsia="黑体" w:hint="eastAsia"/>
                <w:spacing w:val="-3"/>
                <w:sz w:val="21"/>
              </w:rPr>
              <w:t>被保险人</w:t>
            </w:r>
            <w:r>
              <w:rPr>
                <w:rFonts w:ascii="黑体" w:eastAsia="黑体" w:hint="eastAsia"/>
                <w:b/>
                <w:sz w:val="21"/>
              </w:rPr>
              <w:t>酒后驾驶</w:t>
            </w:r>
            <w:r>
              <w:rPr>
                <w:rFonts w:ascii="黑体" w:eastAsia="黑体" w:hint="eastAsia"/>
                <w:sz w:val="21"/>
              </w:rPr>
              <w:t>（</w:t>
            </w:r>
            <w:r>
              <w:rPr>
                <w:rFonts w:ascii="黑体" w:eastAsia="黑体" w:hint="eastAsia"/>
                <w:spacing w:val="-3"/>
                <w:sz w:val="21"/>
              </w:rPr>
              <w:t>详见释义</w:t>
            </w:r>
            <w:r>
              <w:rPr>
                <w:rFonts w:ascii="黑体" w:eastAsia="黑体" w:hint="eastAsia"/>
                <w:spacing w:val="-106"/>
                <w:sz w:val="21"/>
              </w:rPr>
              <w:t>）</w:t>
            </w:r>
            <w:r>
              <w:rPr>
                <w:rFonts w:ascii="黑体" w:eastAsia="黑体" w:hint="eastAsia"/>
                <w:spacing w:val="-3"/>
                <w:sz w:val="21"/>
              </w:rPr>
              <w:t>、</w:t>
            </w:r>
            <w:r>
              <w:rPr>
                <w:rFonts w:ascii="黑体" w:eastAsia="黑体" w:hint="eastAsia"/>
                <w:b/>
                <w:spacing w:val="-1"/>
                <w:sz w:val="21"/>
              </w:rPr>
              <w:t>无合法有效驾驶证驾驶</w:t>
            </w:r>
            <w:r>
              <w:rPr>
                <w:rFonts w:ascii="黑体" w:eastAsia="黑体" w:hint="eastAsia"/>
                <w:sz w:val="21"/>
              </w:rPr>
              <w:t>（</w:t>
            </w:r>
            <w:r>
              <w:rPr>
                <w:rFonts w:ascii="黑体" w:eastAsia="黑体" w:hint="eastAsia"/>
                <w:spacing w:val="-2"/>
                <w:sz w:val="21"/>
              </w:rPr>
              <w:t>详见释义</w:t>
            </w:r>
            <w:r>
              <w:rPr>
                <w:rFonts w:ascii="黑体" w:eastAsia="黑体" w:hint="eastAsia"/>
                <w:spacing w:val="-3"/>
                <w:sz w:val="21"/>
              </w:rPr>
              <w:t>）或驾驶</w:t>
            </w:r>
            <w:r>
              <w:rPr>
                <w:rFonts w:ascii="黑体" w:eastAsia="黑体" w:hint="eastAsia"/>
                <w:b/>
                <w:spacing w:val="-1"/>
                <w:sz w:val="21"/>
              </w:rPr>
              <w:t>无有效行驶证</w:t>
            </w:r>
            <w:r>
              <w:rPr>
                <w:rFonts w:ascii="黑体" w:eastAsia="黑体" w:hint="eastAsia"/>
                <w:sz w:val="21"/>
              </w:rPr>
              <w:t>（</w:t>
            </w:r>
            <w:r>
              <w:rPr>
                <w:rFonts w:ascii="黑体" w:eastAsia="黑体" w:hint="eastAsia"/>
                <w:spacing w:val="-3"/>
                <w:sz w:val="21"/>
              </w:rPr>
              <w:t>详见释义）的机动车；</w:t>
            </w:r>
          </w:p>
          <w:p>
            <w:pPr>
              <w:pStyle w:val="TableParagraph"/>
              <w:spacing w:line="273" w:lineRule="auto" w:before="7"/>
              <w:ind w:left="692" w:right="143"/>
              <w:jc w:val="both"/>
              <w:rPr>
                <w:rFonts w:ascii="黑体" w:hAnsi="黑体" w:eastAsia="黑体" w:hint="eastAsia"/>
                <w:sz w:val="21"/>
              </w:rPr>
            </w:pPr>
            <w:r>
              <w:rPr>
                <w:rFonts w:ascii="黑体" w:hAnsi="黑体" w:eastAsia="黑体" w:hint="eastAsia"/>
                <w:w w:val="100"/>
                <w:sz w:val="21"/>
              </w:rPr>
              <w:t>(5)</w:t>
            </w:r>
            <w:r>
              <w:rPr>
                <w:rFonts w:ascii="黑体" w:hAnsi="黑体" w:eastAsia="黑体" w:hint="eastAsia"/>
                <w:spacing w:val="-3"/>
                <w:w w:val="100"/>
                <w:sz w:val="21"/>
              </w:rPr>
              <w:t>被保险人</w:t>
            </w:r>
            <w:r>
              <w:rPr>
                <w:rFonts w:ascii="黑体" w:hAnsi="黑体" w:eastAsia="黑体" w:hint="eastAsia"/>
                <w:b/>
                <w:spacing w:val="-1"/>
                <w:w w:val="100"/>
                <w:sz w:val="21"/>
              </w:rPr>
              <w:t>感染艾滋病病毒或患艾滋病</w:t>
            </w:r>
            <w:r>
              <w:rPr>
                <w:rFonts w:ascii="黑体" w:hAnsi="黑体" w:eastAsia="黑体" w:hint="eastAsia"/>
                <w:spacing w:val="-3"/>
                <w:w w:val="100"/>
                <w:sz w:val="21"/>
              </w:rPr>
              <w:t>（详见释义</w:t>
            </w:r>
            <w:r>
              <w:rPr>
                <w:rFonts w:ascii="黑体" w:hAnsi="黑体" w:eastAsia="黑体" w:hint="eastAsia"/>
                <w:spacing w:val="-108"/>
                <w:w w:val="100"/>
                <w:sz w:val="21"/>
              </w:rPr>
              <w:t>）</w:t>
            </w:r>
            <w:r>
              <w:rPr>
                <w:rFonts w:ascii="黑体" w:hAnsi="黑体" w:eastAsia="黑体" w:hint="eastAsia"/>
                <w:spacing w:val="-2"/>
                <w:w w:val="100"/>
                <w:sz w:val="21"/>
              </w:rPr>
              <w:t>，但若属于本</w:t>
            </w:r>
            <w:r>
              <w:rPr>
                <w:rFonts w:ascii="黑体" w:hAnsi="黑体" w:eastAsia="黑体" w:hint="eastAsia"/>
                <w:spacing w:val="-3"/>
                <w:sz w:val="21"/>
              </w:rPr>
              <w:t>合同所保障的“经输血导致的人类免疫缺陷病毒感染”或“因职业</w:t>
            </w:r>
            <w:r>
              <w:rPr>
                <w:rFonts w:ascii="黑体" w:hAnsi="黑体" w:eastAsia="黑体" w:hint="eastAsia"/>
                <w:spacing w:val="-10"/>
                <w:w w:val="100"/>
                <w:sz w:val="21"/>
              </w:rPr>
              <w:t>关系导致的人类免疫缺陷病毒感染”，则不在此限；</w:t>
            </w:r>
          </w:p>
          <w:p>
            <w:pPr>
              <w:pStyle w:val="TableParagraph"/>
              <w:spacing w:before="7"/>
              <w:ind w:left="692"/>
              <w:rPr>
                <w:rFonts w:ascii="黑体" w:eastAsia="黑体" w:hint="eastAsia"/>
                <w:sz w:val="21"/>
              </w:rPr>
            </w:pPr>
            <w:r>
              <w:rPr>
                <w:rFonts w:ascii="黑体" w:eastAsia="黑体" w:hint="eastAsia"/>
                <w:sz w:val="21"/>
              </w:rPr>
              <w:t>(6)战争、军事冲突、暴乱或武装叛乱；</w:t>
            </w:r>
          </w:p>
          <w:p>
            <w:pPr>
              <w:pStyle w:val="TableParagraph"/>
              <w:spacing w:before="36"/>
              <w:ind w:left="692"/>
              <w:rPr>
                <w:rFonts w:ascii="黑体" w:eastAsia="黑体" w:hint="eastAsia"/>
                <w:sz w:val="21"/>
              </w:rPr>
            </w:pPr>
            <w:r>
              <w:rPr>
                <w:rFonts w:ascii="黑体" w:eastAsia="黑体" w:hint="eastAsia"/>
                <w:sz w:val="21"/>
              </w:rPr>
              <w:t>(7)核爆炸、核辐射或核污染；</w:t>
            </w:r>
          </w:p>
          <w:p>
            <w:pPr>
              <w:pStyle w:val="TableParagraph"/>
              <w:spacing w:line="273" w:lineRule="auto" w:before="37"/>
              <w:ind w:left="692" w:right="102"/>
              <w:jc w:val="both"/>
              <w:rPr>
                <w:rFonts w:ascii="黑体" w:hAnsi="黑体" w:eastAsia="黑体" w:hint="eastAsia"/>
                <w:sz w:val="21"/>
              </w:rPr>
            </w:pPr>
            <w:r>
              <w:rPr>
                <w:rFonts w:ascii="黑体" w:hAnsi="黑体" w:eastAsia="黑体" w:hint="eastAsia"/>
                <w:w w:val="100"/>
                <w:sz w:val="21"/>
              </w:rPr>
              <w:t>(8</w:t>
            </w:r>
            <w:r>
              <w:rPr>
                <w:rFonts w:ascii="黑体" w:hAnsi="黑体" w:eastAsia="黑体" w:hint="eastAsia"/>
                <w:spacing w:val="-3"/>
                <w:w w:val="100"/>
                <w:sz w:val="21"/>
              </w:rPr>
              <w:t>)</w:t>
            </w:r>
            <w:r>
              <w:rPr>
                <w:rFonts w:ascii="黑体" w:hAnsi="黑体" w:eastAsia="黑体" w:hint="eastAsia"/>
                <w:b/>
                <w:w w:val="100"/>
                <w:sz w:val="21"/>
              </w:rPr>
              <w:t>遗传性疾病</w:t>
            </w:r>
            <w:r>
              <w:rPr>
                <w:rFonts w:ascii="黑体" w:hAnsi="黑体" w:eastAsia="黑体" w:hint="eastAsia"/>
                <w:w w:val="100"/>
                <w:sz w:val="21"/>
              </w:rPr>
              <w:t>（</w:t>
            </w:r>
            <w:r>
              <w:rPr>
                <w:rFonts w:ascii="黑体" w:hAnsi="黑体" w:eastAsia="黑体" w:hint="eastAsia"/>
                <w:spacing w:val="-3"/>
                <w:w w:val="100"/>
                <w:sz w:val="21"/>
              </w:rPr>
              <w:t>详见释义</w:t>
            </w:r>
            <w:r>
              <w:rPr>
                <w:rFonts w:ascii="黑体" w:hAnsi="黑体" w:eastAsia="黑体" w:hint="eastAsia"/>
                <w:spacing w:val="-106"/>
                <w:w w:val="100"/>
                <w:sz w:val="21"/>
              </w:rPr>
              <w:t>）</w:t>
            </w:r>
            <w:r>
              <w:rPr>
                <w:rFonts w:ascii="黑体" w:hAnsi="黑体" w:eastAsia="黑体" w:hint="eastAsia"/>
                <w:spacing w:val="-3"/>
                <w:w w:val="100"/>
                <w:sz w:val="21"/>
              </w:rPr>
              <w:t>，</w:t>
            </w:r>
            <w:r>
              <w:rPr>
                <w:rFonts w:ascii="黑体" w:hAnsi="黑体" w:eastAsia="黑体" w:hint="eastAsia"/>
                <w:b/>
                <w:spacing w:val="-1"/>
                <w:w w:val="100"/>
                <w:sz w:val="21"/>
              </w:rPr>
              <w:t>先天性畸形、变形或染色体异常</w:t>
            </w:r>
            <w:r>
              <w:rPr>
                <w:rFonts w:ascii="黑体" w:hAnsi="黑体" w:eastAsia="黑体" w:hint="eastAsia"/>
                <w:spacing w:val="-3"/>
                <w:w w:val="100"/>
                <w:sz w:val="21"/>
              </w:rPr>
              <w:t>（详</w:t>
            </w:r>
            <w:r>
              <w:rPr>
                <w:rFonts w:ascii="黑体" w:hAnsi="黑体" w:eastAsia="黑体" w:hint="eastAsia"/>
                <w:spacing w:val="-1"/>
                <w:w w:val="100"/>
                <w:sz w:val="21"/>
              </w:rPr>
              <w:t>见释义</w:t>
            </w:r>
            <w:r>
              <w:rPr>
                <w:rFonts w:ascii="黑体" w:hAnsi="黑体" w:eastAsia="黑体" w:hint="eastAsia"/>
                <w:spacing w:val="-106"/>
                <w:w w:val="100"/>
                <w:sz w:val="21"/>
              </w:rPr>
              <w:t>）</w:t>
            </w:r>
            <w:r>
              <w:rPr>
                <w:rFonts w:ascii="黑体" w:hAnsi="黑体" w:eastAsia="黑体" w:hint="eastAsia"/>
                <w:spacing w:val="-8"/>
                <w:w w:val="100"/>
                <w:sz w:val="21"/>
              </w:rPr>
              <w:t>，但若属于本合同所保障的“严重肌营养不良症”或“肝豆</w:t>
            </w:r>
            <w:r>
              <w:rPr>
                <w:rFonts w:ascii="黑体" w:hAnsi="黑体" w:eastAsia="黑体" w:hint="eastAsia"/>
                <w:spacing w:val="-12"/>
                <w:w w:val="100"/>
                <w:sz w:val="21"/>
              </w:rPr>
              <w:t>状核变性”，则不在此限。</w:t>
            </w:r>
          </w:p>
          <w:p>
            <w:pPr>
              <w:pStyle w:val="TableParagraph"/>
              <w:spacing w:line="273" w:lineRule="auto" w:before="84"/>
              <w:ind w:left="692" w:right="-15"/>
              <w:rPr>
                <w:rFonts w:ascii="黑体" w:eastAsia="黑体" w:hint="eastAsia"/>
                <w:sz w:val="21"/>
              </w:rPr>
            </w:pPr>
            <w:r>
              <w:rPr>
                <w:rFonts w:ascii="黑体" w:eastAsia="黑体" w:hint="eastAsia"/>
                <w:spacing w:val="2"/>
                <w:sz w:val="21"/>
              </w:rPr>
              <w:t>发</w:t>
            </w:r>
            <w:r>
              <w:rPr>
                <w:rFonts w:ascii="黑体" w:eastAsia="黑体" w:hint="eastAsia"/>
                <w:sz w:val="21"/>
              </w:rPr>
              <w:t>Th</w:t>
            </w:r>
            <w:r>
              <w:rPr>
                <w:rFonts w:ascii="黑体" w:eastAsia="黑体" w:hint="eastAsia"/>
                <w:spacing w:val="2"/>
                <w:sz w:val="21"/>
              </w:rPr>
              <w:t>上述第</w:t>
            </w:r>
            <w:r>
              <w:rPr>
                <w:rFonts w:ascii="黑体" w:eastAsia="黑体" w:hint="eastAsia"/>
                <w:sz w:val="21"/>
              </w:rPr>
              <w:t>(1)项情形导致被保险人初次发Th本合同约定的重大疾 </w:t>
            </w:r>
            <w:r>
              <w:rPr>
                <w:rFonts w:ascii="黑体" w:eastAsia="黑体" w:hint="eastAsia"/>
                <w:spacing w:val="-10"/>
                <w:sz w:val="21"/>
              </w:rPr>
              <w:t>病、轻症疾病、自主</w:t>
            </w:r>
            <w:r>
              <w:rPr>
                <w:rFonts w:ascii="黑体" w:eastAsia="黑体" w:hint="eastAsia"/>
                <w:sz w:val="21"/>
              </w:rPr>
              <w:t>Th</w:t>
            </w:r>
            <w:r>
              <w:rPr>
                <w:rFonts w:ascii="黑体" w:eastAsia="黑体" w:hint="eastAsia"/>
                <w:spacing w:val="-3"/>
                <w:sz w:val="21"/>
              </w:rPr>
              <w:t>活能力完全丧失或符合</w:t>
            </w:r>
            <w:r>
              <w:rPr>
                <w:rFonts w:ascii="黑体" w:eastAsia="黑体" w:hint="eastAsia"/>
                <w:sz w:val="21"/>
              </w:rPr>
              <w:t>Th</w:t>
            </w:r>
            <w:r>
              <w:rPr>
                <w:rFonts w:ascii="黑体" w:eastAsia="黑体" w:hint="eastAsia"/>
                <w:spacing w:val="-3"/>
                <w:sz w:val="21"/>
              </w:rPr>
              <w:t>命末期疾病状态的， 本合同终止，我们向被保险人退还本合同的现金价值。</w:t>
            </w:r>
          </w:p>
          <w:p>
            <w:pPr>
              <w:pStyle w:val="TableParagraph"/>
              <w:spacing w:line="273" w:lineRule="auto" w:before="86"/>
              <w:ind w:left="692" w:right="97"/>
              <w:jc w:val="both"/>
              <w:rPr>
                <w:rFonts w:ascii="黑体" w:eastAsia="黑体" w:hint="eastAsia"/>
                <w:sz w:val="21"/>
              </w:rPr>
            </w:pPr>
            <w:r>
              <w:rPr>
                <w:rFonts w:ascii="黑体" w:eastAsia="黑体" w:hint="eastAsia"/>
                <w:sz w:val="21"/>
              </w:rPr>
              <w:t>发Th上述其他情形导致被保险人初次发Th本合同约定的重大疾病、轻症疾病、自主Th活能力完全丧失或符合Th命末期疾病状态的，本合同终止，我们向您退还本合同的现金价值。</w:t>
            </w:r>
          </w:p>
          <w:p>
            <w:pPr>
              <w:pStyle w:val="TableParagraph"/>
              <w:spacing w:line="273" w:lineRule="auto" w:before="84"/>
              <w:ind w:left="692" w:right="99"/>
              <w:rPr>
                <w:rFonts w:ascii="黑体" w:eastAsia="黑体" w:hint="eastAsia"/>
                <w:sz w:val="21"/>
              </w:rPr>
            </w:pPr>
            <w:r>
              <w:rPr>
                <w:rFonts w:ascii="黑体" w:eastAsia="黑体" w:hint="eastAsia"/>
                <w:sz w:val="21"/>
              </w:rPr>
              <w:t>2</w:t>
            </w:r>
            <w:r>
              <w:rPr>
                <w:rFonts w:ascii="黑体" w:eastAsia="黑体" w:hint="eastAsia"/>
                <w:spacing w:val="-9"/>
                <w:sz w:val="21"/>
              </w:rPr>
              <w:t>、因下列情形之一导致被保险人身故或全残的，我们不承担给付身</w:t>
            </w:r>
            <w:r>
              <w:rPr>
                <w:rFonts w:ascii="黑体" w:eastAsia="黑体" w:hint="eastAsia"/>
                <w:spacing w:val="-5"/>
                <w:sz w:val="21"/>
              </w:rPr>
              <w:t>故保险金和全残保险金的责任：</w:t>
            </w:r>
          </w:p>
          <w:p>
            <w:pPr>
              <w:pStyle w:val="TableParagraph"/>
              <w:spacing w:line="273" w:lineRule="auto" w:before="7"/>
              <w:ind w:left="692" w:right="36"/>
              <w:rPr>
                <w:rFonts w:ascii="黑体" w:eastAsia="黑体" w:hint="eastAsia"/>
                <w:sz w:val="21"/>
              </w:rPr>
            </w:pPr>
            <w:r>
              <w:rPr>
                <w:rFonts w:ascii="黑体" w:eastAsia="黑体" w:hint="eastAsia"/>
                <w:sz w:val="21"/>
              </w:rPr>
              <w:t>(1)发Th本条第 1 款第(1)、(2)、(3)、(4)、(6)、(7）项规定的情形之一；</w:t>
            </w:r>
          </w:p>
          <w:p>
            <w:pPr>
              <w:pStyle w:val="TableParagraph"/>
              <w:spacing w:line="273" w:lineRule="auto" w:before="7"/>
              <w:ind w:left="692" w:right="102"/>
              <w:rPr>
                <w:rFonts w:ascii="黑体" w:eastAsia="黑体" w:hint="eastAsia"/>
                <w:sz w:val="21"/>
              </w:rPr>
            </w:pPr>
            <w:r>
              <w:rPr>
                <w:rFonts w:ascii="黑体" w:eastAsia="黑体" w:hint="eastAsia"/>
                <w:sz w:val="21"/>
              </w:rPr>
              <w:t>(2)</w:t>
            </w:r>
            <w:r>
              <w:rPr>
                <w:rFonts w:ascii="黑体" w:eastAsia="黑体" w:hint="eastAsia"/>
                <w:spacing w:val="-5"/>
                <w:sz w:val="21"/>
              </w:rPr>
              <w:t>被保险人自本合同成立或者合同效力恢复之日起 </w:t>
            </w:r>
            <w:r>
              <w:rPr>
                <w:rFonts w:ascii="黑体" w:eastAsia="黑体" w:hint="eastAsia"/>
                <w:sz w:val="21"/>
              </w:rPr>
              <w:t>2</w:t>
            </w:r>
            <w:r>
              <w:rPr>
                <w:rFonts w:ascii="黑体" w:eastAsia="黑体" w:hint="eastAsia"/>
                <w:spacing w:val="-16"/>
                <w:sz w:val="21"/>
              </w:rPr>
              <w:t> 年内自杀，但</w:t>
            </w:r>
            <w:r>
              <w:rPr>
                <w:rFonts w:ascii="黑体" w:eastAsia="黑体" w:hint="eastAsia"/>
                <w:spacing w:val="-3"/>
                <w:sz w:val="21"/>
              </w:rPr>
              <w:t>被保险人自杀时为无民事行为能力人的除外。</w:t>
            </w:r>
          </w:p>
          <w:p>
            <w:pPr>
              <w:pStyle w:val="TableParagraph"/>
              <w:spacing w:line="273" w:lineRule="auto" w:before="87"/>
              <w:ind w:left="692" w:right="101"/>
              <w:rPr>
                <w:rFonts w:ascii="黑体" w:eastAsia="黑体" w:hint="eastAsia"/>
                <w:sz w:val="21"/>
              </w:rPr>
            </w:pPr>
            <w:r>
              <w:rPr>
                <w:rFonts w:ascii="黑体" w:eastAsia="黑体" w:hint="eastAsia"/>
                <w:sz w:val="21"/>
              </w:rPr>
              <w:t>发Th</w:t>
            </w:r>
            <w:r>
              <w:rPr>
                <w:rFonts w:ascii="黑体" w:eastAsia="黑体" w:hint="eastAsia"/>
                <w:spacing w:val="-12"/>
                <w:sz w:val="21"/>
              </w:rPr>
              <w:t>本条第 </w:t>
            </w:r>
            <w:r>
              <w:rPr>
                <w:rFonts w:ascii="黑体" w:eastAsia="黑体" w:hint="eastAsia"/>
                <w:sz w:val="21"/>
              </w:rPr>
              <w:t>1</w:t>
            </w:r>
            <w:r>
              <w:rPr>
                <w:rFonts w:ascii="黑体" w:eastAsia="黑体" w:hint="eastAsia"/>
                <w:spacing w:val="-11"/>
                <w:sz w:val="21"/>
              </w:rPr>
              <w:t> 款第(</w:t>
            </w:r>
            <w:r>
              <w:rPr>
                <w:rFonts w:ascii="黑体" w:eastAsia="黑体" w:hint="eastAsia"/>
                <w:sz w:val="21"/>
              </w:rPr>
              <w:t>1</w:t>
            </w:r>
            <w:r>
              <w:rPr>
                <w:rFonts w:ascii="黑体" w:eastAsia="黑体" w:hint="eastAsia"/>
                <w:spacing w:val="-7"/>
                <w:sz w:val="21"/>
              </w:rPr>
              <w:t>)项情形导致被保险人身故的，本合同终止，我</w:t>
            </w:r>
            <w:r>
              <w:rPr>
                <w:rFonts w:ascii="黑体" w:eastAsia="黑体" w:hint="eastAsia"/>
                <w:spacing w:val="-5"/>
                <w:sz w:val="21"/>
              </w:rPr>
              <w:t>们向被保险人继承人退还本合同现金价值。</w:t>
            </w:r>
          </w:p>
          <w:p>
            <w:pPr>
              <w:pStyle w:val="TableParagraph"/>
              <w:spacing w:line="273" w:lineRule="auto" w:before="84"/>
              <w:ind w:left="692" w:right="101"/>
              <w:rPr>
                <w:rFonts w:ascii="黑体" w:eastAsia="黑体" w:hint="eastAsia"/>
                <w:sz w:val="21"/>
              </w:rPr>
            </w:pPr>
            <w:r>
              <w:rPr>
                <w:rFonts w:ascii="黑体" w:eastAsia="黑体" w:hint="eastAsia"/>
                <w:sz w:val="21"/>
              </w:rPr>
              <w:t>发Th</w:t>
            </w:r>
            <w:r>
              <w:rPr>
                <w:rFonts w:ascii="黑体" w:eastAsia="黑体" w:hint="eastAsia"/>
                <w:spacing w:val="-12"/>
                <w:sz w:val="21"/>
              </w:rPr>
              <w:t>本条第 </w:t>
            </w:r>
            <w:r>
              <w:rPr>
                <w:rFonts w:ascii="黑体" w:eastAsia="黑体" w:hint="eastAsia"/>
                <w:sz w:val="21"/>
              </w:rPr>
              <w:t>1</w:t>
            </w:r>
            <w:r>
              <w:rPr>
                <w:rFonts w:ascii="黑体" w:eastAsia="黑体" w:hint="eastAsia"/>
                <w:spacing w:val="-11"/>
                <w:sz w:val="21"/>
              </w:rPr>
              <w:t> 款第(</w:t>
            </w:r>
            <w:r>
              <w:rPr>
                <w:rFonts w:ascii="黑体" w:eastAsia="黑体" w:hint="eastAsia"/>
                <w:sz w:val="21"/>
              </w:rPr>
              <w:t>1</w:t>
            </w:r>
            <w:r>
              <w:rPr>
                <w:rFonts w:ascii="黑体" w:eastAsia="黑体" w:hint="eastAsia"/>
                <w:spacing w:val="-7"/>
                <w:sz w:val="21"/>
              </w:rPr>
              <w:t>)项情形导致被保险人全残的，本合同终止，我</w:t>
            </w:r>
            <w:r>
              <w:rPr>
                <w:rFonts w:ascii="黑体" w:eastAsia="黑体" w:hint="eastAsia"/>
                <w:spacing w:val="-3"/>
                <w:sz w:val="21"/>
              </w:rPr>
              <w:t>们向被保险人退还本合同现金价值。</w:t>
            </w:r>
          </w:p>
          <w:p>
            <w:pPr>
              <w:pStyle w:val="TableParagraph"/>
              <w:spacing w:line="273" w:lineRule="auto" w:before="87"/>
              <w:ind w:left="692" w:right="100"/>
              <w:rPr>
                <w:rFonts w:ascii="黑体" w:eastAsia="黑体" w:hint="eastAsia"/>
                <w:sz w:val="21"/>
              </w:rPr>
            </w:pPr>
            <w:r>
              <w:rPr>
                <w:rFonts w:ascii="黑体" w:eastAsia="黑体" w:hint="eastAsia"/>
                <w:sz w:val="21"/>
              </w:rPr>
              <w:t>发Th上述其他情形导致被保险人身故或全残的，本合同终止，我们向您退还本合同现金价值。</w:t>
            </w:r>
          </w:p>
        </w:tc>
      </w:tr>
      <w:tr>
        <w:trPr>
          <w:trHeight w:val="312" w:hRule="atLeast"/>
        </w:trPr>
        <w:tc>
          <w:tcPr>
            <w:tcW w:w="852" w:type="dxa"/>
            <w:shd w:val="clear" w:color="auto" w:fill="A6A6A6"/>
          </w:tcPr>
          <w:p>
            <w:pPr>
              <w:pStyle w:val="TableParagraph"/>
              <w:spacing w:line="254" w:lineRule="exact"/>
              <w:ind w:left="108"/>
              <w:rPr>
                <w:b/>
                <w:sz w:val="21"/>
              </w:rPr>
            </w:pPr>
            <w:r>
              <w:rPr>
                <w:b/>
                <w:sz w:val="21"/>
              </w:rPr>
              <w:t>3．</w:t>
            </w:r>
          </w:p>
        </w:tc>
        <w:tc>
          <w:tcPr>
            <w:tcW w:w="1752" w:type="dxa"/>
            <w:shd w:val="clear" w:color="auto" w:fill="A6A6A6"/>
          </w:tcPr>
          <w:p>
            <w:pPr>
              <w:pStyle w:val="TableParagraph"/>
              <w:spacing w:line="254" w:lineRule="exact"/>
              <w:ind w:left="427"/>
              <w:rPr>
                <w:b/>
                <w:sz w:val="21"/>
              </w:rPr>
            </w:pPr>
            <w:r>
              <w:rPr>
                <w:b/>
                <w:sz w:val="21"/>
              </w:rPr>
              <w:t>保险金的申请</w:t>
            </w:r>
          </w:p>
        </w:tc>
        <w:tc>
          <w:tcPr>
            <w:tcW w:w="6939" w:type="dxa"/>
            <w:shd w:val="clear" w:color="auto" w:fill="A6A6A6"/>
          </w:tcPr>
          <w:p>
            <w:pPr>
              <w:pStyle w:val="TableParagraph"/>
              <w:ind w:left="0"/>
              <w:rPr>
                <w:rFonts w:ascii="Times New Roman"/>
                <w:sz w:val="20"/>
              </w:rPr>
            </w:pPr>
          </w:p>
        </w:tc>
      </w:tr>
      <w:tr>
        <w:trPr>
          <w:trHeight w:val="2823" w:hRule="atLeast"/>
        </w:trPr>
        <w:tc>
          <w:tcPr>
            <w:tcW w:w="852" w:type="dxa"/>
          </w:tcPr>
          <w:p>
            <w:pPr>
              <w:pStyle w:val="TableParagraph"/>
              <w:spacing w:before="121"/>
              <w:ind w:left="108"/>
              <w:rPr>
                <w:b/>
                <w:sz w:val="21"/>
              </w:rPr>
            </w:pPr>
            <w:r>
              <w:rPr>
                <w:b/>
                <w:sz w:val="21"/>
              </w:rPr>
              <w:t>3.1</w:t>
            </w:r>
          </w:p>
        </w:tc>
        <w:tc>
          <w:tcPr>
            <w:tcW w:w="1752" w:type="dxa"/>
          </w:tcPr>
          <w:p>
            <w:pPr>
              <w:pStyle w:val="TableParagraph"/>
              <w:spacing w:before="121"/>
              <w:ind w:left="427"/>
              <w:rPr>
                <w:b/>
                <w:sz w:val="21"/>
              </w:rPr>
            </w:pPr>
            <w:r>
              <w:rPr>
                <w:b/>
                <w:sz w:val="21"/>
              </w:rPr>
              <w:t>受益人</w:t>
            </w:r>
          </w:p>
        </w:tc>
        <w:tc>
          <w:tcPr>
            <w:tcW w:w="6939" w:type="dxa"/>
          </w:tcPr>
          <w:p>
            <w:pPr>
              <w:pStyle w:val="TableParagraph"/>
              <w:spacing w:before="121"/>
              <w:ind w:left="692"/>
              <w:rPr>
                <w:sz w:val="21"/>
              </w:rPr>
            </w:pPr>
            <w:r>
              <w:rPr>
                <w:sz w:val="21"/>
              </w:rPr>
              <w:t>您或者被保险人可以指定一人或多人为身故保险金受益人。</w:t>
            </w:r>
          </w:p>
          <w:p>
            <w:pPr>
              <w:pStyle w:val="TableParagraph"/>
              <w:spacing w:line="273" w:lineRule="auto" w:before="116"/>
              <w:ind w:left="692" w:right="103"/>
              <w:rPr>
                <w:sz w:val="21"/>
              </w:rPr>
            </w:pPr>
            <w:r>
              <w:rPr>
                <w:sz w:val="21"/>
              </w:rPr>
              <w:t>身故保险金受益人为多人时，可以确定受益顺序和受益份额；如果没有确定份额，各受益人按照相等份额享有受益权。</w:t>
            </w:r>
          </w:p>
          <w:p>
            <w:pPr>
              <w:pStyle w:val="TableParagraph"/>
              <w:spacing w:line="273" w:lineRule="auto" w:before="84"/>
              <w:ind w:left="692" w:right="103"/>
              <w:rPr>
                <w:sz w:val="21"/>
              </w:rPr>
            </w:pPr>
            <w:r>
              <w:rPr>
                <w:sz w:val="21"/>
              </w:rPr>
              <w:t>被保险人为无民事行为能力人或限制民事行为能力人的，可以由其监护人指定受益人。</w:t>
            </w:r>
          </w:p>
          <w:p>
            <w:pPr>
              <w:pStyle w:val="TableParagraph"/>
              <w:spacing w:before="87"/>
              <w:ind w:left="692"/>
              <w:rPr>
                <w:sz w:val="21"/>
              </w:rPr>
            </w:pPr>
            <w:r>
              <w:rPr>
                <w:sz w:val="21"/>
              </w:rPr>
              <w:t>您或者被保险人可以变更身故保险金受益人并书面通知我们。我们</w:t>
            </w:r>
          </w:p>
          <w:p>
            <w:pPr>
              <w:pStyle w:val="TableParagraph"/>
              <w:spacing w:line="310" w:lineRule="atLeast" w:before="2"/>
              <w:ind w:left="692" w:right="103"/>
              <w:rPr>
                <w:sz w:val="21"/>
              </w:rPr>
            </w:pPr>
            <w:r>
              <w:rPr>
                <w:sz w:val="21"/>
              </w:rPr>
              <w:t>收到变更受益人的书面通知后，在保险单或其他保险凭证上批注或附贴批单。变更受益人的行为自变更意思表示发出时生效。</w:t>
            </w:r>
          </w:p>
        </w:tc>
      </w:tr>
    </w:tbl>
    <w:p>
      <w:pPr>
        <w:spacing w:after="0" w:line="310" w:lineRule="atLeast"/>
        <w:rPr>
          <w:sz w:val="21"/>
        </w:rPr>
        <w:sectPr>
          <w:pgSz w:w="11910" w:h="16840"/>
          <w:pgMar w:top="1460" w:bottom="280" w:left="1080" w:right="10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2296"/>
        <w:gridCol w:w="6598"/>
      </w:tblGrid>
      <w:tr>
        <w:trPr>
          <w:trHeight w:val="4701" w:hRule="atLeast"/>
        </w:trPr>
        <w:tc>
          <w:tcPr>
            <w:tcW w:w="944" w:type="dxa"/>
          </w:tcPr>
          <w:p>
            <w:pPr>
              <w:pStyle w:val="TableParagraph"/>
              <w:ind w:left="0"/>
              <w:rPr>
                <w:rFonts w:ascii="Times New Roman"/>
                <w:sz w:val="20"/>
              </w:rPr>
            </w:pPr>
          </w:p>
        </w:tc>
        <w:tc>
          <w:tcPr>
            <w:tcW w:w="2296" w:type="dxa"/>
          </w:tcPr>
          <w:p>
            <w:pPr>
              <w:pStyle w:val="TableParagraph"/>
              <w:ind w:left="0"/>
              <w:rPr>
                <w:rFonts w:ascii="Times New Roman"/>
                <w:sz w:val="20"/>
              </w:rPr>
            </w:pPr>
          </w:p>
        </w:tc>
        <w:tc>
          <w:tcPr>
            <w:tcW w:w="6598" w:type="dxa"/>
          </w:tcPr>
          <w:p>
            <w:pPr>
              <w:pStyle w:val="TableParagraph"/>
              <w:spacing w:line="203" w:lineRule="exact"/>
              <w:ind w:left="147"/>
              <w:rPr>
                <w:sz w:val="21"/>
              </w:rPr>
            </w:pPr>
            <w:r>
              <w:rPr>
                <w:sz w:val="21"/>
              </w:rPr>
              <w:t>您在指定和变更身故保险金受益人时，必须经过被保险人同意。</w:t>
            </w:r>
          </w:p>
          <w:p>
            <w:pPr>
              <w:pStyle w:val="TableParagraph"/>
              <w:spacing w:line="273" w:lineRule="auto" w:before="114"/>
              <w:ind w:left="147" w:right="199"/>
              <w:rPr>
                <w:sz w:val="21"/>
              </w:rPr>
            </w:pPr>
            <w:r>
              <w:rPr>
                <w:spacing w:val="-9"/>
                <w:sz w:val="21"/>
              </w:rPr>
              <w:t>被保险人身故后，有下列情形之一的，保险金作为被保险人的遗产， 由我们依照《中华人民共和国继承法》的规定履行给付保险金的义务：</w:t>
            </w:r>
          </w:p>
          <w:p>
            <w:pPr>
              <w:pStyle w:val="TableParagraph"/>
              <w:spacing w:before="8"/>
              <w:ind w:left="147"/>
              <w:rPr>
                <w:sz w:val="21"/>
              </w:rPr>
            </w:pPr>
            <w:r>
              <w:rPr>
                <w:sz w:val="21"/>
              </w:rPr>
              <w:t>(1)没有指定受益人，或者受益人指定不明无法确定的；</w:t>
            </w:r>
          </w:p>
          <w:p>
            <w:pPr>
              <w:pStyle w:val="TableParagraph"/>
              <w:spacing w:before="37"/>
              <w:ind w:left="147"/>
              <w:rPr>
                <w:sz w:val="21"/>
              </w:rPr>
            </w:pPr>
            <w:r>
              <w:rPr>
                <w:sz w:val="21"/>
              </w:rPr>
              <w:t>(2)受益人先于被保险人身故，没有其他受益人的；</w:t>
            </w:r>
          </w:p>
          <w:p>
            <w:pPr>
              <w:pStyle w:val="TableParagraph"/>
              <w:spacing w:before="37"/>
              <w:ind w:left="147"/>
              <w:rPr>
                <w:sz w:val="21"/>
              </w:rPr>
            </w:pPr>
            <w:r>
              <w:rPr>
                <w:sz w:val="21"/>
              </w:rPr>
              <w:t>(3)受益人依法丧失受益权或者放弃受益权，没有其他受益人的。</w:t>
            </w:r>
          </w:p>
          <w:p>
            <w:pPr>
              <w:pStyle w:val="TableParagraph"/>
              <w:spacing w:line="273" w:lineRule="auto" w:before="116"/>
              <w:ind w:left="147" w:right="197"/>
              <w:rPr>
                <w:sz w:val="21"/>
              </w:rPr>
            </w:pPr>
            <w:r>
              <w:rPr>
                <w:spacing w:val="-7"/>
                <w:sz w:val="21"/>
              </w:rPr>
              <w:t>受益人与被保险人在同一事件中身故，且不能确定身故先后顺序的， </w:t>
            </w:r>
            <w:r>
              <w:rPr>
                <w:spacing w:val="-5"/>
                <w:sz w:val="21"/>
              </w:rPr>
              <w:t>推定受益人身故在先。</w:t>
            </w:r>
          </w:p>
          <w:p>
            <w:pPr>
              <w:pStyle w:val="TableParagraph"/>
              <w:spacing w:line="273" w:lineRule="auto" w:before="84"/>
              <w:ind w:left="147" w:right="306"/>
              <w:rPr>
                <w:sz w:val="21"/>
              </w:rPr>
            </w:pPr>
            <w:r>
              <w:rPr>
                <w:sz w:val="21"/>
              </w:rPr>
              <w:t>受益人故意造成被保险人身故、伤残、疾病的，或者故意杀害被保险人未遂的，该受益人丧失受益权。</w:t>
            </w:r>
          </w:p>
          <w:p>
            <w:pPr>
              <w:pStyle w:val="TableParagraph"/>
              <w:spacing w:line="273" w:lineRule="auto" w:before="87"/>
              <w:ind w:left="147" w:right="303"/>
              <w:jc w:val="both"/>
              <w:rPr>
                <w:sz w:val="21"/>
              </w:rPr>
            </w:pPr>
            <w:r>
              <w:rPr>
                <w:sz w:val="21"/>
              </w:rPr>
              <w:t>除另有指定外，重大疾病保险金、轻症疾病保险金、特定重大疾病保险金、长期护理保险金、全残保险金和生命末期保险金的受益人为被保险人本人。</w:t>
            </w:r>
          </w:p>
        </w:tc>
      </w:tr>
      <w:tr>
        <w:trPr>
          <w:trHeight w:val="2091" w:hRule="atLeast"/>
        </w:trPr>
        <w:tc>
          <w:tcPr>
            <w:tcW w:w="944" w:type="dxa"/>
          </w:tcPr>
          <w:p>
            <w:pPr>
              <w:pStyle w:val="TableParagraph"/>
              <w:spacing w:before="49"/>
              <w:ind w:left="200"/>
              <w:rPr>
                <w:b/>
                <w:sz w:val="21"/>
              </w:rPr>
            </w:pPr>
            <w:r>
              <w:rPr>
                <w:b/>
                <w:sz w:val="21"/>
              </w:rPr>
              <w:t>3.2</w:t>
            </w:r>
          </w:p>
        </w:tc>
        <w:tc>
          <w:tcPr>
            <w:tcW w:w="2296" w:type="dxa"/>
          </w:tcPr>
          <w:p>
            <w:pPr>
              <w:pStyle w:val="TableParagraph"/>
              <w:spacing w:before="49"/>
              <w:ind w:left="0" w:right="599"/>
              <w:jc w:val="right"/>
              <w:rPr>
                <w:b/>
                <w:sz w:val="21"/>
              </w:rPr>
            </w:pPr>
            <w:r>
              <w:rPr>
                <w:b/>
                <w:sz w:val="21"/>
              </w:rPr>
              <w:t>保险事故通知</w:t>
            </w:r>
          </w:p>
        </w:tc>
        <w:tc>
          <w:tcPr>
            <w:tcW w:w="6598" w:type="dxa"/>
          </w:tcPr>
          <w:p>
            <w:pPr>
              <w:pStyle w:val="TableParagraph"/>
              <w:spacing w:before="49"/>
              <w:ind w:left="147"/>
              <w:rPr>
                <w:sz w:val="21"/>
              </w:rPr>
            </w:pPr>
            <w:r>
              <w:rPr>
                <w:sz w:val="21"/>
              </w:rPr>
              <w:t>您、被保险人或受益人知道保险事故后应当在 10 日内通知我们。</w:t>
            </w:r>
          </w:p>
          <w:p>
            <w:pPr>
              <w:pStyle w:val="TableParagraph"/>
              <w:spacing w:line="273" w:lineRule="auto" w:before="114"/>
              <w:ind w:left="147" w:right="304"/>
              <w:jc w:val="both"/>
              <w:rPr>
                <w:sz w:val="21"/>
              </w:rPr>
            </w:pPr>
            <w:r>
              <w:rPr>
                <w:rFonts w:ascii="黑体" w:eastAsia="黑体" w:hint="eastAsia"/>
                <w:sz w:val="21"/>
              </w:rPr>
              <w:t>如果您、被保险人或受益人故意或者因重大过失未及时通知，致使保险事故的性质、原因、损失程度等难以确定的，我们对无法确定的部分，不承担给付保险金的责任，</w:t>
            </w:r>
            <w:r>
              <w:rPr>
                <w:sz w:val="21"/>
              </w:rPr>
              <w:t>但我们通过其他途径已经及时知道或者应当及时知道保险事故发生或者虽未及时通知但不影响我们确定保险事故的性质、原因、损失程度的除外。</w:t>
            </w:r>
          </w:p>
        </w:tc>
      </w:tr>
      <w:tr>
        <w:trPr>
          <w:trHeight w:val="384" w:hRule="atLeast"/>
        </w:trPr>
        <w:tc>
          <w:tcPr>
            <w:tcW w:w="944" w:type="dxa"/>
          </w:tcPr>
          <w:p>
            <w:pPr>
              <w:pStyle w:val="TableParagraph"/>
              <w:spacing w:before="50"/>
              <w:ind w:left="200"/>
              <w:rPr>
                <w:b/>
                <w:sz w:val="21"/>
              </w:rPr>
            </w:pPr>
            <w:r>
              <w:rPr>
                <w:b/>
                <w:sz w:val="21"/>
              </w:rPr>
              <w:t>3.3</w:t>
            </w:r>
          </w:p>
        </w:tc>
        <w:tc>
          <w:tcPr>
            <w:tcW w:w="2296" w:type="dxa"/>
          </w:tcPr>
          <w:p>
            <w:pPr>
              <w:pStyle w:val="TableParagraph"/>
              <w:spacing w:before="50"/>
              <w:ind w:left="427"/>
              <w:rPr>
                <w:b/>
                <w:sz w:val="21"/>
              </w:rPr>
            </w:pPr>
            <w:r>
              <w:rPr>
                <w:b/>
                <w:sz w:val="21"/>
              </w:rPr>
              <w:t>保险金申请</w:t>
            </w:r>
          </w:p>
        </w:tc>
        <w:tc>
          <w:tcPr>
            <w:tcW w:w="6598" w:type="dxa"/>
          </w:tcPr>
          <w:p>
            <w:pPr>
              <w:pStyle w:val="TableParagraph"/>
              <w:spacing w:before="50"/>
              <w:ind w:left="147"/>
              <w:rPr>
                <w:sz w:val="21"/>
              </w:rPr>
            </w:pPr>
            <w:r>
              <w:rPr>
                <w:sz w:val="21"/>
              </w:rPr>
              <w:t>在申请保险金时，请按照下列方式办理：</w:t>
            </w:r>
          </w:p>
        </w:tc>
      </w:tr>
      <w:tr>
        <w:trPr>
          <w:trHeight w:val="3191" w:hRule="atLeast"/>
        </w:trPr>
        <w:tc>
          <w:tcPr>
            <w:tcW w:w="944" w:type="dxa"/>
          </w:tcPr>
          <w:p>
            <w:pPr>
              <w:pStyle w:val="TableParagraph"/>
              <w:ind w:left="0"/>
              <w:rPr>
                <w:rFonts w:ascii="Times New Roman"/>
                <w:sz w:val="20"/>
              </w:rPr>
            </w:pPr>
          </w:p>
        </w:tc>
        <w:tc>
          <w:tcPr>
            <w:tcW w:w="2296" w:type="dxa"/>
          </w:tcPr>
          <w:p>
            <w:pPr>
              <w:pStyle w:val="TableParagraph"/>
              <w:spacing w:line="253" w:lineRule="exact"/>
              <w:ind w:left="292"/>
              <w:rPr>
                <w:sz w:val="21"/>
              </w:rPr>
            </w:pPr>
            <w:r>
              <w:rPr>
                <w:sz w:val="21"/>
              </w:rPr>
              <w:t>重大疾病保险金、轻</w:t>
            </w:r>
          </w:p>
          <w:p>
            <w:pPr>
              <w:pStyle w:val="TableParagraph"/>
              <w:spacing w:line="273" w:lineRule="auto" w:before="37"/>
              <w:ind w:left="292" w:right="104"/>
              <w:jc w:val="both"/>
              <w:rPr>
                <w:sz w:val="21"/>
              </w:rPr>
            </w:pPr>
            <w:r>
              <w:rPr>
                <w:sz w:val="21"/>
              </w:rPr>
              <w:t>症疾病保险金、特定重大疾病保险金、生命末期保险金申请</w:t>
            </w:r>
          </w:p>
        </w:tc>
        <w:tc>
          <w:tcPr>
            <w:tcW w:w="6598" w:type="dxa"/>
          </w:tcPr>
          <w:p>
            <w:pPr>
              <w:pStyle w:val="TableParagraph"/>
              <w:spacing w:line="253" w:lineRule="exact"/>
              <w:ind w:left="106"/>
              <w:rPr>
                <w:sz w:val="21"/>
              </w:rPr>
            </w:pPr>
            <w:r>
              <w:rPr>
                <w:sz w:val="21"/>
              </w:rPr>
              <w:t>受益人须填写保险金给付申请书，并提供下列证明和资料：</w:t>
            </w:r>
          </w:p>
          <w:p>
            <w:pPr>
              <w:pStyle w:val="TableParagraph"/>
              <w:spacing w:before="37"/>
              <w:ind w:left="106"/>
              <w:rPr>
                <w:sz w:val="21"/>
              </w:rPr>
            </w:pPr>
            <w:r>
              <w:rPr>
                <w:sz w:val="21"/>
              </w:rPr>
              <w:t>(1)保险合同；</w:t>
            </w:r>
          </w:p>
          <w:p>
            <w:pPr>
              <w:pStyle w:val="TableParagraph"/>
              <w:spacing w:before="37"/>
              <w:ind w:left="106"/>
              <w:rPr>
                <w:sz w:val="21"/>
              </w:rPr>
            </w:pPr>
            <w:r>
              <w:rPr>
                <w:sz w:val="21"/>
              </w:rPr>
              <w:t>(2)受益人的有效身份证件；</w:t>
            </w:r>
          </w:p>
          <w:p>
            <w:pPr>
              <w:pStyle w:val="TableParagraph"/>
              <w:spacing w:line="273" w:lineRule="auto" w:before="37"/>
              <w:ind w:left="106" w:right="200"/>
              <w:rPr>
                <w:sz w:val="21"/>
              </w:rPr>
            </w:pPr>
            <w:r>
              <w:rPr>
                <w:sz w:val="21"/>
              </w:rPr>
              <w:t>(3)</w:t>
            </w:r>
            <w:r>
              <w:rPr>
                <w:spacing w:val="-4"/>
                <w:sz w:val="21"/>
              </w:rPr>
              <w:t>卫生行政部门认定的二级以上</w:t>
            </w:r>
            <w:r>
              <w:rPr>
                <w:spacing w:val="-3"/>
                <w:sz w:val="21"/>
              </w:rPr>
              <w:t>（</w:t>
            </w:r>
            <w:r>
              <w:rPr>
                <w:spacing w:val="-2"/>
                <w:sz w:val="21"/>
              </w:rPr>
              <w:t>含二级</w:t>
            </w:r>
            <w:r>
              <w:rPr>
                <w:spacing w:val="-10"/>
                <w:sz w:val="21"/>
              </w:rPr>
              <w:t>）</w:t>
            </w:r>
            <w:r>
              <w:rPr>
                <w:spacing w:val="-3"/>
                <w:sz w:val="21"/>
              </w:rPr>
              <w:t>医院出具的附有病理显微镜检查报告、血液检查及其他科学方法检验报告的病史资料及疾</w:t>
            </w:r>
            <w:r>
              <w:rPr>
                <w:spacing w:val="-5"/>
                <w:sz w:val="21"/>
              </w:rPr>
              <w:t>病诊断报告书；但严重原发性心肌病的理赔须由三级以上</w:t>
            </w:r>
            <w:r>
              <w:rPr>
                <w:spacing w:val="-3"/>
                <w:sz w:val="21"/>
              </w:rPr>
              <w:t>（</w:t>
            </w:r>
            <w:r>
              <w:rPr>
                <w:spacing w:val="-2"/>
                <w:sz w:val="21"/>
              </w:rPr>
              <w:t>含三级</w:t>
            </w:r>
            <w:r>
              <w:rPr>
                <w:sz w:val="21"/>
              </w:rPr>
              <w:t>） 医院出具前述报告和资料；如有必要，我们有权对被保险人进行复</w:t>
            </w:r>
            <w:r>
              <w:rPr>
                <w:spacing w:val="-3"/>
                <w:sz w:val="21"/>
              </w:rPr>
              <w:t>检，复检费用由我们承担；</w:t>
            </w:r>
          </w:p>
          <w:p>
            <w:pPr>
              <w:pStyle w:val="TableParagraph"/>
              <w:spacing w:line="273" w:lineRule="auto" w:before="7"/>
              <w:ind w:left="106" w:right="260"/>
              <w:rPr>
                <w:sz w:val="21"/>
              </w:rPr>
            </w:pPr>
            <w:r>
              <w:rPr>
                <w:sz w:val="21"/>
              </w:rPr>
              <w:t>(4)所能提供的与确认保险事故的性质、原因等有关的其他证明和资料。</w:t>
            </w:r>
          </w:p>
        </w:tc>
      </w:tr>
      <w:tr>
        <w:trPr>
          <w:trHeight w:val="3043" w:hRule="atLeast"/>
        </w:trPr>
        <w:tc>
          <w:tcPr>
            <w:tcW w:w="944" w:type="dxa"/>
          </w:tcPr>
          <w:p>
            <w:pPr>
              <w:pStyle w:val="TableParagraph"/>
              <w:ind w:left="0"/>
              <w:rPr>
                <w:rFonts w:ascii="Times New Roman"/>
                <w:sz w:val="20"/>
              </w:rPr>
            </w:pPr>
          </w:p>
        </w:tc>
        <w:tc>
          <w:tcPr>
            <w:tcW w:w="2296" w:type="dxa"/>
          </w:tcPr>
          <w:p>
            <w:pPr>
              <w:pStyle w:val="TableParagraph"/>
              <w:spacing w:before="49"/>
              <w:ind w:left="0" w:right="527"/>
              <w:jc w:val="right"/>
              <w:rPr>
                <w:sz w:val="21"/>
              </w:rPr>
            </w:pPr>
            <w:r>
              <w:rPr>
                <w:sz w:val="21"/>
              </w:rPr>
              <w:t>身故保险金申请</w:t>
            </w:r>
          </w:p>
        </w:tc>
        <w:tc>
          <w:tcPr>
            <w:tcW w:w="6598" w:type="dxa"/>
          </w:tcPr>
          <w:p>
            <w:pPr>
              <w:pStyle w:val="TableParagraph"/>
              <w:spacing w:before="49"/>
              <w:ind w:left="106"/>
              <w:rPr>
                <w:sz w:val="21"/>
              </w:rPr>
            </w:pPr>
            <w:r>
              <w:rPr>
                <w:sz w:val="21"/>
              </w:rPr>
              <w:t>受益人须填写保险金给付申请书，并提供下列证明和资料：</w:t>
            </w:r>
          </w:p>
          <w:p>
            <w:pPr>
              <w:pStyle w:val="TableParagraph"/>
              <w:spacing w:before="37"/>
              <w:ind w:left="106"/>
              <w:rPr>
                <w:sz w:val="21"/>
              </w:rPr>
            </w:pPr>
            <w:r>
              <w:rPr>
                <w:sz w:val="21"/>
              </w:rPr>
              <w:t>(1)保险合同；</w:t>
            </w:r>
          </w:p>
          <w:p>
            <w:pPr>
              <w:pStyle w:val="TableParagraph"/>
              <w:spacing w:before="37"/>
              <w:ind w:left="106"/>
              <w:rPr>
                <w:sz w:val="21"/>
              </w:rPr>
            </w:pPr>
            <w:r>
              <w:rPr>
                <w:sz w:val="21"/>
              </w:rPr>
              <w:t>(2)受益人的有效身份证件；</w:t>
            </w:r>
          </w:p>
          <w:p>
            <w:pPr>
              <w:pStyle w:val="TableParagraph"/>
              <w:spacing w:line="273" w:lineRule="auto" w:before="37"/>
              <w:ind w:left="106" w:right="260"/>
              <w:rPr>
                <w:sz w:val="21"/>
              </w:rPr>
            </w:pPr>
            <w:r>
              <w:rPr>
                <w:sz w:val="21"/>
              </w:rPr>
              <w:t>(3)卫生行政部门认定的医疗机构、公安部门或其他相关机构出具的被保险人的死亡证明；</w:t>
            </w:r>
          </w:p>
          <w:p>
            <w:pPr>
              <w:pStyle w:val="TableParagraph"/>
              <w:spacing w:line="273" w:lineRule="auto" w:before="7"/>
              <w:ind w:left="106" w:right="260"/>
              <w:rPr>
                <w:sz w:val="21"/>
              </w:rPr>
            </w:pPr>
            <w:r>
              <w:rPr>
                <w:sz w:val="21"/>
              </w:rPr>
              <w:t>(4)所能提供的与确认保险事故的性质、原因等有关的其他证明和资料。</w:t>
            </w:r>
          </w:p>
          <w:p>
            <w:pPr>
              <w:pStyle w:val="TableParagraph"/>
              <w:spacing w:line="273" w:lineRule="auto" w:before="100"/>
              <w:ind w:left="106" w:right="303"/>
              <w:rPr>
                <w:sz w:val="21"/>
              </w:rPr>
            </w:pPr>
            <w:r>
              <w:rPr>
                <w:sz w:val="21"/>
              </w:rPr>
              <w:t>保险金作为被保险人遗产时，必须提供可证明合法继承权的相关权利文件。</w:t>
            </w:r>
          </w:p>
        </w:tc>
      </w:tr>
      <w:tr>
        <w:trPr>
          <w:trHeight w:val="332" w:hRule="atLeast"/>
        </w:trPr>
        <w:tc>
          <w:tcPr>
            <w:tcW w:w="944" w:type="dxa"/>
          </w:tcPr>
          <w:p>
            <w:pPr>
              <w:pStyle w:val="TableParagraph"/>
              <w:ind w:left="0"/>
              <w:rPr>
                <w:rFonts w:ascii="Times New Roman"/>
                <w:sz w:val="20"/>
              </w:rPr>
            </w:pPr>
          </w:p>
        </w:tc>
        <w:tc>
          <w:tcPr>
            <w:tcW w:w="2296" w:type="dxa"/>
          </w:tcPr>
          <w:p>
            <w:pPr>
              <w:pStyle w:val="TableParagraph"/>
              <w:spacing w:line="263" w:lineRule="exact" w:before="49"/>
              <w:ind w:left="0" w:right="527"/>
              <w:jc w:val="right"/>
              <w:rPr>
                <w:sz w:val="21"/>
              </w:rPr>
            </w:pPr>
            <w:r>
              <w:rPr>
                <w:sz w:val="21"/>
              </w:rPr>
              <w:t>全残保险金申请</w:t>
            </w:r>
          </w:p>
        </w:tc>
        <w:tc>
          <w:tcPr>
            <w:tcW w:w="6598" w:type="dxa"/>
          </w:tcPr>
          <w:p>
            <w:pPr>
              <w:pStyle w:val="TableParagraph"/>
              <w:spacing w:line="263" w:lineRule="exact" w:before="49"/>
              <w:ind w:left="106"/>
              <w:rPr>
                <w:sz w:val="21"/>
              </w:rPr>
            </w:pPr>
            <w:r>
              <w:rPr>
                <w:sz w:val="21"/>
              </w:rPr>
              <w:t>受益人须填写保险金给付申请书，并提供下列证明和资料：</w:t>
            </w:r>
          </w:p>
        </w:tc>
      </w:tr>
    </w:tbl>
    <w:p>
      <w:pPr>
        <w:spacing w:after="0" w:line="263" w:lineRule="exact"/>
        <w:rPr>
          <w:sz w:val="21"/>
        </w:rPr>
        <w:sectPr>
          <w:pgSz w:w="11910" w:h="16840"/>
          <w:pgMar w:top="1460" w:bottom="280" w:left="980" w:right="8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2295"/>
        <w:gridCol w:w="6494"/>
      </w:tblGrid>
      <w:tr>
        <w:trPr>
          <w:trHeight w:val="1892" w:hRule="atLeast"/>
        </w:trPr>
        <w:tc>
          <w:tcPr>
            <w:tcW w:w="944" w:type="dxa"/>
          </w:tcPr>
          <w:p>
            <w:pPr>
              <w:pStyle w:val="TableParagraph"/>
              <w:ind w:left="0"/>
              <w:rPr>
                <w:rFonts w:ascii="Times New Roman"/>
                <w:sz w:val="20"/>
              </w:rPr>
            </w:pPr>
          </w:p>
        </w:tc>
        <w:tc>
          <w:tcPr>
            <w:tcW w:w="2295" w:type="dxa"/>
          </w:tcPr>
          <w:p>
            <w:pPr>
              <w:pStyle w:val="TableParagraph"/>
              <w:ind w:left="0"/>
              <w:rPr>
                <w:rFonts w:ascii="Times New Roman"/>
                <w:sz w:val="20"/>
              </w:rPr>
            </w:pPr>
          </w:p>
        </w:tc>
        <w:tc>
          <w:tcPr>
            <w:tcW w:w="6494" w:type="dxa"/>
          </w:tcPr>
          <w:p>
            <w:pPr>
              <w:pStyle w:val="TableParagraph"/>
              <w:spacing w:line="203" w:lineRule="exact"/>
              <w:ind w:left="107"/>
              <w:rPr>
                <w:sz w:val="21"/>
              </w:rPr>
            </w:pPr>
            <w:r>
              <w:rPr>
                <w:sz w:val="21"/>
              </w:rPr>
              <w:t>(1)保险合同；</w:t>
            </w:r>
          </w:p>
          <w:p>
            <w:pPr>
              <w:pStyle w:val="TableParagraph"/>
              <w:spacing w:before="37"/>
              <w:ind w:left="107"/>
              <w:rPr>
                <w:sz w:val="21"/>
              </w:rPr>
            </w:pPr>
            <w:r>
              <w:rPr>
                <w:sz w:val="21"/>
              </w:rPr>
              <w:t>(2)受益人的有效身份证件；</w:t>
            </w:r>
          </w:p>
          <w:p>
            <w:pPr>
              <w:pStyle w:val="TableParagraph"/>
              <w:spacing w:line="273" w:lineRule="auto" w:before="37"/>
              <w:ind w:left="107" w:right="156"/>
              <w:rPr>
                <w:sz w:val="21"/>
              </w:rPr>
            </w:pPr>
            <w:r>
              <w:rPr>
                <w:sz w:val="21"/>
              </w:rPr>
              <w:t>(3)双方认可的二级及以上公立医院（或有资质的司法鉴定机构）出具的被保险人伤残鉴定证明文件；</w:t>
            </w:r>
          </w:p>
          <w:p>
            <w:pPr>
              <w:pStyle w:val="TableParagraph"/>
              <w:spacing w:line="273" w:lineRule="auto" w:before="7"/>
              <w:ind w:left="107" w:right="158"/>
              <w:rPr>
                <w:sz w:val="21"/>
              </w:rPr>
            </w:pPr>
            <w:r>
              <w:rPr>
                <w:sz w:val="21"/>
              </w:rPr>
              <w:t>(4)所能提供的与确认保险事故的性质、原因、伤害程度等有关的其他证明和资料。</w:t>
            </w:r>
          </w:p>
        </w:tc>
      </w:tr>
      <w:tr>
        <w:trPr>
          <w:trHeight w:val="765" w:hRule="atLeast"/>
        </w:trPr>
        <w:tc>
          <w:tcPr>
            <w:tcW w:w="944" w:type="dxa"/>
          </w:tcPr>
          <w:p>
            <w:pPr>
              <w:pStyle w:val="TableParagraph"/>
              <w:ind w:left="0"/>
              <w:rPr>
                <w:rFonts w:ascii="Times New Roman"/>
                <w:sz w:val="20"/>
              </w:rPr>
            </w:pPr>
          </w:p>
        </w:tc>
        <w:tc>
          <w:tcPr>
            <w:tcW w:w="2295" w:type="dxa"/>
          </w:tcPr>
          <w:p>
            <w:pPr>
              <w:pStyle w:val="TableParagraph"/>
              <w:ind w:left="0"/>
              <w:rPr>
                <w:rFonts w:ascii="Times New Roman"/>
                <w:sz w:val="20"/>
              </w:rPr>
            </w:pPr>
          </w:p>
        </w:tc>
        <w:tc>
          <w:tcPr>
            <w:tcW w:w="6494" w:type="dxa"/>
          </w:tcPr>
          <w:p>
            <w:pPr>
              <w:pStyle w:val="TableParagraph"/>
              <w:spacing w:line="273" w:lineRule="auto" w:before="49"/>
              <w:ind w:left="148" w:right="201"/>
              <w:rPr>
                <w:sz w:val="21"/>
              </w:rPr>
            </w:pPr>
            <w:r>
              <w:rPr>
                <w:sz w:val="21"/>
              </w:rPr>
              <w:t>以上各项证明和资料不完整的，我们将及时一次性通知受益人补充提供有关证明和资料。</w:t>
            </w:r>
          </w:p>
        </w:tc>
      </w:tr>
      <w:tr>
        <w:trPr>
          <w:trHeight w:val="4292" w:hRule="atLeast"/>
        </w:trPr>
        <w:tc>
          <w:tcPr>
            <w:tcW w:w="944" w:type="dxa"/>
          </w:tcPr>
          <w:p>
            <w:pPr>
              <w:pStyle w:val="TableParagraph"/>
              <w:ind w:left="0"/>
              <w:rPr>
                <w:rFonts w:ascii="Times New Roman"/>
                <w:sz w:val="20"/>
              </w:rPr>
            </w:pPr>
          </w:p>
        </w:tc>
        <w:tc>
          <w:tcPr>
            <w:tcW w:w="2295" w:type="dxa"/>
          </w:tcPr>
          <w:p>
            <w:pPr>
              <w:pStyle w:val="TableParagraph"/>
              <w:spacing w:before="49"/>
              <w:ind w:left="292"/>
              <w:rPr>
                <w:sz w:val="21"/>
              </w:rPr>
            </w:pPr>
            <w:r>
              <w:rPr>
                <w:sz w:val="21"/>
              </w:rPr>
              <w:t>长期护理保险金申请</w:t>
            </w:r>
          </w:p>
        </w:tc>
        <w:tc>
          <w:tcPr>
            <w:tcW w:w="6494" w:type="dxa"/>
          </w:tcPr>
          <w:p>
            <w:pPr>
              <w:pStyle w:val="TableParagraph"/>
              <w:spacing w:before="49"/>
              <w:ind w:left="107"/>
              <w:rPr>
                <w:sz w:val="21"/>
              </w:rPr>
            </w:pPr>
            <w:r>
              <w:rPr>
                <w:sz w:val="21"/>
              </w:rPr>
              <w:t>受益人须填写保险金给付申请书，并提供下列证明和资料：</w:t>
            </w:r>
          </w:p>
          <w:p>
            <w:pPr>
              <w:pStyle w:val="TableParagraph"/>
              <w:spacing w:before="37"/>
              <w:ind w:left="107"/>
              <w:rPr>
                <w:sz w:val="21"/>
              </w:rPr>
            </w:pPr>
            <w:r>
              <w:rPr>
                <w:sz w:val="21"/>
              </w:rPr>
              <w:t>(1)保险合同；</w:t>
            </w:r>
          </w:p>
          <w:p>
            <w:pPr>
              <w:pStyle w:val="TableParagraph"/>
              <w:spacing w:before="37"/>
              <w:ind w:left="107"/>
              <w:rPr>
                <w:sz w:val="21"/>
              </w:rPr>
            </w:pPr>
            <w:r>
              <w:rPr>
                <w:sz w:val="21"/>
              </w:rPr>
              <w:t>(2)受益人的有效身份证件；</w:t>
            </w:r>
          </w:p>
          <w:p>
            <w:pPr>
              <w:pStyle w:val="TableParagraph"/>
              <w:spacing w:line="273" w:lineRule="auto" w:before="36"/>
              <w:ind w:left="107" w:right="200"/>
              <w:jc w:val="both"/>
              <w:rPr>
                <w:sz w:val="21"/>
              </w:rPr>
            </w:pPr>
            <w:r>
              <w:rPr>
                <w:sz w:val="21"/>
              </w:rPr>
              <w:t>(3)</w:t>
            </w:r>
            <w:r>
              <w:rPr>
                <w:spacing w:val="-4"/>
                <w:sz w:val="21"/>
              </w:rPr>
              <w:t>双方认可的二级及以上公立医院</w:t>
            </w:r>
            <w:r>
              <w:rPr>
                <w:sz w:val="21"/>
              </w:rPr>
              <w:t>（</w:t>
            </w:r>
            <w:r>
              <w:rPr>
                <w:spacing w:val="-3"/>
                <w:sz w:val="21"/>
              </w:rPr>
              <w:t>或有资质的司法鉴定机构</w:t>
            </w:r>
            <w:r>
              <w:rPr>
                <w:spacing w:val="-10"/>
                <w:sz w:val="21"/>
              </w:rPr>
              <w:t>）</w:t>
            </w:r>
            <w:r>
              <w:rPr>
                <w:sz w:val="21"/>
              </w:rPr>
              <w:t>出具的被保险人达到本合同约定的自主生活能力完全丧失的鉴定书； </w:t>
            </w:r>
            <w:r>
              <w:rPr>
                <w:spacing w:val="-3"/>
                <w:sz w:val="21"/>
              </w:rPr>
              <w:t>如有必要，我们有权对被保险人进行复检，复检费用由我们承担；</w:t>
            </w:r>
          </w:p>
          <w:p>
            <w:pPr>
              <w:pStyle w:val="TableParagraph"/>
              <w:spacing w:line="273" w:lineRule="auto" w:before="7"/>
              <w:ind w:left="107" w:right="200"/>
              <w:jc w:val="both"/>
              <w:rPr>
                <w:sz w:val="21"/>
              </w:rPr>
            </w:pPr>
            <w:r>
              <w:rPr>
                <w:sz w:val="21"/>
              </w:rPr>
              <w:t>(4)</w:t>
            </w:r>
            <w:r>
              <w:rPr>
                <w:spacing w:val="-4"/>
                <w:sz w:val="21"/>
              </w:rPr>
              <w:t>所能提供的与确认保险事故的性质、原因等有关的其他证明和资料。</w:t>
            </w:r>
          </w:p>
          <w:p>
            <w:pPr>
              <w:pStyle w:val="TableParagraph"/>
              <w:spacing w:line="273" w:lineRule="auto" w:before="101"/>
              <w:ind w:left="107" w:right="198"/>
              <w:jc w:val="both"/>
              <w:rPr>
                <w:sz w:val="21"/>
              </w:rPr>
            </w:pPr>
            <w:r>
              <w:rPr>
                <w:sz w:val="21"/>
              </w:rPr>
              <w:t>若被保险人在领取长期护理保险金期间身故、全残、符合生命末期</w:t>
            </w:r>
            <w:r>
              <w:rPr>
                <w:spacing w:val="-5"/>
                <w:sz w:val="21"/>
              </w:rPr>
              <w:t>疾病状态或患重大疾病，申请一次性领取未给付的长期护理保险金, </w:t>
            </w:r>
            <w:r>
              <w:rPr>
                <w:spacing w:val="-13"/>
                <w:sz w:val="21"/>
              </w:rPr>
              <w:t>申请人须填写保险金给付申请书,并提供与申请“身故保险金”、“全</w:t>
            </w:r>
            <w:r>
              <w:rPr>
                <w:spacing w:val="-17"/>
                <w:sz w:val="21"/>
              </w:rPr>
              <w:t>残保险金”、“生命末期保险金”或“重大疾病保险金”相同的证明</w:t>
            </w:r>
            <w:r>
              <w:rPr>
                <w:spacing w:val="-10"/>
                <w:sz w:val="21"/>
              </w:rPr>
              <w:t>和材料。</w:t>
            </w:r>
          </w:p>
        </w:tc>
      </w:tr>
      <w:tr>
        <w:trPr>
          <w:trHeight w:val="4447" w:hRule="atLeast"/>
        </w:trPr>
        <w:tc>
          <w:tcPr>
            <w:tcW w:w="944" w:type="dxa"/>
          </w:tcPr>
          <w:p>
            <w:pPr>
              <w:pStyle w:val="TableParagraph"/>
              <w:spacing w:before="49"/>
              <w:ind w:left="200"/>
              <w:rPr>
                <w:b/>
                <w:sz w:val="21"/>
              </w:rPr>
            </w:pPr>
            <w:r>
              <w:rPr>
                <w:b/>
                <w:sz w:val="21"/>
              </w:rPr>
              <w:t>3.4</w:t>
            </w:r>
          </w:p>
        </w:tc>
        <w:tc>
          <w:tcPr>
            <w:tcW w:w="2295" w:type="dxa"/>
          </w:tcPr>
          <w:p>
            <w:pPr>
              <w:pStyle w:val="TableParagraph"/>
              <w:spacing w:before="49"/>
              <w:ind w:left="427"/>
              <w:rPr>
                <w:b/>
                <w:sz w:val="21"/>
              </w:rPr>
            </w:pPr>
            <w:r>
              <w:rPr>
                <w:b/>
                <w:sz w:val="21"/>
              </w:rPr>
              <w:t>保险金给付</w:t>
            </w:r>
          </w:p>
        </w:tc>
        <w:tc>
          <w:tcPr>
            <w:tcW w:w="6494" w:type="dxa"/>
          </w:tcPr>
          <w:p>
            <w:pPr>
              <w:pStyle w:val="TableParagraph"/>
              <w:spacing w:before="49"/>
              <w:ind w:left="148"/>
              <w:rPr>
                <w:sz w:val="21"/>
              </w:rPr>
            </w:pPr>
            <w:r>
              <w:rPr>
                <w:sz w:val="21"/>
              </w:rPr>
              <w:t>我们在收到保险金给付申请书及上述有关证明和资料后，将在 5 日</w:t>
            </w:r>
          </w:p>
          <w:p>
            <w:pPr>
              <w:pStyle w:val="TableParagraph"/>
              <w:spacing w:before="37"/>
              <w:ind w:left="148"/>
              <w:rPr>
                <w:sz w:val="21"/>
              </w:rPr>
            </w:pPr>
            <w:r>
              <w:rPr>
                <w:sz w:val="21"/>
              </w:rPr>
              <w:t>内作出核定；</w:t>
            </w:r>
            <w:r>
              <w:rPr>
                <w:b/>
                <w:sz w:val="21"/>
              </w:rPr>
              <w:t>情形复杂</w:t>
            </w:r>
            <w:r>
              <w:rPr>
                <w:sz w:val="21"/>
              </w:rPr>
              <w:t>（详见释义）的，在 30 日内作出核定。对属</w:t>
            </w:r>
          </w:p>
          <w:p>
            <w:pPr>
              <w:pStyle w:val="TableParagraph"/>
              <w:spacing w:line="273" w:lineRule="auto" w:before="37"/>
              <w:ind w:left="148" w:right="200"/>
              <w:jc w:val="both"/>
              <w:rPr>
                <w:sz w:val="21"/>
              </w:rPr>
            </w:pPr>
            <w:r>
              <w:rPr>
                <w:spacing w:val="-4"/>
                <w:sz w:val="21"/>
              </w:rPr>
              <w:t>于给付保险金责任的，我们在与受益人达成给付保险金的协议后 </w:t>
            </w:r>
            <w:r>
              <w:rPr>
                <w:spacing w:val="-3"/>
                <w:sz w:val="21"/>
              </w:rPr>
              <w:t>10 日内，履行给付保险金义务。</w:t>
            </w:r>
          </w:p>
          <w:p>
            <w:pPr>
              <w:pStyle w:val="TableParagraph"/>
              <w:spacing w:line="273" w:lineRule="auto" w:before="101"/>
              <w:ind w:left="148" w:right="200"/>
              <w:jc w:val="both"/>
              <w:rPr>
                <w:sz w:val="21"/>
              </w:rPr>
            </w:pPr>
            <w:r>
              <w:rPr>
                <w:sz w:val="21"/>
              </w:rPr>
              <w:t>我们未及时履行前款规定的给付保险金义务的，除支付保险金外， 应当赔偿受益人因此受到的损失。前述“损失”是指根据中国人民银行公布的同期人民币活期存款基准利率计算的利息损失。</w:t>
            </w:r>
          </w:p>
          <w:p>
            <w:pPr>
              <w:pStyle w:val="TableParagraph"/>
              <w:spacing w:line="273" w:lineRule="auto" w:before="84"/>
              <w:ind w:left="148" w:right="198"/>
              <w:jc w:val="both"/>
              <w:rPr>
                <w:sz w:val="21"/>
              </w:rPr>
            </w:pPr>
            <w:r>
              <w:rPr>
                <w:spacing w:val="-4"/>
                <w:sz w:val="21"/>
              </w:rPr>
              <w:t>对不属于保险责任的，我们自作出核定之日起 </w:t>
            </w:r>
            <w:r>
              <w:rPr>
                <w:sz w:val="21"/>
              </w:rPr>
              <w:t>3</w:t>
            </w:r>
            <w:r>
              <w:rPr>
                <w:spacing w:val="-5"/>
                <w:sz w:val="21"/>
              </w:rPr>
              <w:t> 日内向受益人发出</w:t>
            </w:r>
            <w:r>
              <w:rPr>
                <w:spacing w:val="-4"/>
                <w:sz w:val="21"/>
              </w:rPr>
              <w:t>拒绝给付保险金通知书并说明理由。</w:t>
            </w:r>
          </w:p>
          <w:p>
            <w:pPr>
              <w:pStyle w:val="TableParagraph"/>
              <w:spacing w:line="273" w:lineRule="auto" w:before="87"/>
              <w:ind w:left="148" w:right="198"/>
              <w:jc w:val="both"/>
              <w:rPr>
                <w:sz w:val="21"/>
              </w:rPr>
            </w:pPr>
            <w:r>
              <w:rPr>
                <w:spacing w:val="-5"/>
                <w:sz w:val="21"/>
              </w:rPr>
              <w:t>我们在收到保险金给付申请书及有关证明和资料之日起 </w:t>
            </w:r>
            <w:r>
              <w:rPr>
                <w:sz w:val="21"/>
              </w:rPr>
              <w:t>60</w:t>
            </w:r>
            <w:r>
              <w:rPr>
                <w:spacing w:val="-20"/>
                <w:sz w:val="21"/>
              </w:rPr>
              <w:t> 日内，对给付保险金的数额不能确定的，根据已有证明和资料可以确定的数额先予支付；我们最终确定给付保险金的数额后，将支付相应的差额。</w:t>
            </w:r>
          </w:p>
        </w:tc>
      </w:tr>
      <w:tr>
        <w:trPr>
          <w:trHeight w:val="2092" w:hRule="atLeast"/>
        </w:trPr>
        <w:tc>
          <w:tcPr>
            <w:tcW w:w="944" w:type="dxa"/>
          </w:tcPr>
          <w:p>
            <w:pPr>
              <w:pStyle w:val="TableParagraph"/>
              <w:spacing w:before="49"/>
              <w:ind w:left="200"/>
              <w:rPr>
                <w:b/>
                <w:sz w:val="21"/>
              </w:rPr>
            </w:pPr>
            <w:r>
              <w:rPr>
                <w:b/>
                <w:sz w:val="21"/>
              </w:rPr>
              <w:t>3.5</w:t>
            </w:r>
          </w:p>
        </w:tc>
        <w:tc>
          <w:tcPr>
            <w:tcW w:w="2295" w:type="dxa"/>
          </w:tcPr>
          <w:p>
            <w:pPr>
              <w:pStyle w:val="TableParagraph"/>
              <w:spacing w:before="49"/>
              <w:ind w:left="427"/>
              <w:rPr>
                <w:b/>
                <w:sz w:val="21"/>
              </w:rPr>
            </w:pPr>
            <w:r>
              <w:rPr>
                <w:b/>
                <w:sz w:val="21"/>
              </w:rPr>
              <w:t>宣告死亡处理</w:t>
            </w:r>
          </w:p>
        </w:tc>
        <w:tc>
          <w:tcPr>
            <w:tcW w:w="6494" w:type="dxa"/>
          </w:tcPr>
          <w:p>
            <w:pPr>
              <w:pStyle w:val="TableParagraph"/>
              <w:spacing w:line="273" w:lineRule="auto" w:before="49"/>
              <w:ind w:left="148" w:right="201"/>
              <w:jc w:val="both"/>
              <w:rPr>
                <w:sz w:val="21"/>
              </w:rPr>
            </w:pPr>
            <w:r>
              <w:rPr>
                <w:sz w:val="21"/>
              </w:rPr>
              <w:t>如果有证据证明被保险人在本合同有效期内失踪，而且被法院宣告死亡，符合本合同约定的以死亡为保险金给付条件的，按本合同的约定给付保险金，本合同终止。</w:t>
            </w:r>
          </w:p>
          <w:p>
            <w:pPr>
              <w:pStyle w:val="TableParagraph"/>
              <w:spacing w:line="273" w:lineRule="auto" w:before="84"/>
              <w:ind w:left="148" w:right="198"/>
              <w:jc w:val="both"/>
              <w:rPr>
                <w:sz w:val="21"/>
              </w:rPr>
            </w:pPr>
            <w:r>
              <w:rPr>
                <w:sz w:val="21"/>
              </w:rPr>
              <w:t>如果被保险人在宣告死亡后重新出现或者确知其没有死亡，受益人</w:t>
            </w:r>
            <w:r>
              <w:rPr>
                <w:spacing w:val="-7"/>
                <w:sz w:val="21"/>
              </w:rPr>
              <w:t>应于知道或应当知道后 </w:t>
            </w:r>
            <w:r>
              <w:rPr>
                <w:sz w:val="21"/>
              </w:rPr>
              <w:t>30</w:t>
            </w:r>
            <w:r>
              <w:rPr>
                <w:spacing w:val="-11"/>
                <w:sz w:val="21"/>
              </w:rPr>
              <w:t> 日内向我们退还已给付的保险金，本合同</w:t>
            </w:r>
            <w:r>
              <w:rPr>
                <w:spacing w:val="-6"/>
                <w:sz w:val="21"/>
              </w:rPr>
              <w:t>的效力由双方依法确定。</w:t>
            </w:r>
          </w:p>
        </w:tc>
      </w:tr>
      <w:tr>
        <w:trPr>
          <w:trHeight w:val="333" w:hRule="atLeast"/>
        </w:trPr>
        <w:tc>
          <w:tcPr>
            <w:tcW w:w="944" w:type="dxa"/>
          </w:tcPr>
          <w:p>
            <w:pPr>
              <w:pStyle w:val="TableParagraph"/>
              <w:spacing w:line="263" w:lineRule="exact" w:before="50"/>
              <w:ind w:left="200"/>
              <w:rPr>
                <w:b/>
                <w:sz w:val="21"/>
              </w:rPr>
            </w:pPr>
            <w:r>
              <w:rPr>
                <w:b/>
                <w:sz w:val="21"/>
              </w:rPr>
              <w:t>3.6</w:t>
            </w:r>
          </w:p>
        </w:tc>
        <w:tc>
          <w:tcPr>
            <w:tcW w:w="2295" w:type="dxa"/>
          </w:tcPr>
          <w:p>
            <w:pPr>
              <w:pStyle w:val="TableParagraph"/>
              <w:spacing w:line="263" w:lineRule="exact" w:before="50"/>
              <w:ind w:left="427"/>
              <w:rPr>
                <w:b/>
                <w:sz w:val="21"/>
              </w:rPr>
            </w:pPr>
            <w:r>
              <w:rPr>
                <w:b/>
                <w:sz w:val="21"/>
              </w:rPr>
              <w:t>诉讼时效</w:t>
            </w:r>
          </w:p>
        </w:tc>
        <w:tc>
          <w:tcPr>
            <w:tcW w:w="6494" w:type="dxa"/>
          </w:tcPr>
          <w:p>
            <w:pPr>
              <w:pStyle w:val="TableParagraph"/>
              <w:spacing w:line="263" w:lineRule="exact" w:before="50"/>
              <w:ind w:left="148"/>
              <w:rPr>
                <w:sz w:val="21"/>
              </w:rPr>
            </w:pPr>
            <w:r>
              <w:rPr>
                <w:sz w:val="21"/>
              </w:rPr>
              <w:t>受益人向我们请求给付重大疾病保险金、轻症疾病保险金、特定重</w:t>
            </w:r>
          </w:p>
        </w:tc>
      </w:tr>
    </w:tbl>
    <w:p>
      <w:pPr>
        <w:spacing w:after="0" w:line="263" w:lineRule="exact"/>
        <w:rPr>
          <w:sz w:val="21"/>
        </w:rPr>
        <w:sectPr>
          <w:pgSz w:w="11910" w:h="16840"/>
          <w:pgMar w:top="1460" w:bottom="280" w:left="980" w:right="9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2154"/>
        <w:gridCol w:w="6605"/>
      </w:tblGrid>
      <w:tr>
        <w:trPr>
          <w:trHeight w:val="1727" w:hRule="atLeast"/>
        </w:trPr>
        <w:tc>
          <w:tcPr>
            <w:tcW w:w="785" w:type="dxa"/>
          </w:tcPr>
          <w:p>
            <w:pPr>
              <w:pStyle w:val="TableParagraph"/>
              <w:ind w:left="0"/>
              <w:rPr>
                <w:rFonts w:ascii="Times New Roman"/>
                <w:sz w:val="20"/>
              </w:rPr>
            </w:pPr>
          </w:p>
        </w:tc>
        <w:tc>
          <w:tcPr>
            <w:tcW w:w="2154" w:type="dxa"/>
          </w:tcPr>
          <w:p>
            <w:pPr>
              <w:pStyle w:val="TableParagraph"/>
              <w:ind w:left="0"/>
              <w:rPr>
                <w:rFonts w:ascii="Times New Roman"/>
                <w:sz w:val="20"/>
              </w:rPr>
            </w:pPr>
          </w:p>
        </w:tc>
        <w:tc>
          <w:tcPr>
            <w:tcW w:w="6605" w:type="dxa"/>
          </w:tcPr>
          <w:p>
            <w:pPr>
              <w:pStyle w:val="TableParagraph"/>
              <w:spacing w:line="203" w:lineRule="exact"/>
              <w:ind w:left="357"/>
              <w:rPr>
                <w:sz w:val="21"/>
              </w:rPr>
            </w:pPr>
            <w:r>
              <w:rPr>
                <w:sz w:val="21"/>
              </w:rPr>
              <w:t>大疾病保险金、长期护理保险金的诉讼时效期间为 2 年，自其知道</w:t>
            </w:r>
          </w:p>
          <w:p>
            <w:pPr>
              <w:pStyle w:val="TableParagraph"/>
              <w:spacing w:before="37"/>
              <w:ind w:left="357"/>
              <w:rPr>
                <w:sz w:val="21"/>
              </w:rPr>
            </w:pPr>
            <w:r>
              <w:rPr>
                <w:sz w:val="21"/>
              </w:rPr>
              <w:t>或者应当知道保险事故发生之日起计算。</w:t>
            </w:r>
          </w:p>
          <w:p>
            <w:pPr>
              <w:pStyle w:val="TableParagraph"/>
              <w:spacing w:line="273" w:lineRule="auto" w:before="113"/>
              <w:ind w:left="357" w:right="100"/>
              <w:jc w:val="both"/>
              <w:rPr>
                <w:sz w:val="21"/>
              </w:rPr>
            </w:pPr>
            <w:r>
              <w:rPr>
                <w:sz w:val="21"/>
              </w:rPr>
              <w:t>受益人向我们请求给付身故保险金、全残保险金、生命末期保险金</w:t>
            </w:r>
            <w:r>
              <w:rPr>
                <w:spacing w:val="-5"/>
                <w:sz w:val="21"/>
              </w:rPr>
              <w:t>的诉讼时效期间为 </w:t>
            </w:r>
            <w:r>
              <w:rPr>
                <w:sz w:val="21"/>
              </w:rPr>
              <w:t>5</w:t>
            </w:r>
            <w:r>
              <w:rPr>
                <w:spacing w:val="-5"/>
                <w:sz w:val="21"/>
              </w:rPr>
              <w:t> 年，自其知道或者应当知道保险事故发生之日</w:t>
            </w:r>
            <w:r>
              <w:rPr>
                <w:spacing w:val="-4"/>
                <w:sz w:val="21"/>
              </w:rPr>
              <w:t>起计算。</w:t>
            </w:r>
          </w:p>
        </w:tc>
      </w:tr>
      <w:tr>
        <w:trPr>
          <w:trHeight w:val="311" w:hRule="atLeast"/>
        </w:trPr>
        <w:tc>
          <w:tcPr>
            <w:tcW w:w="785" w:type="dxa"/>
            <w:shd w:val="clear" w:color="auto" w:fill="A6A6A6"/>
          </w:tcPr>
          <w:p>
            <w:pPr>
              <w:pStyle w:val="TableParagraph"/>
              <w:spacing w:line="254" w:lineRule="exact"/>
              <w:ind w:left="108"/>
              <w:rPr>
                <w:b/>
                <w:sz w:val="21"/>
              </w:rPr>
            </w:pPr>
            <w:r>
              <w:rPr>
                <w:b/>
                <w:sz w:val="21"/>
              </w:rPr>
              <w:t>4．</w:t>
            </w:r>
          </w:p>
        </w:tc>
        <w:tc>
          <w:tcPr>
            <w:tcW w:w="2154" w:type="dxa"/>
            <w:shd w:val="clear" w:color="auto" w:fill="A6A6A6"/>
          </w:tcPr>
          <w:p>
            <w:pPr>
              <w:pStyle w:val="TableParagraph"/>
              <w:spacing w:line="254" w:lineRule="exact"/>
              <w:ind w:left="494"/>
              <w:rPr>
                <w:b/>
                <w:sz w:val="21"/>
              </w:rPr>
            </w:pPr>
            <w:r>
              <w:rPr>
                <w:b/>
                <w:sz w:val="21"/>
              </w:rPr>
              <w:t>保险费的支付</w:t>
            </w:r>
          </w:p>
        </w:tc>
        <w:tc>
          <w:tcPr>
            <w:tcW w:w="6605" w:type="dxa"/>
            <w:shd w:val="clear" w:color="auto" w:fill="A6A6A6"/>
          </w:tcPr>
          <w:p>
            <w:pPr>
              <w:pStyle w:val="TableParagraph"/>
              <w:ind w:left="0"/>
              <w:rPr>
                <w:rFonts w:ascii="Times New Roman"/>
                <w:sz w:val="20"/>
              </w:rPr>
            </w:pPr>
          </w:p>
        </w:tc>
      </w:tr>
      <w:tr>
        <w:trPr>
          <w:trHeight w:val="1228" w:hRule="atLeast"/>
        </w:trPr>
        <w:tc>
          <w:tcPr>
            <w:tcW w:w="785" w:type="dxa"/>
          </w:tcPr>
          <w:p>
            <w:pPr>
              <w:pStyle w:val="TableParagraph"/>
              <w:spacing w:before="123"/>
              <w:ind w:left="108"/>
              <w:rPr>
                <w:b/>
                <w:sz w:val="21"/>
              </w:rPr>
            </w:pPr>
            <w:r>
              <w:rPr>
                <w:b/>
                <w:sz w:val="21"/>
              </w:rPr>
              <w:t>4.1</w:t>
            </w:r>
          </w:p>
        </w:tc>
        <w:tc>
          <w:tcPr>
            <w:tcW w:w="2154" w:type="dxa"/>
          </w:tcPr>
          <w:p>
            <w:pPr>
              <w:pStyle w:val="TableParagraph"/>
              <w:spacing w:before="123"/>
              <w:ind w:left="494"/>
              <w:rPr>
                <w:b/>
                <w:sz w:val="21"/>
              </w:rPr>
            </w:pPr>
            <w:r>
              <w:rPr>
                <w:b/>
                <w:sz w:val="21"/>
              </w:rPr>
              <w:t>保险费的支付</w:t>
            </w:r>
          </w:p>
        </w:tc>
        <w:tc>
          <w:tcPr>
            <w:tcW w:w="6605" w:type="dxa"/>
          </w:tcPr>
          <w:p>
            <w:pPr>
              <w:pStyle w:val="TableParagraph"/>
              <w:spacing w:before="123"/>
              <w:ind w:left="357"/>
              <w:rPr>
                <w:sz w:val="21"/>
              </w:rPr>
            </w:pPr>
            <w:r>
              <w:rPr>
                <w:sz w:val="21"/>
              </w:rPr>
              <w:t>交费方式和交费期间由您在投保时与我们约定并在保险单上载明。</w:t>
            </w:r>
          </w:p>
          <w:p>
            <w:pPr>
              <w:pStyle w:val="TableParagraph"/>
              <w:spacing w:line="273" w:lineRule="auto" w:before="113"/>
              <w:ind w:left="357" w:right="104"/>
              <w:rPr>
                <w:sz w:val="21"/>
              </w:rPr>
            </w:pPr>
            <w:r>
              <w:rPr>
                <w:sz w:val="21"/>
              </w:rPr>
              <w:t>在支付首期保险费后，您应当按照约定，在每个保险费约定支付日支付其余各期的保险费。</w:t>
            </w:r>
          </w:p>
        </w:tc>
      </w:tr>
      <w:tr>
        <w:trPr>
          <w:trHeight w:val="2210" w:hRule="atLeast"/>
        </w:trPr>
        <w:tc>
          <w:tcPr>
            <w:tcW w:w="785" w:type="dxa"/>
          </w:tcPr>
          <w:p>
            <w:pPr>
              <w:pStyle w:val="TableParagraph"/>
              <w:spacing w:before="49"/>
              <w:ind w:left="108"/>
              <w:rPr>
                <w:b/>
                <w:sz w:val="21"/>
              </w:rPr>
            </w:pPr>
            <w:r>
              <w:rPr>
                <w:b/>
                <w:sz w:val="21"/>
              </w:rPr>
              <w:t>4.2</w:t>
            </w:r>
          </w:p>
        </w:tc>
        <w:tc>
          <w:tcPr>
            <w:tcW w:w="2154" w:type="dxa"/>
          </w:tcPr>
          <w:p>
            <w:pPr>
              <w:pStyle w:val="TableParagraph"/>
              <w:spacing w:before="49"/>
              <w:ind w:left="494"/>
              <w:rPr>
                <w:b/>
                <w:sz w:val="21"/>
              </w:rPr>
            </w:pPr>
            <w:r>
              <w:rPr>
                <w:b/>
                <w:sz w:val="21"/>
              </w:rPr>
              <w:t>宽限期</w:t>
            </w:r>
          </w:p>
        </w:tc>
        <w:tc>
          <w:tcPr>
            <w:tcW w:w="6605" w:type="dxa"/>
          </w:tcPr>
          <w:p>
            <w:pPr>
              <w:pStyle w:val="TableParagraph"/>
              <w:spacing w:line="278" w:lineRule="auto" w:before="73"/>
              <w:ind w:left="357" w:right="103"/>
              <w:jc w:val="both"/>
              <w:rPr>
                <w:sz w:val="21"/>
              </w:rPr>
            </w:pPr>
            <w:r>
              <w:rPr>
                <w:sz w:val="21"/>
              </w:rPr>
              <w:t>在支付首期保险费后，除本合同另有约定外，如果您到期未支付保</w:t>
            </w:r>
            <w:r>
              <w:rPr>
                <w:spacing w:val="-9"/>
                <w:sz w:val="21"/>
              </w:rPr>
              <w:t>险费，自保险费约定支付日的次日零时起 </w:t>
            </w:r>
            <w:r>
              <w:rPr>
                <w:sz w:val="21"/>
              </w:rPr>
              <w:t>60</w:t>
            </w:r>
            <w:r>
              <w:rPr>
                <w:spacing w:val="-10"/>
                <w:sz w:val="21"/>
              </w:rPr>
              <w:t> 日为宽限期。宽限期内发生的保险事故，我们仍会承担保险责任，但在给付保险金时会扣</w:t>
            </w:r>
            <w:r>
              <w:rPr>
                <w:spacing w:val="-5"/>
                <w:sz w:val="21"/>
              </w:rPr>
              <w:t>减您欠交的保险费。</w:t>
            </w:r>
          </w:p>
          <w:p>
            <w:pPr>
              <w:pStyle w:val="TableParagraph"/>
              <w:spacing w:line="278" w:lineRule="auto" w:before="92"/>
              <w:ind w:left="357" w:right="104"/>
              <w:jc w:val="both"/>
              <w:rPr>
                <w:sz w:val="21"/>
              </w:rPr>
            </w:pPr>
            <w:r>
              <w:rPr>
                <w:sz w:val="21"/>
              </w:rPr>
              <w:t>如果您宽限期结束之后仍未支付保险费，则本合同自宽限期满的次日零时起效力中止。</w:t>
            </w:r>
          </w:p>
        </w:tc>
      </w:tr>
      <w:tr>
        <w:trPr>
          <w:trHeight w:val="312" w:hRule="atLeast"/>
        </w:trPr>
        <w:tc>
          <w:tcPr>
            <w:tcW w:w="785" w:type="dxa"/>
            <w:shd w:val="clear" w:color="auto" w:fill="A6A6A6"/>
          </w:tcPr>
          <w:p>
            <w:pPr>
              <w:pStyle w:val="TableParagraph"/>
              <w:spacing w:line="254" w:lineRule="exact"/>
              <w:ind w:left="108"/>
              <w:rPr>
                <w:b/>
                <w:sz w:val="21"/>
              </w:rPr>
            </w:pPr>
            <w:r>
              <w:rPr>
                <w:b/>
                <w:sz w:val="21"/>
              </w:rPr>
              <w:t>5．</w:t>
            </w:r>
          </w:p>
        </w:tc>
        <w:tc>
          <w:tcPr>
            <w:tcW w:w="2154" w:type="dxa"/>
            <w:shd w:val="clear" w:color="auto" w:fill="A6A6A6"/>
          </w:tcPr>
          <w:p>
            <w:pPr>
              <w:pStyle w:val="TableParagraph"/>
              <w:spacing w:line="254" w:lineRule="exact"/>
              <w:ind w:left="494"/>
              <w:rPr>
                <w:b/>
                <w:sz w:val="21"/>
              </w:rPr>
            </w:pPr>
            <w:r>
              <w:rPr>
                <w:b/>
                <w:sz w:val="21"/>
              </w:rPr>
              <w:t>现金价值权益</w:t>
            </w:r>
          </w:p>
        </w:tc>
        <w:tc>
          <w:tcPr>
            <w:tcW w:w="6605" w:type="dxa"/>
            <w:shd w:val="clear" w:color="auto" w:fill="A6A6A6"/>
          </w:tcPr>
          <w:p>
            <w:pPr>
              <w:pStyle w:val="TableParagraph"/>
              <w:ind w:left="0"/>
              <w:rPr>
                <w:rFonts w:ascii="Times New Roman"/>
                <w:sz w:val="20"/>
              </w:rPr>
            </w:pPr>
          </w:p>
        </w:tc>
      </w:tr>
      <w:tr>
        <w:trPr>
          <w:trHeight w:val="1773" w:hRule="atLeast"/>
        </w:trPr>
        <w:tc>
          <w:tcPr>
            <w:tcW w:w="785" w:type="dxa"/>
          </w:tcPr>
          <w:p>
            <w:pPr>
              <w:pStyle w:val="TableParagraph"/>
              <w:spacing w:before="121"/>
              <w:ind w:left="108"/>
              <w:rPr>
                <w:b/>
                <w:sz w:val="21"/>
              </w:rPr>
            </w:pPr>
            <w:r>
              <w:rPr>
                <w:b/>
                <w:sz w:val="21"/>
              </w:rPr>
              <w:t>5.1</w:t>
            </w:r>
          </w:p>
        </w:tc>
        <w:tc>
          <w:tcPr>
            <w:tcW w:w="2154" w:type="dxa"/>
          </w:tcPr>
          <w:p>
            <w:pPr>
              <w:pStyle w:val="TableParagraph"/>
              <w:spacing w:before="121"/>
              <w:ind w:left="494"/>
              <w:rPr>
                <w:b/>
                <w:sz w:val="21"/>
              </w:rPr>
            </w:pPr>
            <w:r>
              <w:rPr>
                <w:b/>
                <w:sz w:val="21"/>
              </w:rPr>
              <w:t>现金价值</w:t>
            </w:r>
          </w:p>
        </w:tc>
        <w:tc>
          <w:tcPr>
            <w:tcW w:w="6605" w:type="dxa"/>
          </w:tcPr>
          <w:p>
            <w:pPr>
              <w:pStyle w:val="TableParagraph"/>
              <w:spacing w:line="273" w:lineRule="auto" w:before="121"/>
              <w:ind w:left="357" w:right="100"/>
              <w:jc w:val="both"/>
              <w:rPr>
                <w:sz w:val="21"/>
              </w:rPr>
            </w:pPr>
            <w:r>
              <w:rPr>
                <w:sz w:val="21"/>
              </w:rPr>
              <w:t>指本合同保险单所具有的价值，通常体现为解除合同时，根据精算原理计算的，由我们退还的那部分金额。未发生理赔时，保单年度末的现金价值在保险单上载明，保单年度内的现金价值，您可以向我们咨询。我们给付首次重大疾病保险金后，本合同的现金价值降为零。</w:t>
            </w:r>
          </w:p>
        </w:tc>
      </w:tr>
      <w:tr>
        <w:trPr>
          <w:trHeight w:val="3029" w:hRule="atLeast"/>
        </w:trPr>
        <w:tc>
          <w:tcPr>
            <w:tcW w:w="785" w:type="dxa"/>
          </w:tcPr>
          <w:p>
            <w:pPr>
              <w:pStyle w:val="TableParagraph"/>
              <w:spacing w:before="49"/>
              <w:ind w:left="108"/>
              <w:rPr>
                <w:b/>
                <w:sz w:val="21"/>
              </w:rPr>
            </w:pPr>
            <w:r>
              <w:rPr>
                <w:b/>
                <w:sz w:val="21"/>
              </w:rPr>
              <w:t>5.2</w:t>
            </w:r>
          </w:p>
        </w:tc>
        <w:tc>
          <w:tcPr>
            <w:tcW w:w="2154" w:type="dxa"/>
          </w:tcPr>
          <w:p>
            <w:pPr>
              <w:pStyle w:val="TableParagraph"/>
              <w:spacing w:before="49"/>
              <w:ind w:left="494"/>
              <w:rPr>
                <w:b/>
                <w:sz w:val="21"/>
              </w:rPr>
            </w:pPr>
            <w:r>
              <w:rPr>
                <w:b/>
                <w:sz w:val="21"/>
              </w:rPr>
              <w:t>保单贷款</w:t>
            </w:r>
          </w:p>
        </w:tc>
        <w:tc>
          <w:tcPr>
            <w:tcW w:w="6605" w:type="dxa"/>
          </w:tcPr>
          <w:p>
            <w:pPr>
              <w:pStyle w:val="TableParagraph"/>
              <w:spacing w:line="273" w:lineRule="auto" w:before="49"/>
              <w:ind w:left="357" w:right="-15"/>
              <w:rPr>
                <w:sz w:val="21"/>
              </w:rPr>
            </w:pPr>
            <w:r>
              <w:rPr>
                <w:spacing w:val="-9"/>
                <w:sz w:val="21"/>
              </w:rPr>
              <w:t>在本合同有效期内，您可以申请并经我们审核同意后办理保单贷款。对于以身故为保险金给付条件的保单，您申请保单贷款必须取得被保险人的书面同意。贷款金额不得超过本合同保险单的现金价值扣</w:t>
            </w:r>
            <w:r>
              <w:rPr>
                <w:spacing w:val="-10"/>
                <w:sz w:val="21"/>
              </w:rPr>
              <w:t>除各项欠款后余额的 </w:t>
            </w:r>
            <w:r>
              <w:rPr>
                <w:spacing w:val="-3"/>
                <w:sz w:val="21"/>
              </w:rPr>
              <w:t>80％，</w:t>
            </w:r>
            <w:r>
              <w:rPr>
                <w:spacing w:val="-7"/>
                <w:sz w:val="21"/>
              </w:rPr>
              <w:t>每次贷款期限最长不超过 </w:t>
            </w:r>
            <w:r>
              <w:rPr>
                <w:sz w:val="21"/>
              </w:rPr>
              <w:t>6</w:t>
            </w:r>
            <w:r>
              <w:rPr>
                <w:spacing w:val="-10"/>
                <w:sz w:val="21"/>
              </w:rPr>
              <w:t> 个月，贷款利息按</w:t>
            </w:r>
            <w:r>
              <w:rPr>
                <w:b/>
                <w:spacing w:val="-10"/>
                <w:sz w:val="21"/>
              </w:rPr>
              <w:t>本合同约定利率</w:t>
            </w:r>
            <w:r>
              <w:rPr>
                <w:spacing w:val="-3"/>
                <w:sz w:val="21"/>
              </w:rPr>
              <w:t>（</w:t>
            </w:r>
            <w:r>
              <w:rPr>
                <w:sz w:val="21"/>
              </w:rPr>
              <w:t>详见释义）计算。贷款本息在贷款到期时一并归还。若您到期未能足额偿还贷款本息，则您所欠的贷款本金</w:t>
            </w:r>
            <w:r>
              <w:rPr>
                <w:spacing w:val="-3"/>
                <w:sz w:val="21"/>
              </w:rPr>
              <w:t>及利息将作为新的贷款本金计息。</w:t>
            </w:r>
          </w:p>
          <w:p>
            <w:pPr>
              <w:pStyle w:val="TableParagraph"/>
              <w:spacing w:line="273" w:lineRule="auto" w:before="87"/>
              <w:ind w:left="357" w:right="104"/>
              <w:rPr>
                <w:sz w:val="21"/>
              </w:rPr>
            </w:pPr>
            <w:r>
              <w:rPr>
                <w:sz w:val="21"/>
              </w:rPr>
              <w:t>自贷款本金及利息加上其他各项欠款达到本合同保险单的现金价值的当日 24 时起，本合同效力终止。</w:t>
            </w:r>
          </w:p>
        </w:tc>
      </w:tr>
      <w:tr>
        <w:trPr>
          <w:trHeight w:val="3217" w:hRule="atLeast"/>
        </w:trPr>
        <w:tc>
          <w:tcPr>
            <w:tcW w:w="785" w:type="dxa"/>
          </w:tcPr>
          <w:p>
            <w:pPr>
              <w:pStyle w:val="TableParagraph"/>
              <w:spacing w:before="49"/>
              <w:ind w:left="108"/>
              <w:rPr>
                <w:b/>
                <w:sz w:val="21"/>
              </w:rPr>
            </w:pPr>
            <w:r>
              <w:rPr>
                <w:b/>
                <w:sz w:val="21"/>
              </w:rPr>
              <w:t>5.3</w:t>
            </w:r>
          </w:p>
        </w:tc>
        <w:tc>
          <w:tcPr>
            <w:tcW w:w="2154" w:type="dxa"/>
          </w:tcPr>
          <w:p>
            <w:pPr>
              <w:pStyle w:val="TableParagraph"/>
              <w:spacing w:before="49"/>
              <w:ind w:left="360"/>
              <w:rPr>
                <w:b/>
                <w:sz w:val="21"/>
              </w:rPr>
            </w:pPr>
            <w:r>
              <w:rPr>
                <w:b/>
                <w:sz w:val="21"/>
              </w:rPr>
              <w:t>保险费自动垫交</w:t>
            </w:r>
          </w:p>
        </w:tc>
        <w:tc>
          <w:tcPr>
            <w:tcW w:w="6605" w:type="dxa"/>
          </w:tcPr>
          <w:p>
            <w:pPr>
              <w:pStyle w:val="TableParagraph"/>
              <w:spacing w:line="273" w:lineRule="auto" w:before="49"/>
              <w:ind w:left="316" w:right="101"/>
              <w:jc w:val="both"/>
              <w:rPr>
                <w:sz w:val="21"/>
              </w:rPr>
            </w:pPr>
            <w:r>
              <w:rPr>
                <w:sz w:val="21"/>
              </w:rPr>
              <w:t>投保时明确选择保险费自动垫交的，分期支付的保险费在超过宽限期仍未支付时，若保险单的现金价值扣除各项欠款后的余额足以垫交应支付的保险费及利息，我们将以保险单的现金价值的余额垫交应支付的保险费及利息，本合同继续有效；若保险单的现金价值扣除各项欠款后的余额不足以垫交应支付的保险费及利息，本合同中止；当垫交的保险费及利息、各项欠款之和达到保险单的现金价值时，本合同终止。若本合同有附加保险合同，则保险费的自动垫交也包括附加保险合同的到期应付保险费。</w:t>
            </w:r>
          </w:p>
          <w:p>
            <w:pPr>
              <w:pStyle w:val="TableParagraph"/>
              <w:spacing w:line="310" w:lineRule="atLeast" w:before="49"/>
              <w:ind w:left="316" w:right="101"/>
              <w:jc w:val="both"/>
              <w:rPr>
                <w:sz w:val="21"/>
              </w:rPr>
            </w:pPr>
            <w:r>
              <w:rPr>
                <w:sz w:val="21"/>
              </w:rPr>
              <w:t>您在保险费自动垫交开始后申请结束保险费的自动垫交的，须补交所垫交的保险费及利息。</w:t>
            </w:r>
          </w:p>
        </w:tc>
      </w:tr>
    </w:tbl>
    <w:p>
      <w:pPr>
        <w:spacing w:after="0" w:line="310" w:lineRule="atLeast"/>
        <w:jc w:val="both"/>
        <w:rPr>
          <w:sz w:val="21"/>
        </w:rPr>
        <w:sectPr>
          <w:pgSz w:w="11910" w:h="16840"/>
          <w:pgMar w:top="1460" w:bottom="280" w:left="1080" w:right="10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2"/>
        <w:gridCol w:w="2280"/>
        <w:gridCol w:w="6411"/>
      </w:tblGrid>
      <w:tr>
        <w:trPr>
          <w:trHeight w:val="402" w:hRule="atLeast"/>
        </w:trPr>
        <w:tc>
          <w:tcPr>
            <w:tcW w:w="852" w:type="dxa"/>
          </w:tcPr>
          <w:p>
            <w:pPr>
              <w:pStyle w:val="TableParagraph"/>
              <w:ind w:left="0"/>
              <w:rPr>
                <w:rFonts w:ascii="Times New Roman"/>
                <w:sz w:val="20"/>
              </w:rPr>
            </w:pPr>
          </w:p>
        </w:tc>
        <w:tc>
          <w:tcPr>
            <w:tcW w:w="2280" w:type="dxa"/>
          </w:tcPr>
          <w:p>
            <w:pPr>
              <w:pStyle w:val="TableParagraph"/>
              <w:ind w:left="0"/>
              <w:rPr>
                <w:rFonts w:ascii="Times New Roman"/>
                <w:sz w:val="20"/>
              </w:rPr>
            </w:pPr>
          </w:p>
        </w:tc>
        <w:tc>
          <w:tcPr>
            <w:tcW w:w="6411" w:type="dxa"/>
          </w:tcPr>
          <w:p>
            <w:pPr>
              <w:pStyle w:val="TableParagraph"/>
              <w:spacing w:line="203" w:lineRule="exact"/>
              <w:ind w:left="123"/>
              <w:rPr>
                <w:sz w:val="21"/>
              </w:rPr>
            </w:pPr>
            <w:r>
              <w:rPr>
                <w:sz w:val="21"/>
              </w:rPr>
              <w:t>前述垫交保险费的利息按本合同约定利率计算。</w:t>
            </w:r>
          </w:p>
        </w:tc>
      </w:tr>
      <w:tr>
        <w:trPr>
          <w:trHeight w:val="311" w:hRule="atLeast"/>
        </w:trPr>
        <w:tc>
          <w:tcPr>
            <w:tcW w:w="852" w:type="dxa"/>
            <w:shd w:val="clear" w:color="auto" w:fill="A6A6A6"/>
          </w:tcPr>
          <w:p>
            <w:pPr>
              <w:pStyle w:val="TableParagraph"/>
              <w:spacing w:line="254" w:lineRule="exact"/>
              <w:ind w:left="108"/>
              <w:rPr>
                <w:b/>
                <w:sz w:val="21"/>
              </w:rPr>
            </w:pPr>
            <w:r>
              <w:rPr>
                <w:b/>
                <w:sz w:val="21"/>
              </w:rPr>
              <w:t>6.</w:t>
            </w:r>
          </w:p>
        </w:tc>
        <w:tc>
          <w:tcPr>
            <w:tcW w:w="8691" w:type="dxa"/>
            <w:gridSpan w:val="2"/>
            <w:shd w:val="clear" w:color="auto" w:fill="A6A6A6"/>
          </w:tcPr>
          <w:p>
            <w:pPr>
              <w:pStyle w:val="TableParagraph"/>
              <w:spacing w:line="254" w:lineRule="exact"/>
              <w:ind w:left="427"/>
              <w:rPr>
                <w:b/>
                <w:sz w:val="21"/>
              </w:rPr>
            </w:pPr>
            <w:r>
              <w:rPr>
                <w:b/>
                <w:sz w:val="21"/>
              </w:rPr>
              <w:t>合同效力的中止及恢复</w:t>
            </w:r>
          </w:p>
        </w:tc>
      </w:tr>
      <w:tr>
        <w:trPr>
          <w:trHeight w:val="542" w:hRule="atLeast"/>
        </w:trPr>
        <w:tc>
          <w:tcPr>
            <w:tcW w:w="852" w:type="dxa"/>
          </w:tcPr>
          <w:p>
            <w:pPr>
              <w:pStyle w:val="TableParagraph"/>
              <w:spacing w:before="121"/>
              <w:ind w:left="108"/>
              <w:rPr>
                <w:b/>
                <w:sz w:val="21"/>
              </w:rPr>
            </w:pPr>
            <w:r>
              <w:rPr>
                <w:b/>
                <w:sz w:val="21"/>
              </w:rPr>
              <w:t>6.1</w:t>
            </w:r>
          </w:p>
        </w:tc>
        <w:tc>
          <w:tcPr>
            <w:tcW w:w="2280" w:type="dxa"/>
          </w:tcPr>
          <w:p>
            <w:pPr>
              <w:pStyle w:val="TableParagraph"/>
              <w:spacing w:before="121"/>
              <w:ind w:left="427"/>
              <w:rPr>
                <w:b/>
                <w:sz w:val="21"/>
              </w:rPr>
            </w:pPr>
            <w:r>
              <w:rPr>
                <w:b/>
                <w:sz w:val="21"/>
              </w:rPr>
              <w:t>效力中止</w:t>
            </w:r>
          </w:p>
        </w:tc>
        <w:tc>
          <w:tcPr>
            <w:tcW w:w="6411" w:type="dxa"/>
          </w:tcPr>
          <w:p>
            <w:pPr>
              <w:pStyle w:val="TableParagraph"/>
              <w:spacing w:before="145"/>
              <w:ind w:left="164"/>
              <w:rPr>
                <w:rFonts w:ascii="黑体" w:eastAsia="黑体" w:hint="eastAsia"/>
                <w:sz w:val="21"/>
              </w:rPr>
            </w:pPr>
            <w:r>
              <w:rPr>
                <w:rFonts w:ascii="黑体" w:eastAsia="黑体" w:hint="eastAsia"/>
                <w:sz w:val="21"/>
              </w:rPr>
              <w:t>在本合同效力中止期间，我们不承担保险责任。</w:t>
            </w:r>
          </w:p>
        </w:tc>
      </w:tr>
      <w:tr>
        <w:trPr>
          <w:trHeight w:val="2523" w:hRule="atLeast"/>
        </w:trPr>
        <w:tc>
          <w:tcPr>
            <w:tcW w:w="852" w:type="dxa"/>
          </w:tcPr>
          <w:p>
            <w:pPr>
              <w:pStyle w:val="TableParagraph"/>
              <w:spacing w:before="42"/>
              <w:ind w:left="108"/>
              <w:rPr>
                <w:b/>
                <w:sz w:val="21"/>
              </w:rPr>
            </w:pPr>
            <w:r>
              <w:rPr>
                <w:b/>
                <w:sz w:val="21"/>
              </w:rPr>
              <w:t>6.2</w:t>
            </w:r>
          </w:p>
        </w:tc>
        <w:tc>
          <w:tcPr>
            <w:tcW w:w="2280" w:type="dxa"/>
          </w:tcPr>
          <w:p>
            <w:pPr>
              <w:pStyle w:val="TableParagraph"/>
              <w:spacing w:before="42"/>
              <w:ind w:left="427"/>
              <w:rPr>
                <w:b/>
                <w:sz w:val="21"/>
              </w:rPr>
            </w:pPr>
            <w:r>
              <w:rPr>
                <w:b/>
                <w:sz w:val="21"/>
              </w:rPr>
              <w:t>效力恢复</w:t>
            </w:r>
          </w:p>
        </w:tc>
        <w:tc>
          <w:tcPr>
            <w:tcW w:w="6411" w:type="dxa"/>
          </w:tcPr>
          <w:p>
            <w:pPr>
              <w:pStyle w:val="TableParagraph"/>
              <w:spacing w:line="278" w:lineRule="auto" w:before="66"/>
              <w:ind w:left="164" w:right="99"/>
              <w:jc w:val="both"/>
              <w:rPr>
                <w:sz w:val="21"/>
              </w:rPr>
            </w:pPr>
            <w:r>
              <w:rPr>
                <w:spacing w:val="-5"/>
                <w:sz w:val="21"/>
              </w:rPr>
              <w:t>本合同效力中止后 </w:t>
            </w:r>
            <w:r>
              <w:rPr>
                <w:sz w:val="21"/>
              </w:rPr>
              <w:t>2</w:t>
            </w:r>
            <w:r>
              <w:rPr>
                <w:spacing w:val="-5"/>
                <w:sz w:val="21"/>
              </w:rPr>
              <w:t> 年内，您可以申请恢复合同效力。自您补交保险费的次日零时起，合同效力恢复，但被保险人的危险程度在中止期间显著增加的，需经我们与您协商达成协议，并在您补交保险费</w:t>
            </w:r>
            <w:r>
              <w:rPr>
                <w:spacing w:val="-4"/>
                <w:sz w:val="21"/>
              </w:rPr>
              <w:t>的次日零时起，合同效力恢复。</w:t>
            </w:r>
          </w:p>
          <w:p>
            <w:pPr>
              <w:pStyle w:val="TableParagraph"/>
              <w:spacing w:line="278" w:lineRule="auto" w:before="92"/>
              <w:ind w:left="164" w:right="99"/>
              <w:jc w:val="both"/>
              <w:rPr>
                <w:sz w:val="21"/>
              </w:rPr>
            </w:pPr>
            <w:r>
              <w:rPr>
                <w:spacing w:val="-4"/>
                <w:sz w:val="21"/>
              </w:rPr>
              <w:t>自本合同效力中止之日起满 </w:t>
            </w:r>
            <w:r>
              <w:rPr>
                <w:sz w:val="21"/>
              </w:rPr>
              <w:t>2</w:t>
            </w:r>
            <w:r>
              <w:rPr>
                <w:spacing w:val="-5"/>
                <w:sz w:val="21"/>
              </w:rPr>
              <w:t> 年您和我们未达成协议的，我们有权解除合同。我们解除合同的，向您退还合同效力中止时保险单的现</w:t>
            </w:r>
            <w:r>
              <w:rPr>
                <w:spacing w:val="-4"/>
                <w:sz w:val="21"/>
              </w:rPr>
              <w:t>金价值。</w:t>
            </w:r>
          </w:p>
        </w:tc>
      </w:tr>
      <w:tr>
        <w:trPr>
          <w:trHeight w:val="311" w:hRule="atLeast"/>
        </w:trPr>
        <w:tc>
          <w:tcPr>
            <w:tcW w:w="852" w:type="dxa"/>
            <w:shd w:val="clear" w:color="auto" w:fill="A6A6A6"/>
          </w:tcPr>
          <w:p>
            <w:pPr>
              <w:pStyle w:val="TableParagraph"/>
              <w:spacing w:line="254" w:lineRule="exact"/>
              <w:ind w:left="108"/>
              <w:rPr>
                <w:b/>
                <w:sz w:val="21"/>
              </w:rPr>
            </w:pPr>
            <w:r>
              <w:rPr>
                <w:b/>
                <w:sz w:val="21"/>
              </w:rPr>
              <w:t>7．</w:t>
            </w:r>
          </w:p>
        </w:tc>
        <w:tc>
          <w:tcPr>
            <w:tcW w:w="2280" w:type="dxa"/>
            <w:shd w:val="clear" w:color="auto" w:fill="A6A6A6"/>
          </w:tcPr>
          <w:p>
            <w:pPr>
              <w:pStyle w:val="TableParagraph"/>
              <w:spacing w:line="254" w:lineRule="exact"/>
              <w:ind w:left="427"/>
              <w:rPr>
                <w:b/>
                <w:sz w:val="21"/>
              </w:rPr>
            </w:pPr>
            <w:r>
              <w:rPr>
                <w:b/>
                <w:sz w:val="21"/>
              </w:rPr>
              <w:t>合同解除</w:t>
            </w:r>
          </w:p>
        </w:tc>
        <w:tc>
          <w:tcPr>
            <w:tcW w:w="6411" w:type="dxa"/>
            <w:shd w:val="clear" w:color="auto" w:fill="A6A6A6"/>
          </w:tcPr>
          <w:p>
            <w:pPr>
              <w:pStyle w:val="TableParagraph"/>
              <w:ind w:left="0"/>
              <w:rPr>
                <w:rFonts w:ascii="Times New Roman"/>
                <w:sz w:val="20"/>
              </w:rPr>
            </w:pPr>
          </w:p>
        </w:tc>
      </w:tr>
      <w:tr>
        <w:trPr>
          <w:trHeight w:val="3247" w:hRule="atLeast"/>
        </w:trPr>
        <w:tc>
          <w:tcPr>
            <w:tcW w:w="852" w:type="dxa"/>
          </w:tcPr>
          <w:p>
            <w:pPr>
              <w:pStyle w:val="TableParagraph"/>
              <w:spacing w:before="121"/>
              <w:ind w:left="108"/>
              <w:rPr>
                <w:b/>
                <w:sz w:val="21"/>
              </w:rPr>
            </w:pPr>
            <w:r>
              <w:rPr>
                <w:b/>
                <w:sz w:val="21"/>
              </w:rPr>
              <w:t>7.1</w:t>
            </w:r>
          </w:p>
        </w:tc>
        <w:tc>
          <w:tcPr>
            <w:tcW w:w="2280" w:type="dxa"/>
          </w:tcPr>
          <w:p>
            <w:pPr>
              <w:pStyle w:val="TableParagraph"/>
              <w:spacing w:line="273" w:lineRule="auto" w:before="121"/>
              <w:ind w:left="427" w:right="160"/>
              <w:rPr>
                <w:b/>
                <w:sz w:val="21"/>
              </w:rPr>
            </w:pPr>
            <w:r>
              <w:rPr>
                <w:b/>
                <w:sz w:val="21"/>
              </w:rPr>
              <w:t>您解除合同的手续及风险</w:t>
            </w:r>
          </w:p>
        </w:tc>
        <w:tc>
          <w:tcPr>
            <w:tcW w:w="6411" w:type="dxa"/>
          </w:tcPr>
          <w:p>
            <w:pPr>
              <w:pStyle w:val="TableParagraph"/>
              <w:spacing w:line="273" w:lineRule="auto" w:before="121"/>
              <w:ind w:left="164" w:right="103"/>
              <w:rPr>
                <w:sz w:val="21"/>
              </w:rPr>
            </w:pPr>
            <w:r>
              <w:rPr>
                <w:sz w:val="21"/>
              </w:rPr>
              <w:t>如您在犹豫期后申请解除本合同，请填写解除合同的书面申请并向我们提供下列资料：</w:t>
            </w:r>
          </w:p>
          <w:p>
            <w:pPr>
              <w:pStyle w:val="TableParagraph"/>
              <w:spacing w:before="8"/>
              <w:ind w:left="164"/>
              <w:rPr>
                <w:sz w:val="21"/>
              </w:rPr>
            </w:pPr>
            <w:r>
              <w:rPr>
                <w:sz w:val="21"/>
              </w:rPr>
              <w:t>(1)保险合同；</w:t>
            </w:r>
          </w:p>
          <w:p>
            <w:pPr>
              <w:pStyle w:val="TableParagraph"/>
              <w:spacing w:before="37"/>
              <w:ind w:left="164"/>
              <w:rPr>
                <w:sz w:val="21"/>
              </w:rPr>
            </w:pPr>
            <w:r>
              <w:rPr>
                <w:sz w:val="21"/>
              </w:rPr>
              <w:t>(2)您的有效身份证件。</w:t>
            </w:r>
          </w:p>
          <w:p>
            <w:pPr>
              <w:pStyle w:val="TableParagraph"/>
              <w:spacing w:line="273" w:lineRule="auto" w:before="113"/>
              <w:ind w:left="164" w:right="101"/>
              <w:jc w:val="both"/>
              <w:rPr>
                <w:sz w:val="21"/>
              </w:rPr>
            </w:pPr>
            <w:r>
              <w:rPr>
                <w:sz w:val="21"/>
              </w:rPr>
              <w:t>自我们收到解除合同的书面申请时起，本合同终止。我们自收到解除合同的书面申请之日起 30 日内向您退还本合同保险单的现金价值。但被保险人或者受益人已向您支付相当于保险单现金价值的款项并通知我们的，我们有权拒绝您解除合同的申请。</w:t>
            </w:r>
          </w:p>
          <w:p>
            <w:pPr>
              <w:pStyle w:val="TableParagraph"/>
              <w:spacing w:before="86"/>
              <w:ind w:left="164"/>
              <w:jc w:val="both"/>
              <w:rPr>
                <w:sz w:val="21"/>
              </w:rPr>
            </w:pPr>
            <w:r>
              <w:rPr>
                <w:sz w:val="21"/>
              </w:rPr>
              <w:t>您犹豫期后解除合同会遭受一定损失。</w:t>
            </w:r>
          </w:p>
        </w:tc>
      </w:tr>
      <w:tr>
        <w:trPr>
          <w:trHeight w:val="312" w:hRule="atLeast"/>
        </w:trPr>
        <w:tc>
          <w:tcPr>
            <w:tcW w:w="852" w:type="dxa"/>
            <w:shd w:val="clear" w:color="auto" w:fill="A6A6A6"/>
          </w:tcPr>
          <w:p>
            <w:pPr>
              <w:pStyle w:val="TableParagraph"/>
              <w:spacing w:line="254" w:lineRule="exact"/>
              <w:ind w:left="108"/>
              <w:rPr>
                <w:b/>
                <w:sz w:val="21"/>
              </w:rPr>
            </w:pPr>
            <w:r>
              <w:rPr>
                <w:b/>
                <w:sz w:val="21"/>
              </w:rPr>
              <w:t>8．</w:t>
            </w:r>
          </w:p>
        </w:tc>
        <w:tc>
          <w:tcPr>
            <w:tcW w:w="8691" w:type="dxa"/>
            <w:gridSpan w:val="2"/>
            <w:shd w:val="clear" w:color="auto" w:fill="A6A6A6"/>
          </w:tcPr>
          <w:p>
            <w:pPr>
              <w:pStyle w:val="TableParagraph"/>
              <w:spacing w:line="254" w:lineRule="exact"/>
              <w:ind w:left="427"/>
              <w:rPr>
                <w:b/>
                <w:sz w:val="21"/>
              </w:rPr>
            </w:pPr>
            <w:r>
              <w:rPr>
                <w:b/>
                <w:sz w:val="21"/>
              </w:rPr>
              <w:t>说明、告知与解除权限制</w:t>
            </w:r>
          </w:p>
        </w:tc>
      </w:tr>
      <w:tr>
        <w:trPr>
          <w:trHeight w:val="5674" w:hRule="atLeast"/>
        </w:trPr>
        <w:tc>
          <w:tcPr>
            <w:tcW w:w="852" w:type="dxa"/>
          </w:tcPr>
          <w:p>
            <w:pPr>
              <w:pStyle w:val="TableParagraph"/>
              <w:spacing w:before="121"/>
              <w:ind w:left="108"/>
              <w:rPr>
                <w:b/>
                <w:sz w:val="21"/>
              </w:rPr>
            </w:pPr>
            <w:r>
              <w:rPr>
                <w:b/>
                <w:sz w:val="21"/>
              </w:rPr>
              <w:t>8.1</w:t>
            </w:r>
          </w:p>
        </w:tc>
        <w:tc>
          <w:tcPr>
            <w:tcW w:w="2280" w:type="dxa"/>
          </w:tcPr>
          <w:p>
            <w:pPr>
              <w:pStyle w:val="TableParagraph"/>
              <w:spacing w:line="273" w:lineRule="auto" w:before="121"/>
              <w:ind w:left="427" w:right="160"/>
              <w:rPr>
                <w:b/>
                <w:sz w:val="21"/>
              </w:rPr>
            </w:pPr>
            <w:r>
              <w:rPr>
                <w:b/>
                <w:sz w:val="21"/>
              </w:rPr>
              <w:t>明确说明与如实告知</w:t>
            </w:r>
          </w:p>
        </w:tc>
        <w:tc>
          <w:tcPr>
            <w:tcW w:w="6411" w:type="dxa"/>
          </w:tcPr>
          <w:p>
            <w:pPr>
              <w:pStyle w:val="TableParagraph"/>
              <w:spacing w:before="121"/>
              <w:ind w:left="164"/>
              <w:rPr>
                <w:sz w:val="21"/>
              </w:rPr>
            </w:pPr>
            <w:r>
              <w:rPr>
                <w:sz w:val="21"/>
              </w:rPr>
              <w:t>订立本合同时，我们应向您说明本合同的内容。</w:t>
            </w:r>
          </w:p>
          <w:p>
            <w:pPr>
              <w:pStyle w:val="TableParagraph"/>
              <w:spacing w:line="273" w:lineRule="auto" w:before="116"/>
              <w:ind w:left="164" w:right="103"/>
              <w:jc w:val="both"/>
              <w:rPr>
                <w:sz w:val="21"/>
              </w:rPr>
            </w:pPr>
            <w:r>
              <w:rPr>
                <w:sz w:val="21"/>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TableParagraph"/>
              <w:spacing w:before="84"/>
              <w:ind w:left="164"/>
              <w:rPr>
                <w:sz w:val="21"/>
              </w:rPr>
            </w:pPr>
            <w:r>
              <w:rPr>
                <w:sz w:val="21"/>
              </w:rPr>
              <w:t>我们就您和被保险人的有关情况提出询问，您应当如实告知。</w:t>
            </w:r>
          </w:p>
          <w:p>
            <w:pPr>
              <w:pStyle w:val="TableParagraph"/>
              <w:spacing w:line="273" w:lineRule="auto" w:before="117"/>
              <w:ind w:left="164" w:right="103"/>
              <w:jc w:val="both"/>
              <w:rPr>
                <w:rFonts w:ascii="黑体" w:eastAsia="黑体" w:hint="eastAsia"/>
                <w:sz w:val="21"/>
              </w:rPr>
            </w:pPr>
            <w:r>
              <w:rPr>
                <w:rFonts w:ascii="黑体" w:eastAsia="黑体" w:hint="eastAsia"/>
                <w:sz w:val="21"/>
              </w:rPr>
              <w:t>如果您故意或者因重大过失未履行前款规定的如实告知义务，足以影响我们决定是否同意承保或者提高保险费率的，我们有权解除本合同。</w:t>
            </w:r>
          </w:p>
          <w:p>
            <w:pPr>
              <w:pStyle w:val="TableParagraph"/>
              <w:spacing w:line="273" w:lineRule="auto" w:before="84"/>
              <w:ind w:left="164" w:right="103"/>
              <w:rPr>
                <w:rFonts w:ascii="黑体" w:eastAsia="黑体" w:hint="eastAsia"/>
                <w:sz w:val="21"/>
              </w:rPr>
            </w:pPr>
            <w:r>
              <w:rPr>
                <w:rFonts w:ascii="黑体" w:eastAsia="黑体" w:hint="eastAsia"/>
                <w:sz w:val="21"/>
              </w:rPr>
              <w:t>如果您故意不履行如实告知义务，对于本合同解除前发Th的保险事故，我们不承担保险责任，并不退还保险费。</w:t>
            </w:r>
          </w:p>
          <w:p>
            <w:pPr>
              <w:pStyle w:val="TableParagraph"/>
              <w:spacing w:line="273" w:lineRule="auto" w:before="86"/>
              <w:ind w:left="164" w:right="-15"/>
              <w:rPr>
                <w:rFonts w:ascii="黑体" w:eastAsia="黑体" w:hint="eastAsia"/>
                <w:sz w:val="21"/>
              </w:rPr>
            </w:pPr>
            <w:r>
              <w:rPr>
                <w:rFonts w:ascii="黑体" w:eastAsia="黑体" w:hint="eastAsia"/>
                <w:sz w:val="21"/>
              </w:rPr>
              <w:t>如果您因重大过失未履行如实告知义务，对保险事故的发Th有严重</w:t>
            </w:r>
            <w:r>
              <w:rPr>
                <w:rFonts w:ascii="黑体" w:eastAsia="黑体" w:hint="eastAsia"/>
                <w:spacing w:val="-6"/>
                <w:sz w:val="21"/>
              </w:rPr>
              <w:t>影响的，对于本合同解除前发</w:t>
            </w:r>
            <w:r>
              <w:rPr>
                <w:rFonts w:ascii="黑体" w:eastAsia="黑体" w:hint="eastAsia"/>
                <w:sz w:val="21"/>
              </w:rPr>
              <w:t>Th</w:t>
            </w:r>
            <w:r>
              <w:rPr>
                <w:rFonts w:ascii="黑体" w:eastAsia="黑体" w:hint="eastAsia"/>
                <w:spacing w:val="-7"/>
                <w:sz w:val="21"/>
              </w:rPr>
              <w:t>的保险事故，我们不承担保险责任， </w:t>
            </w:r>
            <w:r>
              <w:rPr>
                <w:rFonts w:ascii="黑体" w:eastAsia="黑体" w:hint="eastAsia"/>
                <w:spacing w:val="-5"/>
                <w:sz w:val="21"/>
              </w:rPr>
              <w:t>但应当退还保险费。</w:t>
            </w:r>
          </w:p>
          <w:p>
            <w:pPr>
              <w:pStyle w:val="TableParagraph"/>
              <w:spacing w:line="273" w:lineRule="auto" w:before="84"/>
              <w:ind w:left="164" w:right="103"/>
              <w:rPr>
                <w:sz w:val="21"/>
              </w:rPr>
            </w:pPr>
            <w:r>
              <w:rPr>
                <w:sz w:val="21"/>
              </w:rPr>
              <w:t>我们在合同订立时已经知道您未如实告知的情况的，我们不得解除合同；发生保险事故的，我们承担保险责任。</w:t>
            </w:r>
          </w:p>
        </w:tc>
      </w:tr>
      <w:tr>
        <w:trPr>
          <w:trHeight w:val="332" w:hRule="atLeast"/>
        </w:trPr>
        <w:tc>
          <w:tcPr>
            <w:tcW w:w="852" w:type="dxa"/>
          </w:tcPr>
          <w:p>
            <w:pPr>
              <w:pStyle w:val="TableParagraph"/>
              <w:spacing w:line="263" w:lineRule="exact" w:before="49"/>
              <w:ind w:left="108"/>
              <w:rPr>
                <w:b/>
                <w:sz w:val="21"/>
              </w:rPr>
            </w:pPr>
            <w:r>
              <w:rPr>
                <w:b/>
                <w:sz w:val="21"/>
              </w:rPr>
              <w:t>8.2</w:t>
            </w:r>
          </w:p>
        </w:tc>
        <w:tc>
          <w:tcPr>
            <w:tcW w:w="2280" w:type="dxa"/>
          </w:tcPr>
          <w:p>
            <w:pPr>
              <w:pStyle w:val="TableParagraph"/>
              <w:spacing w:line="263" w:lineRule="exact" w:before="49"/>
              <w:ind w:left="427"/>
              <w:rPr>
                <w:b/>
                <w:sz w:val="21"/>
              </w:rPr>
            </w:pPr>
            <w:r>
              <w:rPr>
                <w:b/>
                <w:sz w:val="21"/>
              </w:rPr>
              <w:t>我们合同解除权的</w:t>
            </w:r>
          </w:p>
        </w:tc>
        <w:tc>
          <w:tcPr>
            <w:tcW w:w="6411" w:type="dxa"/>
          </w:tcPr>
          <w:p>
            <w:pPr>
              <w:pStyle w:val="TableParagraph"/>
              <w:spacing w:line="263" w:lineRule="exact" w:before="49"/>
              <w:ind w:left="164"/>
              <w:rPr>
                <w:sz w:val="21"/>
              </w:rPr>
            </w:pPr>
            <w:r>
              <w:rPr>
                <w:sz w:val="21"/>
              </w:rPr>
              <w:t>本保险条款“8.1 明确说明与如实告知”规定的合同解除权，自我</w:t>
            </w:r>
          </w:p>
        </w:tc>
      </w:tr>
    </w:tbl>
    <w:p>
      <w:pPr>
        <w:spacing w:after="0" w:line="263" w:lineRule="exact"/>
        <w:rPr>
          <w:sz w:val="21"/>
        </w:rPr>
        <w:sectPr>
          <w:pgSz w:w="11910" w:h="16840"/>
          <w:pgMar w:top="1460" w:bottom="280" w:left="1080" w:right="10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2"/>
        <w:gridCol w:w="2015"/>
        <w:gridCol w:w="6517"/>
      </w:tblGrid>
      <w:tr>
        <w:trPr>
          <w:trHeight w:val="1026" w:hRule="atLeast"/>
        </w:trPr>
        <w:tc>
          <w:tcPr>
            <w:tcW w:w="1012" w:type="dxa"/>
          </w:tcPr>
          <w:p>
            <w:pPr>
              <w:pStyle w:val="TableParagraph"/>
              <w:ind w:left="0"/>
              <w:rPr>
                <w:rFonts w:ascii="Times New Roman"/>
                <w:sz w:val="20"/>
              </w:rPr>
            </w:pPr>
          </w:p>
        </w:tc>
        <w:tc>
          <w:tcPr>
            <w:tcW w:w="2015" w:type="dxa"/>
          </w:tcPr>
          <w:p>
            <w:pPr>
              <w:pStyle w:val="TableParagraph"/>
              <w:spacing w:line="203" w:lineRule="exact"/>
              <w:ind w:left="267"/>
              <w:rPr>
                <w:b/>
                <w:sz w:val="21"/>
              </w:rPr>
            </w:pPr>
            <w:r>
              <w:rPr>
                <w:b/>
                <w:sz w:val="21"/>
              </w:rPr>
              <w:t>限制</w:t>
            </w:r>
          </w:p>
        </w:tc>
        <w:tc>
          <w:tcPr>
            <w:tcW w:w="6517" w:type="dxa"/>
          </w:tcPr>
          <w:p>
            <w:pPr>
              <w:pStyle w:val="TableParagraph"/>
              <w:spacing w:line="203" w:lineRule="exact"/>
              <w:ind w:left="269"/>
              <w:rPr>
                <w:sz w:val="21"/>
              </w:rPr>
            </w:pPr>
            <w:r>
              <w:rPr>
                <w:spacing w:val="-8"/>
                <w:sz w:val="21"/>
              </w:rPr>
              <w:t>们知道有解除事由之日起，超过 </w:t>
            </w:r>
            <w:r>
              <w:rPr>
                <w:sz w:val="21"/>
              </w:rPr>
              <w:t>30</w:t>
            </w:r>
            <w:r>
              <w:rPr>
                <w:spacing w:val="-10"/>
                <w:sz w:val="21"/>
              </w:rPr>
              <w:t> 日不行使而消灭。自本合同成立</w:t>
            </w:r>
          </w:p>
          <w:p>
            <w:pPr>
              <w:pStyle w:val="TableParagraph"/>
              <w:spacing w:line="273" w:lineRule="auto" w:before="37"/>
              <w:ind w:left="269" w:right="36"/>
              <w:rPr>
                <w:sz w:val="21"/>
              </w:rPr>
            </w:pPr>
            <w:r>
              <w:rPr>
                <w:sz w:val="21"/>
              </w:rPr>
              <w:t>之日起超过 2 年的，我们不得解除合同；发生保险事故的，我们承担保险责任。</w:t>
            </w:r>
          </w:p>
        </w:tc>
      </w:tr>
      <w:tr>
        <w:trPr>
          <w:trHeight w:val="311" w:hRule="atLeast"/>
        </w:trPr>
        <w:tc>
          <w:tcPr>
            <w:tcW w:w="1012" w:type="dxa"/>
            <w:shd w:val="clear" w:color="auto" w:fill="A6A6A6"/>
          </w:tcPr>
          <w:p>
            <w:pPr>
              <w:pStyle w:val="TableParagraph"/>
              <w:spacing w:line="254" w:lineRule="exact"/>
              <w:ind w:left="108"/>
              <w:rPr>
                <w:b/>
                <w:sz w:val="21"/>
              </w:rPr>
            </w:pPr>
            <w:r>
              <w:rPr>
                <w:b/>
                <w:sz w:val="21"/>
              </w:rPr>
              <w:t>9．</w:t>
            </w:r>
          </w:p>
        </w:tc>
        <w:tc>
          <w:tcPr>
            <w:tcW w:w="8532" w:type="dxa"/>
            <w:gridSpan w:val="2"/>
            <w:shd w:val="clear" w:color="auto" w:fill="A6A6A6"/>
          </w:tcPr>
          <w:p>
            <w:pPr>
              <w:pStyle w:val="TableParagraph"/>
              <w:spacing w:line="254" w:lineRule="exact"/>
              <w:ind w:left="267"/>
              <w:rPr>
                <w:b/>
                <w:sz w:val="21"/>
              </w:rPr>
            </w:pPr>
            <w:r>
              <w:rPr>
                <w:b/>
                <w:sz w:val="21"/>
              </w:rPr>
              <w:t>其他需要关注的事项</w:t>
            </w:r>
          </w:p>
        </w:tc>
      </w:tr>
      <w:tr>
        <w:trPr>
          <w:trHeight w:val="4269" w:hRule="atLeast"/>
        </w:trPr>
        <w:tc>
          <w:tcPr>
            <w:tcW w:w="1012" w:type="dxa"/>
          </w:tcPr>
          <w:p>
            <w:pPr>
              <w:pStyle w:val="TableParagraph"/>
              <w:spacing w:before="121"/>
              <w:ind w:left="108"/>
              <w:rPr>
                <w:b/>
                <w:sz w:val="21"/>
              </w:rPr>
            </w:pPr>
            <w:r>
              <w:rPr>
                <w:b/>
                <w:sz w:val="21"/>
              </w:rPr>
              <w:t>9.1</w:t>
            </w:r>
          </w:p>
        </w:tc>
        <w:tc>
          <w:tcPr>
            <w:tcW w:w="2015" w:type="dxa"/>
          </w:tcPr>
          <w:p>
            <w:pPr>
              <w:pStyle w:val="TableParagraph"/>
              <w:spacing w:before="121"/>
              <w:ind w:left="267"/>
              <w:rPr>
                <w:b/>
                <w:sz w:val="21"/>
              </w:rPr>
            </w:pPr>
            <w:r>
              <w:rPr>
                <w:b/>
                <w:sz w:val="21"/>
              </w:rPr>
              <w:t>年龄性别错误</w:t>
            </w:r>
          </w:p>
        </w:tc>
        <w:tc>
          <w:tcPr>
            <w:tcW w:w="6517" w:type="dxa"/>
          </w:tcPr>
          <w:p>
            <w:pPr>
              <w:pStyle w:val="TableParagraph"/>
              <w:spacing w:line="273" w:lineRule="auto" w:before="121"/>
              <w:ind w:left="269" w:right="105" w:firstLine="2"/>
              <w:jc w:val="both"/>
              <w:rPr>
                <w:sz w:val="21"/>
              </w:rPr>
            </w:pPr>
            <w:r>
              <w:rPr>
                <w:sz w:val="21"/>
              </w:rPr>
              <w:t>您在申请投保时，应将与有效身份证件相符的被保险人的出生日期和性别在投保单上填明，如果发生错误按照下列方式办理：</w:t>
            </w:r>
          </w:p>
          <w:p>
            <w:pPr>
              <w:pStyle w:val="TableParagraph"/>
              <w:spacing w:line="273" w:lineRule="auto" w:before="8"/>
              <w:ind w:left="269" w:right="100"/>
              <w:jc w:val="both"/>
              <w:rPr>
                <w:sz w:val="21"/>
              </w:rPr>
            </w:pPr>
            <w:r>
              <w:rPr>
                <w:sz w:val="21"/>
              </w:rPr>
              <w:t>(1)</w:t>
            </w:r>
            <w:r>
              <w:rPr>
                <w:rFonts w:ascii="黑体" w:hAnsi="黑体" w:eastAsia="黑体" w:hint="eastAsia"/>
                <w:spacing w:val="-7"/>
                <w:sz w:val="21"/>
              </w:rPr>
              <w:t>您申报的被保险人年龄或性别不真实，并且其真实年龄或性别不符合本合同约定投保年龄或性别限制的，我们有权解除合同，并向您退还本合同保险单的现金价值。</w:t>
            </w:r>
            <w:r>
              <w:rPr>
                <w:spacing w:val="-7"/>
                <w:sz w:val="21"/>
              </w:rPr>
              <w:t>我们行使合同解除权适用本保险条款“8.2 我们合同解除权的限制”的规定。</w:t>
            </w:r>
          </w:p>
          <w:p>
            <w:pPr>
              <w:pStyle w:val="TableParagraph"/>
              <w:spacing w:line="273" w:lineRule="auto" w:before="8"/>
              <w:ind w:left="269" w:right="100"/>
              <w:jc w:val="both"/>
              <w:rPr>
                <w:sz w:val="21"/>
              </w:rPr>
            </w:pPr>
            <w:r>
              <w:rPr>
                <w:sz w:val="21"/>
              </w:rPr>
              <w:t>(2)</w:t>
            </w:r>
            <w:r>
              <w:rPr>
                <w:spacing w:val="-7"/>
                <w:sz w:val="21"/>
              </w:rPr>
              <w:t>您申报的被保险人年龄或性别不真实，致使您实付保险费少于应付保险费的，我们有权更正并要求您补交保险费。若已经发生保险</w:t>
            </w:r>
            <w:r>
              <w:rPr>
                <w:spacing w:val="-5"/>
                <w:sz w:val="21"/>
              </w:rPr>
              <w:t>事故，在给付保险金时按实付保险费和应付保险费的比例给付。</w:t>
            </w:r>
          </w:p>
          <w:p>
            <w:pPr>
              <w:pStyle w:val="TableParagraph"/>
              <w:spacing w:line="273" w:lineRule="auto" w:before="7"/>
              <w:ind w:left="269" w:right="100"/>
              <w:jc w:val="both"/>
              <w:rPr>
                <w:sz w:val="21"/>
              </w:rPr>
            </w:pPr>
            <w:r>
              <w:rPr>
                <w:sz w:val="21"/>
              </w:rPr>
              <w:t>(3)</w:t>
            </w:r>
            <w:r>
              <w:rPr>
                <w:spacing w:val="-7"/>
                <w:sz w:val="21"/>
              </w:rPr>
              <w:t>您申报的被保险人年龄或性别不真实，致使您实付保险费多于应</w:t>
            </w:r>
            <w:r>
              <w:rPr>
                <w:spacing w:val="-5"/>
                <w:sz w:val="21"/>
              </w:rPr>
              <w:t>付保险费的，我们会将多收的保险费退还给您。</w:t>
            </w:r>
          </w:p>
          <w:p>
            <w:pPr>
              <w:pStyle w:val="TableParagraph"/>
              <w:spacing w:line="273" w:lineRule="auto" w:before="7"/>
              <w:ind w:left="269" w:right="-15"/>
              <w:rPr>
                <w:sz w:val="21"/>
              </w:rPr>
            </w:pPr>
            <w:r>
              <w:rPr>
                <w:sz w:val="21"/>
              </w:rPr>
              <w:t>(4)</w:t>
            </w:r>
            <w:r>
              <w:rPr>
                <w:spacing w:val="-7"/>
                <w:sz w:val="21"/>
              </w:rPr>
              <w:t>您申报的被保险人年龄或性别不真实，致使本合同保险单的现金</w:t>
            </w:r>
            <w:r>
              <w:rPr>
                <w:spacing w:val="-10"/>
                <w:sz w:val="21"/>
              </w:rPr>
              <w:t>价值与实际不符的，我们有权根据被保险人的实际年龄和性别调整。</w:t>
            </w:r>
          </w:p>
        </w:tc>
      </w:tr>
      <w:tr>
        <w:trPr>
          <w:trHeight w:val="1077" w:hRule="atLeast"/>
        </w:trPr>
        <w:tc>
          <w:tcPr>
            <w:tcW w:w="1012" w:type="dxa"/>
          </w:tcPr>
          <w:p>
            <w:pPr>
              <w:pStyle w:val="TableParagraph"/>
              <w:spacing w:before="49"/>
              <w:ind w:left="108"/>
              <w:rPr>
                <w:b/>
                <w:sz w:val="21"/>
              </w:rPr>
            </w:pPr>
            <w:r>
              <w:rPr>
                <w:b/>
                <w:sz w:val="21"/>
              </w:rPr>
              <w:t>9.2</w:t>
            </w:r>
          </w:p>
        </w:tc>
        <w:tc>
          <w:tcPr>
            <w:tcW w:w="2015" w:type="dxa"/>
          </w:tcPr>
          <w:p>
            <w:pPr>
              <w:pStyle w:val="TableParagraph"/>
              <w:spacing w:before="49"/>
              <w:ind w:left="267"/>
              <w:rPr>
                <w:b/>
                <w:sz w:val="21"/>
              </w:rPr>
            </w:pPr>
            <w:r>
              <w:rPr>
                <w:b/>
                <w:sz w:val="21"/>
              </w:rPr>
              <w:t>未还款项</w:t>
            </w:r>
          </w:p>
        </w:tc>
        <w:tc>
          <w:tcPr>
            <w:tcW w:w="6517" w:type="dxa"/>
          </w:tcPr>
          <w:p>
            <w:pPr>
              <w:pStyle w:val="TableParagraph"/>
              <w:spacing w:line="273" w:lineRule="auto" w:before="49"/>
              <w:ind w:left="269" w:right="-15"/>
              <w:rPr>
                <w:sz w:val="21"/>
              </w:rPr>
            </w:pPr>
            <w:r>
              <w:rPr>
                <w:sz w:val="21"/>
              </w:rPr>
              <w:t>我们在给付各项保险金、退还本合同保险单的现金价值或退还保险</w:t>
            </w:r>
            <w:r>
              <w:rPr>
                <w:spacing w:val="-9"/>
                <w:sz w:val="21"/>
              </w:rPr>
              <w:t>费时，若您存在欠交保险费、保单贷款或其他未还款项及相应利息， </w:t>
            </w:r>
            <w:r>
              <w:rPr>
                <w:spacing w:val="-5"/>
                <w:sz w:val="21"/>
              </w:rPr>
              <w:t>我们会在扣除上述欠款后给付。</w:t>
            </w:r>
          </w:p>
        </w:tc>
      </w:tr>
      <w:tr>
        <w:trPr>
          <w:trHeight w:val="1079" w:hRule="atLeast"/>
        </w:trPr>
        <w:tc>
          <w:tcPr>
            <w:tcW w:w="1012" w:type="dxa"/>
          </w:tcPr>
          <w:p>
            <w:pPr>
              <w:pStyle w:val="TableParagraph"/>
              <w:spacing w:before="49"/>
              <w:ind w:left="108"/>
              <w:rPr>
                <w:b/>
                <w:sz w:val="21"/>
              </w:rPr>
            </w:pPr>
            <w:r>
              <w:rPr>
                <w:b/>
                <w:sz w:val="21"/>
              </w:rPr>
              <w:t>9.3</w:t>
            </w:r>
          </w:p>
        </w:tc>
        <w:tc>
          <w:tcPr>
            <w:tcW w:w="2015" w:type="dxa"/>
          </w:tcPr>
          <w:p>
            <w:pPr>
              <w:pStyle w:val="TableParagraph"/>
              <w:spacing w:before="49"/>
              <w:ind w:left="267"/>
              <w:rPr>
                <w:b/>
                <w:sz w:val="21"/>
              </w:rPr>
            </w:pPr>
            <w:r>
              <w:rPr>
                <w:b/>
                <w:sz w:val="21"/>
              </w:rPr>
              <w:t>合同内容变更</w:t>
            </w:r>
          </w:p>
        </w:tc>
        <w:tc>
          <w:tcPr>
            <w:tcW w:w="6517" w:type="dxa"/>
          </w:tcPr>
          <w:p>
            <w:pPr>
              <w:pStyle w:val="TableParagraph"/>
              <w:spacing w:line="273" w:lineRule="auto" w:before="49"/>
              <w:ind w:left="269" w:right="104"/>
              <w:jc w:val="both"/>
              <w:rPr>
                <w:sz w:val="21"/>
              </w:rPr>
            </w:pPr>
            <w:r>
              <w:rPr>
                <w:sz w:val="21"/>
              </w:rPr>
              <w:t>在本合同有效期内，经您与我们协商一致，可以变更本合同的有关内容。变更本合同的，应当由我们在保险单上批注或者附贴批单， 或者由您与我们订立书面的变更协议。</w:t>
            </w:r>
          </w:p>
        </w:tc>
      </w:tr>
      <w:tr>
        <w:trPr>
          <w:trHeight w:val="1702" w:hRule="atLeast"/>
        </w:trPr>
        <w:tc>
          <w:tcPr>
            <w:tcW w:w="1012" w:type="dxa"/>
          </w:tcPr>
          <w:p>
            <w:pPr>
              <w:pStyle w:val="TableParagraph"/>
              <w:spacing w:before="50"/>
              <w:ind w:left="108"/>
              <w:rPr>
                <w:b/>
                <w:sz w:val="21"/>
              </w:rPr>
            </w:pPr>
            <w:r>
              <w:rPr>
                <w:b/>
                <w:sz w:val="21"/>
              </w:rPr>
              <w:t>9.4</w:t>
            </w:r>
          </w:p>
        </w:tc>
        <w:tc>
          <w:tcPr>
            <w:tcW w:w="2015" w:type="dxa"/>
          </w:tcPr>
          <w:p>
            <w:pPr>
              <w:pStyle w:val="TableParagraph"/>
              <w:spacing w:before="50"/>
              <w:ind w:left="267"/>
              <w:rPr>
                <w:b/>
                <w:sz w:val="21"/>
              </w:rPr>
            </w:pPr>
            <w:r>
              <w:rPr>
                <w:b/>
                <w:sz w:val="21"/>
              </w:rPr>
              <w:t>联系方式变更</w:t>
            </w:r>
          </w:p>
        </w:tc>
        <w:tc>
          <w:tcPr>
            <w:tcW w:w="6517" w:type="dxa"/>
          </w:tcPr>
          <w:p>
            <w:pPr>
              <w:pStyle w:val="TableParagraph"/>
              <w:spacing w:line="273" w:lineRule="auto" w:before="50"/>
              <w:ind w:left="269" w:right="104"/>
              <w:jc w:val="both"/>
              <w:rPr>
                <w:sz w:val="21"/>
              </w:rPr>
            </w:pPr>
            <w:r>
              <w:rPr>
                <w:sz w:val="21"/>
              </w:rPr>
              <w:t>为了保障您的合法权益，您的住所、通讯地址或电话等联系方式变更时，请及时以书面形式或双方认可的其他形式通知我们。若您未以书面形式或双方认可的其他形式通知我们，我们按本合同载明的最后住所、通讯地址或电话等联系方式发送的有关通知，均视为已送达给您。</w:t>
            </w:r>
          </w:p>
        </w:tc>
      </w:tr>
      <w:tr>
        <w:trPr>
          <w:trHeight w:val="836" w:hRule="atLeast"/>
        </w:trPr>
        <w:tc>
          <w:tcPr>
            <w:tcW w:w="1012" w:type="dxa"/>
          </w:tcPr>
          <w:p>
            <w:pPr>
              <w:pStyle w:val="TableParagraph"/>
              <w:spacing w:before="49"/>
              <w:ind w:left="108"/>
              <w:rPr>
                <w:b/>
                <w:sz w:val="21"/>
              </w:rPr>
            </w:pPr>
            <w:r>
              <w:rPr>
                <w:b/>
                <w:sz w:val="21"/>
              </w:rPr>
              <w:t>9.5</w:t>
            </w:r>
          </w:p>
        </w:tc>
        <w:tc>
          <w:tcPr>
            <w:tcW w:w="2015" w:type="dxa"/>
          </w:tcPr>
          <w:p>
            <w:pPr>
              <w:pStyle w:val="TableParagraph"/>
              <w:spacing w:before="49"/>
              <w:ind w:left="267"/>
              <w:rPr>
                <w:b/>
                <w:sz w:val="21"/>
              </w:rPr>
            </w:pPr>
            <w:r>
              <w:rPr>
                <w:b/>
                <w:sz w:val="21"/>
              </w:rPr>
              <w:t>争议处理</w:t>
            </w:r>
          </w:p>
        </w:tc>
        <w:tc>
          <w:tcPr>
            <w:tcW w:w="6517" w:type="dxa"/>
          </w:tcPr>
          <w:p>
            <w:pPr>
              <w:pStyle w:val="TableParagraph"/>
              <w:spacing w:line="273" w:lineRule="auto" w:before="49"/>
              <w:ind w:left="269" w:right="104"/>
              <w:rPr>
                <w:sz w:val="21"/>
              </w:rPr>
            </w:pPr>
            <w:r>
              <w:rPr>
                <w:sz w:val="21"/>
              </w:rPr>
              <w:t>本合同履行过程中，双方发生争议的，由双方协商解决，协商不成的，按本合同约定向人民法院起诉或提交仲裁委员会仲裁。</w:t>
            </w:r>
          </w:p>
        </w:tc>
      </w:tr>
      <w:tr>
        <w:trPr>
          <w:trHeight w:val="312" w:hRule="atLeast"/>
        </w:trPr>
        <w:tc>
          <w:tcPr>
            <w:tcW w:w="1012" w:type="dxa"/>
            <w:shd w:val="clear" w:color="auto" w:fill="A6A6A6"/>
          </w:tcPr>
          <w:p>
            <w:pPr>
              <w:pStyle w:val="TableParagraph"/>
              <w:spacing w:line="254" w:lineRule="exact"/>
              <w:ind w:left="108"/>
              <w:rPr>
                <w:b/>
                <w:sz w:val="21"/>
              </w:rPr>
            </w:pPr>
            <w:r>
              <w:rPr>
                <w:b/>
                <w:sz w:val="21"/>
              </w:rPr>
              <w:t>10．</w:t>
            </w:r>
          </w:p>
        </w:tc>
        <w:tc>
          <w:tcPr>
            <w:tcW w:w="2015" w:type="dxa"/>
            <w:shd w:val="clear" w:color="auto" w:fill="A6A6A6"/>
          </w:tcPr>
          <w:p>
            <w:pPr>
              <w:pStyle w:val="TableParagraph"/>
              <w:spacing w:line="254" w:lineRule="exact"/>
              <w:ind w:left="267"/>
              <w:rPr>
                <w:b/>
                <w:sz w:val="21"/>
              </w:rPr>
            </w:pPr>
            <w:r>
              <w:rPr>
                <w:b/>
                <w:sz w:val="21"/>
              </w:rPr>
              <w:t>重大疾病的定义</w:t>
            </w:r>
          </w:p>
        </w:tc>
        <w:tc>
          <w:tcPr>
            <w:tcW w:w="6517" w:type="dxa"/>
            <w:shd w:val="clear" w:color="auto" w:fill="A6A6A6"/>
          </w:tcPr>
          <w:p>
            <w:pPr>
              <w:pStyle w:val="TableParagraph"/>
              <w:ind w:left="0"/>
              <w:rPr>
                <w:rFonts w:ascii="Times New Roman"/>
                <w:sz w:val="20"/>
              </w:rPr>
            </w:pPr>
          </w:p>
        </w:tc>
      </w:tr>
      <w:tr>
        <w:trPr>
          <w:trHeight w:val="1149" w:hRule="atLeast"/>
        </w:trPr>
        <w:tc>
          <w:tcPr>
            <w:tcW w:w="1012" w:type="dxa"/>
          </w:tcPr>
          <w:p>
            <w:pPr>
              <w:pStyle w:val="TableParagraph"/>
              <w:spacing w:before="121"/>
              <w:ind w:left="108"/>
              <w:rPr>
                <w:b/>
                <w:sz w:val="21"/>
              </w:rPr>
            </w:pPr>
            <w:r>
              <w:rPr>
                <w:b/>
                <w:sz w:val="21"/>
              </w:rPr>
              <w:t>10.1</w:t>
            </w:r>
          </w:p>
        </w:tc>
        <w:tc>
          <w:tcPr>
            <w:tcW w:w="2015" w:type="dxa"/>
          </w:tcPr>
          <w:p>
            <w:pPr>
              <w:pStyle w:val="TableParagraph"/>
              <w:spacing w:before="121"/>
              <w:ind w:left="267"/>
              <w:rPr>
                <w:b/>
                <w:sz w:val="21"/>
              </w:rPr>
            </w:pPr>
            <w:r>
              <w:rPr>
                <w:b/>
                <w:sz w:val="21"/>
              </w:rPr>
              <w:t>重大疾病的定义</w:t>
            </w:r>
          </w:p>
        </w:tc>
        <w:tc>
          <w:tcPr>
            <w:tcW w:w="6517" w:type="dxa"/>
          </w:tcPr>
          <w:p>
            <w:pPr>
              <w:pStyle w:val="TableParagraph"/>
              <w:spacing w:line="273" w:lineRule="auto" w:before="121"/>
              <w:ind w:left="269" w:right="105" w:firstLine="2"/>
              <w:jc w:val="both"/>
              <w:rPr>
                <w:sz w:val="21"/>
              </w:rPr>
            </w:pPr>
            <w:r>
              <w:rPr>
                <w:sz w:val="21"/>
              </w:rPr>
              <w:t>本合同所保障的重大疾病，是指被保险人在本合同有效期间内经</w:t>
            </w:r>
            <w:r>
              <w:rPr>
                <w:b/>
                <w:sz w:val="21"/>
              </w:rPr>
              <w:t>专科医生</w:t>
            </w:r>
            <w:r>
              <w:rPr>
                <w:sz w:val="21"/>
              </w:rPr>
              <w:t>（详见释义）明确诊断初次患下列疾病或初次达到下列疾病状态或在医院初次接受下列手术：</w:t>
            </w:r>
          </w:p>
        </w:tc>
      </w:tr>
      <w:tr>
        <w:trPr>
          <w:trHeight w:val="1971" w:hRule="atLeast"/>
        </w:trPr>
        <w:tc>
          <w:tcPr>
            <w:tcW w:w="1012" w:type="dxa"/>
          </w:tcPr>
          <w:p>
            <w:pPr>
              <w:pStyle w:val="TableParagraph"/>
              <w:spacing w:before="49"/>
              <w:ind w:left="108"/>
              <w:rPr>
                <w:b/>
                <w:sz w:val="21"/>
              </w:rPr>
            </w:pPr>
            <w:r>
              <w:rPr>
                <w:b/>
                <w:sz w:val="21"/>
              </w:rPr>
              <w:t>10.1.1</w:t>
            </w:r>
          </w:p>
        </w:tc>
        <w:tc>
          <w:tcPr>
            <w:tcW w:w="2015" w:type="dxa"/>
          </w:tcPr>
          <w:p>
            <w:pPr>
              <w:pStyle w:val="TableParagraph"/>
              <w:spacing w:before="49"/>
              <w:ind w:left="267"/>
              <w:rPr>
                <w:b/>
                <w:sz w:val="21"/>
              </w:rPr>
            </w:pPr>
            <w:r>
              <w:rPr>
                <w:b/>
                <w:sz w:val="21"/>
              </w:rPr>
              <w:t>恶性肿瘤</w:t>
            </w:r>
          </w:p>
        </w:tc>
        <w:tc>
          <w:tcPr>
            <w:tcW w:w="6517" w:type="dxa"/>
          </w:tcPr>
          <w:p>
            <w:pPr>
              <w:pStyle w:val="TableParagraph"/>
              <w:spacing w:line="273" w:lineRule="auto" w:before="49"/>
              <w:ind w:left="269" w:right="104"/>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TableParagraph"/>
              <w:spacing w:before="87"/>
              <w:ind w:left="269"/>
              <w:jc w:val="both"/>
              <w:rPr>
                <w:rFonts w:ascii="黑体" w:eastAsia="黑体" w:hint="eastAsia"/>
                <w:sz w:val="21"/>
              </w:rPr>
            </w:pPr>
            <w:r>
              <w:rPr>
                <w:rFonts w:ascii="黑体" w:eastAsia="黑体" w:hint="eastAsia"/>
                <w:sz w:val="21"/>
              </w:rPr>
              <w:t>下列疾病不在保障范围内：</w:t>
            </w:r>
          </w:p>
          <w:p>
            <w:pPr>
              <w:pStyle w:val="TableParagraph"/>
              <w:spacing w:line="263" w:lineRule="exact" w:before="37"/>
              <w:ind w:left="269"/>
              <w:jc w:val="both"/>
              <w:rPr>
                <w:rFonts w:ascii="黑体" w:eastAsia="黑体" w:hint="eastAsia"/>
                <w:sz w:val="21"/>
              </w:rPr>
            </w:pPr>
            <w:r>
              <w:rPr>
                <w:rFonts w:ascii="黑体" w:eastAsia="黑体" w:hint="eastAsia"/>
                <w:sz w:val="21"/>
              </w:rPr>
              <w:t>(1)原位癌；</w:t>
            </w:r>
          </w:p>
        </w:tc>
      </w:tr>
    </w:tbl>
    <w:p>
      <w:pPr>
        <w:spacing w:after="0" w:line="263" w:lineRule="exact"/>
        <w:jc w:val="both"/>
        <w:rPr>
          <w:rFonts w:ascii="黑体" w:eastAsia="黑体" w:hint="eastAsia"/>
          <w:sz w:val="21"/>
        </w:rPr>
        <w:sectPr>
          <w:pgSz w:w="11910" w:h="16840"/>
          <w:pgMar w:top="1460" w:bottom="280" w:left="1080" w:right="10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6"/>
        <w:gridCol w:w="2224"/>
        <w:gridCol w:w="6578"/>
      </w:tblGrid>
      <w:tr>
        <w:trPr>
          <w:trHeight w:val="1580" w:hRule="atLeast"/>
        </w:trPr>
        <w:tc>
          <w:tcPr>
            <w:tcW w:w="1036" w:type="dxa"/>
          </w:tcPr>
          <w:p>
            <w:pPr>
              <w:pStyle w:val="TableParagraph"/>
              <w:ind w:left="0"/>
              <w:rPr>
                <w:rFonts w:ascii="Times New Roman"/>
                <w:sz w:val="20"/>
              </w:rPr>
            </w:pPr>
          </w:p>
        </w:tc>
        <w:tc>
          <w:tcPr>
            <w:tcW w:w="2224" w:type="dxa"/>
          </w:tcPr>
          <w:p>
            <w:pPr>
              <w:pStyle w:val="TableParagraph"/>
              <w:ind w:left="0"/>
              <w:rPr>
                <w:rFonts w:ascii="Times New Roman"/>
                <w:sz w:val="20"/>
              </w:rPr>
            </w:pPr>
          </w:p>
        </w:tc>
        <w:tc>
          <w:tcPr>
            <w:tcW w:w="6578" w:type="dxa"/>
          </w:tcPr>
          <w:p>
            <w:pPr>
              <w:pStyle w:val="TableParagraph"/>
              <w:spacing w:line="203" w:lineRule="exact"/>
              <w:ind w:left="127"/>
              <w:rPr>
                <w:rFonts w:ascii="黑体" w:eastAsia="黑体" w:hint="eastAsia"/>
                <w:sz w:val="21"/>
              </w:rPr>
            </w:pPr>
            <w:r>
              <w:rPr>
                <w:rFonts w:ascii="黑体" w:eastAsia="黑体" w:hint="eastAsia"/>
                <w:sz w:val="21"/>
              </w:rPr>
              <w:t>(2)相当于 Binet 分期方案 A 期程度的慢性淋巴细胞白血病；</w:t>
            </w:r>
          </w:p>
          <w:p>
            <w:pPr>
              <w:pStyle w:val="TableParagraph"/>
              <w:spacing w:before="37"/>
              <w:ind w:left="127"/>
              <w:rPr>
                <w:rFonts w:ascii="黑体" w:eastAsia="黑体" w:hint="eastAsia"/>
                <w:sz w:val="21"/>
              </w:rPr>
            </w:pPr>
            <w:r>
              <w:rPr>
                <w:rFonts w:ascii="黑体" w:eastAsia="黑体" w:hint="eastAsia"/>
                <w:sz w:val="21"/>
              </w:rPr>
              <w:t>(3)相当于 Ann Arbor 分期方案 I 期程度的何杰金氏病；</w:t>
            </w:r>
          </w:p>
          <w:p>
            <w:pPr>
              <w:pStyle w:val="TableParagraph"/>
              <w:spacing w:before="37"/>
              <w:ind w:left="127"/>
              <w:rPr>
                <w:rFonts w:ascii="黑体" w:eastAsia="黑体" w:hint="eastAsia"/>
                <w:sz w:val="21"/>
              </w:rPr>
            </w:pPr>
            <w:r>
              <w:rPr>
                <w:rFonts w:ascii="黑体" w:eastAsia="黑体" w:hint="eastAsia"/>
                <w:w w:val="100"/>
                <w:sz w:val="21"/>
              </w:rPr>
              <w:t>(4)</w:t>
            </w: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spacing w:before="36"/>
              <w:ind w:left="127"/>
              <w:rPr>
                <w:rFonts w:ascii="黑体" w:eastAsia="黑体" w:hint="eastAsia"/>
                <w:sz w:val="21"/>
              </w:rPr>
            </w:pPr>
            <w:r>
              <w:rPr>
                <w:rFonts w:ascii="黑体" w:eastAsia="黑体" w:hint="eastAsia"/>
                <w:position w:val="1"/>
                <w:sz w:val="21"/>
              </w:rPr>
              <w:t>(5)TNM 分期为 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 </w:t>
            </w:r>
            <w:r>
              <w:rPr>
                <w:rFonts w:ascii="黑体" w:eastAsia="黑体" w:hint="eastAsia"/>
                <w:position w:val="1"/>
                <w:sz w:val="21"/>
              </w:rPr>
              <w:t>期或更轻分期的前列腺癌；</w:t>
            </w:r>
          </w:p>
          <w:p>
            <w:pPr>
              <w:pStyle w:val="TableParagraph"/>
              <w:spacing w:before="36"/>
              <w:ind w:left="127"/>
              <w:rPr>
                <w:rFonts w:ascii="黑体" w:eastAsia="黑体" w:hint="eastAsia"/>
                <w:sz w:val="21"/>
              </w:rPr>
            </w:pPr>
            <w:r>
              <w:rPr>
                <w:rFonts w:ascii="黑体" w:eastAsia="黑体" w:hint="eastAsia"/>
                <w:sz w:val="21"/>
              </w:rPr>
              <w:t>(6)感染艾滋病病毒或患艾滋病期间所患恶性肿瘤。</w:t>
            </w:r>
          </w:p>
        </w:tc>
      </w:tr>
      <w:tr>
        <w:trPr>
          <w:trHeight w:val="2638" w:hRule="atLeast"/>
        </w:trPr>
        <w:tc>
          <w:tcPr>
            <w:tcW w:w="1036" w:type="dxa"/>
          </w:tcPr>
          <w:p>
            <w:pPr>
              <w:pStyle w:val="TableParagraph"/>
              <w:spacing w:before="49"/>
              <w:ind w:left="200"/>
              <w:rPr>
                <w:b/>
                <w:sz w:val="21"/>
              </w:rPr>
            </w:pPr>
            <w:r>
              <w:rPr>
                <w:b/>
                <w:sz w:val="21"/>
              </w:rPr>
              <w:t>10.1.2</w:t>
            </w:r>
          </w:p>
        </w:tc>
        <w:tc>
          <w:tcPr>
            <w:tcW w:w="2224" w:type="dxa"/>
          </w:tcPr>
          <w:p>
            <w:pPr>
              <w:pStyle w:val="TableParagraph"/>
              <w:spacing w:before="49"/>
              <w:ind w:left="335"/>
              <w:rPr>
                <w:b/>
                <w:sz w:val="21"/>
              </w:rPr>
            </w:pPr>
            <w:r>
              <w:rPr>
                <w:b/>
                <w:sz w:val="21"/>
              </w:rPr>
              <w:t>急性心肌梗塞</w:t>
            </w:r>
          </w:p>
        </w:tc>
        <w:tc>
          <w:tcPr>
            <w:tcW w:w="6578" w:type="dxa"/>
          </w:tcPr>
          <w:p>
            <w:pPr>
              <w:pStyle w:val="TableParagraph"/>
              <w:spacing w:line="273" w:lineRule="auto" w:before="49"/>
              <w:ind w:left="127" w:right="306"/>
              <w:rPr>
                <w:sz w:val="21"/>
              </w:rPr>
            </w:pPr>
            <w:r>
              <w:rPr>
                <w:sz w:val="21"/>
              </w:rPr>
              <w:t>指因冠状动脉阻塞导致的相应区域供血不足造成部分心肌坏死。须满足下列至少三项条件：</w:t>
            </w:r>
          </w:p>
          <w:p>
            <w:pPr>
              <w:pStyle w:val="TableParagraph"/>
              <w:spacing w:before="7"/>
              <w:ind w:left="127"/>
              <w:rPr>
                <w:sz w:val="21"/>
              </w:rPr>
            </w:pPr>
            <w:r>
              <w:rPr>
                <w:sz w:val="21"/>
              </w:rPr>
              <w:t>(1)典型临床表现，例如急性胸痛等；</w:t>
            </w:r>
          </w:p>
          <w:p>
            <w:pPr>
              <w:pStyle w:val="TableParagraph"/>
              <w:spacing w:before="36"/>
              <w:ind w:left="127"/>
              <w:rPr>
                <w:sz w:val="21"/>
              </w:rPr>
            </w:pPr>
            <w:r>
              <w:rPr>
                <w:sz w:val="21"/>
              </w:rPr>
              <w:t>(2)新近的心电图改变提示急性心肌梗塞；</w:t>
            </w:r>
          </w:p>
          <w:p>
            <w:pPr>
              <w:pStyle w:val="TableParagraph"/>
              <w:spacing w:line="273" w:lineRule="auto" w:before="36"/>
              <w:ind w:left="127" w:right="250"/>
              <w:rPr>
                <w:sz w:val="21"/>
              </w:rPr>
            </w:pPr>
            <w:r>
              <w:rPr>
                <w:sz w:val="21"/>
              </w:rPr>
              <w:t>(3)心肌酶或肌钙蛋白有诊断意义的升高，或呈符合急性心肌梗塞的动态性变化；</w:t>
            </w:r>
          </w:p>
          <w:p>
            <w:pPr>
              <w:pStyle w:val="TableParagraph"/>
              <w:spacing w:line="273" w:lineRule="auto" w:before="7"/>
              <w:ind w:left="127" w:right="239"/>
              <w:rPr>
                <w:sz w:val="21"/>
              </w:rPr>
            </w:pPr>
            <w:r>
              <w:rPr>
                <w:sz w:val="21"/>
              </w:rPr>
              <w:t>(4)发病 90 天后，经检查证实左心室功能降低，如左心室射血分数低于 50%。</w:t>
            </w:r>
          </w:p>
        </w:tc>
      </w:tr>
      <w:tr>
        <w:trPr>
          <w:trHeight w:val="2325" w:hRule="atLeast"/>
        </w:trPr>
        <w:tc>
          <w:tcPr>
            <w:tcW w:w="1036" w:type="dxa"/>
          </w:tcPr>
          <w:p>
            <w:pPr>
              <w:pStyle w:val="TableParagraph"/>
              <w:spacing w:before="49"/>
              <w:ind w:left="200"/>
              <w:rPr>
                <w:b/>
                <w:sz w:val="21"/>
              </w:rPr>
            </w:pPr>
            <w:r>
              <w:rPr>
                <w:b/>
                <w:sz w:val="21"/>
              </w:rPr>
              <w:t>10.1.3</w:t>
            </w:r>
          </w:p>
        </w:tc>
        <w:tc>
          <w:tcPr>
            <w:tcW w:w="2224" w:type="dxa"/>
          </w:tcPr>
          <w:p>
            <w:pPr>
              <w:pStyle w:val="TableParagraph"/>
              <w:spacing w:before="49"/>
              <w:ind w:left="335"/>
              <w:rPr>
                <w:b/>
                <w:sz w:val="21"/>
              </w:rPr>
            </w:pPr>
            <w:r>
              <w:rPr>
                <w:b/>
                <w:sz w:val="21"/>
              </w:rPr>
              <w:t>脑中风后遗症</w:t>
            </w:r>
          </w:p>
        </w:tc>
        <w:tc>
          <w:tcPr>
            <w:tcW w:w="6578" w:type="dxa"/>
          </w:tcPr>
          <w:p>
            <w:pPr>
              <w:pStyle w:val="TableParagraph"/>
              <w:spacing w:line="273" w:lineRule="auto" w:before="49"/>
              <w:ind w:left="127" w:right="306"/>
              <w:rPr>
                <w:sz w:val="21"/>
              </w:rPr>
            </w:pPr>
            <w:r>
              <w:rPr>
                <w:sz w:val="21"/>
              </w:rPr>
              <w:t>指因脑血管的突发病变引起脑血管出血、栓塞或梗塞，并导致神经系统永久性的功能障碍。神经系统永久性的功能障碍，指疾病确诊</w:t>
            </w:r>
          </w:p>
          <w:p>
            <w:pPr>
              <w:pStyle w:val="TableParagraph"/>
              <w:spacing w:before="7"/>
              <w:ind w:left="127"/>
              <w:rPr>
                <w:sz w:val="21"/>
              </w:rPr>
            </w:pPr>
            <w:r>
              <w:rPr>
                <w:sz w:val="21"/>
              </w:rPr>
              <w:t>180 天后，仍遗留下列一种或一种以上障碍：</w:t>
            </w:r>
          </w:p>
          <w:p>
            <w:pPr>
              <w:pStyle w:val="TableParagraph"/>
              <w:spacing w:before="36"/>
              <w:ind w:left="127"/>
              <w:rPr>
                <w:sz w:val="21"/>
              </w:rPr>
            </w:pPr>
            <w:r>
              <w:rPr>
                <w:w w:val="100"/>
                <w:sz w:val="21"/>
              </w:rPr>
              <w:t>(1)</w:t>
            </w:r>
            <w:r>
              <w:rPr>
                <w:spacing w:val="-3"/>
                <w:w w:val="100"/>
                <w:sz w:val="21"/>
              </w:rPr>
              <w:t>一肢或一肢以上</w:t>
            </w:r>
            <w:r>
              <w:rPr>
                <w:b/>
                <w:spacing w:val="-1"/>
                <w:w w:val="100"/>
                <w:sz w:val="21"/>
              </w:rPr>
              <w:t>肢体机能完全丧失</w:t>
            </w:r>
            <w:r>
              <w:rPr>
                <w:spacing w:val="-3"/>
                <w:w w:val="100"/>
                <w:sz w:val="21"/>
              </w:rPr>
              <w:t>（</w:t>
            </w:r>
            <w:r>
              <w:rPr>
                <w:spacing w:val="-2"/>
                <w:w w:val="100"/>
                <w:sz w:val="21"/>
              </w:rPr>
              <w:t>详见释义</w:t>
            </w:r>
            <w:r>
              <w:rPr>
                <w:spacing w:val="-108"/>
                <w:w w:val="100"/>
                <w:sz w:val="21"/>
              </w:rPr>
              <w:t>）</w:t>
            </w:r>
            <w:r>
              <w:rPr>
                <w:w w:val="100"/>
                <w:sz w:val="21"/>
              </w:rPr>
              <w:t>；</w:t>
            </w:r>
          </w:p>
          <w:p>
            <w:pPr>
              <w:pStyle w:val="TableParagraph"/>
              <w:spacing w:before="36"/>
              <w:ind w:left="127"/>
              <w:rPr>
                <w:sz w:val="21"/>
              </w:rPr>
            </w:pPr>
            <w:r>
              <w:rPr>
                <w:w w:val="100"/>
                <w:sz w:val="21"/>
              </w:rPr>
              <w:t>(2</w:t>
            </w:r>
            <w:r>
              <w:rPr>
                <w:spacing w:val="-3"/>
                <w:w w:val="100"/>
                <w:sz w:val="21"/>
              </w:rPr>
              <w:t>)</w:t>
            </w:r>
            <w:r>
              <w:rPr>
                <w:b/>
                <w:spacing w:val="-1"/>
                <w:w w:val="100"/>
                <w:sz w:val="21"/>
              </w:rPr>
              <w:t>语言能力或咀嚼吞咽能力完全丧失</w:t>
            </w:r>
            <w:r>
              <w:rPr>
                <w:spacing w:val="-3"/>
                <w:w w:val="100"/>
                <w:sz w:val="21"/>
              </w:rPr>
              <w:t>（</w:t>
            </w:r>
            <w:r>
              <w:rPr>
                <w:spacing w:val="-2"/>
                <w:w w:val="100"/>
                <w:sz w:val="21"/>
              </w:rPr>
              <w:t>详见释义</w:t>
            </w:r>
            <w:r>
              <w:rPr>
                <w:spacing w:val="-108"/>
                <w:w w:val="100"/>
                <w:sz w:val="21"/>
              </w:rPr>
              <w:t>）</w:t>
            </w:r>
            <w:r>
              <w:rPr>
                <w:w w:val="100"/>
                <w:sz w:val="21"/>
              </w:rPr>
              <w:t>；</w:t>
            </w:r>
          </w:p>
          <w:p>
            <w:pPr>
              <w:pStyle w:val="TableParagraph"/>
              <w:spacing w:line="273" w:lineRule="auto" w:before="36"/>
              <w:ind w:left="127" w:right="303"/>
              <w:rPr>
                <w:sz w:val="21"/>
              </w:rPr>
            </w:pPr>
            <w:r>
              <w:rPr>
                <w:sz w:val="21"/>
              </w:rPr>
              <w:t>(3)</w:t>
            </w:r>
            <w:r>
              <w:rPr>
                <w:spacing w:val="-8"/>
                <w:sz w:val="21"/>
              </w:rPr>
              <w:t>自主生活能力完全丧失，无法独立完成六项基本日常生活活动中</w:t>
            </w:r>
            <w:r>
              <w:rPr>
                <w:spacing w:val="-5"/>
                <w:sz w:val="21"/>
              </w:rPr>
              <w:t>的三项或三项以上。</w:t>
            </w:r>
          </w:p>
        </w:tc>
      </w:tr>
      <w:tr>
        <w:trPr>
          <w:trHeight w:val="1781" w:hRule="atLeast"/>
        </w:trPr>
        <w:tc>
          <w:tcPr>
            <w:tcW w:w="1036" w:type="dxa"/>
          </w:tcPr>
          <w:p>
            <w:pPr>
              <w:pStyle w:val="TableParagraph"/>
              <w:spacing w:before="49"/>
              <w:ind w:left="200"/>
              <w:rPr>
                <w:b/>
                <w:sz w:val="21"/>
              </w:rPr>
            </w:pPr>
            <w:r>
              <w:rPr>
                <w:b/>
                <w:sz w:val="21"/>
              </w:rPr>
              <w:t>10.1.4</w:t>
            </w:r>
          </w:p>
        </w:tc>
        <w:tc>
          <w:tcPr>
            <w:tcW w:w="2224" w:type="dxa"/>
          </w:tcPr>
          <w:p>
            <w:pPr>
              <w:pStyle w:val="TableParagraph"/>
              <w:spacing w:line="273" w:lineRule="auto" w:before="49"/>
              <w:ind w:left="335" w:right="197"/>
              <w:rPr>
                <w:b/>
                <w:sz w:val="21"/>
              </w:rPr>
            </w:pPr>
            <w:r>
              <w:rPr>
                <w:b/>
                <w:sz w:val="21"/>
              </w:rPr>
              <w:t>重大器官移植术或造血干细胞移植术</w:t>
            </w:r>
          </w:p>
        </w:tc>
        <w:tc>
          <w:tcPr>
            <w:tcW w:w="6578" w:type="dxa"/>
          </w:tcPr>
          <w:p>
            <w:pPr>
              <w:pStyle w:val="TableParagraph"/>
              <w:spacing w:line="273" w:lineRule="auto" w:before="49"/>
              <w:ind w:left="127" w:right="197"/>
              <w:rPr>
                <w:sz w:val="21"/>
              </w:rPr>
            </w:pPr>
            <w:r>
              <w:rPr>
                <w:spacing w:val="-8"/>
                <w:sz w:val="21"/>
              </w:rPr>
              <w:t>重大器官移植术，指因相应器官功能衰竭，已经实施了肾脏、肝脏、</w:t>
            </w:r>
            <w:r>
              <w:rPr>
                <w:spacing w:val="-5"/>
                <w:sz w:val="21"/>
              </w:rPr>
              <w:t>心脏或肺脏的异体移植手术。</w:t>
            </w:r>
          </w:p>
          <w:p>
            <w:pPr>
              <w:pStyle w:val="TableParagraph"/>
              <w:spacing w:line="273" w:lineRule="auto" w:before="86"/>
              <w:ind w:left="127" w:right="306"/>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67" w:hRule="atLeast"/>
        </w:trPr>
        <w:tc>
          <w:tcPr>
            <w:tcW w:w="1036" w:type="dxa"/>
          </w:tcPr>
          <w:p>
            <w:pPr>
              <w:pStyle w:val="TableParagraph"/>
              <w:spacing w:before="49"/>
              <w:ind w:left="200"/>
              <w:rPr>
                <w:b/>
                <w:sz w:val="21"/>
              </w:rPr>
            </w:pPr>
            <w:r>
              <w:rPr>
                <w:b/>
                <w:sz w:val="21"/>
              </w:rPr>
              <w:t>10.1.5</w:t>
            </w:r>
          </w:p>
        </w:tc>
        <w:tc>
          <w:tcPr>
            <w:tcW w:w="2224" w:type="dxa"/>
          </w:tcPr>
          <w:p>
            <w:pPr>
              <w:pStyle w:val="TableParagraph"/>
              <w:spacing w:line="273" w:lineRule="auto" w:before="49"/>
              <w:ind w:left="335" w:right="84"/>
              <w:rPr>
                <w:b/>
                <w:sz w:val="21"/>
              </w:rPr>
            </w:pPr>
            <w:r>
              <w:rPr>
                <w:b/>
                <w:spacing w:val="-15"/>
                <w:sz w:val="21"/>
              </w:rPr>
              <w:t>冠状动脉搭桥术</w:t>
            </w:r>
            <w:r>
              <w:rPr>
                <w:b/>
                <w:sz w:val="21"/>
              </w:rPr>
              <w:t>（或称冠状动脉旁路移植术）</w:t>
            </w:r>
          </w:p>
        </w:tc>
        <w:tc>
          <w:tcPr>
            <w:tcW w:w="6578" w:type="dxa"/>
          </w:tcPr>
          <w:p>
            <w:pPr>
              <w:pStyle w:val="TableParagraph"/>
              <w:spacing w:line="273" w:lineRule="auto" w:before="49"/>
              <w:ind w:left="127" w:right="306"/>
              <w:rPr>
                <w:sz w:val="21"/>
              </w:rPr>
            </w:pPr>
            <w:r>
              <w:rPr>
                <w:sz w:val="21"/>
              </w:rPr>
              <w:t>指为治疗严重的冠心病，实际实施了开胸进行的冠状动脉血管旁路移植的手术。</w:t>
            </w:r>
          </w:p>
          <w:p>
            <w:pPr>
              <w:pStyle w:val="TableParagraph"/>
              <w:spacing w:line="273" w:lineRule="auto" w:before="84"/>
              <w:ind w:left="127" w:right="306"/>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079" w:hRule="atLeast"/>
        </w:trPr>
        <w:tc>
          <w:tcPr>
            <w:tcW w:w="1036" w:type="dxa"/>
          </w:tcPr>
          <w:p>
            <w:pPr>
              <w:pStyle w:val="TableParagraph"/>
              <w:spacing w:before="50"/>
              <w:ind w:left="200"/>
              <w:rPr>
                <w:b/>
                <w:sz w:val="21"/>
              </w:rPr>
            </w:pPr>
            <w:r>
              <w:rPr>
                <w:b/>
                <w:sz w:val="21"/>
              </w:rPr>
              <w:t>10.1.6</w:t>
            </w:r>
          </w:p>
        </w:tc>
        <w:tc>
          <w:tcPr>
            <w:tcW w:w="2224" w:type="dxa"/>
          </w:tcPr>
          <w:p>
            <w:pPr>
              <w:pStyle w:val="TableParagraph"/>
              <w:spacing w:line="273" w:lineRule="auto" w:before="50"/>
              <w:ind w:left="200" w:right="125"/>
              <w:rPr>
                <w:b/>
                <w:sz w:val="21"/>
              </w:rPr>
            </w:pPr>
            <w:r>
              <w:rPr>
                <w:b/>
                <w:spacing w:val="-1"/>
                <w:sz w:val="21"/>
              </w:rPr>
              <w:t>终末期肾病</w:t>
            </w:r>
            <w:r>
              <w:rPr>
                <w:b/>
                <w:sz w:val="21"/>
              </w:rPr>
              <w:t>（</w:t>
            </w:r>
            <w:r>
              <w:rPr>
                <w:b/>
                <w:spacing w:val="-2"/>
                <w:sz w:val="21"/>
              </w:rPr>
              <w:t>或称慢性肾功能衰竭尿毒 症期）</w:t>
            </w:r>
          </w:p>
        </w:tc>
        <w:tc>
          <w:tcPr>
            <w:tcW w:w="6578" w:type="dxa"/>
          </w:tcPr>
          <w:p>
            <w:pPr>
              <w:pStyle w:val="TableParagraph"/>
              <w:spacing w:line="273" w:lineRule="auto" w:before="50"/>
              <w:ind w:left="86" w:right="303"/>
              <w:rPr>
                <w:sz w:val="21"/>
              </w:rPr>
            </w:pPr>
            <w:r>
              <w:rPr>
                <w:sz w:val="21"/>
              </w:rPr>
              <w:t>指双肾功能慢性不可逆性衰竭，达到尿毒症期，经诊断后已经进行了至少 90 天的规律性透析治疗或实施了肾脏移植手术。</w:t>
            </w:r>
          </w:p>
        </w:tc>
      </w:tr>
      <w:tr>
        <w:trPr>
          <w:trHeight w:val="765" w:hRule="atLeast"/>
        </w:trPr>
        <w:tc>
          <w:tcPr>
            <w:tcW w:w="1036" w:type="dxa"/>
          </w:tcPr>
          <w:p>
            <w:pPr>
              <w:pStyle w:val="TableParagraph"/>
              <w:spacing w:before="49"/>
              <w:ind w:left="200"/>
              <w:rPr>
                <w:b/>
                <w:sz w:val="21"/>
              </w:rPr>
            </w:pPr>
            <w:r>
              <w:rPr>
                <w:b/>
                <w:sz w:val="21"/>
              </w:rPr>
              <w:t>10.1.7</w:t>
            </w:r>
          </w:p>
        </w:tc>
        <w:tc>
          <w:tcPr>
            <w:tcW w:w="2224" w:type="dxa"/>
          </w:tcPr>
          <w:p>
            <w:pPr>
              <w:pStyle w:val="TableParagraph"/>
              <w:spacing w:before="49"/>
              <w:ind w:left="335"/>
              <w:rPr>
                <w:b/>
                <w:sz w:val="21"/>
              </w:rPr>
            </w:pPr>
            <w:r>
              <w:rPr>
                <w:b/>
                <w:sz w:val="21"/>
              </w:rPr>
              <w:t>多个肢体缺失</w:t>
            </w:r>
          </w:p>
        </w:tc>
        <w:tc>
          <w:tcPr>
            <w:tcW w:w="6578" w:type="dxa"/>
          </w:tcPr>
          <w:p>
            <w:pPr>
              <w:pStyle w:val="TableParagraph"/>
              <w:spacing w:line="273" w:lineRule="auto" w:before="49"/>
              <w:ind w:left="127" w:right="306"/>
              <w:rPr>
                <w:sz w:val="21"/>
              </w:rPr>
            </w:pPr>
            <w:r>
              <w:rPr>
                <w:sz w:val="21"/>
              </w:rPr>
              <w:t>指因疾病或意外伤害导致两个或两个以上肢体自腕关节或踝关节近端（靠近躯干端）以上完全性断离。</w:t>
            </w:r>
          </w:p>
        </w:tc>
      </w:tr>
      <w:tr>
        <w:trPr>
          <w:trHeight w:val="1892" w:hRule="atLeast"/>
        </w:trPr>
        <w:tc>
          <w:tcPr>
            <w:tcW w:w="1036" w:type="dxa"/>
          </w:tcPr>
          <w:p>
            <w:pPr>
              <w:pStyle w:val="TableParagraph"/>
              <w:spacing w:before="49"/>
              <w:ind w:left="200"/>
              <w:rPr>
                <w:b/>
                <w:sz w:val="21"/>
              </w:rPr>
            </w:pPr>
            <w:r>
              <w:rPr>
                <w:b/>
                <w:sz w:val="21"/>
              </w:rPr>
              <w:t>10.1.8</w:t>
            </w:r>
          </w:p>
        </w:tc>
        <w:tc>
          <w:tcPr>
            <w:tcW w:w="2224" w:type="dxa"/>
          </w:tcPr>
          <w:p>
            <w:pPr>
              <w:pStyle w:val="TableParagraph"/>
              <w:spacing w:line="273" w:lineRule="auto" w:before="49"/>
              <w:ind w:left="335" w:right="197"/>
              <w:rPr>
                <w:b/>
                <w:sz w:val="21"/>
              </w:rPr>
            </w:pPr>
            <w:r>
              <w:rPr>
                <w:b/>
                <w:sz w:val="21"/>
              </w:rPr>
              <w:t>急性或亚急性重症肝炎</w:t>
            </w:r>
          </w:p>
        </w:tc>
        <w:tc>
          <w:tcPr>
            <w:tcW w:w="6578" w:type="dxa"/>
          </w:tcPr>
          <w:p>
            <w:pPr>
              <w:pStyle w:val="TableParagraph"/>
              <w:spacing w:line="273" w:lineRule="auto" w:before="49"/>
              <w:ind w:left="127" w:right="137"/>
              <w:rPr>
                <w:sz w:val="21"/>
              </w:rPr>
            </w:pPr>
            <w:r>
              <w:rPr>
                <w:sz w:val="21"/>
              </w:rPr>
              <w:t>指因肝炎病毒感染引起肝脏组织弥漫性坏死，导致急性肝功能衰竭， 且经血清学或病毒学检查证实，并须满足下列全部条件：</w:t>
            </w:r>
          </w:p>
          <w:p>
            <w:pPr>
              <w:pStyle w:val="TableParagraph"/>
              <w:spacing w:before="7"/>
              <w:ind w:left="127"/>
              <w:rPr>
                <w:sz w:val="21"/>
              </w:rPr>
            </w:pPr>
            <w:r>
              <w:rPr>
                <w:sz w:val="21"/>
              </w:rPr>
              <w:t>(1)重度黄疸或黄疸迅速加重；</w:t>
            </w:r>
          </w:p>
          <w:p>
            <w:pPr>
              <w:pStyle w:val="TableParagraph"/>
              <w:spacing w:before="36"/>
              <w:ind w:left="127"/>
              <w:rPr>
                <w:sz w:val="21"/>
              </w:rPr>
            </w:pPr>
            <w:r>
              <w:rPr>
                <w:sz w:val="21"/>
              </w:rPr>
              <w:t>(2)肝性脑病；</w:t>
            </w:r>
          </w:p>
          <w:p>
            <w:pPr>
              <w:pStyle w:val="TableParagraph"/>
              <w:spacing w:before="36"/>
              <w:ind w:left="127"/>
              <w:rPr>
                <w:sz w:val="21"/>
              </w:rPr>
            </w:pPr>
            <w:r>
              <w:rPr>
                <w:sz w:val="21"/>
              </w:rPr>
              <w:t>(3)B 超或其它影像学检查显示肝脏体积急速萎缩；</w:t>
            </w:r>
          </w:p>
          <w:p>
            <w:pPr>
              <w:pStyle w:val="TableParagraph"/>
              <w:spacing w:line="263" w:lineRule="exact" w:before="37"/>
              <w:ind w:left="127"/>
              <w:rPr>
                <w:sz w:val="21"/>
              </w:rPr>
            </w:pPr>
            <w:r>
              <w:rPr>
                <w:sz w:val="21"/>
              </w:rPr>
              <w:t>(4)肝功能指标进行性恶化。</w:t>
            </w:r>
          </w:p>
        </w:tc>
      </w:tr>
    </w:tbl>
    <w:p>
      <w:pPr>
        <w:spacing w:after="0" w:line="263" w:lineRule="exact"/>
        <w:rPr>
          <w:sz w:val="21"/>
        </w:rPr>
        <w:sectPr>
          <w:pgSz w:w="11910" w:h="16840"/>
          <w:pgMar w:top="1460" w:bottom="280" w:left="980" w:right="8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2068"/>
        <w:gridCol w:w="6614"/>
      </w:tblGrid>
      <w:tr>
        <w:trPr>
          <w:trHeight w:val="2281" w:hRule="atLeast"/>
        </w:trPr>
        <w:tc>
          <w:tcPr>
            <w:tcW w:w="1156" w:type="dxa"/>
          </w:tcPr>
          <w:p>
            <w:pPr>
              <w:pStyle w:val="TableParagraph"/>
              <w:spacing w:line="203" w:lineRule="exact"/>
              <w:ind w:left="200"/>
              <w:rPr>
                <w:b/>
                <w:sz w:val="21"/>
              </w:rPr>
            </w:pPr>
            <w:r>
              <w:rPr>
                <w:b/>
                <w:sz w:val="21"/>
              </w:rPr>
              <w:t>10.1.9</w:t>
            </w:r>
          </w:p>
        </w:tc>
        <w:tc>
          <w:tcPr>
            <w:tcW w:w="2068" w:type="dxa"/>
          </w:tcPr>
          <w:p>
            <w:pPr>
              <w:pStyle w:val="TableParagraph"/>
              <w:spacing w:line="203" w:lineRule="exact"/>
              <w:ind w:left="215"/>
              <w:rPr>
                <w:b/>
                <w:sz w:val="21"/>
              </w:rPr>
            </w:pPr>
            <w:r>
              <w:rPr>
                <w:b/>
                <w:sz w:val="21"/>
              </w:rPr>
              <w:t>良性脑肿瘤</w:t>
            </w:r>
          </w:p>
        </w:tc>
        <w:tc>
          <w:tcPr>
            <w:tcW w:w="6614" w:type="dxa"/>
          </w:tcPr>
          <w:p>
            <w:pPr>
              <w:pStyle w:val="TableParagraph"/>
              <w:spacing w:line="203" w:lineRule="exact"/>
              <w:rPr>
                <w:sz w:val="21"/>
              </w:rPr>
            </w:pPr>
            <w:r>
              <w:rPr>
                <w:sz w:val="21"/>
              </w:rPr>
              <w:t>指脑的良性肿瘤，已经引起颅内压增高，临床表现为视神经乳头水</w:t>
            </w:r>
          </w:p>
          <w:p>
            <w:pPr>
              <w:pStyle w:val="TableParagraph"/>
              <w:spacing w:line="273" w:lineRule="auto" w:before="37"/>
              <w:ind w:right="250"/>
              <w:jc w:val="both"/>
              <w:rPr>
                <w:sz w:val="21"/>
              </w:rPr>
            </w:pPr>
            <w:r>
              <w:rPr>
                <w:sz w:val="21"/>
              </w:rPr>
              <w:t>肿、精神症状、癫痫及运动感觉障碍等，并危及生命。须由头颅断</w:t>
            </w:r>
            <w:r>
              <w:rPr>
                <w:spacing w:val="-1"/>
                <w:w w:val="100"/>
                <w:sz w:val="21"/>
              </w:rPr>
              <w:t>层扫描（</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w:t>
            </w:r>
            <w:r>
              <w:rPr>
                <w:spacing w:val="-3"/>
                <w:w w:val="100"/>
                <w:sz w:val="21"/>
              </w:rPr>
              <w:t>R</w:t>
            </w:r>
            <w:r>
              <w:rPr>
                <w:spacing w:val="-1"/>
                <w:w w:val="100"/>
                <w:sz w:val="21"/>
              </w:rPr>
              <w:t>I</w:t>
            </w:r>
            <w:r>
              <w:rPr>
                <w:spacing w:val="-3"/>
                <w:w w:val="100"/>
                <w:sz w:val="21"/>
              </w:rPr>
              <w:t>）或正电子发射断层扫描</w:t>
            </w:r>
            <w:r>
              <w:rPr>
                <w:w w:val="100"/>
                <w:sz w:val="21"/>
              </w:rPr>
              <w:t>（P</w:t>
            </w:r>
            <w:r>
              <w:rPr>
                <w:spacing w:val="-3"/>
                <w:w w:val="100"/>
                <w:sz w:val="21"/>
              </w:rPr>
              <w:t>E</w:t>
            </w:r>
            <w:r>
              <w:rPr>
                <w:spacing w:val="-1"/>
                <w:w w:val="100"/>
                <w:sz w:val="21"/>
              </w:rPr>
              <w:t>T</w:t>
            </w:r>
            <w:r>
              <w:rPr>
                <w:w w:val="100"/>
                <w:sz w:val="21"/>
              </w:rPr>
              <w:t>）</w:t>
            </w:r>
            <w:r>
              <w:rPr>
                <w:spacing w:val="-3"/>
                <w:sz w:val="21"/>
              </w:rPr>
              <w:t>等影像学检查证实，并须满足下列至少一项条件：</w:t>
            </w:r>
          </w:p>
          <w:p>
            <w:pPr>
              <w:pStyle w:val="TableParagraph"/>
              <w:spacing w:before="7"/>
              <w:jc w:val="both"/>
              <w:rPr>
                <w:sz w:val="21"/>
              </w:rPr>
            </w:pPr>
            <w:r>
              <w:rPr>
                <w:sz w:val="21"/>
              </w:rPr>
              <w:t>(1)实际实施了开颅进行的脑肿瘤完全切除或部分切除的手术；</w:t>
            </w:r>
          </w:p>
          <w:p>
            <w:pPr>
              <w:pStyle w:val="TableParagraph"/>
              <w:spacing w:before="36"/>
              <w:jc w:val="both"/>
              <w:rPr>
                <w:sz w:val="21"/>
              </w:rPr>
            </w:pPr>
            <w:r>
              <w:rPr>
                <w:sz w:val="21"/>
              </w:rPr>
              <w:t>(2)实际实施了对脑肿瘤进行的放射治疗。</w:t>
            </w:r>
          </w:p>
          <w:p>
            <w:pPr>
              <w:pStyle w:val="TableParagraph"/>
              <w:spacing w:before="113"/>
              <w:jc w:val="both"/>
              <w:rPr>
                <w:rFonts w:ascii="黑体" w:eastAsia="黑体" w:hint="eastAsia"/>
                <w:sz w:val="21"/>
              </w:rPr>
            </w:pPr>
            <w:r>
              <w:rPr>
                <w:rFonts w:ascii="黑体" w:eastAsia="黑体" w:hint="eastAsia"/>
                <w:sz w:val="21"/>
              </w:rPr>
              <w:t>脑垂体瘤、脑囊肿、脑血管性疾病不在保障范围内。</w:t>
            </w:r>
          </w:p>
        </w:tc>
      </w:tr>
      <w:tr>
        <w:trPr>
          <w:trHeight w:val="2093" w:hRule="atLeast"/>
        </w:trPr>
        <w:tc>
          <w:tcPr>
            <w:tcW w:w="1156" w:type="dxa"/>
          </w:tcPr>
          <w:p>
            <w:pPr>
              <w:pStyle w:val="TableParagraph"/>
              <w:spacing w:before="49"/>
              <w:ind w:left="200"/>
              <w:rPr>
                <w:b/>
                <w:sz w:val="21"/>
              </w:rPr>
            </w:pPr>
            <w:r>
              <w:rPr>
                <w:b/>
                <w:sz w:val="21"/>
              </w:rPr>
              <w:t>10.1.10</w:t>
            </w:r>
          </w:p>
        </w:tc>
        <w:tc>
          <w:tcPr>
            <w:tcW w:w="2068" w:type="dxa"/>
          </w:tcPr>
          <w:p>
            <w:pPr>
              <w:pStyle w:val="TableParagraph"/>
              <w:spacing w:line="273" w:lineRule="auto" w:before="49"/>
              <w:ind w:left="215" w:right="161"/>
              <w:rPr>
                <w:b/>
                <w:sz w:val="21"/>
              </w:rPr>
            </w:pPr>
            <w:r>
              <w:rPr>
                <w:b/>
                <w:sz w:val="21"/>
              </w:rPr>
              <w:t>慢性肝功能衰竭失代偿期</w:t>
            </w:r>
          </w:p>
        </w:tc>
        <w:tc>
          <w:tcPr>
            <w:tcW w:w="6614" w:type="dxa"/>
          </w:tcPr>
          <w:p>
            <w:pPr>
              <w:pStyle w:val="TableParagraph"/>
              <w:spacing w:before="49"/>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before="36"/>
              <w:rPr>
                <w:sz w:val="21"/>
              </w:rPr>
            </w:pPr>
            <w:r>
              <w:rPr>
                <w:sz w:val="21"/>
              </w:rPr>
              <w:t>(4)充血性脾肿大伴脾功能亢进或食管胃底静脉曲张。</w:t>
            </w:r>
          </w:p>
          <w:p>
            <w:pPr>
              <w:pStyle w:val="TableParagraph"/>
              <w:spacing w:before="116"/>
              <w:rPr>
                <w:rFonts w:ascii="黑体" w:eastAsia="黑体" w:hint="eastAsia"/>
                <w:sz w:val="21"/>
              </w:rPr>
            </w:pPr>
            <w:r>
              <w:rPr>
                <w:rFonts w:ascii="黑体" w:eastAsia="黑体" w:hint="eastAsia"/>
                <w:sz w:val="21"/>
              </w:rPr>
              <w:t>因酗酒或药物滥用导致的肝功能衰竭不在保障范围内。</w:t>
            </w:r>
          </w:p>
        </w:tc>
      </w:tr>
      <w:tr>
        <w:trPr>
          <w:trHeight w:val="2325" w:hRule="atLeast"/>
        </w:trPr>
        <w:tc>
          <w:tcPr>
            <w:tcW w:w="1156" w:type="dxa"/>
          </w:tcPr>
          <w:p>
            <w:pPr>
              <w:pStyle w:val="TableParagraph"/>
              <w:spacing w:before="49"/>
              <w:ind w:left="200"/>
              <w:rPr>
                <w:b/>
                <w:sz w:val="21"/>
              </w:rPr>
            </w:pPr>
            <w:r>
              <w:rPr>
                <w:b/>
                <w:sz w:val="21"/>
              </w:rPr>
              <w:t>10.1.11</w:t>
            </w:r>
          </w:p>
        </w:tc>
        <w:tc>
          <w:tcPr>
            <w:tcW w:w="2068" w:type="dxa"/>
          </w:tcPr>
          <w:p>
            <w:pPr>
              <w:pStyle w:val="TableParagraph"/>
              <w:spacing w:line="273" w:lineRule="auto" w:before="49"/>
              <w:ind w:left="215" w:right="161"/>
              <w:rPr>
                <w:b/>
                <w:sz w:val="21"/>
              </w:rPr>
            </w:pPr>
            <w:r>
              <w:rPr>
                <w:b/>
                <w:sz w:val="21"/>
              </w:rPr>
              <w:t>脑炎后遗症或脑膜炎后遗症</w:t>
            </w:r>
          </w:p>
        </w:tc>
        <w:tc>
          <w:tcPr>
            <w:tcW w:w="6614" w:type="dxa"/>
          </w:tcPr>
          <w:p>
            <w:pPr>
              <w:pStyle w:val="TableParagraph"/>
              <w:spacing w:line="273" w:lineRule="auto" w:before="49"/>
              <w:ind w:right="303"/>
              <w:jc w:val="both"/>
              <w:rPr>
                <w:sz w:val="21"/>
              </w:rPr>
            </w:pPr>
            <w:r>
              <w:rPr>
                <w:sz w:val="21"/>
              </w:rPr>
              <w:t>指因患脑炎或脑膜炎导致的神经系统永久性的功能障碍。神经系统</w:t>
            </w:r>
            <w:r>
              <w:rPr>
                <w:spacing w:val="-4"/>
                <w:sz w:val="21"/>
              </w:rPr>
              <w:t>永久性的功能障碍，指疾病确诊 </w:t>
            </w:r>
            <w:r>
              <w:rPr>
                <w:sz w:val="21"/>
              </w:rPr>
              <w:t>180</w:t>
            </w:r>
            <w:r>
              <w:rPr>
                <w:spacing w:val="-5"/>
                <w:sz w:val="21"/>
              </w:rPr>
              <w:t> 天后，仍遗留下列一种或一种</w:t>
            </w:r>
            <w:r>
              <w:rPr>
                <w:spacing w:val="-4"/>
                <w:sz w:val="21"/>
              </w:rPr>
              <w:t>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right="303"/>
              <w:rPr>
                <w:sz w:val="21"/>
              </w:rPr>
            </w:pPr>
            <w:r>
              <w:rPr>
                <w:sz w:val="21"/>
              </w:rPr>
              <w:t>(3)</w:t>
            </w:r>
            <w:r>
              <w:rPr>
                <w:spacing w:val="-8"/>
                <w:sz w:val="21"/>
              </w:rPr>
              <w:t>自主生活能力完全丧失，无法独立完成六项基本日常生活活动中</w:t>
            </w:r>
            <w:r>
              <w:rPr>
                <w:spacing w:val="-5"/>
                <w:sz w:val="21"/>
              </w:rPr>
              <w:t>的三项或三项以上。</w:t>
            </w:r>
          </w:p>
        </w:tc>
      </w:tr>
      <w:tr>
        <w:trPr>
          <w:trHeight w:val="1781" w:hRule="atLeast"/>
        </w:trPr>
        <w:tc>
          <w:tcPr>
            <w:tcW w:w="1156" w:type="dxa"/>
          </w:tcPr>
          <w:p>
            <w:pPr>
              <w:pStyle w:val="TableParagraph"/>
              <w:spacing w:before="49"/>
              <w:ind w:left="200"/>
              <w:rPr>
                <w:b/>
                <w:sz w:val="21"/>
              </w:rPr>
            </w:pPr>
            <w:r>
              <w:rPr>
                <w:b/>
                <w:sz w:val="21"/>
              </w:rPr>
              <w:t>10.1.12</w:t>
            </w:r>
          </w:p>
        </w:tc>
        <w:tc>
          <w:tcPr>
            <w:tcW w:w="2068" w:type="dxa"/>
          </w:tcPr>
          <w:p>
            <w:pPr>
              <w:pStyle w:val="TableParagraph"/>
              <w:spacing w:before="49"/>
              <w:ind w:left="215"/>
              <w:rPr>
                <w:b/>
                <w:sz w:val="21"/>
              </w:rPr>
            </w:pPr>
            <w:r>
              <w:rPr>
                <w:b/>
                <w:sz w:val="21"/>
              </w:rPr>
              <w:t>深度昏迷</w:t>
            </w:r>
          </w:p>
        </w:tc>
        <w:tc>
          <w:tcPr>
            <w:tcW w:w="6614" w:type="dxa"/>
          </w:tcPr>
          <w:p>
            <w:pPr>
              <w:pStyle w:val="TableParagraph"/>
              <w:spacing w:line="273" w:lineRule="auto" w:before="49"/>
              <w:ind w:right="305"/>
              <w:rPr>
                <w:sz w:val="21"/>
              </w:rPr>
            </w:pPr>
            <w:r>
              <w:rPr>
                <w:sz w:val="21"/>
              </w:rPr>
              <w:t>指因疾病或意外伤害导致意识丧失,对外界刺激和体内需求均无反</w:t>
            </w:r>
            <w:r>
              <w:rPr>
                <w:spacing w:val="-3"/>
                <w:sz w:val="21"/>
              </w:rPr>
              <w:t>应,昏迷程度按照格拉斯哥昏迷分级</w:t>
            </w:r>
            <w:r>
              <w:rPr>
                <w:sz w:val="21"/>
              </w:rPr>
              <w:t>（Glasgow coma scale）</w:t>
            </w:r>
            <w:r>
              <w:rPr>
                <w:spacing w:val="-2"/>
                <w:sz w:val="21"/>
              </w:rPr>
              <w:t>结果为</w:t>
            </w:r>
          </w:p>
          <w:p>
            <w:pPr>
              <w:pStyle w:val="TableParagraph"/>
              <w:spacing w:line="273" w:lineRule="auto" w:before="7"/>
              <w:ind w:right="303"/>
              <w:rPr>
                <w:sz w:val="21"/>
              </w:rPr>
            </w:pPr>
            <w:r>
              <w:rPr>
                <w:sz w:val="21"/>
              </w:rPr>
              <w:t>5</w:t>
            </w:r>
            <w:r>
              <w:rPr>
                <w:spacing w:val="-25"/>
                <w:sz w:val="21"/>
              </w:rPr>
              <w:t> 分或 </w:t>
            </w:r>
            <w:r>
              <w:rPr>
                <w:sz w:val="21"/>
              </w:rPr>
              <w:t>5</w:t>
            </w:r>
            <w:r>
              <w:rPr>
                <w:spacing w:val="-11"/>
                <w:sz w:val="21"/>
              </w:rPr>
              <w:t> 分以下，且已经持续使用呼吸机及其它生命维持系统 </w:t>
            </w:r>
            <w:r>
              <w:rPr>
                <w:sz w:val="21"/>
              </w:rPr>
              <w:t>96</w:t>
            </w:r>
            <w:r>
              <w:rPr>
                <w:spacing w:val="-25"/>
                <w:sz w:val="21"/>
              </w:rPr>
              <w:t> 小</w:t>
            </w:r>
            <w:r>
              <w:rPr>
                <w:spacing w:val="-14"/>
                <w:sz w:val="21"/>
              </w:rPr>
              <w:t>时以上。</w:t>
            </w:r>
          </w:p>
          <w:p>
            <w:pPr>
              <w:pStyle w:val="TableParagraph"/>
              <w:spacing w:before="86"/>
              <w:rPr>
                <w:rFonts w:ascii="黑体" w:eastAsia="黑体" w:hint="eastAsia"/>
                <w:sz w:val="21"/>
              </w:rPr>
            </w:pPr>
            <w:r>
              <w:rPr>
                <w:rFonts w:ascii="黑体" w:eastAsia="黑体" w:hint="eastAsia"/>
                <w:sz w:val="21"/>
              </w:rPr>
              <w:t>因酗酒或药物滥用导致的深度昏迷不在保障范围内。</w:t>
            </w:r>
          </w:p>
        </w:tc>
      </w:tr>
      <w:tr>
        <w:trPr>
          <w:trHeight w:val="1077" w:hRule="atLeast"/>
        </w:trPr>
        <w:tc>
          <w:tcPr>
            <w:tcW w:w="1156" w:type="dxa"/>
          </w:tcPr>
          <w:p>
            <w:pPr>
              <w:pStyle w:val="TableParagraph"/>
              <w:spacing w:before="49"/>
              <w:ind w:left="200"/>
              <w:rPr>
                <w:b/>
                <w:sz w:val="21"/>
              </w:rPr>
            </w:pPr>
            <w:r>
              <w:rPr>
                <w:b/>
                <w:sz w:val="21"/>
              </w:rPr>
              <w:t>10.1.13</w:t>
            </w:r>
          </w:p>
        </w:tc>
        <w:tc>
          <w:tcPr>
            <w:tcW w:w="2068" w:type="dxa"/>
          </w:tcPr>
          <w:p>
            <w:pPr>
              <w:pStyle w:val="TableParagraph"/>
              <w:spacing w:before="49"/>
              <w:ind w:left="215"/>
              <w:rPr>
                <w:b/>
                <w:sz w:val="21"/>
              </w:rPr>
            </w:pPr>
            <w:r>
              <w:rPr>
                <w:b/>
                <w:sz w:val="21"/>
              </w:rPr>
              <w:t>双耳失聪</w:t>
            </w:r>
          </w:p>
        </w:tc>
        <w:tc>
          <w:tcPr>
            <w:tcW w:w="6614" w:type="dxa"/>
          </w:tcPr>
          <w:p>
            <w:pPr>
              <w:pStyle w:val="TableParagraph"/>
              <w:spacing w:line="273" w:lineRule="auto" w:before="49"/>
              <w:ind w:right="198"/>
              <w:rPr>
                <w:sz w:val="21"/>
              </w:rPr>
            </w:pPr>
            <w:r>
              <w:rPr>
                <w:spacing w:val="-3"/>
                <w:sz w:val="21"/>
              </w:rPr>
              <w:t>指因疾病或意外伤害导致双耳听力</w:t>
            </w:r>
            <w:r>
              <w:rPr>
                <w:b/>
                <w:spacing w:val="-6"/>
                <w:sz w:val="21"/>
              </w:rPr>
              <w:t>永久不可逆</w:t>
            </w:r>
            <w:r>
              <w:rPr>
                <w:spacing w:val="-3"/>
                <w:sz w:val="21"/>
              </w:rPr>
              <w:t>（详见释义</w:t>
            </w:r>
            <w:r>
              <w:rPr>
                <w:spacing w:val="-32"/>
                <w:sz w:val="21"/>
              </w:rPr>
              <w:t>）</w:t>
            </w:r>
            <w:r>
              <w:rPr>
                <w:spacing w:val="-2"/>
                <w:sz w:val="21"/>
              </w:rPr>
              <w:t>性丧失， </w:t>
            </w:r>
            <w:r>
              <w:rPr>
                <w:spacing w:val="-22"/>
                <w:sz w:val="21"/>
              </w:rPr>
              <w:t>在 </w:t>
            </w:r>
            <w:r>
              <w:rPr>
                <w:sz w:val="21"/>
              </w:rPr>
              <w:t>500</w:t>
            </w:r>
            <w:r>
              <w:rPr>
                <w:spacing w:val="-12"/>
                <w:sz w:val="21"/>
              </w:rPr>
              <w:t> 赫兹、</w:t>
            </w:r>
            <w:r>
              <w:rPr>
                <w:sz w:val="21"/>
              </w:rPr>
              <w:t>1000</w:t>
            </w:r>
            <w:r>
              <w:rPr>
                <w:spacing w:val="-19"/>
                <w:sz w:val="21"/>
              </w:rPr>
              <w:t> 赫兹和 </w:t>
            </w:r>
            <w:r>
              <w:rPr>
                <w:sz w:val="21"/>
              </w:rPr>
              <w:t>2000</w:t>
            </w:r>
            <w:r>
              <w:rPr>
                <w:spacing w:val="-11"/>
                <w:sz w:val="21"/>
              </w:rPr>
              <w:t> 赫兹语音频率下，平均听阈大于 </w:t>
            </w:r>
            <w:r>
              <w:rPr>
                <w:spacing w:val="-3"/>
                <w:sz w:val="21"/>
              </w:rPr>
              <w:t>90 </w:t>
            </w:r>
            <w:r>
              <w:rPr>
                <w:spacing w:val="-9"/>
                <w:sz w:val="21"/>
              </w:rPr>
              <w:t>分贝，且经纯音听力测试、声导抗检测或听觉诱发电位检测等证实。</w:t>
            </w:r>
          </w:p>
        </w:tc>
      </w:tr>
      <w:tr>
        <w:trPr>
          <w:trHeight w:val="2014" w:hRule="atLeast"/>
        </w:trPr>
        <w:tc>
          <w:tcPr>
            <w:tcW w:w="1156" w:type="dxa"/>
          </w:tcPr>
          <w:p>
            <w:pPr>
              <w:pStyle w:val="TableParagraph"/>
              <w:spacing w:before="49"/>
              <w:ind w:left="200"/>
              <w:rPr>
                <w:b/>
                <w:sz w:val="21"/>
              </w:rPr>
            </w:pPr>
            <w:r>
              <w:rPr>
                <w:b/>
                <w:sz w:val="21"/>
              </w:rPr>
              <w:t>10.1.14</w:t>
            </w:r>
          </w:p>
        </w:tc>
        <w:tc>
          <w:tcPr>
            <w:tcW w:w="2068" w:type="dxa"/>
          </w:tcPr>
          <w:p>
            <w:pPr>
              <w:pStyle w:val="TableParagraph"/>
              <w:spacing w:before="49"/>
              <w:ind w:left="215"/>
              <w:rPr>
                <w:b/>
                <w:sz w:val="21"/>
              </w:rPr>
            </w:pPr>
            <w:r>
              <w:rPr>
                <w:b/>
                <w:sz w:val="21"/>
              </w:rPr>
              <w:t>双目失明</w:t>
            </w:r>
          </w:p>
        </w:tc>
        <w:tc>
          <w:tcPr>
            <w:tcW w:w="6614" w:type="dxa"/>
          </w:tcPr>
          <w:p>
            <w:pPr>
              <w:pStyle w:val="TableParagraph"/>
              <w:spacing w:line="273" w:lineRule="auto" w:before="49"/>
              <w:ind w:right="306"/>
              <w:rPr>
                <w:sz w:val="21"/>
              </w:rPr>
            </w:pPr>
            <w:r>
              <w:rPr>
                <w:sz w:val="21"/>
              </w:rPr>
              <w:t>指因疾病或意外伤害导致双眼视力永久不可逆性丧失，双眼中较好眼须满足下列至少一项条件：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6"/>
              <w:ind w:right="307"/>
              <w:rPr>
                <w:sz w:val="21"/>
              </w:rPr>
            </w:pPr>
            <w:r>
              <w:rPr>
                <w:sz w:val="21"/>
              </w:rPr>
              <w:t>(2)</w:t>
            </w:r>
            <w:r>
              <w:rPr>
                <w:spacing w:val="5"/>
                <w:sz w:val="21"/>
              </w:rPr>
              <w:t>矫正视力低于 </w:t>
            </w:r>
            <w:r>
              <w:rPr>
                <w:sz w:val="21"/>
              </w:rPr>
              <w:t>0.02（采用国际标准视力表，如果使用其它视力</w:t>
            </w:r>
            <w:r>
              <w:rPr>
                <w:spacing w:val="-2"/>
                <w:w w:val="100"/>
                <w:sz w:val="21"/>
              </w:rPr>
              <w:t>表应进行换算</w:t>
            </w:r>
            <w:r>
              <w:rPr>
                <w:spacing w:val="-108"/>
                <w:w w:val="100"/>
                <w:sz w:val="21"/>
              </w:rPr>
              <w:t>）</w:t>
            </w:r>
            <w:r>
              <w:rPr>
                <w:w w:val="100"/>
                <w:sz w:val="21"/>
              </w:rPr>
              <w:t>；</w:t>
            </w:r>
          </w:p>
          <w:p>
            <w:pPr>
              <w:pStyle w:val="TableParagraph"/>
              <w:spacing w:before="7"/>
              <w:rPr>
                <w:sz w:val="21"/>
              </w:rPr>
            </w:pPr>
            <w:r>
              <w:rPr>
                <w:sz w:val="21"/>
              </w:rPr>
              <w:t>(3)视野半径小于 5 度。</w:t>
            </w:r>
          </w:p>
        </w:tc>
      </w:tr>
      <w:tr>
        <w:trPr>
          <w:trHeight w:val="1389" w:hRule="atLeast"/>
        </w:trPr>
        <w:tc>
          <w:tcPr>
            <w:tcW w:w="1156" w:type="dxa"/>
          </w:tcPr>
          <w:p>
            <w:pPr>
              <w:pStyle w:val="TableParagraph"/>
              <w:spacing w:before="49"/>
              <w:ind w:left="200"/>
              <w:rPr>
                <w:b/>
                <w:sz w:val="21"/>
              </w:rPr>
            </w:pPr>
            <w:r>
              <w:rPr>
                <w:b/>
                <w:sz w:val="21"/>
              </w:rPr>
              <w:t>10.1.15</w:t>
            </w:r>
          </w:p>
        </w:tc>
        <w:tc>
          <w:tcPr>
            <w:tcW w:w="2068" w:type="dxa"/>
          </w:tcPr>
          <w:p>
            <w:pPr>
              <w:pStyle w:val="TableParagraph"/>
              <w:spacing w:before="49"/>
              <w:ind w:left="215"/>
              <w:rPr>
                <w:b/>
                <w:sz w:val="21"/>
              </w:rPr>
            </w:pPr>
            <w:r>
              <w:rPr>
                <w:b/>
                <w:sz w:val="21"/>
              </w:rPr>
              <w:t>瘫痪</w:t>
            </w:r>
          </w:p>
        </w:tc>
        <w:tc>
          <w:tcPr>
            <w:tcW w:w="6614" w:type="dxa"/>
          </w:tcPr>
          <w:p>
            <w:pPr>
              <w:pStyle w:val="TableParagraph"/>
              <w:spacing w:line="273" w:lineRule="auto" w:before="49"/>
              <w:ind w:right="303"/>
              <w:jc w:val="both"/>
              <w:rPr>
                <w:sz w:val="21"/>
              </w:rPr>
            </w:pPr>
            <w:r>
              <w:rPr>
                <w:sz w:val="21"/>
              </w:rPr>
              <w:t>指因疾病或意外伤害导致两肢或两肢以上肢体机能永久完全丧失。</w:t>
            </w:r>
            <w:r>
              <w:rPr>
                <w:spacing w:val="-4"/>
                <w:sz w:val="21"/>
              </w:rPr>
              <w:t>肢体机能永久完全丧失，指疾病确诊 </w:t>
            </w:r>
            <w:r>
              <w:rPr>
                <w:sz w:val="21"/>
              </w:rPr>
              <w:t>180</w:t>
            </w:r>
            <w:r>
              <w:rPr>
                <w:spacing w:val="-5"/>
                <w:sz w:val="21"/>
              </w:rPr>
              <w:t> 天后或意外伤害发生 </w:t>
            </w:r>
            <w:r>
              <w:rPr>
                <w:sz w:val="21"/>
              </w:rPr>
              <w:t>180 天后，每肢三大关节中的两大关节仍然完全僵硬，或不能随意识活动。</w:t>
            </w:r>
          </w:p>
        </w:tc>
      </w:tr>
      <w:tr>
        <w:trPr>
          <w:trHeight w:val="644" w:hRule="atLeast"/>
        </w:trPr>
        <w:tc>
          <w:tcPr>
            <w:tcW w:w="1156" w:type="dxa"/>
          </w:tcPr>
          <w:p>
            <w:pPr>
              <w:pStyle w:val="TableParagraph"/>
              <w:spacing w:before="49"/>
              <w:ind w:left="200"/>
              <w:rPr>
                <w:b/>
                <w:sz w:val="21"/>
              </w:rPr>
            </w:pPr>
            <w:r>
              <w:rPr>
                <w:b/>
                <w:sz w:val="21"/>
              </w:rPr>
              <w:t>10.1.16</w:t>
            </w:r>
          </w:p>
        </w:tc>
        <w:tc>
          <w:tcPr>
            <w:tcW w:w="2068" w:type="dxa"/>
          </w:tcPr>
          <w:p>
            <w:pPr>
              <w:pStyle w:val="TableParagraph"/>
              <w:spacing w:before="49"/>
              <w:ind w:left="215"/>
              <w:rPr>
                <w:b/>
                <w:sz w:val="21"/>
              </w:rPr>
            </w:pPr>
            <w:r>
              <w:rPr>
                <w:b/>
                <w:sz w:val="21"/>
              </w:rPr>
              <w:t>心脏瓣膜手术</w:t>
            </w:r>
          </w:p>
        </w:tc>
        <w:tc>
          <w:tcPr>
            <w:tcW w:w="6614" w:type="dxa"/>
          </w:tcPr>
          <w:p>
            <w:pPr>
              <w:pStyle w:val="TableParagraph"/>
              <w:spacing w:line="310" w:lineRule="atLeast" w:before="14"/>
              <w:ind w:right="306"/>
              <w:rPr>
                <w:sz w:val="21"/>
              </w:rPr>
            </w:pPr>
            <w:r>
              <w:rPr>
                <w:sz w:val="21"/>
              </w:rPr>
              <w:t>指为治疗心脏瓣膜疾病，实际实施了开胸进行的心脏瓣膜置换或修复的手术。</w:t>
            </w:r>
          </w:p>
        </w:tc>
      </w:tr>
    </w:tbl>
    <w:p>
      <w:pPr>
        <w:spacing w:after="0" w:line="310" w:lineRule="atLeast"/>
        <w:rPr>
          <w:sz w:val="21"/>
        </w:rPr>
        <w:sectPr>
          <w:pgSz w:w="11910" w:h="16840"/>
          <w:pgMar w:top="1460" w:bottom="280" w:left="980" w:right="8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2068"/>
        <w:gridCol w:w="6612"/>
      </w:tblGrid>
      <w:tr>
        <w:trPr>
          <w:trHeight w:val="2281" w:hRule="atLeast"/>
        </w:trPr>
        <w:tc>
          <w:tcPr>
            <w:tcW w:w="1156" w:type="dxa"/>
          </w:tcPr>
          <w:p>
            <w:pPr>
              <w:pStyle w:val="TableParagraph"/>
              <w:spacing w:line="203" w:lineRule="exact"/>
              <w:ind w:left="200"/>
              <w:rPr>
                <w:b/>
                <w:sz w:val="21"/>
              </w:rPr>
            </w:pPr>
            <w:r>
              <w:rPr>
                <w:b/>
                <w:sz w:val="21"/>
              </w:rPr>
              <w:t>10.1.17</w:t>
            </w:r>
          </w:p>
        </w:tc>
        <w:tc>
          <w:tcPr>
            <w:tcW w:w="2068" w:type="dxa"/>
          </w:tcPr>
          <w:p>
            <w:pPr>
              <w:pStyle w:val="TableParagraph"/>
              <w:spacing w:line="203" w:lineRule="exact"/>
              <w:ind w:left="215"/>
              <w:rPr>
                <w:b/>
                <w:sz w:val="21"/>
              </w:rPr>
            </w:pPr>
            <w:r>
              <w:rPr>
                <w:b/>
                <w:sz w:val="21"/>
              </w:rPr>
              <w:t>严重阿尔茨海默病</w:t>
            </w:r>
          </w:p>
        </w:tc>
        <w:tc>
          <w:tcPr>
            <w:tcW w:w="6612" w:type="dxa"/>
          </w:tcPr>
          <w:p>
            <w:pPr>
              <w:pStyle w:val="TableParagraph"/>
              <w:spacing w:line="203" w:lineRule="exact"/>
              <w:rPr>
                <w:sz w:val="21"/>
              </w:rPr>
            </w:pPr>
            <w:r>
              <w:rPr>
                <w:sz w:val="21"/>
              </w:rPr>
              <w:t>指因大脑进行性、不可逆性改变导致智能严重衰退或丧失，临床表</w:t>
            </w:r>
          </w:p>
          <w:p>
            <w:pPr>
              <w:pStyle w:val="TableParagraph"/>
              <w:spacing w:line="273" w:lineRule="auto" w:before="37"/>
              <w:ind w:right="304"/>
              <w:jc w:val="both"/>
              <w:rPr>
                <w:sz w:val="21"/>
              </w:rPr>
            </w:pPr>
            <w:r>
              <w:rPr>
                <w:sz w:val="21"/>
              </w:rPr>
              <w:t>现为明显的认知能力障碍、行为异常和社交能力减退，其日常生活</w:t>
            </w:r>
            <w:r>
              <w:rPr>
                <w:w w:val="100"/>
                <w:sz w:val="21"/>
              </w:rPr>
              <w:t>必须持续受到他人监护。须由头颅断层扫描</w:t>
            </w:r>
            <w:r>
              <w:rPr>
                <w:spacing w:val="3"/>
                <w:w w:val="100"/>
                <w:sz w:val="21"/>
              </w:rPr>
              <w:t>（</w:t>
            </w:r>
            <w:r>
              <w:rPr>
                <w:w w:val="100"/>
                <w:sz w:val="21"/>
              </w:rPr>
              <w:t>C</w:t>
            </w:r>
            <w:r>
              <w:rPr>
                <w:spacing w:val="2"/>
                <w:w w:val="100"/>
                <w:sz w:val="21"/>
              </w:rPr>
              <w:t>T</w:t>
            </w:r>
            <w:r>
              <w:rPr>
                <w:spacing w:val="-101"/>
                <w:w w:val="100"/>
                <w:sz w:val="21"/>
              </w:rPr>
              <w:t>）</w:t>
            </w:r>
            <w:r>
              <w:rPr>
                <w:w w:val="100"/>
                <w:sz w:val="21"/>
              </w:rPr>
              <w:t>、核磁共振检查</w:t>
            </w:r>
          </w:p>
          <w:p>
            <w:pPr>
              <w:pStyle w:val="TableParagraph"/>
              <w:spacing w:line="273" w:lineRule="auto" w:before="7"/>
              <w:ind w:right="303"/>
              <w:jc w:val="both"/>
              <w:rPr>
                <w:sz w:val="21"/>
              </w:rPr>
            </w:pPr>
            <w:r>
              <w:rPr>
                <w:sz w:val="21"/>
              </w:rPr>
              <w:t>（MRI）或正电子发射断层扫描（PET）等影像学检查证实，且自主生活能力完全丧失，无法独立完成六项基本日常生活活动中的三项或三项以上。</w:t>
            </w:r>
          </w:p>
          <w:p>
            <w:pPr>
              <w:pStyle w:val="TableParagraph"/>
              <w:spacing w:before="84"/>
              <w:jc w:val="both"/>
              <w:rPr>
                <w:rFonts w:ascii="黑体" w:eastAsia="黑体" w:hint="eastAsia"/>
                <w:sz w:val="21"/>
              </w:rPr>
            </w:pPr>
            <w:r>
              <w:rPr>
                <w:rFonts w:ascii="黑体" w:eastAsia="黑体" w:hint="eastAsia"/>
                <w:sz w:val="21"/>
              </w:rPr>
              <w:t>神经官能症和精神疾病不在保障范围内。</w:t>
            </w:r>
          </w:p>
        </w:tc>
      </w:tr>
      <w:tr>
        <w:trPr>
          <w:trHeight w:val="2639" w:hRule="atLeast"/>
        </w:trPr>
        <w:tc>
          <w:tcPr>
            <w:tcW w:w="1156" w:type="dxa"/>
          </w:tcPr>
          <w:p>
            <w:pPr>
              <w:pStyle w:val="TableParagraph"/>
              <w:spacing w:before="49"/>
              <w:ind w:left="200"/>
              <w:rPr>
                <w:b/>
                <w:sz w:val="21"/>
              </w:rPr>
            </w:pPr>
            <w:r>
              <w:rPr>
                <w:b/>
                <w:sz w:val="21"/>
              </w:rPr>
              <w:t>10.1.18</w:t>
            </w:r>
          </w:p>
        </w:tc>
        <w:tc>
          <w:tcPr>
            <w:tcW w:w="2068" w:type="dxa"/>
          </w:tcPr>
          <w:p>
            <w:pPr>
              <w:pStyle w:val="TableParagraph"/>
              <w:spacing w:before="49"/>
              <w:ind w:left="215"/>
              <w:rPr>
                <w:b/>
                <w:sz w:val="21"/>
              </w:rPr>
            </w:pPr>
            <w:r>
              <w:rPr>
                <w:b/>
                <w:sz w:val="21"/>
              </w:rPr>
              <w:t>严重脑损伤</w:t>
            </w:r>
          </w:p>
        </w:tc>
        <w:tc>
          <w:tcPr>
            <w:tcW w:w="6612" w:type="dxa"/>
          </w:tcPr>
          <w:p>
            <w:pPr>
              <w:pStyle w:val="TableParagraph"/>
              <w:spacing w:line="273" w:lineRule="auto" w:before="49"/>
              <w:ind w:right="197"/>
              <w:jc w:val="both"/>
              <w:rPr>
                <w:sz w:val="21"/>
              </w:rPr>
            </w:pPr>
            <w:r>
              <w:rPr>
                <w:sz w:val="21"/>
              </w:rPr>
              <w:t>指因头部遭受机械性外力，引起脑重要部位损伤，导致神经系统永</w:t>
            </w:r>
            <w:r>
              <w:rPr>
                <w:w w:val="100"/>
                <w:sz w:val="21"/>
              </w:rPr>
              <w:t>久性的功能障碍。须由头颅断层扫描</w:t>
            </w:r>
            <w:r>
              <w:rPr>
                <w:spacing w:val="0"/>
                <w:w w:val="100"/>
                <w:sz w:val="21"/>
              </w:rPr>
              <w:t>（</w:t>
            </w:r>
            <w:r>
              <w:rPr>
                <w:w w:val="100"/>
                <w:sz w:val="21"/>
              </w:rPr>
              <w:t>CT</w:t>
            </w:r>
            <w:r>
              <w:rPr>
                <w:spacing w:val="-104"/>
                <w:w w:val="100"/>
                <w:sz w:val="21"/>
              </w:rPr>
              <w:t>）</w:t>
            </w:r>
            <w:r>
              <w:rPr>
                <w:w w:val="100"/>
                <w:sz w:val="21"/>
              </w:rPr>
              <w:t>、核磁共振检查</w:t>
            </w:r>
            <w:r>
              <w:rPr>
                <w:spacing w:val="2"/>
                <w:w w:val="100"/>
                <w:sz w:val="21"/>
              </w:rPr>
              <w:t>（</w:t>
            </w:r>
            <w:r>
              <w:rPr>
                <w:w w:val="100"/>
                <w:sz w:val="21"/>
              </w:rPr>
              <w:t>M</w:t>
            </w:r>
            <w:r>
              <w:rPr>
                <w:spacing w:val="-3"/>
                <w:w w:val="100"/>
                <w:sz w:val="21"/>
              </w:rPr>
              <w:t>R</w:t>
            </w:r>
            <w:r>
              <w:rPr>
                <w:spacing w:val="1"/>
                <w:w w:val="100"/>
                <w:sz w:val="21"/>
              </w:rPr>
              <w:t>I</w:t>
            </w:r>
            <w:r>
              <w:rPr>
                <w:w w:val="100"/>
                <w:sz w:val="21"/>
              </w:rPr>
              <w:t>）</w:t>
            </w:r>
            <w:r>
              <w:rPr>
                <w:spacing w:val="-5"/>
                <w:sz w:val="21"/>
              </w:rPr>
              <w:t>或正电子发射断层扫描（PET）</w:t>
            </w:r>
            <w:r>
              <w:rPr>
                <w:spacing w:val="-6"/>
                <w:sz w:val="21"/>
              </w:rPr>
              <w:t>等影像学检查证实。神经系统永久性</w:t>
            </w:r>
            <w:r>
              <w:rPr>
                <w:spacing w:val="-13"/>
                <w:sz w:val="21"/>
              </w:rPr>
              <w:t>的功能障碍，指脑损伤 </w:t>
            </w:r>
            <w:r>
              <w:rPr>
                <w:sz w:val="21"/>
              </w:rPr>
              <w:t>180</w:t>
            </w:r>
            <w:r>
              <w:rPr>
                <w:spacing w:val="-7"/>
                <w:sz w:val="21"/>
              </w:rPr>
              <w:t> 天后，仍遗留下列一种或一种以上障碍：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right="301"/>
              <w:rPr>
                <w:sz w:val="21"/>
              </w:rPr>
            </w:pPr>
            <w:r>
              <w:rPr>
                <w:sz w:val="21"/>
              </w:rPr>
              <w:t>(3)</w:t>
            </w:r>
            <w:r>
              <w:rPr>
                <w:spacing w:val="-8"/>
                <w:sz w:val="21"/>
              </w:rPr>
              <w:t>自主生活能力完全丧失，无法独立完成六项基本日常生活活动中</w:t>
            </w:r>
            <w:r>
              <w:rPr>
                <w:spacing w:val="-5"/>
                <w:sz w:val="21"/>
              </w:rPr>
              <w:t>的三项或三项以上。</w:t>
            </w:r>
          </w:p>
        </w:tc>
      </w:tr>
      <w:tr>
        <w:trPr>
          <w:trHeight w:val="2092" w:hRule="atLeast"/>
        </w:trPr>
        <w:tc>
          <w:tcPr>
            <w:tcW w:w="1156" w:type="dxa"/>
          </w:tcPr>
          <w:p>
            <w:pPr>
              <w:pStyle w:val="TableParagraph"/>
              <w:spacing w:before="50"/>
              <w:ind w:left="200"/>
              <w:rPr>
                <w:b/>
                <w:sz w:val="21"/>
              </w:rPr>
            </w:pPr>
            <w:r>
              <w:rPr>
                <w:b/>
                <w:sz w:val="21"/>
              </w:rPr>
              <w:t>10.1.19</w:t>
            </w:r>
          </w:p>
        </w:tc>
        <w:tc>
          <w:tcPr>
            <w:tcW w:w="2068" w:type="dxa"/>
          </w:tcPr>
          <w:p>
            <w:pPr>
              <w:pStyle w:val="TableParagraph"/>
              <w:spacing w:before="50"/>
              <w:ind w:left="215"/>
              <w:rPr>
                <w:b/>
                <w:sz w:val="21"/>
              </w:rPr>
            </w:pPr>
            <w:r>
              <w:rPr>
                <w:b/>
                <w:sz w:val="21"/>
              </w:rPr>
              <w:t>严重帕金森病</w:t>
            </w:r>
          </w:p>
        </w:tc>
        <w:tc>
          <w:tcPr>
            <w:tcW w:w="6612" w:type="dxa"/>
          </w:tcPr>
          <w:p>
            <w:pPr>
              <w:pStyle w:val="TableParagraph"/>
              <w:spacing w:line="273" w:lineRule="auto" w:before="50"/>
              <w:ind w:right="304"/>
              <w:rPr>
                <w:sz w:val="21"/>
              </w:rPr>
            </w:pPr>
            <w:r>
              <w:rPr>
                <w:sz w:val="21"/>
              </w:rPr>
              <w:t>是一种中枢神经系统的退行性疾病，临床表现为震颤麻痹、共济失调等。须满足下列全部条件：</w:t>
            </w:r>
          </w:p>
          <w:p>
            <w:pPr>
              <w:pStyle w:val="TableParagraph"/>
              <w:spacing w:before="7"/>
              <w:rPr>
                <w:sz w:val="21"/>
              </w:rPr>
            </w:pPr>
            <w:r>
              <w:rPr>
                <w:sz w:val="21"/>
              </w:rPr>
              <w:t>(1)药物治疗无法控制病情；</w:t>
            </w:r>
          </w:p>
          <w:p>
            <w:pPr>
              <w:pStyle w:val="TableParagraph"/>
              <w:spacing w:line="273" w:lineRule="auto" w:before="36"/>
              <w:ind w:right="301"/>
              <w:rPr>
                <w:sz w:val="21"/>
              </w:rPr>
            </w:pPr>
            <w:r>
              <w:rPr>
                <w:sz w:val="21"/>
              </w:rPr>
              <w:t>(2)</w:t>
            </w:r>
            <w:r>
              <w:rPr>
                <w:spacing w:val="-8"/>
                <w:sz w:val="21"/>
              </w:rPr>
              <w:t>自主生活能力完全丧失，无法独立完成六项基本日常生活活动中</w:t>
            </w:r>
            <w:r>
              <w:rPr>
                <w:spacing w:val="-5"/>
                <w:sz w:val="21"/>
              </w:rPr>
              <w:t>的三项或三项以上。</w:t>
            </w:r>
          </w:p>
          <w:p>
            <w:pPr>
              <w:pStyle w:val="TableParagraph"/>
              <w:spacing w:before="84"/>
              <w:rPr>
                <w:rFonts w:ascii="黑体" w:eastAsia="黑体" w:hint="eastAsia"/>
                <w:sz w:val="21"/>
              </w:rPr>
            </w:pPr>
            <w:r>
              <w:rPr>
                <w:rFonts w:ascii="黑体" w:eastAsia="黑体" w:hint="eastAsia"/>
                <w:sz w:val="21"/>
              </w:rPr>
              <w:t>继发性帕金森综合征不在保障范围内。</w:t>
            </w:r>
          </w:p>
        </w:tc>
      </w:tr>
      <w:tr>
        <w:trPr>
          <w:trHeight w:val="765" w:hRule="atLeast"/>
        </w:trPr>
        <w:tc>
          <w:tcPr>
            <w:tcW w:w="1156" w:type="dxa"/>
          </w:tcPr>
          <w:p>
            <w:pPr>
              <w:pStyle w:val="TableParagraph"/>
              <w:spacing w:before="49"/>
              <w:ind w:left="200"/>
              <w:rPr>
                <w:b/>
                <w:sz w:val="21"/>
              </w:rPr>
            </w:pPr>
            <w:r>
              <w:rPr>
                <w:b/>
                <w:sz w:val="21"/>
              </w:rPr>
              <w:t>10.1.20</w:t>
            </w:r>
          </w:p>
        </w:tc>
        <w:tc>
          <w:tcPr>
            <w:tcW w:w="2068" w:type="dxa"/>
          </w:tcPr>
          <w:p>
            <w:pPr>
              <w:pStyle w:val="TableParagraph"/>
              <w:spacing w:before="49"/>
              <w:ind w:left="215"/>
              <w:rPr>
                <w:b/>
                <w:sz w:val="21"/>
              </w:rPr>
            </w:pPr>
            <w:r>
              <w:rPr>
                <w:b/>
                <w:sz w:val="21"/>
              </w:rPr>
              <w:t>严重Ⅲ度烧伤</w:t>
            </w:r>
          </w:p>
        </w:tc>
        <w:tc>
          <w:tcPr>
            <w:tcW w:w="6612" w:type="dxa"/>
          </w:tcPr>
          <w:p>
            <w:pPr>
              <w:pStyle w:val="TableParagraph"/>
              <w:spacing w:before="49"/>
              <w:rPr>
                <w:sz w:val="21"/>
              </w:rPr>
            </w:pPr>
            <w:r>
              <w:rPr>
                <w:sz w:val="21"/>
              </w:rPr>
              <w:t>指烧伤程度为Ⅲ度，且Ⅲ度烧伤的面积达到全身体表面积的 20％或</w:t>
            </w:r>
          </w:p>
          <w:p>
            <w:pPr>
              <w:pStyle w:val="TableParagraph"/>
              <w:spacing w:before="37"/>
              <w:rPr>
                <w:sz w:val="21"/>
              </w:rPr>
            </w:pPr>
            <w:r>
              <w:rPr>
                <w:sz w:val="21"/>
              </w:rPr>
              <w:t>20％以上。体表面积根据《中国新九分法》计算。</w:t>
            </w:r>
          </w:p>
        </w:tc>
      </w:tr>
      <w:tr>
        <w:trPr>
          <w:trHeight w:val="1390" w:hRule="atLeast"/>
        </w:trPr>
        <w:tc>
          <w:tcPr>
            <w:tcW w:w="1156" w:type="dxa"/>
          </w:tcPr>
          <w:p>
            <w:pPr>
              <w:pStyle w:val="TableParagraph"/>
              <w:spacing w:before="49"/>
              <w:ind w:left="200"/>
              <w:rPr>
                <w:b/>
                <w:sz w:val="21"/>
              </w:rPr>
            </w:pPr>
            <w:r>
              <w:rPr>
                <w:b/>
                <w:sz w:val="21"/>
              </w:rPr>
              <w:t>10.1.21</w:t>
            </w:r>
          </w:p>
        </w:tc>
        <w:tc>
          <w:tcPr>
            <w:tcW w:w="2068" w:type="dxa"/>
          </w:tcPr>
          <w:p>
            <w:pPr>
              <w:pStyle w:val="TableParagraph"/>
              <w:spacing w:line="273" w:lineRule="auto" w:before="49"/>
              <w:ind w:left="215" w:right="161"/>
              <w:rPr>
                <w:b/>
                <w:sz w:val="21"/>
              </w:rPr>
            </w:pPr>
            <w:r>
              <w:rPr>
                <w:b/>
                <w:sz w:val="21"/>
              </w:rPr>
              <w:t>严重原发性肺动脉高压</w:t>
            </w:r>
          </w:p>
        </w:tc>
        <w:tc>
          <w:tcPr>
            <w:tcW w:w="6612" w:type="dxa"/>
          </w:tcPr>
          <w:p>
            <w:pPr>
              <w:pStyle w:val="TableParagraph"/>
              <w:spacing w:line="273" w:lineRule="auto" w:before="49"/>
              <w:ind w:right="303"/>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w:t>
            </w:r>
          </w:p>
          <w:p>
            <w:pPr>
              <w:pStyle w:val="TableParagraph"/>
              <w:spacing w:before="7"/>
              <w:jc w:val="both"/>
              <w:rPr>
                <w:sz w:val="21"/>
              </w:rPr>
            </w:pPr>
            <w:r>
              <w:rPr>
                <w:sz w:val="21"/>
              </w:rPr>
              <w:t>30mmHg。</w:t>
            </w:r>
          </w:p>
        </w:tc>
      </w:tr>
      <w:tr>
        <w:trPr>
          <w:trHeight w:val="1391" w:hRule="atLeast"/>
        </w:trPr>
        <w:tc>
          <w:tcPr>
            <w:tcW w:w="1156" w:type="dxa"/>
          </w:tcPr>
          <w:p>
            <w:pPr>
              <w:pStyle w:val="TableParagraph"/>
              <w:spacing w:before="50"/>
              <w:ind w:left="200"/>
              <w:rPr>
                <w:b/>
                <w:sz w:val="21"/>
              </w:rPr>
            </w:pPr>
            <w:r>
              <w:rPr>
                <w:b/>
                <w:sz w:val="21"/>
              </w:rPr>
              <w:t>10.1.22</w:t>
            </w:r>
          </w:p>
        </w:tc>
        <w:tc>
          <w:tcPr>
            <w:tcW w:w="2068" w:type="dxa"/>
          </w:tcPr>
          <w:p>
            <w:pPr>
              <w:pStyle w:val="TableParagraph"/>
              <w:spacing w:before="50"/>
              <w:ind w:left="215"/>
              <w:rPr>
                <w:b/>
                <w:sz w:val="21"/>
              </w:rPr>
            </w:pPr>
            <w:r>
              <w:rPr>
                <w:b/>
                <w:sz w:val="21"/>
              </w:rPr>
              <w:t>严重运动神经元病</w:t>
            </w:r>
          </w:p>
        </w:tc>
        <w:tc>
          <w:tcPr>
            <w:tcW w:w="6612" w:type="dxa"/>
          </w:tcPr>
          <w:p>
            <w:pPr>
              <w:pStyle w:val="TableParagraph"/>
              <w:spacing w:line="273" w:lineRule="auto" w:before="50"/>
              <w:ind w:right="304"/>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466" w:hRule="atLeast"/>
        </w:trPr>
        <w:tc>
          <w:tcPr>
            <w:tcW w:w="1156" w:type="dxa"/>
          </w:tcPr>
          <w:p>
            <w:pPr>
              <w:pStyle w:val="TableParagraph"/>
              <w:spacing w:before="49"/>
              <w:ind w:left="200"/>
              <w:rPr>
                <w:b/>
                <w:sz w:val="21"/>
              </w:rPr>
            </w:pPr>
            <w:r>
              <w:rPr>
                <w:b/>
                <w:sz w:val="21"/>
              </w:rPr>
              <w:t>10.1.23</w:t>
            </w:r>
          </w:p>
        </w:tc>
        <w:tc>
          <w:tcPr>
            <w:tcW w:w="2068" w:type="dxa"/>
          </w:tcPr>
          <w:p>
            <w:pPr>
              <w:pStyle w:val="TableParagraph"/>
              <w:spacing w:before="49"/>
              <w:ind w:left="215"/>
              <w:rPr>
                <w:b/>
                <w:sz w:val="21"/>
              </w:rPr>
            </w:pPr>
            <w:r>
              <w:rPr>
                <w:b/>
                <w:sz w:val="21"/>
              </w:rPr>
              <w:t>语言能力丧失</w:t>
            </w:r>
          </w:p>
        </w:tc>
        <w:tc>
          <w:tcPr>
            <w:tcW w:w="6612" w:type="dxa"/>
          </w:tcPr>
          <w:p>
            <w:pPr>
              <w:pStyle w:val="TableParagraph"/>
              <w:spacing w:line="273" w:lineRule="auto" w:before="49"/>
              <w:ind w:right="301"/>
              <w:jc w:val="both"/>
              <w:rPr>
                <w:sz w:val="21"/>
              </w:rPr>
            </w:pPr>
            <w:r>
              <w:rPr>
                <w:spacing w:val="-5"/>
                <w:sz w:val="21"/>
              </w:rPr>
              <w:t>指因疾病或意外伤害导致完全丧失语言能力，经过积极治疗至少 </w:t>
            </w:r>
            <w:r>
              <w:rPr>
                <w:spacing w:val="-3"/>
                <w:sz w:val="21"/>
              </w:rPr>
              <w:t>12 </w:t>
            </w:r>
            <w:r>
              <w:rPr>
                <w:spacing w:val="-15"/>
                <w:sz w:val="21"/>
              </w:rPr>
              <w:t>个月</w:t>
            </w:r>
            <w:r>
              <w:rPr>
                <w:sz w:val="21"/>
              </w:rPr>
              <w:t>（</w:t>
            </w:r>
            <w:r>
              <w:rPr>
                <w:spacing w:val="-3"/>
                <w:sz w:val="21"/>
              </w:rPr>
              <w:t>声带完全切除不受此时间限制</w:t>
            </w:r>
            <w:r>
              <w:rPr>
                <w:spacing w:val="-68"/>
                <w:sz w:val="21"/>
              </w:rPr>
              <w:t>）</w:t>
            </w:r>
            <w:r>
              <w:rPr>
                <w:spacing w:val="-10"/>
                <w:sz w:val="21"/>
              </w:rPr>
              <w:t>，仍无法通过现有医疗手段恢复。</w:t>
            </w:r>
          </w:p>
          <w:p>
            <w:pPr>
              <w:pStyle w:val="TableParagraph"/>
              <w:spacing w:before="84"/>
              <w:jc w:val="both"/>
              <w:rPr>
                <w:rFonts w:ascii="黑体" w:eastAsia="黑体" w:hint="eastAsia"/>
                <w:sz w:val="21"/>
              </w:rPr>
            </w:pPr>
            <w:r>
              <w:rPr>
                <w:rFonts w:ascii="黑体" w:eastAsia="黑体" w:hint="eastAsia"/>
                <w:sz w:val="21"/>
              </w:rPr>
              <w:t>精神心理因素所致的语言能力丧失不在保障范围内。</w:t>
            </w:r>
          </w:p>
        </w:tc>
      </w:tr>
      <w:tr>
        <w:trPr>
          <w:trHeight w:val="1580" w:hRule="atLeast"/>
        </w:trPr>
        <w:tc>
          <w:tcPr>
            <w:tcW w:w="1156" w:type="dxa"/>
          </w:tcPr>
          <w:p>
            <w:pPr>
              <w:pStyle w:val="TableParagraph"/>
              <w:spacing w:before="49"/>
              <w:ind w:left="200"/>
              <w:rPr>
                <w:b/>
                <w:sz w:val="21"/>
              </w:rPr>
            </w:pPr>
            <w:r>
              <w:rPr>
                <w:b/>
                <w:sz w:val="21"/>
              </w:rPr>
              <w:t>10.1.24</w:t>
            </w:r>
          </w:p>
        </w:tc>
        <w:tc>
          <w:tcPr>
            <w:tcW w:w="2068" w:type="dxa"/>
          </w:tcPr>
          <w:p>
            <w:pPr>
              <w:pStyle w:val="TableParagraph"/>
              <w:spacing w:line="273" w:lineRule="auto" w:before="49"/>
              <w:ind w:left="215" w:right="161"/>
              <w:rPr>
                <w:b/>
                <w:sz w:val="21"/>
              </w:rPr>
            </w:pPr>
            <w:r>
              <w:rPr>
                <w:b/>
                <w:sz w:val="21"/>
              </w:rPr>
              <w:t>重型再生障碍性贫血</w:t>
            </w:r>
          </w:p>
        </w:tc>
        <w:tc>
          <w:tcPr>
            <w:tcW w:w="6612" w:type="dxa"/>
          </w:tcPr>
          <w:p>
            <w:pPr>
              <w:pStyle w:val="TableParagraph"/>
              <w:spacing w:line="273" w:lineRule="auto" w:before="49"/>
              <w:ind w:right="304"/>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7"/>
              <w:rPr>
                <w:sz w:val="21"/>
              </w:rPr>
            </w:pPr>
            <w:r>
              <w:rPr>
                <w:sz w:val="21"/>
              </w:rPr>
              <w:t>(2)外周血象须具备以下三项条件：</w:t>
            </w:r>
          </w:p>
          <w:p>
            <w:pPr>
              <w:pStyle w:val="TableParagraph"/>
              <w:spacing w:line="263" w:lineRule="exact" w:before="37"/>
              <w:ind w:left="689"/>
              <w:rPr>
                <w:sz w:val="21"/>
              </w:rPr>
            </w:pPr>
            <w:r>
              <w:rPr>
                <w:sz w:val="21"/>
              </w:rPr>
              <w:t>①中性粒细胞绝对值≤0.5×10</w:t>
            </w:r>
            <w:r>
              <w:rPr>
                <w:position w:val="11"/>
                <w:sz w:val="11"/>
              </w:rPr>
              <w:t>9</w:t>
            </w:r>
            <w:r>
              <w:rPr>
                <w:sz w:val="21"/>
              </w:rPr>
              <w:t>/L ；</w:t>
            </w:r>
          </w:p>
        </w:tc>
      </w:tr>
    </w:tbl>
    <w:p>
      <w:pPr>
        <w:spacing w:after="0" w:line="263" w:lineRule="exact"/>
        <w:rPr>
          <w:sz w:val="21"/>
        </w:rPr>
        <w:sectPr>
          <w:pgSz w:w="11910" w:h="16840"/>
          <w:pgMar w:top="1460" w:bottom="280" w:left="980" w:right="8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2068"/>
        <w:gridCol w:w="6513"/>
      </w:tblGrid>
      <w:tr>
        <w:trPr>
          <w:trHeight w:val="644" w:hRule="atLeast"/>
        </w:trPr>
        <w:tc>
          <w:tcPr>
            <w:tcW w:w="1156" w:type="dxa"/>
          </w:tcPr>
          <w:p>
            <w:pPr>
              <w:pStyle w:val="TableParagraph"/>
              <w:ind w:left="0"/>
              <w:rPr>
                <w:rFonts w:ascii="Times New Roman"/>
                <w:sz w:val="20"/>
              </w:rPr>
            </w:pPr>
          </w:p>
        </w:tc>
        <w:tc>
          <w:tcPr>
            <w:tcW w:w="2068" w:type="dxa"/>
          </w:tcPr>
          <w:p>
            <w:pPr>
              <w:pStyle w:val="TableParagraph"/>
              <w:ind w:left="0"/>
              <w:rPr>
                <w:rFonts w:ascii="Times New Roman"/>
                <w:sz w:val="20"/>
              </w:rPr>
            </w:pPr>
          </w:p>
        </w:tc>
        <w:tc>
          <w:tcPr>
            <w:tcW w:w="6513" w:type="dxa"/>
          </w:tcPr>
          <w:p>
            <w:pPr>
              <w:pStyle w:val="TableParagraph"/>
              <w:spacing w:line="203" w:lineRule="exact"/>
              <w:ind w:left="689"/>
              <w:rPr>
                <w:sz w:val="21"/>
              </w:rPr>
            </w:pPr>
            <w:r>
              <w:rPr>
                <w:sz w:val="21"/>
              </w:rPr>
              <w:t>②网织红细胞＜1%；</w:t>
            </w:r>
          </w:p>
          <w:p>
            <w:pPr>
              <w:pStyle w:val="TableParagraph"/>
              <w:spacing w:before="37"/>
              <w:ind w:left="689"/>
              <w:rPr>
                <w:sz w:val="21"/>
              </w:rPr>
            </w:pPr>
            <w:r>
              <w:rPr>
                <w:sz w:val="21"/>
              </w:rPr>
              <w:t>③血小板绝对值≤20×10</w:t>
            </w:r>
            <w:r>
              <w:rPr>
                <w:position w:val="11"/>
                <w:sz w:val="11"/>
              </w:rPr>
              <w:t>9</w:t>
            </w:r>
            <w:r>
              <w:rPr>
                <w:sz w:val="21"/>
              </w:rPr>
              <w:t>/L。</w:t>
            </w:r>
          </w:p>
        </w:tc>
      </w:tr>
      <w:tr>
        <w:trPr>
          <w:trHeight w:val="1467" w:hRule="atLeast"/>
        </w:trPr>
        <w:tc>
          <w:tcPr>
            <w:tcW w:w="1156" w:type="dxa"/>
          </w:tcPr>
          <w:p>
            <w:pPr>
              <w:pStyle w:val="TableParagraph"/>
              <w:spacing w:before="49"/>
              <w:ind w:left="200"/>
              <w:rPr>
                <w:b/>
                <w:sz w:val="21"/>
              </w:rPr>
            </w:pPr>
            <w:r>
              <w:rPr>
                <w:b/>
                <w:sz w:val="21"/>
              </w:rPr>
              <w:t>10.1.25</w:t>
            </w:r>
          </w:p>
        </w:tc>
        <w:tc>
          <w:tcPr>
            <w:tcW w:w="2068" w:type="dxa"/>
          </w:tcPr>
          <w:p>
            <w:pPr>
              <w:pStyle w:val="TableParagraph"/>
              <w:spacing w:before="49"/>
              <w:ind w:left="215"/>
              <w:rPr>
                <w:b/>
                <w:sz w:val="21"/>
              </w:rPr>
            </w:pPr>
            <w:r>
              <w:rPr>
                <w:b/>
                <w:sz w:val="21"/>
              </w:rPr>
              <w:t>主动脉手术</w:t>
            </w:r>
          </w:p>
        </w:tc>
        <w:tc>
          <w:tcPr>
            <w:tcW w:w="6513" w:type="dxa"/>
          </w:tcPr>
          <w:p>
            <w:pPr>
              <w:pStyle w:val="TableParagraph"/>
              <w:spacing w:line="273" w:lineRule="auto" w:before="49"/>
              <w:ind w:right="205"/>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4"/>
              <w:jc w:val="both"/>
              <w:rPr>
                <w:rFonts w:ascii="黑体" w:eastAsia="黑体" w:hint="eastAsia"/>
                <w:sz w:val="21"/>
              </w:rPr>
            </w:pPr>
            <w:r>
              <w:rPr>
                <w:rFonts w:ascii="黑体" w:eastAsia="黑体" w:hint="eastAsia"/>
                <w:sz w:val="21"/>
              </w:rPr>
              <w:t>动脉内血管成形术不在保障范围内。</w:t>
            </w:r>
          </w:p>
        </w:tc>
      </w:tr>
      <w:tr>
        <w:trPr>
          <w:trHeight w:val="2004" w:hRule="atLeast"/>
        </w:trPr>
        <w:tc>
          <w:tcPr>
            <w:tcW w:w="1156" w:type="dxa"/>
          </w:tcPr>
          <w:p>
            <w:pPr>
              <w:pStyle w:val="TableParagraph"/>
              <w:spacing w:before="50"/>
              <w:ind w:left="200"/>
              <w:rPr>
                <w:b/>
                <w:sz w:val="21"/>
              </w:rPr>
            </w:pPr>
            <w:r>
              <w:rPr>
                <w:b/>
                <w:sz w:val="21"/>
              </w:rPr>
              <w:t>10.1.26</w:t>
            </w:r>
          </w:p>
        </w:tc>
        <w:tc>
          <w:tcPr>
            <w:tcW w:w="2068" w:type="dxa"/>
          </w:tcPr>
          <w:p>
            <w:pPr>
              <w:pStyle w:val="TableParagraph"/>
              <w:spacing w:before="50"/>
              <w:ind w:left="215"/>
              <w:rPr>
                <w:b/>
                <w:sz w:val="21"/>
              </w:rPr>
            </w:pPr>
            <w:r>
              <w:rPr>
                <w:b/>
                <w:sz w:val="21"/>
              </w:rPr>
              <w:t>严重多发性硬化症</w:t>
            </w:r>
          </w:p>
        </w:tc>
        <w:tc>
          <w:tcPr>
            <w:tcW w:w="6513" w:type="dxa"/>
          </w:tcPr>
          <w:p>
            <w:pPr>
              <w:pStyle w:val="TableParagraph"/>
              <w:spacing w:line="273" w:lineRule="auto" w:before="50"/>
              <w:ind w:right="202"/>
              <w:jc w:val="both"/>
              <w:rPr>
                <w:sz w:val="21"/>
              </w:rPr>
            </w:pPr>
            <w:r>
              <w:rPr>
                <w:sz w:val="21"/>
              </w:rPr>
              <w:t>多发性硬化为中枢神经系统白质多灶性脱髓鞘病变，病变有时累及灰质。多发性硬化必须明确诊断，并且已经造成永久不可逆的神经</w:t>
            </w:r>
            <w:r>
              <w:rPr>
                <w:spacing w:val="-4"/>
                <w:sz w:val="21"/>
              </w:rPr>
              <w:t>系统功能损害。永久不可逆的神经系统损害指被保险人持续 </w:t>
            </w:r>
            <w:r>
              <w:rPr>
                <w:sz w:val="21"/>
              </w:rPr>
              <w:t>180</w:t>
            </w:r>
            <w:r>
              <w:rPr>
                <w:spacing w:val="-8"/>
                <w:sz w:val="21"/>
              </w:rPr>
              <w:t> 天</w:t>
            </w:r>
            <w:r>
              <w:rPr>
                <w:spacing w:val="-5"/>
                <w:sz w:val="21"/>
              </w:rPr>
              <w:t>无法独立完成下列基本日常生活活动：</w:t>
            </w:r>
          </w:p>
          <w:p>
            <w:pPr>
              <w:pStyle w:val="TableParagraph"/>
              <w:spacing w:before="8"/>
              <w:jc w:val="both"/>
              <w:rPr>
                <w:sz w:val="21"/>
              </w:rPr>
            </w:pPr>
            <w:r>
              <w:rPr>
                <w:sz w:val="21"/>
              </w:rPr>
              <w:t>(1)移动：自己从一个房间到另一个房间；或者</w:t>
            </w:r>
          </w:p>
          <w:p>
            <w:pPr>
              <w:pStyle w:val="TableParagraph"/>
              <w:spacing w:before="37"/>
              <w:jc w:val="both"/>
              <w:rPr>
                <w:sz w:val="21"/>
              </w:rPr>
            </w:pPr>
            <w:r>
              <w:rPr>
                <w:sz w:val="21"/>
              </w:rPr>
              <w:t>(2)进食：自己从已准备好的碗或碟中取食物放入口中。</w:t>
            </w:r>
          </w:p>
        </w:tc>
      </w:tr>
      <w:tr>
        <w:trPr>
          <w:trHeight w:val="1522" w:hRule="atLeast"/>
        </w:trPr>
        <w:tc>
          <w:tcPr>
            <w:tcW w:w="1156" w:type="dxa"/>
          </w:tcPr>
          <w:p>
            <w:pPr>
              <w:pStyle w:val="TableParagraph"/>
              <w:spacing w:before="60"/>
              <w:ind w:left="200"/>
              <w:rPr>
                <w:b/>
                <w:sz w:val="21"/>
              </w:rPr>
            </w:pPr>
            <w:r>
              <w:rPr>
                <w:b/>
                <w:sz w:val="21"/>
              </w:rPr>
              <w:t>10.1.27</w:t>
            </w:r>
          </w:p>
        </w:tc>
        <w:tc>
          <w:tcPr>
            <w:tcW w:w="2068" w:type="dxa"/>
          </w:tcPr>
          <w:p>
            <w:pPr>
              <w:pStyle w:val="TableParagraph"/>
              <w:spacing w:before="60"/>
              <w:ind w:left="215"/>
              <w:rPr>
                <w:b/>
                <w:sz w:val="21"/>
              </w:rPr>
            </w:pPr>
            <w:r>
              <w:rPr>
                <w:b/>
                <w:sz w:val="21"/>
              </w:rPr>
              <w:t>严重冠心病</w:t>
            </w:r>
          </w:p>
        </w:tc>
        <w:tc>
          <w:tcPr>
            <w:tcW w:w="6513" w:type="dxa"/>
          </w:tcPr>
          <w:p>
            <w:pPr>
              <w:pStyle w:val="TableParagraph"/>
              <w:spacing w:line="237" w:lineRule="auto" w:before="41"/>
              <w:ind w:right="197"/>
              <w:rPr>
                <w:sz w:val="21"/>
              </w:rPr>
            </w:pPr>
            <w:r>
              <w:rPr>
                <w:sz w:val="21"/>
              </w:rPr>
              <w:t>指根据冠状动脉造影检查结果确诊的三支主要血管(左冠状动脉主</w:t>
            </w:r>
            <w:r>
              <w:rPr>
                <w:spacing w:val="-9"/>
                <w:sz w:val="21"/>
              </w:rPr>
              <w:t>干和右冠状动脉，或前降支、左旋支和右冠状动脉)严重狭窄性病变</w:t>
            </w:r>
          </w:p>
          <w:p>
            <w:pPr>
              <w:pStyle w:val="TableParagraph"/>
              <w:spacing w:line="272" w:lineRule="exact"/>
              <w:rPr>
                <w:sz w:val="21"/>
              </w:rPr>
            </w:pPr>
            <w:r>
              <w:rPr>
                <w:sz w:val="21"/>
              </w:rPr>
              <w:t>(至少一支血管管腔直径减少 75%以上和其他两支血管管腔直径减少</w:t>
            </w:r>
          </w:p>
          <w:p>
            <w:pPr>
              <w:pStyle w:val="TableParagraph"/>
              <w:ind w:right="205"/>
              <w:rPr>
                <w:rFonts w:ascii="黑体" w:eastAsia="黑体" w:hint="eastAsia"/>
                <w:sz w:val="21"/>
              </w:rPr>
            </w:pPr>
            <w:r>
              <w:rPr>
                <w:sz w:val="21"/>
              </w:rPr>
              <w:t>60%以上)。</w:t>
            </w:r>
            <w:r>
              <w:rPr>
                <w:rFonts w:ascii="黑体" w:eastAsia="黑体" w:hint="eastAsia"/>
                <w:sz w:val="21"/>
              </w:rPr>
              <w:t>前降支、左旋支及右冠状动脉的分支血管的狭窄不作为本保障的衡量指标。</w:t>
            </w:r>
          </w:p>
        </w:tc>
      </w:tr>
      <w:tr>
        <w:trPr>
          <w:trHeight w:val="2072" w:hRule="atLeast"/>
        </w:trPr>
        <w:tc>
          <w:tcPr>
            <w:tcW w:w="1156" w:type="dxa"/>
          </w:tcPr>
          <w:p>
            <w:pPr>
              <w:pStyle w:val="TableParagraph"/>
              <w:spacing w:before="39"/>
              <w:ind w:left="200"/>
              <w:rPr>
                <w:b/>
                <w:sz w:val="21"/>
              </w:rPr>
            </w:pPr>
            <w:r>
              <w:rPr>
                <w:b/>
                <w:sz w:val="21"/>
              </w:rPr>
              <w:t>10.1.28</w:t>
            </w:r>
          </w:p>
        </w:tc>
        <w:tc>
          <w:tcPr>
            <w:tcW w:w="2068" w:type="dxa"/>
          </w:tcPr>
          <w:p>
            <w:pPr>
              <w:pStyle w:val="TableParagraph"/>
              <w:spacing w:line="273" w:lineRule="auto" w:before="39"/>
              <w:ind w:left="215" w:right="161"/>
              <w:rPr>
                <w:b/>
                <w:sz w:val="21"/>
              </w:rPr>
            </w:pPr>
            <w:r>
              <w:rPr>
                <w:b/>
                <w:sz w:val="21"/>
              </w:rPr>
              <w:t>严重慢性呼吸功能衰竭</w:t>
            </w:r>
          </w:p>
        </w:tc>
        <w:tc>
          <w:tcPr>
            <w:tcW w:w="6513" w:type="dxa"/>
          </w:tcPr>
          <w:p>
            <w:pPr>
              <w:pStyle w:val="TableParagraph"/>
              <w:spacing w:line="273" w:lineRule="auto" w:before="39"/>
              <w:ind w:right="250"/>
              <w:rPr>
                <w:sz w:val="21"/>
              </w:rPr>
            </w:pPr>
            <w:r>
              <w:rPr>
                <w:sz w:val="21"/>
              </w:rPr>
              <w:t>慢性肺部疾病导致永久不可逆性的慢性呼吸功能衰竭，必须由呼吸专科医师确认并符合下列所有条件：</w:t>
            </w:r>
          </w:p>
          <w:p>
            <w:pPr>
              <w:pStyle w:val="TableParagraph"/>
              <w:spacing w:before="7"/>
              <w:rPr>
                <w:sz w:val="21"/>
              </w:rPr>
            </w:pPr>
            <w:r>
              <w:rPr>
                <w:sz w:val="21"/>
              </w:rPr>
              <w:t>(1)肺功能测试其 FEV1 持续低于 0.75 升；</w:t>
            </w:r>
          </w:p>
          <w:p>
            <w:pPr>
              <w:pStyle w:val="TableParagraph"/>
              <w:spacing w:before="37"/>
              <w:rPr>
                <w:sz w:val="21"/>
              </w:rPr>
            </w:pPr>
            <w:r>
              <w:rPr>
                <w:sz w:val="21"/>
              </w:rPr>
              <w:t>(2)病人缺氧必须广泛而持续地进行输氧治疗；</w:t>
            </w:r>
          </w:p>
          <w:p>
            <w:pPr>
              <w:pStyle w:val="TableParagraph"/>
              <w:spacing w:before="37"/>
              <w:rPr>
                <w:sz w:val="21"/>
              </w:rPr>
            </w:pPr>
            <w:r>
              <w:rPr>
                <w:sz w:val="21"/>
              </w:rPr>
              <w:t>(3)动脉血气分析氧分压低于 55mmHg。</w:t>
            </w:r>
          </w:p>
          <w:p>
            <w:pPr>
              <w:pStyle w:val="TableParagraph"/>
              <w:spacing w:before="116"/>
              <w:rPr>
                <w:sz w:val="21"/>
              </w:rPr>
            </w:pPr>
            <w:r>
              <w:rPr>
                <w:sz w:val="21"/>
              </w:rPr>
              <w:t>理赔时必须提供以上三项相应的证明文件或检查报告。</w:t>
            </w:r>
          </w:p>
        </w:tc>
      </w:tr>
      <w:tr>
        <w:trPr>
          <w:trHeight w:val="1874" w:hRule="atLeast"/>
        </w:trPr>
        <w:tc>
          <w:tcPr>
            <w:tcW w:w="1156" w:type="dxa"/>
          </w:tcPr>
          <w:p>
            <w:pPr>
              <w:pStyle w:val="TableParagraph"/>
              <w:spacing w:before="60"/>
              <w:ind w:left="200"/>
              <w:rPr>
                <w:b/>
                <w:sz w:val="21"/>
              </w:rPr>
            </w:pPr>
            <w:r>
              <w:rPr>
                <w:b/>
                <w:sz w:val="21"/>
              </w:rPr>
              <w:t>10.1.29</w:t>
            </w:r>
          </w:p>
        </w:tc>
        <w:tc>
          <w:tcPr>
            <w:tcW w:w="2068" w:type="dxa"/>
          </w:tcPr>
          <w:p>
            <w:pPr>
              <w:pStyle w:val="TableParagraph"/>
              <w:spacing w:before="60"/>
              <w:ind w:left="215"/>
              <w:rPr>
                <w:b/>
                <w:sz w:val="21"/>
              </w:rPr>
            </w:pPr>
            <w:r>
              <w:rPr>
                <w:b/>
                <w:sz w:val="21"/>
              </w:rPr>
              <w:t>严重原发性心肌病</w:t>
            </w:r>
          </w:p>
        </w:tc>
        <w:tc>
          <w:tcPr>
            <w:tcW w:w="6513" w:type="dxa"/>
          </w:tcPr>
          <w:p>
            <w:pPr>
              <w:pStyle w:val="TableParagraph"/>
              <w:spacing w:line="237" w:lineRule="auto" w:before="41"/>
              <w:ind w:right="202"/>
              <w:jc w:val="both"/>
              <w:rPr>
                <w:sz w:val="21"/>
              </w:rPr>
            </w:pPr>
            <w:r>
              <w:rPr>
                <w:sz w:val="21"/>
              </w:rPr>
              <w:t>指因原发性心肌病导致心室功能损害造成永久不可逆性的心功能衰竭，心功能衰竭程度达到美国纽约心脏病学会心功能状态分级 IV 级。必须由心脏专科医生确诊，并有包括超声心动图在内的相关检查证实。</w:t>
            </w:r>
          </w:p>
          <w:p>
            <w:pPr>
              <w:pStyle w:val="TableParagraph"/>
              <w:spacing w:before="78"/>
              <w:ind w:right="205"/>
              <w:jc w:val="both"/>
              <w:rPr>
                <w:rFonts w:ascii="黑体" w:eastAsia="黑体" w:hint="eastAsia"/>
                <w:sz w:val="21"/>
              </w:rPr>
            </w:pPr>
            <w:r>
              <w:rPr>
                <w:rFonts w:ascii="黑体" w:eastAsia="黑体" w:hint="eastAsia"/>
                <w:sz w:val="21"/>
              </w:rPr>
              <w:t>因酗酒、药物以及其他疾病所引发的继发性心肌病不在保险责任范围内。</w:t>
            </w:r>
          </w:p>
        </w:tc>
      </w:tr>
      <w:tr>
        <w:trPr>
          <w:trHeight w:val="1069" w:hRule="atLeast"/>
        </w:trPr>
        <w:tc>
          <w:tcPr>
            <w:tcW w:w="1156" w:type="dxa"/>
          </w:tcPr>
          <w:p>
            <w:pPr>
              <w:pStyle w:val="TableParagraph"/>
              <w:spacing w:before="40"/>
              <w:ind w:left="200"/>
              <w:rPr>
                <w:b/>
                <w:sz w:val="21"/>
              </w:rPr>
            </w:pPr>
            <w:r>
              <w:rPr>
                <w:b/>
                <w:sz w:val="21"/>
              </w:rPr>
              <w:t>10.1.30</w:t>
            </w:r>
          </w:p>
        </w:tc>
        <w:tc>
          <w:tcPr>
            <w:tcW w:w="2068" w:type="dxa"/>
          </w:tcPr>
          <w:p>
            <w:pPr>
              <w:pStyle w:val="TableParagraph"/>
              <w:spacing w:before="40"/>
              <w:ind w:left="215"/>
              <w:rPr>
                <w:b/>
                <w:sz w:val="21"/>
              </w:rPr>
            </w:pPr>
            <w:r>
              <w:rPr>
                <w:b/>
                <w:sz w:val="21"/>
              </w:rPr>
              <w:t>严重克隆病</w:t>
            </w:r>
          </w:p>
        </w:tc>
        <w:tc>
          <w:tcPr>
            <w:tcW w:w="6513" w:type="dxa"/>
          </w:tcPr>
          <w:p>
            <w:pPr>
              <w:pStyle w:val="TableParagraph"/>
              <w:spacing w:line="273" w:lineRule="auto" w:before="40"/>
              <w:ind w:right="250"/>
              <w:jc w:val="both"/>
              <w:rPr>
                <w:sz w:val="21"/>
              </w:rPr>
            </w:pPr>
            <w:r>
              <w:rPr>
                <w:sz w:val="21"/>
              </w:rPr>
              <w:t>伴有肠梗阻或肠穿孔是一种慢性肉芽肿性肠炎，具有特征性的克隆病病理组织学变化。疾病诊断必须经专科医师确认被保险人所患的克隆病已经造成瘘管形成并伴有肠梗阻或肠穿孔。</w:t>
            </w:r>
          </w:p>
        </w:tc>
      </w:tr>
      <w:tr>
        <w:trPr>
          <w:trHeight w:val="2905" w:hRule="atLeast"/>
        </w:trPr>
        <w:tc>
          <w:tcPr>
            <w:tcW w:w="1156" w:type="dxa"/>
          </w:tcPr>
          <w:p>
            <w:pPr>
              <w:pStyle w:val="TableParagraph"/>
              <w:spacing w:before="49"/>
              <w:ind w:left="200"/>
              <w:rPr>
                <w:b/>
                <w:sz w:val="21"/>
              </w:rPr>
            </w:pPr>
            <w:r>
              <w:rPr>
                <w:b/>
                <w:sz w:val="21"/>
              </w:rPr>
              <w:t>10.1.31</w:t>
            </w:r>
          </w:p>
        </w:tc>
        <w:tc>
          <w:tcPr>
            <w:tcW w:w="2068" w:type="dxa"/>
          </w:tcPr>
          <w:p>
            <w:pPr>
              <w:pStyle w:val="TableParagraph"/>
              <w:spacing w:line="273" w:lineRule="auto" w:before="49"/>
              <w:ind w:left="215" w:right="161"/>
              <w:rPr>
                <w:b/>
                <w:sz w:val="21"/>
              </w:rPr>
            </w:pPr>
            <w:r>
              <w:rPr>
                <w:b/>
                <w:sz w:val="21"/>
              </w:rPr>
              <w:t>慢性肾上腺皮质功能衰竭</w:t>
            </w:r>
          </w:p>
        </w:tc>
        <w:tc>
          <w:tcPr>
            <w:tcW w:w="6513" w:type="dxa"/>
          </w:tcPr>
          <w:p>
            <w:pPr>
              <w:pStyle w:val="TableParagraph"/>
              <w:spacing w:line="273" w:lineRule="auto" w:before="49"/>
              <w:ind w:right="250"/>
              <w:jc w:val="both"/>
              <w:rPr>
                <w:sz w:val="21"/>
              </w:rPr>
            </w:pPr>
            <w:r>
              <w:rPr>
                <w:sz w:val="21"/>
              </w:rPr>
              <w:t>因为自身免疫功能紊乱，使肾上腺组织逐渐受损，而需要长期接受糖皮质激素及肾上腺皮质激素替代疗法。该病必须经内分泌专科医生确诊，并有以下全部检查结果异常的报告作为证据：</w:t>
            </w:r>
          </w:p>
          <w:p>
            <w:pPr>
              <w:pStyle w:val="TableParagraph"/>
              <w:spacing w:before="7"/>
              <w:jc w:val="both"/>
              <w:rPr>
                <w:sz w:val="21"/>
              </w:rPr>
            </w:pPr>
            <w:r>
              <w:rPr>
                <w:sz w:val="21"/>
              </w:rPr>
              <w:t>(1)促肾上腺皮质激素(ACTH)刺激试验；</w:t>
            </w:r>
          </w:p>
          <w:p>
            <w:pPr>
              <w:pStyle w:val="TableParagraph"/>
              <w:spacing w:before="36"/>
              <w:jc w:val="both"/>
              <w:rPr>
                <w:sz w:val="21"/>
              </w:rPr>
            </w:pPr>
            <w:r>
              <w:rPr>
                <w:sz w:val="21"/>
              </w:rPr>
              <w:t>(2)胰岛素血糖减少测试；</w:t>
            </w:r>
          </w:p>
          <w:p>
            <w:pPr>
              <w:pStyle w:val="TableParagraph"/>
              <w:spacing w:before="36"/>
              <w:jc w:val="both"/>
              <w:rPr>
                <w:sz w:val="21"/>
              </w:rPr>
            </w:pPr>
            <w:r>
              <w:rPr>
                <w:sz w:val="21"/>
              </w:rPr>
              <w:t>(3)血浆促肾上腺皮质激素(ACTH)水平测定；</w:t>
            </w:r>
          </w:p>
          <w:p>
            <w:pPr>
              <w:pStyle w:val="TableParagraph"/>
              <w:spacing w:before="36"/>
              <w:jc w:val="both"/>
              <w:rPr>
                <w:sz w:val="21"/>
              </w:rPr>
            </w:pPr>
            <w:r>
              <w:rPr>
                <w:sz w:val="21"/>
              </w:rPr>
              <w:t>(4)血浆肾素活性(PRA)测定。</w:t>
            </w:r>
          </w:p>
          <w:p>
            <w:pPr>
              <w:pStyle w:val="TableParagraph"/>
              <w:spacing w:line="310" w:lineRule="atLeast" w:before="78"/>
              <w:ind w:right="250"/>
              <w:rPr>
                <w:rFonts w:ascii="黑体" w:eastAsia="黑体" w:hint="eastAsia"/>
                <w:sz w:val="21"/>
              </w:rPr>
            </w:pPr>
            <w:r>
              <w:rPr>
                <w:rFonts w:ascii="黑体" w:eastAsia="黑体" w:hint="eastAsia"/>
                <w:sz w:val="21"/>
              </w:rPr>
              <w:t>慢性肾上腺皮质功能衰竭只对由自身免疫功能紊乱引起的承担保险责任，其他原因引起的除外。</w:t>
            </w:r>
          </w:p>
        </w:tc>
      </w:tr>
    </w:tbl>
    <w:p>
      <w:pPr>
        <w:spacing w:after="0" w:line="310" w:lineRule="atLeast"/>
        <w:rPr>
          <w:rFonts w:ascii="黑体" w:eastAsia="黑体" w:hint="eastAsia"/>
          <w:sz w:val="21"/>
        </w:rPr>
        <w:sectPr>
          <w:pgSz w:w="11910" w:h="16840"/>
          <w:pgMar w:top="1460" w:bottom="280" w:left="980" w:right="9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2068"/>
        <w:gridCol w:w="6562"/>
      </w:tblGrid>
      <w:tr>
        <w:trPr>
          <w:trHeight w:val="3841" w:hRule="atLeast"/>
        </w:trPr>
        <w:tc>
          <w:tcPr>
            <w:tcW w:w="1156" w:type="dxa"/>
          </w:tcPr>
          <w:p>
            <w:pPr>
              <w:pStyle w:val="TableParagraph"/>
              <w:spacing w:line="203" w:lineRule="exact"/>
              <w:ind w:left="200"/>
              <w:rPr>
                <w:b/>
                <w:sz w:val="21"/>
              </w:rPr>
            </w:pPr>
            <w:r>
              <w:rPr>
                <w:b/>
                <w:sz w:val="21"/>
              </w:rPr>
              <w:t>10.1.32</w:t>
            </w:r>
          </w:p>
        </w:tc>
        <w:tc>
          <w:tcPr>
            <w:tcW w:w="2068" w:type="dxa"/>
          </w:tcPr>
          <w:p>
            <w:pPr>
              <w:pStyle w:val="TableParagraph"/>
              <w:spacing w:line="203" w:lineRule="exact"/>
              <w:ind w:left="215"/>
              <w:rPr>
                <w:b/>
                <w:sz w:val="21"/>
              </w:rPr>
            </w:pPr>
            <w:r>
              <w:rPr>
                <w:b/>
                <w:sz w:val="21"/>
              </w:rPr>
              <w:t>系统性硬皮病</w:t>
            </w:r>
          </w:p>
        </w:tc>
        <w:tc>
          <w:tcPr>
            <w:tcW w:w="6562" w:type="dxa"/>
          </w:tcPr>
          <w:p>
            <w:pPr>
              <w:pStyle w:val="TableParagraph"/>
              <w:spacing w:line="203" w:lineRule="exact"/>
              <w:rPr>
                <w:sz w:val="21"/>
              </w:rPr>
            </w:pPr>
            <w:r>
              <w:rPr>
                <w:spacing w:val="-7"/>
                <w:sz w:val="21"/>
              </w:rPr>
              <w:t>系统性硬皮病</w:t>
            </w:r>
            <w:r>
              <w:rPr>
                <w:sz w:val="21"/>
              </w:rPr>
              <w:t>（</w:t>
            </w:r>
            <w:r>
              <w:rPr>
                <w:spacing w:val="-3"/>
                <w:sz w:val="21"/>
              </w:rPr>
              <w:t>须累及内脏器官</w:t>
            </w:r>
            <w:r>
              <w:rPr>
                <w:spacing w:val="-68"/>
                <w:sz w:val="21"/>
              </w:rPr>
              <w:t>）</w:t>
            </w:r>
            <w:r>
              <w:rPr>
                <w:spacing w:val="-9"/>
                <w:sz w:val="21"/>
              </w:rPr>
              <w:t>，指一种以局限性或弥漫性皮肤增</w:t>
            </w:r>
          </w:p>
          <w:p>
            <w:pPr>
              <w:pStyle w:val="TableParagraph"/>
              <w:spacing w:line="273" w:lineRule="auto" w:before="37"/>
              <w:ind w:right="299"/>
              <w:rPr>
                <w:sz w:val="21"/>
              </w:rPr>
            </w:pPr>
            <w:r>
              <w:rPr>
                <w:sz w:val="21"/>
              </w:rPr>
              <w:t>厚和皮肤、血管、内脏器官异常纤维化为特征的结缔组织病。本病须经专科医师明确诊断，并须满足下列至少一项条件：</w:t>
            </w:r>
          </w:p>
          <w:p>
            <w:pPr>
              <w:pStyle w:val="TableParagraph"/>
              <w:spacing w:line="273" w:lineRule="auto" w:before="7"/>
              <w:ind w:right="251"/>
              <w:rPr>
                <w:sz w:val="21"/>
              </w:rPr>
            </w:pPr>
            <w:r>
              <w:rPr>
                <w:sz w:val="21"/>
              </w:rPr>
              <w:t>(1)</w:t>
            </w:r>
            <w:r>
              <w:rPr>
                <w:spacing w:val="-8"/>
                <w:sz w:val="21"/>
              </w:rPr>
              <w:t>肺脏：肺部病变进而发展为肺间质纤维化和肺动脉高压，静息状</w:t>
            </w:r>
            <w:r>
              <w:rPr>
                <w:spacing w:val="-9"/>
                <w:sz w:val="21"/>
              </w:rPr>
              <w:t>态下肺动脉平均压超过 </w:t>
            </w:r>
            <w:r>
              <w:rPr>
                <w:sz w:val="21"/>
              </w:rPr>
              <w:t>25mmHg；</w:t>
            </w:r>
          </w:p>
          <w:p>
            <w:pPr>
              <w:pStyle w:val="TableParagraph"/>
              <w:spacing w:line="273" w:lineRule="auto" w:before="7"/>
              <w:ind w:right="291"/>
              <w:rPr>
                <w:sz w:val="21"/>
              </w:rPr>
            </w:pPr>
            <w:r>
              <w:rPr>
                <w:sz w:val="21"/>
              </w:rPr>
              <w:t>(2)心脏：心功能受损达到美国纽约心脏病学会心功能状态分级 IV 级；</w:t>
            </w:r>
          </w:p>
          <w:p>
            <w:pPr>
              <w:pStyle w:val="TableParagraph"/>
              <w:spacing w:before="7"/>
              <w:rPr>
                <w:sz w:val="21"/>
              </w:rPr>
            </w:pPr>
            <w:r>
              <w:rPr>
                <w:sz w:val="21"/>
              </w:rPr>
              <w:t>(3)肾脏：肾脏受损导致双肾功能慢性不可逆衰竭，达到尿毒症期。</w:t>
            </w:r>
          </w:p>
          <w:p>
            <w:pPr>
              <w:pStyle w:val="TableParagraph"/>
              <w:spacing w:before="113"/>
              <w:rPr>
                <w:rFonts w:ascii="黑体" w:eastAsia="黑体" w:hint="eastAsia"/>
                <w:sz w:val="21"/>
              </w:rPr>
            </w:pPr>
            <w:r>
              <w:rPr>
                <w:rFonts w:ascii="黑体" w:eastAsia="黑体" w:hint="eastAsia"/>
                <w:sz w:val="21"/>
              </w:rPr>
              <w:t>下列疾病不在本险种保障范围内：</w:t>
            </w:r>
          </w:p>
          <w:p>
            <w:pPr>
              <w:pStyle w:val="TableParagraph"/>
              <w:spacing w:before="37"/>
              <w:rPr>
                <w:rFonts w:ascii="黑体" w:eastAsia="黑体" w:hint="eastAsia"/>
                <w:sz w:val="21"/>
              </w:rPr>
            </w:pPr>
            <w:r>
              <w:rPr>
                <w:rFonts w:ascii="黑体" w:eastAsia="黑体" w:hint="eastAsia"/>
                <w:w w:val="100"/>
                <w:sz w:val="21"/>
              </w:rPr>
              <w:t>(1)</w:t>
            </w:r>
            <w:r>
              <w:rPr>
                <w:rFonts w:ascii="黑体" w:eastAsia="黑体" w:hint="eastAsia"/>
                <w:spacing w:val="-3"/>
                <w:w w:val="100"/>
                <w:sz w:val="21"/>
              </w:rPr>
              <w:t>局部性硬皮病（如：带状硬皮病、硬斑病</w:t>
            </w:r>
            <w:r>
              <w:rPr>
                <w:rFonts w:ascii="黑体" w:eastAsia="黑体" w:hint="eastAsia"/>
                <w:spacing w:val="-108"/>
                <w:w w:val="100"/>
                <w:sz w:val="21"/>
              </w:rPr>
              <w:t>）</w:t>
            </w:r>
            <w:r>
              <w:rPr>
                <w:rFonts w:ascii="黑体" w:eastAsia="黑体" w:hint="eastAsia"/>
                <w:w w:val="100"/>
                <w:sz w:val="21"/>
              </w:rPr>
              <w:t>；</w:t>
            </w:r>
          </w:p>
          <w:p>
            <w:pPr>
              <w:pStyle w:val="TableParagraph"/>
              <w:spacing w:before="37"/>
              <w:rPr>
                <w:rFonts w:ascii="黑体" w:eastAsia="黑体" w:hint="eastAsia"/>
                <w:sz w:val="21"/>
              </w:rPr>
            </w:pPr>
            <w:r>
              <w:rPr>
                <w:rFonts w:ascii="黑体" w:eastAsia="黑体" w:hint="eastAsia"/>
                <w:sz w:val="21"/>
              </w:rPr>
              <w:t>(2)嗜酸性粒细胞性筋膜炎；</w:t>
            </w:r>
          </w:p>
          <w:p>
            <w:pPr>
              <w:pStyle w:val="TableParagraph"/>
              <w:spacing w:before="37"/>
              <w:rPr>
                <w:rFonts w:ascii="黑体" w:eastAsia="黑体" w:hint="eastAsia"/>
                <w:sz w:val="21"/>
              </w:rPr>
            </w:pPr>
            <w:r>
              <w:rPr>
                <w:rFonts w:ascii="黑体" w:eastAsia="黑体" w:hint="eastAsia"/>
                <w:sz w:val="21"/>
              </w:rPr>
              <w:t>(3)CREST 综合征。</w:t>
            </w:r>
          </w:p>
        </w:tc>
      </w:tr>
      <w:tr>
        <w:trPr>
          <w:trHeight w:val="3653" w:hRule="atLeast"/>
        </w:trPr>
        <w:tc>
          <w:tcPr>
            <w:tcW w:w="1156" w:type="dxa"/>
          </w:tcPr>
          <w:p>
            <w:pPr>
              <w:pStyle w:val="TableParagraph"/>
              <w:spacing w:before="49"/>
              <w:ind w:left="200"/>
              <w:rPr>
                <w:b/>
                <w:sz w:val="21"/>
              </w:rPr>
            </w:pPr>
            <w:r>
              <w:rPr>
                <w:b/>
                <w:sz w:val="21"/>
              </w:rPr>
              <w:t>10.1.33</w:t>
            </w:r>
          </w:p>
        </w:tc>
        <w:tc>
          <w:tcPr>
            <w:tcW w:w="2068" w:type="dxa"/>
          </w:tcPr>
          <w:p>
            <w:pPr>
              <w:pStyle w:val="TableParagraph"/>
              <w:spacing w:line="273" w:lineRule="auto" w:before="49"/>
              <w:ind w:left="215" w:right="161"/>
              <w:rPr>
                <w:b/>
                <w:sz w:val="21"/>
              </w:rPr>
            </w:pPr>
            <w:r>
              <w:rPr>
                <w:b/>
                <w:sz w:val="21"/>
              </w:rPr>
              <w:t>经输血导致的人类免疫缺陷病毒感染</w:t>
            </w:r>
          </w:p>
        </w:tc>
        <w:tc>
          <w:tcPr>
            <w:tcW w:w="6562" w:type="dxa"/>
          </w:tcPr>
          <w:p>
            <w:pPr>
              <w:pStyle w:val="TableParagraph"/>
              <w:spacing w:line="273" w:lineRule="auto" w:before="49"/>
              <w:ind w:right="187"/>
              <w:rPr>
                <w:sz w:val="21"/>
              </w:rPr>
            </w:pPr>
            <w:r>
              <w:rPr>
                <w:sz w:val="21"/>
              </w:rPr>
              <w:t>被保险人因输血而感染上人类免疫缺陷病毒（HIV）必须同时满足以下条件：</w:t>
            </w:r>
          </w:p>
          <w:p>
            <w:pPr>
              <w:pStyle w:val="TableParagraph"/>
              <w:spacing w:before="7"/>
              <w:rPr>
                <w:sz w:val="21"/>
              </w:rPr>
            </w:pPr>
            <w:r>
              <w:rPr>
                <w:sz w:val="21"/>
              </w:rPr>
              <w:t>(1)在保障起始日或复效日之后，被保险人因输血而感染 HIV；</w:t>
            </w:r>
          </w:p>
          <w:p>
            <w:pPr>
              <w:pStyle w:val="TableParagraph"/>
              <w:spacing w:line="273" w:lineRule="auto" w:before="36"/>
              <w:ind w:right="2718"/>
              <w:rPr>
                <w:sz w:val="21"/>
              </w:rPr>
            </w:pPr>
            <w:r>
              <w:rPr>
                <w:sz w:val="21"/>
              </w:rPr>
              <w:t>(2)受感染的被保险人不是血友病患者； 以及下列条件(3)或(4)中的任意一条：</w:t>
            </w:r>
          </w:p>
          <w:p>
            <w:pPr>
              <w:pStyle w:val="TableParagraph"/>
              <w:spacing w:before="7"/>
              <w:rPr>
                <w:sz w:val="21"/>
              </w:rPr>
            </w:pPr>
            <w:r>
              <w:rPr>
                <w:sz w:val="21"/>
              </w:rPr>
              <w:t>(3)提供输血治疗的输血中心或医院承认该项输血感染责任的证明；</w:t>
            </w:r>
          </w:p>
          <w:p>
            <w:pPr>
              <w:pStyle w:val="TableParagraph"/>
              <w:spacing w:line="273" w:lineRule="auto" w:before="37"/>
              <w:ind w:right="251"/>
              <w:rPr>
                <w:sz w:val="21"/>
              </w:rPr>
            </w:pPr>
            <w:r>
              <w:rPr>
                <w:sz w:val="21"/>
              </w:rPr>
              <w:t>(4)</w:t>
            </w:r>
            <w:r>
              <w:rPr>
                <w:spacing w:val="-7"/>
                <w:sz w:val="21"/>
              </w:rPr>
              <w:t>提供输血前一个月内 </w:t>
            </w:r>
            <w:r>
              <w:rPr>
                <w:sz w:val="21"/>
              </w:rPr>
              <w:t>HIV</w:t>
            </w:r>
            <w:r>
              <w:rPr>
                <w:spacing w:val="-11"/>
                <w:sz w:val="21"/>
              </w:rPr>
              <w:t> 检查阴性的报告、输血血液来源的证明</w:t>
            </w:r>
            <w:r>
              <w:rPr>
                <w:spacing w:val="-14"/>
                <w:sz w:val="21"/>
              </w:rPr>
              <w:t>以及输血后 </w:t>
            </w:r>
            <w:r>
              <w:rPr>
                <w:sz w:val="21"/>
              </w:rPr>
              <w:t>HIV</w:t>
            </w:r>
            <w:r>
              <w:rPr>
                <w:spacing w:val="-8"/>
                <w:sz w:val="21"/>
              </w:rPr>
              <w:t> 检查阳性的报告。</w:t>
            </w:r>
          </w:p>
          <w:p>
            <w:pPr>
              <w:pStyle w:val="TableParagraph"/>
              <w:spacing w:line="273" w:lineRule="auto" w:before="87"/>
              <w:ind w:right="299"/>
              <w:jc w:val="both"/>
              <w:rPr>
                <w:sz w:val="21"/>
              </w:rPr>
            </w:pPr>
            <w:r>
              <w:rPr>
                <w:rFonts w:ascii="黑体" w:eastAsia="黑体" w:hint="eastAsia"/>
                <w:sz w:val="21"/>
              </w:rPr>
              <w:t>任何因其他传播方式（包括：性传播或静脉注射毒品）导致的 HIV 感染不在本保单保障范围内。</w:t>
            </w:r>
            <w:r>
              <w:rPr>
                <w:sz w:val="21"/>
              </w:rPr>
              <w:t>保险公司必须拥有获得使用被保险人的所有血液样本的权利和能够对这些样本进行独立检验的权利。</w:t>
            </w:r>
          </w:p>
        </w:tc>
      </w:tr>
      <w:tr>
        <w:trPr>
          <w:trHeight w:val="1457" w:hRule="atLeast"/>
        </w:trPr>
        <w:tc>
          <w:tcPr>
            <w:tcW w:w="1156" w:type="dxa"/>
          </w:tcPr>
          <w:p>
            <w:pPr>
              <w:pStyle w:val="TableParagraph"/>
              <w:spacing w:before="49"/>
              <w:ind w:left="200"/>
              <w:rPr>
                <w:b/>
                <w:sz w:val="21"/>
              </w:rPr>
            </w:pPr>
            <w:r>
              <w:rPr>
                <w:b/>
                <w:sz w:val="21"/>
              </w:rPr>
              <w:t>10.1.34</w:t>
            </w:r>
          </w:p>
        </w:tc>
        <w:tc>
          <w:tcPr>
            <w:tcW w:w="2068" w:type="dxa"/>
          </w:tcPr>
          <w:p>
            <w:pPr>
              <w:pStyle w:val="TableParagraph"/>
              <w:spacing w:before="49"/>
              <w:ind w:left="215"/>
              <w:rPr>
                <w:b/>
                <w:sz w:val="21"/>
              </w:rPr>
            </w:pPr>
            <w:r>
              <w:rPr>
                <w:b/>
                <w:sz w:val="21"/>
              </w:rPr>
              <w:t>慢性复发性胰腺炎</w:t>
            </w:r>
          </w:p>
        </w:tc>
        <w:tc>
          <w:tcPr>
            <w:tcW w:w="6562" w:type="dxa"/>
          </w:tcPr>
          <w:p>
            <w:pPr>
              <w:pStyle w:val="TableParagraph"/>
              <w:spacing w:line="273" w:lineRule="auto" w:before="49"/>
              <w:ind w:right="299"/>
              <w:jc w:val="both"/>
              <w:rPr>
                <w:sz w:val="21"/>
              </w:rPr>
            </w:pPr>
            <w:r>
              <w:rPr>
                <w:sz w:val="21"/>
              </w:rPr>
              <w:t>胰腺炎反复发作超过三次以上并导致胰腺功能紊乱和营养不良，需要接受酶替代治疗。诊断必须有消化科专科医生确认并且有内窥镜逆行胰胆管造影所证实。</w:t>
            </w:r>
          </w:p>
          <w:p>
            <w:pPr>
              <w:pStyle w:val="TableParagraph"/>
              <w:spacing w:before="87"/>
              <w:jc w:val="both"/>
              <w:rPr>
                <w:rFonts w:ascii="黑体" w:eastAsia="黑体" w:hint="eastAsia"/>
                <w:sz w:val="21"/>
              </w:rPr>
            </w:pPr>
            <w:r>
              <w:rPr>
                <w:rFonts w:ascii="黑体" w:eastAsia="黑体" w:hint="eastAsia"/>
                <w:sz w:val="21"/>
              </w:rPr>
              <w:t>因酒精所致的慢性复发性胰腺炎除外。</w:t>
            </w:r>
          </w:p>
        </w:tc>
      </w:tr>
      <w:tr>
        <w:trPr>
          <w:trHeight w:val="2146" w:hRule="atLeast"/>
        </w:trPr>
        <w:tc>
          <w:tcPr>
            <w:tcW w:w="1156" w:type="dxa"/>
          </w:tcPr>
          <w:p>
            <w:pPr>
              <w:pStyle w:val="TableParagraph"/>
              <w:spacing w:before="60"/>
              <w:ind w:left="200"/>
              <w:rPr>
                <w:b/>
                <w:sz w:val="21"/>
              </w:rPr>
            </w:pPr>
            <w:r>
              <w:rPr>
                <w:b/>
                <w:sz w:val="21"/>
              </w:rPr>
              <w:t>10.1.35</w:t>
            </w:r>
          </w:p>
        </w:tc>
        <w:tc>
          <w:tcPr>
            <w:tcW w:w="2068" w:type="dxa"/>
          </w:tcPr>
          <w:p>
            <w:pPr>
              <w:pStyle w:val="TableParagraph"/>
              <w:spacing w:line="273" w:lineRule="auto" w:before="60"/>
              <w:ind w:left="215" w:right="161"/>
              <w:rPr>
                <w:b/>
                <w:sz w:val="21"/>
              </w:rPr>
            </w:pPr>
            <w:r>
              <w:rPr>
                <w:b/>
                <w:sz w:val="21"/>
              </w:rPr>
              <w:t>原发性硬化性胆管炎</w:t>
            </w:r>
          </w:p>
        </w:tc>
        <w:tc>
          <w:tcPr>
            <w:tcW w:w="6562" w:type="dxa"/>
          </w:tcPr>
          <w:p>
            <w:pPr>
              <w:pStyle w:val="TableParagraph"/>
              <w:spacing w:line="237" w:lineRule="auto" w:before="41"/>
              <w:ind w:right="254"/>
              <w:jc w:val="both"/>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w:t>
            </w:r>
          </w:p>
          <w:p>
            <w:pPr>
              <w:pStyle w:val="TableParagraph"/>
              <w:spacing w:line="271" w:lineRule="exact"/>
              <w:jc w:val="both"/>
              <w:rPr>
                <w:sz w:val="21"/>
              </w:rPr>
            </w:pPr>
            <w:r>
              <w:rPr>
                <w:sz w:val="21"/>
              </w:rPr>
              <w:t>(1)总胆红素和直接胆红素同时升高，血清 ALP&gt;200U/L；</w:t>
            </w:r>
          </w:p>
          <w:p>
            <w:pPr>
              <w:pStyle w:val="TableParagraph"/>
              <w:spacing w:line="271" w:lineRule="exact"/>
              <w:jc w:val="both"/>
              <w:rPr>
                <w:sz w:val="21"/>
              </w:rPr>
            </w:pPr>
            <w:r>
              <w:rPr>
                <w:sz w:val="21"/>
              </w:rPr>
              <w:t>(2)持续性黄疸病史；</w:t>
            </w:r>
          </w:p>
          <w:p>
            <w:pPr>
              <w:pStyle w:val="TableParagraph"/>
              <w:spacing w:line="272" w:lineRule="exact"/>
              <w:jc w:val="both"/>
              <w:rPr>
                <w:sz w:val="21"/>
              </w:rPr>
            </w:pPr>
            <w:r>
              <w:rPr>
                <w:sz w:val="21"/>
              </w:rPr>
              <w:t>(3)出现胆汁性肝硬化或门脉高压。</w:t>
            </w:r>
          </w:p>
          <w:p>
            <w:pPr>
              <w:pStyle w:val="TableParagraph"/>
              <w:spacing w:before="78"/>
              <w:jc w:val="both"/>
              <w:rPr>
                <w:rFonts w:ascii="黑体" w:eastAsia="黑体" w:hint="eastAsia"/>
                <w:sz w:val="21"/>
              </w:rPr>
            </w:pPr>
            <w:r>
              <w:rPr>
                <w:rFonts w:ascii="黑体" w:eastAsia="黑体" w:hint="eastAsia"/>
                <w:sz w:val="21"/>
              </w:rPr>
              <w:t>因肿瘤或胆管损伤等继发性的硬化性胆管炎不在保障范围内。</w:t>
            </w:r>
          </w:p>
        </w:tc>
      </w:tr>
      <w:tr>
        <w:trPr>
          <w:trHeight w:val="2005" w:hRule="atLeast"/>
        </w:trPr>
        <w:tc>
          <w:tcPr>
            <w:tcW w:w="1156" w:type="dxa"/>
          </w:tcPr>
          <w:p>
            <w:pPr>
              <w:pStyle w:val="TableParagraph"/>
              <w:spacing w:before="40"/>
              <w:ind w:left="200"/>
              <w:rPr>
                <w:b/>
                <w:sz w:val="21"/>
              </w:rPr>
            </w:pPr>
            <w:r>
              <w:rPr>
                <w:b/>
                <w:sz w:val="21"/>
              </w:rPr>
              <w:t>10.1.36</w:t>
            </w:r>
          </w:p>
        </w:tc>
        <w:tc>
          <w:tcPr>
            <w:tcW w:w="2068" w:type="dxa"/>
          </w:tcPr>
          <w:p>
            <w:pPr>
              <w:pStyle w:val="TableParagraph"/>
              <w:spacing w:before="40"/>
              <w:ind w:left="215"/>
              <w:rPr>
                <w:b/>
                <w:sz w:val="21"/>
              </w:rPr>
            </w:pPr>
            <w:r>
              <w:rPr>
                <w:b/>
                <w:sz w:val="21"/>
              </w:rPr>
              <w:t>全身性重症肌无力</w:t>
            </w:r>
          </w:p>
        </w:tc>
        <w:tc>
          <w:tcPr>
            <w:tcW w:w="6562" w:type="dxa"/>
          </w:tcPr>
          <w:p>
            <w:pPr>
              <w:pStyle w:val="TableParagraph"/>
              <w:spacing w:line="273" w:lineRule="auto" w:before="40"/>
              <w:ind w:right="299"/>
              <w:jc w:val="both"/>
              <w:rPr>
                <w:sz w:val="21"/>
              </w:rPr>
            </w:pPr>
            <w:r>
              <w:rPr>
                <w:sz w:val="21"/>
              </w:rPr>
              <w:t>重症肌无力是一种神经肌肉接头传递障碍所致的疾病，表现为局部或全身骨骼肌（特别是眼外肌）极易疲劳。疾病可以累及呼吸肌、上肢或下肢的近端肌群或全身肌肉，必须满足下列全部条件：</w:t>
            </w:r>
          </w:p>
          <w:p>
            <w:pPr>
              <w:pStyle w:val="TableParagraph"/>
              <w:spacing w:before="7"/>
              <w:rPr>
                <w:sz w:val="21"/>
              </w:rPr>
            </w:pPr>
            <w:r>
              <w:rPr>
                <w:sz w:val="21"/>
              </w:rPr>
              <w:t>(1)经药物治疗和胸腺切除治疗一年以上仍无法控制病情；</w:t>
            </w:r>
          </w:p>
          <w:p>
            <w:pPr>
              <w:pStyle w:val="TableParagraph"/>
              <w:spacing w:line="273" w:lineRule="auto" w:before="37"/>
              <w:ind w:right="251"/>
              <w:jc w:val="both"/>
              <w:rPr>
                <w:sz w:val="21"/>
              </w:rPr>
            </w:pPr>
            <w:r>
              <w:rPr>
                <w:sz w:val="21"/>
              </w:rPr>
              <w:t>(2)</w:t>
            </w:r>
            <w:r>
              <w:rPr>
                <w:spacing w:val="-8"/>
                <w:sz w:val="21"/>
              </w:rPr>
              <w:t>自主生活能力完全丧失，无法独立完成六项基本日常生活活动中</w:t>
            </w:r>
            <w:r>
              <w:rPr>
                <w:spacing w:val="-5"/>
                <w:sz w:val="21"/>
              </w:rPr>
              <w:t>的三项或三项以上。</w:t>
            </w:r>
          </w:p>
        </w:tc>
      </w:tr>
      <w:tr>
        <w:trPr>
          <w:trHeight w:val="644" w:hRule="atLeast"/>
        </w:trPr>
        <w:tc>
          <w:tcPr>
            <w:tcW w:w="1156" w:type="dxa"/>
          </w:tcPr>
          <w:p>
            <w:pPr>
              <w:pStyle w:val="TableParagraph"/>
              <w:spacing w:before="49"/>
              <w:ind w:left="200"/>
              <w:rPr>
                <w:b/>
                <w:sz w:val="21"/>
              </w:rPr>
            </w:pPr>
            <w:r>
              <w:rPr>
                <w:b/>
                <w:sz w:val="21"/>
              </w:rPr>
              <w:t>10.1.37</w:t>
            </w:r>
          </w:p>
        </w:tc>
        <w:tc>
          <w:tcPr>
            <w:tcW w:w="2068" w:type="dxa"/>
          </w:tcPr>
          <w:p>
            <w:pPr>
              <w:pStyle w:val="TableParagraph"/>
              <w:spacing w:line="310" w:lineRule="atLeast" w:before="14"/>
              <w:ind w:left="215" w:right="161"/>
              <w:rPr>
                <w:b/>
                <w:sz w:val="21"/>
              </w:rPr>
            </w:pPr>
            <w:r>
              <w:rPr>
                <w:b/>
                <w:sz w:val="21"/>
              </w:rPr>
              <w:t>严重类风湿性关节炎</w:t>
            </w:r>
          </w:p>
        </w:tc>
        <w:tc>
          <w:tcPr>
            <w:tcW w:w="6562" w:type="dxa"/>
          </w:tcPr>
          <w:p>
            <w:pPr>
              <w:pStyle w:val="TableParagraph"/>
              <w:spacing w:line="310" w:lineRule="atLeast" w:before="14"/>
              <w:ind w:right="299"/>
              <w:rPr>
                <w:sz w:val="21"/>
              </w:rPr>
            </w:pPr>
            <w:r>
              <w:rPr>
                <w:spacing w:val="-3"/>
                <w:sz w:val="21"/>
              </w:rPr>
              <w:t>类风湿性关节炎为广泛分布的慢性进行性多关节病变，表现为关节</w:t>
            </w:r>
            <w:r>
              <w:rPr>
                <w:spacing w:val="-9"/>
                <w:sz w:val="21"/>
              </w:rPr>
              <w:t>严重变形，侵犯至少三个主要关节或关节组，【如:双手(多手指)关</w:t>
            </w:r>
          </w:p>
        </w:tc>
      </w:tr>
    </w:tbl>
    <w:p>
      <w:pPr>
        <w:spacing w:after="0" w:line="310" w:lineRule="atLeast"/>
        <w:rPr>
          <w:sz w:val="21"/>
        </w:rPr>
        <w:sectPr>
          <w:pgSz w:w="11910" w:h="16840"/>
          <w:pgMar w:top="1460" w:bottom="280" w:left="980" w:right="92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2124"/>
        <w:gridCol w:w="6557"/>
      </w:tblGrid>
      <w:tr>
        <w:trPr>
          <w:trHeight w:val="2527" w:hRule="atLeast"/>
        </w:trPr>
        <w:tc>
          <w:tcPr>
            <w:tcW w:w="1156" w:type="dxa"/>
          </w:tcPr>
          <w:p>
            <w:pPr>
              <w:pStyle w:val="TableParagraph"/>
              <w:ind w:left="0"/>
              <w:rPr>
                <w:rFonts w:ascii="Times New Roman"/>
                <w:sz w:val="20"/>
              </w:rPr>
            </w:pPr>
          </w:p>
        </w:tc>
        <w:tc>
          <w:tcPr>
            <w:tcW w:w="2124" w:type="dxa"/>
          </w:tcPr>
          <w:p>
            <w:pPr>
              <w:pStyle w:val="TableParagraph"/>
              <w:ind w:left="0"/>
              <w:rPr>
                <w:rFonts w:ascii="Times New Roman"/>
                <w:sz w:val="20"/>
              </w:rPr>
            </w:pPr>
          </w:p>
        </w:tc>
        <w:tc>
          <w:tcPr>
            <w:tcW w:w="6557" w:type="dxa"/>
          </w:tcPr>
          <w:p>
            <w:pPr>
              <w:pStyle w:val="TableParagraph"/>
              <w:spacing w:line="203" w:lineRule="exact"/>
              <w:ind w:left="107"/>
              <w:rPr>
                <w:sz w:val="21"/>
              </w:rPr>
            </w:pPr>
            <w:r>
              <w:rPr>
                <w:sz w:val="21"/>
              </w:rPr>
              <w:t>节、双足(多足趾)关节、双腕关节、双膝关节和双髋关节】。被保人</w:t>
            </w:r>
          </w:p>
          <w:p>
            <w:pPr>
              <w:pStyle w:val="TableParagraph"/>
              <w:spacing w:line="273" w:lineRule="auto" w:before="37"/>
              <w:ind w:left="107" w:right="350"/>
              <w:rPr>
                <w:sz w:val="21"/>
              </w:rPr>
            </w:pPr>
            <w:r>
              <w:rPr>
                <w:sz w:val="21"/>
              </w:rPr>
              <w:t>所患的类风湿性关节炎必须已经达到类风湿性关节炎功能分级Ⅲ级以上的功能障碍以及活动限制，并须满足下列全部条件：</w:t>
            </w:r>
          </w:p>
          <w:p>
            <w:pPr>
              <w:pStyle w:val="TableParagraph"/>
              <w:spacing w:before="7"/>
              <w:ind w:left="107"/>
              <w:rPr>
                <w:sz w:val="21"/>
              </w:rPr>
            </w:pPr>
            <w:r>
              <w:rPr>
                <w:sz w:val="21"/>
              </w:rPr>
              <w:t>(1)晨僵；</w:t>
            </w:r>
          </w:p>
          <w:p>
            <w:pPr>
              <w:pStyle w:val="TableParagraph"/>
              <w:spacing w:before="36"/>
              <w:ind w:left="107"/>
              <w:rPr>
                <w:sz w:val="21"/>
              </w:rPr>
            </w:pPr>
            <w:r>
              <w:rPr>
                <w:sz w:val="21"/>
              </w:rPr>
              <w:t>(2)对称性关节炎；</w:t>
            </w:r>
          </w:p>
          <w:p>
            <w:pPr>
              <w:pStyle w:val="TableParagraph"/>
              <w:spacing w:before="36"/>
              <w:ind w:left="107"/>
              <w:rPr>
                <w:sz w:val="21"/>
              </w:rPr>
            </w:pPr>
            <w:r>
              <w:rPr>
                <w:sz w:val="21"/>
              </w:rPr>
              <w:t>(3)类风湿性皮下结节；</w:t>
            </w:r>
          </w:p>
          <w:p>
            <w:pPr>
              <w:pStyle w:val="TableParagraph"/>
              <w:spacing w:before="36"/>
              <w:ind w:left="107"/>
              <w:rPr>
                <w:sz w:val="21"/>
              </w:rPr>
            </w:pPr>
            <w:r>
              <w:rPr>
                <w:sz w:val="21"/>
              </w:rPr>
              <w:t>(4)类风湿因子滴度升高；</w:t>
            </w:r>
          </w:p>
          <w:p>
            <w:pPr>
              <w:pStyle w:val="TableParagraph"/>
              <w:spacing w:before="36"/>
              <w:ind w:left="107"/>
              <w:rPr>
                <w:sz w:val="21"/>
              </w:rPr>
            </w:pPr>
            <w:r>
              <w:rPr>
                <w:sz w:val="21"/>
              </w:rPr>
              <w:t>(5)X 线显示严重的关节</w:t>
            </w:r>
            <w:r>
              <w:rPr>
                <w:rFonts w:ascii="Calibri" w:eastAsia="Calibri"/>
                <w:sz w:val="21"/>
              </w:rPr>
              <w:t>(</w:t>
            </w:r>
            <w:r>
              <w:rPr>
                <w:sz w:val="21"/>
              </w:rPr>
              <w:t>软骨和骨</w:t>
            </w:r>
            <w:r>
              <w:rPr>
                <w:rFonts w:ascii="Calibri" w:eastAsia="Calibri"/>
                <w:sz w:val="21"/>
              </w:rPr>
              <w:t>)</w:t>
            </w:r>
            <w:r>
              <w:rPr>
                <w:sz w:val="21"/>
              </w:rPr>
              <w:t>破坏和关节畸形。</w:t>
            </w:r>
          </w:p>
        </w:tc>
      </w:tr>
      <w:tr>
        <w:trPr>
          <w:trHeight w:val="1690" w:hRule="atLeast"/>
        </w:trPr>
        <w:tc>
          <w:tcPr>
            <w:tcW w:w="1156" w:type="dxa"/>
          </w:tcPr>
          <w:p>
            <w:pPr>
              <w:pStyle w:val="TableParagraph"/>
              <w:spacing w:before="37"/>
              <w:ind w:left="200"/>
              <w:rPr>
                <w:b/>
                <w:sz w:val="21"/>
              </w:rPr>
            </w:pPr>
            <w:r>
              <w:rPr>
                <w:b/>
                <w:sz w:val="21"/>
              </w:rPr>
              <w:t>10.1.38</w:t>
            </w:r>
          </w:p>
        </w:tc>
        <w:tc>
          <w:tcPr>
            <w:tcW w:w="2124" w:type="dxa"/>
          </w:tcPr>
          <w:p>
            <w:pPr>
              <w:pStyle w:val="TableParagraph"/>
              <w:spacing w:before="37"/>
              <w:ind w:left="215"/>
              <w:rPr>
                <w:b/>
                <w:sz w:val="21"/>
              </w:rPr>
            </w:pPr>
            <w:r>
              <w:rPr>
                <w:b/>
                <w:sz w:val="21"/>
              </w:rPr>
              <w:t>严重溃疡性结肠炎</w:t>
            </w:r>
          </w:p>
        </w:tc>
        <w:tc>
          <w:tcPr>
            <w:tcW w:w="6557" w:type="dxa"/>
          </w:tcPr>
          <w:p>
            <w:pPr>
              <w:pStyle w:val="TableParagraph"/>
              <w:spacing w:line="273" w:lineRule="auto" w:before="37"/>
              <w:ind w:left="107" w:right="350"/>
              <w:jc w:val="both"/>
              <w:rPr>
                <w:sz w:val="21"/>
              </w:rPr>
            </w:pPr>
            <w:r>
              <w:rPr>
                <w:sz w:val="21"/>
              </w:rPr>
              <w:t>是指伴有致命性电解质紊乱的急性暴发性溃疡性结肠炎，病变累及全结肠，表现为严重的血便和系统性症状体征，已经造成瘘管并伴有肠梗阻或肠穿孔，治疗通常采取全结肠切除和回肠造瘘术。溃疡性结肠炎必须根据组织病理学特点诊断，并且被保险人已经接受了结肠切除和回肠造瘘术。</w:t>
            </w:r>
          </w:p>
        </w:tc>
      </w:tr>
      <w:tr>
        <w:trPr>
          <w:trHeight w:val="1378" w:hRule="atLeast"/>
        </w:trPr>
        <w:tc>
          <w:tcPr>
            <w:tcW w:w="1156" w:type="dxa"/>
          </w:tcPr>
          <w:p>
            <w:pPr>
              <w:pStyle w:val="TableParagraph"/>
              <w:spacing w:before="49"/>
              <w:ind w:left="200"/>
              <w:rPr>
                <w:b/>
                <w:sz w:val="21"/>
              </w:rPr>
            </w:pPr>
            <w:r>
              <w:rPr>
                <w:b/>
                <w:sz w:val="21"/>
              </w:rPr>
              <w:t>10.1.39</w:t>
            </w:r>
          </w:p>
        </w:tc>
        <w:tc>
          <w:tcPr>
            <w:tcW w:w="2124" w:type="dxa"/>
          </w:tcPr>
          <w:p>
            <w:pPr>
              <w:pStyle w:val="TableParagraph"/>
              <w:spacing w:line="273" w:lineRule="auto" w:before="49"/>
              <w:ind w:left="215" w:right="104"/>
              <w:rPr>
                <w:b/>
                <w:sz w:val="21"/>
              </w:rPr>
            </w:pPr>
            <w:r>
              <w:rPr>
                <w:b/>
                <w:spacing w:val="-17"/>
                <w:sz w:val="21"/>
              </w:rPr>
              <w:t>去皮质综合征</w:t>
            </w:r>
            <w:r>
              <w:rPr>
                <w:b/>
                <w:sz w:val="21"/>
              </w:rPr>
              <w:t>（植物人状态）</w:t>
            </w:r>
          </w:p>
        </w:tc>
        <w:tc>
          <w:tcPr>
            <w:tcW w:w="6557" w:type="dxa"/>
          </w:tcPr>
          <w:p>
            <w:pPr>
              <w:pStyle w:val="TableParagraph"/>
              <w:spacing w:line="273" w:lineRule="auto" w:before="49"/>
              <w:ind w:left="107" w:right="199"/>
              <w:rPr>
                <w:sz w:val="21"/>
              </w:rPr>
            </w:pPr>
            <w:r>
              <w:rPr>
                <w:sz w:val="21"/>
              </w:rPr>
              <w:t>是指脑皮质广泛性坏死而导致对自身及周边的认知能力完全丧失, </w:t>
            </w:r>
            <w:r>
              <w:rPr>
                <w:spacing w:val="-14"/>
                <w:w w:val="100"/>
                <w:sz w:val="21"/>
              </w:rPr>
              <w:t>但脑干功能依然存在。须由头颅断层扫描</w:t>
            </w:r>
            <w:r>
              <w:rPr>
                <w:spacing w:val="-1"/>
                <w:w w:val="100"/>
                <w:sz w:val="21"/>
              </w:rPr>
              <w:t>（</w:t>
            </w:r>
            <w:r>
              <w:rPr>
                <w:spacing w:val="-3"/>
                <w:w w:val="100"/>
                <w:sz w:val="21"/>
              </w:rPr>
              <w:t>C</w:t>
            </w:r>
            <w:r>
              <w:rPr>
                <w:w w:val="100"/>
                <w:sz w:val="21"/>
              </w:rPr>
              <w:t>T</w:t>
            </w:r>
            <w:r>
              <w:rPr>
                <w:spacing w:val="-106"/>
                <w:w w:val="100"/>
                <w:sz w:val="21"/>
              </w:rPr>
              <w:t>）</w:t>
            </w:r>
            <w:r>
              <w:rPr>
                <w:spacing w:val="-22"/>
                <w:w w:val="100"/>
                <w:sz w:val="21"/>
              </w:rPr>
              <w:t>，核磁共振检查</w:t>
            </w:r>
            <w:r>
              <w:rPr>
                <w:w w:val="100"/>
                <w:sz w:val="21"/>
              </w:rPr>
              <w:t>（</w:t>
            </w:r>
            <w:r>
              <w:rPr>
                <w:spacing w:val="-3"/>
                <w:w w:val="100"/>
                <w:sz w:val="21"/>
              </w:rPr>
              <w:t>M</w:t>
            </w:r>
            <w:r>
              <w:rPr>
                <w:w w:val="100"/>
                <w:sz w:val="21"/>
              </w:rPr>
              <w:t>R</w:t>
            </w:r>
            <w:r>
              <w:rPr>
                <w:spacing w:val="-1"/>
                <w:w w:val="100"/>
                <w:sz w:val="21"/>
              </w:rPr>
              <w:t>I</w:t>
            </w:r>
            <w:r>
              <w:rPr>
                <w:w w:val="100"/>
                <w:sz w:val="21"/>
              </w:rPr>
              <w:t>）</w:t>
            </w:r>
            <w:r>
              <w:rPr>
                <w:spacing w:val="-5"/>
                <w:sz w:val="21"/>
              </w:rPr>
              <w:t>或正电子发射断层扫描（PET）</w:t>
            </w:r>
            <w:r>
              <w:rPr>
                <w:spacing w:val="-6"/>
                <w:sz w:val="21"/>
              </w:rPr>
              <w:t>等影像学检查证实。上述情况必须持</w:t>
            </w:r>
            <w:r>
              <w:rPr>
                <w:spacing w:val="-14"/>
                <w:sz w:val="21"/>
              </w:rPr>
              <w:t>续至少 </w:t>
            </w:r>
            <w:r>
              <w:rPr>
                <w:sz w:val="21"/>
              </w:rPr>
              <w:t>90</w:t>
            </w:r>
            <w:r>
              <w:rPr>
                <w:spacing w:val="-8"/>
                <w:sz w:val="21"/>
              </w:rPr>
              <w:t> 天且有相应的病历记录加以证实。</w:t>
            </w:r>
          </w:p>
        </w:tc>
      </w:tr>
      <w:tr>
        <w:trPr>
          <w:trHeight w:val="3770" w:hRule="atLeast"/>
        </w:trPr>
        <w:tc>
          <w:tcPr>
            <w:tcW w:w="1156" w:type="dxa"/>
          </w:tcPr>
          <w:p>
            <w:pPr>
              <w:pStyle w:val="TableParagraph"/>
              <w:spacing w:before="60"/>
              <w:ind w:left="200"/>
              <w:rPr>
                <w:b/>
                <w:sz w:val="21"/>
              </w:rPr>
            </w:pPr>
            <w:r>
              <w:rPr>
                <w:b/>
                <w:sz w:val="21"/>
              </w:rPr>
              <w:t>10.1.40</w:t>
            </w:r>
          </w:p>
        </w:tc>
        <w:tc>
          <w:tcPr>
            <w:tcW w:w="2124" w:type="dxa"/>
          </w:tcPr>
          <w:p>
            <w:pPr>
              <w:pStyle w:val="TableParagraph"/>
              <w:spacing w:before="60"/>
              <w:ind w:left="215"/>
              <w:rPr>
                <w:b/>
                <w:sz w:val="21"/>
              </w:rPr>
            </w:pPr>
            <w:r>
              <w:rPr>
                <w:b/>
                <w:sz w:val="21"/>
              </w:rPr>
              <w:t>系统性红斑狼疮—</w:t>
            </w:r>
          </w:p>
          <w:p>
            <w:pPr>
              <w:pStyle w:val="TableParagraph"/>
              <w:spacing w:line="273" w:lineRule="auto" w:before="37"/>
              <w:ind w:left="215" w:right="205"/>
              <w:rPr>
                <w:b/>
                <w:sz w:val="21"/>
              </w:rPr>
            </w:pPr>
            <w:r>
              <w:rPr>
                <w:b/>
                <w:sz w:val="21"/>
              </w:rPr>
              <w:t>—III 型或以上狼疮性肾炎</w:t>
            </w:r>
          </w:p>
        </w:tc>
        <w:tc>
          <w:tcPr>
            <w:tcW w:w="6557" w:type="dxa"/>
          </w:tcPr>
          <w:p>
            <w:pPr>
              <w:pStyle w:val="TableParagraph"/>
              <w:spacing w:line="237" w:lineRule="auto" w:before="41"/>
              <w:ind w:left="107" w:right="196"/>
              <w:rPr>
                <w:rFonts w:ascii="黑体" w:eastAsia="黑体" w:hint="eastAsia"/>
                <w:sz w:val="21"/>
              </w:rPr>
            </w:pPr>
            <w:r>
              <w:rPr>
                <w:spacing w:val="-7"/>
                <w:sz w:val="21"/>
              </w:rPr>
              <w:t>系统性红斑狼疮是由多种因素引起，累及多系统的自身免疫性疾病。其特点是生成自身抗体对抗多种自身抗原。多见于育龄妇女。本保单所指的系统性红斑狼疮仅限于累及肾脏（经肾脏活检确认的，符</w:t>
            </w:r>
            <w:r>
              <w:rPr>
                <w:spacing w:val="-25"/>
                <w:sz w:val="21"/>
              </w:rPr>
              <w:t>合 </w:t>
            </w:r>
            <w:r>
              <w:rPr>
                <w:sz w:val="21"/>
              </w:rPr>
              <w:t>WHO</w:t>
            </w:r>
            <w:r>
              <w:rPr>
                <w:spacing w:val="-14"/>
                <w:sz w:val="21"/>
              </w:rPr>
              <w:t> 诊断标准定义 </w:t>
            </w:r>
            <w:r>
              <w:rPr>
                <w:sz w:val="21"/>
              </w:rPr>
              <w:t>III</w:t>
            </w:r>
            <w:r>
              <w:rPr>
                <w:spacing w:val="-23"/>
                <w:sz w:val="21"/>
              </w:rPr>
              <w:t> 型或 </w:t>
            </w:r>
            <w:r>
              <w:rPr>
                <w:sz w:val="21"/>
              </w:rPr>
              <w:t>III</w:t>
            </w:r>
            <w:r>
              <w:rPr>
                <w:spacing w:val="-8"/>
                <w:sz w:val="21"/>
              </w:rPr>
              <w:t> 型以上狼疮性肾炎</w:t>
            </w:r>
            <w:r>
              <w:rPr>
                <w:sz w:val="21"/>
              </w:rPr>
              <w:t>）</w:t>
            </w:r>
            <w:r>
              <w:rPr>
                <w:spacing w:val="-3"/>
                <w:sz w:val="21"/>
              </w:rPr>
              <w:t>的系统性红斑狼疮。</w:t>
            </w:r>
            <w:r>
              <w:rPr>
                <w:rFonts w:ascii="黑体" w:eastAsia="黑体" w:hint="eastAsia"/>
                <w:spacing w:val="-3"/>
                <w:sz w:val="21"/>
              </w:rPr>
              <w:t>其他类型的红斑性狼疮，如盘状狼疮、仅累及血液及关节的狼疮不在本保单保障范围內。</w:t>
            </w:r>
          </w:p>
          <w:p>
            <w:pPr>
              <w:pStyle w:val="TableParagraph"/>
              <w:spacing w:line="273" w:lineRule="exact" w:before="78"/>
              <w:ind w:left="107"/>
              <w:rPr>
                <w:sz w:val="21"/>
              </w:rPr>
            </w:pPr>
            <w:r>
              <w:rPr>
                <w:sz w:val="21"/>
              </w:rPr>
              <w:t>世界卫生组织(WHO)狼疮性肾炎分型：</w:t>
            </w:r>
          </w:p>
          <w:p>
            <w:pPr>
              <w:pStyle w:val="TableParagraph"/>
              <w:tabs>
                <w:tab w:pos="1053" w:val="left" w:leader="none"/>
              </w:tabs>
              <w:spacing w:line="272" w:lineRule="exact"/>
              <w:ind w:left="107"/>
              <w:rPr>
                <w:sz w:val="21"/>
              </w:rPr>
            </w:pPr>
            <w:r>
              <w:rPr>
                <w:sz w:val="21"/>
              </w:rPr>
              <w:t>Ⅰ型</w:t>
              <w:tab/>
              <w:t>微</w:t>
            </w:r>
            <w:r>
              <w:rPr>
                <w:spacing w:val="-3"/>
                <w:sz w:val="21"/>
              </w:rPr>
              <w:t>小</w:t>
            </w:r>
            <w:r>
              <w:rPr>
                <w:sz w:val="21"/>
              </w:rPr>
              <w:t>病</w:t>
            </w:r>
            <w:r>
              <w:rPr>
                <w:spacing w:val="-3"/>
                <w:sz w:val="21"/>
              </w:rPr>
              <w:t>变</w:t>
            </w:r>
            <w:r>
              <w:rPr>
                <w:sz w:val="21"/>
              </w:rPr>
              <w:t>型</w:t>
            </w:r>
          </w:p>
          <w:p>
            <w:pPr>
              <w:pStyle w:val="TableParagraph"/>
              <w:tabs>
                <w:tab w:pos="1053" w:val="left" w:leader="none"/>
              </w:tabs>
              <w:spacing w:line="272" w:lineRule="exact"/>
              <w:ind w:left="107"/>
              <w:rPr>
                <w:sz w:val="21"/>
              </w:rPr>
            </w:pPr>
            <w:r>
              <w:rPr>
                <w:sz w:val="21"/>
              </w:rPr>
              <w:t>Ⅱ型</w:t>
              <w:tab/>
              <w:t>系</w:t>
            </w:r>
            <w:r>
              <w:rPr>
                <w:spacing w:val="-3"/>
                <w:sz w:val="21"/>
              </w:rPr>
              <w:t>膜</w:t>
            </w:r>
            <w:r>
              <w:rPr>
                <w:sz w:val="21"/>
              </w:rPr>
              <w:t>病</w:t>
            </w:r>
            <w:r>
              <w:rPr>
                <w:spacing w:val="-3"/>
                <w:sz w:val="21"/>
              </w:rPr>
              <w:t>变</w:t>
            </w:r>
            <w:r>
              <w:rPr>
                <w:sz w:val="21"/>
              </w:rPr>
              <w:t>型</w:t>
            </w:r>
          </w:p>
          <w:p>
            <w:pPr>
              <w:pStyle w:val="TableParagraph"/>
              <w:tabs>
                <w:tab w:pos="1053" w:val="left" w:leader="none"/>
              </w:tabs>
              <w:spacing w:line="272" w:lineRule="exact"/>
              <w:ind w:left="107"/>
              <w:rPr>
                <w:sz w:val="21"/>
              </w:rPr>
            </w:pPr>
            <w:r>
              <w:rPr>
                <w:sz w:val="21"/>
              </w:rPr>
              <w:t>Ⅲ型</w:t>
              <w:tab/>
              <w:t>局</w:t>
            </w:r>
            <w:r>
              <w:rPr>
                <w:spacing w:val="-3"/>
                <w:sz w:val="21"/>
              </w:rPr>
              <w:t>灶</w:t>
            </w:r>
            <w:r>
              <w:rPr>
                <w:sz w:val="21"/>
              </w:rPr>
              <w:t>及</w:t>
            </w:r>
            <w:r>
              <w:rPr>
                <w:spacing w:val="-3"/>
                <w:sz w:val="21"/>
              </w:rPr>
              <w:t>节</w:t>
            </w:r>
            <w:r>
              <w:rPr>
                <w:sz w:val="21"/>
              </w:rPr>
              <w:t>段</w:t>
            </w:r>
            <w:r>
              <w:rPr>
                <w:spacing w:val="-3"/>
                <w:sz w:val="21"/>
              </w:rPr>
              <w:t>增生</w:t>
            </w:r>
            <w:r>
              <w:rPr>
                <w:sz w:val="21"/>
              </w:rPr>
              <w:t>型</w:t>
            </w:r>
          </w:p>
          <w:p>
            <w:pPr>
              <w:pStyle w:val="TableParagraph"/>
              <w:tabs>
                <w:tab w:pos="1053" w:val="left" w:leader="none"/>
              </w:tabs>
              <w:spacing w:line="272" w:lineRule="exact"/>
              <w:ind w:left="107"/>
              <w:rPr>
                <w:sz w:val="21"/>
              </w:rPr>
            </w:pPr>
            <w:r>
              <w:rPr>
                <w:sz w:val="21"/>
              </w:rPr>
              <w:t>Ⅳ型</w:t>
              <w:tab/>
              <w:t>弥</w:t>
            </w:r>
            <w:r>
              <w:rPr>
                <w:spacing w:val="-3"/>
                <w:sz w:val="21"/>
              </w:rPr>
              <w:t>漫</w:t>
            </w:r>
            <w:r>
              <w:rPr>
                <w:sz w:val="21"/>
              </w:rPr>
              <w:t>增</w:t>
            </w:r>
            <w:r>
              <w:rPr>
                <w:spacing w:val="-3"/>
                <w:sz w:val="21"/>
              </w:rPr>
              <w:t>生</w:t>
            </w:r>
            <w:r>
              <w:rPr>
                <w:sz w:val="21"/>
              </w:rPr>
              <w:t>型</w:t>
            </w:r>
          </w:p>
          <w:p>
            <w:pPr>
              <w:pStyle w:val="TableParagraph"/>
              <w:tabs>
                <w:tab w:pos="1053" w:val="left" w:leader="none"/>
              </w:tabs>
              <w:spacing w:line="272" w:lineRule="exact"/>
              <w:ind w:left="107"/>
              <w:rPr>
                <w:sz w:val="21"/>
              </w:rPr>
            </w:pPr>
            <w:r>
              <w:rPr>
                <w:sz w:val="21"/>
              </w:rPr>
              <w:t>Ⅴ型</w:t>
              <w:tab/>
              <w:t>膜型</w:t>
            </w:r>
          </w:p>
          <w:p>
            <w:pPr>
              <w:pStyle w:val="TableParagraph"/>
              <w:tabs>
                <w:tab w:pos="1053" w:val="left" w:leader="none"/>
              </w:tabs>
              <w:spacing w:line="274" w:lineRule="exact"/>
              <w:ind w:left="107"/>
              <w:rPr>
                <w:sz w:val="21"/>
              </w:rPr>
            </w:pPr>
            <w:r>
              <w:rPr>
                <w:sz w:val="21"/>
              </w:rPr>
              <w:t>Ⅵ型</w:t>
              <w:tab/>
              <w:t>肾</w:t>
            </w:r>
            <w:r>
              <w:rPr>
                <w:spacing w:val="-3"/>
                <w:sz w:val="21"/>
              </w:rPr>
              <w:t>小</w:t>
            </w:r>
            <w:r>
              <w:rPr>
                <w:sz w:val="21"/>
              </w:rPr>
              <w:t>球</w:t>
            </w:r>
            <w:r>
              <w:rPr>
                <w:spacing w:val="-3"/>
                <w:sz w:val="21"/>
              </w:rPr>
              <w:t>硬</w:t>
            </w:r>
            <w:r>
              <w:rPr>
                <w:sz w:val="21"/>
              </w:rPr>
              <w:t>化型</w:t>
            </w:r>
          </w:p>
        </w:tc>
      </w:tr>
      <w:tr>
        <w:trPr>
          <w:trHeight w:val="2332" w:hRule="atLeast"/>
        </w:trPr>
        <w:tc>
          <w:tcPr>
            <w:tcW w:w="1156" w:type="dxa"/>
          </w:tcPr>
          <w:p>
            <w:pPr>
              <w:pStyle w:val="TableParagraph"/>
              <w:spacing w:before="50"/>
              <w:ind w:left="200"/>
              <w:rPr>
                <w:b/>
                <w:sz w:val="21"/>
              </w:rPr>
            </w:pPr>
            <w:r>
              <w:rPr>
                <w:b/>
                <w:sz w:val="21"/>
              </w:rPr>
              <w:t>10.1.41</w:t>
            </w:r>
          </w:p>
        </w:tc>
        <w:tc>
          <w:tcPr>
            <w:tcW w:w="2124" w:type="dxa"/>
          </w:tcPr>
          <w:p>
            <w:pPr>
              <w:pStyle w:val="TableParagraph"/>
              <w:spacing w:before="50"/>
              <w:ind w:left="215"/>
              <w:rPr>
                <w:b/>
                <w:sz w:val="21"/>
              </w:rPr>
            </w:pPr>
            <w:r>
              <w:rPr>
                <w:b/>
                <w:sz w:val="21"/>
              </w:rPr>
              <w:t>严重Ⅰ型糖尿病</w:t>
            </w:r>
          </w:p>
        </w:tc>
        <w:tc>
          <w:tcPr>
            <w:tcW w:w="6557" w:type="dxa"/>
          </w:tcPr>
          <w:p>
            <w:pPr>
              <w:pStyle w:val="TableParagraph"/>
              <w:spacing w:line="237" w:lineRule="auto" w:before="31"/>
              <w:ind w:left="107" w:right="302"/>
              <w:jc w:val="both"/>
              <w:rPr>
                <w:sz w:val="21"/>
              </w:rPr>
            </w:pPr>
            <w:r>
              <w:rPr>
                <w:sz w:val="21"/>
              </w:rPr>
              <w:t>Ⅰ型糖尿病的特征为由于胰岛素分泌绝对不足引起严重胰岛素缺乏导致慢性血糖升高，需要依赖外源性胰岛素进行机体的葡萄糖代谢和维持生命。被保险人的Ⅰ型糖尿病必须明确诊断，而且有血胰岛</w:t>
            </w:r>
            <w:r>
              <w:rPr>
                <w:spacing w:val="-7"/>
                <w:sz w:val="21"/>
              </w:rPr>
              <w:t>素测定及血 </w:t>
            </w:r>
            <w:r>
              <w:rPr>
                <w:sz w:val="21"/>
              </w:rPr>
              <w:t>C</w:t>
            </w:r>
            <w:r>
              <w:rPr>
                <w:spacing w:val="-14"/>
                <w:sz w:val="21"/>
              </w:rPr>
              <w:t> 肽或尿 </w:t>
            </w:r>
            <w:r>
              <w:rPr>
                <w:sz w:val="21"/>
              </w:rPr>
              <w:t>C</w:t>
            </w:r>
            <w:r>
              <w:rPr>
                <w:spacing w:val="-8"/>
                <w:sz w:val="21"/>
              </w:rPr>
              <w:t> 肽测定结果支持诊断，并且满足下列全部条件：</w:t>
            </w:r>
          </w:p>
          <w:p>
            <w:pPr>
              <w:pStyle w:val="TableParagraph"/>
              <w:spacing w:line="272" w:lineRule="exact"/>
              <w:ind w:left="107"/>
              <w:rPr>
                <w:sz w:val="21"/>
              </w:rPr>
            </w:pPr>
            <w:r>
              <w:rPr>
                <w:sz w:val="21"/>
              </w:rPr>
              <w:t>(1)已经持续性地接受外源性胰岛素注射治疗连续 180 天以上；</w:t>
            </w:r>
          </w:p>
          <w:p>
            <w:pPr>
              <w:pStyle w:val="TableParagraph"/>
              <w:ind w:left="107" w:right="298"/>
              <w:jc w:val="both"/>
              <w:rPr>
                <w:sz w:val="21"/>
              </w:rPr>
            </w:pPr>
            <w:r>
              <w:rPr>
                <w:sz w:val="21"/>
              </w:rPr>
              <w:t>(2)因需要已经接受了下列治疗：因严重心律失常植入了心脏起搏器；或因坏疽自跖趾关节或以上切除了一趾或多趾。</w:t>
            </w:r>
          </w:p>
        </w:tc>
      </w:tr>
      <w:tr>
        <w:trPr>
          <w:trHeight w:val="1883" w:hRule="atLeast"/>
        </w:trPr>
        <w:tc>
          <w:tcPr>
            <w:tcW w:w="1156" w:type="dxa"/>
          </w:tcPr>
          <w:p>
            <w:pPr>
              <w:pStyle w:val="TableParagraph"/>
              <w:spacing w:before="39"/>
              <w:ind w:left="200"/>
              <w:rPr>
                <w:b/>
                <w:sz w:val="21"/>
              </w:rPr>
            </w:pPr>
            <w:r>
              <w:rPr>
                <w:b/>
                <w:sz w:val="21"/>
              </w:rPr>
              <w:t>10.1.42</w:t>
            </w:r>
          </w:p>
        </w:tc>
        <w:tc>
          <w:tcPr>
            <w:tcW w:w="2124" w:type="dxa"/>
          </w:tcPr>
          <w:p>
            <w:pPr>
              <w:pStyle w:val="TableParagraph"/>
              <w:spacing w:before="39"/>
              <w:ind w:left="215"/>
              <w:rPr>
                <w:b/>
                <w:sz w:val="21"/>
              </w:rPr>
            </w:pPr>
            <w:r>
              <w:rPr>
                <w:b/>
                <w:sz w:val="21"/>
              </w:rPr>
              <w:t>脊髓灰质炎</w:t>
            </w:r>
          </w:p>
        </w:tc>
        <w:tc>
          <w:tcPr>
            <w:tcW w:w="6557" w:type="dxa"/>
          </w:tcPr>
          <w:p>
            <w:pPr>
              <w:pStyle w:val="TableParagraph"/>
              <w:spacing w:line="273" w:lineRule="auto" w:before="39"/>
              <w:ind w:left="107" w:right="302"/>
              <w:jc w:val="both"/>
              <w:rPr>
                <w:rFonts w:ascii="黑体" w:eastAsia="黑体" w:hint="eastAsia"/>
                <w:sz w:val="21"/>
              </w:rPr>
            </w:pPr>
            <w:r>
              <w:rPr>
                <w:spacing w:val="-3"/>
                <w:sz w:val="21"/>
              </w:rPr>
              <w:t>脊髓灰质炎是指由于脊髓灰质炎病毒感染致脊髓运动神经元损害所导致的瘫痪性疾病，至少导致两个或以上的肢体瘫痪程度达到肌力</w:t>
            </w:r>
            <w:r>
              <w:rPr>
                <w:spacing w:val="-27"/>
                <w:sz w:val="21"/>
              </w:rPr>
              <w:t>在 </w:t>
            </w:r>
            <w:r>
              <w:rPr>
                <w:sz w:val="21"/>
              </w:rPr>
              <w:t>0-III</w:t>
            </w:r>
            <w:r>
              <w:rPr>
                <w:spacing w:val="-27"/>
                <w:sz w:val="21"/>
              </w:rPr>
              <w:t> 级，经 </w:t>
            </w:r>
            <w:r>
              <w:rPr>
                <w:sz w:val="21"/>
              </w:rPr>
              <w:t>180</w:t>
            </w:r>
            <w:r>
              <w:rPr>
                <w:spacing w:val="-12"/>
                <w:sz w:val="21"/>
              </w:rPr>
              <w:t> 天治疗后肢体肌力仍然不能恢复到 </w:t>
            </w:r>
            <w:r>
              <w:rPr>
                <w:sz w:val="21"/>
              </w:rPr>
              <w:t>IV</w:t>
            </w:r>
            <w:r>
              <w:rPr>
                <w:spacing w:val="-17"/>
                <w:sz w:val="21"/>
              </w:rPr>
              <w:t> 级。诊断</w:t>
            </w:r>
            <w:r>
              <w:rPr>
                <w:spacing w:val="-7"/>
                <w:sz w:val="21"/>
              </w:rPr>
              <w:t>需提供脊髓灰质炎病毒检查的证据</w:t>
            </w:r>
            <w:r>
              <w:rPr>
                <w:spacing w:val="-3"/>
                <w:sz w:val="21"/>
              </w:rPr>
              <w:t>（如粪便或脑脊液检查，血液中抗体检查</w:t>
            </w:r>
            <w:r>
              <w:rPr>
                <w:spacing w:val="-108"/>
                <w:sz w:val="21"/>
              </w:rPr>
              <w:t>）</w:t>
            </w:r>
            <w:r>
              <w:rPr>
                <w:spacing w:val="-9"/>
                <w:sz w:val="21"/>
              </w:rPr>
              <w:t>。肢体的定义为整个上肢或是整个下肢。</w:t>
            </w:r>
            <w:r>
              <w:rPr>
                <w:rFonts w:ascii="黑体" w:eastAsia="黑体" w:hint="eastAsia"/>
                <w:spacing w:val="-2"/>
                <w:sz w:val="21"/>
              </w:rPr>
              <w:t>未导致肢体瘫痪</w:t>
            </w:r>
          </w:p>
          <w:p>
            <w:pPr>
              <w:pStyle w:val="TableParagraph"/>
              <w:spacing w:line="263" w:lineRule="exact" w:before="7"/>
              <w:ind w:left="107"/>
              <w:jc w:val="both"/>
              <w:rPr>
                <w:rFonts w:ascii="黑体" w:eastAsia="黑体" w:hint="eastAsia"/>
                <w:sz w:val="21"/>
              </w:rPr>
            </w:pPr>
            <w:r>
              <w:rPr>
                <w:rFonts w:ascii="黑体" w:eastAsia="黑体" w:hint="eastAsia"/>
                <w:sz w:val="21"/>
              </w:rPr>
              <w:t>（</w:t>
            </w:r>
            <w:r>
              <w:rPr>
                <w:rFonts w:ascii="黑体" w:eastAsia="黑体" w:hint="eastAsia"/>
                <w:spacing w:val="-13"/>
                <w:sz w:val="21"/>
              </w:rPr>
              <w:t>肢体肌力达 </w:t>
            </w:r>
            <w:r>
              <w:rPr>
                <w:rFonts w:ascii="黑体" w:eastAsia="黑体" w:hint="eastAsia"/>
                <w:sz w:val="21"/>
              </w:rPr>
              <w:t>IV</w:t>
            </w:r>
            <w:r>
              <w:rPr>
                <w:rFonts w:ascii="黑体" w:eastAsia="黑体" w:hint="eastAsia"/>
                <w:spacing w:val="-40"/>
                <w:sz w:val="21"/>
              </w:rPr>
              <w:t> 或 </w:t>
            </w:r>
            <w:r>
              <w:rPr>
                <w:rFonts w:ascii="黑体" w:eastAsia="黑体" w:hint="eastAsia"/>
                <w:sz w:val="21"/>
              </w:rPr>
              <w:t>V</w:t>
            </w:r>
            <w:r>
              <w:rPr>
                <w:rFonts w:ascii="黑体" w:eastAsia="黑体" w:hint="eastAsia"/>
                <w:spacing w:val="-29"/>
                <w:sz w:val="21"/>
              </w:rPr>
              <w:t> 级</w:t>
            </w:r>
            <w:r>
              <w:rPr>
                <w:rFonts w:ascii="黑体" w:eastAsia="黑体" w:hint="eastAsia"/>
                <w:spacing w:val="-108"/>
                <w:sz w:val="21"/>
              </w:rPr>
              <w:t>）</w:t>
            </w:r>
            <w:r>
              <w:rPr>
                <w:rFonts w:ascii="黑体" w:eastAsia="黑体" w:hint="eastAsia"/>
                <w:spacing w:val="-3"/>
                <w:sz w:val="21"/>
              </w:rPr>
              <w:t>者及其他原因导致的瘫痪不在保障范围内。</w:t>
            </w:r>
          </w:p>
        </w:tc>
      </w:tr>
    </w:tbl>
    <w:p>
      <w:pPr>
        <w:spacing w:after="0" w:line="263" w:lineRule="exact"/>
        <w:jc w:val="both"/>
        <w:rPr>
          <w:rFonts w:ascii="黑体" w:eastAsia="黑体" w:hint="eastAsia"/>
          <w:sz w:val="21"/>
        </w:rPr>
        <w:sectPr>
          <w:pgSz w:w="11910" w:h="16840"/>
          <w:pgMar w:top="1460" w:bottom="280" w:left="980" w:right="8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2068"/>
        <w:gridCol w:w="6509"/>
      </w:tblGrid>
      <w:tr>
        <w:trPr>
          <w:trHeight w:val="1892" w:hRule="atLeast"/>
        </w:trPr>
        <w:tc>
          <w:tcPr>
            <w:tcW w:w="1156" w:type="dxa"/>
          </w:tcPr>
          <w:p>
            <w:pPr>
              <w:pStyle w:val="TableParagraph"/>
              <w:spacing w:line="203" w:lineRule="exact"/>
              <w:ind w:left="200"/>
              <w:rPr>
                <w:b/>
                <w:sz w:val="21"/>
              </w:rPr>
            </w:pPr>
            <w:r>
              <w:rPr>
                <w:b/>
                <w:sz w:val="21"/>
              </w:rPr>
              <w:t>10.1.43</w:t>
            </w:r>
          </w:p>
        </w:tc>
        <w:tc>
          <w:tcPr>
            <w:tcW w:w="2068" w:type="dxa"/>
          </w:tcPr>
          <w:p>
            <w:pPr>
              <w:pStyle w:val="TableParagraph"/>
              <w:spacing w:line="203" w:lineRule="exact"/>
              <w:ind w:left="215"/>
              <w:rPr>
                <w:b/>
                <w:sz w:val="21"/>
              </w:rPr>
            </w:pPr>
            <w:r>
              <w:rPr>
                <w:b/>
                <w:sz w:val="21"/>
              </w:rPr>
              <w:t>重症急性坏死性筋</w:t>
            </w:r>
          </w:p>
          <w:p>
            <w:pPr>
              <w:pStyle w:val="TableParagraph"/>
              <w:spacing w:before="37"/>
              <w:ind w:left="215"/>
              <w:rPr>
                <w:b/>
                <w:sz w:val="21"/>
              </w:rPr>
            </w:pPr>
            <w:r>
              <w:rPr>
                <w:b/>
                <w:sz w:val="21"/>
              </w:rPr>
              <w:t>膜炎</w:t>
            </w:r>
          </w:p>
        </w:tc>
        <w:tc>
          <w:tcPr>
            <w:tcW w:w="6509" w:type="dxa"/>
          </w:tcPr>
          <w:p>
            <w:pPr>
              <w:pStyle w:val="TableParagraph"/>
              <w:spacing w:line="203" w:lineRule="exact"/>
              <w:rPr>
                <w:sz w:val="21"/>
              </w:rPr>
            </w:pPr>
            <w:r>
              <w:rPr>
                <w:sz w:val="21"/>
              </w:rPr>
              <w:t>是一种由细菌侵入皮下组织和筋膜引起的急性坏死性软组织感染，</w:t>
            </w:r>
          </w:p>
          <w:p>
            <w:pPr>
              <w:pStyle w:val="TableParagraph"/>
              <w:spacing w:line="273" w:lineRule="auto" w:before="37"/>
              <w:ind w:right="246"/>
              <w:rPr>
                <w:sz w:val="21"/>
              </w:rPr>
            </w:pPr>
            <w:r>
              <w:rPr>
                <w:sz w:val="21"/>
              </w:rPr>
              <w:t>可伴有毒血症、败血症、中毒性休克、弥漫性血管内凝血及多器官衰竭。必须满足以下所有条件：</w:t>
            </w:r>
          </w:p>
          <w:p>
            <w:pPr>
              <w:pStyle w:val="TableParagraph"/>
              <w:spacing w:before="7"/>
              <w:rPr>
                <w:sz w:val="21"/>
              </w:rPr>
            </w:pPr>
            <w:r>
              <w:rPr>
                <w:sz w:val="21"/>
              </w:rPr>
              <w:t>(1)细菌培养和临床表现符合坏死性筋膜炎诊断标准；</w:t>
            </w:r>
          </w:p>
          <w:p>
            <w:pPr>
              <w:pStyle w:val="TableParagraph"/>
              <w:spacing w:before="36"/>
              <w:rPr>
                <w:sz w:val="21"/>
              </w:rPr>
            </w:pPr>
            <w:r>
              <w:rPr>
                <w:sz w:val="21"/>
              </w:rPr>
              <w:t>(2)病情迅速恶化，有脓毒血症表现；</w:t>
            </w:r>
          </w:p>
          <w:p>
            <w:pPr>
              <w:pStyle w:val="TableParagraph"/>
              <w:spacing w:before="36"/>
              <w:rPr>
                <w:sz w:val="21"/>
              </w:rPr>
            </w:pPr>
            <w:r>
              <w:rPr>
                <w:sz w:val="21"/>
              </w:rPr>
              <w:t>(3)</w:t>
            </w:r>
            <w:r>
              <w:rPr>
                <w:spacing w:val="-3"/>
                <w:sz w:val="21"/>
              </w:rPr>
              <w:t>受感染肢体被截肢（自腕关节或踝关节近端</w:t>
            </w:r>
            <w:r>
              <w:rPr>
                <w:spacing w:val="-106"/>
                <w:sz w:val="21"/>
              </w:rPr>
              <w:t>）</w:t>
            </w:r>
            <w:r>
              <w:rPr>
                <w:sz w:val="21"/>
              </w:rPr>
              <w:t>。</w:t>
            </w:r>
          </w:p>
        </w:tc>
      </w:tr>
      <w:tr>
        <w:trPr>
          <w:trHeight w:val="1155" w:hRule="atLeast"/>
        </w:trPr>
        <w:tc>
          <w:tcPr>
            <w:tcW w:w="1156" w:type="dxa"/>
          </w:tcPr>
          <w:p>
            <w:pPr>
              <w:pStyle w:val="TableParagraph"/>
              <w:spacing w:before="49"/>
              <w:ind w:left="200"/>
              <w:rPr>
                <w:b/>
                <w:sz w:val="21"/>
              </w:rPr>
            </w:pPr>
            <w:r>
              <w:rPr>
                <w:b/>
                <w:sz w:val="21"/>
              </w:rPr>
              <w:t>10.1.44</w:t>
            </w:r>
          </w:p>
        </w:tc>
        <w:tc>
          <w:tcPr>
            <w:tcW w:w="2068" w:type="dxa"/>
          </w:tcPr>
          <w:p>
            <w:pPr>
              <w:pStyle w:val="TableParagraph"/>
              <w:spacing w:line="273" w:lineRule="auto" w:before="49"/>
              <w:ind w:left="215" w:right="161"/>
              <w:rPr>
                <w:b/>
                <w:sz w:val="21"/>
              </w:rPr>
            </w:pPr>
            <w:r>
              <w:rPr>
                <w:b/>
                <w:sz w:val="21"/>
              </w:rPr>
              <w:t>急性坏死胰腺炎开腹手术</w:t>
            </w:r>
          </w:p>
        </w:tc>
        <w:tc>
          <w:tcPr>
            <w:tcW w:w="6509" w:type="dxa"/>
          </w:tcPr>
          <w:p>
            <w:pPr>
              <w:pStyle w:val="TableParagraph"/>
              <w:spacing w:line="273" w:lineRule="auto" w:before="49"/>
              <w:ind w:right="246"/>
              <w:rPr>
                <w:sz w:val="21"/>
              </w:rPr>
            </w:pPr>
            <w:r>
              <w:rPr>
                <w:sz w:val="21"/>
              </w:rPr>
              <w:t>指为治疗急性坏死性胰腺炎，实际实施了开腹进行的坏死组织清除术、病灶切除术或胰腺部分切除术。</w:t>
            </w:r>
          </w:p>
          <w:p>
            <w:pPr>
              <w:pStyle w:val="TableParagraph"/>
              <w:spacing w:before="84"/>
              <w:rPr>
                <w:rFonts w:ascii="黑体" w:eastAsia="黑体" w:hint="eastAsia"/>
                <w:sz w:val="21"/>
              </w:rPr>
            </w:pPr>
            <w:r>
              <w:rPr>
                <w:rFonts w:ascii="黑体" w:eastAsia="黑体" w:hint="eastAsia"/>
                <w:sz w:val="21"/>
              </w:rPr>
              <w:t>因酒精作用所致的急性胰腺炎不在保障范围内。</w:t>
            </w:r>
          </w:p>
        </w:tc>
      </w:tr>
      <w:tr>
        <w:trPr>
          <w:trHeight w:val="2327" w:hRule="atLeast"/>
        </w:trPr>
        <w:tc>
          <w:tcPr>
            <w:tcW w:w="1156" w:type="dxa"/>
          </w:tcPr>
          <w:p>
            <w:pPr>
              <w:pStyle w:val="TableParagraph"/>
              <w:spacing w:before="50"/>
              <w:ind w:left="200"/>
              <w:rPr>
                <w:b/>
                <w:sz w:val="21"/>
              </w:rPr>
            </w:pPr>
            <w:r>
              <w:rPr>
                <w:b/>
                <w:sz w:val="21"/>
              </w:rPr>
              <w:t>10.1.45</w:t>
            </w:r>
          </w:p>
        </w:tc>
        <w:tc>
          <w:tcPr>
            <w:tcW w:w="2068" w:type="dxa"/>
          </w:tcPr>
          <w:p>
            <w:pPr>
              <w:pStyle w:val="TableParagraph"/>
              <w:spacing w:before="50"/>
              <w:ind w:left="215"/>
              <w:rPr>
                <w:b/>
                <w:sz w:val="21"/>
              </w:rPr>
            </w:pPr>
            <w:r>
              <w:rPr>
                <w:b/>
                <w:sz w:val="21"/>
              </w:rPr>
              <w:t>严重肌营养不良症</w:t>
            </w:r>
          </w:p>
        </w:tc>
        <w:tc>
          <w:tcPr>
            <w:tcW w:w="6509" w:type="dxa"/>
          </w:tcPr>
          <w:p>
            <w:pPr>
              <w:pStyle w:val="TableParagraph"/>
              <w:spacing w:line="273" w:lineRule="auto" w:before="50"/>
              <w:ind w:right="246"/>
              <w:rPr>
                <w:sz w:val="21"/>
              </w:rPr>
            </w:pPr>
            <w:r>
              <w:rPr>
                <w:sz w:val="21"/>
              </w:rPr>
              <w:t>指一组遗传性肌肉变性病变，临床特征为与神经系统无关的骨骼肌肉对称地进行性无力和萎缩。其诊断需满足下列全部条件：</w:t>
            </w:r>
          </w:p>
          <w:p>
            <w:pPr>
              <w:pStyle w:val="TableParagraph"/>
              <w:spacing w:before="7"/>
              <w:rPr>
                <w:sz w:val="21"/>
              </w:rPr>
            </w:pPr>
            <w:r>
              <w:rPr>
                <w:sz w:val="21"/>
              </w:rPr>
              <w:t>(1)肌电图显示典型肌营养不良症的阳性改变；</w:t>
            </w:r>
          </w:p>
          <w:p>
            <w:pPr>
              <w:pStyle w:val="TableParagraph"/>
              <w:spacing w:line="273" w:lineRule="auto" w:before="36"/>
              <w:ind w:right="248"/>
              <w:rPr>
                <w:sz w:val="21"/>
              </w:rPr>
            </w:pPr>
            <w:r>
              <w:rPr>
                <w:sz w:val="21"/>
              </w:rPr>
              <w:t>(2)肌肉活检的病理学诊断符合肌营养不良症的肌肉细胞变性\坏死等阳性改变；</w:t>
            </w:r>
          </w:p>
          <w:p>
            <w:pPr>
              <w:pStyle w:val="TableParagraph"/>
              <w:spacing w:line="273" w:lineRule="auto" w:before="7"/>
              <w:ind w:right="354"/>
              <w:rPr>
                <w:sz w:val="21"/>
              </w:rPr>
            </w:pPr>
            <w:r>
              <w:rPr>
                <w:sz w:val="21"/>
              </w:rPr>
              <w:t>(3)已导致被保险人持续超过三个月无法独立完成六项基本日常生活活动中的三项或三项以上。</w:t>
            </w:r>
          </w:p>
        </w:tc>
      </w:tr>
      <w:tr>
        <w:trPr>
          <w:trHeight w:val="1154" w:hRule="atLeast"/>
        </w:trPr>
        <w:tc>
          <w:tcPr>
            <w:tcW w:w="1156" w:type="dxa"/>
          </w:tcPr>
          <w:p>
            <w:pPr>
              <w:pStyle w:val="TableParagraph"/>
              <w:spacing w:before="49"/>
              <w:ind w:left="200"/>
              <w:rPr>
                <w:b/>
                <w:sz w:val="21"/>
              </w:rPr>
            </w:pPr>
            <w:r>
              <w:rPr>
                <w:b/>
                <w:sz w:val="21"/>
              </w:rPr>
              <w:t>10.1.46</w:t>
            </w:r>
          </w:p>
        </w:tc>
        <w:tc>
          <w:tcPr>
            <w:tcW w:w="2068" w:type="dxa"/>
          </w:tcPr>
          <w:p>
            <w:pPr>
              <w:pStyle w:val="TableParagraph"/>
              <w:spacing w:before="49"/>
              <w:ind w:left="215"/>
              <w:rPr>
                <w:b/>
                <w:sz w:val="21"/>
              </w:rPr>
            </w:pPr>
            <w:r>
              <w:rPr>
                <w:b/>
                <w:sz w:val="21"/>
              </w:rPr>
              <w:t>颅脑手术</w:t>
            </w:r>
          </w:p>
        </w:tc>
        <w:tc>
          <w:tcPr>
            <w:tcW w:w="6509" w:type="dxa"/>
          </w:tcPr>
          <w:p>
            <w:pPr>
              <w:pStyle w:val="TableParagraph"/>
              <w:spacing w:line="273" w:lineRule="auto" w:before="49"/>
              <w:ind w:right="246"/>
              <w:rPr>
                <w:rFonts w:ascii="黑体" w:eastAsia="黑体" w:hint="eastAsia"/>
                <w:sz w:val="21"/>
              </w:rPr>
            </w:pPr>
            <w:r>
              <w:rPr>
                <w:spacing w:val="-3"/>
                <w:sz w:val="21"/>
              </w:rPr>
              <w:t>被保险人确已实施全麻下的开颅手术</w:t>
            </w:r>
            <w:r>
              <w:rPr>
                <w:rFonts w:ascii="黑体" w:eastAsia="黑体" w:hint="eastAsia"/>
                <w:sz w:val="21"/>
              </w:rPr>
              <w:t>（</w:t>
            </w:r>
            <w:r>
              <w:rPr>
                <w:rFonts w:ascii="黑体" w:eastAsia="黑体" w:hint="eastAsia"/>
                <w:spacing w:val="-3"/>
                <w:sz w:val="21"/>
              </w:rPr>
              <w:t>不包括颅骨钻孔手术和经鼻蝶窦入颅手术</w:t>
            </w:r>
            <w:r>
              <w:rPr>
                <w:rFonts w:ascii="黑体" w:eastAsia="黑体" w:hint="eastAsia"/>
                <w:spacing w:val="-108"/>
                <w:sz w:val="21"/>
              </w:rPr>
              <w:t>）</w:t>
            </w:r>
            <w:r>
              <w:rPr>
                <w:rFonts w:ascii="黑体" w:eastAsia="黑体" w:hint="eastAsia"/>
                <w:spacing w:val="-3"/>
                <w:sz w:val="21"/>
              </w:rPr>
              <w:t>。因外伤而实施的脑外科手术不在保障范围之内。</w:t>
            </w:r>
          </w:p>
          <w:p>
            <w:pPr>
              <w:pStyle w:val="TableParagraph"/>
              <w:spacing w:before="84"/>
              <w:rPr>
                <w:rFonts w:ascii="黑体" w:eastAsia="黑体" w:hint="eastAsia"/>
                <w:sz w:val="21"/>
              </w:rPr>
            </w:pPr>
            <w:r>
              <w:rPr>
                <w:rFonts w:ascii="黑体" w:eastAsia="黑体" w:hint="eastAsia"/>
                <w:sz w:val="21"/>
              </w:rPr>
              <w:t>理赔时必须提供由神经外科医Th出具的诊断书及手术报告。</w:t>
            </w:r>
          </w:p>
        </w:tc>
      </w:tr>
      <w:tr>
        <w:trPr>
          <w:trHeight w:val="2405" w:hRule="atLeast"/>
        </w:trPr>
        <w:tc>
          <w:tcPr>
            <w:tcW w:w="1156" w:type="dxa"/>
          </w:tcPr>
          <w:p>
            <w:pPr>
              <w:pStyle w:val="TableParagraph"/>
              <w:spacing w:before="49"/>
              <w:ind w:left="200"/>
              <w:rPr>
                <w:b/>
                <w:sz w:val="21"/>
              </w:rPr>
            </w:pPr>
            <w:r>
              <w:rPr>
                <w:b/>
                <w:sz w:val="21"/>
              </w:rPr>
              <w:t>10.1.47</w:t>
            </w:r>
          </w:p>
        </w:tc>
        <w:tc>
          <w:tcPr>
            <w:tcW w:w="2068" w:type="dxa"/>
          </w:tcPr>
          <w:p>
            <w:pPr>
              <w:pStyle w:val="TableParagraph"/>
              <w:spacing w:line="273" w:lineRule="auto" w:before="49"/>
              <w:ind w:left="215" w:right="161"/>
              <w:rPr>
                <w:b/>
                <w:sz w:val="21"/>
              </w:rPr>
            </w:pPr>
            <w:r>
              <w:rPr>
                <w:b/>
                <w:sz w:val="21"/>
              </w:rPr>
              <w:t>非阿尔茨海默病所导致严重痴呆</w:t>
            </w:r>
          </w:p>
        </w:tc>
        <w:tc>
          <w:tcPr>
            <w:tcW w:w="6509" w:type="dxa"/>
          </w:tcPr>
          <w:p>
            <w:pPr>
              <w:pStyle w:val="TableParagraph"/>
              <w:spacing w:line="273" w:lineRule="auto" w:before="49"/>
              <w:ind w:right="246"/>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TableParagraph"/>
              <w:spacing w:before="86"/>
              <w:jc w:val="both"/>
              <w:rPr>
                <w:rFonts w:ascii="黑体" w:eastAsia="黑体" w:hint="eastAsia"/>
                <w:sz w:val="21"/>
              </w:rPr>
            </w:pPr>
            <w:r>
              <w:rPr>
                <w:rFonts w:ascii="黑体" w:eastAsia="黑体" w:hint="eastAsia"/>
                <w:sz w:val="21"/>
              </w:rPr>
              <w:t>神经官能症和精神疾病不在保障范围内。</w:t>
            </w:r>
          </w:p>
        </w:tc>
      </w:tr>
      <w:tr>
        <w:trPr>
          <w:trHeight w:val="1390" w:hRule="atLeast"/>
        </w:trPr>
        <w:tc>
          <w:tcPr>
            <w:tcW w:w="1156" w:type="dxa"/>
          </w:tcPr>
          <w:p>
            <w:pPr>
              <w:pStyle w:val="TableParagraph"/>
              <w:spacing w:before="49"/>
              <w:ind w:left="200"/>
              <w:rPr>
                <w:b/>
                <w:sz w:val="21"/>
              </w:rPr>
            </w:pPr>
            <w:r>
              <w:rPr>
                <w:b/>
                <w:sz w:val="21"/>
              </w:rPr>
              <w:t>10.1.48</w:t>
            </w:r>
          </w:p>
        </w:tc>
        <w:tc>
          <w:tcPr>
            <w:tcW w:w="2068" w:type="dxa"/>
          </w:tcPr>
          <w:p>
            <w:pPr>
              <w:pStyle w:val="TableParagraph"/>
              <w:spacing w:before="49"/>
              <w:ind w:left="215"/>
              <w:rPr>
                <w:b/>
                <w:sz w:val="21"/>
              </w:rPr>
            </w:pPr>
            <w:r>
              <w:rPr>
                <w:b/>
                <w:sz w:val="21"/>
              </w:rPr>
              <w:t>丝虫病所致象皮肿</w:t>
            </w:r>
          </w:p>
        </w:tc>
        <w:tc>
          <w:tcPr>
            <w:tcW w:w="6509" w:type="dxa"/>
          </w:tcPr>
          <w:p>
            <w:pPr>
              <w:pStyle w:val="TableParagraph"/>
              <w:spacing w:line="273" w:lineRule="auto" w:before="49"/>
              <w:ind w:right="246"/>
              <w:rPr>
                <w:sz w:val="21"/>
              </w:rPr>
            </w:pPr>
            <w:r>
              <w:rPr>
                <w:spacing w:val="-3"/>
                <w:sz w:val="21"/>
              </w:rPr>
              <w:t>指因丝虫感染导致淋巴阻塞性出现严重淋巴水肿，达到国际淋巴学</w:t>
            </w:r>
            <w:r>
              <w:rPr>
                <w:spacing w:val="-8"/>
                <w:sz w:val="21"/>
              </w:rPr>
              <w:t>会淋巴肿分期第 </w:t>
            </w:r>
            <w:r>
              <w:rPr>
                <w:sz w:val="21"/>
              </w:rPr>
              <w:t>III</w:t>
            </w:r>
            <w:r>
              <w:rPr>
                <w:spacing w:val="-8"/>
                <w:sz w:val="21"/>
              </w:rPr>
              <w:t> 期，临床表现为肢体象皮肿，患肢较键肢增粗</w:t>
            </w:r>
          </w:p>
          <w:p>
            <w:pPr>
              <w:pStyle w:val="TableParagraph"/>
              <w:spacing w:line="273" w:lineRule="auto" w:before="7"/>
              <w:ind w:right="198"/>
              <w:rPr>
                <w:sz w:val="21"/>
              </w:rPr>
            </w:pPr>
            <w:r>
              <w:rPr>
                <w:sz w:val="21"/>
              </w:rPr>
              <w:t>30%</w:t>
            </w:r>
            <w:r>
              <w:rPr>
                <w:spacing w:val="-9"/>
                <w:sz w:val="21"/>
              </w:rPr>
              <w:t>以上，日常生活不能自理。此病症须经专科医生根据临床表现和</w:t>
            </w:r>
            <w:r>
              <w:rPr>
                <w:spacing w:val="-5"/>
                <w:sz w:val="21"/>
              </w:rPr>
              <w:t>微丝蚴的化验结果确诊。</w:t>
            </w:r>
          </w:p>
        </w:tc>
      </w:tr>
      <w:tr>
        <w:trPr>
          <w:trHeight w:val="1156" w:hRule="atLeast"/>
        </w:trPr>
        <w:tc>
          <w:tcPr>
            <w:tcW w:w="1156" w:type="dxa"/>
          </w:tcPr>
          <w:p>
            <w:pPr>
              <w:pStyle w:val="TableParagraph"/>
              <w:spacing w:before="49"/>
              <w:ind w:left="200"/>
              <w:rPr>
                <w:b/>
                <w:sz w:val="21"/>
              </w:rPr>
            </w:pPr>
            <w:r>
              <w:rPr>
                <w:b/>
                <w:sz w:val="21"/>
              </w:rPr>
              <w:t>10.1.49</w:t>
            </w:r>
          </w:p>
        </w:tc>
        <w:tc>
          <w:tcPr>
            <w:tcW w:w="2068" w:type="dxa"/>
          </w:tcPr>
          <w:p>
            <w:pPr>
              <w:pStyle w:val="TableParagraph"/>
              <w:spacing w:before="49"/>
              <w:ind w:left="215"/>
              <w:rPr>
                <w:b/>
                <w:sz w:val="21"/>
              </w:rPr>
            </w:pPr>
            <w:r>
              <w:rPr>
                <w:b/>
                <w:sz w:val="21"/>
              </w:rPr>
              <w:t>胰腺移植</w:t>
            </w:r>
          </w:p>
        </w:tc>
        <w:tc>
          <w:tcPr>
            <w:tcW w:w="6509" w:type="dxa"/>
          </w:tcPr>
          <w:p>
            <w:pPr>
              <w:pStyle w:val="TableParagraph"/>
              <w:spacing w:line="273" w:lineRule="auto" w:before="49"/>
              <w:ind w:right="246"/>
              <w:rPr>
                <w:sz w:val="21"/>
              </w:rPr>
            </w:pPr>
            <w:r>
              <w:rPr>
                <w:sz w:val="21"/>
              </w:rPr>
              <w:t>指因胰腺功能衰竭，已经实施了在全身麻醉下进行的胰腺的异体器官移植手术。</w:t>
            </w:r>
          </w:p>
          <w:p>
            <w:pPr>
              <w:pStyle w:val="TableParagraph"/>
              <w:spacing w:before="87"/>
              <w:rPr>
                <w:rFonts w:ascii="黑体" w:eastAsia="黑体" w:hint="eastAsia"/>
                <w:sz w:val="21"/>
              </w:rPr>
            </w:pPr>
            <w:r>
              <w:rPr>
                <w:rFonts w:ascii="黑体" w:eastAsia="黑体" w:hint="eastAsia"/>
                <w:sz w:val="21"/>
              </w:rPr>
              <w:t>单纯胰岛移植、部分胰腺组织或细胞的移植不在本保障范围之内。</w:t>
            </w:r>
          </w:p>
        </w:tc>
      </w:tr>
      <w:tr>
        <w:trPr>
          <w:trHeight w:val="1389" w:hRule="atLeast"/>
        </w:trPr>
        <w:tc>
          <w:tcPr>
            <w:tcW w:w="1156" w:type="dxa"/>
          </w:tcPr>
          <w:p>
            <w:pPr>
              <w:pStyle w:val="TableParagraph"/>
              <w:spacing w:before="49"/>
              <w:ind w:left="200"/>
              <w:rPr>
                <w:b/>
                <w:sz w:val="21"/>
              </w:rPr>
            </w:pPr>
            <w:r>
              <w:rPr>
                <w:b/>
                <w:sz w:val="21"/>
              </w:rPr>
              <w:t>10.1.50</w:t>
            </w:r>
          </w:p>
        </w:tc>
        <w:tc>
          <w:tcPr>
            <w:tcW w:w="2068" w:type="dxa"/>
          </w:tcPr>
          <w:p>
            <w:pPr>
              <w:pStyle w:val="TableParagraph"/>
              <w:spacing w:before="49"/>
              <w:ind w:left="215"/>
              <w:rPr>
                <w:b/>
                <w:sz w:val="21"/>
              </w:rPr>
            </w:pPr>
            <w:r>
              <w:rPr>
                <w:b/>
                <w:sz w:val="21"/>
              </w:rPr>
              <w:t>肾髓质囊性病</w:t>
            </w:r>
          </w:p>
        </w:tc>
        <w:tc>
          <w:tcPr>
            <w:tcW w:w="6509" w:type="dxa"/>
          </w:tcPr>
          <w:p>
            <w:pPr>
              <w:pStyle w:val="TableParagraph"/>
              <w:spacing w:before="49"/>
              <w:rPr>
                <w:sz w:val="21"/>
              </w:rPr>
            </w:pPr>
            <w:r>
              <w:rPr>
                <w:sz w:val="21"/>
              </w:rPr>
              <w:t>肾髓质囊性病的诊断须同时符合下列要求：</w:t>
            </w:r>
          </w:p>
          <w:p>
            <w:pPr>
              <w:pStyle w:val="TableParagraph"/>
              <w:spacing w:before="37"/>
              <w:rPr>
                <w:sz w:val="21"/>
              </w:rPr>
            </w:pPr>
            <w:r>
              <w:rPr>
                <w:sz w:val="21"/>
              </w:rPr>
              <w:t>(1)肾髓质有囊肿、肾小管萎缩及间质纤维化等病理改变；</w:t>
            </w:r>
          </w:p>
          <w:p>
            <w:pPr>
              <w:pStyle w:val="TableParagraph"/>
              <w:spacing w:before="37"/>
              <w:rPr>
                <w:sz w:val="21"/>
              </w:rPr>
            </w:pPr>
            <w:r>
              <w:rPr>
                <w:sz w:val="21"/>
              </w:rPr>
              <w:t>(2)肾功能衰竭；</w:t>
            </w:r>
          </w:p>
          <w:p>
            <w:pPr>
              <w:pStyle w:val="TableParagraph"/>
              <w:spacing w:before="37"/>
              <w:rPr>
                <w:sz w:val="21"/>
              </w:rPr>
            </w:pPr>
            <w:r>
              <w:rPr>
                <w:sz w:val="21"/>
              </w:rPr>
              <w:t>(3)诊断须由肾组织活检确定。</w:t>
            </w:r>
          </w:p>
        </w:tc>
      </w:tr>
      <w:tr>
        <w:trPr>
          <w:trHeight w:val="956" w:hRule="atLeast"/>
        </w:trPr>
        <w:tc>
          <w:tcPr>
            <w:tcW w:w="1156" w:type="dxa"/>
          </w:tcPr>
          <w:p>
            <w:pPr>
              <w:pStyle w:val="TableParagraph"/>
              <w:spacing w:before="49"/>
              <w:ind w:left="200"/>
              <w:rPr>
                <w:b/>
                <w:sz w:val="21"/>
              </w:rPr>
            </w:pPr>
            <w:r>
              <w:rPr>
                <w:b/>
                <w:sz w:val="21"/>
              </w:rPr>
              <w:t>10.1.51</w:t>
            </w:r>
          </w:p>
        </w:tc>
        <w:tc>
          <w:tcPr>
            <w:tcW w:w="2068" w:type="dxa"/>
          </w:tcPr>
          <w:p>
            <w:pPr>
              <w:pStyle w:val="TableParagraph"/>
              <w:spacing w:before="49"/>
              <w:ind w:left="215"/>
              <w:rPr>
                <w:b/>
                <w:sz w:val="21"/>
              </w:rPr>
            </w:pPr>
            <w:r>
              <w:rPr>
                <w:b/>
                <w:sz w:val="21"/>
              </w:rPr>
              <w:t>肺源性心脏病</w:t>
            </w:r>
          </w:p>
        </w:tc>
        <w:tc>
          <w:tcPr>
            <w:tcW w:w="6509" w:type="dxa"/>
          </w:tcPr>
          <w:p>
            <w:pPr>
              <w:pStyle w:val="TableParagraph"/>
              <w:spacing w:line="312" w:lineRule="exact" w:before="45"/>
              <w:ind w:right="198"/>
              <w:jc w:val="both"/>
              <w:rPr>
                <w:sz w:val="21"/>
              </w:rPr>
            </w:pPr>
            <w:r>
              <w:rPr>
                <w:spacing w:val="-3"/>
                <w:sz w:val="21"/>
              </w:rPr>
              <w:t>指被保人因慢性肺部疾病导致慢性心功能损害造成永久不可逆性的心功能衰竭。心功能衰竭程度达到纽约心脏病学会的心功能分级标</w:t>
            </w:r>
            <w:r>
              <w:rPr>
                <w:spacing w:val="-9"/>
                <w:sz w:val="21"/>
              </w:rPr>
              <w:t>准之心功能 </w:t>
            </w:r>
            <w:r>
              <w:rPr>
                <w:sz w:val="21"/>
              </w:rPr>
              <w:t>IV</w:t>
            </w:r>
            <w:r>
              <w:rPr>
                <w:spacing w:val="-11"/>
                <w:sz w:val="21"/>
              </w:rPr>
              <w:t> 级。被保险人永久不可逆性的体力活动能力受限，不</w:t>
            </w:r>
          </w:p>
        </w:tc>
      </w:tr>
    </w:tbl>
    <w:p>
      <w:pPr>
        <w:spacing w:after="0" w:line="312" w:lineRule="exact"/>
        <w:jc w:val="both"/>
        <w:rPr>
          <w:sz w:val="21"/>
        </w:rPr>
        <w:sectPr>
          <w:pgSz w:w="11910" w:h="16840"/>
          <w:pgMar w:top="1460" w:bottom="280" w:left="980" w:right="9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2123"/>
        <w:gridCol w:w="6506"/>
      </w:tblGrid>
      <w:tr>
        <w:trPr>
          <w:trHeight w:val="332" w:hRule="atLeast"/>
        </w:trPr>
        <w:tc>
          <w:tcPr>
            <w:tcW w:w="1156" w:type="dxa"/>
          </w:tcPr>
          <w:p>
            <w:pPr>
              <w:pStyle w:val="TableParagraph"/>
              <w:ind w:left="0"/>
              <w:rPr>
                <w:rFonts w:ascii="Times New Roman"/>
                <w:sz w:val="20"/>
              </w:rPr>
            </w:pPr>
          </w:p>
        </w:tc>
        <w:tc>
          <w:tcPr>
            <w:tcW w:w="2123" w:type="dxa"/>
          </w:tcPr>
          <w:p>
            <w:pPr>
              <w:pStyle w:val="TableParagraph"/>
              <w:ind w:left="0"/>
              <w:rPr>
                <w:rFonts w:ascii="Times New Roman"/>
                <w:sz w:val="20"/>
              </w:rPr>
            </w:pPr>
          </w:p>
        </w:tc>
        <w:tc>
          <w:tcPr>
            <w:tcW w:w="6506" w:type="dxa"/>
          </w:tcPr>
          <w:p>
            <w:pPr>
              <w:pStyle w:val="TableParagraph"/>
              <w:spacing w:line="203" w:lineRule="exact"/>
              <w:ind w:left="108"/>
              <w:rPr>
                <w:sz w:val="21"/>
              </w:rPr>
            </w:pPr>
            <w:r>
              <w:rPr>
                <w:sz w:val="21"/>
              </w:rPr>
              <w:t>能从事任何体力活动。</w:t>
            </w:r>
          </w:p>
        </w:tc>
      </w:tr>
      <w:tr>
        <w:trPr>
          <w:trHeight w:val="2013" w:hRule="atLeast"/>
        </w:trPr>
        <w:tc>
          <w:tcPr>
            <w:tcW w:w="1156" w:type="dxa"/>
          </w:tcPr>
          <w:p>
            <w:pPr>
              <w:pStyle w:val="TableParagraph"/>
              <w:spacing w:before="49"/>
              <w:ind w:left="200"/>
              <w:rPr>
                <w:b/>
                <w:sz w:val="21"/>
              </w:rPr>
            </w:pPr>
            <w:r>
              <w:rPr>
                <w:b/>
                <w:sz w:val="21"/>
              </w:rPr>
              <w:t>10.1.52</w:t>
            </w:r>
          </w:p>
        </w:tc>
        <w:tc>
          <w:tcPr>
            <w:tcW w:w="2123" w:type="dxa"/>
          </w:tcPr>
          <w:p>
            <w:pPr>
              <w:pStyle w:val="TableParagraph"/>
              <w:spacing w:line="273" w:lineRule="auto" w:before="49"/>
              <w:ind w:left="215" w:right="106"/>
              <w:rPr>
                <w:b/>
                <w:sz w:val="21"/>
              </w:rPr>
            </w:pPr>
            <w:r>
              <w:rPr>
                <w:b/>
                <w:sz w:val="21"/>
              </w:rPr>
              <w:t>进行性核上性麻痹(Steele-Rchardson</w:t>
            </w:r>
          </w:p>
          <w:p>
            <w:pPr>
              <w:pStyle w:val="TableParagraph"/>
              <w:spacing w:line="273" w:lineRule="auto" w:before="7"/>
              <w:ind w:left="215" w:right="201"/>
              <w:rPr>
                <w:b/>
                <w:sz w:val="21"/>
              </w:rPr>
            </w:pPr>
            <w:r>
              <w:rPr>
                <w:b/>
                <w:sz w:val="21"/>
              </w:rPr>
              <w:t>—Olszewski 综合征)</w:t>
            </w:r>
          </w:p>
        </w:tc>
        <w:tc>
          <w:tcPr>
            <w:tcW w:w="6506" w:type="dxa"/>
          </w:tcPr>
          <w:p>
            <w:pPr>
              <w:pStyle w:val="TableParagraph"/>
              <w:spacing w:line="273" w:lineRule="auto" w:before="49"/>
              <w:ind w:left="108" w:right="252"/>
              <w:rPr>
                <w:sz w:val="21"/>
              </w:rPr>
            </w:pPr>
            <w:r>
              <w:rPr>
                <w:spacing w:val="-7"/>
                <w:sz w:val="21"/>
              </w:rPr>
              <w:t>进行性核上性麻痹（PSP）</w:t>
            </w:r>
            <w:r>
              <w:rPr>
                <w:spacing w:val="-16"/>
                <w:sz w:val="21"/>
              </w:rPr>
              <w:t>又称 </w:t>
            </w:r>
            <w:r>
              <w:rPr>
                <w:sz w:val="21"/>
              </w:rPr>
              <w:t>Steele-Rchardson—Olszewski</w:t>
            </w:r>
            <w:r>
              <w:rPr>
                <w:spacing w:val="-17"/>
                <w:sz w:val="21"/>
              </w:rPr>
              <w:t> 综合</w:t>
            </w:r>
            <w:r>
              <w:rPr>
                <w:spacing w:val="-7"/>
                <w:sz w:val="21"/>
              </w:rPr>
              <w:t>征，是一种少见的神经系统变性疾病，以假球麻痹、垂直性核上性</w:t>
            </w:r>
            <w:r>
              <w:rPr>
                <w:spacing w:val="-5"/>
                <w:sz w:val="21"/>
              </w:rPr>
              <w:t>眼肌麻痹、锥体外系肌僵直、步态共济失调和轻度痴呆为主要临床特征。</w:t>
            </w:r>
            <w:r>
              <w:rPr>
                <w:sz w:val="21"/>
              </w:rPr>
              <w:t>PSP</w:t>
            </w:r>
            <w:r>
              <w:rPr>
                <w:spacing w:val="-8"/>
                <w:sz w:val="21"/>
              </w:rPr>
              <w:t> 必须由三级甲等医院的神经内科专科医生确诊，并且被</w:t>
            </w:r>
            <w:r>
              <w:rPr>
                <w:spacing w:val="-5"/>
                <w:sz w:val="21"/>
              </w:rPr>
              <w:t>保险人自主生活能力完全丧失，无法独立完成六项基本日常生活活</w:t>
            </w:r>
            <w:r>
              <w:rPr>
                <w:spacing w:val="-4"/>
                <w:sz w:val="21"/>
              </w:rPr>
              <w:t>动中的三项或三项以上。</w:t>
            </w:r>
          </w:p>
        </w:tc>
      </w:tr>
      <w:tr>
        <w:trPr>
          <w:trHeight w:val="2326" w:hRule="atLeast"/>
        </w:trPr>
        <w:tc>
          <w:tcPr>
            <w:tcW w:w="1156" w:type="dxa"/>
          </w:tcPr>
          <w:p>
            <w:pPr>
              <w:pStyle w:val="TableParagraph"/>
              <w:spacing w:before="49"/>
              <w:ind w:left="200"/>
              <w:rPr>
                <w:b/>
                <w:sz w:val="21"/>
              </w:rPr>
            </w:pPr>
            <w:r>
              <w:rPr>
                <w:b/>
                <w:sz w:val="21"/>
              </w:rPr>
              <w:t>10.1.53</w:t>
            </w:r>
          </w:p>
        </w:tc>
        <w:tc>
          <w:tcPr>
            <w:tcW w:w="2123" w:type="dxa"/>
          </w:tcPr>
          <w:p>
            <w:pPr>
              <w:pStyle w:val="TableParagraph"/>
              <w:spacing w:before="49"/>
              <w:ind w:left="215"/>
              <w:rPr>
                <w:b/>
                <w:sz w:val="21"/>
              </w:rPr>
            </w:pPr>
            <w:r>
              <w:rPr>
                <w:b/>
                <w:sz w:val="21"/>
              </w:rPr>
              <w:t>肝豆状核变性</w:t>
            </w:r>
          </w:p>
        </w:tc>
        <w:tc>
          <w:tcPr>
            <w:tcW w:w="6506" w:type="dxa"/>
          </w:tcPr>
          <w:p>
            <w:pPr>
              <w:pStyle w:val="TableParagraph"/>
              <w:spacing w:line="273" w:lineRule="auto" w:before="49"/>
              <w:ind w:left="108" w:right="298"/>
              <w:jc w:val="both"/>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spacing w:before="8"/>
              <w:ind w:left="108"/>
              <w:jc w:val="both"/>
              <w:rPr>
                <w:sz w:val="21"/>
              </w:rPr>
            </w:pPr>
            <w:r>
              <w:rPr>
                <w:sz w:val="21"/>
              </w:rPr>
              <w:t>(1)典型症状；</w:t>
            </w:r>
          </w:p>
          <w:p>
            <w:pPr>
              <w:pStyle w:val="TableParagraph"/>
              <w:spacing w:before="37"/>
              <w:ind w:left="108"/>
              <w:jc w:val="both"/>
              <w:rPr>
                <w:sz w:val="21"/>
              </w:rPr>
            </w:pPr>
            <w:r>
              <w:rPr>
                <w:w w:val="100"/>
                <w:sz w:val="21"/>
              </w:rPr>
              <w:t>(2)</w:t>
            </w:r>
            <w:r>
              <w:rPr>
                <w:spacing w:val="-3"/>
                <w:w w:val="100"/>
                <w:sz w:val="21"/>
              </w:rPr>
              <w:t>角膜色素环</w:t>
            </w:r>
            <w:r>
              <w:rPr>
                <w:spacing w:val="-1"/>
                <w:w w:val="100"/>
                <w:sz w:val="21"/>
              </w:rPr>
              <w:t>（</w:t>
            </w:r>
            <w:r>
              <w:rPr>
                <w:w w:val="100"/>
                <w:sz w:val="21"/>
              </w:rPr>
              <w:t>K</w:t>
            </w:r>
            <w:r>
              <w:rPr>
                <w:spacing w:val="-3"/>
                <w:w w:val="100"/>
                <w:sz w:val="21"/>
              </w:rPr>
              <w:t>-</w:t>
            </w:r>
            <w:r>
              <w:rPr>
                <w:w w:val="100"/>
                <w:sz w:val="21"/>
              </w:rPr>
              <w:t>F</w:t>
            </w:r>
            <w:r>
              <w:rPr>
                <w:spacing w:val="-52"/>
                <w:sz w:val="21"/>
              </w:rPr>
              <w:t> </w:t>
            </w:r>
            <w:r>
              <w:rPr>
                <w:w w:val="100"/>
                <w:sz w:val="21"/>
              </w:rPr>
              <w:t>环</w:t>
            </w:r>
            <w:r>
              <w:rPr>
                <w:spacing w:val="-108"/>
                <w:w w:val="100"/>
                <w:sz w:val="21"/>
              </w:rPr>
              <w:t>）</w:t>
            </w:r>
            <w:r>
              <w:rPr>
                <w:w w:val="100"/>
                <w:sz w:val="21"/>
              </w:rPr>
              <w:t>；</w:t>
            </w:r>
          </w:p>
          <w:p>
            <w:pPr>
              <w:pStyle w:val="TableParagraph"/>
              <w:spacing w:before="37"/>
              <w:ind w:left="108"/>
              <w:jc w:val="both"/>
              <w:rPr>
                <w:sz w:val="21"/>
              </w:rPr>
            </w:pPr>
            <w:r>
              <w:rPr>
                <w:sz w:val="21"/>
              </w:rPr>
              <w:t>(3)血清铜和血清铜蓝蛋白降低，尿铜增加；</w:t>
            </w:r>
          </w:p>
          <w:p>
            <w:pPr>
              <w:pStyle w:val="TableParagraph"/>
              <w:spacing w:before="37"/>
              <w:ind w:left="108"/>
              <w:jc w:val="both"/>
              <w:rPr>
                <w:sz w:val="21"/>
              </w:rPr>
            </w:pPr>
            <w:r>
              <w:rPr>
                <w:sz w:val="21"/>
              </w:rPr>
              <w:t>(4)经皮做肝脏活检来定量分析肝脏铜的含量。</w:t>
            </w:r>
          </w:p>
        </w:tc>
      </w:tr>
      <w:tr>
        <w:trPr>
          <w:trHeight w:val="2405" w:hRule="atLeast"/>
        </w:trPr>
        <w:tc>
          <w:tcPr>
            <w:tcW w:w="1156" w:type="dxa"/>
          </w:tcPr>
          <w:p>
            <w:pPr>
              <w:pStyle w:val="TableParagraph"/>
              <w:spacing w:before="49"/>
              <w:ind w:left="200"/>
              <w:rPr>
                <w:b/>
                <w:sz w:val="21"/>
              </w:rPr>
            </w:pPr>
            <w:r>
              <w:rPr>
                <w:b/>
                <w:sz w:val="21"/>
              </w:rPr>
              <w:t>10.1.54</w:t>
            </w:r>
          </w:p>
        </w:tc>
        <w:tc>
          <w:tcPr>
            <w:tcW w:w="2123" w:type="dxa"/>
          </w:tcPr>
          <w:p>
            <w:pPr>
              <w:pStyle w:val="TableParagraph"/>
              <w:spacing w:line="273" w:lineRule="auto" w:before="49"/>
              <w:ind w:left="215" w:right="216"/>
              <w:rPr>
                <w:b/>
                <w:sz w:val="21"/>
              </w:rPr>
            </w:pPr>
            <w:r>
              <w:rPr>
                <w:b/>
                <w:sz w:val="21"/>
              </w:rPr>
              <w:t>特定年龄的严重哮喘</w:t>
            </w:r>
          </w:p>
        </w:tc>
        <w:tc>
          <w:tcPr>
            <w:tcW w:w="6506" w:type="dxa"/>
          </w:tcPr>
          <w:p>
            <w:pPr>
              <w:pStyle w:val="TableParagraph"/>
              <w:spacing w:line="273" w:lineRule="auto" w:before="49"/>
              <w:ind w:left="108" w:right="298"/>
              <w:rPr>
                <w:sz w:val="21"/>
              </w:rPr>
            </w:pPr>
            <w:r>
              <w:rPr>
                <w:sz w:val="21"/>
              </w:rPr>
              <w:t>指二十五周岁前所患的一种反复发作的严重支气管阻塞性疾病，经我们认可的专科医生确诊，且必须同时符合下列标准：</w:t>
            </w:r>
          </w:p>
          <w:p>
            <w:pPr>
              <w:pStyle w:val="TableParagraph"/>
              <w:spacing w:before="7"/>
              <w:ind w:left="108"/>
              <w:rPr>
                <w:sz w:val="21"/>
              </w:rPr>
            </w:pPr>
            <w:r>
              <w:rPr>
                <w:sz w:val="21"/>
              </w:rPr>
              <w:t>(1)过去两年中曾因哮喘持续状态住院治疗，并提供完整住院记录；</w:t>
            </w:r>
          </w:p>
          <w:p>
            <w:pPr>
              <w:pStyle w:val="TableParagraph"/>
              <w:spacing w:before="36"/>
              <w:ind w:left="108"/>
              <w:rPr>
                <w:sz w:val="21"/>
              </w:rPr>
            </w:pPr>
            <w:r>
              <w:rPr>
                <w:sz w:val="21"/>
              </w:rPr>
              <w:t>(2)因慢性过度换气导致胸廓畸形；</w:t>
            </w:r>
          </w:p>
          <w:p>
            <w:pPr>
              <w:pStyle w:val="TableParagraph"/>
              <w:spacing w:before="36"/>
              <w:ind w:left="108"/>
              <w:rPr>
                <w:sz w:val="21"/>
              </w:rPr>
            </w:pPr>
            <w:r>
              <w:rPr>
                <w:sz w:val="21"/>
              </w:rPr>
              <w:t>(3)在家中需要医生处方的氧气治疗法；</w:t>
            </w:r>
          </w:p>
          <w:p>
            <w:pPr>
              <w:pStyle w:val="TableParagraph"/>
              <w:spacing w:before="36"/>
              <w:ind w:left="108"/>
              <w:rPr>
                <w:sz w:val="21"/>
              </w:rPr>
            </w:pPr>
            <w:r>
              <w:rPr>
                <w:sz w:val="21"/>
              </w:rPr>
              <w:t>(4)持续日常服用口服类固醇激素治疗持续至少六个月。</w:t>
            </w:r>
          </w:p>
          <w:p>
            <w:pPr>
              <w:pStyle w:val="TableParagraph"/>
              <w:spacing w:before="116"/>
              <w:ind w:left="108"/>
              <w:rPr>
                <w:rFonts w:ascii="黑体" w:eastAsia="黑体" w:hint="eastAsia"/>
                <w:sz w:val="21"/>
              </w:rPr>
            </w:pPr>
            <w:r>
              <w:rPr>
                <w:rFonts w:ascii="黑体" w:eastAsia="黑体" w:hint="eastAsia"/>
                <w:sz w:val="21"/>
              </w:rPr>
              <w:t>被保险人申请理赔时年龄必须在年满二十五周岁之前。</w:t>
            </w:r>
          </w:p>
        </w:tc>
      </w:tr>
      <w:tr>
        <w:trPr>
          <w:trHeight w:val="1779" w:hRule="atLeast"/>
        </w:trPr>
        <w:tc>
          <w:tcPr>
            <w:tcW w:w="1156" w:type="dxa"/>
          </w:tcPr>
          <w:p>
            <w:pPr>
              <w:pStyle w:val="TableParagraph"/>
              <w:spacing w:before="49"/>
              <w:ind w:left="200"/>
              <w:rPr>
                <w:b/>
                <w:sz w:val="21"/>
              </w:rPr>
            </w:pPr>
            <w:r>
              <w:rPr>
                <w:b/>
                <w:sz w:val="21"/>
              </w:rPr>
              <w:t>10.1.55</w:t>
            </w:r>
          </w:p>
        </w:tc>
        <w:tc>
          <w:tcPr>
            <w:tcW w:w="2123" w:type="dxa"/>
          </w:tcPr>
          <w:p>
            <w:pPr>
              <w:pStyle w:val="TableParagraph"/>
              <w:spacing w:before="49"/>
              <w:ind w:left="215"/>
              <w:rPr>
                <w:b/>
                <w:sz w:val="21"/>
              </w:rPr>
            </w:pPr>
            <w:r>
              <w:rPr>
                <w:b/>
                <w:sz w:val="21"/>
              </w:rPr>
              <w:t>疯牛病(克-雅氏病</w:t>
            </w:r>
          </w:p>
          <w:p>
            <w:pPr>
              <w:pStyle w:val="TableParagraph"/>
              <w:spacing w:before="37"/>
              <w:ind w:left="215"/>
              <w:rPr>
                <w:b/>
                <w:sz w:val="21"/>
              </w:rPr>
            </w:pPr>
            <w:r>
              <w:rPr>
                <w:b/>
                <w:sz w:val="21"/>
              </w:rPr>
              <w:t>/CJD/人类疯牛病)</w:t>
            </w:r>
          </w:p>
        </w:tc>
        <w:tc>
          <w:tcPr>
            <w:tcW w:w="6506" w:type="dxa"/>
          </w:tcPr>
          <w:p>
            <w:pPr>
              <w:pStyle w:val="TableParagraph"/>
              <w:spacing w:line="273" w:lineRule="auto" w:before="49"/>
              <w:ind w:left="108" w:right="250"/>
              <w:jc w:val="both"/>
              <w:rPr>
                <w:sz w:val="21"/>
              </w:rPr>
            </w:pPr>
            <w:r>
              <w:rPr>
                <w:spacing w:val="-3"/>
                <w:sz w:val="21"/>
              </w:rPr>
              <w:t>是一种传染性海绵状脑病，临床表现为快速进行性痴呆、肌阵挛和</w:t>
            </w:r>
            <w:r>
              <w:rPr>
                <w:spacing w:val="-6"/>
                <w:sz w:val="21"/>
              </w:rPr>
              <w:t>特征性脑电图变化。本病须经三级医院的专科医生根据 </w:t>
            </w:r>
            <w:r>
              <w:rPr>
                <w:sz w:val="21"/>
              </w:rPr>
              <w:t>WHO</w:t>
            </w:r>
            <w:r>
              <w:rPr>
                <w:spacing w:val="1"/>
                <w:sz w:val="21"/>
              </w:rPr>
              <w:t> 诊断标</w:t>
            </w:r>
            <w:r>
              <w:rPr>
                <w:spacing w:val="-3"/>
                <w:sz w:val="21"/>
              </w:rPr>
              <w:t>准明确诊断，并且被保险人自主生活能力完全丧失，无法独立完成六项基本日常生活活动中的三项或三项以上。</w:t>
            </w:r>
          </w:p>
          <w:p>
            <w:pPr>
              <w:pStyle w:val="TableParagraph"/>
              <w:spacing w:before="84"/>
              <w:ind w:left="108"/>
              <w:jc w:val="both"/>
              <w:rPr>
                <w:rFonts w:ascii="黑体" w:eastAsia="黑体" w:hint="eastAsia"/>
                <w:sz w:val="21"/>
              </w:rPr>
            </w:pPr>
            <w:r>
              <w:rPr>
                <w:rFonts w:ascii="黑体" w:eastAsia="黑体" w:hint="eastAsia"/>
                <w:sz w:val="21"/>
              </w:rPr>
              <w:t>疑似病例不在本保障范围内。</w:t>
            </w:r>
          </w:p>
        </w:tc>
      </w:tr>
      <w:tr>
        <w:trPr>
          <w:trHeight w:val="2951" w:hRule="atLeast"/>
        </w:trPr>
        <w:tc>
          <w:tcPr>
            <w:tcW w:w="1156" w:type="dxa"/>
          </w:tcPr>
          <w:p>
            <w:pPr>
              <w:pStyle w:val="TableParagraph"/>
              <w:spacing w:before="50"/>
              <w:ind w:left="200"/>
              <w:rPr>
                <w:b/>
                <w:sz w:val="21"/>
              </w:rPr>
            </w:pPr>
            <w:r>
              <w:rPr>
                <w:b/>
                <w:sz w:val="21"/>
              </w:rPr>
              <w:t>10.1.56</w:t>
            </w:r>
          </w:p>
        </w:tc>
        <w:tc>
          <w:tcPr>
            <w:tcW w:w="2123" w:type="dxa"/>
          </w:tcPr>
          <w:p>
            <w:pPr>
              <w:pStyle w:val="TableParagraph"/>
              <w:spacing w:line="273" w:lineRule="auto" w:before="50"/>
              <w:ind w:left="215" w:right="216"/>
              <w:rPr>
                <w:b/>
                <w:sz w:val="21"/>
              </w:rPr>
            </w:pPr>
            <w:r>
              <w:rPr>
                <w:b/>
                <w:sz w:val="21"/>
              </w:rPr>
              <w:t>严重自身免疫性肝炎</w:t>
            </w:r>
          </w:p>
        </w:tc>
        <w:tc>
          <w:tcPr>
            <w:tcW w:w="6506" w:type="dxa"/>
          </w:tcPr>
          <w:p>
            <w:pPr>
              <w:pStyle w:val="TableParagraph"/>
              <w:spacing w:line="273" w:lineRule="auto" w:before="50"/>
              <w:ind w:left="108" w:right="298"/>
              <w:jc w:val="both"/>
              <w:rPr>
                <w:sz w:val="21"/>
              </w:rPr>
            </w:pPr>
            <w:r>
              <w:rPr>
                <w:sz w:val="21"/>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before="7"/>
              <w:ind w:left="108"/>
              <w:rPr>
                <w:sz w:val="21"/>
              </w:rPr>
            </w:pPr>
            <w:r>
              <w:rPr>
                <w:sz w:val="21"/>
              </w:rPr>
              <w:t>(1)高γ球蛋白血症；</w:t>
            </w:r>
          </w:p>
          <w:p>
            <w:pPr>
              <w:pStyle w:val="TableParagraph"/>
              <w:spacing w:line="273" w:lineRule="auto" w:before="36"/>
              <w:ind w:left="108" w:right="255"/>
              <w:rPr>
                <w:sz w:val="21"/>
              </w:rPr>
            </w:pPr>
            <w:r>
              <w:rPr>
                <w:sz w:val="21"/>
              </w:rPr>
              <w:t>(2)</w:t>
            </w:r>
            <w:r>
              <w:rPr>
                <w:spacing w:val="-8"/>
                <w:sz w:val="21"/>
              </w:rPr>
              <w:t>血液中存在高水平的自身免疫抗体，如 </w:t>
            </w:r>
            <w:r>
              <w:rPr>
                <w:spacing w:val="-15"/>
                <w:sz w:val="21"/>
              </w:rPr>
              <w:t>ANA（</w:t>
            </w:r>
            <w:r>
              <w:rPr>
                <w:spacing w:val="-2"/>
                <w:sz w:val="21"/>
              </w:rPr>
              <w:t>抗核抗体</w:t>
            </w:r>
            <w:r>
              <w:rPr>
                <w:spacing w:val="-108"/>
                <w:sz w:val="21"/>
              </w:rPr>
              <w:t>）</w:t>
            </w:r>
            <w:r>
              <w:rPr>
                <w:spacing w:val="-53"/>
                <w:sz w:val="21"/>
              </w:rPr>
              <w:t>、</w:t>
            </w:r>
            <w:r>
              <w:rPr>
                <w:spacing w:val="-15"/>
                <w:sz w:val="21"/>
              </w:rPr>
              <w:t>SMA（</w:t>
            </w:r>
            <w:r>
              <w:rPr>
                <w:spacing w:val="-3"/>
                <w:sz w:val="21"/>
              </w:rPr>
              <w:t>抗</w:t>
            </w:r>
            <w:r>
              <w:rPr>
                <w:spacing w:val="-2"/>
                <w:sz w:val="21"/>
              </w:rPr>
              <w:t>平滑肌抗体</w:t>
            </w:r>
            <w:r>
              <w:rPr>
                <w:spacing w:val="-106"/>
                <w:sz w:val="21"/>
              </w:rPr>
              <w:t>）</w:t>
            </w:r>
            <w:r>
              <w:rPr>
                <w:spacing w:val="-17"/>
                <w:sz w:val="21"/>
              </w:rPr>
              <w:t>、抗 </w:t>
            </w:r>
            <w:r>
              <w:rPr>
                <w:sz w:val="21"/>
              </w:rPr>
              <w:t>LKM1</w:t>
            </w:r>
            <w:r>
              <w:rPr>
                <w:spacing w:val="-11"/>
                <w:sz w:val="21"/>
              </w:rPr>
              <w:t> 抗体或抗</w:t>
            </w:r>
            <w:r>
              <w:rPr>
                <w:sz w:val="21"/>
              </w:rPr>
              <w:t>-SLA/LP</w:t>
            </w:r>
            <w:r>
              <w:rPr>
                <w:spacing w:val="-14"/>
                <w:sz w:val="21"/>
              </w:rPr>
              <w:t> 抗体；</w:t>
            </w:r>
          </w:p>
          <w:p>
            <w:pPr>
              <w:pStyle w:val="TableParagraph"/>
              <w:spacing w:before="7"/>
              <w:ind w:left="108"/>
              <w:jc w:val="both"/>
              <w:rPr>
                <w:sz w:val="21"/>
              </w:rPr>
            </w:pPr>
            <w:r>
              <w:rPr>
                <w:sz w:val="21"/>
              </w:rPr>
              <w:t>(3)肝脏活检证实免疫性肝炎；</w:t>
            </w:r>
          </w:p>
          <w:p>
            <w:pPr>
              <w:pStyle w:val="TableParagraph"/>
              <w:spacing w:before="37"/>
              <w:ind w:left="108"/>
              <w:jc w:val="both"/>
              <w:rPr>
                <w:sz w:val="21"/>
              </w:rPr>
            </w:pPr>
            <w:r>
              <w:rPr>
                <w:sz w:val="21"/>
              </w:rPr>
              <w:t>(4)临床已经出现腹水、食道静脉曲张和脾肿大等肝硬化表现。</w:t>
            </w:r>
          </w:p>
        </w:tc>
      </w:tr>
      <w:tr>
        <w:trPr>
          <w:trHeight w:val="1969" w:hRule="atLeast"/>
        </w:trPr>
        <w:tc>
          <w:tcPr>
            <w:tcW w:w="1156" w:type="dxa"/>
          </w:tcPr>
          <w:p>
            <w:pPr>
              <w:pStyle w:val="TableParagraph"/>
              <w:spacing w:before="49"/>
              <w:ind w:left="200"/>
              <w:rPr>
                <w:b/>
                <w:sz w:val="21"/>
              </w:rPr>
            </w:pPr>
            <w:r>
              <w:rPr>
                <w:b/>
                <w:sz w:val="21"/>
              </w:rPr>
              <w:t>10.1.57</w:t>
            </w:r>
          </w:p>
        </w:tc>
        <w:tc>
          <w:tcPr>
            <w:tcW w:w="2123" w:type="dxa"/>
          </w:tcPr>
          <w:p>
            <w:pPr>
              <w:pStyle w:val="TableParagraph"/>
              <w:spacing w:line="273" w:lineRule="auto" w:before="49"/>
              <w:ind w:left="215" w:right="216"/>
              <w:rPr>
                <w:b/>
                <w:sz w:val="21"/>
              </w:rPr>
            </w:pPr>
            <w:r>
              <w:rPr>
                <w:b/>
                <w:sz w:val="21"/>
              </w:rPr>
              <w:t>特定年龄的脊髓肌肉萎缩症</w:t>
            </w:r>
          </w:p>
        </w:tc>
        <w:tc>
          <w:tcPr>
            <w:tcW w:w="6506" w:type="dxa"/>
          </w:tcPr>
          <w:p>
            <w:pPr>
              <w:pStyle w:val="TableParagraph"/>
              <w:spacing w:line="273" w:lineRule="auto" w:before="49"/>
              <w:ind w:left="108" w:right="298"/>
              <w:jc w:val="both"/>
              <w:rPr>
                <w:sz w:val="21"/>
              </w:rPr>
            </w:pPr>
            <w:r>
              <w:rPr>
                <w:spacing w:val="-3"/>
                <w:sz w:val="21"/>
              </w:rPr>
              <w:t>脊髓前角细胞及脑干运动细胞核的退化病变，以近侧的肌肉无力和萎缩为主要特征，由腿部为最先开始并逐步扩展至远侧的肌肉。有关病变必须在不涉及任何其他因素下直接导致永久不能完成基本日</w:t>
            </w:r>
            <w:r>
              <w:rPr>
                <w:spacing w:val="-7"/>
                <w:sz w:val="21"/>
              </w:rPr>
              <w:t>常生活活动的其中最少 </w:t>
            </w:r>
            <w:r>
              <w:rPr>
                <w:sz w:val="21"/>
              </w:rPr>
              <w:t>3</w:t>
            </w:r>
            <w:r>
              <w:rPr>
                <w:spacing w:val="-8"/>
                <w:sz w:val="21"/>
              </w:rPr>
              <w:t> 项。诊断必须由专科医生证实并附有相应</w:t>
            </w:r>
            <w:r>
              <w:rPr>
                <w:spacing w:val="-5"/>
                <w:sz w:val="21"/>
              </w:rPr>
              <w:t>的神经肌肉检验如肌电图证明。</w:t>
            </w:r>
          </w:p>
          <w:p>
            <w:pPr>
              <w:pStyle w:val="TableParagraph"/>
              <w:spacing w:line="263" w:lineRule="exact" w:before="84"/>
              <w:ind w:left="108"/>
              <w:jc w:val="both"/>
              <w:rPr>
                <w:rFonts w:ascii="黑体" w:eastAsia="黑体" w:hint="eastAsia"/>
                <w:sz w:val="21"/>
              </w:rPr>
            </w:pPr>
            <w:r>
              <w:rPr>
                <w:rFonts w:ascii="黑体" w:eastAsia="黑体" w:hint="eastAsia"/>
                <w:sz w:val="21"/>
              </w:rPr>
              <w:t>只有在被保险人五周岁后首次获确诊患上本项疾病才可获得保险赔</w:t>
            </w:r>
          </w:p>
        </w:tc>
      </w:tr>
    </w:tbl>
    <w:p>
      <w:pPr>
        <w:spacing w:after="0" w:line="263" w:lineRule="exact"/>
        <w:jc w:val="both"/>
        <w:rPr>
          <w:rFonts w:ascii="黑体" w:eastAsia="黑体" w:hint="eastAsia"/>
          <w:sz w:val="21"/>
        </w:rPr>
        <w:sectPr>
          <w:pgSz w:w="11910" w:h="16840"/>
          <w:pgMar w:top="1460" w:bottom="280" w:left="980" w:right="92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2068"/>
        <w:gridCol w:w="6614"/>
      </w:tblGrid>
      <w:tr>
        <w:trPr>
          <w:trHeight w:val="332" w:hRule="atLeast"/>
        </w:trPr>
        <w:tc>
          <w:tcPr>
            <w:tcW w:w="1156" w:type="dxa"/>
          </w:tcPr>
          <w:p>
            <w:pPr>
              <w:pStyle w:val="TableParagraph"/>
              <w:ind w:left="0"/>
              <w:rPr>
                <w:rFonts w:ascii="Times New Roman"/>
                <w:sz w:val="20"/>
              </w:rPr>
            </w:pPr>
          </w:p>
        </w:tc>
        <w:tc>
          <w:tcPr>
            <w:tcW w:w="2068" w:type="dxa"/>
          </w:tcPr>
          <w:p>
            <w:pPr>
              <w:pStyle w:val="TableParagraph"/>
              <w:ind w:left="0"/>
              <w:rPr>
                <w:rFonts w:ascii="Times New Roman"/>
                <w:sz w:val="20"/>
              </w:rPr>
            </w:pPr>
          </w:p>
        </w:tc>
        <w:tc>
          <w:tcPr>
            <w:tcW w:w="6614" w:type="dxa"/>
          </w:tcPr>
          <w:p>
            <w:pPr>
              <w:pStyle w:val="TableParagraph"/>
              <w:spacing w:line="203" w:lineRule="exact"/>
              <w:rPr>
                <w:rFonts w:ascii="黑体" w:eastAsia="黑体" w:hint="eastAsia"/>
                <w:sz w:val="21"/>
              </w:rPr>
            </w:pPr>
            <w:r>
              <w:rPr>
                <w:rFonts w:ascii="黑体" w:eastAsia="黑体" w:hint="eastAsia"/>
                <w:sz w:val="21"/>
              </w:rPr>
              <w:t>偿。</w:t>
            </w:r>
          </w:p>
        </w:tc>
      </w:tr>
      <w:tr>
        <w:trPr>
          <w:trHeight w:val="3886" w:hRule="atLeast"/>
        </w:trPr>
        <w:tc>
          <w:tcPr>
            <w:tcW w:w="1156" w:type="dxa"/>
          </w:tcPr>
          <w:p>
            <w:pPr>
              <w:pStyle w:val="TableParagraph"/>
              <w:spacing w:before="49"/>
              <w:ind w:left="200"/>
              <w:rPr>
                <w:b/>
                <w:sz w:val="21"/>
              </w:rPr>
            </w:pPr>
            <w:r>
              <w:rPr>
                <w:b/>
                <w:sz w:val="21"/>
              </w:rPr>
              <w:t>10.1.58</w:t>
            </w:r>
          </w:p>
        </w:tc>
        <w:tc>
          <w:tcPr>
            <w:tcW w:w="2068" w:type="dxa"/>
          </w:tcPr>
          <w:p>
            <w:pPr>
              <w:pStyle w:val="TableParagraph"/>
              <w:spacing w:line="273" w:lineRule="auto" w:before="49"/>
              <w:ind w:left="215" w:right="161"/>
              <w:jc w:val="both"/>
              <w:rPr>
                <w:b/>
                <w:sz w:val="21"/>
              </w:rPr>
            </w:pPr>
            <w:r>
              <w:rPr>
                <w:b/>
                <w:sz w:val="21"/>
              </w:rPr>
              <w:t>因职业关系导致的人类免疫缺陷病毒感染</w:t>
            </w:r>
          </w:p>
        </w:tc>
        <w:tc>
          <w:tcPr>
            <w:tcW w:w="6614" w:type="dxa"/>
          </w:tcPr>
          <w:p>
            <w:pPr>
              <w:pStyle w:val="TableParagraph"/>
              <w:spacing w:line="273" w:lineRule="auto" w:before="49"/>
              <w:ind w:right="351"/>
              <w:jc w:val="both"/>
              <w:rPr>
                <w:sz w:val="21"/>
              </w:rPr>
            </w:pPr>
            <w:r>
              <w:rPr>
                <w:spacing w:val="-3"/>
                <w:sz w:val="21"/>
              </w:rPr>
              <w:t>被保险人在其常规职业工作过程中遭遇外伤，或者职业需要处理血</w:t>
            </w:r>
            <w:r>
              <w:rPr>
                <w:spacing w:val="-3"/>
                <w:w w:val="100"/>
                <w:sz w:val="21"/>
              </w:rPr>
              <w:t>液或者其他体液时感染上人类免疫缺陷病毒（</w:t>
            </w:r>
            <w:r>
              <w:rPr>
                <w:w w:val="100"/>
                <w:sz w:val="21"/>
              </w:rPr>
              <w:t>HIV</w:t>
            </w:r>
            <w:r>
              <w:rPr>
                <w:spacing w:val="-108"/>
                <w:w w:val="100"/>
                <w:sz w:val="21"/>
              </w:rPr>
              <w:t>）</w:t>
            </w:r>
            <w:r>
              <w:rPr>
                <w:spacing w:val="-2"/>
                <w:w w:val="100"/>
                <w:sz w:val="21"/>
              </w:rPr>
              <w:t>。必须满足下列</w:t>
            </w:r>
            <w:r>
              <w:rPr>
                <w:spacing w:val="-3"/>
                <w:sz w:val="21"/>
              </w:rPr>
              <w:t>全部条件：</w:t>
            </w:r>
          </w:p>
          <w:p>
            <w:pPr>
              <w:pStyle w:val="TableParagraph"/>
              <w:spacing w:line="273" w:lineRule="auto" w:before="7"/>
              <w:ind w:right="303"/>
              <w:jc w:val="both"/>
              <w:rPr>
                <w:sz w:val="21"/>
              </w:rPr>
            </w:pPr>
            <w:r>
              <w:rPr>
                <w:sz w:val="21"/>
              </w:rPr>
              <w:t>(1)</w:t>
            </w:r>
            <w:r>
              <w:rPr>
                <w:spacing w:val="-6"/>
                <w:sz w:val="21"/>
              </w:rPr>
              <w:t>感染必须是在被保险人正在从事其职业工作中发生，该职业必须</w:t>
            </w:r>
            <w:r>
              <w:rPr>
                <w:spacing w:val="-4"/>
                <w:sz w:val="21"/>
              </w:rPr>
              <w:t>属于以下列职业：医生和牙科医生、护士、医院化验室工作人员、</w:t>
            </w:r>
            <w:r>
              <w:rPr>
                <w:spacing w:val="-3"/>
                <w:sz w:val="21"/>
              </w:rPr>
              <w:t>医院护工、医生助理和牙医助理、救护车工作人员、助产士、消防队员、警察、狱警。</w:t>
            </w:r>
          </w:p>
          <w:p>
            <w:pPr>
              <w:pStyle w:val="TableParagraph"/>
              <w:spacing w:before="7"/>
              <w:rPr>
                <w:sz w:val="21"/>
              </w:rPr>
            </w:pPr>
            <w:r>
              <w:rPr>
                <w:sz w:val="21"/>
              </w:rPr>
              <w:t>(2)血清转化必须出现在事故发生后的 6 个月以内；</w:t>
            </w:r>
          </w:p>
          <w:p>
            <w:pPr>
              <w:pStyle w:val="TableParagraph"/>
              <w:spacing w:line="273" w:lineRule="auto" w:before="37"/>
              <w:ind w:right="134"/>
              <w:rPr>
                <w:sz w:val="21"/>
              </w:rPr>
            </w:pPr>
            <w:r>
              <w:rPr>
                <w:sz w:val="21"/>
              </w:rPr>
              <w:t>(3)必须提供被保险人在所报事故发生后的 5 天以内进行的检查报告，该报告必须显示被保险人血液HIV 病毒阴性和/或HIV 抗体阴性；</w:t>
            </w:r>
          </w:p>
          <w:p>
            <w:pPr>
              <w:pStyle w:val="TableParagraph"/>
              <w:spacing w:line="273" w:lineRule="auto" w:before="7"/>
              <w:ind w:right="353"/>
              <w:jc w:val="both"/>
              <w:rPr>
                <w:sz w:val="21"/>
              </w:rPr>
            </w:pPr>
            <w:r>
              <w:rPr>
                <w:sz w:val="21"/>
              </w:rPr>
              <w:t>(4)</w:t>
            </w:r>
            <w:r>
              <w:rPr>
                <w:spacing w:val="-8"/>
                <w:sz w:val="21"/>
              </w:rPr>
              <w:t>必须在事故发生后的 </w:t>
            </w:r>
            <w:r>
              <w:rPr>
                <w:sz w:val="21"/>
              </w:rPr>
              <w:t>12</w:t>
            </w:r>
            <w:r>
              <w:rPr>
                <w:spacing w:val="-11"/>
                <w:sz w:val="21"/>
              </w:rPr>
              <w:t> 个月内证实被保险人体内存在 </w:t>
            </w:r>
            <w:r>
              <w:rPr>
                <w:sz w:val="21"/>
              </w:rPr>
              <w:t>HIV</w:t>
            </w:r>
            <w:r>
              <w:rPr>
                <w:spacing w:val="-16"/>
                <w:sz w:val="21"/>
              </w:rPr>
              <w:t> 病毒</w:t>
            </w:r>
            <w:r>
              <w:rPr>
                <w:spacing w:val="-28"/>
                <w:sz w:val="21"/>
              </w:rPr>
              <w:t>或者 </w:t>
            </w:r>
            <w:r>
              <w:rPr>
                <w:sz w:val="21"/>
              </w:rPr>
              <w:t>HIV</w:t>
            </w:r>
            <w:r>
              <w:rPr>
                <w:spacing w:val="-14"/>
                <w:sz w:val="21"/>
              </w:rPr>
              <w:t> 抗体。</w:t>
            </w:r>
          </w:p>
        </w:tc>
      </w:tr>
      <w:tr>
        <w:trPr>
          <w:trHeight w:val="2717" w:hRule="atLeast"/>
        </w:trPr>
        <w:tc>
          <w:tcPr>
            <w:tcW w:w="1156" w:type="dxa"/>
          </w:tcPr>
          <w:p>
            <w:pPr>
              <w:pStyle w:val="TableParagraph"/>
              <w:spacing w:before="49"/>
              <w:ind w:left="200"/>
              <w:rPr>
                <w:b/>
                <w:sz w:val="21"/>
              </w:rPr>
            </w:pPr>
            <w:r>
              <w:rPr>
                <w:b/>
                <w:sz w:val="21"/>
              </w:rPr>
              <w:t>10.1.59</w:t>
            </w:r>
          </w:p>
        </w:tc>
        <w:tc>
          <w:tcPr>
            <w:tcW w:w="2068" w:type="dxa"/>
          </w:tcPr>
          <w:p>
            <w:pPr>
              <w:pStyle w:val="TableParagraph"/>
              <w:spacing w:before="49"/>
              <w:ind w:left="215"/>
              <w:rPr>
                <w:b/>
                <w:sz w:val="21"/>
              </w:rPr>
            </w:pPr>
            <w:r>
              <w:rPr>
                <w:b/>
                <w:sz w:val="21"/>
              </w:rPr>
              <w:t>严重瑞氏综合症</w:t>
            </w:r>
          </w:p>
        </w:tc>
        <w:tc>
          <w:tcPr>
            <w:tcW w:w="6614" w:type="dxa"/>
          </w:tcPr>
          <w:p>
            <w:pPr>
              <w:pStyle w:val="TableParagraph"/>
              <w:spacing w:line="273" w:lineRule="auto" w:before="49"/>
              <w:ind w:right="351"/>
              <w:jc w:val="both"/>
              <w:rPr>
                <w:sz w:val="21"/>
              </w:rPr>
            </w:pPr>
            <w:r>
              <w:rPr>
                <w:sz w:val="21"/>
              </w:rPr>
              <w:t>瑞氏综合征是线粒体功能障碍性疾病。导致脂肪代谢障碍，引起短链脂肪酸、血氨升高，造成脑水肿。主要临床表现为急性发热、反复呕吐、惊厥及意识障碍等等。</w:t>
            </w:r>
          </w:p>
          <w:p>
            <w:pPr>
              <w:pStyle w:val="TableParagraph"/>
              <w:spacing w:line="273" w:lineRule="auto" w:before="87"/>
              <w:ind w:right="351"/>
              <w:jc w:val="both"/>
              <w:rPr>
                <w:sz w:val="21"/>
              </w:rPr>
            </w:pPr>
            <w:r>
              <w:rPr>
                <w:sz w:val="21"/>
              </w:rPr>
              <w:t>肝脏活检是确诊的重要手段。瑞氏综合征需由三级医院的儿科专科医生确诊，并符合下列所有条件：</w:t>
            </w:r>
          </w:p>
          <w:p>
            <w:pPr>
              <w:pStyle w:val="TableParagraph"/>
              <w:spacing w:before="8"/>
              <w:jc w:val="both"/>
              <w:rPr>
                <w:sz w:val="21"/>
              </w:rPr>
            </w:pPr>
            <w:r>
              <w:rPr>
                <w:sz w:val="21"/>
              </w:rPr>
              <w:t>(1)有脑水肿和颅内压升高的脑脊液检查和影像学检查证据；</w:t>
            </w:r>
          </w:p>
          <w:p>
            <w:pPr>
              <w:pStyle w:val="TableParagraph"/>
              <w:spacing w:before="37"/>
              <w:jc w:val="both"/>
              <w:rPr>
                <w:sz w:val="21"/>
              </w:rPr>
            </w:pPr>
            <w:r>
              <w:rPr>
                <w:sz w:val="21"/>
              </w:rPr>
              <w:t>(2)血氨超过正常值的 3 倍；</w:t>
            </w:r>
          </w:p>
          <w:p>
            <w:pPr>
              <w:pStyle w:val="TableParagraph"/>
              <w:spacing w:before="37"/>
              <w:jc w:val="both"/>
              <w:rPr>
                <w:sz w:val="21"/>
              </w:rPr>
            </w:pPr>
            <w:r>
              <w:rPr>
                <w:sz w:val="21"/>
              </w:rPr>
              <w:t>(3)临床出现昏迷，病程至少达到疾病分期第 3 期。</w:t>
            </w:r>
          </w:p>
        </w:tc>
      </w:tr>
      <w:tr>
        <w:trPr>
          <w:trHeight w:val="2402" w:hRule="atLeast"/>
        </w:trPr>
        <w:tc>
          <w:tcPr>
            <w:tcW w:w="1156" w:type="dxa"/>
          </w:tcPr>
          <w:p>
            <w:pPr>
              <w:pStyle w:val="TableParagraph"/>
              <w:spacing w:before="49"/>
              <w:ind w:left="200"/>
              <w:rPr>
                <w:b/>
                <w:sz w:val="21"/>
              </w:rPr>
            </w:pPr>
            <w:r>
              <w:rPr>
                <w:b/>
                <w:sz w:val="21"/>
              </w:rPr>
              <w:t>10.1.60</w:t>
            </w:r>
          </w:p>
        </w:tc>
        <w:tc>
          <w:tcPr>
            <w:tcW w:w="2068" w:type="dxa"/>
          </w:tcPr>
          <w:p>
            <w:pPr>
              <w:pStyle w:val="TableParagraph"/>
              <w:spacing w:before="49"/>
              <w:ind w:left="215"/>
              <w:rPr>
                <w:b/>
                <w:sz w:val="21"/>
              </w:rPr>
            </w:pPr>
            <w:r>
              <w:rPr>
                <w:b/>
                <w:sz w:val="21"/>
              </w:rPr>
              <w:t>严重川崎病</w:t>
            </w:r>
          </w:p>
        </w:tc>
        <w:tc>
          <w:tcPr>
            <w:tcW w:w="6614" w:type="dxa"/>
          </w:tcPr>
          <w:p>
            <w:pPr>
              <w:pStyle w:val="TableParagraph"/>
              <w:spacing w:line="273" w:lineRule="auto" w:before="49"/>
              <w:ind w:right="351"/>
              <w:rPr>
                <w:sz w:val="21"/>
              </w:rPr>
            </w:pPr>
            <w:r>
              <w:rPr>
                <w:sz w:val="21"/>
              </w:rPr>
              <w:t>指一种原因未明的血管炎综合征，临床表现为急性发热，皮肤粘膜病损和淋巴结肿大。</w:t>
            </w:r>
          </w:p>
          <w:p>
            <w:pPr>
              <w:pStyle w:val="TableParagraph"/>
              <w:spacing w:line="273" w:lineRule="auto" w:before="84"/>
              <w:ind w:right="351"/>
              <w:rPr>
                <w:sz w:val="21"/>
              </w:rPr>
            </w:pPr>
            <w:r>
              <w:rPr>
                <w:sz w:val="21"/>
              </w:rPr>
              <w:t>本病必须经专科医生明确诊断，且必须由血管造影或超声心动图检查证实，满足下列至少一项条件：</w:t>
            </w:r>
          </w:p>
          <w:p>
            <w:pPr>
              <w:pStyle w:val="TableParagraph"/>
              <w:spacing w:line="273" w:lineRule="auto" w:before="7"/>
              <w:ind w:right="303"/>
              <w:rPr>
                <w:sz w:val="21"/>
              </w:rPr>
            </w:pPr>
            <w:r>
              <w:rPr>
                <w:sz w:val="21"/>
              </w:rPr>
              <w:t>(1)</w:t>
            </w:r>
            <w:r>
              <w:rPr>
                <w:spacing w:val="-10"/>
                <w:sz w:val="21"/>
              </w:rPr>
              <w:t>伴有冠状动脉瘤，且冠状动脉瘤于最初急性发病后持续至少一百</w:t>
            </w:r>
            <w:r>
              <w:rPr>
                <w:spacing w:val="-6"/>
                <w:sz w:val="21"/>
              </w:rPr>
              <w:t>八十天；</w:t>
            </w:r>
          </w:p>
          <w:p>
            <w:pPr>
              <w:pStyle w:val="TableParagraph"/>
              <w:spacing w:before="7"/>
              <w:rPr>
                <w:sz w:val="21"/>
              </w:rPr>
            </w:pPr>
            <w:r>
              <w:rPr>
                <w:sz w:val="21"/>
              </w:rPr>
              <w:t>(2)伴有冠状动脉瘤，且实际接受了对冠状动脉瘤进行的手术治疗。</w:t>
            </w:r>
          </w:p>
        </w:tc>
      </w:tr>
      <w:tr>
        <w:trPr>
          <w:trHeight w:val="1079" w:hRule="atLeast"/>
        </w:trPr>
        <w:tc>
          <w:tcPr>
            <w:tcW w:w="1156" w:type="dxa"/>
          </w:tcPr>
          <w:p>
            <w:pPr>
              <w:pStyle w:val="TableParagraph"/>
              <w:spacing w:before="49"/>
              <w:ind w:left="200"/>
              <w:rPr>
                <w:b/>
                <w:sz w:val="21"/>
              </w:rPr>
            </w:pPr>
            <w:r>
              <w:rPr>
                <w:b/>
                <w:sz w:val="21"/>
              </w:rPr>
              <w:t>10.1.61</w:t>
            </w:r>
          </w:p>
        </w:tc>
        <w:tc>
          <w:tcPr>
            <w:tcW w:w="2068" w:type="dxa"/>
          </w:tcPr>
          <w:p>
            <w:pPr>
              <w:pStyle w:val="TableParagraph"/>
              <w:spacing w:before="49"/>
              <w:ind w:left="215"/>
              <w:rPr>
                <w:b/>
                <w:sz w:val="21"/>
              </w:rPr>
            </w:pPr>
            <w:r>
              <w:rPr>
                <w:b/>
                <w:sz w:val="21"/>
              </w:rPr>
              <w:t>严重心肌炎</w:t>
            </w:r>
          </w:p>
        </w:tc>
        <w:tc>
          <w:tcPr>
            <w:tcW w:w="6614" w:type="dxa"/>
          </w:tcPr>
          <w:p>
            <w:pPr>
              <w:pStyle w:val="TableParagraph"/>
              <w:spacing w:line="273" w:lineRule="auto" w:before="49"/>
              <w:ind w:right="197"/>
              <w:rPr>
                <w:sz w:val="21"/>
              </w:rPr>
            </w:pPr>
            <w:r>
              <w:rPr>
                <w:spacing w:val="-6"/>
                <w:sz w:val="21"/>
              </w:rPr>
              <w:t>心肌的严重感染而导致至少持续 </w:t>
            </w:r>
            <w:r>
              <w:rPr>
                <w:sz w:val="21"/>
              </w:rPr>
              <w:t>6</w:t>
            </w:r>
            <w:r>
              <w:rPr>
                <w:spacing w:val="-9"/>
                <w:sz w:val="21"/>
              </w:rPr>
              <w:t> 个月的心功能损害。严重的心功</w:t>
            </w:r>
            <w:r>
              <w:rPr>
                <w:spacing w:val="-14"/>
                <w:sz w:val="21"/>
              </w:rPr>
              <w:t>能损害必须具备如下条件：左室腔扩大至少达到正常值上限的 </w:t>
            </w:r>
            <w:r>
              <w:rPr>
                <w:sz w:val="21"/>
              </w:rPr>
              <w:t>120%， </w:t>
            </w:r>
            <w:r>
              <w:rPr>
                <w:spacing w:val="-6"/>
                <w:sz w:val="21"/>
              </w:rPr>
              <w:t>且左室射血分数持续性低于 </w:t>
            </w:r>
            <w:r>
              <w:rPr>
                <w:sz w:val="21"/>
              </w:rPr>
              <w:t>40%。</w:t>
            </w:r>
          </w:p>
        </w:tc>
      </w:tr>
      <w:tr>
        <w:trPr>
          <w:trHeight w:val="1467" w:hRule="atLeast"/>
        </w:trPr>
        <w:tc>
          <w:tcPr>
            <w:tcW w:w="1156" w:type="dxa"/>
          </w:tcPr>
          <w:p>
            <w:pPr>
              <w:pStyle w:val="TableParagraph"/>
              <w:spacing w:before="50"/>
              <w:ind w:left="200"/>
              <w:rPr>
                <w:b/>
                <w:sz w:val="21"/>
              </w:rPr>
            </w:pPr>
            <w:r>
              <w:rPr>
                <w:b/>
                <w:sz w:val="21"/>
              </w:rPr>
              <w:t>10.1.62</w:t>
            </w:r>
          </w:p>
        </w:tc>
        <w:tc>
          <w:tcPr>
            <w:tcW w:w="2068" w:type="dxa"/>
          </w:tcPr>
          <w:p>
            <w:pPr>
              <w:pStyle w:val="TableParagraph"/>
              <w:spacing w:line="273" w:lineRule="auto" w:before="50"/>
              <w:ind w:left="215" w:right="161"/>
              <w:rPr>
                <w:b/>
                <w:sz w:val="21"/>
              </w:rPr>
            </w:pPr>
            <w:r>
              <w:rPr>
                <w:b/>
                <w:sz w:val="21"/>
              </w:rPr>
              <w:t>严重幼年型类风湿性关节炎</w:t>
            </w:r>
          </w:p>
        </w:tc>
        <w:tc>
          <w:tcPr>
            <w:tcW w:w="6614" w:type="dxa"/>
          </w:tcPr>
          <w:p>
            <w:pPr>
              <w:pStyle w:val="TableParagraph"/>
              <w:spacing w:line="273" w:lineRule="auto" w:before="50"/>
              <w:ind w:right="351"/>
              <w:rPr>
                <w:sz w:val="21"/>
              </w:rPr>
            </w:pPr>
            <w:r>
              <w:rPr>
                <w:sz w:val="21"/>
              </w:rPr>
              <w:t>幼年型类风湿关节炎是一种儿童期发病的慢性关节炎，其特点为在高热和系统性病征出现数月后发生关节炎。</w:t>
            </w:r>
          </w:p>
          <w:p>
            <w:pPr>
              <w:pStyle w:val="TableParagraph"/>
              <w:spacing w:line="273" w:lineRule="auto" w:before="84"/>
              <w:ind w:right="351"/>
              <w:rPr>
                <w:rFonts w:ascii="黑体" w:eastAsia="黑体" w:hint="eastAsia"/>
                <w:sz w:val="21"/>
              </w:rPr>
            </w:pPr>
            <w:r>
              <w:rPr>
                <w:rFonts w:ascii="黑体" w:eastAsia="黑体" w:hint="eastAsia"/>
                <w:sz w:val="21"/>
              </w:rPr>
              <w:t>本保单仅对实际接受了膝关节或髋关节置换手术治疗的严重的幼年型类风湿关节炎予以理赔。</w:t>
            </w:r>
          </w:p>
        </w:tc>
      </w:tr>
      <w:tr>
        <w:trPr>
          <w:trHeight w:val="1659" w:hRule="atLeast"/>
        </w:trPr>
        <w:tc>
          <w:tcPr>
            <w:tcW w:w="1156" w:type="dxa"/>
          </w:tcPr>
          <w:p>
            <w:pPr>
              <w:pStyle w:val="TableParagraph"/>
              <w:spacing w:before="49"/>
              <w:ind w:left="200"/>
              <w:rPr>
                <w:b/>
                <w:sz w:val="21"/>
              </w:rPr>
            </w:pPr>
            <w:r>
              <w:rPr>
                <w:b/>
                <w:sz w:val="21"/>
              </w:rPr>
              <w:t>10.1.63</w:t>
            </w:r>
          </w:p>
        </w:tc>
        <w:tc>
          <w:tcPr>
            <w:tcW w:w="2068" w:type="dxa"/>
          </w:tcPr>
          <w:p>
            <w:pPr>
              <w:pStyle w:val="TableParagraph"/>
              <w:spacing w:before="49"/>
              <w:ind w:left="215"/>
              <w:rPr>
                <w:b/>
                <w:sz w:val="21"/>
              </w:rPr>
            </w:pPr>
            <w:r>
              <w:rPr>
                <w:b/>
                <w:sz w:val="21"/>
              </w:rPr>
              <w:t>细菌性脑脊髓膜炎</w:t>
            </w:r>
          </w:p>
        </w:tc>
        <w:tc>
          <w:tcPr>
            <w:tcW w:w="6614" w:type="dxa"/>
          </w:tcPr>
          <w:p>
            <w:pPr>
              <w:pStyle w:val="TableParagraph"/>
              <w:spacing w:line="273" w:lineRule="auto" w:before="49"/>
              <w:ind w:right="250"/>
              <w:rPr>
                <w:sz w:val="21"/>
              </w:rPr>
            </w:pPr>
            <w:r>
              <w:rPr>
                <w:spacing w:val="-3"/>
                <w:sz w:val="21"/>
              </w:rPr>
              <w:t>指因脑膜炎双球菌感染引起脑脊髓膜化脓性病变，且导致永久性神</w:t>
            </w:r>
            <w:r>
              <w:rPr>
                <w:spacing w:val="-8"/>
                <w:sz w:val="21"/>
              </w:rPr>
              <w:t>经损害，持续 </w:t>
            </w:r>
            <w:r>
              <w:rPr>
                <w:sz w:val="21"/>
              </w:rPr>
              <w:t>90</w:t>
            </w:r>
            <w:r>
              <w:rPr>
                <w:spacing w:val="-8"/>
                <w:sz w:val="21"/>
              </w:rPr>
              <w:t> 天以上，并且脑脊液检查显示脑膜炎双球菌阳性。</w:t>
            </w:r>
          </w:p>
          <w:p>
            <w:pPr>
              <w:pStyle w:val="TableParagraph"/>
              <w:spacing w:line="273" w:lineRule="auto" w:before="87"/>
              <w:ind w:right="351"/>
              <w:rPr>
                <w:sz w:val="21"/>
              </w:rPr>
            </w:pPr>
            <w:r>
              <w:rPr>
                <w:sz w:val="21"/>
              </w:rPr>
              <w:t>永久性神经损害是指由细菌性脑脊髓膜炎引起的耳聋、失明、动眼神经麻痹、瘫痪、脑积水、智力或性情中度以上的损害，且上述症</w:t>
            </w:r>
          </w:p>
          <w:p>
            <w:pPr>
              <w:pStyle w:val="TableParagraph"/>
              <w:spacing w:line="263" w:lineRule="exact" w:before="8"/>
              <w:rPr>
                <w:sz w:val="21"/>
              </w:rPr>
            </w:pPr>
            <w:r>
              <w:rPr>
                <w:sz w:val="21"/>
              </w:rPr>
              <w:t>状持续 90 天以上仍无改善迹象。</w:t>
            </w:r>
          </w:p>
        </w:tc>
      </w:tr>
    </w:tbl>
    <w:p>
      <w:pPr>
        <w:spacing w:after="0" w:line="263" w:lineRule="exact"/>
        <w:rPr>
          <w:sz w:val="21"/>
        </w:rPr>
        <w:sectPr>
          <w:pgSz w:w="11910" w:h="16840"/>
          <w:pgMar w:top="1460" w:bottom="280" w:left="980" w:right="8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2124"/>
        <w:gridCol w:w="6507"/>
      </w:tblGrid>
      <w:tr>
        <w:trPr>
          <w:trHeight w:val="956" w:hRule="atLeast"/>
        </w:trPr>
        <w:tc>
          <w:tcPr>
            <w:tcW w:w="1156" w:type="dxa"/>
          </w:tcPr>
          <w:p>
            <w:pPr>
              <w:pStyle w:val="TableParagraph"/>
              <w:spacing w:line="203" w:lineRule="exact"/>
              <w:ind w:left="200"/>
              <w:rPr>
                <w:b/>
                <w:sz w:val="21"/>
              </w:rPr>
            </w:pPr>
            <w:r>
              <w:rPr>
                <w:b/>
                <w:sz w:val="21"/>
              </w:rPr>
              <w:t>10.1.64</w:t>
            </w:r>
          </w:p>
        </w:tc>
        <w:tc>
          <w:tcPr>
            <w:tcW w:w="2124" w:type="dxa"/>
          </w:tcPr>
          <w:p>
            <w:pPr>
              <w:pStyle w:val="TableParagraph"/>
              <w:spacing w:line="203" w:lineRule="exact"/>
              <w:ind w:left="215"/>
              <w:rPr>
                <w:b/>
                <w:sz w:val="21"/>
              </w:rPr>
            </w:pPr>
            <w:r>
              <w:rPr>
                <w:b/>
                <w:sz w:val="21"/>
              </w:rPr>
              <w:t>需手术切除的嗜铬</w:t>
            </w:r>
          </w:p>
          <w:p>
            <w:pPr>
              <w:pStyle w:val="TableParagraph"/>
              <w:spacing w:before="37"/>
              <w:ind w:left="215"/>
              <w:rPr>
                <w:b/>
                <w:sz w:val="21"/>
              </w:rPr>
            </w:pPr>
            <w:r>
              <w:rPr>
                <w:b/>
                <w:sz w:val="21"/>
              </w:rPr>
              <w:t>细胞瘤</w:t>
            </w:r>
          </w:p>
        </w:tc>
        <w:tc>
          <w:tcPr>
            <w:tcW w:w="6507" w:type="dxa"/>
          </w:tcPr>
          <w:p>
            <w:pPr>
              <w:pStyle w:val="TableParagraph"/>
              <w:spacing w:line="218" w:lineRule="exact"/>
              <w:ind w:left="107"/>
              <w:rPr>
                <w:sz w:val="21"/>
              </w:rPr>
            </w:pPr>
            <w:r>
              <w:rPr>
                <w:sz w:val="21"/>
              </w:rPr>
              <w:t>是指肾上腺或嗜铬外组织出现神经内分泌肿瘤，并分</w:t>
            </w:r>
            <w:r>
              <w:rPr>
                <w:rFonts w:ascii="Arial" w:eastAsia="Arial"/>
                <w:w w:val="115"/>
                <w:sz w:val="21"/>
              </w:rPr>
              <w:t>泌</w:t>
            </w:r>
            <w:r>
              <w:rPr>
                <w:sz w:val="21"/>
              </w:rPr>
              <w:t>过多的儿茶</w:t>
            </w:r>
          </w:p>
          <w:p>
            <w:pPr>
              <w:pStyle w:val="TableParagraph"/>
              <w:spacing w:line="273" w:lineRule="auto" w:before="22"/>
              <w:ind w:left="107" w:right="300"/>
              <w:rPr>
                <w:sz w:val="21"/>
              </w:rPr>
            </w:pPr>
            <w:r>
              <w:rPr>
                <w:sz w:val="21"/>
              </w:rPr>
              <w:t>酚胺类，需要确实进行手术以切除肿瘤。嗜铬细胞瘤的诊断必须由内分泌专科医生确定。</w:t>
            </w:r>
          </w:p>
        </w:tc>
      </w:tr>
      <w:tr>
        <w:trPr>
          <w:trHeight w:val="1077" w:hRule="atLeast"/>
        </w:trPr>
        <w:tc>
          <w:tcPr>
            <w:tcW w:w="1156" w:type="dxa"/>
          </w:tcPr>
          <w:p>
            <w:pPr>
              <w:pStyle w:val="TableParagraph"/>
              <w:spacing w:before="49"/>
              <w:ind w:left="200"/>
              <w:rPr>
                <w:b/>
                <w:sz w:val="21"/>
              </w:rPr>
            </w:pPr>
            <w:r>
              <w:rPr>
                <w:b/>
                <w:sz w:val="21"/>
              </w:rPr>
              <w:t>10.1.65</w:t>
            </w:r>
          </w:p>
        </w:tc>
        <w:tc>
          <w:tcPr>
            <w:tcW w:w="2124" w:type="dxa"/>
          </w:tcPr>
          <w:p>
            <w:pPr>
              <w:pStyle w:val="TableParagraph"/>
              <w:spacing w:line="273" w:lineRule="auto" w:before="49"/>
              <w:ind w:left="215" w:right="217"/>
              <w:rPr>
                <w:b/>
                <w:sz w:val="21"/>
              </w:rPr>
            </w:pPr>
            <w:r>
              <w:rPr>
                <w:b/>
                <w:sz w:val="21"/>
              </w:rPr>
              <w:t>溶血性链球菌引起的坏疽</w:t>
            </w:r>
          </w:p>
        </w:tc>
        <w:tc>
          <w:tcPr>
            <w:tcW w:w="6507" w:type="dxa"/>
          </w:tcPr>
          <w:p>
            <w:pPr>
              <w:pStyle w:val="TableParagraph"/>
              <w:spacing w:line="273" w:lineRule="auto" w:before="49"/>
              <w:ind w:left="107" w:right="197"/>
              <w:rPr>
                <w:sz w:val="21"/>
              </w:rPr>
            </w:pPr>
            <w:r>
              <w:rPr>
                <w:sz w:val="21"/>
              </w:rPr>
              <w:t>指包围肢体或躯干的浅筋膜和/或深筋膜受到溶血性链球菌的感染， 病情在短时间内急剧恶化，必须立刻进行手术及清创术。最后的诊断必须由微生物或病理学专家进行相关检查后证实。</w:t>
            </w:r>
          </w:p>
        </w:tc>
      </w:tr>
      <w:tr>
        <w:trPr>
          <w:trHeight w:val="1781" w:hRule="atLeast"/>
        </w:trPr>
        <w:tc>
          <w:tcPr>
            <w:tcW w:w="1156" w:type="dxa"/>
          </w:tcPr>
          <w:p>
            <w:pPr>
              <w:pStyle w:val="TableParagraph"/>
              <w:spacing w:before="49"/>
              <w:ind w:left="200"/>
              <w:rPr>
                <w:b/>
                <w:sz w:val="21"/>
              </w:rPr>
            </w:pPr>
            <w:r>
              <w:rPr>
                <w:b/>
                <w:sz w:val="21"/>
              </w:rPr>
              <w:t>10.1.66</w:t>
            </w:r>
          </w:p>
        </w:tc>
        <w:tc>
          <w:tcPr>
            <w:tcW w:w="2124" w:type="dxa"/>
          </w:tcPr>
          <w:p>
            <w:pPr>
              <w:pStyle w:val="TableParagraph"/>
              <w:spacing w:line="273" w:lineRule="auto" w:before="49"/>
              <w:ind w:left="215" w:right="217"/>
              <w:rPr>
                <w:b/>
                <w:sz w:val="21"/>
              </w:rPr>
            </w:pPr>
            <w:r>
              <w:rPr>
                <w:b/>
                <w:sz w:val="21"/>
              </w:rPr>
              <w:t>特定年龄的严重肠道疾病并发症</w:t>
            </w:r>
          </w:p>
        </w:tc>
        <w:tc>
          <w:tcPr>
            <w:tcW w:w="6507" w:type="dxa"/>
          </w:tcPr>
          <w:p>
            <w:pPr>
              <w:pStyle w:val="TableParagraph"/>
              <w:spacing w:line="273" w:lineRule="auto" w:before="49"/>
              <w:ind w:left="107" w:right="300"/>
              <w:rPr>
                <w:sz w:val="21"/>
              </w:rPr>
            </w:pPr>
            <w:r>
              <w:rPr>
                <w:sz w:val="21"/>
              </w:rPr>
              <w:t>指十八周岁前所患的严重肠道疾病或外伤导致小肠损害并发症，必须满足以下所有条件：</w:t>
            </w:r>
          </w:p>
          <w:p>
            <w:pPr>
              <w:pStyle w:val="TableParagraph"/>
              <w:spacing w:before="7"/>
              <w:ind w:left="107"/>
              <w:rPr>
                <w:sz w:val="21"/>
              </w:rPr>
            </w:pPr>
            <w:r>
              <w:rPr>
                <w:sz w:val="21"/>
              </w:rPr>
              <w:t>(1)至少切除了三分之二小肠；</w:t>
            </w:r>
          </w:p>
          <w:p>
            <w:pPr>
              <w:pStyle w:val="TableParagraph"/>
              <w:spacing w:before="36"/>
              <w:ind w:left="107"/>
              <w:rPr>
                <w:sz w:val="21"/>
              </w:rPr>
            </w:pPr>
            <w:r>
              <w:rPr>
                <w:sz w:val="21"/>
              </w:rPr>
              <w:t>(2)完全肠外营养支持 3 个月以上。</w:t>
            </w:r>
          </w:p>
          <w:p>
            <w:pPr>
              <w:pStyle w:val="TableParagraph"/>
              <w:spacing w:before="116"/>
              <w:ind w:left="107"/>
              <w:rPr>
                <w:rFonts w:ascii="黑体" w:eastAsia="黑体" w:hint="eastAsia"/>
                <w:sz w:val="21"/>
              </w:rPr>
            </w:pPr>
            <w:r>
              <w:rPr>
                <w:rFonts w:ascii="黑体" w:eastAsia="黑体" w:hint="eastAsia"/>
                <w:sz w:val="21"/>
              </w:rPr>
              <w:t>被保险人申请理赔时年龄必须在年满十八周岁以前。</w:t>
            </w:r>
          </w:p>
        </w:tc>
      </w:tr>
      <w:tr>
        <w:trPr>
          <w:trHeight w:val="2013" w:hRule="atLeast"/>
        </w:trPr>
        <w:tc>
          <w:tcPr>
            <w:tcW w:w="1156" w:type="dxa"/>
          </w:tcPr>
          <w:p>
            <w:pPr>
              <w:pStyle w:val="TableParagraph"/>
              <w:spacing w:before="49"/>
              <w:ind w:left="200"/>
              <w:rPr>
                <w:b/>
                <w:sz w:val="21"/>
              </w:rPr>
            </w:pPr>
            <w:r>
              <w:rPr>
                <w:b/>
                <w:sz w:val="21"/>
              </w:rPr>
              <w:t>10.1.67</w:t>
            </w:r>
          </w:p>
        </w:tc>
        <w:tc>
          <w:tcPr>
            <w:tcW w:w="2124" w:type="dxa"/>
          </w:tcPr>
          <w:p>
            <w:pPr>
              <w:pStyle w:val="TableParagraph"/>
              <w:spacing w:before="49"/>
              <w:ind w:left="215"/>
              <w:rPr>
                <w:b/>
                <w:sz w:val="21"/>
              </w:rPr>
            </w:pPr>
            <w:r>
              <w:rPr>
                <w:b/>
                <w:sz w:val="21"/>
              </w:rPr>
              <w:t>Ⅲ度房室传导阻滞</w:t>
            </w:r>
          </w:p>
        </w:tc>
        <w:tc>
          <w:tcPr>
            <w:tcW w:w="6507" w:type="dxa"/>
          </w:tcPr>
          <w:p>
            <w:pPr>
              <w:pStyle w:val="TableParagraph"/>
              <w:spacing w:line="273" w:lineRule="auto" w:before="49"/>
              <w:ind w:left="107" w:right="300"/>
              <w:rPr>
                <w:sz w:val="21"/>
              </w:rPr>
            </w:pPr>
            <w:r>
              <w:rPr>
                <w:sz w:val="21"/>
              </w:rPr>
              <w:t>指心房激动在房室交界区、房室束及其分支内发生阻滞，不能正常地传到心室的心脏传导性疾病，须满足下列所有条件：</w:t>
            </w:r>
          </w:p>
          <w:p>
            <w:pPr>
              <w:pStyle w:val="TableParagraph"/>
              <w:spacing w:before="7"/>
              <w:ind w:left="107"/>
              <w:rPr>
                <w:sz w:val="21"/>
              </w:rPr>
            </w:pPr>
            <w:r>
              <w:rPr>
                <w:sz w:val="21"/>
              </w:rPr>
              <w:t>(1)心电图显示房室搏动彼此独立，心室率&lt;50 次/分钟；</w:t>
            </w:r>
          </w:p>
          <w:p>
            <w:pPr>
              <w:pStyle w:val="TableParagraph"/>
              <w:spacing w:before="36"/>
              <w:ind w:left="107"/>
              <w:rPr>
                <w:sz w:val="21"/>
              </w:rPr>
            </w:pPr>
            <w:r>
              <w:rPr>
                <w:sz w:val="21"/>
              </w:rPr>
              <w:t>(2)出现阿-斯综合征或心力衰竭的表现；</w:t>
            </w:r>
          </w:p>
          <w:p>
            <w:pPr>
              <w:pStyle w:val="TableParagraph"/>
              <w:spacing w:line="273" w:lineRule="auto" w:before="36"/>
              <w:ind w:left="107" w:right="188"/>
              <w:rPr>
                <w:sz w:val="21"/>
              </w:rPr>
            </w:pPr>
            <w:r>
              <w:rPr>
                <w:sz w:val="21"/>
              </w:rPr>
              <w:t>(3)必须持续性依赖心脏起搏器维持心脏正常功能，且已经放置心脏起搏器。</w:t>
            </w:r>
          </w:p>
        </w:tc>
      </w:tr>
      <w:tr>
        <w:trPr>
          <w:trHeight w:val="2013" w:hRule="atLeast"/>
        </w:trPr>
        <w:tc>
          <w:tcPr>
            <w:tcW w:w="1156" w:type="dxa"/>
          </w:tcPr>
          <w:p>
            <w:pPr>
              <w:pStyle w:val="TableParagraph"/>
              <w:spacing w:before="49"/>
              <w:ind w:left="200"/>
              <w:rPr>
                <w:b/>
                <w:sz w:val="21"/>
              </w:rPr>
            </w:pPr>
            <w:r>
              <w:rPr>
                <w:b/>
                <w:sz w:val="21"/>
              </w:rPr>
              <w:t>10.1.68</w:t>
            </w:r>
          </w:p>
        </w:tc>
        <w:tc>
          <w:tcPr>
            <w:tcW w:w="2124" w:type="dxa"/>
          </w:tcPr>
          <w:p>
            <w:pPr>
              <w:pStyle w:val="TableParagraph"/>
              <w:spacing w:before="49"/>
              <w:ind w:left="215"/>
              <w:rPr>
                <w:b/>
                <w:sz w:val="21"/>
              </w:rPr>
            </w:pPr>
            <w:r>
              <w:rPr>
                <w:b/>
                <w:sz w:val="21"/>
              </w:rPr>
              <w:t>重症手足口病</w:t>
            </w:r>
          </w:p>
        </w:tc>
        <w:tc>
          <w:tcPr>
            <w:tcW w:w="6507" w:type="dxa"/>
          </w:tcPr>
          <w:p>
            <w:pPr>
              <w:pStyle w:val="TableParagraph"/>
              <w:spacing w:line="273" w:lineRule="auto" w:before="49"/>
              <w:ind w:left="107" w:right="300"/>
              <w:rPr>
                <w:sz w:val="21"/>
              </w:rPr>
            </w:pPr>
            <w:r>
              <w:rPr>
                <w:sz w:val="21"/>
              </w:rPr>
              <w:t>由肠道病毒引起的急性传染病，主要症状表现为手、足、口腔等部位的斑丘疹、疱疹。重症手足口病必须符合下列全部条件：</w:t>
            </w:r>
          </w:p>
          <w:p>
            <w:pPr>
              <w:pStyle w:val="TableParagraph"/>
              <w:spacing w:before="8"/>
              <w:ind w:left="107"/>
              <w:rPr>
                <w:sz w:val="21"/>
              </w:rPr>
            </w:pPr>
            <w:r>
              <w:rPr>
                <w:sz w:val="21"/>
              </w:rPr>
              <w:t>(1)经专科医生诊断为手足口病；</w:t>
            </w:r>
          </w:p>
          <w:p>
            <w:pPr>
              <w:pStyle w:val="TableParagraph"/>
              <w:spacing w:line="273" w:lineRule="auto" w:before="37"/>
              <w:ind w:left="107" w:right="199"/>
              <w:rPr>
                <w:sz w:val="21"/>
              </w:rPr>
            </w:pPr>
            <w:r>
              <w:rPr>
                <w:sz w:val="21"/>
              </w:rPr>
              <w:t>(2)伴有所列危重并发症之一：脑膜炎、脑炎、脑脊髓炎、肺水肿或心肌炎；</w:t>
            </w:r>
          </w:p>
          <w:p>
            <w:pPr>
              <w:pStyle w:val="TableParagraph"/>
              <w:spacing w:before="7"/>
              <w:ind w:left="107"/>
              <w:rPr>
                <w:sz w:val="21"/>
              </w:rPr>
            </w:pPr>
            <w:r>
              <w:rPr>
                <w:sz w:val="21"/>
              </w:rPr>
              <w:t>(3)接受了住院治疗。</w:t>
            </w:r>
          </w:p>
        </w:tc>
      </w:tr>
      <w:tr>
        <w:trPr>
          <w:trHeight w:val="1701" w:hRule="atLeast"/>
        </w:trPr>
        <w:tc>
          <w:tcPr>
            <w:tcW w:w="1156" w:type="dxa"/>
          </w:tcPr>
          <w:p>
            <w:pPr>
              <w:pStyle w:val="TableParagraph"/>
              <w:spacing w:before="49"/>
              <w:ind w:left="200"/>
              <w:rPr>
                <w:b/>
                <w:sz w:val="21"/>
              </w:rPr>
            </w:pPr>
            <w:r>
              <w:rPr>
                <w:b/>
                <w:sz w:val="21"/>
              </w:rPr>
              <w:t>10.1.69</w:t>
            </w:r>
          </w:p>
        </w:tc>
        <w:tc>
          <w:tcPr>
            <w:tcW w:w="2124" w:type="dxa"/>
          </w:tcPr>
          <w:p>
            <w:pPr>
              <w:pStyle w:val="TableParagraph"/>
              <w:spacing w:before="49"/>
              <w:ind w:left="215"/>
              <w:rPr>
                <w:b/>
                <w:sz w:val="21"/>
              </w:rPr>
            </w:pPr>
            <w:r>
              <w:rPr>
                <w:b/>
                <w:sz w:val="21"/>
              </w:rPr>
              <w:t>骨生长不全症</w:t>
            </w:r>
          </w:p>
        </w:tc>
        <w:tc>
          <w:tcPr>
            <w:tcW w:w="6507" w:type="dxa"/>
          </w:tcPr>
          <w:p>
            <w:pPr>
              <w:pStyle w:val="TableParagraph"/>
              <w:spacing w:line="273" w:lineRule="auto" w:before="49"/>
              <w:ind w:left="107" w:right="300"/>
              <w:jc w:val="both"/>
              <w:rPr>
                <w:sz w:val="21"/>
              </w:rPr>
            </w:pPr>
            <w:r>
              <w:rPr>
                <w:spacing w:val="-5"/>
                <w:sz w:val="21"/>
              </w:rPr>
              <w:t>是一种胶原病，特征为骨易碎，骨质疏松和易骨折。该病有 </w:t>
            </w:r>
            <w:r>
              <w:rPr>
                <w:sz w:val="21"/>
              </w:rPr>
              <w:t>4</w:t>
            </w:r>
            <w:r>
              <w:rPr>
                <w:spacing w:val="-14"/>
                <w:sz w:val="21"/>
              </w:rPr>
              <w:t> 种类型：I</w:t>
            </w:r>
            <w:r>
              <w:rPr>
                <w:spacing w:val="-19"/>
                <w:sz w:val="21"/>
              </w:rPr>
              <w:t> 型、</w:t>
            </w:r>
            <w:r>
              <w:rPr>
                <w:sz w:val="21"/>
              </w:rPr>
              <w:t>II</w:t>
            </w:r>
            <w:r>
              <w:rPr>
                <w:spacing w:val="-18"/>
                <w:sz w:val="21"/>
              </w:rPr>
              <w:t> 型、</w:t>
            </w:r>
            <w:r>
              <w:rPr>
                <w:sz w:val="21"/>
              </w:rPr>
              <w:t>III</w:t>
            </w:r>
            <w:r>
              <w:rPr>
                <w:spacing w:val="-18"/>
                <w:sz w:val="21"/>
              </w:rPr>
              <w:t> 型、</w:t>
            </w:r>
            <w:r>
              <w:rPr>
                <w:sz w:val="21"/>
              </w:rPr>
              <w:t>IV</w:t>
            </w:r>
            <w:r>
              <w:rPr>
                <w:spacing w:val="-19"/>
                <w:sz w:val="21"/>
              </w:rPr>
              <w:t> 型。</w:t>
            </w:r>
            <w:r>
              <w:rPr>
                <w:rFonts w:ascii="黑体" w:eastAsia="黑体" w:hint="eastAsia"/>
                <w:spacing w:val="-10"/>
                <w:sz w:val="21"/>
              </w:rPr>
              <w:t>本合同只保障 </w:t>
            </w:r>
            <w:r>
              <w:rPr>
                <w:rFonts w:ascii="黑体" w:eastAsia="黑体" w:hint="eastAsia"/>
                <w:sz w:val="21"/>
              </w:rPr>
              <w:t>III</w:t>
            </w:r>
            <w:r>
              <w:rPr>
                <w:rFonts w:ascii="黑体" w:eastAsia="黑体" w:hint="eastAsia"/>
                <w:spacing w:val="-9"/>
                <w:sz w:val="21"/>
              </w:rPr>
              <w:t> 型成骨不全的情形</w:t>
            </w:r>
            <w:r>
              <w:rPr>
                <w:spacing w:val="-3"/>
                <w:sz w:val="21"/>
              </w:rPr>
              <w:t>，其主要临床特点有：发展迟缓、多发性骨折、进行性脊柱后侧凸及听力损害。</w:t>
            </w:r>
            <w:r>
              <w:rPr>
                <w:sz w:val="21"/>
              </w:rPr>
              <w:t>III</w:t>
            </w:r>
            <w:r>
              <w:rPr>
                <w:spacing w:val="-8"/>
                <w:sz w:val="21"/>
              </w:rPr>
              <w:t> 型成骨不全的诊断必须根据身体检查，家族史，X</w:t>
            </w:r>
            <w:r>
              <w:rPr>
                <w:spacing w:val="-7"/>
                <w:sz w:val="21"/>
              </w:rPr>
              <w:t> 线检查和皮肤活检报告资料确诊。</w:t>
            </w:r>
          </w:p>
        </w:tc>
      </w:tr>
      <w:tr>
        <w:trPr>
          <w:trHeight w:val="3886" w:hRule="atLeast"/>
        </w:trPr>
        <w:tc>
          <w:tcPr>
            <w:tcW w:w="1156" w:type="dxa"/>
          </w:tcPr>
          <w:p>
            <w:pPr>
              <w:pStyle w:val="TableParagraph"/>
              <w:spacing w:before="49"/>
              <w:ind w:left="200"/>
              <w:rPr>
                <w:b/>
                <w:sz w:val="21"/>
              </w:rPr>
            </w:pPr>
            <w:r>
              <w:rPr>
                <w:b/>
                <w:sz w:val="21"/>
              </w:rPr>
              <w:t>10.1.70</w:t>
            </w:r>
          </w:p>
        </w:tc>
        <w:tc>
          <w:tcPr>
            <w:tcW w:w="2124" w:type="dxa"/>
          </w:tcPr>
          <w:p>
            <w:pPr>
              <w:pStyle w:val="TableParagraph"/>
              <w:spacing w:line="273" w:lineRule="auto" w:before="49"/>
              <w:ind w:left="215" w:right="217"/>
              <w:rPr>
                <w:b/>
                <w:sz w:val="21"/>
              </w:rPr>
            </w:pPr>
            <w:r>
              <w:rPr>
                <w:b/>
                <w:sz w:val="21"/>
              </w:rPr>
              <w:t>严重感染性心内膜炎</w:t>
            </w:r>
          </w:p>
        </w:tc>
        <w:tc>
          <w:tcPr>
            <w:tcW w:w="6507" w:type="dxa"/>
          </w:tcPr>
          <w:p>
            <w:pPr>
              <w:pStyle w:val="TableParagraph"/>
              <w:spacing w:before="49"/>
              <w:ind w:left="107"/>
              <w:rPr>
                <w:sz w:val="21"/>
              </w:rPr>
            </w:pPr>
            <w:r>
              <w:rPr>
                <w:sz w:val="21"/>
              </w:rPr>
              <w:t>指因感染性病原体造成心脏内膜发炎，并符合下列所有条件：</w:t>
            </w:r>
          </w:p>
          <w:p>
            <w:pPr>
              <w:pStyle w:val="TableParagraph"/>
              <w:spacing w:before="37"/>
              <w:ind w:left="107"/>
              <w:rPr>
                <w:sz w:val="21"/>
              </w:rPr>
            </w:pPr>
            <w:r>
              <w:rPr>
                <w:sz w:val="21"/>
              </w:rPr>
              <w:t>(1)血液培养测试结果为阳性，证实存在感染病原体：</w:t>
            </w:r>
          </w:p>
          <w:p>
            <w:pPr>
              <w:pStyle w:val="TableParagraph"/>
              <w:spacing w:line="273" w:lineRule="auto" w:before="36"/>
              <w:ind w:left="107" w:right="300" w:firstLine="422"/>
              <w:rPr>
                <w:sz w:val="21"/>
              </w:rPr>
            </w:pPr>
            <w:r>
              <w:rPr>
                <w:sz w:val="21"/>
              </w:rPr>
              <w:t>①微生物：在赘生物、栓塞的赘生物或心脏内脓疡经培养或组织检查证实有微生物；或</w:t>
            </w:r>
          </w:p>
          <w:p>
            <w:pPr>
              <w:pStyle w:val="TableParagraph"/>
              <w:spacing w:line="273" w:lineRule="auto" w:before="7"/>
              <w:ind w:left="107" w:right="300" w:firstLine="422"/>
              <w:rPr>
                <w:sz w:val="21"/>
              </w:rPr>
            </w:pPr>
            <w:r>
              <w:rPr>
                <w:sz w:val="21"/>
              </w:rPr>
              <w:t>②病理性病灶：组织病理学检查证实赘生物或心脏内脓疡有活动性心内膜炎；或</w:t>
            </w:r>
          </w:p>
          <w:p>
            <w:pPr>
              <w:pStyle w:val="TableParagraph"/>
              <w:spacing w:before="7"/>
              <w:ind w:left="530"/>
              <w:rPr>
                <w:sz w:val="21"/>
              </w:rPr>
            </w:pPr>
            <w:r>
              <w:rPr>
                <w:sz w:val="21"/>
              </w:rPr>
              <w:t>③分别两次血液培养证实有典型的病原体且与心内膜炎吻合；</w:t>
            </w:r>
          </w:p>
          <w:p>
            <w:pPr>
              <w:pStyle w:val="TableParagraph"/>
              <w:spacing w:before="36"/>
              <w:ind w:left="107"/>
              <w:rPr>
                <w:sz w:val="21"/>
              </w:rPr>
            </w:pPr>
            <w:r>
              <w:rPr>
                <w:w w:val="100"/>
                <w:sz w:val="21"/>
              </w:rPr>
              <w:t>或</w:t>
            </w:r>
          </w:p>
          <w:p>
            <w:pPr>
              <w:pStyle w:val="TableParagraph"/>
              <w:spacing w:before="36"/>
              <w:ind w:left="530"/>
              <w:rPr>
                <w:sz w:val="21"/>
              </w:rPr>
            </w:pPr>
            <w:r>
              <w:rPr>
                <w:sz w:val="21"/>
              </w:rPr>
              <w:t>④持续血液培养证实有病原体阳性反应，且与心内膜炎吻合。</w:t>
            </w:r>
          </w:p>
          <w:p>
            <w:pPr>
              <w:pStyle w:val="TableParagraph"/>
              <w:spacing w:line="273" w:lineRule="auto" w:before="36"/>
              <w:ind w:left="107" w:right="254"/>
              <w:rPr>
                <w:sz w:val="21"/>
              </w:rPr>
            </w:pPr>
            <w:r>
              <w:rPr>
                <w:sz w:val="21"/>
              </w:rPr>
              <w:t>(2)</w:t>
            </w:r>
            <w:r>
              <w:rPr>
                <w:spacing w:val="-3"/>
                <w:sz w:val="21"/>
              </w:rPr>
              <w:t>心内膜炎引起中度心瓣膜闭锁不全（</w:t>
            </w:r>
            <w:r>
              <w:rPr>
                <w:spacing w:val="-7"/>
                <w:sz w:val="21"/>
              </w:rPr>
              <w:t>指返流分数 </w:t>
            </w:r>
            <w:r>
              <w:rPr>
                <w:sz w:val="21"/>
              </w:rPr>
              <w:t>20%</w:t>
            </w:r>
            <w:r>
              <w:rPr>
                <w:spacing w:val="-2"/>
                <w:sz w:val="21"/>
              </w:rPr>
              <w:t>或以上</w:t>
            </w:r>
            <w:r>
              <w:rPr>
                <w:spacing w:val="-5"/>
                <w:sz w:val="21"/>
              </w:rPr>
              <w:t>）</w:t>
            </w:r>
            <w:r>
              <w:rPr>
                <w:sz w:val="21"/>
              </w:rPr>
              <w:t>或</w:t>
            </w:r>
            <w:r>
              <w:rPr>
                <w:spacing w:val="-3"/>
                <w:w w:val="100"/>
                <w:sz w:val="21"/>
              </w:rPr>
              <w:t>中度心瓣膜狭窄</w:t>
            </w:r>
            <w:r>
              <w:rPr>
                <w:w w:val="100"/>
                <w:sz w:val="21"/>
              </w:rPr>
              <w:t>（</w:t>
            </w:r>
            <w:r>
              <w:rPr>
                <w:spacing w:val="-3"/>
                <w:w w:val="100"/>
                <w:sz w:val="21"/>
              </w:rPr>
              <w:t>指心瓣膜开口范围小于或等于正常的</w:t>
            </w:r>
            <w:r>
              <w:rPr>
                <w:spacing w:val="-3"/>
                <w:sz w:val="21"/>
              </w:rPr>
              <w:t> </w:t>
            </w:r>
            <w:r>
              <w:rPr>
                <w:spacing w:val="-3"/>
                <w:w w:val="100"/>
                <w:sz w:val="21"/>
              </w:rPr>
              <w:t>3</w:t>
            </w:r>
            <w:r>
              <w:rPr>
                <w:w w:val="100"/>
                <w:sz w:val="21"/>
              </w:rPr>
              <w:t>0</w:t>
            </w:r>
            <w:r>
              <w:rPr>
                <w:spacing w:val="-1"/>
                <w:w w:val="100"/>
                <w:sz w:val="21"/>
              </w:rPr>
              <w:t>%</w:t>
            </w:r>
            <w:r>
              <w:rPr>
                <w:spacing w:val="-108"/>
                <w:w w:val="100"/>
                <w:sz w:val="21"/>
              </w:rPr>
              <w:t>）；</w:t>
            </w:r>
          </w:p>
          <w:p>
            <w:pPr>
              <w:pStyle w:val="TableParagraph"/>
              <w:spacing w:before="7"/>
              <w:ind w:left="107"/>
              <w:rPr>
                <w:sz w:val="21"/>
              </w:rPr>
            </w:pPr>
            <w:r>
              <w:rPr>
                <w:sz w:val="21"/>
              </w:rPr>
              <w:t>(3)心内膜炎及心瓣膜病损须经心脏专科医生确诊。</w:t>
            </w:r>
          </w:p>
        </w:tc>
      </w:tr>
      <w:tr>
        <w:trPr>
          <w:trHeight w:val="332" w:hRule="atLeast"/>
        </w:trPr>
        <w:tc>
          <w:tcPr>
            <w:tcW w:w="1156" w:type="dxa"/>
          </w:tcPr>
          <w:p>
            <w:pPr>
              <w:pStyle w:val="TableParagraph"/>
              <w:spacing w:line="263" w:lineRule="exact" w:before="49"/>
              <w:ind w:left="200"/>
              <w:rPr>
                <w:b/>
                <w:sz w:val="21"/>
              </w:rPr>
            </w:pPr>
            <w:r>
              <w:rPr>
                <w:b/>
                <w:sz w:val="21"/>
              </w:rPr>
              <w:t>10.1.71</w:t>
            </w:r>
          </w:p>
        </w:tc>
        <w:tc>
          <w:tcPr>
            <w:tcW w:w="2124" w:type="dxa"/>
          </w:tcPr>
          <w:p>
            <w:pPr>
              <w:pStyle w:val="TableParagraph"/>
              <w:spacing w:line="263" w:lineRule="exact" w:before="49"/>
              <w:ind w:left="215"/>
              <w:rPr>
                <w:b/>
                <w:sz w:val="21"/>
              </w:rPr>
            </w:pPr>
            <w:r>
              <w:rPr>
                <w:b/>
                <w:sz w:val="21"/>
              </w:rPr>
              <w:t>侵蚀性葡萄胎（或称</w:t>
            </w:r>
          </w:p>
        </w:tc>
        <w:tc>
          <w:tcPr>
            <w:tcW w:w="6507" w:type="dxa"/>
          </w:tcPr>
          <w:p>
            <w:pPr>
              <w:pStyle w:val="TableParagraph"/>
              <w:spacing w:line="263" w:lineRule="exact" w:before="49"/>
              <w:ind w:left="107"/>
              <w:rPr>
                <w:sz w:val="21"/>
              </w:rPr>
            </w:pPr>
            <w:r>
              <w:rPr>
                <w:sz w:val="21"/>
              </w:rPr>
              <w:t>该类疾病是指异常增生的绒毛组织浸润性生长侵入子宫肌层或转移</w:t>
            </w:r>
          </w:p>
        </w:tc>
      </w:tr>
    </w:tbl>
    <w:p>
      <w:pPr>
        <w:spacing w:after="0" w:line="263" w:lineRule="exact"/>
        <w:rPr>
          <w:sz w:val="21"/>
        </w:rPr>
        <w:sectPr>
          <w:pgSz w:w="11910" w:h="16840"/>
          <w:pgMar w:top="1460" w:bottom="280" w:left="980" w:right="92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2068"/>
        <w:gridCol w:w="6612"/>
      </w:tblGrid>
      <w:tr>
        <w:trPr>
          <w:trHeight w:val="644" w:hRule="atLeast"/>
        </w:trPr>
        <w:tc>
          <w:tcPr>
            <w:tcW w:w="1156" w:type="dxa"/>
          </w:tcPr>
          <w:p>
            <w:pPr>
              <w:pStyle w:val="TableParagraph"/>
              <w:ind w:left="0"/>
              <w:rPr>
                <w:rFonts w:ascii="Times New Roman"/>
                <w:sz w:val="20"/>
              </w:rPr>
            </w:pPr>
          </w:p>
        </w:tc>
        <w:tc>
          <w:tcPr>
            <w:tcW w:w="2068" w:type="dxa"/>
          </w:tcPr>
          <w:p>
            <w:pPr>
              <w:pStyle w:val="TableParagraph"/>
              <w:spacing w:line="203" w:lineRule="exact"/>
              <w:ind w:left="215"/>
              <w:rPr>
                <w:b/>
                <w:sz w:val="21"/>
              </w:rPr>
            </w:pPr>
            <w:r>
              <w:rPr>
                <w:b/>
                <w:sz w:val="21"/>
              </w:rPr>
              <w:t>恶性葡萄胎）</w:t>
            </w:r>
          </w:p>
        </w:tc>
        <w:tc>
          <w:tcPr>
            <w:tcW w:w="6612" w:type="dxa"/>
          </w:tcPr>
          <w:p>
            <w:pPr>
              <w:pStyle w:val="TableParagraph"/>
              <w:spacing w:line="203" w:lineRule="exact"/>
              <w:rPr>
                <w:sz w:val="21"/>
              </w:rPr>
            </w:pPr>
            <w:r>
              <w:rPr>
                <w:sz w:val="21"/>
              </w:rPr>
              <w:t>至其他器官或组织的葡萄胎，须经病理学检查结果明确诊断，并须</w:t>
            </w:r>
          </w:p>
          <w:p>
            <w:pPr>
              <w:pStyle w:val="TableParagraph"/>
              <w:spacing w:before="37"/>
              <w:rPr>
                <w:sz w:val="21"/>
              </w:rPr>
            </w:pPr>
            <w:r>
              <w:rPr>
                <w:sz w:val="21"/>
              </w:rPr>
              <w:t>实际实施了化疗或手术切除治疗。</w:t>
            </w:r>
          </w:p>
        </w:tc>
      </w:tr>
      <w:tr>
        <w:trPr>
          <w:trHeight w:val="1077" w:hRule="atLeast"/>
        </w:trPr>
        <w:tc>
          <w:tcPr>
            <w:tcW w:w="1156" w:type="dxa"/>
          </w:tcPr>
          <w:p>
            <w:pPr>
              <w:pStyle w:val="TableParagraph"/>
              <w:spacing w:before="49"/>
              <w:ind w:left="200"/>
              <w:rPr>
                <w:b/>
                <w:sz w:val="21"/>
              </w:rPr>
            </w:pPr>
            <w:r>
              <w:rPr>
                <w:b/>
                <w:sz w:val="21"/>
              </w:rPr>
              <w:t>10.1.72</w:t>
            </w:r>
          </w:p>
        </w:tc>
        <w:tc>
          <w:tcPr>
            <w:tcW w:w="2068" w:type="dxa"/>
          </w:tcPr>
          <w:p>
            <w:pPr>
              <w:pStyle w:val="TableParagraph"/>
              <w:spacing w:before="49"/>
              <w:ind w:left="215"/>
              <w:rPr>
                <w:b/>
                <w:sz w:val="21"/>
              </w:rPr>
            </w:pPr>
            <w:r>
              <w:rPr>
                <w:b/>
                <w:sz w:val="21"/>
              </w:rPr>
              <w:t>埃博拉病毒感染</w:t>
            </w:r>
          </w:p>
        </w:tc>
        <w:tc>
          <w:tcPr>
            <w:tcW w:w="6612" w:type="dxa"/>
          </w:tcPr>
          <w:p>
            <w:pPr>
              <w:pStyle w:val="TableParagraph"/>
              <w:spacing w:before="49"/>
              <w:rPr>
                <w:sz w:val="21"/>
              </w:rPr>
            </w:pPr>
            <w:r>
              <w:rPr>
                <w:sz w:val="21"/>
              </w:rPr>
              <w:t>指埃博拉病毒感染导致的烈性传染病，并须满足下列全部条件：</w:t>
            </w:r>
          </w:p>
          <w:p>
            <w:pPr>
              <w:pStyle w:val="TableParagraph"/>
              <w:spacing w:before="37"/>
              <w:rPr>
                <w:sz w:val="21"/>
              </w:rPr>
            </w:pPr>
            <w:r>
              <w:rPr>
                <w:sz w:val="21"/>
              </w:rPr>
              <w:t>(1)实验室检查证实埃博拉病毒的存在；</w:t>
            </w:r>
          </w:p>
          <w:p>
            <w:pPr>
              <w:pStyle w:val="TableParagraph"/>
              <w:spacing w:before="37"/>
              <w:rPr>
                <w:sz w:val="21"/>
              </w:rPr>
            </w:pPr>
            <w:r>
              <w:rPr>
                <w:sz w:val="21"/>
              </w:rPr>
              <w:t>(2)从发病开始有超过 30 天的进行性感染症状。</w:t>
            </w:r>
          </w:p>
        </w:tc>
      </w:tr>
      <w:tr>
        <w:trPr>
          <w:trHeight w:val="1469" w:hRule="atLeast"/>
        </w:trPr>
        <w:tc>
          <w:tcPr>
            <w:tcW w:w="1156" w:type="dxa"/>
          </w:tcPr>
          <w:p>
            <w:pPr>
              <w:pStyle w:val="TableParagraph"/>
              <w:spacing w:before="49"/>
              <w:ind w:left="200"/>
              <w:rPr>
                <w:b/>
                <w:sz w:val="21"/>
              </w:rPr>
            </w:pPr>
            <w:r>
              <w:rPr>
                <w:b/>
                <w:sz w:val="21"/>
              </w:rPr>
              <w:t>10.1.73</w:t>
            </w:r>
          </w:p>
        </w:tc>
        <w:tc>
          <w:tcPr>
            <w:tcW w:w="2068" w:type="dxa"/>
          </w:tcPr>
          <w:p>
            <w:pPr>
              <w:pStyle w:val="TableParagraph"/>
              <w:spacing w:line="273" w:lineRule="auto" w:before="49"/>
              <w:ind w:left="215" w:right="161"/>
              <w:rPr>
                <w:b/>
                <w:sz w:val="21"/>
              </w:rPr>
            </w:pPr>
            <w:r>
              <w:rPr>
                <w:b/>
                <w:sz w:val="21"/>
              </w:rPr>
              <w:t>破裂脑动脉瘤夹闭手术</w:t>
            </w:r>
          </w:p>
        </w:tc>
        <w:tc>
          <w:tcPr>
            <w:tcW w:w="6612" w:type="dxa"/>
          </w:tcPr>
          <w:p>
            <w:pPr>
              <w:pStyle w:val="TableParagraph"/>
              <w:spacing w:line="273" w:lineRule="auto" w:before="49"/>
              <w:ind w:right="349"/>
              <w:rPr>
                <w:sz w:val="21"/>
              </w:rPr>
            </w:pPr>
            <w:r>
              <w:rPr>
                <w:sz w:val="21"/>
              </w:rPr>
              <w:t>指因脑动脉瘤破裂造成蛛网膜下腔出血，被保险人实际接受了在全麻下进行的开颅动脉瘤夹闭手术。</w:t>
            </w:r>
          </w:p>
          <w:p>
            <w:pPr>
              <w:pStyle w:val="TableParagraph"/>
              <w:spacing w:line="273" w:lineRule="auto" w:before="87"/>
              <w:ind w:right="133"/>
              <w:rPr>
                <w:rFonts w:ascii="黑体" w:eastAsia="黑体" w:hint="eastAsia"/>
                <w:sz w:val="21"/>
              </w:rPr>
            </w:pPr>
            <w:r>
              <w:rPr>
                <w:rFonts w:ascii="黑体" w:eastAsia="黑体" w:hint="eastAsia"/>
                <w:sz w:val="21"/>
              </w:rPr>
              <w:t>脑动脉瘤（未破裂）预防性手术、颅骨打孔手术、动脉瘤栓塞手术、血管内手术及其他颅脑手术不在保障范围内。</w:t>
            </w:r>
          </w:p>
        </w:tc>
      </w:tr>
      <w:tr>
        <w:trPr>
          <w:trHeight w:val="1778" w:hRule="atLeast"/>
        </w:trPr>
        <w:tc>
          <w:tcPr>
            <w:tcW w:w="1156" w:type="dxa"/>
          </w:tcPr>
          <w:p>
            <w:pPr>
              <w:pStyle w:val="TableParagraph"/>
              <w:spacing w:before="49"/>
              <w:ind w:left="200"/>
              <w:rPr>
                <w:b/>
                <w:sz w:val="21"/>
              </w:rPr>
            </w:pPr>
            <w:r>
              <w:rPr>
                <w:b/>
                <w:sz w:val="21"/>
              </w:rPr>
              <w:t>10.1.74</w:t>
            </w:r>
          </w:p>
        </w:tc>
        <w:tc>
          <w:tcPr>
            <w:tcW w:w="2068" w:type="dxa"/>
          </w:tcPr>
          <w:p>
            <w:pPr>
              <w:pStyle w:val="TableParagraph"/>
              <w:spacing w:before="49"/>
              <w:ind w:left="215"/>
              <w:rPr>
                <w:b/>
                <w:sz w:val="21"/>
              </w:rPr>
            </w:pPr>
            <w:r>
              <w:rPr>
                <w:b/>
                <w:sz w:val="21"/>
              </w:rPr>
              <w:t>全子宫切除手术</w:t>
            </w:r>
          </w:p>
        </w:tc>
        <w:tc>
          <w:tcPr>
            <w:tcW w:w="6612" w:type="dxa"/>
          </w:tcPr>
          <w:p>
            <w:pPr>
              <w:pStyle w:val="TableParagraph"/>
              <w:spacing w:line="273" w:lineRule="auto" w:before="49"/>
              <w:ind w:right="132"/>
              <w:rPr>
                <w:sz w:val="21"/>
              </w:rPr>
            </w:pPr>
            <w:r>
              <w:rPr>
                <w:sz w:val="21"/>
              </w:rPr>
              <w:t>被保险人在满 45 岁以后根据妇产科专科医生的建议实际接受了为了治疗子宫疾病而施行的全子宫切除手术（切除子宫体和子宫颈）。</w:t>
            </w:r>
          </w:p>
          <w:p>
            <w:pPr>
              <w:pStyle w:val="TableParagraph"/>
              <w:spacing w:before="84"/>
              <w:rPr>
                <w:rFonts w:ascii="黑体" w:eastAsia="黑体" w:hint="eastAsia"/>
                <w:sz w:val="21"/>
              </w:rPr>
            </w:pPr>
            <w:r>
              <w:rPr>
                <w:rFonts w:ascii="黑体" w:eastAsia="黑体" w:hint="eastAsia"/>
                <w:sz w:val="21"/>
              </w:rPr>
              <w:t>为了控制Th育、治疗宫颈炎、轻微子宫异常出血（血色素大于</w:t>
            </w:r>
          </w:p>
          <w:p>
            <w:pPr>
              <w:pStyle w:val="TableParagraph"/>
              <w:spacing w:line="273" w:lineRule="auto" w:before="37"/>
              <w:ind w:right="349"/>
              <w:rPr>
                <w:rFonts w:ascii="黑体" w:eastAsia="黑体" w:hint="eastAsia"/>
                <w:sz w:val="21"/>
              </w:rPr>
            </w:pPr>
            <w:r>
              <w:rPr>
                <w:rFonts w:ascii="黑体" w:eastAsia="黑体" w:hint="eastAsia"/>
                <w:w w:val="100"/>
                <w:sz w:val="21"/>
              </w:rPr>
              <w:t>9.5g/</w:t>
            </w:r>
            <w:r>
              <w:rPr>
                <w:rFonts w:ascii="黑体" w:eastAsia="黑体" w:hint="eastAsia"/>
                <w:spacing w:val="-3"/>
                <w:w w:val="100"/>
                <w:sz w:val="21"/>
              </w:rPr>
              <w:t>d</w:t>
            </w:r>
            <w:r>
              <w:rPr>
                <w:rFonts w:ascii="黑体" w:eastAsia="黑体" w:hint="eastAsia"/>
                <w:spacing w:val="-1"/>
                <w:w w:val="100"/>
                <w:sz w:val="21"/>
              </w:rPr>
              <w:t>l</w:t>
            </w:r>
            <w:r>
              <w:rPr>
                <w:rFonts w:ascii="黑体" w:eastAsia="黑体" w:hint="eastAsia"/>
                <w:spacing w:val="-106"/>
                <w:w w:val="100"/>
                <w:sz w:val="21"/>
              </w:rPr>
              <w:t>）</w:t>
            </w:r>
            <w:r>
              <w:rPr>
                <w:rFonts w:ascii="黑体" w:eastAsia="黑体" w:hint="eastAsia"/>
                <w:spacing w:val="-3"/>
                <w:w w:val="100"/>
                <w:sz w:val="21"/>
              </w:rPr>
              <w:t>、子宫颈原位癌而施行的全子宫切除手术或部分子宫切除</w:t>
            </w:r>
            <w:r>
              <w:rPr>
                <w:rFonts w:ascii="黑体" w:eastAsia="黑体" w:hint="eastAsia"/>
                <w:spacing w:val="-3"/>
                <w:sz w:val="21"/>
              </w:rPr>
              <w:t>手术，子宫肌瘤剔除手术不在本合同保障范围内。</w:t>
            </w:r>
          </w:p>
        </w:tc>
      </w:tr>
      <w:tr>
        <w:trPr>
          <w:trHeight w:val="1390" w:hRule="atLeast"/>
        </w:trPr>
        <w:tc>
          <w:tcPr>
            <w:tcW w:w="1156" w:type="dxa"/>
          </w:tcPr>
          <w:p>
            <w:pPr>
              <w:pStyle w:val="TableParagraph"/>
              <w:spacing w:before="49"/>
              <w:ind w:left="200"/>
              <w:rPr>
                <w:b/>
                <w:sz w:val="21"/>
              </w:rPr>
            </w:pPr>
            <w:r>
              <w:rPr>
                <w:b/>
                <w:sz w:val="21"/>
              </w:rPr>
              <w:t>10.1.75</w:t>
            </w:r>
          </w:p>
        </w:tc>
        <w:tc>
          <w:tcPr>
            <w:tcW w:w="2068" w:type="dxa"/>
          </w:tcPr>
          <w:p>
            <w:pPr>
              <w:pStyle w:val="TableParagraph"/>
              <w:spacing w:before="49"/>
              <w:ind w:left="215"/>
              <w:rPr>
                <w:b/>
                <w:sz w:val="21"/>
              </w:rPr>
            </w:pPr>
            <w:r>
              <w:rPr>
                <w:b/>
                <w:sz w:val="21"/>
              </w:rPr>
              <w:t>主动脉夹层瘤</w:t>
            </w:r>
          </w:p>
        </w:tc>
        <w:tc>
          <w:tcPr>
            <w:tcW w:w="6612" w:type="dxa"/>
          </w:tcPr>
          <w:p>
            <w:pPr>
              <w:pStyle w:val="TableParagraph"/>
              <w:spacing w:line="273" w:lineRule="auto" w:before="49"/>
              <w:ind w:right="301"/>
              <w:jc w:val="both"/>
              <w:rPr>
                <w:sz w:val="21"/>
              </w:rPr>
            </w:pPr>
            <w:r>
              <w:rPr>
                <w:spacing w:val="-3"/>
                <w:sz w:val="21"/>
              </w:rPr>
              <w:t>指主动脉腔内的血流通过主动脉内膜的破裂口进入主动脉内壁而形</w:t>
            </w:r>
            <w:r>
              <w:rPr>
                <w:spacing w:val="-6"/>
                <w:w w:val="100"/>
                <w:sz w:val="21"/>
              </w:rPr>
              <w:t>成血肿。被保险人需通过断层扫描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06"/>
                <w:w w:val="100"/>
                <w:sz w:val="21"/>
              </w:rPr>
              <w:t>）</w:t>
            </w:r>
            <w:r>
              <w:rPr>
                <w:spacing w:val="-8"/>
                <w:w w:val="100"/>
                <w:sz w:val="21"/>
              </w:rPr>
              <w:t>、磁</w:t>
            </w:r>
            <w:r>
              <w:rPr>
                <w:spacing w:val="-8"/>
                <w:sz w:val="21"/>
              </w:rPr>
              <w:t>共振血管检验法</w:t>
            </w:r>
            <w:r>
              <w:rPr>
                <w:spacing w:val="-5"/>
                <w:sz w:val="21"/>
              </w:rPr>
              <w:t>（MRA）或血管扫描等检查，并且实施了胸腹切开的</w:t>
            </w:r>
            <w:r>
              <w:rPr>
                <w:spacing w:val="-4"/>
                <w:sz w:val="21"/>
              </w:rPr>
              <w:t>直视主动脉手术。</w:t>
            </w:r>
          </w:p>
        </w:tc>
      </w:tr>
      <w:tr>
        <w:trPr>
          <w:trHeight w:val="3107" w:hRule="atLeast"/>
        </w:trPr>
        <w:tc>
          <w:tcPr>
            <w:tcW w:w="1156" w:type="dxa"/>
          </w:tcPr>
          <w:p>
            <w:pPr>
              <w:pStyle w:val="TableParagraph"/>
              <w:spacing w:before="50"/>
              <w:ind w:left="200"/>
              <w:rPr>
                <w:b/>
                <w:sz w:val="21"/>
              </w:rPr>
            </w:pPr>
            <w:r>
              <w:rPr>
                <w:b/>
                <w:sz w:val="21"/>
              </w:rPr>
              <w:t>10.1.76</w:t>
            </w:r>
          </w:p>
        </w:tc>
        <w:tc>
          <w:tcPr>
            <w:tcW w:w="2068" w:type="dxa"/>
          </w:tcPr>
          <w:p>
            <w:pPr>
              <w:pStyle w:val="TableParagraph"/>
              <w:spacing w:before="50"/>
              <w:ind w:left="215"/>
              <w:rPr>
                <w:b/>
                <w:sz w:val="21"/>
              </w:rPr>
            </w:pPr>
            <w:r>
              <w:rPr>
                <w:b/>
                <w:sz w:val="21"/>
              </w:rPr>
              <w:t>失去一肢及一眼</w:t>
            </w:r>
          </w:p>
        </w:tc>
        <w:tc>
          <w:tcPr>
            <w:tcW w:w="6612" w:type="dxa"/>
          </w:tcPr>
          <w:p>
            <w:pPr>
              <w:pStyle w:val="TableParagraph"/>
              <w:spacing w:line="273" w:lineRule="auto" w:before="50"/>
              <w:ind w:right="349"/>
              <w:rPr>
                <w:sz w:val="21"/>
              </w:rPr>
            </w:pPr>
            <w:r>
              <w:rPr>
                <w:sz w:val="21"/>
              </w:rPr>
              <w:t>因疾病或意外伤害导致单眼视力丧失及任何一肢自腕关节或踝关节近端（靠近躯干端）以上完全性断离。</w:t>
            </w:r>
          </w:p>
          <w:p>
            <w:pPr>
              <w:pStyle w:val="TableParagraph"/>
              <w:spacing w:line="273" w:lineRule="auto" w:before="84"/>
              <w:ind w:right="349"/>
              <w:rPr>
                <w:sz w:val="21"/>
              </w:rPr>
            </w:pPr>
            <w:r>
              <w:rPr>
                <w:sz w:val="21"/>
              </w:rPr>
              <w:t>单眼视力丧失指单眼视力永久不可逆性丧失，患眼须满足下列至少一项条件：</w:t>
            </w:r>
          </w:p>
          <w:p>
            <w:pPr>
              <w:pStyle w:val="TableParagraph"/>
              <w:spacing w:before="7"/>
              <w:rPr>
                <w:sz w:val="21"/>
              </w:rPr>
            </w:pPr>
            <w:r>
              <w:rPr>
                <w:sz w:val="21"/>
              </w:rPr>
              <w:t>(1)眼球缺失或摘除；</w:t>
            </w:r>
          </w:p>
          <w:p>
            <w:pPr>
              <w:pStyle w:val="TableParagraph"/>
              <w:spacing w:line="273" w:lineRule="auto" w:before="36"/>
              <w:ind w:right="402"/>
              <w:rPr>
                <w:sz w:val="21"/>
              </w:rPr>
            </w:pPr>
            <w:r>
              <w:rPr>
                <w:sz w:val="21"/>
              </w:rPr>
              <w:t>(2)</w:t>
            </w:r>
            <w:r>
              <w:rPr>
                <w:spacing w:val="-7"/>
                <w:sz w:val="21"/>
              </w:rPr>
              <w:t>矫正视力低于 </w:t>
            </w:r>
            <w:r>
              <w:rPr>
                <w:sz w:val="21"/>
              </w:rPr>
              <w:t>0.02（</w:t>
            </w:r>
            <w:r>
              <w:rPr>
                <w:spacing w:val="-3"/>
                <w:sz w:val="21"/>
              </w:rPr>
              <w:t>采用国际标准视力表，如果使用其它视力</w:t>
            </w:r>
            <w:r>
              <w:rPr>
                <w:spacing w:val="-3"/>
                <w:w w:val="100"/>
                <w:sz w:val="21"/>
              </w:rPr>
              <w:t>表应进行换算</w:t>
            </w:r>
            <w:r>
              <w:rPr>
                <w:spacing w:val="-108"/>
                <w:w w:val="100"/>
                <w:sz w:val="21"/>
              </w:rPr>
              <w:t>）</w:t>
            </w:r>
            <w:r>
              <w:rPr>
                <w:w w:val="100"/>
                <w:sz w:val="21"/>
              </w:rPr>
              <w:t>；</w:t>
            </w:r>
          </w:p>
          <w:p>
            <w:pPr>
              <w:pStyle w:val="TableParagraph"/>
              <w:spacing w:before="7"/>
              <w:rPr>
                <w:sz w:val="21"/>
              </w:rPr>
            </w:pPr>
            <w:r>
              <w:rPr>
                <w:sz w:val="21"/>
              </w:rPr>
              <w:t>(3)视野半径小于 5 度。</w:t>
            </w:r>
          </w:p>
          <w:p>
            <w:pPr>
              <w:pStyle w:val="TableParagraph"/>
              <w:spacing w:before="116"/>
              <w:rPr>
                <w:rFonts w:ascii="黑体" w:eastAsia="黑体" w:hint="eastAsia"/>
                <w:sz w:val="21"/>
              </w:rPr>
            </w:pPr>
            <w:r>
              <w:rPr>
                <w:rFonts w:ascii="黑体" w:eastAsia="黑体" w:hint="eastAsia"/>
                <w:sz w:val="21"/>
              </w:rPr>
              <w:t>被保险人在 3 周岁之前因疾病导致单眼视力丧失不在保障范围内。</w:t>
            </w:r>
          </w:p>
        </w:tc>
      </w:tr>
      <w:tr>
        <w:trPr>
          <w:trHeight w:val="2014" w:hRule="atLeast"/>
        </w:trPr>
        <w:tc>
          <w:tcPr>
            <w:tcW w:w="1156" w:type="dxa"/>
          </w:tcPr>
          <w:p>
            <w:pPr>
              <w:pStyle w:val="TableParagraph"/>
              <w:spacing w:before="49"/>
              <w:ind w:left="200"/>
              <w:rPr>
                <w:b/>
                <w:sz w:val="21"/>
              </w:rPr>
            </w:pPr>
            <w:r>
              <w:rPr>
                <w:b/>
                <w:sz w:val="21"/>
              </w:rPr>
              <w:t>10.1.77</w:t>
            </w:r>
          </w:p>
        </w:tc>
        <w:tc>
          <w:tcPr>
            <w:tcW w:w="2068" w:type="dxa"/>
          </w:tcPr>
          <w:p>
            <w:pPr>
              <w:pStyle w:val="TableParagraph"/>
              <w:spacing w:before="49"/>
              <w:ind w:left="215"/>
              <w:rPr>
                <w:b/>
                <w:sz w:val="21"/>
              </w:rPr>
            </w:pPr>
            <w:r>
              <w:rPr>
                <w:b/>
                <w:sz w:val="21"/>
              </w:rPr>
              <w:t>肺淋巴管肌瘤病</w:t>
            </w:r>
          </w:p>
        </w:tc>
        <w:tc>
          <w:tcPr>
            <w:tcW w:w="6612" w:type="dxa"/>
          </w:tcPr>
          <w:p>
            <w:pPr>
              <w:pStyle w:val="TableParagraph"/>
              <w:spacing w:line="273" w:lineRule="auto" w:before="49"/>
              <w:ind w:right="349"/>
              <w:jc w:val="both"/>
              <w:rPr>
                <w:sz w:val="21"/>
              </w:rPr>
            </w:pPr>
            <w:r>
              <w:rPr>
                <w:sz w:val="21"/>
              </w:rPr>
              <w:t>肺淋巴管肌瘤病是一种弥漫性肺部疾病，主要病理改变为肺间质、支气管、血管和淋巴管内出现未成熟的平滑肌异常增生，同时需满足下列条件：</w:t>
            </w:r>
          </w:p>
          <w:p>
            <w:pPr>
              <w:pStyle w:val="TableParagraph"/>
              <w:spacing w:before="7"/>
              <w:jc w:val="both"/>
              <w:rPr>
                <w:sz w:val="21"/>
              </w:rPr>
            </w:pPr>
            <w:r>
              <w:rPr>
                <w:sz w:val="21"/>
              </w:rPr>
              <w:t>(1)经组织病理学诊断；</w:t>
            </w:r>
          </w:p>
          <w:p>
            <w:pPr>
              <w:pStyle w:val="TableParagraph"/>
              <w:spacing w:before="36"/>
              <w:jc w:val="both"/>
              <w:rPr>
                <w:sz w:val="21"/>
              </w:rPr>
            </w:pPr>
            <w:r>
              <w:rPr>
                <w:sz w:val="21"/>
              </w:rPr>
              <w:t>(2)CT 显示双肺弥漫性囊性改变；</w:t>
            </w:r>
          </w:p>
          <w:p>
            <w:pPr>
              <w:pStyle w:val="TableParagraph"/>
              <w:spacing w:before="36"/>
              <w:jc w:val="both"/>
              <w:rPr>
                <w:sz w:val="21"/>
              </w:rPr>
            </w:pPr>
            <w:r>
              <w:rPr>
                <w:sz w:val="21"/>
              </w:rPr>
              <w:t>(3)血气提示低氧血症。</w:t>
            </w:r>
          </w:p>
        </w:tc>
      </w:tr>
      <w:tr>
        <w:trPr>
          <w:trHeight w:val="1077" w:hRule="atLeast"/>
        </w:trPr>
        <w:tc>
          <w:tcPr>
            <w:tcW w:w="1156" w:type="dxa"/>
          </w:tcPr>
          <w:p>
            <w:pPr>
              <w:pStyle w:val="TableParagraph"/>
              <w:spacing w:before="49"/>
              <w:ind w:left="200"/>
              <w:rPr>
                <w:b/>
                <w:sz w:val="21"/>
              </w:rPr>
            </w:pPr>
            <w:r>
              <w:rPr>
                <w:b/>
                <w:sz w:val="21"/>
              </w:rPr>
              <w:t>10.1.78</w:t>
            </w:r>
          </w:p>
        </w:tc>
        <w:tc>
          <w:tcPr>
            <w:tcW w:w="2068" w:type="dxa"/>
          </w:tcPr>
          <w:p>
            <w:pPr>
              <w:pStyle w:val="TableParagraph"/>
              <w:spacing w:before="49"/>
              <w:ind w:left="215"/>
              <w:rPr>
                <w:b/>
                <w:sz w:val="21"/>
              </w:rPr>
            </w:pPr>
            <w:r>
              <w:rPr>
                <w:b/>
                <w:sz w:val="21"/>
              </w:rPr>
              <w:t>肺泡蛋白质沉积症</w:t>
            </w:r>
          </w:p>
        </w:tc>
        <w:tc>
          <w:tcPr>
            <w:tcW w:w="6612" w:type="dxa"/>
          </w:tcPr>
          <w:p>
            <w:pPr>
              <w:pStyle w:val="TableParagraph"/>
              <w:spacing w:line="273" w:lineRule="auto" w:before="49"/>
              <w:ind w:right="349"/>
              <w:rPr>
                <w:sz w:val="21"/>
              </w:rPr>
            </w:pPr>
            <w:r>
              <w:rPr>
                <w:spacing w:val="-5"/>
                <w:sz w:val="21"/>
              </w:rPr>
              <w:t>指肺泡和细支气管腔内充满不可溶性富磷脂蛋白的疾病，胸部 </w:t>
            </w:r>
            <w:r>
              <w:rPr>
                <w:sz w:val="21"/>
              </w:rPr>
              <w:t>X</w:t>
            </w:r>
            <w:r>
              <w:rPr>
                <w:spacing w:val="-19"/>
                <w:sz w:val="21"/>
              </w:rPr>
              <w:t> 线</w:t>
            </w:r>
            <w:r>
              <w:rPr>
                <w:spacing w:val="-8"/>
                <w:sz w:val="21"/>
              </w:rPr>
              <w:t>呈双肺弥漫性肺部磨玻璃影，病理学检查肺泡内充满有过碘酸雪夫</w:t>
            </w:r>
          </w:p>
          <w:p>
            <w:pPr>
              <w:pStyle w:val="TableParagraph"/>
              <w:spacing w:before="7"/>
              <w:rPr>
                <w:sz w:val="21"/>
              </w:rPr>
            </w:pPr>
            <w:r>
              <w:rPr>
                <w:sz w:val="21"/>
              </w:rPr>
              <w:t>（PAS）染色阳性的蛋白样物质，并且接受了肺灌洗治疗。</w:t>
            </w:r>
          </w:p>
        </w:tc>
      </w:tr>
      <w:tr>
        <w:trPr>
          <w:trHeight w:val="1268" w:hRule="atLeast"/>
        </w:trPr>
        <w:tc>
          <w:tcPr>
            <w:tcW w:w="1156" w:type="dxa"/>
          </w:tcPr>
          <w:p>
            <w:pPr>
              <w:pStyle w:val="TableParagraph"/>
              <w:spacing w:before="49"/>
              <w:ind w:left="200"/>
              <w:rPr>
                <w:b/>
                <w:sz w:val="21"/>
              </w:rPr>
            </w:pPr>
            <w:r>
              <w:rPr>
                <w:b/>
                <w:sz w:val="21"/>
              </w:rPr>
              <w:t>10.1.79</w:t>
            </w:r>
          </w:p>
        </w:tc>
        <w:tc>
          <w:tcPr>
            <w:tcW w:w="2068" w:type="dxa"/>
          </w:tcPr>
          <w:p>
            <w:pPr>
              <w:pStyle w:val="TableParagraph"/>
              <w:spacing w:line="273" w:lineRule="auto" w:before="49"/>
              <w:ind w:left="215" w:right="161"/>
              <w:rPr>
                <w:b/>
                <w:sz w:val="21"/>
              </w:rPr>
            </w:pPr>
            <w:r>
              <w:rPr>
                <w:b/>
                <w:sz w:val="21"/>
              </w:rPr>
              <w:t>疾病或外伤所致智力障碍</w:t>
            </w:r>
          </w:p>
        </w:tc>
        <w:tc>
          <w:tcPr>
            <w:tcW w:w="6612" w:type="dxa"/>
          </w:tcPr>
          <w:p>
            <w:pPr>
              <w:pStyle w:val="TableParagraph"/>
              <w:spacing w:line="273" w:lineRule="auto" w:before="49"/>
              <w:ind w:right="301"/>
              <w:rPr>
                <w:sz w:val="21"/>
              </w:rPr>
            </w:pPr>
            <w:r>
              <w:rPr>
                <w:spacing w:val="-5"/>
                <w:sz w:val="21"/>
              </w:rPr>
              <w:t>因严重头部创伤或疾病造成被保险人智力低常</w:t>
            </w:r>
            <w:r>
              <w:rPr>
                <w:spacing w:val="-3"/>
                <w:sz w:val="21"/>
              </w:rPr>
              <w:t>（智力低于常态</w:t>
            </w:r>
            <w:r>
              <w:rPr>
                <w:spacing w:val="-108"/>
                <w:sz w:val="21"/>
              </w:rPr>
              <w:t>）</w:t>
            </w:r>
            <w:r>
              <w:rPr>
                <w:spacing w:val="-14"/>
                <w:sz w:val="21"/>
              </w:rPr>
              <w:t>。根</w:t>
            </w:r>
            <w:r>
              <w:rPr>
                <w:spacing w:val="-14"/>
                <w:w w:val="100"/>
                <w:sz w:val="21"/>
              </w:rPr>
              <w:t>据智商</w:t>
            </w:r>
            <w:r>
              <w:rPr>
                <w:w w:val="100"/>
                <w:sz w:val="21"/>
              </w:rPr>
              <w:t>（I</w:t>
            </w:r>
            <w:r>
              <w:rPr>
                <w:spacing w:val="-3"/>
                <w:w w:val="100"/>
                <w:sz w:val="21"/>
              </w:rPr>
              <w:t>Q</w:t>
            </w:r>
            <w:r>
              <w:rPr>
                <w:spacing w:val="-106"/>
                <w:w w:val="100"/>
                <w:sz w:val="21"/>
              </w:rPr>
              <w:t>）</w:t>
            </w:r>
            <w:r>
              <w:rPr>
                <w:spacing w:val="-5"/>
                <w:w w:val="100"/>
                <w:sz w:val="21"/>
              </w:rPr>
              <w:t>，智力低常分为轻度</w:t>
            </w:r>
            <w:r>
              <w:rPr>
                <w:w w:val="100"/>
                <w:sz w:val="21"/>
              </w:rPr>
              <w:t>（I</w:t>
            </w:r>
            <w:r>
              <w:rPr>
                <w:spacing w:val="-3"/>
                <w:w w:val="100"/>
                <w:sz w:val="21"/>
              </w:rPr>
              <w:t>Q</w:t>
            </w:r>
            <w:r>
              <w:rPr>
                <w:w w:val="100"/>
                <w:sz w:val="21"/>
              </w:rPr>
              <w:t>5</w:t>
            </w:r>
            <w:r>
              <w:rPr>
                <w:spacing w:val="-1"/>
                <w:w w:val="100"/>
                <w:sz w:val="21"/>
              </w:rPr>
              <w:t>0</w:t>
            </w:r>
            <w:r>
              <w:rPr>
                <w:w w:val="100"/>
                <w:sz w:val="21"/>
              </w:rPr>
              <w:t>-</w:t>
            </w:r>
            <w:r>
              <w:rPr>
                <w:spacing w:val="-3"/>
                <w:w w:val="100"/>
                <w:sz w:val="21"/>
              </w:rPr>
              <w:t>7</w:t>
            </w:r>
            <w:r>
              <w:rPr>
                <w:w w:val="100"/>
                <w:sz w:val="21"/>
              </w:rPr>
              <w:t>0</w:t>
            </w:r>
            <w:r>
              <w:rPr>
                <w:spacing w:val="-106"/>
                <w:w w:val="100"/>
                <w:sz w:val="21"/>
              </w:rPr>
              <w:t>）</w:t>
            </w:r>
            <w:r>
              <w:rPr>
                <w:spacing w:val="-9"/>
                <w:w w:val="100"/>
                <w:sz w:val="21"/>
              </w:rPr>
              <w:t>；中度</w:t>
            </w:r>
            <w:r>
              <w:rPr>
                <w:w w:val="100"/>
                <w:sz w:val="21"/>
              </w:rPr>
              <w:t>（IQ3</w:t>
            </w:r>
            <w:r>
              <w:rPr>
                <w:spacing w:val="-3"/>
                <w:w w:val="100"/>
                <w:sz w:val="21"/>
              </w:rPr>
              <w:t>5</w:t>
            </w:r>
            <w:r>
              <w:rPr>
                <w:w w:val="100"/>
                <w:sz w:val="21"/>
              </w:rPr>
              <w:t>-50</w:t>
            </w:r>
            <w:r>
              <w:rPr>
                <w:spacing w:val="-108"/>
                <w:w w:val="100"/>
                <w:sz w:val="21"/>
              </w:rPr>
              <w:t>）</w:t>
            </w:r>
            <w:r>
              <w:rPr>
                <w:spacing w:val="-5"/>
                <w:w w:val="100"/>
                <w:sz w:val="21"/>
              </w:rPr>
              <w:t>；重</w:t>
            </w:r>
          </w:p>
          <w:p>
            <w:pPr>
              <w:pStyle w:val="TableParagraph"/>
              <w:spacing w:line="312" w:lineRule="exact" w:before="3"/>
              <w:ind w:right="301"/>
              <w:rPr>
                <w:sz w:val="21"/>
              </w:rPr>
            </w:pPr>
            <w:r>
              <w:rPr>
                <w:spacing w:val="-15"/>
                <w:w w:val="100"/>
                <w:sz w:val="21"/>
              </w:rPr>
              <w:t>度</w:t>
            </w:r>
            <w:r>
              <w:rPr>
                <w:w w:val="100"/>
                <w:sz w:val="21"/>
              </w:rPr>
              <w:t>（IQ</w:t>
            </w:r>
            <w:r>
              <w:rPr>
                <w:spacing w:val="-3"/>
                <w:w w:val="100"/>
                <w:sz w:val="21"/>
              </w:rPr>
              <w:t>2</w:t>
            </w:r>
            <w:r>
              <w:rPr>
                <w:spacing w:val="-1"/>
                <w:w w:val="100"/>
                <w:sz w:val="21"/>
              </w:rPr>
              <w:t>0</w:t>
            </w:r>
            <w:r>
              <w:rPr>
                <w:w w:val="100"/>
                <w:sz w:val="21"/>
              </w:rPr>
              <w:t>-3</w:t>
            </w:r>
            <w:r>
              <w:rPr>
                <w:spacing w:val="-3"/>
                <w:w w:val="100"/>
                <w:sz w:val="21"/>
              </w:rPr>
              <w:t>5</w:t>
            </w:r>
            <w:r>
              <w:rPr>
                <w:spacing w:val="-15"/>
                <w:w w:val="100"/>
                <w:sz w:val="21"/>
              </w:rPr>
              <w:t>）</w:t>
            </w:r>
            <w:r>
              <w:rPr>
                <w:spacing w:val="-6"/>
                <w:w w:val="100"/>
                <w:sz w:val="21"/>
              </w:rPr>
              <w:t>和极重度</w:t>
            </w:r>
            <w:r>
              <w:rPr>
                <w:spacing w:val="-3"/>
                <w:w w:val="100"/>
                <w:sz w:val="21"/>
              </w:rPr>
              <w:t>（</w:t>
            </w:r>
            <w:r>
              <w:rPr>
                <w:w w:val="100"/>
                <w:sz w:val="21"/>
              </w:rPr>
              <w:t>IQ&lt;20</w:t>
            </w:r>
            <w:r>
              <w:rPr>
                <w:spacing w:val="-108"/>
                <w:w w:val="100"/>
                <w:sz w:val="21"/>
              </w:rPr>
              <w:t>）</w:t>
            </w:r>
            <w:r>
              <w:rPr>
                <w:spacing w:val="-5"/>
                <w:w w:val="100"/>
                <w:sz w:val="21"/>
              </w:rPr>
              <w:t>。智商的检测必须由我们认可的专</w:t>
            </w:r>
            <w:r>
              <w:rPr>
                <w:spacing w:val="-4"/>
                <w:sz w:val="21"/>
              </w:rPr>
              <w:t>职心理测验工作者进行，心理测验工作者必须持有由心理测量专业</w:t>
            </w:r>
          </w:p>
        </w:tc>
      </w:tr>
    </w:tbl>
    <w:p>
      <w:pPr>
        <w:spacing w:after="0" w:line="312" w:lineRule="exact"/>
        <w:rPr>
          <w:sz w:val="21"/>
        </w:rPr>
        <w:sectPr>
          <w:pgSz w:w="11910" w:h="16840"/>
          <w:pgMar w:top="1460" w:bottom="280" w:left="980" w:right="880"/>
        </w:sect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6"/>
        <w:gridCol w:w="2236"/>
        <w:gridCol w:w="2184"/>
        <w:gridCol w:w="1982"/>
        <w:gridCol w:w="1963"/>
      </w:tblGrid>
      <w:tr>
        <w:trPr>
          <w:trHeight w:val="612" w:hRule="atLeast"/>
        </w:trPr>
        <w:tc>
          <w:tcPr>
            <w:tcW w:w="3242" w:type="dxa"/>
            <w:gridSpan w:val="2"/>
            <w:vMerge w:val="restart"/>
            <w:tcBorders>
              <w:top w:val="nil"/>
              <w:left w:val="nil"/>
              <w:bottom w:val="nil"/>
              <w:right w:val="nil"/>
            </w:tcBorders>
          </w:tcPr>
          <w:p>
            <w:pPr>
              <w:pStyle w:val="TableParagraph"/>
              <w:ind w:left="0"/>
              <w:rPr>
                <w:rFonts w:ascii="Times New Roman"/>
                <w:sz w:val="20"/>
              </w:rPr>
            </w:pPr>
          </w:p>
        </w:tc>
        <w:tc>
          <w:tcPr>
            <w:tcW w:w="6129" w:type="dxa"/>
            <w:gridSpan w:val="3"/>
            <w:tcBorders>
              <w:top w:val="nil"/>
              <w:left w:val="nil"/>
              <w:bottom w:val="nil"/>
              <w:right w:val="nil"/>
            </w:tcBorders>
          </w:tcPr>
          <w:p>
            <w:pPr>
              <w:pStyle w:val="TableParagraph"/>
              <w:spacing w:line="203" w:lineRule="exact"/>
              <w:ind w:left="-5"/>
              <w:rPr>
                <w:sz w:val="21"/>
              </w:rPr>
            </w:pPr>
            <w:r>
              <w:rPr>
                <w:sz w:val="21"/>
              </w:rPr>
              <w:t>委员会资格认定书。根据被保险人年龄采用对应的智力量表如韦克</w:t>
            </w:r>
          </w:p>
          <w:p>
            <w:pPr>
              <w:pStyle w:val="TableParagraph"/>
              <w:spacing w:before="37"/>
              <w:ind w:left="-5"/>
              <w:rPr>
                <w:sz w:val="21"/>
              </w:rPr>
            </w:pPr>
            <w:r>
              <w:rPr>
                <w:spacing w:val="-2"/>
                <w:sz w:val="21"/>
              </w:rPr>
              <w:t>斯勒智力量表</w:t>
            </w:r>
            <w:r>
              <w:rPr>
                <w:spacing w:val="-3"/>
                <w:sz w:val="21"/>
              </w:rPr>
              <w:t>（儿童智力量表或成人智力量表</w:t>
            </w:r>
            <w:r>
              <w:rPr>
                <w:spacing w:val="-106"/>
                <w:sz w:val="21"/>
              </w:rPr>
              <w:t>）</w:t>
            </w:r>
            <w:r>
              <w:rPr>
                <w:sz w:val="21"/>
              </w:rPr>
              <w:t>。</w:t>
            </w:r>
          </w:p>
        </w:tc>
      </w:tr>
      <w:tr>
        <w:trPr>
          <w:trHeight w:val="2605" w:hRule="atLeast"/>
        </w:trPr>
        <w:tc>
          <w:tcPr>
            <w:tcW w:w="3242" w:type="dxa"/>
            <w:gridSpan w:val="2"/>
            <w:vMerge/>
            <w:tcBorders>
              <w:top w:val="nil"/>
              <w:left w:val="nil"/>
              <w:bottom w:val="nil"/>
              <w:right w:val="nil"/>
            </w:tcBorders>
          </w:tcPr>
          <w:p>
            <w:pPr>
              <w:rPr>
                <w:sz w:val="2"/>
                <w:szCs w:val="2"/>
              </w:rPr>
            </w:pPr>
          </w:p>
        </w:tc>
        <w:tc>
          <w:tcPr>
            <w:tcW w:w="6129" w:type="dxa"/>
            <w:gridSpan w:val="3"/>
            <w:tcBorders>
              <w:top w:val="nil"/>
              <w:left w:val="nil"/>
              <w:bottom w:val="nil"/>
              <w:right w:val="nil"/>
            </w:tcBorders>
          </w:tcPr>
          <w:p>
            <w:pPr>
              <w:pStyle w:val="TableParagraph"/>
              <w:spacing w:before="16"/>
              <w:ind w:left="-5"/>
              <w:rPr>
                <w:sz w:val="21"/>
              </w:rPr>
            </w:pPr>
            <w:r>
              <w:rPr>
                <w:sz w:val="21"/>
              </w:rPr>
              <w:t>理赔时必须满足下列全部条件：</w:t>
            </w:r>
          </w:p>
          <w:p>
            <w:pPr>
              <w:pStyle w:val="TableParagraph"/>
              <w:spacing w:before="36"/>
              <w:ind w:left="-5" w:right="-15"/>
              <w:rPr>
                <w:sz w:val="21"/>
              </w:rPr>
            </w:pPr>
            <w:r>
              <w:rPr>
                <w:sz w:val="21"/>
              </w:rPr>
              <w:t>(1)</w:t>
            </w:r>
            <w:r>
              <w:rPr>
                <w:spacing w:val="-6"/>
                <w:sz w:val="21"/>
              </w:rPr>
              <w:t>造成被保险人智力低常</w:t>
            </w:r>
            <w:r>
              <w:rPr>
                <w:sz w:val="21"/>
              </w:rPr>
              <w:t>（</w:t>
            </w:r>
            <w:r>
              <w:rPr>
                <w:spacing w:val="-3"/>
                <w:sz w:val="21"/>
              </w:rPr>
              <w:t>智力低于常态</w:t>
            </w:r>
            <w:r>
              <w:rPr>
                <w:spacing w:val="-27"/>
                <w:sz w:val="21"/>
              </w:rPr>
              <w:t>）</w:t>
            </w:r>
            <w:r>
              <w:rPr>
                <w:spacing w:val="-3"/>
                <w:sz w:val="21"/>
              </w:rPr>
              <w:t>的严重头部创伤或疾病</w:t>
            </w:r>
          </w:p>
          <w:p>
            <w:pPr>
              <w:pStyle w:val="TableParagraph"/>
              <w:spacing w:before="36"/>
              <w:ind w:left="-5"/>
              <w:rPr>
                <w:sz w:val="21"/>
              </w:rPr>
            </w:pPr>
            <w:r>
              <w:rPr>
                <w:sz w:val="21"/>
              </w:rPr>
              <w:t>（以入院日期为准）发生在被保险人 6 周岁以后；</w:t>
            </w:r>
          </w:p>
          <w:p>
            <w:pPr>
              <w:pStyle w:val="TableParagraph"/>
              <w:spacing w:line="273" w:lineRule="auto" w:before="36"/>
              <w:ind w:left="-5" w:right="142"/>
              <w:rPr>
                <w:sz w:val="21"/>
              </w:rPr>
            </w:pPr>
            <w:r>
              <w:rPr>
                <w:sz w:val="21"/>
              </w:rPr>
              <w:t>(2)儿科主任医师确诊被保险人由于严重头部创伤或疾病造成智力低常；</w:t>
            </w:r>
          </w:p>
          <w:p>
            <w:pPr>
              <w:pStyle w:val="TableParagraph"/>
              <w:spacing w:line="273" w:lineRule="auto" w:before="7"/>
              <w:ind w:left="-5" w:right="142"/>
              <w:rPr>
                <w:sz w:val="21"/>
              </w:rPr>
            </w:pPr>
            <w:r>
              <w:rPr>
                <w:sz w:val="21"/>
              </w:rPr>
              <w:t>(3)</w:t>
            </w:r>
            <w:r>
              <w:rPr>
                <w:spacing w:val="-3"/>
                <w:sz w:val="21"/>
              </w:rPr>
              <w:t>专职合格心理检测工作者适时做的心理检测证实被保险人智力</w:t>
            </w:r>
            <w:r>
              <w:rPr>
                <w:spacing w:val="-3"/>
                <w:w w:val="100"/>
                <w:sz w:val="21"/>
              </w:rPr>
              <w:t>低常（轻度、中度、重度或极重度</w:t>
            </w:r>
            <w:r>
              <w:rPr>
                <w:spacing w:val="-108"/>
                <w:w w:val="100"/>
                <w:sz w:val="21"/>
              </w:rPr>
              <w:t>）</w:t>
            </w:r>
            <w:r>
              <w:rPr>
                <w:w w:val="100"/>
                <w:sz w:val="21"/>
              </w:rPr>
              <w:t>；</w:t>
            </w:r>
          </w:p>
          <w:p>
            <w:pPr>
              <w:pStyle w:val="TableParagraph"/>
              <w:spacing w:before="7"/>
              <w:ind w:left="-5"/>
              <w:rPr>
                <w:sz w:val="21"/>
              </w:rPr>
            </w:pPr>
            <w:r>
              <w:rPr>
                <w:sz w:val="21"/>
              </w:rPr>
              <w:t>(4)被保险人的智力低常自确认日起持续 180 天以上。</w:t>
            </w:r>
          </w:p>
        </w:tc>
      </w:tr>
      <w:tr>
        <w:trPr>
          <w:trHeight w:val="1079" w:hRule="atLeast"/>
        </w:trPr>
        <w:tc>
          <w:tcPr>
            <w:tcW w:w="1006" w:type="dxa"/>
            <w:tcBorders>
              <w:top w:val="nil"/>
              <w:left w:val="nil"/>
              <w:bottom w:val="nil"/>
              <w:right w:val="nil"/>
            </w:tcBorders>
          </w:tcPr>
          <w:p>
            <w:pPr>
              <w:pStyle w:val="TableParagraph"/>
              <w:spacing w:before="49"/>
              <w:ind w:left="50"/>
              <w:rPr>
                <w:b/>
                <w:sz w:val="21"/>
              </w:rPr>
            </w:pPr>
            <w:r>
              <w:rPr>
                <w:b/>
                <w:sz w:val="21"/>
              </w:rPr>
              <w:t>10.1.80</w:t>
            </w:r>
          </w:p>
        </w:tc>
        <w:tc>
          <w:tcPr>
            <w:tcW w:w="2236" w:type="dxa"/>
            <w:tcBorders>
              <w:top w:val="nil"/>
              <w:left w:val="nil"/>
              <w:bottom w:val="nil"/>
              <w:right w:val="nil"/>
            </w:tcBorders>
          </w:tcPr>
          <w:p>
            <w:pPr>
              <w:pStyle w:val="TableParagraph"/>
              <w:spacing w:line="273" w:lineRule="auto" w:before="49"/>
              <w:ind w:left="215" w:right="329"/>
              <w:rPr>
                <w:b/>
                <w:sz w:val="21"/>
              </w:rPr>
            </w:pPr>
            <w:r>
              <w:rPr>
                <w:b/>
                <w:sz w:val="21"/>
              </w:rPr>
              <w:t>自体造血干细胞移植手术</w:t>
            </w:r>
          </w:p>
        </w:tc>
        <w:tc>
          <w:tcPr>
            <w:tcW w:w="6129" w:type="dxa"/>
            <w:gridSpan w:val="3"/>
            <w:tcBorders>
              <w:top w:val="nil"/>
              <w:left w:val="nil"/>
              <w:bottom w:val="nil"/>
              <w:right w:val="nil"/>
            </w:tcBorders>
          </w:tcPr>
          <w:p>
            <w:pPr>
              <w:pStyle w:val="TableParagraph"/>
              <w:spacing w:line="273" w:lineRule="auto" w:before="49"/>
              <w:ind w:left="-5" w:right="34"/>
              <w:jc w:val="both"/>
              <w:rPr>
                <w:sz w:val="21"/>
              </w:rPr>
            </w:pPr>
            <w:r>
              <w:rPr>
                <w:sz w:val="21"/>
              </w:rPr>
              <w:t>指因患者自身骨髓造血功能异常或为了达到治疗肿瘤的目的，采集患者自己的一部分造血干细胞，分离并深低温保存，再回输给患者使患者的造血功能和免疫功能重新恢复的自体移植手术。</w:t>
            </w:r>
          </w:p>
        </w:tc>
      </w:tr>
      <w:tr>
        <w:trPr>
          <w:trHeight w:val="382" w:hRule="atLeast"/>
        </w:trPr>
        <w:tc>
          <w:tcPr>
            <w:tcW w:w="1006" w:type="dxa"/>
            <w:tcBorders>
              <w:top w:val="nil"/>
              <w:left w:val="nil"/>
              <w:bottom w:val="nil"/>
              <w:right w:val="nil"/>
            </w:tcBorders>
          </w:tcPr>
          <w:p>
            <w:pPr>
              <w:pStyle w:val="TableParagraph"/>
              <w:spacing w:before="50"/>
              <w:ind w:left="50"/>
              <w:rPr>
                <w:b/>
                <w:sz w:val="21"/>
              </w:rPr>
            </w:pPr>
            <w:r>
              <w:rPr>
                <w:b/>
                <w:sz w:val="21"/>
              </w:rPr>
              <w:t>10.2</w:t>
            </w:r>
          </w:p>
        </w:tc>
        <w:tc>
          <w:tcPr>
            <w:tcW w:w="2236" w:type="dxa"/>
            <w:tcBorders>
              <w:top w:val="nil"/>
              <w:left w:val="nil"/>
              <w:bottom w:val="nil"/>
              <w:right w:val="nil"/>
            </w:tcBorders>
          </w:tcPr>
          <w:p>
            <w:pPr>
              <w:pStyle w:val="TableParagraph"/>
              <w:spacing w:before="50"/>
              <w:ind w:left="215"/>
              <w:rPr>
                <w:b/>
                <w:sz w:val="21"/>
              </w:rPr>
            </w:pPr>
            <w:r>
              <w:rPr>
                <w:b/>
                <w:sz w:val="21"/>
              </w:rPr>
              <w:t>重大疾病的分组</w:t>
            </w:r>
          </w:p>
        </w:tc>
        <w:tc>
          <w:tcPr>
            <w:tcW w:w="6129" w:type="dxa"/>
            <w:gridSpan w:val="3"/>
            <w:tcBorders>
              <w:top w:val="nil"/>
              <w:left w:val="nil"/>
              <w:right w:val="nil"/>
            </w:tcBorders>
          </w:tcPr>
          <w:p>
            <w:pPr>
              <w:pStyle w:val="TableParagraph"/>
              <w:spacing w:before="50"/>
              <w:ind w:left="-5"/>
              <w:rPr>
                <w:sz w:val="21"/>
              </w:rPr>
            </w:pPr>
            <w:r>
              <w:rPr>
                <w:sz w:val="21"/>
              </w:rPr>
              <w:t>本合同所承保的所有重大疾病分为以下三组：</w:t>
            </w:r>
          </w:p>
        </w:tc>
      </w:tr>
      <w:tr>
        <w:trPr>
          <w:trHeight w:val="311" w:hRule="atLeast"/>
        </w:trPr>
        <w:tc>
          <w:tcPr>
            <w:tcW w:w="1006" w:type="dxa"/>
            <w:tcBorders>
              <w:top w:val="nil"/>
              <w:left w:val="nil"/>
              <w:bottom w:val="nil"/>
              <w:right w:val="nil"/>
            </w:tcBorders>
          </w:tcPr>
          <w:p>
            <w:pPr>
              <w:pStyle w:val="TableParagraph"/>
              <w:ind w:left="0"/>
              <w:rPr>
                <w:rFonts w:ascii="Times New Roman"/>
                <w:sz w:val="20"/>
              </w:rPr>
            </w:pPr>
          </w:p>
        </w:tc>
        <w:tc>
          <w:tcPr>
            <w:tcW w:w="2236" w:type="dxa"/>
            <w:tcBorders>
              <w:top w:val="nil"/>
              <w:left w:val="nil"/>
              <w:bottom w:val="nil"/>
            </w:tcBorders>
          </w:tcPr>
          <w:p>
            <w:pPr>
              <w:pStyle w:val="TableParagraph"/>
              <w:ind w:left="0"/>
              <w:rPr>
                <w:rFonts w:ascii="Times New Roman"/>
                <w:sz w:val="20"/>
              </w:rPr>
            </w:pPr>
          </w:p>
        </w:tc>
        <w:tc>
          <w:tcPr>
            <w:tcW w:w="2184" w:type="dxa"/>
          </w:tcPr>
          <w:p>
            <w:pPr>
              <w:pStyle w:val="TableParagraph"/>
              <w:spacing w:line="254" w:lineRule="exact"/>
              <w:ind w:left="103"/>
              <w:rPr>
                <w:sz w:val="21"/>
              </w:rPr>
            </w:pPr>
            <w:r>
              <w:rPr>
                <w:sz w:val="21"/>
              </w:rPr>
              <w:t>A 组</w:t>
            </w:r>
          </w:p>
        </w:tc>
        <w:tc>
          <w:tcPr>
            <w:tcW w:w="1982" w:type="dxa"/>
          </w:tcPr>
          <w:p>
            <w:pPr>
              <w:pStyle w:val="TableParagraph"/>
              <w:spacing w:line="254" w:lineRule="exact"/>
              <w:ind w:left="101"/>
              <w:rPr>
                <w:sz w:val="21"/>
              </w:rPr>
            </w:pPr>
            <w:r>
              <w:rPr>
                <w:sz w:val="21"/>
              </w:rPr>
              <w:t>B 组</w:t>
            </w:r>
          </w:p>
        </w:tc>
        <w:tc>
          <w:tcPr>
            <w:tcW w:w="1963" w:type="dxa"/>
          </w:tcPr>
          <w:p>
            <w:pPr>
              <w:pStyle w:val="TableParagraph"/>
              <w:spacing w:line="254" w:lineRule="exact"/>
              <w:ind w:left="104"/>
              <w:rPr>
                <w:sz w:val="21"/>
              </w:rPr>
            </w:pPr>
            <w:r>
              <w:rPr>
                <w:sz w:val="21"/>
              </w:rPr>
              <w:t>C 组</w:t>
            </w:r>
          </w:p>
        </w:tc>
      </w:tr>
      <w:tr>
        <w:trPr>
          <w:trHeight w:val="311" w:hRule="atLeast"/>
        </w:trPr>
        <w:tc>
          <w:tcPr>
            <w:tcW w:w="1006" w:type="dxa"/>
            <w:tcBorders>
              <w:top w:val="nil"/>
              <w:left w:val="nil"/>
              <w:bottom w:val="nil"/>
              <w:right w:val="nil"/>
            </w:tcBorders>
          </w:tcPr>
          <w:p>
            <w:pPr>
              <w:pStyle w:val="TableParagraph"/>
              <w:ind w:left="0"/>
              <w:rPr>
                <w:rFonts w:ascii="Times New Roman"/>
                <w:sz w:val="20"/>
              </w:rPr>
            </w:pPr>
          </w:p>
        </w:tc>
        <w:tc>
          <w:tcPr>
            <w:tcW w:w="2236" w:type="dxa"/>
            <w:tcBorders>
              <w:top w:val="nil"/>
              <w:left w:val="nil"/>
              <w:bottom w:val="nil"/>
            </w:tcBorders>
          </w:tcPr>
          <w:p>
            <w:pPr>
              <w:pStyle w:val="TableParagraph"/>
              <w:ind w:left="0"/>
              <w:rPr>
                <w:rFonts w:ascii="Times New Roman"/>
                <w:sz w:val="20"/>
              </w:rPr>
            </w:pPr>
          </w:p>
        </w:tc>
        <w:tc>
          <w:tcPr>
            <w:tcW w:w="2184" w:type="dxa"/>
          </w:tcPr>
          <w:p>
            <w:pPr>
              <w:pStyle w:val="TableParagraph"/>
              <w:spacing w:line="254" w:lineRule="exact"/>
              <w:ind w:left="103"/>
              <w:rPr>
                <w:sz w:val="21"/>
              </w:rPr>
            </w:pPr>
            <w:r>
              <w:rPr>
                <w:sz w:val="21"/>
              </w:rPr>
              <w:t>恶性肿瘤</w:t>
            </w:r>
          </w:p>
        </w:tc>
        <w:tc>
          <w:tcPr>
            <w:tcW w:w="1982" w:type="dxa"/>
          </w:tcPr>
          <w:p>
            <w:pPr>
              <w:pStyle w:val="TableParagraph"/>
              <w:spacing w:line="254" w:lineRule="exact"/>
              <w:ind w:left="101"/>
              <w:rPr>
                <w:sz w:val="21"/>
              </w:rPr>
            </w:pPr>
            <w:r>
              <w:rPr>
                <w:sz w:val="21"/>
              </w:rPr>
              <w:t>急性心肌梗塞</w:t>
            </w:r>
          </w:p>
        </w:tc>
        <w:tc>
          <w:tcPr>
            <w:tcW w:w="1963" w:type="dxa"/>
          </w:tcPr>
          <w:p>
            <w:pPr>
              <w:pStyle w:val="TableParagraph"/>
              <w:spacing w:line="254" w:lineRule="exact"/>
              <w:ind w:left="104"/>
              <w:rPr>
                <w:sz w:val="21"/>
              </w:rPr>
            </w:pPr>
            <w:r>
              <w:rPr>
                <w:sz w:val="21"/>
              </w:rPr>
              <w:t>多个肢体缺失</w:t>
            </w:r>
          </w:p>
        </w:tc>
      </w:tr>
      <w:tr>
        <w:trPr>
          <w:trHeight w:val="935" w:hRule="atLeast"/>
        </w:trPr>
        <w:tc>
          <w:tcPr>
            <w:tcW w:w="1006" w:type="dxa"/>
            <w:tcBorders>
              <w:top w:val="nil"/>
              <w:left w:val="nil"/>
              <w:bottom w:val="nil"/>
              <w:right w:val="nil"/>
            </w:tcBorders>
          </w:tcPr>
          <w:p>
            <w:pPr>
              <w:pStyle w:val="TableParagraph"/>
              <w:ind w:left="0"/>
              <w:rPr>
                <w:rFonts w:ascii="Times New Roman"/>
                <w:sz w:val="20"/>
              </w:rPr>
            </w:pPr>
          </w:p>
        </w:tc>
        <w:tc>
          <w:tcPr>
            <w:tcW w:w="2236" w:type="dxa"/>
            <w:tcBorders>
              <w:top w:val="nil"/>
              <w:left w:val="nil"/>
              <w:bottom w:val="nil"/>
            </w:tcBorders>
          </w:tcPr>
          <w:p>
            <w:pPr>
              <w:pStyle w:val="TableParagraph"/>
              <w:ind w:left="0"/>
              <w:rPr>
                <w:rFonts w:ascii="Times New Roman"/>
                <w:sz w:val="20"/>
              </w:rPr>
            </w:pPr>
          </w:p>
        </w:tc>
        <w:tc>
          <w:tcPr>
            <w:tcW w:w="2184" w:type="dxa"/>
          </w:tcPr>
          <w:p>
            <w:pPr>
              <w:pStyle w:val="TableParagraph"/>
              <w:spacing w:line="254" w:lineRule="exact"/>
              <w:ind w:left="103"/>
              <w:rPr>
                <w:sz w:val="21"/>
              </w:rPr>
            </w:pPr>
            <w:r>
              <w:rPr>
                <w:sz w:val="21"/>
              </w:rPr>
              <w:t>重大器官移植术或造</w:t>
            </w:r>
          </w:p>
          <w:p>
            <w:pPr>
              <w:pStyle w:val="TableParagraph"/>
              <w:spacing w:before="37"/>
              <w:ind w:left="103"/>
              <w:rPr>
                <w:sz w:val="21"/>
              </w:rPr>
            </w:pPr>
            <w:r>
              <w:rPr>
                <w:sz w:val="21"/>
              </w:rPr>
              <w:t>血干细胞移植术</w:t>
            </w:r>
          </w:p>
        </w:tc>
        <w:tc>
          <w:tcPr>
            <w:tcW w:w="1982" w:type="dxa"/>
          </w:tcPr>
          <w:p>
            <w:pPr>
              <w:pStyle w:val="TableParagraph"/>
              <w:spacing w:line="254" w:lineRule="exact"/>
              <w:ind w:left="101"/>
              <w:rPr>
                <w:sz w:val="21"/>
              </w:rPr>
            </w:pPr>
            <w:r>
              <w:rPr>
                <w:spacing w:val="-29"/>
                <w:sz w:val="21"/>
              </w:rPr>
              <w:t>冠 状 动 脉 搭 桥 术</w:t>
            </w:r>
          </w:p>
          <w:p>
            <w:pPr>
              <w:pStyle w:val="TableParagraph"/>
              <w:spacing w:line="273" w:lineRule="auto" w:before="37"/>
              <w:ind w:left="101" w:right="98"/>
              <w:rPr>
                <w:sz w:val="21"/>
              </w:rPr>
            </w:pPr>
            <w:r>
              <w:rPr>
                <w:sz w:val="21"/>
              </w:rPr>
              <w:t>（或称冠状动脉旁路移植术）</w:t>
            </w:r>
          </w:p>
        </w:tc>
        <w:tc>
          <w:tcPr>
            <w:tcW w:w="1963" w:type="dxa"/>
          </w:tcPr>
          <w:p>
            <w:pPr>
              <w:pStyle w:val="TableParagraph"/>
              <w:spacing w:line="254" w:lineRule="exact"/>
              <w:ind w:left="104"/>
              <w:rPr>
                <w:sz w:val="21"/>
              </w:rPr>
            </w:pPr>
            <w:r>
              <w:rPr>
                <w:sz w:val="21"/>
              </w:rPr>
              <w:t>脑炎后遗症或脑膜</w:t>
            </w:r>
          </w:p>
          <w:p>
            <w:pPr>
              <w:pStyle w:val="TableParagraph"/>
              <w:spacing w:before="37"/>
              <w:ind w:left="104"/>
              <w:rPr>
                <w:sz w:val="21"/>
              </w:rPr>
            </w:pPr>
            <w:r>
              <w:rPr>
                <w:sz w:val="21"/>
              </w:rPr>
              <w:t>炎后遗症</w:t>
            </w:r>
          </w:p>
        </w:tc>
      </w:tr>
      <w:tr>
        <w:trPr>
          <w:trHeight w:val="935" w:hRule="atLeast"/>
        </w:trPr>
        <w:tc>
          <w:tcPr>
            <w:tcW w:w="1006" w:type="dxa"/>
            <w:tcBorders>
              <w:top w:val="nil"/>
              <w:left w:val="nil"/>
              <w:bottom w:val="nil"/>
              <w:right w:val="nil"/>
            </w:tcBorders>
          </w:tcPr>
          <w:p>
            <w:pPr>
              <w:pStyle w:val="TableParagraph"/>
              <w:ind w:left="0"/>
              <w:rPr>
                <w:rFonts w:ascii="Times New Roman"/>
                <w:sz w:val="20"/>
              </w:rPr>
            </w:pPr>
          </w:p>
        </w:tc>
        <w:tc>
          <w:tcPr>
            <w:tcW w:w="2236" w:type="dxa"/>
            <w:tcBorders>
              <w:top w:val="nil"/>
              <w:left w:val="nil"/>
              <w:bottom w:val="nil"/>
            </w:tcBorders>
          </w:tcPr>
          <w:p>
            <w:pPr>
              <w:pStyle w:val="TableParagraph"/>
              <w:ind w:left="0"/>
              <w:rPr>
                <w:rFonts w:ascii="Times New Roman"/>
                <w:sz w:val="20"/>
              </w:rPr>
            </w:pPr>
          </w:p>
        </w:tc>
        <w:tc>
          <w:tcPr>
            <w:tcW w:w="2184" w:type="dxa"/>
          </w:tcPr>
          <w:p>
            <w:pPr>
              <w:pStyle w:val="TableParagraph"/>
              <w:spacing w:line="254" w:lineRule="exact"/>
              <w:ind w:left="103"/>
              <w:rPr>
                <w:sz w:val="21"/>
              </w:rPr>
            </w:pPr>
            <w:r>
              <w:rPr>
                <w:sz w:val="21"/>
              </w:rPr>
              <w:t>终末期肾病（或称慢</w:t>
            </w:r>
          </w:p>
          <w:p>
            <w:pPr>
              <w:pStyle w:val="TableParagraph"/>
              <w:spacing w:line="273" w:lineRule="auto" w:before="37"/>
              <w:ind w:left="103" w:right="100"/>
              <w:rPr>
                <w:sz w:val="21"/>
              </w:rPr>
            </w:pPr>
            <w:r>
              <w:rPr>
                <w:sz w:val="21"/>
              </w:rPr>
              <w:t>性肾功能衰竭尿毒症期）</w:t>
            </w:r>
          </w:p>
        </w:tc>
        <w:tc>
          <w:tcPr>
            <w:tcW w:w="1982" w:type="dxa"/>
          </w:tcPr>
          <w:p>
            <w:pPr>
              <w:pStyle w:val="TableParagraph"/>
              <w:spacing w:line="254" w:lineRule="exact"/>
              <w:ind w:left="101"/>
              <w:rPr>
                <w:sz w:val="21"/>
              </w:rPr>
            </w:pPr>
            <w:r>
              <w:rPr>
                <w:sz w:val="21"/>
              </w:rPr>
              <w:t>心脏瓣膜手术</w:t>
            </w:r>
          </w:p>
        </w:tc>
        <w:tc>
          <w:tcPr>
            <w:tcW w:w="1963" w:type="dxa"/>
          </w:tcPr>
          <w:p>
            <w:pPr>
              <w:pStyle w:val="TableParagraph"/>
              <w:spacing w:line="254" w:lineRule="exact"/>
              <w:ind w:left="104"/>
              <w:rPr>
                <w:sz w:val="21"/>
              </w:rPr>
            </w:pPr>
            <w:r>
              <w:rPr>
                <w:sz w:val="21"/>
              </w:rPr>
              <w:t>严重阿尔茨海默病</w:t>
            </w:r>
          </w:p>
        </w:tc>
      </w:tr>
      <w:tr>
        <w:trPr>
          <w:trHeight w:val="623" w:hRule="atLeast"/>
        </w:trPr>
        <w:tc>
          <w:tcPr>
            <w:tcW w:w="1006" w:type="dxa"/>
            <w:tcBorders>
              <w:top w:val="nil"/>
              <w:left w:val="nil"/>
              <w:bottom w:val="nil"/>
              <w:right w:val="nil"/>
            </w:tcBorders>
          </w:tcPr>
          <w:p>
            <w:pPr>
              <w:pStyle w:val="TableParagraph"/>
              <w:ind w:left="0"/>
              <w:rPr>
                <w:rFonts w:ascii="Times New Roman"/>
                <w:sz w:val="20"/>
              </w:rPr>
            </w:pPr>
          </w:p>
        </w:tc>
        <w:tc>
          <w:tcPr>
            <w:tcW w:w="2236" w:type="dxa"/>
            <w:tcBorders>
              <w:top w:val="nil"/>
              <w:left w:val="nil"/>
              <w:bottom w:val="nil"/>
            </w:tcBorders>
          </w:tcPr>
          <w:p>
            <w:pPr>
              <w:pStyle w:val="TableParagraph"/>
              <w:ind w:left="0"/>
              <w:rPr>
                <w:rFonts w:ascii="Times New Roman"/>
                <w:sz w:val="20"/>
              </w:rPr>
            </w:pPr>
          </w:p>
        </w:tc>
        <w:tc>
          <w:tcPr>
            <w:tcW w:w="2184" w:type="dxa"/>
          </w:tcPr>
          <w:p>
            <w:pPr>
              <w:pStyle w:val="TableParagraph"/>
              <w:spacing w:line="254" w:lineRule="exact"/>
              <w:ind w:left="103"/>
              <w:rPr>
                <w:sz w:val="21"/>
              </w:rPr>
            </w:pPr>
            <w:r>
              <w:rPr>
                <w:sz w:val="21"/>
              </w:rPr>
              <w:t>急性或亚急性重症肝</w:t>
            </w:r>
          </w:p>
          <w:p>
            <w:pPr>
              <w:pStyle w:val="TableParagraph"/>
              <w:spacing w:before="37"/>
              <w:ind w:left="103"/>
              <w:rPr>
                <w:sz w:val="21"/>
              </w:rPr>
            </w:pPr>
            <w:r>
              <w:rPr>
                <w:w w:val="100"/>
                <w:sz w:val="21"/>
              </w:rPr>
              <w:t>炎</w:t>
            </w:r>
          </w:p>
        </w:tc>
        <w:tc>
          <w:tcPr>
            <w:tcW w:w="1982" w:type="dxa"/>
          </w:tcPr>
          <w:p>
            <w:pPr>
              <w:pStyle w:val="TableParagraph"/>
              <w:spacing w:line="254" w:lineRule="exact"/>
              <w:ind w:left="101"/>
              <w:rPr>
                <w:sz w:val="21"/>
              </w:rPr>
            </w:pPr>
            <w:r>
              <w:rPr>
                <w:sz w:val="21"/>
              </w:rPr>
              <w:t>主动脉手术</w:t>
            </w:r>
          </w:p>
        </w:tc>
        <w:tc>
          <w:tcPr>
            <w:tcW w:w="1963" w:type="dxa"/>
          </w:tcPr>
          <w:p>
            <w:pPr>
              <w:pStyle w:val="TableParagraph"/>
              <w:spacing w:line="254" w:lineRule="exact"/>
              <w:ind w:left="104"/>
              <w:rPr>
                <w:sz w:val="21"/>
              </w:rPr>
            </w:pPr>
            <w:r>
              <w:rPr>
                <w:sz w:val="21"/>
              </w:rPr>
              <w:t>严重脑损伤</w:t>
            </w:r>
          </w:p>
        </w:tc>
      </w:tr>
      <w:tr>
        <w:trPr>
          <w:trHeight w:val="625" w:hRule="atLeast"/>
        </w:trPr>
        <w:tc>
          <w:tcPr>
            <w:tcW w:w="1006" w:type="dxa"/>
            <w:tcBorders>
              <w:top w:val="nil"/>
              <w:left w:val="nil"/>
              <w:bottom w:val="nil"/>
              <w:right w:val="nil"/>
            </w:tcBorders>
          </w:tcPr>
          <w:p>
            <w:pPr>
              <w:pStyle w:val="TableParagraph"/>
              <w:ind w:left="0"/>
              <w:rPr>
                <w:rFonts w:ascii="Times New Roman"/>
                <w:sz w:val="20"/>
              </w:rPr>
            </w:pPr>
          </w:p>
        </w:tc>
        <w:tc>
          <w:tcPr>
            <w:tcW w:w="2236" w:type="dxa"/>
            <w:tcBorders>
              <w:top w:val="nil"/>
              <w:left w:val="nil"/>
              <w:bottom w:val="nil"/>
            </w:tcBorders>
          </w:tcPr>
          <w:p>
            <w:pPr>
              <w:pStyle w:val="TableParagraph"/>
              <w:ind w:left="0"/>
              <w:rPr>
                <w:rFonts w:ascii="Times New Roman"/>
                <w:sz w:val="20"/>
              </w:rPr>
            </w:pPr>
          </w:p>
        </w:tc>
        <w:tc>
          <w:tcPr>
            <w:tcW w:w="2184" w:type="dxa"/>
          </w:tcPr>
          <w:p>
            <w:pPr>
              <w:pStyle w:val="TableParagraph"/>
              <w:spacing w:line="256" w:lineRule="exact"/>
              <w:ind w:left="103"/>
              <w:rPr>
                <w:sz w:val="21"/>
              </w:rPr>
            </w:pPr>
            <w:r>
              <w:rPr>
                <w:sz w:val="21"/>
              </w:rPr>
              <w:t>慢性肝功能衰竭失代</w:t>
            </w:r>
          </w:p>
          <w:p>
            <w:pPr>
              <w:pStyle w:val="TableParagraph"/>
              <w:spacing w:before="37"/>
              <w:ind w:left="103"/>
              <w:rPr>
                <w:sz w:val="21"/>
              </w:rPr>
            </w:pPr>
            <w:r>
              <w:rPr>
                <w:sz w:val="21"/>
              </w:rPr>
              <w:t>偿期</w:t>
            </w:r>
          </w:p>
        </w:tc>
        <w:tc>
          <w:tcPr>
            <w:tcW w:w="1982" w:type="dxa"/>
          </w:tcPr>
          <w:p>
            <w:pPr>
              <w:pStyle w:val="TableParagraph"/>
              <w:spacing w:line="256" w:lineRule="exact"/>
              <w:ind w:left="101"/>
              <w:rPr>
                <w:sz w:val="21"/>
              </w:rPr>
            </w:pPr>
            <w:r>
              <w:rPr>
                <w:sz w:val="21"/>
              </w:rPr>
              <w:t>严重原发性心肌病</w:t>
            </w:r>
          </w:p>
        </w:tc>
        <w:tc>
          <w:tcPr>
            <w:tcW w:w="1963" w:type="dxa"/>
          </w:tcPr>
          <w:p>
            <w:pPr>
              <w:pStyle w:val="TableParagraph"/>
              <w:spacing w:line="256" w:lineRule="exact"/>
              <w:ind w:left="104"/>
              <w:rPr>
                <w:sz w:val="21"/>
              </w:rPr>
            </w:pPr>
            <w:r>
              <w:rPr>
                <w:sz w:val="21"/>
              </w:rPr>
              <w:t>严重运动神经元病</w:t>
            </w:r>
          </w:p>
        </w:tc>
      </w:tr>
      <w:tr>
        <w:trPr>
          <w:trHeight w:val="623" w:hRule="atLeast"/>
        </w:trPr>
        <w:tc>
          <w:tcPr>
            <w:tcW w:w="1006" w:type="dxa"/>
            <w:tcBorders>
              <w:top w:val="nil"/>
              <w:left w:val="nil"/>
              <w:bottom w:val="nil"/>
              <w:right w:val="nil"/>
            </w:tcBorders>
          </w:tcPr>
          <w:p>
            <w:pPr>
              <w:pStyle w:val="TableParagraph"/>
              <w:ind w:left="0"/>
              <w:rPr>
                <w:rFonts w:ascii="Times New Roman"/>
                <w:sz w:val="20"/>
              </w:rPr>
            </w:pPr>
          </w:p>
        </w:tc>
        <w:tc>
          <w:tcPr>
            <w:tcW w:w="2236" w:type="dxa"/>
            <w:tcBorders>
              <w:top w:val="nil"/>
              <w:left w:val="nil"/>
              <w:bottom w:val="nil"/>
            </w:tcBorders>
          </w:tcPr>
          <w:p>
            <w:pPr>
              <w:pStyle w:val="TableParagraph"/>
              <w:ind w:left="0"/>
              <w:rPr>
                <w:rFonts w:ascii="Times New Roman"/>
                <w:sz w:val="20"/>
              </w:rPr>
            </w:pPr>
          </w:p>
        </w:tc>
        <w:tc>
          <w:tcPr>
            <w:tcW w:w="2184" w:type="dxa"/>
          </w:tcPr>
          <w:p>
            <w:pPr>
              <w:pStyle w:val="TableParagraph"/>
              <w:spacing w:line="254" w:lineRule="exact"/>
              <w:ind w:left="103"/>
              <w:rPr>
                <w:sz w:val="21"/>
              </w:rPr>
            </w:pPr>
            <w:r>
              <w:rPr>
                <w:sz w:val="21"/>
              </w:rPr>
              <w:t>重型再生障碍性贫血</w:t>
            </w:r>
          </w:p>
        </w:tc>
        <w:tc>
          <w:tcPr>
            <w:tcW w:w="1982" w:type="dxa"/>
          </w:tcPr>
          <w:p>
            <w:pPr>
              <w:pStyle w:val="TableParagraph"/>
              <w:spacing w:line="254" w:lineRule="exact"/>
              <w:ind w:left="101"/>
              <w:rPr>
                <w:sz w:val="21"/>
              </w:rPr>
            </w:pPr>
            <w:r>
              <w:rPr>
                <w:sz w:val="21"/>
              </w:rPr>
              <w:t>严重原发性肺动脉</w:t>
            </w:r>
          </w:p>
          <w:p>
            <w:pPr>
              <w:pStyle w:val="TableParagraph"/>
              <w:spacing w:before="37"/>
              <w:ind w:left="101"/>
              <w:rPr>
                <w:sz w:val="21"/>
              </w:rPr>
            </w:pPr>
            <w:r>
              <w:rPr>
                <w:sz w:val="21"/>
              </w:rPr>
              <w:t>高压</w:t>
            </w:r>
          </w:p>
        </w:tc>
        <w:tc>
          <w:tcPr>
            <w:tcW w:w="1963" w:type="dxa"/>
          </w:tcPr>
          <w:p>
            <w:pPr>
              <w:pStyle w:val="TableParagraph"/>
              <w:spacing w:line="254" w:lineRule="exact"/>
              <w:ind w:left="104"/>
              <w:rPr>
                <w:sz w:val="21"/>
              </w:rPr>
            </w:pPr>
            <w:r>
              <w:rPr>
                <w:sz w:val="21"/>
              </w:rPr>
              <w:t>严重 III 度烧伤</w:t>
            </w:r>
          </w:p>
        </w:tc>
      </w:tr>
      <w:tr>
        <w:trPr>
          <w:trHeight w:val="311" w:hRule="atLeast"/>
        </w:trPr>
        <w:tc>
          <w:tcPr>
            <w:tcW w:w="1006" w:type="dxa"/>
            <w:tcBorders>
              <w:top w:val="nil"/>
              <w:left w:val="nil"/>
              <w:bottom w:val="nil"/>
              <w:right w:val="nil"/>
            </w:tcBorders>
          </w:tcPr>
          <w:p>
            <w:pPr>
              <w:pStyle w:val="TableParagraph"/>
              <w:ind w:left="0"/>
              <w:rPr>
                <w:rFonts w:ascii="Times New Roman"/>
                <w:sz w:val="20"/>
              </w:rPr>
            </w:pPr>
          </w:p>
        </w:tc>
        <w:tc>
          <w:tcPr>
            <w:tcW w:w="2236" w:type="dxa"/>
            <w:tcBorders>
              <w:top w:val="nil"/>
              <w:left w:val="nil"/>
              <w:bottom w:val="nil"/>
            </w:tcBorders>
          </w:tcPr>
          <w:p>
            <w:pPr>
              <w:pStyle w:val="TableParagraph"/>
              <w:ind w:left="0"/>
              <w:rPr>
                <w:rFonts w:ascii="Times New Roman"/>
                <w:sz w:val="20"/>
              </w:rPr>
            </w:pPr>
          </w:p>
        </w:tc>
        <w:tc>
          <w:tcPr>
            <w:tcW w:w="2184" w:type="dxa"/>
          </w:tcPr>
          <w:p>
            <w:pPr>
              <w:pStyle w:val="TableParagraph"/>
              <w:spacing w:line="254" w:lineRule="exact"/>
              <w:ind w:left="103"/>
              <w:rPr>
                <w:sz w:val="21"/>
              </w:rPr>
            </w:pPr>
            <w:r>
              <w:rPr>
                <w:sz w:val="21"/>
              </w:rPr>
              <w:t>慢性复发性胰腺炎</w:t>
            </w:r>
          </w:p>
        </w:tc>
        <w:tc>
          <w:tcPr>
            <w:tcW w:w="1982" w:type="dxa"/>
          </w:tcPr>
          <w:p>
            <w:pPr>
              <w:pStyle w:val="TableParagraph"/>
              <w:spacing w:line="254" w:lineRule="exact"/>
              <w:ind w:left="101"/>
              <w:rPr>
                <w:sz w:val="21"/>
              </w:rPr>
            </w:pPr>
            <w:r>
              <w:rPr>
                <w:sz w:val="21"/>
              </w:rPr>
              <w:t>严重冠心病</w:t>
            </w:r>
          </w:p>
        </w:tc>
        <w:tc>
          <w:tcPr>
            <w:tcW w:w="1963" w:type="dxa"/>
          </w:tcPr>
          <w:p>
            <w:pPr>
              <w:pStyle w:val="TableParagraph"/>
              <w:spacing w:line="254" w:lineRule="exact"/>
              <w:ind w:left="104"/>
              <w:rPr>
                <w:sz w:val="21"/>
              </w:rPr>
            </w:pPr>
            <w:r>
              <w:rPr>
                <w:sz w:val="21"/>
              </w:rPr>
              <w:t>双耳失聪</w:t>
            </w:r>
          </w:p>
        </w:tc>
      </w:tr>
      <w:tr>
        <w:trPr>
          <w:trHeight w:val="624" w:hRule="atLeast"/>
        </w:trPr>
        <w:tc>
          <w:tcPr>
            <w:tcW w:w="1006" w:type="dxa"/>
            <w:tcBorders>
              <w:top w:val="nil"/>
              <w:left w:val="nil"/>
              <w:bottom w:val="nil"/>
              <w:right w:val="nil"/>
            </w:tcBorders>
          </w:tcPr>
          <w:p>
            <w:pPr>
              <w:pStyle w:val="TableParagraph"/>
              <w:ind w:left="0"/>
              <w:rPr>
                <w:rFonts w:ascii="Times New Roman"/>
                <w:sz w:val="20"/>
              </w:rPr>
            </w:pPr>
          </w:p>
        </w:tc>
        <w:tc>
          <w:tcPr>
            <w:tcW w:w="2236" w:type="dxa"/>
            <w:tcBorders>
              <w:top w:val="nil"/>
              <w:left w:val="nil"/>
              <w:bottom w:val="nil"/>
            </w:tcBorders>
          </w:tcPr>
          <w:p>
            <w:pPr>
              <w:pStyle w:val="TableParagraph"/>
              <w:ind w:left="0"/>
              <w:rPr>
                <w:rFonts w:ascii="Times New Roman"/>
                <w:sz w:val="20"/>
              </w:rPr>
            </w:pPr>
          </w:p>
        </w:tc>
        <w:tc>
          <w:tcPr>
            <w:tcW w:w="2184" w:type="dxa"/>
          </w:tcPr>
          <w:p>
            <w:pPr>
              <w:pStyle w:val="TableParagraph"/>
              <w:spacing w:line="254" w:lineRule="exact"/>
              <w:ind w:left="103"/>
              <w:rPr>
                <w:sz w:val="21"/>
              </w:rPr>
            </w:pPr>
            <w:r>
              <w:rPr>
                <w:sz w:val="21"/>
              </w:rPr>
              <w:t>经输血导致的人类免</w:t>
            </w:r>
          </w:p>
          <w:p>
            <w:pPr>
              <w:pStyle w:val="TableParagraph"/>
              <w:spacing w:before="37"/>
              <w:ind w:left="103"/>
              <w:rPr>
                <w:sz w:val="21"/>
              </w:rPr>
            </w:pPr>
            <w:r>
              <w:rPr>
                <w:sz w:val="21"/>
              </w:rPr>
              <w:t>疫缺陷病毒感染</w:t>
            </w:r>
          </w:p>
        </w:tc>
        <w:tc>
          <w:tcPr>
            <w:tcW w:w="1982" w:type="dxa"/>
          </w:tcPr>
          <w:p>
            <w:pPr>
              <w:pStyle w:val="TableParagraph"/>
              <w:spacing w:line="254" w:lineRule="exact"/>
              <w:ind w:left="101"/>
              <w:rPr>
                <w:sz w:val="21"/>
              </w:rPr>
            </w:pPr>
            <w:r>
              <w:rPr>
                <w:sz w:val="21"/>
              </w:rPr>
              <w:t>严重慢性呼吸功能</w:t>
            </w:r>
          </w:p>
          <w:p>
            <w:pPr>
              <w:pStyle w:val="TableParagraph"/>
              <w:spacing w:before="37"/>
              <w:ind w:left="101"/>
              <w:rPr>
                <w:sz w:val="21"/>
              </w:rPr>
            </w:pPr>
            <w:r>
              <w:rPr>
                <w:sz w:val="21"/>
              </w:rPr>
              <w:t>衰竭</w:t>
            </w:r>
          </w:p>
        </w:tc>
        <w:tc>
          <w:tcPr>
            <w:tcW w:w="1963" w:type="dxa"/>
          </w:tcPr>
          <w:p>
            <w:pPr>
              <w:pStyle w:val="TableParagraph"/>
              <w:spacing w:line="254" w:lineRule="exact"/>
              <w:ind w:left="104"/>
              <w:rPr>
                <w:sz w:val="21"/>
              </w:rPr>
            </w:pPr>
            <w:r>
              <w:rPr>
                <w:sz w:val="21"/>
              </w:rPr>
              <w:t>双目失明</w:t>
            </w:r>
          </w:p>
        </w:tc>
      </w:tr>
      <w:tr>
        <w:trPr>
          <w:trHeight w:val="623" w:hRule="atLeast"/>
        </w:trPr>
        <w:tc>
          <w:tcPr>
            <w:tcW w:w="1006" w:type="dxa"/>
            <w:tcBorders>
              <w:top w:val="nil"/>
              <w:left w:val="nil"/>
              <w:bottom w:val="nil"/>
              <w:right w:val="nil"/>
            </w:tcBorders>
          </w:tcPr>
          <w:p>
            <w:pPr>
              <w:pStyle w:val="TableParagraph"/>
              <w:ind w:left="0"/>
              <w:rPr>
                <w:rFonts w:ascii="Times New Roman"/>
                <w:sz w:val="20"/>
              </w:rPr>
            </w:pPr>
          </w:p>
        </w:tc>
        <w:tc>
          <w:tcPr>
            <w:tcW w:w="2236" w:type="dxa"/>
            <w:tcBorders>
              <w:top w:val="nil"/>
              <w:left w:val="nil"/>
              <w:bottom w:val="nil"/>
            </w:tcBorders>
          </w:tcPr>
          <w:p>
            <w:pPr>
              <w:pStyle w:val="TableParagraph"/>
              <w:ind w:left="0"/>
              <w:rPr>
                <w:rFonts w:ascii="Times New Roman"/>
                <w:sz w:val="20"/>
              </w:rPr>
            </w:pPr>
          </w:p>
        </w:tc>
        <w:tc>
          <w:tcPr>
            <w:tcW w:w="2184" w:type="dxa"/>
          </w:tcPr>
          <w:p>
            <w:pPr>
              <w:pStyle w:val="TableParagraph"/>
              <w:spacing w:line="254" w:lineRule="exact"/>
              <w:ind w:left="103"/>
              <w:rPr>
                <w:sz w:val="21"/>
              </w:rPr>
            </w:pPr>
            <w:r>
              <w:rPr>
                <w:sz w:val="21"/>
              </w:rPr>
              <w:t>严重克隆病</w:t>
            </w:r>
          </w:p>
        </w:tc>
        <w:tc>
          <w:tcPr>
            <w:tcW w:w="1982" w:type="dxa"/>
          </w:tcPr>
          <w:p>
            <w:pPr>
              <w:pStyle w:val="TableParagraph"/>
              <w:spacing w:line="254" w:lineRule="exact"/>
              <w:ind w:left="101"/>
              <w:rPr>
                <w:sz w:val="21"/>
              </w:rPr>
            </w:pPr>
            <w:r>
              <w:rPr>
                <w:sz w:val="21"/>
              </w:rPr>
              <w:t>慢性肾上腺皮质功</w:t>
            </w:r>
          </w:p>
          <w:p>
            <w:pPr>
              <w:pStyle w:val="TableParagraph"/>
              <w:spacing w:before="37"/>
              <w:ind w:left="101"/>
              <w:rPr>
                <w:sz w:val="21"/>
              </w:rPr>
            </w:pPr>
            <w:r>
              <w:rPr>
                <w:sz w:val="21"/>
              </w:rPr>
              <w:t>能衰竭</w:t>
            </w:r>
          </w:p>
        </w:tc>
        <w:tc>
          <w:tcPr>
            <w:tcW w:w="1963" w:type="dxa"/>
          </w:tcPr>
          <w:p>
            <w:pPr>
              <w:pStyle w:val="TableParagraph"/>
              <w:spacing w:line="254" w:lineRule="exact"/>
              <w:ind w:left="104"/>
              <w:rPr>
                <w:sz w:val="21"/>
              </w:rPr>
            </w:pPr>
            <w:r>
              <w:rPr>
                <w:sz w:val="21"/>
              </w:rPr>
              <w:t>语言能力丧失</w:t>
            </w:r>
          </w:p>
        </w:tc>
      </w:tr>
      <w:tr>
        <w:trPr>
          <w:trHeight w:val="935" w:hRule="atLeast"/>
        </w:trPr>
        <w:tc>
          <w:tcPr>
            <w:tcW w:w="1006" w:type="dxa"/>
            <w:tcBorders>
              <w:top w:val="nil"/>
              <w:left w:val="nil"/>
              <w:bottom w:val="nil"/>
              <w:right w:val="nil"/>
            </w:tcBorders>
          </w:tcPr>
          <w:p>
            <w:pPr>
              <w:pStyle w:val="TableParagraph"/>
              <w:ind w:left="0"/>
              <w:rPr>
                <w:rFonts w:ascii="Times New Roman"/>
                <w:sz w:val="20"/>
              </w:rPr>
            </w:pPr>
          </w:p>
        </w:tc>
        <w:tc>
          <w:tcPr>
            <w:tcW w:w="2236" w:type="dxa"/>
            <w:tcBorders>
              <w:top w:val="nil"/>
              <w:left w:val="nil"/>
              <w:bottom w:val="nil"/>
            </w:tcBorders>
          </w:tcPr>
          <w:p>
            <w:pPr>
              <w:pStyle w:val="TableParagraph"/>
              <w:ind w:left="0"/>
              <w:rPr>
                <w:rFonts w:ascii="Times New Roman"/>
                <w:sz w:val="20"/>
              </w:rPr>
            </w:pPr>
          </w:p>
        </w:tc>
        <w:tc>
          <w:tcPr>
            <w:tcW w:w="2184" w:type="dxa"/>
          </w:tcPr>
          <w:p>
            <w:pPr>
              <w:pStyle w:val="TableParagraph"/>
              <w:spacing w:line="254" w:lineRule="exact"/>
              <w:ind w:left="103"/>
              <w:rPr>
                <w:sz w:val="21"/>
              </w:rPr>
            </w:pPr>
            <w:r>
              <w:rPr>
                <w:spacing w:val="-13"/>
                <w:sz w:val="21"/>
              </w:rPr>
              <w:t>系 统 性 红 斑 狼 疮</w:t>
            </w:r>
          </w:p>
          <w:p>
            <w:pPr>
              <w:pStyle w:val="TableParagraph"/>
              <w:spacing w:line="273" w:lineRule="auto" w:before="37"/>
              <w:ind w:left="103" w:right="83"/>
              <w:rPr>
                <w:sz w:val="21"/>
              </w:rPr>
            </w:pPr>
            <w:r>
              <w:rPr>
                <w:sz w:val="21"/>
              </w:rPr>
              <w:t>——III 型或以上狼疮性肾炎</w:t>
            </w:r>
          </w:p>
        </w:tc>
        <w:tc>
          <w:tcPr>
            <w:tcW w:w="1982" w:type="dxa"/>
          </w:tcPr>
          <w:p>
            <w:pPr>
              <w:pStyle w:val="TableParagraph"/>
              <w:spacing w:line="254" w:lineRule="exact"/>
              <w:ind w:left="101"/>
              <w:rPr>
                <w:sz w:val="21"/>
              </w:rPr>
            </w:pPr>
            <w:r>
              <w:rPr>
                <w:sz w:val="21"/>
              </w:rPr>
              <w:t>严重类风湿性关节</w:t>
            </w:r>
          </w:p>
          <w:p>
            <w:pPr>
              <w:pStyle w:val="TableParagraph"/>
              <w:spacing w:before="37"/>
              <w:ind w:left="101"/>
              <w:rPr>
                <w:sz w:val="21"/>
              </w:rPr>
            </w:pPr>
            <w:r>
              <w:rPr>
                <w:w w:val="100"/>
                <w:sz w:val="21"/>
              </w:rPr>
              <w:t>炎</w:t>
            </w:r>
          </w:p>
        </w:tc>
        <w:tc>
          <w:tcPr>
            <w:tcW w:w="1963" w:type="dxa"/>
          </w:tcPr>
          <w:p>
            <w:pPr>
              <w:pStyle w:val="TableParagraph"/>
              <w:spacing w:line="254" w:lineRule="exact"/>
              <w:ind w:left="104"/>
              <w:rPr>
                <w:sz w:val="21"/>
              </w:rPr>
            </w:pPr>
            <w:r>
              <w:rPr>
                <w:sz w:val="21"/>
              </w:rPr>
              <w:t>严重多发性硬化症</w:t>
            </w:r>
          </w:p>
        </w:tc>
      </w:tr>
      <w:tr>
        <w:trPr>
          <w:trHeight w:val="314" w:hRule="atLeast"/>
        </w:trPr>
        <w:tc>
          <w:tcPr>
            <w:tcW w:w="1006" w:type="dxa"/>
            <w:tcBorders>
              <w:top w:val="nil"/>
              <w:left w:val="nil"/>
              <w:bottom w:val="nil"/>
              <w:right w:val="nil"/>
            </w:tcBorders>
          </w:tcPr>
          <w:p>
            <w:pPr>
              <w:pStyle w:val="TableParagraph"/>
              <w:ind w:left="0"/>
              <w:rPr>
                <w:rFonts w:ascii="Times New Roman"/>
                <w:sz w:val="20"/>
              </w:rPr>
            </w:pPr>
          </w:p>
        </w:tc>
        <w:tc>
          <w:tcPr>
            <w:tcW w:w="2236" w:type="dxa"/>
            <w:tcBorders>
              <w:top w:val="nil"/>
              <w:left w:val="nil"/>
              <w:bottom w:val="nil"/>
            </w:tcBorders>
          </w:tcPr>
          <w:p>
            <w:pPr>
              <w:pStyle w:val="TableParagraph"/>
              <w:ind w:left="0"/>
              <w:rPr>
                <w:rFonts w:ascii="Times New Roman"/>
                <w:sz w:val="20"/>
              </w:rPr>
            </w:pPr>
          </w:p>
        </w:tc>
        <w:tc>
          <w:tcPr>
            <w:tcW w:w="2184" w:type="dxa"/>
          </w:tcPr>
          <w:p>
            <w:pPr>
              <w:pStyle w:val="TableParagraph"/>
              <w:spacing w:line="256" w:lineRule="exact"/>
              <w:ind w:left="103"/>
              <w:rPr>
                <w:sz w:val="21"/>
              </w:rPr>
            </w:pPr>
            <w:r>
              <w:rPr>
                <w:sz w:val="21"/>
              </w:rPr>
              <w:t>原发性硬化性胆管炎</w:t>
            </w:r>
          </w:p>
        </w:tc>
        <w:tc>
          <w:tcPr>
            <w:tcW w:w="1982" w:type="dxa"/>
          </w:tcPr>
          <w:p>
            <w:pPr>
              <w:pStyle w:val="TableParagraph"/>
              <w:spacing w:line="256" w:lineRule="exact"/>
              <w:ind w:left="101"/>
              <w:rPr>
                <w:sz w:val="21"/>
              </w:rPr>
            </w:pPr>
            <w:r>
              <w:rPr>
                <w:sz w:val="21"/>
              </w:rPr>
              <w:t>系统性硬皮病</w:t>
            </w:r>
          </w:p>
        </w:tc>
        <w:tc>
          <w:tcPr>
            <w:tcW w:w="1963" w:type="dxa"/>
          </w:tcPr>
          <w:p>
            <w:pPr>
              <w:pStyle w:val="TableParagraph"/>
              <w:spacing w:line="256" w:lineRule="exact"/>
              <w:ind w:left="104"/>
              <w:rPr>
                <w:sz w:val="21"/>
              </w:rPr>
            </w:pPr>
            <w:r>
              <w:rPr>
                <w:sz w:val="21"/>
              </w:rPr>
              <w:t>全身性重症肌无力</w:t>
            </w:r>
          </w:p>
        </w:tc>
      </w:tr>
      <w:tr>
        <w:trPr>
          <w:trHeight w:val="623" w:hRule="atLeast"/>
        </w:trPr>
        <w:tc>
          <w:tcPr>
            <w:tcW w:w="1006" w:type="dxa"/>
            <w:tcBorders>
              <w:top w:val="nil"/>
              <w:left w:val="nil"/>
              <w:bottom w:val="nil"/>
              <w:right w:val="nil"/>
            </w:tcBorders>
          </w:tcPr>
          <w:p>
            <w:pPr>
              <w:pStyle w:val="TableParagraph"/>
              <w:ind w:left="0"/>
              <w:rPr>
                <w:rFonts w:ascii="Times New Roman"/>
                <w:sz w:val="20"/>
              </w:rPr>
            </w:pPr>
          </w:p>
        </w:tc>
        <w:tc>
          <w:tcPr>
            <w:tcW w:w="2236" w:type="dxa"/>
            <w:tcBorders>
              <w:top w:val="nil"/>
              <w:left w:val="nil"/>
              <w:bottom w:val="nil"/>
            </w:tcBorders>
          </w:tcPr>
          <w:p>
            <w:pPr>
              <w:pStyle w:val="TableParagraph"/>
              <w:ind w:left="0"/>
              <w:rPr>
                <w:rFonts w:ascii="Times New Roman"/>
                <w:sz w:val="20"/>
              </w:rPr>
            </w:pPr>
          </w:p>
        </w:tc>
        <w:tc>
          <w:tcPr>
            <w:tcW w:w="2184" w:type="dxa"/>
          </w:tcPr>
          <w:p>
            <w:pPr>
              <w:pStyle w:val="TableParagraph"/>
              <w:spacing w:line="254" w:lineRule="exact"/>
              <w:ind w:left="103"/>
              <w:rPr>
                <w:sz w:val="21"/>
              </w:rPr>
            </w:pPr>
            <w:r>
              <w:rPr>
                <w:sz w:val="21"/>
              </w:rPr>
              <w:t>严重溃疡性结肠炎</w:t>
            </w:r>
          </w:p>
        </w:tc>
        <w:tc>
          <w:tcPr>
            <w:tcW w:w="1982" w:type="dxa"/>
          </w:tcPr>
          <w:p>
            <w:pPr>
              <w:pStyle w:val="TableParagraph"/>
              <w:spacing w:line="254" w:lineRule="exact"/>
              <w:ind w:left="101"/>
              <w:rPr>
                <w:sz w:val="21"/>
              </w:rPr>
            </w:pPr>
            <w:r>
              <w:rPr>
                <w:sz w:val="21"/>
              </w:rPr>
              <w:t>重症急性坏死性筋</w:t>
            </w:r>
          </w:p>
          <w:p>
            <w:pPr>
              <w:pStyle w:val="TableParagraph"/>
              <w:spacing w:before="37"/>
              <w:ind w:left="101"/>
              <w:rPr>
                <w:sz w:val="21"/>
              </w:rPr>
            </w:pPr>
            <w:r>
              <w:rPr>
                <w:sz w:val="21"/>
              </w:rPr>
              <w:t>膜炎</w:t>
            </w:r>
          </w:p>
        </w:tc>
        <w:tc>
          <w:tcPr>
            <w:tcW w:w="1963" w:type="dxa"/>
          </w:tcPr>
          <w:p>
            <w:pPr>
              <w:pStyle w:val="TableParagraph"/>
              <w:spacing w:line="254" w:lineRule="exact"/>
              <w:ind w:left="104"/>
              <w:rPr>
                <w:sz w:val="21"/>
              </w:rPr>
            </w:pPr>
            <w:r>
              <w:rPr>
                <w:sz w:val="21"/>
              </w:rPr>
              <w:t>深度昏迷</w:t>
            </w:r>
          </w:p>
        </w:tc>
      </w:tr>
      <w:tr>
        <w:trPr>
          <w:trHeight w:val="311" w:hRule="atLeast"/>
        </w:trPr>
        <w:tc>
          <w:tcPr>
            <w:tcW w:w="1006" w:type="dxa"/>
            <w:tcBorders>
              <w:top w:val="nil"/>
              <w:left w:val="nil"/>
              <w:bottom w:val="nil"/>
              <w:right w:val="nil"/>
            </w:tcBorders>
          </w:tcPr>
          <w:p>
            <w:pPr>
              <w:pStyle w:val="TableParagraph"/>
              <w:ind w:left="0"/>
              <w:rPr>
                <w:rFonts w:ascii="Times New Roman"/>
                <w:sz w:val="20"/>
              </w:rPr>
            </w:pPr>
          </w:p>
        </w:tc>
        <w:tc>
          <w:tcPr>
            <w:tcW w:w="2236" w:type="dxa"/>
            <w:tcBorders>
              <w:top w:val="nil"/>
              <w:left w:val="nil"/>
              <w:bottom w:val="nil"/>
            </w:tcBorders>
          </w:tcPr>
          <w:p>
            <w:pPr>
              <w:pStyle w:val="TableParagraph"/>
              <w:ind w:left="0"/>
              <w:rPr>
                <w:rFonts w:ascii="Times New Roman"/>
                <w:sz w:val="20"/>
              </w:rPr>
            </w:pPr>
          </w:p>
        </w:tc>
        <w:tc>
          <w:tcPr>
            <w:tcW w:w="2184" w:type="dxa"/>
          </w:tcPr>
          <w:p>
            <w:pPr>
              <w:pStyle w:val="TableParagraph"/>
              <w:spacing w:line="254" w:lineRule="exact"/>
              <w:ind w:left="103"/>
              <w:rPr>
                <w:sz w:val="21"/>
              </w:rPr>
            </w:pPr>
            <w:r>
              <w:rPr>
                <w:sz w:val="21"/>
              </w:rPr>
              <w:t>严重Ⅰ型糖尿病</w:t>
            </w:r>
          </w:p>
        </w:tc>
        <w:tc>
          <w:tcPr>
            <w:tcW w:w="1982" w:type="dxa"/>
          </w:tcPr>
          <w:p>
            <w:pPr>
              <w:pStyle w:val="TableParagraph"/>
              <w:spacing w:line="254" w:lineRule="exact"/>
              <w:ind w:left="101"/>
              <w:rPr>
                <w:sz w:val="21"/>
              </w:rPr>
            </w:pPr>
            <w:r>
              <w:rPr>
                <w:sz w:val="21"/>
              </w:rPr>
              <w:t>丝虫病所致象皮肿</w:t>
            </w:r>
          </w:p>
        </w:tc>
        <w:tc>
          <w:tcPr>
            <w:tcW w:w="1963" w:type="dxa"/>
          </w:tcPr>
          <w:p>
            <w:pPr>
              <w:pStyle w:val="TableParagraph"/>
              <w:spacing w:line="254" w:lineRule="exact"/>
              <w:ind w:left="104"/>
              <w:rPr>
                <w:sz w:val="21"/>
              </w:rPr>
            </w:pPr>
            <w:r>
              <w:rPr>
                <w:sz w:val="21"/>
              </w:rPr>
              <w:t>瘫痪</w:t>
            </w:r>
          </w:p>
        </w:tc>
      </w:tr>
      <w:tr>
        <w:trPr>
          <w:trHeight w:val="623" w:hRule="atLeast"/>
        </w:trPr>
        <w:tc>
          <w:tcPr>
            <w:tcW w:w="1006" w:type="dxa"/>
            <w:tcBorders>
              <w:top w:val="nil"/>
              <w:left w:val="nil"/>
              <w:bottom w:val="nil"/>
              <w:right w:val="nil"/>
            </w:tcBorders>
          </w:tcPr>
          <w:p>
            <w:pPr>
              <w:pStyle w:val="TableParagraph"/>
              <w:ind w:left="0"/>
              <w:rPr>
                <w:rFonts w:ascii="Times New Roman"/>
                <w:sz w:val="20"/>
              </w:rPr>
            </w:pPr>
          </w:p>
        </w:tc>
        <w:tc>
          <w:tcPr>
            <w:tcW w:w="2236" w:type="dxa"/>
            <w:tcBorders>
              <w:top w:val="nil"/>
              <w:left w:val="nil"/>
              <w:bottom w:val="nil"/>
            </w:tcBorders>
          </w:tcPr>
          <w:p>
            <w:pPr>
              <w:pStyle w:val="TableParagraph"/>
              <w:ind w:left="0"/>
              <w:rPr>
                <w:rFonts w:ascii="Times New Roman"/>
                <w:sz w:val="20"/>
              </w:rPr>
            </w:pPr>
          </w:p>
        </w:tc>
        <w:tc>
          <w:tcPr>
            <w:tcW w:w="2184" w:type="dxa"/>
          </w:tcPr>
          <w:p>
            <w:pPr>
              <w:pStyle w:val="TableParagraph"/>
              <w:spacing w:line="254" w:lineRule="exact"/>
              <w:ind w:left="103"/>
              <w:rPr>
                <w:sz w:val="21"/>
              </w:rPr>
            </w:pPr>
            <w:r>
              <w:rPr>
                <w:sz w:val="21"/>
              </w:rPr>
              <w:t>急性坏死胰腺炎开腹</w:t>
            </w:r>
          </w:p>
          <w:p>
            <w:pPr>
              <w:pStyle w:val="TableParagraph"/>
              <w:spacing w:before="37"/>
              <w:ind w:left="103"/>
              <w:rPr>
                <w:sz w:val="21"/>
              </w:rPr>
            </w:pPr>
            <w:r>
              <w:rPr>
                <w:sz w:val="21"/>
              </w:rPr>
              <w:t>手术</w:t>
            </w:r>
          </w:p>
        </w:tc>
        <w:tc>
          <w:tcPr>
            <w:tcW w:w="1982" w:type="dxa"/>
          </w:tcPr>
          <w:p>
            <w:pPr>
              <w:pStyle w:val="TableParagraph"/>
              <w:spacing w:line="254" w:lineRule="exact"/>
              <w:ind w:left="101"/>
              <w:rPr>
                <w:sz w:val="21"/>
              </w:rPr>
            </w:pPr>
            <w:r>
              <w:rPr>
                <w:sz w:val="21"/>
              </w:rPr>
              <w:t>肺源性心脏病</w:t>
            </w:r>
          </w:p>
        </w:tc>
        <w:tc>
          <w:tcPr>
            <w:tcW w:w="1963" w:type="dxa"/>
          </w:tcPr>
          <w:p>
            <w:pPr>
              <w:pStyle w:val="TableParagraph"/>
              <w:spacing w:line="254" w:lineRule="exact"/>
              <w:ind w:left="104"/>
              <w:rPr>
                <w:sz w:val="21"/>
              </w:rPr>
            </w:pPr>
            <w:r>
              <w:rPr>
                <w:sz w:val="21"/>
              </w:rPr>
              <w:t>脑中风后遗症</w:t>
            </w:r>
          </w:p>
        </w:tc>
      </w:tr>
      <w:tr>
        <w:trPr>
          <w:trHeight w:val="302" w:hRule="atLeast"/>
        </w:trPr>
        <w:tc>
          <w:tcPr>
            <w:tcW w:w="1006" w:type="dxa"/>
            <w:tcBorders>
              <w:top w:val="nil"/>
              <w:left w:val="nil"/>
              <w:bottom w:val="nil"/>
              <w:right w:val="nil"/>
            </w:tcBorders>
          </w:tcPr>
          <w:p>
            <w:pPr>
              <w:pStyle w:val="TableParagraph"/>
              <w:ind w:left="0"/>
              <w:rPr>
                <w:rFonts w:ascii="Times New Roman"/>
                <w:sz w:val="20"/>
              </w:rPr>
            </w:pPr>
          </w:p>
        </w:tc>
        <w:tc>
          <w:tcPr>
            <w:tcW w:w="2236" w:type="dxa"/>
            <w:tcBorders>
              <w:top w:val="nil"/>
              <w:left w:val="nil"/>
              <w:bottom w:val="nil"/>
            </w:tcBorders>
          </w:tcPr>
          <w:p>
            <w:pPr>
              <w:pStyle w:val="TableParagraph"/>
              <w:ind w:left="0"/>
              <w:rPr>
                <w:rFonts w:ascii="Times New Roman"/>
                <w:sz w:val="20"/>
              </w:rPr>
            </w:pPr>
          </w:p>
        </w:tc>
        <w:tc>
          <w:tcPr>
            <w:tcW w:w="2184" w:type="dxa"/>
          </w:tcPr>
          <w:p>
            <w:pPr>
              <w:pStyle w:val="TableParagraph"/>
              <w:spacing w:line="254" w:lineRule="exact"/>
              <w:ind w:left="103"/>
              <w:rPr>
                <w:sz w:val="21"/>
              </w:rPr>
            </w:pPr>
            <w:r>
              <w:rPr>
                <w:sz w:val="21"/>
              </w:rPr>
              <w:t>胰腺移植</w:t>
            </w:r>
          </w:p>
        </w:tc>
        <w:tc>
          <w:tcPr>
            <w:tcW w:w="1982" w:type="dxa"/>
          </w:tcPr>
          <w:p>
            <w:pPr>
              <w:pStyle w:val="TableParagraph"/>
              <w:spacing w:line="254" w:lineRule="exact"/>
              <w:ind w:left="101"/>
              <w:rPr>
                <w:sz w:val="21"/>
              </w:rPr>
            </w:pPr>
            <w:r>
              <w:rPr>
                <w:sz w:val="21"/>
              </w:rPr>
              <w:t>特定年龄的严重哮</w:t>
            </w:r>
          </w:p>
        </w:tc>
        <w:tc>
          <w:tcPr>
            <w:tcW w:w="1963" w:type="dxa"/>
          </w:tcPr>
          <w:p>
            <w:pPr>
              <w:pStyle w:val="TableParagraph"/>
              <w:spacing w:line="254" w:lineRule="exact"/>
              <w:ind w:left="104"/>
              <w:rPr>
                <w:sz w:val="21"/>
              </w:rPr>
            </w:pPr>
            <w:r>
              <w:rPr>
                <w:sz w:val="21"/>
              </w:rPr>
              <w:t>良性脑肿瘤</w:t>
            </w:r>
          </w:p>
        </w:tc>
      </w:tr>
    </w:tbl>
    <w:p>
      <w:pPr>
        <w:spacing w:after="0" w:line="254" w:lineRule="exact"/>
        <w:rPr>
          <w:sz w:val="21"/>
        </w:rPr>
        <w:sectPr>
          <w:pgSz w:w="11910" w:h="16840"/>
          <w:pgMar w:top="1460" w:bottom="280" w:left="1120" w:right="1180"/>
        </w:sectPr>
      </w:pPr>
    </w:p>
    <w:tbl>
      <w:tblPr>
        <w:tblW w:w="0" w:type="auto"/>
        <w:jc w:val="left"/>
        <w:tblInd w:w="3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4"/>
        <w:gridCol w:w="1982"/>
        <w:gridCol w:w="1963"/>
      </w:tblGrid>
      <w:tr>
        <w:trPr>
          <w:trHeight w:val="312" w:hRule="atLeast"/>
        </w:trPr>
        <w:tc>
          <w:tcPr>
            <w:tcW w:w="2184" w:type="dxa"/>
          </w:tcPr>
          <w:p>
            <w:pPr>
              <w:pStyle w:val="TableParagraph"/>
              <w:ind w:left="0"/>
              <w:rPr>
                <w:rFonts w:ascii="Times New Roman"/>
                <w:sz w:val="20"/>
              </w:rPr>
            </w:pPr>
          </w:p>
        </w:tc>
        <w:tc>
          <w:tcPr>
            <w:tcW w:w="1982" w:type="dxa"/>
          </w:tcPr>
          <w:p>
            <w:pPr>
              <w:pStyle w:val="TableParagraph"/>
              <w:spacing w:line="263" w:lineRule="exact"/>
              <w:ind w:left="105"/>
              <w:rPr>
                <w:sz w:val="21"/>
              </w:rPr>
            </w:pPr>
            <w:r>
              <w:rPr>
                <w:w w:val="100"/>
                <w:sz w:val="21"/>
              </w:rPr>
              <w:t>喘</w:t>
            </w:r>
          </w:p>
        </w:tc>
        <w:tc>
          <w:tcPr>
            <w:tcW w:w="1963" w:type="dxa"/>
          </w:tcPr>
          <w:p>
            <w:pPr>
              <w:pStyle w:val="TableParagraph"/>
              <w:ind w:left="0"/>
              <w:rPr>
                <w:rFonts w:ascii="Times New Roman"/>
                <w:sz w:val="20"/>
              </w:rPr>
            </w:pPr>
          </w:p>
        </w:tc>
      </w:tr>
      <w:tr>
        <w:trPr>
          <w:trHeight w:val="623" w:hRule="atLeast"/>
        </w:trPr>
        <w:tc>
          <w:tcPr>
            <w:tcW w:w="2184" w:type="dxa"/>
          </w:tcPr>
          <w:p>
            <w:pPr>
              <w:pStyle w:val="TableParagraph"/>
              <w:spacing w:line="262" w:lineRule="exact"/>
              <w:ind w:left="107"/>
              <w:rPr>
                <w:sz w:val="21"/>
              </w:rPr>
            </w:pPr>
            <w:r>
              <w:rPr>
                <w:sz w:val="21"/>
              </w:rPr>
              <w:t>肾髓质囊性病</w:t>
            </w:r>
          </w:p>
        </w:tc>
        <w:tc>
          <w:tcPr>
            <w:tcW w:w="1982" w:type="dxa"/>
          </w:tcPr>
          <w:p>
            <w:pPr>
              <w:pStyle w:val="TableParagraph"/>
              <w:spacing w:line="262" w:lineRule="exact"/>
              <w:ind w:left="105"/>
              <w:rPr>
                <w:sz w:val="21"/>
              </w:rPr>
            </w:pPr>
            <w:r>
              <w:rPr>
                <w:sz w:val="21"/>
              </w:rPr>
              <w:t>严重川崎病</w:t>
            </w:r>
          </w:p>
        </w:tc>
        <w:tc>
          <w:tcPr>
            <w:tcW w:w="1963" w:type="dxa"/>
          </w:tcPr>
          <w:p>
            <w:pPr>
              <w:pStyle w:val="TableParagraph"/>
              <w:spacing w:line="273" w:lineRule="auto"/>
              <w:ind w:left="108" w:right="94"/>
              <w:rPr>
                <w:sz w:val="21"/>
              </w:rPr>
            </w:pPr>
            <w:r>
              <w:rPr>
                <w:sz w:val="21"/>
              </w:rPr>
              <w:t>去皮质综合征（植物人状态）</w:t>
            </w:r>
          </w:p>
        </w:tc>
      </w:tr>
      <w:tr>
        <w:trPr>
          <w:trHeight w:val="311" w:hRule="atLeast"/>
        </w:trPr>
        <w:tc>
          <w:tcPr>
            <w:tcW w:w="2184" w:type="dxa"/>
          </w:tcPr>
          <w:p>
            <w:pPr>
              <w:pStyle w:val="TableParagraph"/>
              <w:spacing w:line="262" w:lineRule="exact"/>
              <w:ind w:left="107"/>
              <w:rPr>
                <w:sz w:val="21"/>
              </w:rPr>
            </w:pPr>
            <w:r>
              <w:rPr>
                <w:sz w:val="21"/>
              </w:rPr>
              <w:t>肝豆状核变性</w:t>
            </w:r>
          </w:p>
        </w:tc>
        <w:tc>
          <w:tcPr>
            <w:tcW w:w="1982" w:type="dxa"/>
          </w:tcPr>
          <w:p>
            <w:pPr>
              <w:pStyle w:val="TableParagraph"/>
              <w:spacing w:line="262" w:lineRule="exact"/>
              <w:ind w:left="105"/>
              <w:rPr>
                <w:sz w:val="21"/>
              </w:rPr>
            </w:pPr>
            <w:r>
              <w:rPr>
                <w:sz w:val="21"/>
              </w:rPr>
              <w:t>严重心肌炎</w:t>
            </w:r>
          </w:p>
        </w:tc>
        <w:tc>
          <w:tcPr>
            <w:tcW w:w="1963" w:type="dxa"/>
          </w:tcPr>
          <w:p>
            <w:pPr>
              <w:pStyle w:val="TableParagraph"/>
              <w:spacing w:line="262" w:lineRule="exact"/>
              <w:ind w:left="108"/>
              <w:rPr>
                <w:sz w:val="21"/>
              </w:rPr>
            </w:pPr>
            <w:r>
              <w:rPr>
                <w:sz w:val="21"/>
              </w:rPr>
              <w:t>严重帕金森病</w:t>
            </w:r>
          </w:p>
        </w:tc>
      </w:tr>
      <w:tr>
        <w:trPr>
          <w:trHeight w:val="623" w:hRule="atLeast"/>
        </w:trPr>
        <w:tc>
          <w:tcPr>
            <w:tcW w:w="2184" w:type="dxa"/>
          </w:tcPr>
          <w:p>
            <w:pPr>
              <w:pStyle w:val="TableParagraph"/>
              <w:spacing w:line="262" w:lineRule="exact"/>
              <w:ind w:left="107"/>
              <w:rPr>
                <w:sz w:val="21"/>
              </w:rPr>
            </w:pPr>
            <w:r>
              <w:rPr>
                <w:sz w:val="21"/>
              </w:rPr>
              <w:t>严重自身免疫性肝炎</w:t>
            </w:r>
          </w:p>
        </w:tc>
        <w:tc>
          <w:tcPr>
            <w:tcW w:w="1982" w:type="dxa"/>
          </w:tcPr>
          <w:p>
            <w:pPr>
              <w:pStyle w:val="TableParagraph"/>
              <w:spacing w:line="273" w:lineRule="auto"/>
              <w:ind w:left="105" w:right="94"/>
              <w:rPr>
                <w:sz w:val="21"/>
              </w:rPr>
            </w:pPr>
            <w:r>
              <w:rPr>
                <w:sz w:val="21"/>
              </w:rPr>
              <w:t>严重幼年型类风湿性关节炎</w:t>
            </w:r>
          </w:p>
        </w:tc>
        <w:tc>
          <w:tcPr>
            <w:tcW w:w="1963" w:type="dxa"/>
          </w:tcPr>
          <w:p>
            <w:pPr>
              <w:pStyle w:val="TableParagraph"/>
              <w:spacing w:line="262" w:lineRule="exact"/>
              <w:ind w:left="108"/>
              <w:rPr>
                <w:sz w:val="21"/>
              </w:rPr>
            </w:pPr>
            <w:r>
              <w:rPr>
                <w:sz w:val="21"/>
              </w:rPr>
              <w:t>脊髓灰质炎</w:t>
            </w:r>
          </w:p>
        </w:tc>
      </w:tr>
      <w:tr>
        <w:trPr>
          <w:trHeight w:val="626" w:hRule="atLeast"/>
        </w:trPr>
        <w:tc>
          <w:tcPr>
            <w:tcW w:w="2184" w:type="dxa"/>
          </w:tcPr>
          <w:p>
            <w:pPr>
              <w:pStyle w:val="TableParagraph"/>
              <w:spacing w:line="273" w:lineRule="auto"/>
              <w:ind w:left="107" w:right="96"/>
              <w:rPr>
                <w:sz w:val="21"/>
              </w:rPr>
            </w:pPr>
            <w:r>
              <w:rPr>
                <w:sz w:val="21"/>
              </w:rPr>
              <w:t>因职业关系导致的人类免疫缺陷病毒感染</w:t>
            </w:r>
          </w:p>
        </w:tc>
        <w:tc>
          <w:tcPr>
            <w:tcW w:w="1982" w:type="dxa"/>
          </w:tcPr>
          <w:p>
            <w:pPr>
              <w:pStyle w:val="TableParagraph"/>
              <w:spacing w:line="273" w:lineRule="auto"/>
              <w:ind w:left="105" w:right="94"/>
              <w:rPr>
                <w:sz w:val="21"/>
              </w:rPr>
            </w:pPr>
            <w:r>
              <w:rPr>
                <w:sz w:val="21"/>
              </w:rPr>
              <w:t>需手术切除的嗜铬细胞瘤</w:t>
            </w:r>
          </w:p>
        </w:tc>
        <w:tc>
          <w:tcPr>
            <w:tcW w:w="1963" w:type="dxa"/>
          </w:tcPr>
          <w:p>
            <w:pPr>
              <w:pStyle w:val="TableParagraph"/>
              <w:spacing w:line="265" w:lineRule="exact"/>
              <w:ind w:left="108"/>
              <w:rPr>
                <w:sz w:val="21"/>
              </w:rPr>
            </w:pPr>
            <w:r>
              <w:rPr>
                <w:sz w:val="21"/>
              </w:rPr>
              <w:t>严重肌营养不良症</w:t>
            </w:r>
          </w:p>
        </w:tc>
      </w:tr>
      <w:tr>
        <w:trPr>
          <w:trHeight w:val="623" w:hRule="atLeast"/>
        </w:trPr>
        <w:tc>
          <w:tcPr>
            <w:tcW w:w="2184" w:type="dxa"/>
          </w:tcPr>
          <w:p>
            <w:pPr>
              <w:pStyle w:val="TableParagraph"/>
              <w:spacing w:line="273" w:lineRule="auto"/>
              <w:ind w:left="107" w:right="96"/>
              <w:rPr>
                <w:sz w:val="21"/>
              </w:rPr>
            </w:pPr>
            <w:r>
              <w:rPr>
                <w:sz w:val="21"/>
              </w:rPr>
              <w:t>特定年龄的严重肠道疾病并发症</w:t>
            </w:r>
          </w:p>
        </w:tc>
        <w:tc>
          <w:tcPr>
            <w:tcW w:w="1982" w:type="dxa"/>
          </w:tcPr>
          <w:p>
            <w:pPr>
              <w:pStyle w:val="TableParagraph"/>
              <w:spacing w:line="262" w:lineRule="exact"/>
              <w:ind w:left="105"/>
              <w:rPr>
                <w:sz w:val="21"/>
              </w:rPr>
            </w:pPr>
            <w:r>
              <w:rPr>
                <w:sz w:val="21"/>
              </w:rPr>
              <w:t>Ⅲ度房室传导阻滞</w:t>
            </w:r>
          </w:p>
        </w:tc>
        <w:tc>
          <w:tcPr>
            <w:tcW w:w="1963" w:type="dxa"/>
          </w:tcPr>
          <w:p>
            <w:pPr>
              <w:pStyle w:val="TableParagraph"/>
              <w:spacing w:line="262" w:lineRule="exact"/>
              <w:ind w:left="108"/>
              <w:rPr>
                <w:sz w:val="21"/>
              </w:rPr>
            </w:pPr>
            <w:r>
              <w:rPr>
                <w:sz w:val="21"/>
              </w:rPr>
              <w:t>颅脑手术</w:t>
            </w:r>
          </w:p>
        </w:tc>
      </w:tr>
      <w:tr>
        <w:trPr>
          <w:trHeight w:val="624" w:hRule="atLeast"/>
        </w:trPr>
        <w:tc>
          <w:tcPr>
            <w:tcW w:w="2184" w:type="dxa"/>
          </w:tcPr>
          <w:p>
            <w:pPr>
              <w:pStyle w:val="TableParagraph"/>
              <w:spacing w:line="273" w:lineRule="auto"/>
              <w:ind w:left="107" w:right="96"/>
              <w:rPr>
                <w:sz w:val="21"/>
              </w:rPr>
            </w:pPr>
            <w:r>
              <w:rPr>
                <w:sz w:val="21"/>
              </w:rPr>
              <w:t>侵蚀性葡萄胎（或称恶性葡萄胎）</w:t>
            </w:r>
          </w:p>
        </w:tc>
        <w:tc>
          <w:tcPr>
            <w:tcW w:w="1982" w:type="dxa"/>
          </w:tcPr>
          <w:p>
            <w:pPr>
              <w:pStyle w:val="TableParagraph"/>
              <w:spacing w:line="273" w:lineRule="auto"/>
              <w:ind w:left="105" w:right="94"/>
              <w:rPr>
                <w:sz w:val="21"/>
              </w:rPr>
            </w:pPr>
            <w:r>
              <w:rPr>
                <w:sz w:val="21"/>
              </w:rPr>
              <w:t>严重感染性心内膜炎</w:t>
            </w:r>
          </w:p>
        </w:tc>
        <w:tc>
          <w:tcPr>
            <w:tcW w:w="1963" w:type="dxa"/>
          </w:tcPr>
          <w:p>
            <w:pPr>
              <w:pStyle w:val="TableParagraph"/>
              <w:spacing w:line="273" w:lineRule="auto"/>
              <w:ind w:left="108" w:right="94"/>
              <w:rPr>
                <w:sz w:val="21"/>
              </w:rPr>
            </w:pPr>
            <w:r>
              <w:rPr>
                <w:sz w:val="21"/>
              </w:rPr>
              <w:t>非阿尔茨海默病所导致严重痴呆</w:t>
            </w:r>
          </w:p>
        </w:tc>
      </w:tr>
      <w:tr>
        <w:trPr>
          <w:trHeight w:val="1247" w:hRule="atLeast"/>
        </w:trPr>
        <w:tc>
          <w:tcPr>
            <w:tcW w:w="2184" w:type="dxa"/>
          </w:tcPr>
          <w:p>
            <w:pPr>
              <w:pStyle w:val="TableParagraph"/>
              <w:spacing w:line="262" w:lineRule="exact"/>
              <w:ind w:left="107"/>
              <w:rPr>
                <w:sz w:val="21"/>
              </w:rPr>
            </w:pPr>
            <w:r>
              <w:rPr>
                <w:sz w:val="21"/>
              </w:rPr>
              <w:t>全子宫切除手术</w:t>
            </w:r>
          </w:p>
        </w:tc>
        <w:tc>
          <w:tcPr>
            <w:tcW w:w="1982" w:type="dxa"/>
          </w:tcPr>
          <w:p>
            <w:pPr>
              <w:pStyle w:val="TableParagraph"/>
              <w:spacing w:line="262" w:lineRule="exact"/>
              <w:ind w:left="105"/>
              <w:rPr>
                <w:sz w:val="21"/>
              </w:rPr>
            </w:pPr>
            <w:r>
              <w:rPr>
                <w:sz w:val="21"/>
              </w:rPr>
              <w:t>埃博拉病毒感染</w:t>
            </w:r>
          </w:p>
        </w:tc>
        <w:tc>
          <w:tcPr>
            <w:tcW w:w="1963" w:type="dxa"/>
          </w:tcPr>
          <w:p>
            <w:pPr>
              <w:pStyle w:val="TableParagraph"/>
              <w:spacing w:line="273" w:lineRule="auto"/>
              <w:ind w:left="108" w:right="94"/>
              <w:rPr>
                <w:sz w:val="21"/>
              </w:rPr>
            </w:pPr>
            <w:r>
              <w:rPr>
                <w:sz w:val="21"/>
              </w:rPr>
              <w:t>进行性核上性麻痹(Steele-Rchardso</w:t>
            </w:r>
          </w:p>
          <w:p>
            <w:pPr>
              <w:pStyle w:val="TableParagraph"/>
              <w:spacing w:line="273" w:lineRule="auto" w:before="20"/>
              <w:ind w:left="108" w:right="35"/>
              <w:rPr>
                <w:sz w:val="21"/>
              </w:rPr>
            </w:pPr>
            <w:r>
              <w:rPr>
                <w:sz w:val="21"/>
              </w:rPr>
              <w:t>n—Olszewski 综合征)</w:t>
            </w:r>
          </w:p>
        </w:tc>
      </w:tr>
      <w:tr>
        <w:trPr>
          <w:trHeight w:val="623" w:hRule="atLeast"/>
        </w:trPr>
        <w:tc>
          <w:tcPr>
            <w:tcW w:w="2184" w:type="dxa"/>
          </w:tcPr>
          <w:p>
            <w:pPr>
              <w:pStyle w:val="TableParagraph"/>
              <w:spacing w:line="262" w:lineRule="exact"/>
              <w:ind w:left="107"/>
              <w:rPr>
                <w:sz w:val="21"/>
              </w:rPr>
            </w:pPr>
            <w:r>
              <w:rPr>
                <w:sz w:val="21"/>
              </w:rPr>
              <w:t>失去一肢及一眼</w:t>
            </w:r>
          </w:p>
        </w:tc>
        <w:tc>
          <w:tcPr>
            <w:tcW w:w="1982" w:type="dxa"/>
          </w:tcPr>
          <w:p>
            <w:pPr>
              <w:pStyle w:val="TableParagraph"/>
              <w:spacing w:line="262" w:lineRule="exact"/>
              <w:ind w:left="105"/>
              <w:rPr>
                <w:sz w:val="21"/>
              </w:rPr>
            </w:pPr>
            <w:r>
              <w:rPr>
                <w:sz w:val="21"/>
              </w:rPr>
              <w:t>主动脉夹层瘤</w:t>
            </w:r>
          </w:p>
        </w:tc>
        <w:tc>
          <w:tcPr>
            <w:tcW w:w="1963" w:type="dxa"/>
          </w:tcPr>
          <w:p>
            <w:pPr>
              <w:pStyle w:val="TableParagraph"/>
              <w:spacing w:line="262" w:lineRule="exact"/>
              <w:ind w:left="108"/>
              <w:rPr>
                <w:sz w:val="21"/>
              </w:rPr>
            </w:pPr>
            <w:r>
              <w:rPr>
                <w:sz w:val="21"/>
              </w:rPr>
              <w:t>疯牛病(克-雅氏病</w:t>
            </w:r>
          </w:p>
          <w:p>
            <w:pPr>
              <w:pStyle w:val="TableParagraph"/>
              <w:spacing w:before="37"/>
              <w:ind w:left="108"/>
              <w:rPr>
                <w:sz w:val="21"/>
              </w:rPr>
            </w:pPr>
            <w:r>
              <w:rPr>
                <w:sz w:val="21"/>
              </w:rPr>
              <w:t>/CJD/人类疯牛病)</w:t>
            </w:r>
          </w:p>
        </w:tc>
      </w:tr>
      <w:tr>
        <w:trPr>
          <w:trHeight w:val="623" w:hRule="atLeast"/>
        </w:trPr>
        <w:tc>
          <w:tcPr>
            <w:tcW w:w="2184" w:type="dxa"/>
          </w:tcPr>
          <w:p>
            <w:pPr>
              <w:pStyle w:val="TableParagraph"/>
              <w:spacing w:line="273" w:lineRule="auto"/>
              <w:ind w:left="107" w:right="96"/>
              <w:rPr>
                <w:sz w:val="21"/>
              </w:rPr>
            </w:pPr>
            <w:r>
              <w:rPr>
                <w:sz w:val="21"/>
              </w:rPr>
              <w:t>自体造血干细胞移植手术</w:t>
            </w:r>
          </w:p>
        </w:tc>
        <w:tc>
          <w:tcPr>
            <w:tcW w:w="1982" w:type="dxa"/>
          </w:tcPr>
          <w:p>
            <w:pPr>
              <w:pStyle w:val="TableParagraph"/>
              <w:spacing w:line="262" w:lineRule="exact"/>
              <w:ind w:left="105"/>
              <w:rPr>
                <w:sz w:val="21"/>
              </w:rPr>
            </w:pPr>
            <w:r>
              <w:rPr>
                <w:sz w:val="21"/>
              </w:rPr>
              <w:t>肺淋巴管肌瘤病</w:t>
            </w:r>
          </w:p>
        </w:tc>
        <w:tc>
          <w:tcPr>
            <w:tcW w:w="1963" w:type="dxa"/>
          </w:tcPr>
          <w:p>
            <w:pPr>
              <w:pStyle w:val="TableParagraph"/>
              <w:spacing w:line="273" w:lineRule="auto"/>
              <w:ind w:left="108" w:right="94"/>
              <w:rPr>
                <w:sz w:val="21"/>
              </w:rPr>
            </w:pPr>
            <w:r>
              <w:rPr>
                <w:sz w:val="21"/>
              </w:rPr>
              <w:t>特定年龄的脊髓肌肉萎缩症</w:t>
            </w:r>
          </w:p>
        </w:tc>
      </w:tr>
      <w:tr>
        <w:trPr>
          <w:trHeight w:val="314" w:hRule="atLeast"/>
        </w:trPr>
        <w:tc>
          <w:tcPr>
            <w:tcW w:w="2184" w:type="dxa"/>
          </w:tcPr>
          <w:p>
            <w:pPr>
              <w:pStyle w:val="TableParagraph"/>
              <w:ind w:left="0"/>
              <w:rPr>
                <w:rFonts w:ascii="Times New Roman"/>
                <w:sz w:val="20"/>
              </w:rPr>
            </w:pPr>
          </w:p>
        </w:tc>
        <w:tc>
          <w:tcPr>
            <w:tcW w:w="1982" w:type="dxa"/>
          </w:tcPr>
          <w:p>
            <w:pPr>
              <w:pStyle w:val="TableParagraph"/>
              <w:spacing w:line="265" w:lineRule="exact"/>
              <w:ind w:left="105"/>
              <w:rPr>
                <w:sz w:val="21"/>
              </w:rPr>
            </w:pPr>
            <w:r>
              <w:rPr>
                <w:sz w:val="21"/>
              </w:rPr>
              <w:t>肺泡蛋白质沉积症</w:t>
            </w:r>
          </w:p>
        </w:tc>
        <w:tc>
          <w:tcPr>
            <w:tcW w:w="1963" w:type="dxa"/>
          </w:tcPr>
          <w:p>
            <w:pPr>
              <w:pStyle w:val="TableParagraph"/>
              <w:spacing w:line="265" w:lineRule="exact"/>
              <w:ind w:left="108"/>
              <w:rPr>
                <w:sz w:val="21"/>
              </w:rPr>
            </w:pPr>
            <w:r>
              <w:rPr>
                <w:sz w:val="21"/>
              </w:rPr>
              <w:t>严重瑞氏综合症</w:t>
            </w:r>
          </w:p>
        </w:tc>
      </w:tr>
      <w:tr>
        <w:trPr>
          <w:trHeight w:val="312" w:hRule="atLeast"/>
        </w:trPr>
        <w:tc>
          <w:tcPr>
            <w:tcW w:w="2184" w:type="dxa"/>
          </w:tcPr>
          <w:p>
            <w:pPr>
              <w:pStyle w:val="TableParagraph"/>
              <w:ind w:left="0"/>
              <w:rPr>
                <w:rFonts w:ascii="Times New Roman"/>
                <w:sz w:val="20"/>
              </w:rPr>
            </w:pPr>
          </w:p>
        </w:tc>
        <w:tc>
          <w:tcPr>
            <w:tcW w:w="1982" w:type="dxa"/>
          </w:tcPr>
          <w:p>
            <w:pPr>
              <w:pStyle w:val="TableParagraph"/>
              <w:ind w:left="0"/>
              <w:rPr>
                <w:rFonts w:ascii="Times New Roman"/>
                <w:sz w:val="20"/>
              </w:rPr>
            </w:pPr>
          </w:p>
        </w:tc>
        <w:tc>
          <w:tcPr>
            <w:tcW w:w="1963" w:type="dxa"/>
          </w:tcPr>
          <w:p>
            <w:pPr>
              <w:pStyle w:val="TableParagraph"/>
              <w:spacing w:line="263" w:lineRule="exact"/>
              <w:ind w:left="108"/>
              <w:rPr>
                <w:sz w:val="21"/>
              </w:rPr>
            </w:pPr>
            <w:r>
              <w:rPr>
                <w:sz w:val="21"/>
              </w:rPr>
              <w:t>细菌性脑脊髓膜炎</w:t>
            </w:r>
          </w:p>
        </w:tc>
      </w:tr>
      <w:tr>
        <w:trPr>
          <w:trHeight w:val="623" w:hRule="atLeast"/>
        </w:trPr>
        <w:tc>
          <w:tcPr>
            <w:tcW w:w="2184" w:type="dxa"/>
          </w:tcPr>
          <w:p>
            <w:pPr>
              <w:pStyle w:val="TableParagraph"/>
              <w:ind w:left="0"/>
              <w:rPr>
                <w:rFonts w:ascii="Times New Roman"/>
                <w:sz w:val="20"/>
              </w:rPr>
            </w:pPr>
          </w:p>
        </w:tc>
        <w:tc>
          <w:tcPr>
            <w:tcW w:w="1982" w:type="dxa"/>
          </w:tcPr>
          <w:p>
            <w:pPr>
              <w:pStyle w:val="TableParagraph"/>
              <w:ind w:left="0"/>
              <w:rPr>
                <w:rFonts w:ascii="Times New Roman"/>
                <w:sz w:val="20"/>
              </w:rPr>
            </w:pPr>
          </w:p>
        </w:tc>
        <w:tc>
          <w:tcPr>
            <w:tcW w:w="1963" w:type="dxa"/>
          </w:tcPr>
          <w:p>
            <w:pPr>
              <w:pStyle w:val="TableParagraph"/>
              <w:spacing w:line="273" w:lineRule="auto"/>
              <w:ind w:left="108" w:right="94"/>
              <w:rPr>
                <w:sz w:val="21"/>
              </w:rPr>
            </w:pPr>
            <w:r>
              <w:rPr>
                <w:sz w:val="21"/>
              </w:rPr>
              <w:t>溶血性链球菌引起的坏疽</w:t>
            </w:r>
          </w:p>
        </w:tc>
      </w:tr>
      <w:tr>
        <w:trPr>
          <w:trHeight w:val="311" w:hRule="atLeast"/>
        </w:trPr>
        <w:tc>
          <w:tcPr>
            <w:tcW w:w="2184" w:type="dxa"/>
          </w:tcPr>
          <w:p>
            <w:pPr>
              <w:pStyle w:val="TableParagraph"/>
              <w:ind w:left="0"/>
              <w:rPr>
                <w:rFonts w:ascii="Times New Roman"/>
                <w:sz w:val="20"/>
              </w:rPr>
            </w:pPr>
          </w:p>
        </w:tc>
        <w:tc>
          <w:tcPr>
            <w:tcW w:w="1982" w:type="dxa"/>
          </w:tcPr>
          <w:p>
            <w:pPr>
              <w:pStyle w:val="TableParagraph"/>
              <w:ind w:left="0"/>
              <w:rPr>
                <w:rFonts w:ascii="Times New Roman"/>
                <w:sz w:val="20"/>
              </w:rPr>
            </w:pPr>
          </w:p>
        </w:tc>
        <w:tc>
          <w:tcPr>
            <w:tcW w:w="1963" w:type="dxa"/>
          </w:tcPr>
          <w:p>
            <w:pPr>
              <w:pStyle w:val="TableParagraph"/>
              <w:spacing w:line="262" w:lineRule="exact"/>
              <w:ind w:left="108"/>
              <w:rPr>
                <w:sz w:val="21"/>
              </w:rPr>
            </w:pPr>
            <w:r>
              <w:rPr>
                <w:sz w:val="21"/>
              </w:rPr>
              <w:t>重症手足口病</w:t>
            </w:r>
          </w:p>
        </w:tc>
      </w:tr>
      <w:tr>
        <w:trPr>
          <w:trHeight w:val="311" w:hRule="atLeast"/>
        </w:trPr>
        <w:tc>
          <w:tcPr>
            <w:tcW w:w="2184" w:type="dxa"/>
          </w:tcPr>
          <w:p>
            <w:pPr>
              <w:pStyle w:val="TableParagraph"/>
              <w:ind w:left="0"/>
              <w:rPr>
                <w:rFonts w:ascii="Times New Roman"/>
                <w:sz w:val="20"/>
              </w:rPr>
            </w:pPr>
          </w:p>
        </w:tc>
        <w:tc>
          <w:tcPr>
            <w:tcW w:w="1982" w:type="dxa"/>
          </w:tcPr>
          <w:p>
            <w:pPr>
              <w:pStyle w:val="TableParagraph"/>
              <w:ind w:left="0"/>
              <w:rPr>
                <w:rFonts w:ascii="Times New Roman"/>
                <w:sz w:val="20"/>
              </w:rPr>
            </w:pPr>
          </w:p>
        </w:tc>
        <w:tc>
          <w:tcPr>
            <w:tcW w:w="1963" w:type="dxa"/>
          </w:tcPr>
          <w:p>
            <w:pPr>
              <w:pStyle w:val="TableParagraph"/>
              <w:spacing w:line="262" w:lineRule="exact"/>
              <w:ind w:left="108"/>
              <w:rPr>
                <w:sz w:val="21"/>
              </w:rPr>
            </w:pPr>
            <w:r>
              <w:rPr>
                <w:sz w:val="21"/>
              </w:rPr>
              <w:t>骨生长不全症</w:t>
            </w:r>
          </w:p>
        </w:tc>
      </w:tr>
      <w:tr>
        <w:trPr>
          <w:trHeight w:val="623" w:hRule="atLeast"/>
        </w:trPr>
        <w:tc>
          <w:tcPr>
            <w:tcW w:w="2184" w:type="dxa"/>
          </w:tcPr>
          <w:p>
            <w:pPr>
              <w:pStyle w:val="TableParagraph"/>
              <w:ind w:left="0"/>
              <w:rPr>
                <w:rFonts w:ascii="Times New Roman"/>
                <w:sz w:val="20"/>
              </w:rPr>
            </w:pPr>
          </w:p>
        </w:tc>
        <w:tc>
          <w:tcPr>
            <w:tcW w:w="1982" w:type="dxa"/>
          </w:tcPr>
          <w:p>
            <w:pPr>
              <w:pStyle w:val="TableParagraph"/>
              <w:ind w:left="0"/>
              <w:rPr>
                <w:rFonts w:ascii="Times New Roman"/>
                <w:sz w:val="20"/>
              </w:rPr>
            </w:pPr>
          </w:p>
        </w:tc>
        <w:tc>
          <w:tcPr>
            <w:tcW w:w="1963" w:type="dxa"/>
          </w:tcPr>
          <w:p>
            <w:pPr>
              <w:pStyle w:val="TableParagraph"/>
              <w:spacing w:line="273" w:lineRule="auto"/>
              <w:ind w:left="108" w:right="93"/>
              <w:rPr>
                <w:sz w:val="21"/>
              </w:rPr>
            </w:pPr>
            <w:r>
              <w:rPr>
                <w:sz w:val="21"/>
              </w:rPr>
              <w:t>破裂脑动脉瘤夹闭手术</w:t>
            </w:r>
          </w:p>
        </w:tc>
      </w:tr>
      <w:tr>
        <w:trPr>
          <w:trHeight w:val="626" w:hRule="atLeast"/>
        </w:trPr>
        <w:tc>
          <w:tcPr>
            <w:tcW w:w="2184" w:type="dxa"/>
          </w:tcPr>
          <w:p>
            <w:pPr>
              <w:pStyle w:val="TableParagraph"/>
              <w:ind w:left="0"/>
              <w:rPr>
                <w:rFonts w:ascii="Times New Roman"/>
                <w:sz w:val="20"/>
              </w:rPr>
            </w:pPr>
          </w:p>
        </w:tc>
        <w:tc>
          <w:tcPr>
            <w:tcW w:w="1982" w:type="dxa"/>
          </w:tcPr>
          <w:p>
            <w:pPr>
              <w:pStyle w:val="TableParagraph"/>
              <w:ind w:left="0"/>
              <w:rPr>
                <w:rFonts w:ascii="Times New Roman"/>
                <w:sz w:val="20"/>
              </w:rPr>
            </w:pPr>
          </w:p>
        </w:tc>
        <w:tc>
          <w:tcPr>
            <w:tcW w:w="1963" w:type="dxa"/>
          </w:tcPr>
          <w:p>
            <w:pPr>
              <w:pStyle w:val="TableParagraph"/>
              <w:spacing w:line="273" w:lineRule="auto"/>
              <w:ind w:left="108" w:right="94"/>
              <w:rPr>
                <w:sz w:val="21"/>
              </w:rPr>
            </w:pPr>
            <w:r>
              <w:rPr>
                <w:sz w:val="21"/>
              </w:rPr>
              <w:t>疾病或外伤所致智力障碍</w:t>
            </w:r>
          </w:p>
        </w:tc>
      </w:tr>
    </w:tbl>
    <w:p>
      <w:pPr>
        <w:pStyle w:val="BodyText"/>
        <w:spacing w:before="1"/>
        <w:rPr>
          <w:sz w:val="7"/>
        </w:rPr>
      </w:pPr>
    </w:p>
    <w:p>
      <w:pPr>
        <w:spacing w:after="0"/>
        <w:rPr>
          <w:sz w:val="7"/>
        </w:rPr>
        <w:sectPr>
          <w:pgSz w:w="11910" w:h="16840"/>
          <w:pgMar w:top="1400" w:bottom="280" w:left="1080" w:right="1080"/>
        </w:sectPr>
      </w:pPr>
    </w:p>
    <w:p>
      <w:pPr>
        <w:pStyle w:val="Heading1"/>
        <w:tabs>
          <w:tab w:pos="1380" w:val="left" w:leader="none"/>
        </w:tabs>
        <w:spacing w:line="273" w:lineRule="auto"/>
        <w:ind w:left="1380" w:hanging="1172"/>
      </w:pPr>
      <w:r>
        <w:rPr/>
        <w:t>10.3</w:t>
        <w:tab/>
        <w:t>定义来源及确诊医 院范围</w:t>
      </w:r>
    </w:p>
    <w:p>
      <w:pPr>
        <w:pStyle w:val="BodyText"/>
        <w:spacing w:line="273" w:lineRule="auto" w:before="36"/>
        <w:ind w:left="209" w:right="202"/>
        <w:jc w:val="both"/>
      </w:pPr>
      <w:r>
        <w:rPr/>
        <w:br w:type="column"/>
      </w:r>
      <w:r>
        <w:rPr>
          <w:spacing w:val="-6"/>
        </w:rPr>
        <w:t>以上“</w:t>
      </w:r>
      <w:r>
        <w:rPr/>
        <w:t>10.1.1</w:t>
      </w:r>
      <w:r>
        <w:rPr>
          <w:spacing w:val="-5"/>
        </w:rPr>
        <w:t> 恶性肿瘤”至</w:t>
      </w:r>
      <w:r>
        <w:rPr/>
        <w:t>“10.1.25</w:t>
      </w:r>
      <w:r>
        <w:rPr>
          <w:spacing w:val="-3"/>
        </w:rPr>
        <w:t> 主动脉手术”所列重大疾病</w:t>
      </w:r>
      <w:r>
        <w:rPr>
          <w:spacing w:val="-1"/>
        </w:rPr>
        <w:t>定义根据中国保险行业协会 </w:t>
      </w:r>
      <w:r>
        <w:rPr/>
        <w:t>2007 年公布的《重大疾病保险的疾病定义使用规范》作出，其他重大疾病由我们增加，其定义由我们根</w:t>
      </w:r>
      <w:r>
        <w:rPr>
          <w:spacing w:val="-3"/>
        </w:rPr>
        <w:t>据通行的医学标准制定。</w:t>
      </w:r>
    </w:p>
    <w:p>
      <w:pPr>
        <w:pStyle w:val="BodyText"/>
        <w:spacing w:line="273" w:lineRule="auto" w:before="84"/>
        <w:ind w:left="209" w:right="205"/>
        <w:jc w:val="both"/>
        <w:rPr>
          <w:rFonts w:ascii="黑体" w:eastAsia="黑体" w:hint="eastAsia"/>
        </w:rPr>
      </w:pPr>
      <w:r>
        <w:rPr>
          <w:rFonts w:ascii="黑体" w:eastAsia="黑体" w:hint="eastAsia"/>
        </w:rPr>
        <w:t>以上重大疾病，除严重原发性心肌病须在卫Th行政部门认定的三级以上（含三级）医院确诊外，其他疾病均须在卫Th行政部门认定的二级以上（含二级）医院确诊。</w:t>
      </w:r>
    </w:p>
    <w:p>
      <w:pPr>
        <w:spacing w:after="0" w:line="273" w:lineRule="auto"/>
        <w:jc w:val="both"/>
        <w:rPr>
          <w:rFonts w:ascii="黑体" w:eastAsia="黑体" w:hint="eastAsia"/>
        </w:rPr>
        <w:sectPr>
          <w:type w:val="continuous"/>
          <w:pgSz w:w="11910" w:h="16840"/>
          <w:pgMar w:top="200" w:bottom="280" w:left="1080" w:right="1080"/>
          <w:cols w:num="2" w:equalWidth="0">
            <w:col w:w="3071" w:space="117"/>
            <w:col w:w="6562"/>
          </w:cols>
        </w:sectPr>
      </w:pPr>
    </w:p>
    <w:p>
      <w:pPr>
        <w:pStyle w:val="BodyText"/>
        <w:spacing w:before="7"/>
        <w:rPr>
          <w:rFonts w:ascii="黑体"/>
          <w:sz w:val="12"/>
        </w:rPr>
      </w:pPr>
    </w:p>
    <w:p>
      <w:pPr>
        <w:pStyle w:val="BodyText"/>
        <w:ind w:left="100"/>
        <w:rPr>
          <w:rFonts w:ascii="黑体"/>
          <w:sz w:val="20"/>
        </w:rPr>
      </w:pPr>
      <w:r>
        <w:rPr>
          <w:rFonts w:ascii="黑体"/>
          <w:sz w:val="20"/>
        </w:rPr>
        <w:pict>
          <v:shape style="width:477.25pt;height:15.6pt;mso-position-horizontal-relative:char;mso-position-vertical-relative:line" type="#_x0000_t202" filled="true" fillcolor="#a6a6a6" stroked="false">
            <w10:anchorlock/>
            <v:textbox inset="0,0,0,0">
              <w:txbxContent>
                <w:p>
                  <w:pPr>
                    <w:tabs>
                      <w:tab w:pos="1145" w:val="left" w:leader="none"/>
                    </w:tabs>
                    <w:spacing w:line="262" w:lineRule="exact" w:before="0"/>
                    <w:ind w:left="108" w:right="0" w:firstLine="0"/>
                    <w:jc w:val="left"/>
                    <w:rPr>
                      <w:b/>
                      <w:sz w:val="21"/>
                    </w:rPr>
                  </w:pPr>
                  <w:r>
                    <w:rPr>
                      <w:b/>
                      <w:sz w:val="21"/>
                    </w:rPr>
                    <w:t>11．</w:t>
                    <w:tab/>
                    <w:t>轻症疾病的定义</w:t>
                  </w:r>
                </w:p>
              </w:txbxContent>
            </v:textbox>
            <v:fill type="solid"/>
          </v:shape>
        </w:pict>
      </w:r>
      <w:r>
        <w:rPr>
          <w:rFonts w:ascii="黑体"/>
          <w:sz w:val="20"/>
        </w:rPr>
      </w:r>
    </w:p>
    <w:p>
      <w:pPr>
        <w:pStyle w:val="BodyText"/>
        <w:spacing w:before="9"/>
        <w:rPr>
          <w:rFonts w:ascii="黑体"/>
          <w:sz w:val="5"/>
        </w:rPr>
      </w:pPr>
    </w:p>
    <w:p>
      <w:pPr>
        <w:tabs>
          <w:tab w:pos="1380" w:val="left" w:leader="none"/>
          <w:tab w:pos="3399" w:val="left" w:leader="none"/>
        </w:tabs>
        <w:spacing w:before="36"/>
        <w:ind w:left="209" w:right="0" w:firstLine="0"/>
        <w:jc w:val="left"/>
        <w:rPr>
          <w:sz w:val="21"/>
        </w:rPr>
      </w:pPr>
      <w:r>
        <w:rPr>
          <w:b/>
          <w:sz w:val="21"/>
        </w:rPr>
        <w:t>11.1</w:t>
        <w:tab/>
        <w:t>轻症疾病的定义</w:t>
        <w:tab/>
      </w:r>
      <w:r>
        <w:rPr>
          <w:sz w:val="21"/>
        </w:rPr>
        <w:t>本合同所保障的轻症疾病，是指被保险人在本合同有效期间内经专</w:t>
      </w:r>
    </w:p>
    <w:p>
      <w:pPr>
        <w:pStyle w:val="BodyText"/>
        <w:spacing w:line="273" w:lineRule="auto" w:before="36"/>
        <w:ind w:left="3397" w:right="205"/>
      </w:pPr>
      <w:r>
        <w:rPr/>
        <w:t>科医生明确诊断初次患下列疾病或初次达到下列疾病状态或在医院初次接受下列手术：</w:t>
      </w:r>
    </w:p>
    <w:p>
      <w:pPr>
        <w:tabs>
          <w:tab w:pos="1380" w:val="left" w:leader="none"/>
          <w:tab w:pos="3396" w:val="left" w:leader="none"/>
        </w:tabs>
        <w:spacing w:before="149"/>
        <w:ind w:left="209" w:right="0" w:firstLine="0"/>
        <w:jc w:val="left"/>
        <w:rPr>
          <w:sz w:val="21"/>
        </w:rPr>
      </w:pPr>
      <w:r>
        <w:rPr>
          <w:b/>
          <w:sz w:val="21"/>
        </w:rPr>
        <w:t>11.1.1</w:t>
        <w:tab/>
        <w:t>非危及生命的恶性</w:t>
        <w:tab/>
      </w:r>
      <w:r>
        <w:rPr>
          <w:sz w:val="21"/>
        </w:rPr>
        <w:t>指经</w:t>
      </w:r>
      <w:r>
        <w:rPr>
          <w:spacing w:val="-3"/>
          <w:sz w:val="21"/>
        </w:rPr>
        <w:t>组</w:t>
      </w:r>
      <w:r>
        <w:rPr>
          <w:sz w:val="21"/>
        </w:rPr>
        <w:t>织</w:t>
      </w:r>
      <w:r>
        <w:rPr>
          <w:spacing w:val="-3"/>
          <w:sz w:val="21"/>
        </w:rPr>
        <w:t>病</w:t>
      </w:r>
      <w:r>
        <w:rPr>
          <w:sz w:val="21"/>
        </w:rPr>
        <w:t>理</w:t>
      </w:r>
      <w:r>
        <w:rPr>
          <w:spacing w:val="-3"/>
          <w:sz w:val="21"/>
        </w:rPr>
        <w:t>学</w:t>
      </w:r>
      <w:r>
        <w:rPr>
          <w:sz w:val="21"/>
        </w:rPr>
        <w:t>检</w:t>
      </w:r>
      <w:r>
        <w:rPr>
          <w:spacing w:val="-3"/>
          <w:sz w:val="21"/>
        </w:rPr>
        <w:t>查</w:t>
      </w:r>
      <w:r>
        <w:rPr>
          <w:sz w:val="21"/>
        </w:rPr>
        <w:t>被</w:t>
      </w:r>
      <w:r>
        <w:rPr>
          <w:spacing w:val="-3"/>
          <w:sz w:val="21"/>
        </w:rPr>
        <w:t>明</w:t>
      </w:r>
      <w:r>
        <w:rPr>
          <w:sz w:val="21"/>
        </w:rPr>
        <w:t>确诊</w:t>
      </w:r>
      <w:r>
        <w:rPr>
          <w:spacing w:val="-3"/>
          <w:sz w:val="21"/>
        </w:rPr>
        <w:t>断</w:t>
      </w:r>
      <w:r>
        <w:rPr>
          <w:sz w:val="21"/>
        </w:rPr>
        <w:t>为</w:t>
      </w:r>
      <w:r>
        <w:rPr>
          <w:spacing w:val="-3"/>
          <w:sz w:val="21"/>
        </w:rPr>
        <w:t>下</w:t>
      </w:r>
      <w:r>
        <w:rPr>
          <w:sz w:val="21"/>
        </w:rPr>
        <w:t>列</w:t>
      </w:r>
      <w:r>
        <w:rPr>
          <w:spacing w:val="-3"/>
          <w:sz w:val="21"/>
        </w:rPr>
        <w:t>恶</w:t>
      </w:r>
      <w:r>
        <w:rPr>
          <w:sz w:val="21"/>
        </w:rPr>
        <w:t>性</w:t>
      </w:r>
      <w:r>
        <w:rPr>
          <w:spacing w:val="-3"/>
          <w:sz w:val="21"/>
        </w:rPr>
        <w:t>病</w:t>
      </w:r>
      <w:r>
        <w:rPr>
          <w:sz w:val="21"/>
        </w:rPr>
        <w:t>变</w:t>
      </w:r>
      <w:r>
        <w:rPr>
          <w:spacing w:val="-3"/>
          <w:sz w:val="21"/>
        </w:rPr>
        <w:t>，</w:t>
      </w:r>
      <w:r>
        <w:rPr>
          <w:sz w:val="21"/>
        </w:rPr>
        <w:t>并且</w:t>
      </w:r>
      <w:r>
        <w:rPr>
          <w:spacing w:val="-3"/>
          <w:sz w:val="21"/>
        </w:rPr>
        <w:t>接</w:t>
      </w:r>
      <w:r>
        <w:rPr>
          <w:sz w:val="21"/>
        </w:rPr>
        <w:t>受</w:t>
      </w:r>
      <w:r>
        <w:rPr>
          <w:spacing w:val="-3"/>
          <w:sz w:val="21"/>
        </w:rPr>
        <w:t>了</w:t>
      </w:r>
      <w:r>
        <w:rPr>
          <w:sz w:val="21"/>
        </w:rPr>
        <w:t>相应</w:t>
      </w:r>
    </w:p>
    <w:p>
      <w:pPr>
        <w:spacing w:after="0"/>
        <w:jc w:val="left"/>
        <w:rPr>
          <w:sz w:val="21"/>
        </w:rPr>
        <w:sectPr>
          <w:type w:val="continuous"/>
          <w:pgSz w:w="11910" w:h="16840"/>
          <w:pgMar w:top="200" w:bottom="280" w:left="1080" w:right="10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2173"/>
        <w:gridCol w:w="6455"/>
      </w:tblGrid>
      <w:tr>
        <w:trPr>
          <w:trHeight w:val="1892" w:hRule="atLeast"/>
        </w:trPr>
        <w:tc>
          <w:tcPr>
            <w:tcW w:w="1156" w:type="dxa"/>
          </w:tcPr>
          <w:p>
            <w:pPr>
              <w:pStyle w:val="TableParagraph"/>
              <w:ind w:left="0"/>
              <w:rPr>
                <w:rFonts w:ascii="Times New Roman"/>
                <w:sz w:val="20"/>
              </w:rPr>
            </w:pPr>
          </w:p>
        </w:tc>
        <w:tc>
          <w:tcPr>
            <w:tcW w:w="2173" w:type="dxa"/>
          </w:tcPr>
          <w:p>
            <w:pPr>
              <w:pStyle w:val="TableParagraph"/>
              <w:spacing w:line="203" w:lineRule="exact"/>
              <w:ind w:left="215"/>
              <w:rPr>
                <w:b/>
                <w:sz w:val="21"/>
              </w:rPr>
            </w:pPr>
            <w:r>
              <w:rPr>
                <w:b/>
                <w:sz w:val="21"/>
              </w:rPr>
              <w:t>病变</w:t>
            </w:r>
          </w:p>
        </w:tc>
        <w:tc>
          <w:tcPr>
            <w:tcW w:w="6455" w:type="dxa"/>
          </w:tcPr>
          <w:p>
            <w:pPr>
              <w:pStyle w:val="TableParagraph"/>
              <w:spacing w:line="203" w:lineRule="exact"/>
              <w:ind w:left="58"/>
              <w:rPr>
                <w:sz w:val="21"/>
              </w:rPr>
            </w:pPr>
            <w:r>
              <w:rPr>
                <w:sz w:val="21"/>
              </w:rPr>
              <w:t>的治疗。</w:t>
            </w:r>
          </w:p>
          <w:p>
            <w:pPr>
              <w:pStyle w:val="TableParagraph"/>
              <w:spacing w:before="37"/>
              <w:ind w:left="58"/>
              <w:rPr>
                <w:sz w:val="21"/>
              </w:rPr>
            </w:pPr>
            <w:r>
              <w:rPr>
                <w:sz w:val="21"/>
              </w:rPr>
              <w:t>(1)原位癌；</w:t>
            </w:r>
          </w:p>
          <w:p>
            <w:pPr>
              <w:pStyle w:val="TableParagraph"/>
              <w:spacing w:before="37"/>
              <w:ind w:left="58"/>
              <w:rPr>
                <w:sz w:val="21"/>
              </w:rPr>
            </w:pPr>
            <w:r>
              <w:rPr>
                <w:sz w:val="21"/>
              </w:rPr>
              <w:t>(2)相当于 Binet 分期方案 A 期程度的慢性淋巴细胞白血病；</w:t>
            </w:r>
          </w:p>
          <w:p>
            <w:pPr>
              <w:pStyle w:val="TableParagraph"/>
              <w:spacing w:before="37"/>
              <w:ind w:left="58"/>
              <w:rPr>
                <w:sz w:val="21"/>
              </w:rPr>
            </w:pPr>
            <w:r>
              <w:rPr>
                <w:sz w:val="21"/>
              </w:rPr>
              <w:t>(3)相当于 Ann Arbor 分期方案 I 期程度的何杰金氏病；</w:t>
            </w:r>
          </w:p>
          <w:p>
            <w:pPr>
              <w:pStyle w:val="TableParagraph"/>
              <w:spacing w:before="37"/>
              <w:ind w:left="58"/>
              <w:rPr>
                <w:sz w:val="21"/>
              </w:rPr>
            </w:pPr>
            <w:r>
              <w:rPr>
                <w:w w:val="100"/>
                <w:sz w:val="21"/>
              </w:rPr>
              <w:t>(4)</w:t>
            </w:r>
            <w:r>
              <w:rPr>
                <w:spacing w:val="-3"/>
                <w:w w:val="100"/>
                <w:sz w:val="21"/>
              </w:rPr>
              <w:t>皮肤癌</w:t>
            </w:r>
            <w:r>
              <w:rPr>
                <w:w w:val="100"/>
                <w:sz w:val="21"/>
              </w:rPr>
              <w:t>（</w:t>
            </w:r>
            <w:r>
              <w:rPr>
                <w:spacing w:val="-3"/>
                <w:w w:val="100"/>
                <w:sz w:val="21"/>
              </w:rPr>
              <w:t>不包括恶性黑色素瘤及已发生转移的皮肤癌</w:t>
            </w:r>
            <w:r>
              <w:rPr>
                <w:spacing w:val="-108"/>
                <w:w w:val="100"/>
                <w:sz w:val="21"/>
              </w:rPr>
              <w:t>）</w:t>
            </w:r>
            <w:r>
              <w:rPr>
                <w:w w:val="100"/>
                <w:sz w:val="21"/>
              </w:rPr>
              <w:t>；</w:t>
            </w:r>
          </w:p>
          <w:p>
            <w:pPr>
              <w:pStyle w:val="TableParagraph"/>
              <w:spacing w:before="36"/>
              <w:ind w:left="58"/>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1702" w:hRule="atLeast"/>
        </w:trPr>
        <w:tc>
          <w:tcPr>
            <w:tcW w:w="1156" w:type="dxa"/>
          </w:tcPr>
          <w:p>
            <w:pPr>
              <w:pStyle w:val="TableParagraph"/>
              <w:spacing w:before="49"/>
              <w:ind w:left="200"/>
              <w:rPr>
                <w:b/>
                <w:sz w:val="21"/>
              </w:rPr>
            </w:pPr>
            <w:r>
              <w:rPr>
                <w:b/>
                <w:sz w:val="21"/>
              </w:rPr>
              <w:t>11.1.2</w:t>
            </w:r>
          </w:p>
        </w:tc>
        <w:tc>
          <w:tcPr>
            <w:tcW w:w="2173" w:type="dxa"/>
          </w:tcPr>
          <w:p>
            <w:pPr>
              <w:pStyle w:val="TableParagraph"/>
              <w:spacing w:line="273" w:lineRule="auto" w:before="49"/>
              <w:ind w:left="215" w:right="55"/>
              <w:rPr>
                <w:b/>
                <w:sz w:val="21"/>
              </w:rPr>
            </w:pPr>
            <w:r>
              <w:rPr>
                <w:b/>
                <w:sz w:val="21"/>
              </w:rPr>
              <w:t>脑垂体瘤、脑囊肿、脑动脉瘤和脑海绵 状血管瘤</w:t>
            </w:r>
          </w:p>
        </w:tc>
        <w:tc>
          <w:tcPr>
            <w:tcW w:w="6455" w:type="dxa"/>
          </w:tcPr>
          <w:p>
            <w:pPr>
              <w:pStyle w:val="TableParagraph"/>
              <w:spacing w:line="273" w:lineRule="auto" w:before="49"/>
              <w:ind w:left="58" w:right="302"/>
              <w:rPr>
                <w:sz w:val="21"/>
              </w:rPr>
            </w:pPr>
            <w:r>
              <w:rPr>
                <w:spacing w:val="-3"/>
                <w:w w:val="100"/>
                <w:sz w:val="21"/>
              </w:rPr>
              <w:t>指经头颅断层扫描（</w:t>
            </w:r>
            <w:r>
              <w:rPr>
                <w:w w:val="100"/>
                <w:sz w:val="21"/>
              </w:rPr>
              <w:t>CT</w:t>
            </w:r>
            <w:r>
              <w:rPr>
                <w:spacing w:val="-108"/>
                <w:w w:val="100"/>
                <w:sz w:val="21"/>
              </w:rPr>
              <w:t>）</w:t>
            </w:r>
            <w:r>
              <w:rPr>
                <w:spacing w:val="-3"/>
                <w:w w:val="100"/>
                <w:sz w:val="21"/>
              </w:rPr>
              <w:t>、核磁共振（</w:t>
            </w:r>
            <w:r>
              <w:rPr>
                <w:w w:val="100"/>
                <w:sz w:val="21"/>
              </w:rPr>
              <w:t>MR</w:t>
            </w:r>
            <w:r>
              <w:rPr>
                <w:spacing w:val="-3"/>
                <w:w w:val="100"/>
                <w:sz w:val="21"/>
              </w:rPr>
              <w:t>I</w:t>
            </w:r>
            <w:r>
              <w:rPr>
                <w:w w:val="100"/>
                <w:sz w:val="21"/>
              </w:rPr>
              <w:t>）</w:t>
            </w:r>
            <w:r>
              <w:rPr>
                <w:spacing w:val="-3"/>
                <w:w w:val="100"/>
                <w:sz w:val="21"/>
              </w:rPr>
              <w:t>或其他影像学检查被确</w:t>
            </w:r>
            <w:r>
              <w:rPr>
                <w:spacing w:val="-3"/>
                <w:sz w:val="21"/>
              </w:rPr>
              <w:t>诊为下列病变，并实际接受了手术或放射治疗。</w:t>
            </w:r>
          </w:p>
          <w:p>
            <w:pPr>
              <w:pStyle w:val="TableParagraph"/>
              <w:spacing w:before="7"/>
              <w:ind w:left="58"/>
              <w:rPr>
                <w:sz w:val="21"/>
              </w:rPr>
            </w:pPr>
            <w:r>
              <w:rPr>
                <w:sz w:val="21"/>
              </w:rPr>
              <w:t>(1)脑垂体瘤；</w:t>
            </w:r>
          </w:p>
          <w:p>
            <w:pPr>
              <w:pStyle w:val="TableParagraph"/>
              <w:spacing w:before="36"/>
              <w:ind w:left="58"/>
              <w:rPr>
                <w:sz w:val="21"/>
              </w:rPr>
            </w:pPr>
            <w:r>
              <w:rPr>
                <w:sz w:val="21"/>
              </w:rPr>
              <w:t>(2)脑囊肿；</w:t>
            </w:r>
          </w:p>
          <w:p>
            <w:pPr>
              <w:pStyle w:val="TableParagraph"/>
              <w:spacing w:before="37"/>
              <w:ind w:left="58"/>
              <w:rPr>
                <w:sz w:val="21"/>
              </w:rPr>
            </w:pPr>
            <w:r>
              <w:rPr>
                <w:sz w:val="21"/>
              </w:rPr>
              <w:t>(3)脑动脉瘤、脑海绵状血管瘤。</w:t>
            </w:r>
          </w:p>
        </w:tc>
      </w:tr>
      <w:tr>
        <w:trPr>
          <w:trHeight w:val="765" w:hRule="atLeast"/>
        </w:trPr>
        <w:tc>
          <w:tcPr>
            <w:tcW w:w="1156" w:type="dxa"/>
          </w:tcPr>
          <w:p>
            <w:pPr>
              <w:pStyle w:val="TableParagraph"/>
              <w:spacing w:before="49"/>
              <w:ind w:left="200"/>
              <w:rPr>
                <w:b/>
                <w:sz w:val="21"/>
              </w:rPr>
            </w:pPr>
            <w:r>
              <w:rPr>
                <w:b/>
                <w:sz w:val="21"/>
              </w:rPr>
              <w:t>11.1.3</w:t>
            </w:r>
          </w:p>
        </w:tc>
        <w:tc>
          <w:tcPr>
            <w:tcW w:w="2173" w:type="dxa"/>
          </w:tcPr>
          <w:p>
            <w:pPr>
              <w:pStyle w:val="TableParagraph"/>
              <w:spacing w:line="273" w:lineRule="auto" w:before="49"/>
              <w:ind w:left="215" w:right="266"/>
              <w:rPr>
                <w:b/>
                <w:sz w:val="21"/>
              </w:rPr>
            </w:pPr>
            <w:r>
              <w:rPr>
                <w:b/>
                <w:sz w:val="21"/>
              </w:rPr>
              <w:t>冠状动脉支架植入术</w:t>
            </w:r>
          </w:p>
        </w:tc>
        <w:tc>
          <w:tcPr>
            <w:tcW w:w="6455" w:type="dxa"/>
          </w:tcPr>
          <w:p>
            <w:pPr>
              <w:pStyle w:val="TableParagraph"/>
              <w:spacing w:line="273" w:lineRule="auto" w:before="49"/>
              <w:ind w:left="58" w:right="297"/>
              <w:rPr>
                <w:sz w:val="21"/>
              </w:rPr>
            </w:pPr>
            <w:r>
              <w:rPr>
                <w:sz w:val="21"/>
              </w:rPr>
              <w:t>为了治疗明显的冠状动脉狭窄性疾病，首次实际实施了冠状动脉支架植入术。</w:t>
            </w:r>
          </w:p>
        </w:tc>
      </w:tr>
      <w:tr>
        <w:trPr>
          <w:trHeight w:val="1077" w:hRule="atLeast"/>
        </w:trPr>
        <w:tc>
          <w:tcPr>
            <w:tcW w:w="1156" w:type="dxa"/>
          </w:tcPr>
          <w:p>
            <w:pPr>
              <w:pStyle w:val="TableParagraph"/>
              <w:spacing w:before="49"/>
              <w:ind w:left="200"/>
              <w:rPr>
                <w:b/>
                <w:sz w:val="21"/>
              </w:rPr>
            </w:pPr>
            <w:r>
              <w:rPr>
                <w:b/>
                <w:sz w:val="21"/>
              </w:rPr>
              <w:t>11.1.4</w:t>
            </w:r>
          </w:p>
        </w:tc>
        <w:tc>
          <w:tcPr>
            <w:tcW w:w="2173" w:type="dxa"/>
          </w:tcPr>
          <w:p>
            <w:pPr>
              <w:pStyle w:val="TableParagraph"/>
              <w:spacing w:before="49"/>
              <w:ind w:left="215"/>
              <w:rPr>
                <w:b/>
                <w:sz w:val="21"/>
              </w:rPr>
            </w:pPr>
            <w:r>
              <w:rPr>
                <w:b/>
                <w:sz w:val="21"/>
              </w:rPr>
              <w:t>主动脉介入手术</w:t>
            </w:r>
          </w:p>
        </w:tc>
        <w:tc>
          <w:tcPr>
            <w:tcW w:w="6455" w:type="dxa"/>
          </w:tcPr>
          <w:p>
            <w:pPr>
              <w:pStyle w:val="TableParagraph"/>
              <w:spacing w:line="273" w:lineRule="auto" w:before="49"/>
              <w:ind w:left="58" w:right="297"/>
              <w:jc w:val="both"/>
              <w:rPr>
                <w:sz w:val="21"/>
              </w:rPr>
            </w:pPr>
            <w:r>
              <w:rPr>
                <w:sz w:val="21"/>
              </w:rPr>
              <w:t>为了治疗主动脉疾病实际实施了经皮经导管进行的动脉内手术。主动脉指胸主动脉和腹主动脉，不包括胸主动脉和腹主动脉的分支血管。</w:t>
            </w:r>
          </w:p>
        </w:tc>
      </w:tr>
      <w:tr>
        <w:trPr>
          <w:trHeight w:val="1078" w:hRule="atLeast"/>
        </w:trPr>
        <w:tc>
          <w:tcPr>
            <w:tcW w:w="1156" w:type="dxa"/>
          </w:tcPr>
          <w:p>
            <w:pPr>
              <w:pStyle w:val="TableParagraph"/>
              <w:spacing w:before="49"/>
              <w:ind w:left="200"/>
              <w:rPr>
                <w:b/>
                <w:sz w:val="21"/>
              </w:rPr>
            </w:pPr>
            <w:r>
              <w:rPr>
                <w:b/>
                <w:sz w:val="21"/>
              </w:rPr>
              <w:t>11.1.5</w:t>
            </w:r>
          </w:p>
        </w:tc>
        <w:tc>
          <w:tcPr>
            <w:tcW w:w="2173" w:type="dxa"/>
          </w:tcPr>
          <w:p>
            <w:pPr>
              <w:pStyle w:val="TableParagraph"/>
              <w:spacing w:before="49"/>
              <w:ind w:left="215"/>
              <w:rPr>
                <w:b/>
                <w:sz w:val="21"/>
              </w:rPr>
            </w:pPr>
            <w:r>
              <w:rPr>
                <w:b/>
                <w:sz w:val="21"/>
              </w:rPr>
              <w:t>心脏瓣膜介入手术</w:t>
            </w:r>
          </w:p>
        </w:tc>
        <w:tc>
          <w:tcPr>
            <w:tcW w:w="6455" w:type="dxa"/>
          </w:tcPr>
          <w:p>
            <w:pPr>
              <w:pStyle w:val="TableParagraph"/>
              <w:spacing w:line="273" w:lineRule="auto" w:before="49"/>
              <w:ind w:left="58" w:right="297"/>
              <w:jc w:val="both"/>
              <w:rPr>
                <w:sz w:val="21"/>
              </w:rPr>
            </w:pPr>
            <w:r>
              <w:rPr>
                <w:sz w:val="21"/>
              </w:rPr>
              <w:t>指为治疗心脏瓣膜疾病，首次实际接受了经非胸廓切开的经胸壁打孔内镜手术或经皮血管穿刺导管介入手术来进行心脏瓣膜置换或修复。</w:t>
            </w:r>
          </w:p>
        </w:tc>
      </w:tr>
      <w:tr>
        <w:trPr>
          <w:trHeight w:val="2403" w:hRule="atLeast"/>
        </w:trPr>
        <w:tc>
          <w:tcPr>
            <w:tcW w:w="1156" w:type="dxa"/>
          </w:tcPr>
          <w:p>
            <w:pPr>
              <w:pStyle w:val="TableParagraph"/>
              <w:spacing w:before="50"/>
              <w:ind w:left="200"/>
              <w:rPr>
                <w:b/>
                <w:sz w:val="21"/>
              </w:rPr>
            </w:pPr>
            <w:r>
              <w:rPr>
                <w:b/>
                <w:sz w:val="21"/>
              </w:rPr>
              <w:t>11.1.6</w:t>
            </w:r>
          </w:p>
        </w:tc>
        <w:tc>
          <w:tcPr>
            <w:tcW w:w="2173" w:type="dxa"/>
          </w:tcPr>
          <w:p>
            <w:pPr>
              <w:pStyle w:val="TableParagraph"/>
              <w:spacing w:before="50"/>
              <w:ind w:left="215"/>
              <w:rPr>
                <w:b/>
                <w:sz w:val="21"/>
              </w:rPr>
            </w:pPr>
            <w:r>
              <w:rPr>
                <w:b/>
                <w:sz w:val="21"/>
              </w:rPr>
              <w:t>视力严重受损</w:t>
            </w:r>
          </w:p>
        </w:tc>
        <w:tc>
          <w:tcPr>
            <w:tcW w:w="6455" w:type="dxa"/>
          </w:tcPr>
          <w:p>
            <w:pPr>
              <w:pStyle w:val="TableParagraph"/>
              <w:spacing w:line="273" w:lineRule="auto" w:before="50"/>
              <w:ind w:left="58" w:right="297"/>
              <w:rPr>
                <w:sz w:val="21"/>
              </w:rPr>
            </w:pPr>
            <w:r>
              <w:rPr>
                <w:sz w:val="21"/>
              </w:rPr>
              <w:t>指因疾病或意外伤害导致双眼视力永久不可逆性受损，双眼中较好眼满足下列任意一个条件：</w:t>
            </w:r>
          </w:p>
          <w:p>
            <w:pPr>
              <w:pStyle w:val="TableParagraph"/>
              <w:spacing w:line="273" w:lineRule="auto" w:before="7"/>
              <w:ind w:left="58" w:right="249"/>
              <w:rPr>
                <w:sz w:val="21"/>
              </w:rPr>
            </w:pPr>
            <w:r>
              <w:rPr>
                <w:sz w:val="21"/>
              </w:rPr>
              <w:t>(1)</w:t>
            </w:r>
            <w:r>
              <w:rPr>
                <w:spacing w:val="-7"/>
                <w:sz w:val="21"/>
              </w:rPr>
              <w:t>矫正视力低于 </w:t>
            </w:r>
            <w:r>
              <w:rPr>
                <w:sz w:val="21"/>
              </w:rPr>
              <w:t>0.1（</w:t>
            </w:r>
            <w:r>
              <w:rPr>
                <w:spacing w:val="-3"/>
                <w:sz w:val="21"/>
              </w:rPr>
              <w:t>采用国际标准视力表，如果使用其它视力表</w:t>
            </w:r>
            <w:r>
              <w:rPr>
                <w:spacing w:val="-3"/>
                <w:w w:val="100"/>
                <w:sz w:val="21"/>
              </w:rPr>
              <w:t>应进行换算</w:t>
            </w:r>
            <w:r>
              <w:rPr>
                <w:spacing w:val="-106"/>
                <w:w w:val="100"/>
                <w:sz w:val="21"/>
              </w:rPr>
              <w:t>）</w:t>
            </w:r>
            <w:r>
              <w:rPr>
                <w:w w:val="100"/>
                <w:sz w:val="21"/>
              </w:rPr>
              <w:t>；</w:t>
            </w:r>
          </w:p>
          <w:p>
            <w:pPr>
              <w:pStyle w:val="TableParagraph"/>
              <w:spacing w:before="7"/>
              <w:ind w:left="58"/>
              <w:rPr>
                <w:sz w:val="21"/>
              </w:rPr>
            </w:pPr>
            <w:r>
              <w:rPr>
                <w:sz w:val="21"/>
              </w:rPr>
              <w:t>(2)视野半径小于 20 度。</w:t>
            </w:r>
          </w:p>
          <w:p>
            <w:pPr>
              <w:pStyle w:val="TableParagraph"/>
              <w:spacing w:line="273" w:lineRule="auto" w:before="113"/>
              <w:ind w:left="58" w:right="297"/>
              <w:rPr>
                <w:rFonts w:ascii="黑体" w:eastAsia="黑体" w:hint="eastAsia"/>
                <w:sz w:val="21"/>
              </w:rPr>
            </w:pPr>
            <w:r>
              <w:rPr>
                <w:rFonts w:ascii="黑体" w:eastAsia="黑体" w:hint="eastAsia"/>
                <w:sz w:val="21"/>
              </w:rPr>
              <w:t>被保险人申请理赔时年龄必须在三周岁以上，并且提供理赔当时视力严重受损的诊断及检查证据。</w:t>
            </w:r>
          </w:p>
        </w:tc>
      </w:tr>
      <w:tr>
        <w:trPr>
          <w:trHeight w:val="765" w:hRule="atLeast"/>
        </w:trPr>
        <w:tc>
          <w:tcPr>
            <w:tcW w:w="1156" w:type="dxa"/>
          </w:tcPr>
          <w:p>
            <w:pPr>
              <w:pStyle w:val="TableParagraph"/>
              <w:spacing w:before="49"/>
              <w:ind w:left="200"/>
              <w:rPr>
                <w:b/>
                <w:sz w:val="21"/>
              </w:rPr>
            </w:pPr>
            <w:r>
              <w:rPr>
                <w:b/>
                <w:sz w:val="21"/>
              </w:rPr>
              <w:t>11.1.7</w:t>
            </w:r>
          </w:p>
        </w:tc>
        <w:tc>
          <w:tcPr>
            <w:tcW w:w="2173" w:type="dxa"/>
          </w:tcPr>
          <w:p>
            <w:pPr>
              <w:pStyle w:val="TableParagraph"/>
              <w:spacing w:before="49"/>
              <w:ind w:left="215"/>
              <w:rPr>
                <w:b/>
                <w:sz w:val="21"/>
              </w:rPr>
            </w:pPr>
            <w:r>
              <w:rPr>
                <w:b/>
                <w:sz w:val="21"/>
              </w:rPr>
              <w:t>较小面积Ⅲ度烧伤</w:t>
            </w:r>
          </w:p>
        </w:tc>
        <w:tc>
          <w:tcPr>
            <w:tcW w:w="6455" w:type="dxa"/>
          </w:tcPr>
          <w:p>
            <w:pPr>
              <w:pStyle w:val="TableParagraph"/>
              <w:spacing w:line="273" w:lineRule="auto" w:before="49"/>
              <w:ind w:left="58" w:right="288"/>
              <w:rPr>
                <w:sz w:val="21"/>
              </w:rPr>
            </w:pPr>
            <w:r>
              <w:rPr>
                <w:sz w:val="21"/>
              </w:rPr>
              <w:t>指烧伤程度为Ⅲ度，且Ⅲ度烧伤的面积达到 10%的全身体表面积但小于 20%的全身体表面积。体表面积根据《中国新九分法》计算。</w:t>
            </w:r>
          </w:p>
        </w:tc>
      </w:tr>
      <w:tr>
        <w:trPr>
          <w:trHeight w:val="2015" w:hRule="atLeast"/>
        </w:trPr>
        <w:tc>
          <w:tcPr>
            <w:tcW w:w="1156" w:type="dxa"/>
          </w:tcPr>
          <w:p>
            <w:pPr>
              <w:pStyle w:val="TableParagraph"/>
              <w:spacing w:before="49"/>
              <w:ind w:left="200"/>
              <w:rPr>
                <w:b/>
                <w:sz w:val="21"/>
              </w:rPr>
            </w:pPr>
            <w:r>
              <w:rPr>
                <w:b/>
                <w:sz w:val="21"/>
              </w:rPr>
              <w:t>11.1.8</w:t>
            </w:r>
          </w:p>
        </w:tc>
        <w:tc>
          <w:tcPr>
            <w:tcW w:w="2173" w:type="dxa"/>
          </w:tcPr>
          <w:p>
            <w:pPr>
              <w:pStyle w:val="TableParagraph"/>
              <w:spacing w:before="49"/>
              <w:ind w:left="215"/>
              <w:rPr>
                <w:b/>
                <w:sz w:val="21"/>
              </w:rPr>
            </w:pPr>
            <w:r>
              <w:rPr>
                <w:b/>
                <w:sz w:val="21"/>
              </w:rPr>
              <w:t>轻微脑中风</w:t>
            </w:r>
          </w:p>
        </w:tc>
        <w:tc>
          <w:tcPr>
            <w:tcW w:w="6455" w:type="dxa"/>
          </w:tcPr>
          <w:p>
            <w:pPr>
              <w:pStyle w:val="TableParagraph"/>
              <w:spacing w:line="273" w:lineRule="auto" w:before="49"/>
              <w:ind w:left="58" w:right="297"/>
              <w:jc w:val="both"/>
              <w:rPr>
                <w:sz w:val="21"/>
              </w:rPr>
            </w:pPr>
            <w:r>
              <w:rPr>
                <w:sz w:val="21"/>
              </w:rPr>
              <w:t>对于“脑中风后遗症”若未达到重大疾病保险金的给付标准，但对于确实发生了中风并且影像学检查证实有相应中风病灶，被保险人存在永久不可逆性神经系统功能损害的症状体征，经专科医生鉴定仍遗留下列一种或一种以上障碍：</w:t>
            </w:r>
          </w:p>
          <w:p>
            <w:pPr>
              <w:pStyle w:val="TableParagraph"/>
              <w:spacing w:before="7"/>
              <w:ind w:left="58"/>
              <w:jc w:val="both"/>
              <w:rPr>
                <w:sz w:val="21"/>
              </w:rPr>
            </w:pPr>
            <w:r>
              <w:rPr>
                <w:sz w:val="21"/>
              </w:rPr>
              <w:t>(1)一肢（上肢或下肢）的三大关节中有一关节以上机能完全丧失；</w:t>
            </w:r>
          </w:p>
          <w:p>
            <w:pPr>
              <w:pStyle w:val="TableParagraph"/>
              <w:spacing w:before="37"/>
              <w:ind w:left="58"/>
              <w:jc w:val="both"/>
              <w:rPr>
                <w:sz w:val="21"/>
              </w:rPr>
            </w:pPr>
            <w:r>
              <w:rPr>
                <w:sz w:val="21"/>
              </w:rPr>
              <w:t>(2)无法独立完成六项基本日常生活活动中的一项或一项以上。</w:t>
            </w:r>
          </w:p>
        </w:tc>
      </w:tr>
      <w:tr>
        <w:trPr>
          <w:trHeight w:val="1390" w:hRule="atLeast"/>
        </w:trPr>
        <w:tc>
          <w:tcPr>
            <w:tcW w:w="1156" w:type="dxa"/>
          </w:tcPr>
          <w:p>
            <w:pPr>
              <w:pStyle w:val="TableParagraph"/>
              <w:spacing w:before="50"/>
              <w:ind w:left="200"/>
              <w:rPr>
                <w:b/>
                <w:sz w:val="21"/>
              </w:rPr>
            </w:pPr>
            <w:r>
              <w:rPr>
                <w:b/>
                <w:sz w:val="21"/>
              </w:rPr>
              <w:t>11.1.9</w:t>
            </w:r>
          </w:p>
        </w:tc>
        <w:tc>
          <w:tcPr>
            <w:tcW w:w="2173" w:type="dxa"/>
          </w:tcPr>
          <w:p>
            <w:pPr>
              <w:pStyle w:val="TableParagraph"/>
              <w:spacing w:before="50"/>
              <w:ind w:left="215"/>
              <w:rPr>
                <w:b/>
                <w:sz w:val="21"/>
              </w:rPr>
            </w:pPr>
            <w:r>
              <w:rPr>
                <w:b/>
                <w:sz w:val="21"/>
              </w:rPr>
              <w:t>早期肾衰竭</w:t>
            </w:r>
          </w:p>
        </w:tc>
        <w:tc>
          <w:tcPr>
            <w:tcW w:w="6455" w:type="dxa"/>
          </w:tcPr>
          <w:p>
            <w:pPr>
              <w:pStyle w:val="TableParagraph"/>
              <w:spacing w:line="273" w:lineRule="auto" w:before="50"/>
              <w:ind w:left="58" w:right="249"/>
              <w:jc w:val="both"/>
              <w:rPr>
                <w:sz w:val="21"/>
              </w:rPr>
            </w:pPr>
            <w:r>
              <w:rPr>
                <w:spacing w:val="-3"/>
                <w:sz w:val="21"/>
              </w:rPr>
              <w:t>诊断必须由专科医生证实为慢性肾脏疾病及肾功能永久性受损。必</w:t>
            </w:r>
            <w:r>
              <w:rPr>
                <w:spacing w:val="-3"/>
                <w:w w:val="100"/>
                <w:sz w:val="21"/>
              </w:rPr>
              <w:t>须经由检验结果证实（</w:t>
            </w:r>
            <w:r>
              <w:rPr>
                <w:spacing w:val="-2"/>
                <w:w w:val="100"/>
                <w:sz w:val="21"/>
              </w:rPr>
              <w:t>最少有</w:t>
            </w:r>
            <w:r>
              <w:rPr>
                <w:spacing w:val="-53"/>
                <w:sz w:val="21"/>
              </w:rPr>
              <w:t> </w:t>
            </w:r>
            <w:r>
              <w:rPr>
                <w:w w:val="100"/>
                <w:sz w:val="21"/>
              </w:rPr>
              <w:t>2</w:t>
            </w:r>
            <w:r>
              <w:rPr>
                <w:spacing w:val="-55"/>
                <w:sz w:val="21"/>
              </w:rPr>
              <w:t> </w:t>
            </w:r>
            <w:r>
              <w:rPr>
                <w:spacing w:val="-2"/>
                <w:w w:val="100"/>
                <w:sz w:val="21"/>
              </w:rPr>
              <w:t>个相隔</w:t>
            </w:r>
            <w:r>
              <w:rPr>
                <w:spacing w:val="-53"/>
                <w:sz w:val="21"/>
              </w:rPr>
              <w:t> </w:t>
            </w:r>
            <w:r>
              <w:rPr>
                <w:w w:val="100"/>
                <w:sz w:val="21"/>
              </w:rPr>
              <w:t>2</w:t>
            </w:r>
            <w:r>
              <w:rPr>
                <w:spacing w:val="-55"/>
                <w:sz w:val="21"/>
              </w:rPr>
              <w:t> </w:t>
            </w:r>
            <w:r>
              <w:rPr>
                <w:spacing w:val="-3"/>
                <w:w w:val="100"/>
                <w:sz w:val="21"/>
              </w:rPr>
              <w:t>个月的测试</w:t>
            </w:r>
            <w:r>
              <w:rPr>
                <w:spacing w:val="-106"/>
                <w:w w:val="100"/>
                <w:sz w:val="21"/>
              </w:rPr>
              <w:t>）</w:t>
            </w:r>
            <w:r>
              <w:rPr>
                <w:spacing w:val="-3"/>
                <w:w w:val="100"/>
                <w:sz w:val="21"/>
              </w:rPr>
              <w:t>，最少持续</w:t>
            </w:r>
            <w:r>
              <w:rPr>
                <w:spacing w:val="-52"/>
                <w:sz w:val="21"/>
              </w:rPr>
              <w:t> </w:t>
            </w:r>
            <w:r>
              <w:rPr>
                <w:w w:val="100"/>
                <w:sz w:val="21"/>
              </w:rPr>
              <w:t>6</w:t>
            </w:r>
            <w:r>
              <w:rPr>
                <w:spacing w:val="-6"/>
                <w:sz w:val="21"/>
              </w:rPr>
              <w:t>个月或以上，以肾小球滤过率</w:t>
            </w:r>
            <w:r>
              <w:rPr>
                <w:spacing w:val="-5"/>
                <w:sz w:val="21"/>
              </w:rPr>
              <w:t>（GFR）</w:t>
            </w:r>
            <w:r>
              <w:rPr>
                <w:spacing w:val="-6"/>
                <w:sz w:val="21"/>
              </w:rPr>
              <w:t>计，肾功能严重下降至每分钟</w:t>
            </w:r>
            <w:r>
              <w:rPr>
                <w:spacing w:val="-21"/>
                <w:sz w:val="21"/>
              </w:rPr>
              <w:t>少于 </w:t>
            </w:r>
            <w:r>
              <w:rPr>
                <w:sz w:val="21"/>
              </w:rPr>
              <w:t>15</w:t>
            </w:r>
            <w:r>
              <w:rPr>
                <w:spacing w:val="-18"/>
                <w:sz w:val="21"/>
              </w:rPr>
              <w:t> 毫升</w:t>
            </w:r>
            <w:r>
              <w:rPr>
                <w:sz w:val="21"/>
              </w:rPr>
              <w:t>/1.73</w:t>
            </w:r>
            <w:r>
              <w:rPr>
                <w:spacing w:val="-9"/>
                <w:sz w:val="21"/>
              </w:rPr>
              <w:t> 米体表面积。</w:t>
            </w:r>
          </w:p>
        </w:tc>
      </w:tr>
      <w:tr>
        <w:trPr>
          <w:trHeight w:val="644" w:hRule="atLeast"/>
        </w:trPr>
        <w:tc>
          <w:tcPr>
            <w:tcW w:w="1156" w:type="dxa"/>
          </w:tcPr>
          <w:p>
            <w:pPr>
              <w:pStyle w:val="TableParagraph"/>
              <w:spacing w:before="49"/>
              <w:ind w:left="200"/>
              <w:rPr>
                <w:b/>
                <w:sz w:val="21"/>
              </w:rPr>
            </w:pPr>
            <w:r>
              <w:rPr>
                <w:b/>
                <w:sz w:val="21"/>
              </w:rPr>
              <w:t>11.1.10</w:t>
            </w:r>
          </w:p>
        </w:tc>
        <w:tc>
          <w:tcPr>
            <w:tcW w:w="2173" w:type="dxa"/>
          </w:tcPr>
          <w:p>
            <w:pPr>
              <w:pStyle w:val="TableParagraph"/>
              <w:spacing w:line="310" w:lineRule="atLeast" w:before="14"/>
              <w:ind w:left="215" w:right="266"/>
              <w:rPr>
                <w:b/>
                <w:sz w:val="21"/>
              </w:rPr>
            </w:pPr>
            <w:r>
              <w:rPr>
                <w:b/>
                <w:sz w:val="21"/>
              </w:rPr>
              <w:t>轻症慢性肝功能衰竭失代偿期</w:t>
            </w:r>
          </w:p>
        </w:tc>
        <w:tc>
          <w:tcPr>
            <w:tcW w:w="6455" w:type="dxa"/>
          </w:tcPr>
          <w:p>
            <w:pPr>
              <w:pStyle w:val="TableParagraph"/>
              <w:spacing w:line="310" w:lineRule="atLeast" w:before="14"/>
              <w:ind w:left="58" w:right="297"/>
              <w:rPr>
                <w:sz w:val="21"/>
              </w:rPr>
            </w:pPr>
            <w:r>
              <w:rPr>
                <w:sz w:val="21"/>
              </w:rPr>
              <w:t>对于“慢性肝功能衰竭失代偿期”若未达到重大疾病保险金的给付标准，但因慢性肝脏疾病导致肝功能衰竭失代偿期，并满足下列任</w:t>
            </w:r>
          </w:p>
        </w:tc>
      </w:tr>
    </w:tbl>
    <w:p>
      <w:pPr>
        <w:spacing w:after="0" w:line="310" w:lineRule="atLeast"/>
        <w:rPr>
          <w:sz w:val="21"/>
        </w:rPr>
        <w:sectPr>
          <w:pgSz w:w="11910" w:h="16840"/>
          <w:pgMar w:top="1460" w:bottom="280" w:left="980" w:right="92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2068"/>
        <w:gridCol w:w="6614"/>
      </w:tblGrid>
      <w:tr>
        <w:trPr>
          <w:trHeight w:val="1969" w:hRule="atLeast"/>
        </w:trPr>
        <w:tc>
          <w:tcPr>
            <w:tcW w:w="1156" w:type="dxa"/>
          </w:tcPr>
          <w:p>
            <w:pPr>
              <w:pStyle w:val="TableParagraph"/>
              <w:ind w:left="0"/>
              <w:rPr>
                <w:rFonts w:ascii="Times New Roman"/>
                <w:sz w:val="20"/>
              </w:rPr>
            </w:pPr>
          </w:p>
        </w:tc>
        <w:tc>
          <w:tcPr>
            <w:tcW w:w="2068" w:type="dxa"/>
          </w:tcPr>
          <w:p>
            <w:pPr>
              <w:pStyle w:val="TableParagraph"/>
              <w:ind w:left="0"/>
              <w:rPr>
                <w:rFonts w:ascii="Times New Roman"/>
                <w:sz w:val="20"/>
              </w:rPr>
            </w:pPr>
          </w:p>
        </w:tc>
        <w:tc>
          <w:tcPr>
            <w:tcW w:w="6614" w:type="dxa"/>
          </w:tcPr>
          <w:p>
            <w:pPr>
              <w:pStyle w:val="TableParagraph"/>
              <w:spacing w:line="203" w:lineRule="exact"/>
              <w:rPr>
                <w:sz w:val="21"/>
              </w:rPr>
            </w:pPr>
            <w:r>
              <w:rPr>
                <w:sz w:val="21"/>
              </w:rPr>
              <w:t>意两个条件：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114"/>
              <w:rPr>
                <w:rFonts w:ascii="黑体" w:eastAsia="黑体" w:hint="eastAsia"/>
                <w:sz w:val="21"/>
              </w:rPr>
            </w:pPr>
            <w:r>
              <w:rPr>
                <w:rFonts w:ascii="黑体" w:eastAsia="黑体" w:hint="eastAsia"/>
                <w:sz w:val="21"/>
              </w:rPr>
              <w:t>因酗酒或药物滥用导致的肝功能衰竭不在保障范围内。</w:t>
            </w:r>
          </w:p>
        </w:tc>
      </w:tr>
      <w:tr>
        <w:trPr>
          <w:trHeight w:val="766" w:hRule="atLeast"/>
        </w:trPr>
        <w:tc>
          <w:tcPr>
            <w:tcW w:w="1156" w:type="dxa"/>
          </w:tcPr>
          <w:p>
            <w:pPr>
              <w:pStyle w:val="TableParagraph"/>
              <w:spacing w:before="49"/>
              <w:ind w:left="200"/>
              <w:rPr>
                <w:b/>
                <w:sz w:val="21"/>
              </w:rPr>
            </w:pPr>
            <w:r>
              <w:rPr>
                <w:b/>
                <w:sz w:val="21"/>
              </w:rPr>
              <w:t>11.1.11</w:t>
            </w:r>
          </w:p>
        </w:tc>
        <w:tc>
          <w:tcPr>
            <w:tcW w:w="2068" w:type="dxa"/>
          </w:tcPr>
          <w:p>
            <w:pPr>
              <w:pStyle w:val="TableParagraph"/>
              <w:spacing w:before="49"/>
              <w:ind w:left="215"/>
              <w:rPr>
                <w:b/>
                <w:sz w:val="21"/>
              </w:rPr>
            </w:pPr>
            <w:r>
              <w:rPr>
                <w:b/>
                <w:sz w:val="21"/>
              </w:rPr>
              <w:t>单肢缺失</w:t>
            </w:r>
          </w:p>
        </w:tc>
        <w:tc>
          <w:tcPr>
            <w:tcW w:w="6614" w:type="dxa"/>
          </w:tcPr>
          <w:p>
            <w:pPr>
              <w:pStyle w:val="TableParagraph"/>
              <w:spacing w:line="273" w:lineRule="auto" w:before="49"/>
              <w:ind w:right="351"/>
              <w:rPr>
                <w:sz w:val="21"/>
              </w:rPr>
            </w:pPr>
            <w:r>
              <w:rPr>
                <w:sz w:val="21"/>
              </w:rPr>
              <w:t>因疾病或意外导致单肢已断离并且不可接回，但断肢必须是在膝部或肘部以上。</w:t>
            </w:r>
          </w:p>
        </w:tc>
      </w:tr>
      <w:tr>
        <w:trPr>
          <w:trHeight w:val="1780" w:hRule="atLeast"/>
        </w:trPr>
        <w:tc>
          <w:tcPr>
            <w:tcW w:w="1156" w:type="dxa"/>
          </w:tcPr>
          <w:p>
            <w:pPr>
              <w:pStyle w:val="TableParagraph"/>
              <w:spacing w:before="50"/>
              <w:ind w:left="200"/>
              <w:rPr>
                <w:b/>
                <w:sz w:val="21"/>
              </w:rPr>
            </w:pPr>
            <w:r>
              <w:rPr>
                <w:b/>
                <w:sz w:val="21"/>
              </w:rPr>
              <w:t>11.1.12</w:t>
            </w:r>
          </w:p>
        </w:tc>
        <w:tc>
          <w:tcPr>
            <w:tcW w:w="2068" w:type="dxa"/>
          </w:tcPr>
          <w:p>
            <w:pPr>
              <w:pStyle w:val="TableParagraph"/>
              <w:spacing w:before="50"/>
              <w:ind w:left="215"/>
              <w:rPr>
                <w:b/>
                <w:sz w:val="21"/>
              </w:rPr>
            </w:pPr>
            <w:r>
              <w:rPr>
                <w:b/>
                <w:sz w:val="21"/>
              </w:rPr>
              <w:t>听力严重受损</w:t>
            </w:r>
          </w:p>
        </w:tc>
        <w:tc>
          <w:tcPr>
            <w:tcW w:w="6614" w:type="dxa"/>
          </w:tcPr>
          <w:p>
            <w:pPr>
              <w:pStyle w:val="TableParagraph"/>
              <w:spacing w:before="50"/>
              <w:rPr>
                <w:sz w:val="21"/>
              </w:rPr>
            </w:pPr>
            <w:r>
              <w:rPr>
                <w:sz w:val="21"/>
              </w:rPr>
              <w:t>指因疾病或意外伤害导致一耳听力永久不可逆性丧失，在 500 赫兹、</w:t>
            </w:r>
          </w:p>
          <w:p>
            <w:pPr>
              <w:pStyle w:val="TableParagraph"/>
              <w:spacing w:line="273" w:lineRule="auto" w:before="37"/>
              <w:ind w:right="303"/>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10"/>
                <w:sz w:val="21"/>
              </w:rPr>
              <w:t> 分贝，且经纯</w:t>
            </w:r>
            <w:r>
              <w:rPr>
                <w:spacing w:val="-5"/>
                <w:sz w:val="21"/>
              </w:rPr>
              <w:t>音听力测试、声导抗检测或听觉诱发电位检测等证实。</w:t>
            </w:r>
          </w:p>
          <w:p>
            <w:pPr>
              <w:pStyle w:val="TableParagraph"/>
              <w:spacing w:line="273" w:lineRule="auto" w:before="84"/>
              <w:ind w:right="351"/>
              <w:rPr>
                <w:rFonts w:ascii="黑体" w:eastAsia="黑体" w:hint="eastAsia"/>
                <w:sz w:val="21"/>
              </w:rPr>
            </w:pPr>
            <w:r>
              <w:rPr>
                <w:rFonts w:ascii="黑体" w:eastAsia="黑体" w:hint="eastAsia"/>
                <w:sz w:val="21"/>
              </w:rPr>
              <w:t>被保险人申请理赔时年龄必须在三周岁以上，并且提供理赔当时的听力丧失诊断及检查证据。</w:t>
            </w:r>
          </w:p>
        </w:tc>
      </w:tr>
      <w:tr>
        <w:trPr>
          <w:trHeight w:val="765" w:hRule="atLeast"/>
        </w:trPr>
        <w:tc>
          <w:tcPr>
            <w:tcW w:w="1156" w:type="dxa"/>
          </w:tcPr>
          <w:p>
            <w:pPr>
              <w:pStyle w:val="TableParagraph"/>
              <w:spacing w:before="49"/>
              <w:ind w:left="200"/>
              <w:rPr>
                <w:b/>
                <w:sz w:val="21"/>
              </w:rPr>
            </w:pPr>
            <w:r>
              <w:rPr>
                <w:b/>
                <w:sz w:val="21"/>
              </w:rPr>
              <w:t>11.1.13</w:t>
            </w:r>
          </w:p>
        </w:tc>
        <w:tc>
          <w:tcPr>
            <w:tcW w:w="2068" w:type="dxa"/>
          </w:tcPr>
          <w:p>
            <w:pPr>
              <w:pStyle w:val="TableParagraph"/>
              <w:spacing w:before="49"/>
              <w:ind w:left="215"/>
              <w:rPr>
                <w:b/>
                <w:sz w:val="21"/>
              </w:rPr>
            </w:pPr>
            <w:r>
              <w:rPr>
                <w:b/>
                <w:sz w:val="21"/>
              </w:rPr>
              <w:t>脑外伤开颅手术</w:t>
            </w:r>
          </w:p>
        </w:tc>
        <w:tc>
          <w:tcPr>
            <w:tcW w:w="6614" w:type="dxa"/>
          </w:tcPr>
          <w:p>
            <w:pPr>
              <w:pStyle w:val="TableParagraph"/>
              <w:spacing w:line="273" w:lineRule="auto" w:before="49"/>
              <w:ind w:right="351"/>
              <w:rPr>
                <w:sz w:val="21"/>
              </w:rPr>
            </w:pPr>
            <w:r>
              <w:rPr>
                <w:spacing w:val="-3"/>
                <w:sz w:val="21"/>
              </w:rPr>
              <w:t>因头部遭受机械性外力，引起脑重要部位损伤，并实际接受了全麻下颅骨切开颅内血肿清除术</w:t>
            </w:r>
            <w:r>
              <w:rPr>
                <w:rFonts w:ascii="黑体" w:eastAsia="黑体" w:hint="eastAsia"/>
                <w:sz w:val="21"/>
              </w:rPr>
              <w:t>（</w:t>
            </w:r>
            <w:r>
              <w:rPr>
                <w:rFonts w:ascii="黑体" w:eastAsia="黑体" w:hint="eastAsia"/>
                <w:spacing w:val="-3"/>
                <w:sz w:val="21"/>
              </w:rPr>
              <w:t>颅骨钻孔术除外</w:t>
            </w:r>
            <w:r>
              <w:rPr>
                <w:rFonts w:ascii="黑体" w:eastAsia="黑体" w:hint="eastAsia"/>
                <w:spacing w:val="-106"/>
                <w:sz w:val="21"/>
              </w:rPr>
              <w:t>）</w:t>
            </w:r>
            <w:r>
              <w:rPr>
                <w:sz w:val="21"/>
              </w:rPr>
              <w:t>。</w:t>
            </w:r>
          </w:p>
        </w:tc>
      </w:tr>
      <w:tr>
        <w:trPr>
          <w:trHeight w:val="1078" w:hRule="atLeast"/>
        </w:trPr>
        <w:tc>
          <w:tcPr>
            <w:tcW w:w="1156" w:type="dxa"/>
          </w:tcPr>
          <w:p>
            <w:pPr>
              <w:pStyle w:val="TableParagraph"/>
              <w:spacing w:before="49"/>
              <w:ind w:left="200"/>
              <w:rPr>
                <w:b/>
                <w:sz w:val="21"/>
              </w:rPr>
            </w:pPr>
            <w:r>
              <w:rPr>
                <w:b/>
                <w:sz w:val="21"/>
              </w:rPr>
              <w:t>11.1.14</w:t>
            </w:r>
          </w:p>
        </w:tc>
        <w:tc>
          <w:tcPr>
            <w:tcW w:w="2068" w:type="dxa"/>
          </w:tcPr>
          <w:p>
            <w:pPr>
              <w:pStyle w:val="TableParagraph"/>
              <w:spacing w:line="273" w:lineRule="auto" w:before="49"/>
              <w:ind w:left="215" w:right="161"/>
              <w:rPr>
                <w:b/>
                <w:sz w:val="21"/>
              </w:rPr>
            </w:pPr>
            <w:r>
              <w:rPr>
                <w:b/>
                <w:sz w:val="21"/>
              </w:rPr>
              <w:t>轻度原发性肺动脉高压</w:t>
            </w:r>
          </w:p>
        </w:tc>
        <w:tc>
          <w:tcPr>
            <w:tcW w:w="6614" w:type="dxa"/>
          </w:tcPr>
          <w:p>
            <w:pPr>
              <w:pStyle w:val="TableParagraph"/>
              <w:spacing w:line="273" w:lineRule="auto" w:before="49"/>
              <w:ind w:right="351"/>
              <w:jc w:val="both"/>
              <w:rPr>
                <w:sz w:val="21"/>
              </w:rPr>
            </w:pPr>
            <w:r>
              <w:rPr>
                <w:sz w:val="21"/>
              </w:rPr>
              <w:t>指由于原发性肺动脉高压进行性发展而导致右心室肥厚，已经造成永久不可逆性的体力活动能力受限，达到美国纽约心脏病学会心功能状态分级 III 级，且静息状态下肺动脉平均压超过 25mmHg。</w:t>
            </w:r>
          </w:p>
        </w:tc>
      </w:tr>
      <w:tr>
        <w:trPr>
          <w:trHeight w:val="2092" w:hRule="atLeast"/>
        </w:trPr>
        <w:tc>
          <w:tcPr>
            <w:tcW w:w="1156" w:type="dxa"/>
          </w:tcPr>
          <w:p>
            <w:pPr>
              <w:pStyle w:val="TableParagraph"/>
              <w:spacing w:before="50"/>
              <w:ind w:left="200"/>
              <w:rPr>
                <w:b/>
                <w:sz w:val="21"/>
              </w:rPr>
            </w:pPr>
            <w:r>
              <w:rPr>
                <w:b/>
                <w:sz w:val="21"/>
              </w:rPr>
              <w:t>11.1.15</w:t>
            </w:r>
          </w:p>
        </w:tc>
        <w:tc>
          <w:tcPr>
            <w:tcW w:w="2068" w:type="dxa"/>
          </w:tcPr>
          <w:p>
            <w:pPr>
              <w:pStyle w:val="TableParagraph"/>
              <w:spacing w:line="273" w:lineRule="auto" w:before="50"/>
              <w:ind w:left="215" w:right="161"/>
              <w:rPr>
                <w:b/>
                <w:sz w:val="21"/>
              </w:rPr>
            </w:pPr>
            <w:r>
              <w:rPr>
                <w:b/>
                <w:sz w:val="21"/>
              </w:rPr>
              <w:t>轻症再生障碍性贫血</w:t>
            </w:r>
          </w:p>
        </w:tc>
        <w:tc>
          <w:tcPr>
            <w:tcW w:w="6614" w:type="dxa"/>
          </w:tcPr>
          <w:p>
            <w:pPr>
              <w:pStyle w:val="TableParagraph"/>
              <w:spacing w:line="273" w:lineRule="auto" w:before="50"/>
              <w:ind w:right="351"/>
              <w:rPr>
                <w:sz w:val="21"/>
              </w:rPr>
            </w:pPr>
            <w:r>
              <w:rPr>
                <w:sz w:val="21"/>
              </w:rPr>
              <w:t>由急性及可逆转骨髓衰竭所导致的贫血、嗜中性白血球减少症及血小板减少症而必须接受下列一种或以上的治疗：</w:t>
            </w:r>
          </w:p>
          <w:p>
            <w:pPr>
              <w:pStyle w:val="TableParagraph"/>
              <w:spacing w:before="7"/>
              <w:rPr>
                <w:sz w:val="21"/>
              </w:rPr>
            </w:pPr>
            <w:r>
              <w:rPr>
                <w:sz w:val="21"/>
              </w:rPr>
              <w:t>(1)骨髓刺激药剂治疗最少 1 个月；</w:t>
            </w:r>
          </w:p>
          <w:p>
            <w:pPr>
              <w:pStyle w:val="TableParagraph"/>
              <w:spacing w:before="36"/>
              <w:rPr>
                <w:sz w:val="21"/>
              </w:rPr>
            </w:pPr>
            <w:r>
              <w:rPr>
                <w:sz w:val="21"/>
              </w:rPr>
              <w:t>(2)免疫抑制剂治疗最少 1 个月；</w:t>
            </w:r>
          </w:p>
          <w:p>
            <w:pPr>
              <w:pStyle w:val="TableParagraph"/>
              <w:spacing w:before="36"/>
              <w:rPr>
                <w:sz w:val="21"/>
              </w:rPr>
            </w:pPr>
            <w:r>
              <w:rPr>
                <w:sz w:val="21"/>
              </w:rPr>
              <w:t>(3)骨髓移植。</w:t>
            </w:r>
          </w:p>
          <w:p>
            <w:pPr>
              <w:pStyle w:val="TableParagraph"/>
              <w:spacing w:before="113"/>
              <w:rPr>
                <w:sz w:val="21"/>
              </w:rPr>
            </w:pPr>
            <w:r>
              <w:rPr>
                <w:sz w:val="21"/>
              </w:rPr>
              <w:t>诊断必须由专科医生证实。</w:t>
            </w:r>
          </w:p>
        </w:tc>
      </w:tr>
      <w:tr>
        <w:trPr>
          <w:trHeight w:val="2170" w:hRule="atLeast"/>
        </w:trPr>
        <w:tc>
          <w:tcPr>
            <w:tcW w:w="1156" w:type="dxa"/>
          </w:tcPr>
          <w:p>
            <w:pPr>
              <w:pStyle w:val="TableParagraph"/>
              <w:spacing w:before="49"/>
              <w:ind w:left="200"/>
              <w:rPr>
                <w:b/>
                <w:sz w:val="21"/>
              </w:rPr>
            </w:pPr>
            <w:r>
              <w:rPr>
                <w:b/>
                <w:sz w:val="21"/>
              </w:rPr>
              <w:t>11.1.16</w:t>
            </w:r>
          </w:p>
        </w:tc>
        <w:tc>
          <w:tcPr>
            <w:tcW w:w="2068" w:type="dxa"/>
          </w:tcPr>
          <w:p>
            <w:pPr>
              <w:pStyle w:val="TableParagraph"/>
              <w:spacing w:before="49"/>
              <w:ind w:left="215"/>
              <w:rPr>
                <w:b/>
                <w:sz w:val="21"/>
              </w:rPr>
            </w:pPr>
            <w:r>
              <w:rPr>
                <w:b/>
                <w:sz w:val="21"/>
              </w:rPr>
              <w:t>单侧肺脏切除</w:t>
            </w:r>
          </w:p>
        </w:tc>
        <w:tc>
          <w:tcPr>
            <w:tcW w:w="6614" w:type="dxa"/>
          </w:tcPr>
          <w:p>
            <w:pPr>
              <w:pStyle w:val="TableParagraph"/>
              <w:spacing w:before="49"/>
              <w:rPr>
                <w:sz w:val="21"/>
              </w:rPr>
            </w:pPr>
            <w:r>
              <w:rPr>
                <w:sz w:val="21"/>
              </w:rPr>
              <w:t>指因疾病或意外事故实际实施的肺脏左叶或右叶全部切除。</w:t>
            </w:r>
          </w:p>
          <w:p>
            <w:pPr>
              <w:pStyle w:val="TableParagraph"/>
              <w:spacing w:before="116"/>
              <w:rPr>
                <w:rFonts w:ascii="黑体" w:eastAsia="黑体" w:hint="eastAsia"/>
                <w:sz w:val="21"/>
              </w:rPr>
            </w:pPr>
            <w:r>
              <w:rPr>
                <w:rFonts w:ascii="黑体" w:eastAsia="黑体" w:hint="eastAsia"/>
                <w:sz w:val="21"/>
              </w:rPr>
              <w:t>以下的肺脏切除不在本合同保障范围之列：</w:t>
            </w:r>
          </w:p>
          <w:p>
            <w:pPr>
              <w:pStyle w:val="TableParagraph"/>
              <w:spacing w:before="37"/>
              <w:rPr>
                <w:rFonts w:ascii="黑体" w:eastAsia="黑体" w:hint="eastAsia"/>
                <w:sz w:val="21"/>
              </w:rPr>
            </w:pPr>
            <w:r>
              <w:rPr>
                <w:rFonts w:ascii="黑体" w:eastAsia="黑体" w:hint="eastAsia"/>
                <w:sz w:val="21"/>
              </w:rPr>
              <w:t>(1)肺脏左叶或右叶部分切除；</w:t>
            </w:r>
          </w:p>
          <w:p>
            <w:pPr>
              <w:pStyle w:val="TableParagraph"/>
              <w:spacing w:before="37"/>
              <w:rPr>
                <w:rFonts w:ascii="黑体" w:eastAsia="黑体" w:hint="eastAsia"/>
                <w:sz w:val="21"/>
              </w:rPr>
            </w:pPr>
            <w:r>
              <w:rPr>
                <w:rFonts w:ascii="黑体" w:eastAsia="黑体" w:hint="eastAsia"/>
                <w:sz w:val="21"/>
              </w:rPr>
              <w:t>(2)因捐献肺脏引起的肺脏左叶或右叶全部切除。</w:t>
            </w:r>
          </w:p>
          <w:p>
            <w:pPr>
              <w:pStyle w:val="TableParagraph"/>
              <w:spacing w:line="273" w:lineRule="auto" w:before="114"/>
              <w:ind w:right="306"/>
              <w:rPr>
                <w:rFonts w:ascii="黑体" w:eastAsia="黑体" w:hint="eastAsia"/>
                <w:sz w:val="21"/>
              </w:rPr>
            </w:pPr>
            <w:r>
              <w:rPr>
                <w:rFonts w:ascii="黑体" w:eastAsia="黑体" w:hint="eastAsia"/>
                <w:sz w:val="21"/>
              </w:rPr>
              <w:t>若被保险人因同一原因导致其同时满足本合同重大疾病恶性肿瘤和单侧肺脏切除的，仅按重大疾病恶性肿瘤一项给付。</w:t>
            </w:r>
          </w:p>
        </w:tc>
      </w:tr>
      <w:tr>
        <w:trPr>
          <w:trHeight w:val="2795" w:hRule="atLeast"/>
        </w:trPr>
        <w:tc>
          <w:tcPr>
            <w:tcW w:w="1156" w:type="dxa"/>
          </w:tcPr>
          <w:p>
            <w:pPr>
              <w:pStyle w:val="TableParagraph"/>
              <w:spacing w:before="49"/>
              <w:ind w:left="200"/>
              <w:rPr>
                <w:b/>
                <w:sz w:val="21"/>
              </w:rPr>
            </w:pPr>
            <w:r>
              <w:rPr>
                <w:b/>
                <w:sz w:val="21"/>
              </w:rPr>
              <w:t>11.1.17</w:t>
            </w:r>
          </w:p>
        </w:tc>
        <w:tc>
          <w:tcPr>
            <w:tcW w:w="2068" w:type="dxa"/>
          </w:tcPr>
          <w:p>
            <w:pPr>
              <w:pStyle w:val="TableParagraph"/>
              <w:spacing w:before="49"/>
              <w:ind w:left="215"/>
              <w:rPr>
                <w:b/>
                <w:sz w:val="21"/>
              </w:rPr>
            </w:pPr>
            <w:r>
              <w:rPr>
                <w:b/>
                <w:sz w:val="21"/>
              </w:rPr>
              <w:t>肝脏整叶切除</w:t>
            </w:r>
          </w:p>
        </w:tc>
        <w:tc>
          <w:tcPr>
            <w:tcW w:w="6614" w:type="dxa"/>
          </w:tcPr>
          <w:p>
            <w:pPr>
              <w:pStyle w:val="TableParagraph"/>
              <w:spacing w:line="273" w:lineRule="auto" w:before="49"/>
              <w:ind w:right="306"/>
              <w:rPr>
                <w:sz w:val="21"/>
              </w:rPr>
            </w:pPr>
            <w:r>
              <w:rPr>
                <w:sz w:val="21"/>
              </w:rPr>
              <w:t>指因疾病或意外事故实际实施的肝脏部分切除术，手术切除最少一整叶左肝脏或一整叶右肝脏。</w:t>
            </w:r>
          </w:p>
          <w:p>
            <w:pPr>
              <w:pStyle w:val="TableParagraph"/>
              <w:spacing w:before="87"/>
              <w:rPr>
                <w:rFonts w:ascii="黑体" w:eastAsia="黑体" w:hint="eastAsia"/>
                <w:sz w:val="21"/>
              </w:rPr>
            </w:pPr>
            <w:r>
              <w:rPr>
                <w:rFonts w:ascii="黑体" w:eastAsia="黑体" w:hint="eastAsia"/>
                <w:sz w:val="21"/>
              </w:rPr>
              <w:t>以下的肝脏切除不在本合同保障范围之列：</w:t>
            </w:r>
          </w:p>
          <w:p>
            <w:pPr>
              <w:pStyle w:val="TableParagraph"/>
              <w:spacing w:line="273" w:lineRule="auto" w:before="37"/>
              <w:ind w:right="299"/>
              <w:rPr>
                <w:rFonts w:ascii="黑体" w:eastAsia="黑体" w:hint="eastAsia"/>
                <w:sz w:val="21"/>
              </w:rPr>
            </w:pPr>
            <w:r>
              <w:rPr>
                <w:rFonts w:ascii="黑体" w:eastAsia="黑体" w:hint="eastAsia"/>
                <w:sz w:val="21"/>
              </w:rPr>
              <w:t>(1)因治疗酒精或滥用药物导致的疾病或肝脏紊乱所致的肝脏整叶切除；</w:t>
            </w:r>
          </w:p>
          <w:p>
            <w:pPr>
              <w:pStyle w:val="TableParagraph"/>
              <w:spacing w:before="7"/>
              <w:rPr>
                <w:rFonts w:ascii="黑体" w:eastAsia="黑体" w:hint="eastAsia"/>
                <w:sz w:val="21"/>
              </w:rPr>
            </w:pPr>
            <w:r>
              <w:rPr>
                <w:rFonts w:ascii="黑体" w:eastAsia="黑体" w:hint="eastAsia"/>
                <w:sz w:val="21"/>
              </w:rPr>
              <w:t>(2)因捐赠肝脏而所需的肝脏手术不在保障范围内。</w:t>
            </w:r>
          </w:p>
          <w:p>
            <w:pPr>
              <w:pStyle w:val="TableParagraph"/>
              <w:spacing w:line="273" w:lineRule="auto" w:before="113"/>
              <w:ind w:right="306"/>
              <w:rPr>
                <w:rFonts w:ascii="黑体" w:eastAsia="黑体" w:hint="eastAsia"/>
                <w:sz w:val="21"/>
              </w:rPr>
            </w:pPr>
            <w:r>
              <w:rPr>
                <w:rFonts w:ascii="黑体" w:eastAsia="黑体" w:hint="eastAsia"/>
                <w:sz w:val="21"/>
              </w:rPr>
              <w:t>若被保险人因同一原因导致其同时满足本合同重大疾病恶性肿瘤和肝脏切除的，仅按重大疾病恶性肿瘤一项给付。</w:t>
            </w:r>
          </w:p>
        </w:tc>
      </w:tr>
      <w:tr>
        <w:trPr>
          <w:trHeight w:val="333" w:hRule="atLeast"/>
        </w:trPr>
        <w:tc>
          <w:tcPr>
            <w:tcW w:w="1156" w:type="dxa"/>
          </w:tcPr>
          <w:p>
            <w:pPr>
              <w:pStyle w:val="TableParagraph"/>
              <w:spacing w:line="263" w:lineRule="exact" w:before="50"/>
              <w:ind w:left="200"/>
              <w:rPr>
                <w:b/>
                <w:sz w:val="21"/>
              </w:rPr>
            </w:pPr>
            <w:r>
              <w:rPr>
                <w:b/>
                <w:sz w:val="21"/>
              </w:rPr>
              <w:t>11.1.18</w:t>
            </w:r>
          </w:p>
        </w:tc>
        <w:tc>
          <w:tcPr>
            <w:tcW w:w="2068" w:type="dxa"/>
          </w:tcPr>
          <w:p>
            <w:pPr>
              <w:pStyle w:val="TableParagraph"/>
              <w:spacing w:line="263" w:lineRule="exact" w:before="50"/>
              <w:ind w:left="215"/>
              <w:rPr>
                <w:b/>
                <w:sz w:val="21"/>
              </w:rPr>
            </w:pPr>
            <w:r>
              <w:rPr>
                <w:b/>
                <w:sz w:val="21"/>
              </w:rPr>
              <w:t>轻度脑炎或脑膜炎</w:t>
            </w:r>
          </w:p>
        </w:tc>
        <w:tc>
          <w:tcPr>
            <w:tcW w:w="6614" w:type="dxa"/>
          </w:tcPr>
          <w:p>
            <w:pPr>
              <w:pStyle w:val="TableParagraph"/>
              <w:spacing w:line="263" w:lineRule="exact" w:before="50"/>
              <w:rPr>
                <w:sz w:val="21"/>
              </w:rPr>
            </w:pPr>
            <w:r>
              <w:rPr>
                <w:sz w:val="21"/>
              </w:rPr>
              <w:t>指因患脑炎或脑膜炎导致的神经系统的永久功障碍。神经系统永久</w:t>
            </w:r>
          </w:p>
        </w:tc>
      </w:tr>
    </w:tbl>
    <w:p>
      <w:pPr>
        <w:spacing w:after="0" w:line="263" w:lineRule="exact"/>
        <w:rPr>
          <w:sz w:val="21"/>
        </w:rPr>
        <w:sectPr>
          <w:pgSz w:w="11910" w:h="16840"/>
          <w:pgMar w:top="1460" w:bottom="280" w:left="980" w:right="8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2068"/>
        <w:gridCol w:w="6612"/>
      </w:tblGrid>
      <w:tr>
        <w:trPr>
          <w:trHeight w:val="644" w:hRule="atLeast"/>
        </w:trPr>
        <w:tc>
          <w:tcPr>
            <w:tcW w:w="1156" w:type="dxa"/>
          </w:tcPr>
          <w:p>
            <w:pPr>
              <w:pStyle w:val="TableParagraph"/>
              <w:ind w:left="0"/>
              <w:rPr>
                <w:rFonts w:ascii="Times New Roman"/>
                <w:sz w:val="20"/>
              </w:rPr>
            </w:pPr>
          </w:p>
        </w:tc>
        <w:tc>
          <w:tcPr>
            <w:tcW w:w="2068" w:type="dxa"/>
          </w:tcPr>
          <w:p>
            <w:pPr>
              <w:pStyle w:val="TableParagraph"/>
              <w:spacing w:line="203" w:lineRule="exact"/>
              <w:ind w:left="215"/>
              <w:rPr>
                <w:b/>
                <w:sz w:val="21"/>
              </w:rPr>
            </w:pPr>
            <w:r>
              <w:rPr>
                <w:b/>
                <w:sz w:val="21"/>
              </w:rPr>
              <w:t>后遗症</w:t>
            </w:r>
          </w:p>
        </w:tc>
        <w:tc>
          <w:tcPr>
            <w:tcW w:w="6612" w:type="dxa"/>
          </w:tcPr>
          <w:p>
            <w:pPr>
              <w:pStyle w:val="TableParagraph"/>
              <w:spacing w:line="203" w:lineRule="exact"/>
              <w:rPr>
                <w:sz w:val="21"/>
              </w:rPr>
            </w:pPr>
            <w:r>
              <w:rPr>
                <w:sz w:val="21"/>
              </w:rPr>
              <w:t>性的功能障碍，指疾病确诊 180 天后，仍存在自主活动能力完全丧</w:t>
            </w:r>
          </w:p>
          <w:p>
            <w:pPr>
              <w:pStyle w:val="TableParagraph"/>
              <w:spacing w:before="37"/>
              <w:rPr>
                <w:sz w:val="21"/>
              </w:rPr>
            </w:pPr>
            <w:r>
              <w:rPr>
                <w:sz w:val="21"/>
              </w:rPr>
              <w:t>失， 无法独立完成六项基本日常生活活动中的两项。</w:t>
            </w:r>
          </w:p>
        </w:tc>
      </w:tr>
      <w:tr>
        <w:trPr>
          <w:trHeight w:val="1389" w:hRule="atLeast"/>
        </w:trPr>
        <w:tc>
          <w:tcPr>
            <w:tcW w:w="1156" w:type="dxa"/>
          </w:tcPr>
          <w:p>
            <w:pPr>
              <w:pStyle w:val="TableParagraph"/>
              <w:spacing w:before="49"/>
              <w:ind w:left="200"/>
              <w:rPr>
                <w:b/>
                <w:sz w:val="21"/>
              </w:rPr>
            </w:pPr>
            <w:r>
              <w:rPr>
                <w:b/>
                <w:sz w:val="21"/>
              </w:rPr>
              <w:t>11.1.19</w:t>
            </w:r>
          </w:p>
        </w:tc>
        <w:tc>
          <w:tcPr>
            <w:tcW w:w="2068" w:type="dxa"/>
          </w:tcPr>
          <w:p>
            <w:pPr>
              <w:pStyle w:val="TableParagraph"/>
              <w:spacing w:before="49"/>
              <w:ind w:left="215"/>
              <w:rPr>
                <w:b/>
                <w:sz w:val="21"/>
              </w:rPr>
            </w:pPr>
            <w:r>
              <w:rPr>
                <w:b/>
                <w:sz w:val="21"/>
              </w:rPr>
              <w:t>深度昏迷 72 小时</w:t>
            </w:r>
          </w:p>
        </w:tc>
        <w:tc>
          <w:tcPr>
            <w:tcW w:w="6612" w:type="dxa"/>
          </w:tcPr>
          <w:p>
            <w:pPr>
              <w:pStyle w:val="TableParagraph"/>
              <w:spacing w:line="273" w:lineRule="auto" w:before="49"/>
              <w:ind w:right="237"/>
              <w:rPr>
                <w:sz w:val="21"/>
              </w:rPr>
            </w:pPr>
            <w:r>
              <w:rPr>
                <w:sz w:val="21"/>
              </w:rPr>
              <w:t>指因疾病或意外伤害导致意识丧失，对外界刺激和体内需求均无反应，昏迷程度按照格拉斯哥昏迷分级（Glasgow coma scale)结果为</w:t>
            </w:r>
          </w:p>
          <w:p>
            <w:pPr>
              <w:pStyle w:val="TableParagraph"/>
              <w:spacing w:before="7"/>
              <w:rPr>
                <w:sz w:val="21"/>
              </w:rPr>
            </w:pPr>
            <w:r>
              <w:rPr>
                <w:sz w:val="21"/>
              </w:rPr>
              <w:t>5 分或 5 分以下，且已经持续使用呼吸机及其他生命维持系统达到</w:t>
            </w:r>
          </w:p>
          <w:p>
            <w:pPr>
              <w:pStyle w:val="TableParagraph"/>
              <w:spacing w:before="36"/>
              <w:rPr>
                <w:sz w:val="21"/>
              </w:rPr>
            </w:pPr>
            <w:r>
              <w:rPr>
                <w:sz w:val="21"/>
              </w:rPr>
              <w:t>72 小时。</w:t>
            </w:r>
          </w:p>
        </w:tc>
      </w:tr>
      <w:tr>
        <w:trPr>
          <w:trHeight w:val="1077" w:hRule="atLeast"/>
        </w:trPr>
        <w:tc>
          <w:tcPr>
            <w:tcW w:w="1156" w:type="dxa"/>
          </w:tcPr>
          <w:p>
            <w:pPr>
              <w:pStyle w:val="TableParagraph"/>
              <w:spacing w:before="49"/>
              <w:ind w:left="200"/>
              <w:rPr>
                <w:b/>
                <w:sz w:val="21"/>
              </w:rPr>
            </w:pPr>
            <w:r>
              <w:rPr>
                <w:b/>
                <w:sz w:val="21"/>
              </w:rPr>
              <w:t>11.1.20</w:t>
            </w:r>
          </w:p>
        </w:tc>
        <w:tc>
          <w:tcPr>
            <w:tcW w:w="2068" w:type="dxa"/>
          </w:tcPr>
          <w:p>
            <w:pPr>
              <w:pStyle w:val="TableParagraph"/>
              <w:spacing w:before="49"/>
              <w:ind w:left="215"/>
              <w:rPr>
                <w:b/>
                <w:sz w:val="21"/>
              </w:rPr>
            </w:pPr>
            <w:r>
              <w:rPr>
                <w:b/>
                <w:sz w:val="21"/>
              </w:rPr>
              <w:t>中度瘫痪</w:t>
            </w:r>
          </w:p>
        </w:tc>
        <w:tc>
          <w:tcPr>
            <w:tcW w:w="6612" w:type="dxa"/>
          </w:tcPr>
          <w:p>
            <w:pPr>
              <w:pStyle w:val="TableParagraph"/>
              <w:spacing w:line="273" w:lineRule="auto" w:before="49"/>
              <w:ind w:right="301"/>
              <w:jc w:val="both"/>
              <w:rPr>
                <w:sz w:val="21"/>
              </w:rPr>
            </w:pPr>
            <w:r>
              <w:rPr>
                <w:sz w:val="21"/>
              </w:rPr>
              <w:t>指因疾病或意外伤害导致一肢肢体机能永久完全丧失，肢体机能永</w:t>
            </w:r>
            <w:r>
              <w:rPr>
                <w:spacing w:val="-6"/>
                <w:sz w:val="21"/>
              </w:rPr>
              <w:t>久完全丧失，之疾病确诊 </w:t>
            </w:r>
            <w:r>
              <w:rPr>
                <w:sz w:val="21"/>
              </w:rPr>
              <w:t>180</w:t>
            </w:r>
            <w:r>
              <w:rPr>
                <w:spacing w:val="-10"/>
                <w:sz w:val="21"/>
              </w:rPr>
              <w:t> 天后或意外伤害发生 </w:t>
            </w:r>
            <w:r>
              <w:rPr>
                <w:sz w:val="21"/>
              </w:rPr>
              <w:t>180</w:t>
            </w:r>
            <w:r>
              <w:rPr>
                <w:spacing w:val="-8"/>
                <w:sz w:val="21"/>
              </w:rPr>
              <w:t> 天后，该肢</w:t>
            </w:r>
            <w:r>
              <w:rPr>
                <w:spacing w:val="-5"/>
                <w:sz w:val="21"/>
              </w:rPr>
              <w:t>三大关节肿的两大关节仍然完全僵硬，或不能随意识活动。</w:t>
            </w:r>
          </w:p>
        </w:tc>
      </w:tr>
      <w:tr>
        <w:trPr>
          <w:trHeight w:val="1702" w:hRule="atLeast"/>
        </w:trPr>
        <w:tc>
          <w:tcPr>
            <w:tcW w:w="1156" w:type="dxa"/>
          </w:tcPr>
          <w:p>
            <w:pPr>
              <w:pStyle w:val="TableParagraph"/>
              <w:spacing w:before="49"/>
              <w:ind w:left="200"/>
              <w:rPr>
                <w:b/>
                <w:sz w:val="21"/>
              </w:rPr>
            </w:pPr>
            <w:r>
              <w:rPr>
                <w:b/>
                <w:sz w:val="21"/>
              </w:rPr>
              <w:t>11.1.21</w:t>
            </w:r>
          </w:p>
        </w:tc>
        <w:tc>
          <w:tcPr>
            <w:tcW w:w="2068" w:type="dxa"/>
          </w:tcPr>
          <w:p>
            <w:pPr>
              <w:pStyle w:val="TableParagraph"/>
              <w:spacing w:before="49"/>
              <w:ind w:left="215"/>
              <w:rPr>
                <w:b/>
                <w:sz w:val="21"/>
              </w:rPr>
            </w:pPr>
            <w:r>
              <w:rPr>
                <w:b/>
                <w:sz w:val="21"/>
              </w:rPr>
              <w:t>中度阿尔兹海默病</w:t>
            </w:r>
          </w:p>
        </w:tc>
        <w:tc>
          <w:tcPr>
            <w:tcW w:w="6612" w:type="dxa"/>
          </w:tcPr>
          <w:p>
            <w:pPr>
              <w:pStyle w:val="TableParagraph"/>
              <w:spacing w:line="273" w:lineRule="auto" w:before="49"/>
              <w:ind w:right="304"/>
              <w:jc w:val="both"/>
              <w:rPr>
                <w:sz w:val="21"/>
              </w:rPr>
            </w:pPr>
            <w:r>
              <w:rPr>
                <w:sz w:val="21"/>
              </w:rPr>
              <w:t>指因大脑进行性、不可逆性改变导致智能严重衰退或丧失，临床表现为明显的认知能力障碍、行为异常和社交能力减退，其日常生活</w:t>
            </w:r>
            <w:r>
              <w:rPr>
                <w:w w:val="100"/>
                <w:sz w:val="21"/>
              </w:rPr>
              <w:t>必须持续受到他人监护。须由头颅断层扫描</w:t>
            </w:r>
            <w:r>
              <w:rPr>
                <w:spacing w:val="3"/>
                <w:w w:val="100"/>
                <w:sz w:val="21"/>
              </w:rPr>
              <w:t>（</w:t>
            </w:r>
            <w:r>
              <w:rPr>
                <w:w w:val="100"/>
                <w:sz w:val="21"/>
              </w:rPr>
              <w:t>C</w:t>
            </w:r>
            <w:r>
              <w:rPr>
                <w:spacing w:val="2"/>
                <w:w w:val="100"/>
                <w:sz w:val="21"/>
              </w:rPr>
              <w:t>T</w:t>
            </w:r>
            <w:r>
              <w:rPr>
                <w:spacing w:val="-101"/>
                <w:w w:val="100"/>
                <w:sz w:val="21"/>
              </w:rPr>
              <w:t>）</w:t>
            </w:r>
            <w:r>
              <w:rPr>
                <w:w w:val="100"/>
                <w:sz w:val="21"/>
              </w:rPr>
              <w:t>、核磁共振检查</w:t>
            </w:r>
          </w:p>
          <w:p>
            <w:pPr>
              <w:pStyle w:val="TableParagraph"/>
              <w:spacing w:line="273" w:lineRule="auto" w:before="7"/>
              <w:ind w:right="198"/>
              <w:rPr>
                <w:sz w:val="21"/>
              </w:rPr>
            </w:pPr>
            <w:r>
              <w:rPr>
                <w:sz w:val="21"/>
              </w:rPr>
              <w:t>（MRI）或正电子发射断层扫描（PET）等影像学检查证实，且自主</w:t>
            </w:r>
            <w:r>
              <w:rPr>
                <w:spacing w:val="-9"/>
                <w:sz w:val="21"/>
              </w:rPr>
              <w:t>生活能力完全丧失，无法独立完成六项基本日常生活活动中的两项。</w:t>
            </w:r>
          </w:p>
        </w:tc>
      </w:tr>
      <w:tr>
        <w:trPr>
          <w:trHeight w:val="2093" w:hRule="atLeast"/>
        </w:trPr>
        <w:tc>
          <w:tcPr>
            <w:tcW w:w="1156" w:type="dxa"/>
          </w:tcPr>
          <w:p>
            <w:pPr>
              <w:pStyle w:val="TableParagraph"/>
              <w:spacing w:before="49"/>
              <w:ind w:left="200"/>
              <w:rPr>
                <w:b/>
                <w:sz w:val="21"/>
              </w:rPr>
            </w:pPr>
            <w:r>
              <w:rPr>
                <w:b/>
                <w:sz w:val="21"/>
              </w:rPr>
              <w:t>11.1.22</w:t>
            </w:r>
          </w:p>
        </w:tc>
        <w:tc>
          <w:tcPr>
            <w:tcW w:w="2068" w:type="dxa"/>
          </w:tcPr>
          <w:p>
            <w:pPr>
              <w:pStyle w:val="TableParagraph"/>
              <w:spacing w:before="49"/>
              <w:ind w:left="215"/>
              <w:rPr>
                <w:b/>
                <w:sz w:val="21"/>
              </w:rPr>
            </w:pPr>
            <w:r>
              <w:rPr>
                <w:b/>
                <w:sz w:val="21"/>
              </w:rPr>
              <w:t>中度帕金森氏病</w:t>
            </w:r>
          </w:p>
        </w:tc>
        <w:tc>
          <w:tcPr>
            <w:tcW w:w="6612" w:type="dxa"/>
          </w:tcPr>
          <w:p>
            <w:pPr>
              <w:pStyle w:val="TableParagraph"/>
              <w:spacing w:line="273" w:lineRule="auto" w:before="49"/>
              <w:ind w:right="304"/>
              <w:rPr>
                <w:sz w:val="21"/>
              </w:rPr>
            </w:pPr>
            <w:r>
              <w:rPr>
                <w:sz w:val="21"/>
              </w:rPr>
              <w:t>是一种中枢神经系统的退行性疾病，临床表现为震颤麻痹、共济失调等。必须满足下列全部条件：</w:t>
            </w:r>
          </w:p>
          <w:p>
            <w:pPr>
              <w:pStyle w:val="TableParagraph"/>
              <w:spacing w:before="7"/>
              <w:rPr>
                <w:sz w:val="21"/>
              </w:rPr>
            </w:pPr>
            <w:r>
              <w:rPr>
                <w:sz w:val="21"/>
              </w:rPr>
              <w:t>(1)药物治疗无法控制病情；</w:t>
            </w:r>
          </w:p>
          <w:p>
            <w:pPr>
              <w:pStyle w:val="TableParagraph"/>
              <w:spacing w:line="273" w:lineRule="auto" w:before="36"/>
              <w:ind w:right="301"/>
              <w:rPr>
                <w:sz w:val="21"/>
              </w:rPr>
            </w:pPr>
            <w:r>
              <w:rPr>
                <w:sz w:val="21"/>
              </w:rPr>
              <w:t>(2)</w:t>
            </w:r>
            <w:r>
              <w:rPr>
                <w:spacing w:val="-8"/>
                <w:sz w:val="21"/>
              </w:rPr>
              <w:t>自主生活能力完全丧失，无法独立完成六项基本日常生活活动中</w:t>
            </w:r>
            <w:r>
              <w:rPr>
                <w:spacing w:val="-6"/>
                <w:sz w:val="21"/>
              </w:rPr>
              <w:t>的两项。</w:t>
            </w:r>
          </w:p>
          <w:p>
            <w:pPr>
              <w:pStyle w:val="TableParagraph"/>
              <w:spacing w:before="87"/>
              <w:rPr>
                <w:rFonts w:ascii="黑体" w:eastAsia="黑体" w:hint="eastAsia"/>
                <w:sz w:val="21"/>
              </w:rPr>
            </w:pPr>
            <w:r>
              <w:rPr>
                <w:rFonts w:ascii="黑体" w:eastAsia="黑体" w:hint="eastAsia"/>
                <w:sz w:val="21"/>
              </w:rPr>
              <w:t>继发性帕金森综合征不在保障范围内。</w:t>
            </w:r>
          </w:p>
        </w:tc>
      </w:tr>
      <w:tr>
        <w:trPr>
          <w:trHeight w:val="1389" w:hRule="atLeast"/>
        </w:trPr>
        <w:tc>
          <w:tcPr>
            <w:tcW w:w="1156" w:type="dxa"/>
          </w:tcPr>
          <w:p>
            <w:pPr>
              <w:pStyle w:val="TableParagraph"/>
              <w:spacing w:before="49"/>
              <w:ind w:left="200"/>
              <w:rPr>
                <w:b/>
                <w:sz w:val="21"/>
              </w:rPr>
            </w:pPr>
            <w:r>
              <w:rPr>
                <w:b/>
                <w:sz w:val="21"/>
              </w:rPr>
              <w:t>11.1.23</w:t>
            </w:r>
          </w:p>
        </w:tc>
        <w:tc>
          <w:tcPr>
            <w:tcW w:w="2068" w:type="dxa"/>
          </w:tcPr>
          <w:p>
            <w:pPr>
              <w:pStyle w:val="TableParagraph"/>
              <w:spacing w:line="273" w:lineRule="auto" w:before="49"/>
              <w:ind w:left="215" w:right="161"/>
              <w:rPr>
                <w:b/>
                <w:sz w:val="21"/>
              </w:rPr>
            </w:pPr>
            <w:r>
              <w:rPr>
                <w:b/>
                <w:sz w:val="21"/>
              </w:rPr>
              <w:t>早期运动神经性疾病</w:t>
            </w:r>
          </w:p>
        </w:tc>
        <w:tc>
          <w:tcPr>
            <w:tcW w:w="6612" w:type="dxa"/>
          </w:tcPr>
          <w:p>
            <w:pPr>
              <w:pStyle w:val="TableParagraph"/>
              <w:spacing w:line="273" w:lineRule="auto" w:before="49"/>
              <w:ind w:right="304"/>
              <w:jc w:val="both"/>
              <w:rPr>
                <w:sz w:val="21"/>
              </w:rPr>
            </w:pPr>
            <w:r>
              <w:rPr>
                <w:sz w:val="21"/>
              </w:rPr>
              <w:t>是一组中枢神经系统运动神经元的进行性变性疾病，进行性脊肌萎缩症、进行性延髓麻痹症、原发性侧索硬化症、肌萎缩性侧索硬化症。须满足自主生活能力完全丧失，无法独立完成六项基本日常生活活动中的两项。</w:t>
            </w:r>
          </w:p>
        </w:tc>
      </w:tr>
      <w:tr>
        <w:trPr>
          <w:trHeight w:val="2717" w:hRule="atLeast"/>
        </w:trPr>
        <w:tc>
          <w:tcPr>
            <w:tcW w:w="1156" w:type="dxa"/>
          </w:tcPr>
          <w:p>
            <w:pPr>
              <w:pStyle w:val="TableParagraph"/>
              <w:spacing w:before="49"/>
              <w:ind w:left="200"/>
              <w:rPr>
                <w:b/>
                <w:sz w:val="21"/>
              </w:rPr>
            </w:pPr>
            <w:r>
              <w:rPr>
                <w:b/>
                <w:sz w:val="21"/>
              </w:rPr>
              <w:t>11.1.24</w:t>
            </w:r>
          </w:p>
        </w:tc>
        <w:tc>
          <w:tcPr>
            <w:tcW w:w="2068" w:type="dxa"/>
          </w:tcPr>
          <w:p>
            <w:pPr>
              <w:pStyle w:val="TableParagraph"/>
              <w:spacing w:before="49"/>
              <w:ind w:left="215"/>
              <w:rPr>
                <w:b/>
                <w:sz w:val="21"/>
              </w:rPr>
            </w:pPr>
            <w:r>
              <w:rPr>
                <w:b/>
                <w:sz w:val="21"/>
              </w:rPr>
              <w:t>中度溃疡性结肠炎</w:t>
            </w:r>
          </w:p>
        </w:tc>
        <w:tc>
          <w:tcPr>
            <w:tcW w:w="6612" w:type="dxa"/>
          </w:tcPr>
          <w:p>
            <w:pPr>
              <w:pStyle w:val="TableParagraph"/>
              <w:spacing w:line="273" w:lineRule="auto" w:before="49"/>
              <w:ind w:right="304"/>
              <w:jc w:val="both"/>
              <w:rPr>
                <w:sz w:val="21"/>
              </w:rPr>
            </w:pPr>
            <w:r>
              <w:rPr>
                <w:sz w:val="21"/>
              </w:rPr>
              <w:t>本保单所保障的溃疡性结肠炎是指伴有致命性电解质紊乱的急性暴发性溃疡性结肠炎，病变累及全结肠，表现为严重的血便和系统性症状体征和肠破裂的风险，本疾病的确诊必须经由内窥镜检查证实该疾病侵犯全部结肠及直肠及活体切片检查证实为溃疡性结肠炎。且须经肠胃专科医生连续以系统性免疫抑制剂或免疫调节剂持续治疗最少 90 天，才符合本保障范围。</w:t>
            </w:r>
          </w:p>
          <w:p>
            <w:pPr>
              <w:pStyle w:val="TableParagraph"/>
              <w:spacing w:line="273" w:lineRule="auto" w:before="87"/>
              <w:ind w:right="304"/>
              <w:jc w:val="both"/>
              <w:rPr>
                <w:rFonts w:ascii="黑体" w:eastAsia="黑体" w:hint="eastAsia"/>
                <w:sz w:val="21"/>
              </w:rPr>
            </w:pPr>
            <w:r>
              <w:rPr>
                <w:rFonts w:ascii="黑体" w:eastAsia="黑体" w:hint="eastAsia"/>
                <w:sz w:val="21"/>
              </w:rPr>
              <w:t>其他种类的发炎性结肠炎,只发Th在直肠的溃疡性结肠炎均不在保障范围内。</w:t>
            </w:r>
          </w:p>
        </w:tc>
      </w:tr>
      <w:tr>
        <w:trPr>
          <w:trHeight w:val="1389" w:hRule="atLeast"/>
        </w:trPr>
        <w:tc>
          <w:tcPr>
            <w:tcW w:w="1156" w:type="dxa"/>
          </w:tcPr>
          <w:p>
            <w:pPr>
              <w:pStyle w:val="TableParagraph"/>
              <w:spacing w:before="49"/>
              <w:ind w:left="200"/>
              <w:rPr>
                <w:b/>
                <w:sz w:val="21"/>
              </w:rPr>
            </w:pPr>
            <w:r>
              <w:rPr>
                <w:b/>
                <w:sz w:val="21"/>
              </w:rPr>
              <w:t>11.1.25</w:t>
            </w:r>
          </w:p>
        </w:tc>
        <w:tc>
          <w:tcPr>
            <w:tcW w:w="2068" w:type="dxa"/>
          </w:tcPr>
          <w:p>
            <w:pPr>
              <w:pStyle w:val="TableParagraph"/>
              <w:spacing w:before="49"/>
              <w:ind w:left="215"/>
              <w:rPr>
                <w:b/>
                <w:sz w:val="21"/>
              </w:rPr>
            </w:pPr>
            <w:r>
              <w:rPr>
                <w:b/>
                <w:sz w:val="21"/>
              </w:rPr>
              <w:t>中度严重克隆症</w:t>
            </w:r>
          </w:p>
        </w:tc>
        <w:tc>
          <w:tcPr>
            <w:tcW w:w="6612" w:type="dxa"/>
          </w:tcPr>
          <w:p>
            <w:pPr>
              <w:pStyle w:val="TableParagraph"/>
              <w:spacing w:line="273" w:lineRule="auto" w:before="49"/>
              <w:ind w:right="301"/>
              <w:jc w:val="both"/>
              <w:rPr>
                <w:sz w:val="21"/>
              </w:rPr>
            </w:pPr>
            <w:r>
              <w:rPr>
                <w:sz w:val="21"/>
              </w:rPr>
              <w:t>克隆病是一种慢性肉芽肿性肠炎，具有特征性的克隆病病理组织学变化。诊断必须由专科医生经过病理检查结果证实。被保险人所患的克隆症须经肠胃科专科医生以类固醇或免疫抑制剂连续治疗 90 天以上。</w:t>
            </w:r>
          </w:p>
        </w:tc>
      </w:tr>
      <w:tr>
        <w:trPr>
          <w:trHeight w:val="1077" w:hRule="atLeast"/>
        </w:trPr>
        <w:tc>
          <w:tcPr>
            <w:tcW w:w="1156" w:type="dxa"/>
          </w:tcPr>
          <w:p>
            <w:pPr>
              <w:pStyle w:val="TableParagraph"/>
              <w:spacing w:before="49"/>
              <w:ind w:left="200"/>
              <w:rPr>
                <w:b/>
                <w:sz w:val="21"/>
              </w:rPr>
            </w:pPr>
            <w:r>
              <w:rPr>
                <w:b/>
                <w:sz w:val="21"/>
              </w:rPr>
              <w:t>11.1.26</w:t>
            </w:r>
          </w:p>
        </w:tc>
        <w:tc>
          <w:tcPr>
            <w:tcW w:w="2068" w:type="dxa"/>
          </w:tcPr>
          <w:p>
            <w:pPr>
              <w:pStyle w:val="TableParagraph"/>
              <w:spacing w:line="273" w:lineRule="auto" w:before="49"/>
              <w:ind w:left="215" w:right="161"/>
              <w:rPr>
                <w:b/>
                <w:sz w:val="21"/>
              </w:rPr>
            </w:pPr>
            <w:r>
              <w:rPr>
                <w:b/>
                <w:sz w:val="21"/>
              </w:rPr>
              <w:t>因肾上腺腺瘤所致的肾上腺切除术</w:t>
            </w:r>
          </w:p>
        </w:tc>
        <w:tc>
          <w:tcPr>
            <w:tcW w:w="6612" w:type="dxa"/>
          </w:tcPr>
          <w:p>
            <w:pPr>
              <w:pStyle w:val="TableParagraph"/>
              <w:spacing w:line="273" w:lineRule="auto" w:before="49"/>
              <w:ind w:right="304"/>
              <w:jc w:val="both"/>
              <w:rPr>
                <w:sz w:val="21"/>
              </w:rPr>
            </w:pPr>
            <w:r>
              <w:rPr>
                <w:sz w:val="21"/>
              </w:rPr>
              <w:t>指因肾上腺腺瘤所导致醛固酮分泌过多而产生的续发性恶性系统高血压而接受肾上腺切除术。恶性高血压无法由药物控制。此肾上腺切除术需由专科医生确诊为处理控制不佳高血压的必要治疗行为。</w:t>
            </w:r>
          </w:p>
        </w:tc>
      </w:tr>
      <w:tr>
        <w:trPr>
          <w:trHeight w:val="332" w:hRule="atLeast"/>
        </w:trPr>
        <w:tc>
          <w:tcPr>
            <w:tcW w:w="1156" w:type="dxa"/>
          </w:tcPr>
          <w:p>
            <w:pPr>
              <w:pStyle w:val="TableParagraph"/>
              <w:spacing w:line="263" w:lineRule="exact" w:before="49"/>
              <w:ind w:left="200"/>
              <w:rPr>
                <w:b/>
                <w:sz w:val="21"/>
              </w:rPr>
            </w:pPr>
            <w:r>
              <w:rPr>
                <w:b/>
                <w:sz w:val="21"/>
              </w:rPr>
              <w:t>11.1.27</w:t>
            </w:r>
          </w:p>
        </w:tc>
        <w:tc>
          <w:tcPr>
            <w:tcW w:w="2068" w:type="dxa"/>
          </w:tcPr>
          <w:p>
            <w:pPr>
              <w:pStyle w:val="TableParagraph"/>
              <w:spacing w:line="263" w:lineRule="exact" w:before="49"/>
              <w:ind w:left="215"/>
              <w:rPr>
                <w:b/>
                <w:sz w:val="21"/>
              </w:rPr>
            </w:pPr>
            <w:r>
              <w:rPr>
                <w:b/>
                <w:sz w:val="21"/>
              </w:rPr>
              <w:t>心脏起搏器或除颤</w:t>
            </w:r>
          </w:p>
        </w:tc>
        <w:tc>
          <w:tcPr>
            <w:tcW w:w="6612" w:type="dxa"/>
          </w:tcPr>
          <w:p>
            <w:pPr>
              <w:pStyle w:val="TableParagraph"/>
              <w:spacing w:line="263" w:lineRule="exact" w:before="49"/>
              <w:rPr>
                <w:sz w:val="21"/>
              </w:rPr>
            </w:pPr>
            <w:r>
              <w:rPr>
                <w:sz w:val="21"/>
              </w:rPr>
              <w:t>因严重心律失常而于心腔内进行植入永久性心脏起搏器或除颤器的</w:t>
            </w:r>
          </w:p>
        </w:tc>
      </w:tr>
    </w:tbl>
    <w:p>
      <w:pPr>
        <w:spacing w:after="0" w:line="263" w:lineRule="exact"/>
        <w:rPr>
          <w:sz w:val="21"/>
        </w:rPr>
        <w:sectPr>
          <w:pgSz w:w="11910" w:h="16840"/>
          <w:pgMar w:top="1460" w:bottom="280" w:left="980" w:right="8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6"/>
        <w:gridCol w:w="2068"/>
        <w:gridCol w:w="6513"/>
      </w:tblGrid>
      <w:tr>
        <w:trPr>
          <w:trHeight w:val="1657" w:hRule="atLeast"/>
        </w:trPr>
        <w:tc>
          <w:tcPr>
            <w:tcW w:w="1156" w:type="dxa"/>
          </w:tcPr>
          <w:p>
            <w:pPr>
              <w:pStyle w:val="TableParagraph"/>
              <w:ind w:left="0"/>
              <w:rPr>
                <w:rFonts w:ascii="Times New Roman"/>
                <w:sz w:val="20"/>
              </w:rPr>
            </w:pPr>
          </w:p>
        </w:tc>
        <w:tc>
          <w:tcPr>
            <w:tcW w:w="2068" w:type="dxa"/>
          </w:tcPr>
          <w:p>
            <w:pPr>
              <w:pStyle w:val="TableParagraph"/>
              <w:spacing w:line="203" w:lineRule="exact"/>
              <w:ind w:left="215"/>
              <w:rPr>
                <w:b/>
                <w:sz w:val="21"/>
              </w:rPr>
            </w:pPr>
            <w:r>
              <w:rPr>
                <w:b/>
                <w:sz w:val="21"/>
              </w:rPr>
              <w:t>器植入</w:t>
            </w:r>
          </w:p>
        </w:tc>
        <w:tc>
          <w:tcPr>
            <w:tcW w:w="6513" w:type="dxa"/>
          </w:tcPr>
          <w:p>
            <w:pPr>
              <w:pStyle w:val="TableParagraph"/>
              <w:spacing w:line="203" w:lineRule="exact"/>
              <w:rPr>
                <w:sz w:val="21"/>
              </w:rPr>
            </w:pPr>
            <w:r>
              <w:rPr>
                <w:sz w:val="21"/>
              </w:rPr>
              <w:t>手术，此严重心律失常并不能以其他方法治疗。必须由相关专科医</w:t>
            </w:r>
          </w:p>
          <w:p>
            <w:pPr>
              <w:pStyle w:val="TableParagraph"/>
              <w:spacing w:before="37"/>
              <w:rPr>
                <w:sz w:val="21"/>
              </w:rPr>
            </w:pPr>
            <w:r>
              <w:rPr>
                <w:sz w:val="21"/>
              </w:rPr>
              <w:t>生确认植入心脏起搏器或除颤器为医疗所须。</w:t>
            </w:r>
          </w:p>
          <w:p>
            <w:pPr>
              <w:pStyle w:val="TableParagraph"/>
              <w:spacing w:line="273" w:lineRule="auto" w:before="113"/>
              <w:ind w:right="204"/>
              <w:jc w:val="both"/>
              <w:rPr>
                <w:rFonts w:ascii="黑体" w:eastAsia="黑体" w:hint="eastAsia"/>
                <w:sz w:val="21"/>
              </w:rPr>
            </w:pPr>
            <w:r>
              <w:rPr>
                <w:rFonts w:ascii="黑体" w:eastAsia="黑体" w:hint="eastAsia"/>
                <w:spacing w:val="-4"/>
                <w:sz w:val="21"/>
              </w:rPr>
              <w:t>若被保险人因同一原因导致其同时满足本合同重大疾病严重 </w:t>
            </w:r>
            <w:r>
              <w:rPr>
                <w:rFonts w:ascii="黑体" w:eastAsia="黑体" w:hint="eastAsia"/>
                <w:sz w:val="21"/>
              </w:rPr>
              <w:t>I</w:t>
            </w:r>
            <w:r>
              <w:rPr>
                <w:rFonts w:ascii="黑体" w:eastAsia="黑体" w:hint="eastAsia"/>
                <w:spacing w:val="-7"/>
                <w:sz w:val="21"/>
              </w:rPr>
              <w:t> 型糖</w:t>
            </w:r>
            <w:r>
              <w:rPr>
                <w:rFonts w:ascii="黑体" w:eastAsia="黑体" w:hint="eastAsia"/>
                <w:spacing w:val="-4"/>
                <w:sz w:val="21"/>
              </w:rPr>
              <w:t>尿病和心脏起搏器或除颤器植入手术的，仅按重大疾病严重 </w:t>
            </w:r>
            <w:r>
              <w:rPr>
                <w:rFonts w:ascii="黑体" w:eastAsia="黑体" w:hint="eastAsia"/>
                <w:sz w:val="21"/>
              </w:rPr>
              <w:t>I</w:t>
            </w:r>
            <w:r>
              <w:rPr>
                <w:rFonts w:ascii="黑体" w:eastAsia="黑体" w:hint="eastAsia"/>
                <w:spacing w:val="-7"/>
                <w:sz w:val="21"/>
              </w:rPr>
              <w:t> 型糖</w:t>
            </w:r>
            <w:r>
              <w:rPr>
                <w:rFonts w:ascii="黑体" w:eastAsia="黑体" w:hint="eastAsia"/>
                <w:spacing w:val="-2"/>
                <w:sz w:val="21"/>
              </w:rPr>
              <w:t>尿病一项给付。</w:t>
            </w:r>
          </w:p>
        </w:tc>
      </w:tr>
      <w:tr>
        <w:trPr>
          <w:trHeight w:val="8022" w:hRule="atLeast"/>
        </w:trPr>
        <w:tc>
          <w:tcPr>
            <w:tcW w:w="1156" w:type="dxa"/>
          </w:tcPr>
          <w:p>
            <w:pPr>
              <w:pStyle w:val="TableParagraph"/>
              <w:spacing w:before="49"/>
              <w:ind w:left="200"/>
              <w:rPr>
                <w:b/>
                <w:sz w:val="21"/>
              </w:rPr>
            </w:pPr>
            <w:r>
              <w:rPr>
                <w:b/>
                <w:sz w:val="21"/>
              </w:rPr>
              <w:t>11.1.28</w:t>
            </w:r>
          </w:p>
        </w:tc>
        <w:tc>
          <w:tcPr>
            <w:tcW w:w="2068" w:type="dxa"/>
          </w:tcPr>
          <w:p>
            <w:pPr>
              <w:pStyle w:val="TableParagraph"/>
              <w:spacing w:line="273" w:lineRule="auto" w:before="49"/>
              <w:ind w:left="215" w:right="161"/>
              <w:rPr>
                <w:b/>
                <w:sz w:val="21"/>
              </w:rPr>
            </w:pPr>
            <w:r>
              <w:rPr>
                <w:b/>
                <w:sz w:val="21"/>
              </w:rPr>
              <w:t>严重系统性红斑狼疮</w:t>
            </w:r>
          </w:p>
        </w:tc>
        <w:tc>
          <w:tcPr>
            <w:tcW w:w="6513" w:type="dxa"/>
          </w:tcPr>
          <w:p>
            <w:pPr>
              <w:pStyle w:val="TableParagraph"/>
              <w:spacing w:line="273" w:lineRule="auto" w:before="49"/>
              <w:ind w:right="205"/>
              <w:jc w:val="both"/>
              <w:rPr>
                <w:sz w:val="21"/>
              </w:rPr>
            </w:pPr>
            <w:r>
              <w:rPr>
                <w:sz w:val="21"/>
              </w:rPr>
              <w:t>系统性红斑狼疮为一种自身免疫性疾病，是由于病理性的自生抗体及免疫综合体出现沉积，而导致身体组织及细胞受损。其诊断须满足下列全部条件：</w:t>
            </w:r>
          </w:p>
          <w:p>
            <w:pPr>
              <w:pStyle w:val="TableParagraph"/>
              <w:spacing w:line="273" w:lineRule="auto" w:before="7"/>
              <w:ind w:right="202"/>
              <w:jc w:val="both"/>
              <w:rPr>
                <w:sz w:val="21"/>
              </w:rPr>
            </w:pPr>
            <w:r>
              <w:rPr>
                <w:sz w:val="21"/>
              </w:rPr>
              <w:t>(1)</w:t>
            </w:r>
            <w:r>
              <w:rPr>
                <w:spacing w:val="-12"/>
                <w:sz w:val="21"/>
              </w:rPr>
              <w:t>经临床证实，最少有其中以下 </w:t>
            </w:r>
            <w:r>
              <w:rPr>
                <w:sz w:val="21"/>
              </w:rPr>
              <w:t>3</w:t>
            </w:r>
            <w:r>
              <w:rPr>
                <w:spacing w:val="-8"/>
                <w:sz w:val="21"/>
              </w:rPr>
              <w:t> 项由美国类风湿病理学院建议的情况：</w:t>
            </w:r>
          </w:p>
          <w:p>
            <w:pPr>
              <w:pStyle w:val="TableParagraph"/>
              <w:spacing w:before="7"/>
              <w:ind w:left="586"/>
              <w:rPr>
                <w:sz w:val="21"/>
              </w:rPr>
            </w:pPr>
            <w:r>
              <w:rPr>
                <w:sz w:val="21"/>
              </w:rPr>
              <w:t>①颊皮疹；蝶形红斑或盘形红斑；</w:t>
            </w:r>
          </w:p>
          <w:p>
            <w:pPr>
              <w:pStyle w:val="TableParagraph"/>
              <w:spacing w:before="36"/>
              <w:ind w:left="586"/>
              <w:rPr>
                <w:sz w:val="21"/>
              </w:rPr>
            </w:pPr>
            <w:r>
              <w:rPr>
                <w:sz w:val="21"/>
              </w:rPr>
              <w:t>②盘状疹；</w:t>
            </w:r>
          </w:p>
          <w:p>
            <w:pPr>
              <w:pStyle w:val="TableParagraph"/>
              <w:spacing w:before="36"/>
              <w:ind w:left="586"/>
              <w:rPr>
                <w:sz w:val="21"/>
              </w:rPr>
            </w:pPr>
            <w:r>
              <w:rPr>
                <w:sz w:val="21"/>
              </w:rPr>
              <w:t>③光线敏感；</w:t>
            </w:r>
          </w:p>
          <w:p>
            <w:pPr>
              <w:pStyle w:val="TableParagraph"/>
              <w:spacing w:before="36"/>
              <w:ind w:left="586"/>
              <w:rPr>
                <w:sz w:val="21"/>
              </w:rPr>
            </w:pPr>
            <w:r>
              <w:rPr>
                <w:sz w:val="21"/>
              </w:rPr>
              <w:t>④口腔溃疡；</w:t>
            </w:r>
          </w:p>
          <w:p>
            <w:pPr>
              <w:pStyle w:val="TableParagraph"/>
              <w:spacing w:before="36"/>
              <w:ind w:left="586"/>
              <w:rPr>
                <w:sz w:val="21"/>
              </w:rPr>
            </w:pPr>
            <w:r>
              <w:rPr>
                <w:sz w:val="21"/>
              </w:rPr>
              <w:t>⑤关节炎；</w:t>
            </w:r>
          </w:p>
          <w:p>
            <w:pPr>
              <w:pStyle w:val="TableParagraph"/>
              <w:spacing w:before="36"/>
              <w:ind w:left="586"/>
              <w:rPr>
                <w:sz w:val="21"/>
              </w:rPr>
            </w:pPr>
            <w:r>
              <w:rPr>
                <w:sz w:val="21"/>
              </w:rPr>
              <w:t>⑥浆膜炎；</w:t>
            </w:r>
          </w:p>
          <w:p>
            <w:pPr>
              <w:pStyle w:val="TableParagraph"/>
              <w:spacing w:before="36"/>
              <w:ind w:left="586"/>
              <w:rPr>
                <w:sz w:val="21"/>
              </w:rPr>
            </w:pPr>
            <w:r>
              <w:rPr>
                <w:sz w:val="21"/>
              </w:rPr>
              <w:t>⑦肾病；</w:t>
            </w:r>
          </w:p>
          <w:p>
            <w:pPr>
              <w:pStyle w:val="TableParagraph"/>
              <w:spacing w:before="36"/>
              <w:ind w:left="583"/>
              <w:rPr>
                <w:sz w:val="21"/>
              </w:rPr>
            </w:pPr>
            <w:r>
              <w:rPr>
                <w:sz w:val="21"/>
              </w:rPr>
              <w:t>⑧白细胞减少（小于 4×109/升）或淋巴细胞减少（小于 1.5</w:t>
            </w:r>
          </w:p>
          <w:p>
            <w:pPr>
              <w:pStyle w:val="TableParagraph"/>
              <w:spacing w:before="36"/>
              <w:jc w:val="both"/>
              <w:rPr>
                <w:sz w:val="21"/>
              </w:rPr>
            </w:pPr>
            <w:r>
              <w:rPr>
                <w:sz w:val="21"/>
              </w:rPr>
              <w:t>×109/升）或血小板减少（小于 100×109/升）或溶血性贫血；</w:t>
            </w:r>
          </w:p>
          <w:p>
            <w:pPr>
              <w:pStyle w:val="TableParagraph"/>
              <w:spacing w:before="36"/>
              <w:ind w:left="586"/>
              <w:rPr>
                <w:sz w:val="21"/>
              </w:rPr>
            </w:pPr>
            <w:r>
              <w:rPr>
                <w:sz w:val="21"/>
              </w:rPr>
              <w:t>⑨神经系统疾病。</w:t>
            </w:r>
          </w:p>
          <w:p>
            <w:pPr>
              <w:pStyle w:val="TableParagraph"/>
              <w:spacing w:before="36"/>
              <w:jc w:val="both"/>
              <w:rPr>
                <w:sz w:val="21"/>
              </w:rPr>
            </w:pPr>
            <w:r>
              <w:rPr>
                <w:sz w:val="21"/>
              </w:rPr>
              <w:t>(2)下列 1 项或以上的检测呈阳性结果：</w:t>
            </w:r>
          </w:p>
          <w:p>
            <w:pPr>
              <w:pStyle w:val="TableParagraph"/>
              <w:spacing w:before="37"/>
              <w:ind w:left="586"/>
              <w:rPr>
                <w:sz w:val="21"/>
              </w:rPr>
            </w:pPr>
            <w:r>
              <w:rPr>
                <w:sz w:val="21"/>
              </w:rPr>
              <w:t>①抗细胞核抗体检测；</w:t>
            </w:r>
          </w:p>
          <w:p>
            <w:pPr>
              <w:pStyle w:val="TableParagraph"/>
              <w:spacing w:before="37"/>
              <w:ind w:left="586"/>
              <w:rPr>
                <w:sz w:val="21"/>
              </w:rPr>
            </w:pPr>
            <w:r>
              <w:rPr>
                <w:sz w:val="21"/>
              </w:rPr>
              <w:t>②狼疮细胞检测；</w:t>
            </w:r>
          </w:p>
          <w:p>
            <w:pPr>
              <w:pStyle w:val="TableParagraph"/>
              <w:spacing w:before="37"/>
              <w:ind w:left="586"/>
              <w:rPr>
                <w:sz w:val="21"/>
              </w:rPr>
            </w:pPr>
            <w:r>
              <w:rPr>
                <w:sz w:val="21"/>
              </w:rPr>
              <w:t>③抗脱氧核糖核酸检测；</w:t>
            </w:r>
          </w:p>
          <w:p>
            <w:pPr>
              <w:pStyle w:val="TableParagraph"/>
              <w:spacing w:before="37"/>
              <w:ind w:left="586"/>
              <w:rPr>
                <w:sz w:val="21"/>
              </w:rPr>
            </w:pPr>
            <w:r>
              <w:rPr>
                <w:sz w:val="21"/>
              </w:rPr>
              <w:t>④抗 SM（史密夫 IgG 自体抗体）检测；</w:t>
            </w:r>
          </w:p>
          <w:p>
            <w:pPr>
              <w:pStyle w:val="TableParagraph"/>
              <w:spacing w:line="273" w:lineRule="auto" w:before="37"/>
              <w:ind w:right="198"/>
              <w:jc w:val="both"/>
              <w:rPr>
                <w:sz w:val="21"/>
              </w:rPr>
            </w:pPr>
            <w:r>
              <w:rPr>
                <w:sz w:val="21"/>
              </w:rPr>
              <w:t>(3)系统性红斑狼疮的诊断必须由风湿科或免疫系统专科医生确诊并证明持续最少 3 个月。</w:t>
            </w:r>
          </w:p>
          <w:p>
            <w:pPr>
              <w:pStyle w:val="TableParagraph"/>
              <w:spacing w:line="273" w:lineRule="auto" w:before="87"/>
              <w:ind w:right="202"/>
              <w:jc w:val="both"/>
              <w:rPr>
                <w:rFonts w:ascii="黑体" w:eastAsia="黑体" w:hint="eastAsia"/>
                <w:sz w:val="21"/>
              </w:rPr>
            </w:pPr>
            <w:r>
              <w:rPr>
                <w:rFonts w:ascii="黑体" w:eastAsia="黑体" w:hint="eastAsia"/>
                <w:sz w:val="21"/>
              </w:rPr>
              <w:t>若被保险人因同一原因导致其同时满足本合同重大疾病系统性红斑狼疮-III</w:t>
            </w:r>
            <w:r>
              <w:rPr>
                <w:rFonts w:ascii="黑体" w:eastAsia="黑体" w:hint="eastAsia"/>
                <w:spacing w:val="-7"/>
                <w:sz w:val="21"/>
              </w:rPr>
              <w:t> 型或以上狼疮性肾炎和严重系统性红斑狼疮的，仅按重大</w:t>
            </w:r>
            <w:r>
              <w:rPr>
                <w:rFonts w:ascii="黑体" w:eastAsia="黑体" w:hint="eastAsia"/>
                <w:spacing w:val="-5"/>
                <w:sz w:val="21"/>
              </w:rPr>
              <w:t>疾病系统性红斑狼疮</w:t>
            </w:r>
            <w:r>
              <w:rPr>
                <w:rFonts w:ascii="黑体" w:eastAsia="黑体" w:hint="eastAsia"/>
                <w:sz w:val="21"/>
              </w:rPr>
              <w:t>-III</w:t>
            </w:r>
            <w:r>
              <w:rPr>
                <w:rFonts w:ascii="黑体" w:eastAsia="黑体" w:hint="eastAsia"/>
                <w:spacing w:val="-7"/>
                <w:sz w:val="21"/>
              </w:rPr>
              <w:t> 型或以上狼疮性肾炎一项给付。</w:t>
            </w:r>
          </w:p>
        </w:tc>
      </w:tr>
      <w:tr>
        <w:trPr>
          <w:trHeight w:val="1077" w:hRule="atLeast"/>
        </w:trPr>
        <w:tc>
          <w:tcPr>
            <w:tcW w:w="1156" w:type="dxa"/>
          </w:tcPr>
          <w:p>
            <w:pPr>
              <w:pStyle w:val="TableParagraph"/>
              <w:spacing w:before="49"/>
              <w:ind w:left="200"/>
              <w:rPr>
                <w:b/>
                <w:sz w:val="21"/>
              </w:rPr>
            </w:pPr>
            <w:r>
              <w:rPr>
                <w:b/>
                <w:sz w:val="21"/>
              </w:rPr>
              <w:t>11.1.29</w:t>
            </w:r>
          </w:p>
        </w:tc>
        <w:tc>
          <w:tcPr>
            <w:tcW w:w="2068" w:type="dxa"/>
          </w:tcPr>
          <w:p>
            <w:pPr>
              <w:pStyle w:val="TableParagraph"/>
              <w:spacing w:before="49"/>
              <w:ind w:left="215"/>
              <w:rPr>
                <w:b/>
                <w:sz w:val="21"/>
              </w:rPr>
            </w:pPr>
            <w:r>
              <w:rPr>
                <w:b/>
                <w:sz w:val="21"/>
              </w:rPr>
              <w:t>植入大脑内分流器</w:t>
            </w:r>
          </w:p>
        </w:tc>
        <w:tc>
          <w:tcPr>
            <w:tcW w:w="6513" w:type="dxa"/>
          </w:tcPr>
          <w:p>
            <w:pPr>
              <w:pStyle w:val="TableParagraph"/>
              <w:spacing w:line="273" w:lineRule="auto" w:before="49"/>
              <w:ind w:right="205"/>
              <w:jc w:val="both"/>
              <w:rPr>
                <w:sz w:val="21"/>
              </w:rPr>
            </w:pPr>
            <w:r>
              <w:rPr>
                <w:sz w:val="21"/>
              </w:rPr>
              <w:t>植入大脑内分流器是指确实在脑室进行分流器植入手术，以缓解升高的脑脊液压力。必须由脑神经专科医生证实植入分流器为医疗所需。</w:t>
            </w:r>
          </w:p>
        </w:tc>
      </w:tr>
      <w:tr>
        <w:trPr>
          <w:trHeight w:val="765" w:hRule="atLeast"/>
        </w:trPr>
        <w:tc>
          <w:tcPr>
            <w:tcW w:w="1156" w:type="dxa"/>
          </w:tcPr>
          <w:p>
            <w:pPr>
              <w:pStyle w:val="TableParagraph"/>
              <w:spacing w:before="49"/>
              <w:ind w:left="200"/>
              <w:rPr>
                <w:b/>
                <w:sz w:val="21"/>
              </w:rPr>
            </w:pPr>
            <w:r>
              <w:rPr>
                <w:b/>
                <w:sz w:val="21"/>
              </w:rPr>
              <w:t>11.1.30</w:t>
            </w:r>
          </w:p>
        </w:tc>
        <w:tc>
          <w:tcPr>
            <w:tcW w:w="2068" w:type="dxa"/>
          </w:tcPr>
          <w:p>
            <w:pPr>
              <w:pStyle w:val="TableParagraph"/>
              <w:spacing w:before="49"/>
              <w:ind w:left="215"/>
              <w:rPr>
                <w:b/>
                <w:sz w:val="21"/>
              </w:rPr>
            </w:pPr>
            <w:r>
              <w:rPr>
                <w:b/>
                <w:sz w:val="21"/>
              </w:rPr>
              <w:t>轻度颅脑手术</w:t>
            </w:r>
          </w:p>
        </w:tc>
        <w:tc>
          <w:tcPr>
            <w:tcW w:w="6513" w:type="dxa"/>
          </w:tcPr>
          <w:p>
            <w:pPr>
              <w:pStyle w:val="TableParagraph"/>
              <w:spacing w:line="273" w:lineRule="auto" w:before="49"/>
              <w:ind w:right="205"/>
              <w:rPr>
                <w:sz w:val="21"/>
              </w:rPr>
            </w:pPr>
            <w:r>
              <w:rPr>
                <w:sz w:val="21"/>
              </w:rPr>
              <w:t>被保险人确已实施全麻下的颅骨钻孔手术或经鼻蝶窦入颅手术。因外伤而实施的脑外科手术不在保障范围内。</w:t>
            </w:r>
          </w:p>
        </w:tc>
      </w:tr>
      <w:tr>
        <w:trPr>
          <w:trHeight w:val="1858" w:hRule="atLeast"/>
        </w:trPr>
        <w:tc>
          <w:tcPr>
            <w:tcW w:w="1156" w:type="dxa"/>
          </w:tcPr>
          <w:p>
            <w:pPr>
              <w:pStyle w:val="TableParagraph"/>
              <w:spacing w:before="49"/>
              <w:ind w:left="200"/>
              <w:rPr>
                <w:b/>
                <w:sz w:val="21"/>
              </w:rPr>
            </w:pPr>
            <w:r>
              <w:rPr>
                <w:b/>
                <w:sz w:val="21"/>
              </w:rPr>
              <w:t>11.1.31</w:t>
            </w:r>
          </w:p>
        </w:tc>
        <w:tc>
          <w:tcPr>
            <w:tcW w:w="2068" w:type="dxa"/>
          </w:tcPr>
          <w:p>
            <w:pPr>
              <w:pStyle w:val="TableParagraph"/>
              <w:spacing w:before="49"/>
              <w:ind w:left="215"/>
              <w:rPr>
                <w:b/>
                <w:sz w:val="21"/>
              </w:rPr>
            </w:pPr>
            <w:r>
              <w:rPr>
                <w:b/>
                <w:sz w:val="21"/>
              </w:rPr>
              <w:t>胆道系统重建手术</w:t>
            </w:r>
          </w:p>
        </w:tc>
        <w:tc>
          <w:tcPr>
            <w:tcW w:w="6513" w:type="dxa"/>
          </w:tcPr>
          <w:p>
            <w:pPr>
              <w:pStyle w:val="TableParagraph"/>
              <w:spacing w:line="273" w:lineRule="auto" w:before="49"/>
              <w:ind w:right="205"/>
              <w:rPr>
                <w:sz w:val="21"/>
              </w:rPr>
            </w:pPr>
            <w:r>
              <w:rPr>
                <w:sz w:val="21"/>
              </w:rPr>
              <w:t>因疾病或胆道创伤导致包含胆道肠道人工造管术的胆道重建手术。手术必须由专科医生确认为医学上所必须的情况下进行。</w:t>
            </w:r>
          </w:p>
          <w:p>
            <w:pPr>
              <w:pStyle w:val="TableParagraph"/>
              <w:spacing w:before="87"/>
              <w:rPr>
                <w:rFonts w:ascii="黑体" w:eastAsia="黑体" w:hint="eastAsia"/>
                <w:sz w:val="21"/>
              </w:rPr>
            </w:pPr>
            <w:r>
              <w:rPr>
                <w:rFonts w:ascii="黑体" w:eastAsia="黑体" w:hint="eastAsia"/>
                <w:sz w:val="21"/>
              </w:rPr>
              <w:t>胆道闭锁不在本合同保障范围内。</w:t>
            </w:r>
          </w:p>
          <w:p>
            <w:pPr>
              <w:pStyle w:val="TableParagraph"/>
              <w:spacing w:line="273" w:lineRule="auto" w:before="114"/>
              <w:ind w:right="205"/>
              <w:rPr>
                <w:rFonts w:ascii="黑体" w:eastAsia="黑体" w:hint="eastAsia"/>
                <w:sz w:val="21"/>
              </w:rPr>
            </w:pPr>
            <w:r>
              <w:rPr>
                <w:rFonts w:ascii="黑体" w:eastAsia="黑体" w:hint="eastAsia"/>
                <w:sz w:val="21"/>
              </w:rPr>
              <w:t>若被保险人因同一原因导致其同时满足本合同重大疾病恶性肿瘤和胆道系统重建手术的，仅按重大疾病恶性肿瘤一项给付。</w:t>
            </w:r>
          </w:p>
        </w:tc>
      </w:tr>
      <w:tr>
        <w:trPr>
          <w:trHeight w:val="333" w:hRule="atLeast"/>
        </w:trPr>
        <w:tc>
          <w:tcPr>
            <w:tcW w:w="1156" w:type="dxa"/>
          </w:tcPr>
          <w:p>
            <w:pPr>
              <w:pStyle w:val="TableParagraph"/>
              <w:spacing w:line="263" w:lineRule="exact" w:before="50"/>
              <w:ind w:left="200"/>
              <w:rPr>
                <w:b/>
                <w:sz w:val="21"/>
              </w:rPr>
            </w:pPr>
            <w:r>
              <w:rPr>
                <w:b/>
                <w:sz w:val="21"/>
              </w:rPr>
              <w:t>11.1.32</w:t>
            </w:r>
          </w:p>
        </w:tc>
        <w:tc>
          <w:tcPr>
            <w:tcW w:w="2068" w:type="dxa"/>
          </w:tcPr>
          <w:p>
            <w:pPr>
              <w:pStyle w:val="TableParagraph"/>
              <w:spacing w:line="263" w:lineRule="exact" w:before="50"/>
              <w:ind w:left="215"/>
              <w:rPr>
                <w:b/>
                <w:sz w:val="21"/>
              </w:rPr>
            </w:pPr>
            <w:r>
              <w:rPr>
                <w:b/>
                <w:sz w:val="21"/>
              </w:rPr>
              <w:t>人工耳蜗植入术</w:t>
            </w:r>
          </w:p>
        </w:tc>
        <w:tc>
          <w:tcPr>
            <w:tcW w:w="6513" w:type="dxa"/>
          </w:tcPr>
          <w:p>
            <w:pPr>
              <w:pStyle w:val="TableParagraph"/>
              <w:spacing w:line="263" w:lineRule="exact" w:before="50"/>
              <w:rPr>
                <w:sz w:val="21"/>
              </w:rPr>
            </w:pPr>
            <w:r>
              <w:rPr>
                <w:sz w:val="21"/>
              </w:rPr>
              <w:t>指由于耳蜗的永久损害而实际实施了人工耳蜗植入手术。诊断须经</w:t>
            </w:r>
          </w:p>
        </w:tc>
      </w:tr>
    </w:tbl>
    <w:p>
      <w:pPr>
        <w:spacing w:after="0" w:line="263" w:lineRule="exact"/>
        <w:rPr>
          <w:sz w:val="21"/>
        </w:rPr>
        <w:sectPr>
          <w:pgSz w:w="11910" w:h="16840"/>
          <w:pgMar w:top="1460" w:bottom="280" w:left="980" w:right="980"/>
        </w:sectPr>
      </w:pPr>
    </w:p>
    <w:p>
      <w:pPr>
        <w:pStyle w:val="BodyText"/>
        <w:spacing w:line="273" w:lineRule="auto" w:before="8"/>
        <w:ind w:left="3297" w:right="210"/>
      </w:pPr>
      <w:r>
        <w:rPr/>
        <w:t>专科医师确认在医学上是必要的，且在植入手术之前已经符合下列全部条件：</w:t>
      </w:r>
    </w:p>
    <w:p>
      <w:pPr>
        <w:pStyle w:val="BodyText"/>
        <w:spacing w:before="8"/>
        <w:ind w:left="3297"/>
      </w:pPr>
      <w:r>
        <w:rPr/>
        <w:t>(1)双耳持续 12 个月以上重度感音神经性耳聋；</w:t>
      </w:r>
    </w:p>
    <w:p>
      <w:pPr>
        <w:pStyle w:val="BodyText"/>
        <w:spacing w:before="37"/>
        <w:ind w:left="3297"/>
      </w:pPr>
      <w:r>
        <w:rPr/>
        <w:t>(2)使用相应的听力辅助设备效果不佳。</w:t>
      </w:r>
    </w:p>
    <w:p>
      <w:pPr>
        <w:pStyle w:val="BodyText"/>
        <w:spacing w:before="11"/>
        <w:rPr>
          <w:sz w:val="10"/>
        </w:rPr>
      </w:pPr>
    </w:p>
    <w:p>
      <w:pPr>
        <w:spacing w:after="0"/>
        <w:rPr>
          <w:sz w:val="10"/>
        </w:rPr>
        <w:sectPr>
          <w:pgSz w:w="11910" w:h="16840"/>
          <w:pgMar w:top="1380" w:bottom="280" w:left="1180" w:right="1120"/>
        </w:sectPr>
      </w:pPr>
    </w:p>
    <w:p>
      <w:pPr>
        <w:pStyle w:val="Heading1"/>
        <w:numPr>
          <w:ilvl w:val="2"/>
          <w:numId w:val="5"/>
        </w:numPr>
        <w:tabs>
          <w:tab w:pos="1280" w:val="left" w:leader="none"/>
          <w:tab w:pos="1281" w:val="left" w:leader="none"/>
        </w:tabs>
        <w:spacing w:line="240" w:lineRule="auto" w:before="36" w:after="0"/>
        <w:ind w:left="1280" w:right="0" w:hanging="1171"/>
        <w:jc w:val="left"/>
      </w:pPr>
      <w:r>
        <w:rPr/>
        <w:t>于颈动脉进行血管</w:t>
      </w:r>
    </w:p>
    <w:p>
      <w:pPr>
        <w:spacing w:line="273" w:lineRule="auto" w:before="36"/>
        <w:ind w:left="1280" w:right="0" w:firstLine="0"/>
        <w:jc w:val="left"/>
        <w:rPr>
          <w:b/>
          <w:sz w:val="21"/>
        </w:rPr>
      </w:pPr>
      <w:r>
        <w:rPr>
          <w:b/>
          <w:sz w:val="21"/>
        </w:rPr>
        <w:t>成形术或内膜切除术</w:t>
      </w:r>
    </w:p>
    <w:p>
      <w:pPr>
        <w:pStyle w:val="BodyText"/>
        <w:spacing w:line="273" w:lineRule="auto" w:before="36"/>
        <w:ind w:left="109" w:right="163"/>
        <w:jc w:val="both"/>
      </w:pPr>
      <w:r>
        <w:rPr/>
        <w:br w:type="column"/>
      </w:r>
      <w:r>
        <w:rPr/>
        <w:t>指根据颈动脉造影检查结果，确诊一条或以上颈动脉存在严重狭窄性病变（</w:t>
      </w:r>
      <w:r>
        <w:rPr>
          <w:spacing w:val="2"/>
        </w:rPr>
        <w:t>至少一支血管管腔直径减少 </w:t>
      </w:r>
      <w:r>
        <w:rPr/>
        <w:t>50％以上</w:t>
      </w:r>
      <w:r>
        <w:rPr>
          <w:spacing w:val="-106"/>
        </w:rPr>
        <w:t>）</w:t>
      </w:r>
      <w:r>
        <w:rPr/>
        <w:t>。本病须经国家机关认可的有合法资质的专科医生明确诊断，同时必须已经采取以下</w:t>
      </w:r>
      <w:r>
        <w:rPr>
          <w:spacing w:val="-3"/>
        </w:rPr>
        <w:t>手术以减轻症状：</w:t>
      </w:r>
    </w:p>
    <w:p>
      <w:pPr>
        <w:pStyle w:val="BodyText"/>
        <w:spacing w:before="7"/>
        <w:ind w:left="109"/>
      </w:pPr>
      <w:r>
        <w:rPr/>
        <w:t>(1)确实进行动脉内膜切除术；或</w:t>
      </w:r>
    </w:p>
    <w:p>
      <w:pPr>
        <w:pStyle w:val="BodyText"/>
        <w:spacing w:line="273" w:lineRule="auto" w:before="37"/>
        <w:ind w:left="109" w:right="162"/>
        <w:jc w:val="both"/>
      </w:pPr>
      <w:r>
        <w:rPr/>
        <w:t>(2)确实进行血管介入治疗，例如血管成形术及/或进行植入支架或动脉粥样瘤清除手术。</w:t>
      </w:r>
    </w:p>
    <w:p>
      <w:pPr>
        <w:spacing w:after="0" w:line="273" w:lineRule="auto"/>
        <w:jc w:val="both"/>
        <w:sectPr>
          <w:type w:val="continuous"/>
          <w:pgSz w:w="11910" w:h="16840"/>
          <w:pgMar w:top="200" w:bottom="280" w:left="1180" w:right="1120"/>
          <w:cols w:num="2" w:equalWidth="0">
            <w:col w:w="2971" w:space="217"/>
            <w:col w:w="6422"/>
          </w:cols>
        </w:sectPr>
      </w:pPr>
    </w:p>
    <w:p>
      <w:pPr>
        <w:pStyle w:val="BodyText"/>
        <w:spacing w:before="8"/>
        <w:rPr>
          <w:sz w:val="8"/>
        </w:rPr>
      </w:pPr>
    </w:p>
    <w:p>
      <w:pPr>
        <w:spacing w:after="0"/>
        <w:rPr>
          <w:sz w:val="8"/>
        </w:rPr>
        <w:sectPr>
          <w:type w:val="continuous"/>
          <w:pgSz w:w="11910" w:h="16840"/>
          <w:pgMar w:top="200" w:bottom="280" w:left="1180" w:right="1120"/>
        </w:sectPr>
      </w:pPr>
    </w:p>
    <w:p>
      <w:pPr>
        <w:pStyle w:val="Heading1"/>
        <w:numPr>
          <w:ilvl w:val="2"/>
          <w:numId w:val="5"/>
        </w:numPr>
        <w:tabs>
          <w:tab w:pos="1280" w:val="left" w:leader="none"/>
          <w:tab w:pos="1281" w:val="left" w:leader="none"/>
        </w:tabs>
        <w:spacing w:line="273" w:lineRule="auto" w:before="36" w:after="0"/>
        <w:ind w:left="1280" w:right="0" w:hanging="1171"/>
        <w:jc w:val="left"/>
      </w:pPr>
      <w:r>
        <w:rPr/>
        <w:t>双侧卵巢或睾丸切除术</w:t>
      </w:r>
    </w:p>
    <w:p>
      <w:pPr>
        <w:pStyle w:val="BodyText"/>
        <w:spacing w:line="273" w:lineRule="auto" w:before="36"/>
        <w:ind w:left="109" w:right="165"/>
        <w:rPr>
          <w:rFonts w:ascii="黑体" w:eastAsia="黑体" w:hint="eastAsia"/>
        </w:rPr>
      </w:pPr>
      <w:r>
        <w:rPr/>
        <w:br w:type="column"/>
      </w:r>
      <w:r>
        <w:rPr/>
        <w:t>指为治疗疾病实际接受了经腹部切开或腹腔镜进行的双侧卵巢或睾丸完全切除手术。</w:t>
      </w:r>
      <w:r>
        <w:rPr>
          <w:rFonts w:ascii="黑体" w:eastAsia="黑体" w:hint="eastAsia"/>
        </w:rPr>
        <w:t>部分卵巢或睾丸切除不在保障范围。</w:t>
      </w:r>
    </w:p>
    <w:p>
      <w:pPr>
        <w:spacing w:after="0" w:line="273" w:lineRule="auto"/>
        <w:rPr>
          <w:rFonts w:ascii="黑体" w:eastAsia="黑体" w:hint="eastAsia"/>
        </w:rPr>
        <w:sectPr>
          <w:type w:val="continuous"/>
          <w:pgSz w:w="11910" w:h="16840"/>
          <w:pgMar w:top="200" w:bottom="280" w:left="1180" w:right="1120"/>
          <w:cols w:num="2" w:equalWidth="0">
            <w:col w:w="2971" w:space="217"/>
            <w:col w:w="6422"/>
          </w:cols>
        </w:sectPr>
      </w:pPr>
    </w:p>
    <w:p>
      <w:pPr>
        <w:pStyle w:val="BodyText"/>
        <w:spacing w:before="7"/>
        <w:rPr>
          <w:rFonts w:ascii="黑体"/>
          <w:sz w:val="8"/>
        </w:rPr>
      </w:pPr>
    </w:p>
    <w:p>
      <w:pPr>
        <w:spacing w:after="0"/>
        <w:rPr>
          <w:rFonts w:ascii="黑体"/>
          <w:sz w:val="8"/>
        </w:rPr>
        <w:sectPr>
          <w:type w:val="continuous"/>
          <w:pgSz w:w="11910" w:h="16840"/>
          <w:pgMar w:top="200" w:bottom="280" w:left="1180" w:right="1120"/>
        </w:sectPr>
      </w:pPr>
    </w:p>
    <w:p>
      <w:pPr>
        <w:pStyle w:val="Heading1"/>
        <w:numPr>
          <w:ilvl w:val="2"/>
          <w:numId w:val="5"/>
        </w:numPr>
        <w:tabs>
          <w:tab w:pos="1280" w:val="left" w:leader="none"/>
          <w:tab w:pos="1281" w:val="left" w:leader="none"/>
        </w:tabs>
        <w:spacing w:line="240" w:lineRule="auto" w:before="37" w:after="0"/>
        <w:ind w:left="1280" w:right="0" w:hanging="1171"/>
        <w:jc w:val="left"/>
      </w:pPr>
      <w:r>
        <w:rPr/>
        <w:t>因意外伤害毁容而</w:t>
      </w:r>
    </w:p>
    <w:p>
      <w:pPr>
        <w:spacing w:line="273" w:lineRule="auto" w:before="37"/>
        <w:ind w:left="1280" w:right="0" w:firstLine="0"/>
        <w:jc w:val="left"/>
        <w:rPr>
          <w:b/>
          <w:sz w:val="21"/>
        </w:rPr>
      </w:pPr>
      <w:r>
        <w:rPr>
          <w:b/>
          <w:sz w:val="21"/>
        </w:rPr>
        <w:t>施行的面部整形手术</w:t>
      </w:r>
    </w:p>
    <w:p>
      <w:pPr>
        <w:pStyle w:val="BodyText"/>
        <w:spacing w:line="273" w:lineRule="auto" w:before="37"/>
        <w:ind w:left="109" w:right="165"/>
        <w:jc w:val="both"/>
      </w:pPr>
      <w:r>
        <w:rPr/>
        <w:br w:type="column"/>
      </w:r>
      <w:r>
        <w:rPr/>
        <w:t>指为修复意外伤害或暴力袭击造成的面部毁损，实际接受了在全身麻醉的情況下，由整形外科医生实施的对严重缺陷、缺失、损害或变形的面部形态和结构进行修复或重建的面部整形手术。</w:t>
      </w:r>
    </w:p>
    <w:p>
      <w:pPr>
        <w:pStyle w:val="BodyText"/>
        <w:spacing w:line="273" w:lineRule="auto" w:before="87"/>
        <w:ind w:left="109" w:right="162"/>
        <w:jc w:val="both"/>
      </w:pPr>
      <w:r>
        <w:rPr>
          <w:spacing w:val="-4"/>
        </w:rPr>
        <w:t>面部整形手术必须在意外伤害后的 </w:t>
      </w:r>
      <w:r>
        <w:rPr/>
        <w:t>180</w:t>
      </w:r>
      <w:r>
        <w:rPr>
          <w:spacing w:val="-6"/>
        </w:rPr>
        <w:t> 天内实施。因面部外伤后遗</w:t>
      </w:r>
      <w:r>
        <w:rPr>
          <w:spacing w:val="-4"/>
        </w:rPr>
        <w:t>留的线条状瘢痕及色素沉着而施行的手术不在保障范围内。</w:t>
      </w:r>
    </w:p>
    <w:p>
      <w:pPr>
        <w:pStyle w:val="BodyText"/>
        <w:spacing w:before="84"/>
        <w:ind w:left="109"/>
      </w:pPr>
      <w:r>
        <w:rPr/>
        <w:t>意外伤害必须满足下列全部条件：</w:t>
      </w:r>
    </w:p>
    <w:p>
      <w:pPr>
        <w:pStyle w:val="BodyText"/>
        <w:spacing w:line="273" w:lineRule="auto" w:before="36"/>
        <w:ind w:left="109" w:right="107"/>
        <w:jc w:val="both"/>
      </w:pPr>
      <w:r>
        <w:rPr/>
        <w:t>(1)由外在暴力引起并且造成表面可视性伤口和面部骨结构损害的， 或面部皮肤Ⅲ度或全层意外烧伤；</w:t>
      </w:r>
    </w:p>
    <w:p>
      <w:pPr>
        <w:pStyle w:val="BodyText"/>
        <w:spacing w:before="7"/>
        <w:ind w:left="109"/>
        <w:jc w:val="both"/>
      </w:pPr>
      <w:r>
        <w:rPr/>
        <w:t>(2)是造成面部毁损的直接和独立的原因。</w:t>
      </w:r>
    </w:p>
    <w:p>
      <w:pPr>
        <w:spacing w:after="0"/>
        <w:jc w:val="both"/>
        <w:sectPr>
          <w:type w:val="continuous"/>
          <w:pgSz w:w="11910" w:h="16840"/>
          <w:pgMar w:top="200" w:bottom="280" w:left="1180" w:right="1120"/>
          <w:cols w:num="2" w:equalWidth="0">
            <w:col w:w="2971" w:space="217"/>
            <w:col w:w="6422"/>
          </w:cols>
        </w:sectPr>
      </w:pPr>
    </w:p>
    <w:p>
      <w:pPr>
        <w:pStyle w:val="BodyText"/>
        <w:spacing w:before="11"/>
        <w:rPr>
          <w:sz w:val="10"/>
        </w:rPr>
      </w:pPr>
    </w:p>
    <w:p>
      <w:pPr>
        <w:pStyle w:val="ListParagraph"/>
        <w:numPr>
          <w:ilvl w:val="1"/>
          <w:numId w:val="5"/>
        </w:numPr>
        <w:tabs>
          <w:tab w:pos="1280" w:val="left" w:leader="none"/>
          <w:tab w:pos="1281" w:val="left" w:leader="none"/>
          <w:tab w:pos="3296" w:val="left" w:leader="none"/>
        </w:tabs>
        <w:spacing w:line="240" w:lineRule="auto" w:before="36" w:after="49"/>
        <w:ind w:left="1280" w:right="0" w:hanging="1171"/>
        <w:jc w:val="left"/>
        <w:rPr>
          <w:rFonts w:ascii="宋体" w:eastAsia="宋体" w:hint="eastAsia"/>
          <w:sz w:val="21"/>
        </w:rPr>
      </w:pPr>
      <w:r>
        <w:rPr>
          <w:rFonts w:ascii="宋体" w:eastAsia="宋体" w:hint="eastAsia"/>
          <w:b/>
          <w:sz w:val="21"/>
        </w:rPr>
        <w:t>轻症疾病的分组</w:t>
        <w:tab/>
      </w:r>
      <w:r>
        <w:rPr>
          <w:rFonts w:ascii="宋体" w:eastAsia="宋体" w:hint="eastAsia"/>
          <w:spacing w:val="-1"/>
          <w:sz w:val="21"/>
        </w:rPr>
        <w:t>本</w:t>
      </w:r>
      <w:r>
        <w:rPr>
          <w:rFonts w:ascii="宋体" w:eastAsia="宋体" w:hint="eastAsia"/>
          <w:sz w:val="21"/>
        </w:rPr>
        <w:t>合</w:t>
      </w:r>
      <w:r>
        <w:rPr>
          <w:rFonts w:ascii="宋体" w:eastAsia="宋体" w:hint="eastAsia"/>
          <w:spacing w:val="-3"/>
          <w:sz w:val="21"/>
        </w:rPr>
        <w:t>同</w:t>
      </w:r>
      <w:r>
        <w:rPr>
          <w:rFonts w:ascii="宋体" w:eastAsia="宋体" w:hint="eastAsia"/>
          <w:sz w:val="21"/>
        </w:rPr>
        <w:t>所</w:t>
      </w:r>
      <w:r>
        <w:rPr>
          <w:rFonts w:ascii="宋体" w:eastAsia="宋体" w:hint="eastAsia"/>
          <w:spacing w:val="-3"/>
          <w:sz w:val="21"/>
        </w:rPr>
        <w:t>承</w:t>
      </w:r>
      <w:r>
        <w:rPr>
          <w:rFonts w:ascii="宋体" w:eastAsia="宋体" w:hint="eastAsia"/>
          <w:sz w:val="21"/>
        </w:rPr>
        <w:t>保</w:t>
      </w:r>
      <w:r>
        <w:rPr>
          <w:rFonts w:ascii="宋体" w:eastAsia="宋体" w:hint="eastAsia"/>
          <w:spacing w:val="-3"/>
          <w:sz w:val="21"/>
        </w:rPr>
        <w:t>的</w:t>
      </w:r>
      <w:r>
        <w:rPr>
          <w:rFonts w:ascii="宋体" w:eastAsia="宋体" w:hint="eastAsia"/>
          <w:sz w:val="21"/>
        </w:rPr>
        <w:t>所</w:t>
      </w:r>
      <w:r>
        <w:rPr>
          <w:rFonts w:ascii="宋体" w:eastAsia="宋体" w:hint="eastAsia"/>
          <w:spacing w:val="-3"/>
          <w:sz w:val="21"/>
        </w:rPr>
        <w:t>有</w:t>
      </w:r>
      <w:r>
        <w:rPr>
          <w:rFonts w:ascii="宋体" w:eastAsia="宋体" w:hint="eastAsia"/>
          <w:sz w:val="21"/>
        </w:rPr>
        <w:t>轻</w:t>
      </w:r>
      <w:r>
        <w:rPr>
          <w:rFonts w:ascii="宋体" w:eastAsia="宋体" w:hint="eastAsia"/>
          <w:spacing w:val="-3"/>
          <w:sz w:val="21"/>
        </w:rPr>
        <w:t>症</w:t>
      </w:r>
      <w:r>
        <w:rPr>
          <w:rFonts w:ascii="宋体" w:eastAsia="宋体" w:hint="eastAsia"/>
          <w:sz w:val="21"/>
        </w:rPr>
        <w:t>疾病</w:t>
      </w:r>
      <w:r>
        <w:rPr>
          <w:rFonts w:ascii="宋体" w:eastAsia="宋体" w:hint="eastAsia"/>
          <w:spacing w:val="-3"/>
          <w:sz w:val="21"/>
        </w:rPr>
        <w:t>分</w:t>
      </w:r>
      <w:r>
        <w:rPr>
          <w:rFonts w:ascii="宋体" w:eastAsia="宋体" w:hint="eastAsia"/>
          <w:sz w:val="21"/>
        </w:rPr>
        <w:t>为</w:t>
      </w:r>
      <w:r>
        <w:rPr>
          <w:rFonts w:ascii="宋体" w:eastAsia="宋体" w:hint="eastAsia"/>
          <w:spacing w:val="-3"/>
          <w:sz w:val="21"/>
        </w:rPr>
        <w:t>以</w:t>
      </w:r>
      <w:r>
        <w:rPr>
          <w:rFonts w:ascii="宋体" w:eastAsia="宋体" w:hint="eastAsia"/>
          <w:sz w:val="21"/>
        </w:rPr>
        <w:t>下</w:t>
      </w:r>
      <w:r>
        <w:rPr>
          <w:rFonts w:ascii="宋体" w:eastAsia="宋体" w:hint="eastAsia"/>
          <w:spacing w:val="-3"/>
          <w:sz w:val="21"/>
        </w:rPr>
        <w:t>三</w:t>
      </w:r>
      <w:r>
        <w:rPr>
          <w:rFonts w:ascii="宋体" w:eastAsia="宋体" w:hint="eastAsia"/>
          <w:sz w:val="21"/>
        </w:rPr>
        <w:t>组：</w:t>
      </w:r>
    </w:p>
    <w:tbl>
      <w:tblPr>
        <w:tblW w:w="0" w:type="auto"/>
        <w:jc w:val="left"/>
        <w:tblInd w:w="3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9"/>
        <w:gridCol w:w="2184"/>
        <w:gridCol w:w="2043"/>
      </w:tblGrid>
      <w:tr>
        <w:trPr>
          <w:trHeight w:val="313" w:hRule="atLeast"/>
        </w:trPr>
        <w:tc>
          <w:tcPr>
            <w:tcW w:w="1899" w:type="dxa"/>
          </w:tcPr>
          <w:p>
            <w:pPr>
              <w:pStyle w:val="TableParagraph"/>
              <w:spacing w:line="265" w:lineRule="exact"/>
              <w:ind w:left="107"/>
              <w:rPr>
                <w:sz w:val="21"/>
              </w:rPr>
            </w:pPr>
            <w:r>
              <w:rPr>
                <w:sz w:val="21"/>
              </w:rPr>
              <w:t>A 组</w:t>
            </w:r>
          </w:p>
        </w:tc>
        <w:tc>
          <w:tcPr>
            <w:tcW w:w="2184" w:type="dxa"/>
          </w:tcPr>
          <w:p>
            <w:pPr>
              <w:pStyle w:val="TableParagraph"/>
              <w:spacing w:line="265" w:lineRule="exact"/>
              <w:ind w:left="107"/>
              <w:rPr>
                <w:sz w:val="21"/>
              </w:rPr>
            </w:pPr>
            <w:r>
              <w:rPr>
                <w:sz w:val="21"/>
              </w:rPr>
              <w:t>B 组</w:t>
            </w:r>
          </w:p>
        </w:tc>
        <w:tc>
          <w:tcPr>
            <w:tcW w:w="2043" w:type="dxa"/>
          </w:tcPr>
          <w:p>
            <w:pPr>
              <w:pStyle w:val="TableParagraph"/>
              <w:spacing w:line="265" w:lineRule="exact"/>
              <w:ind w:left="107"/>
              <w:rPr>
                <w:sz w:val="21"/>
              </w:rPr>
            </w:pPr>
            <w:r>
              <w:rPr>
                <w:sz w:val="21"/>
              </w:rPr>
              <w:t>C 组</w:t>
            </w:r>
          </w:p>
        </w:tc>
      </w:tr>
      <w:tr>
        <w:trPr>
          <w:trHeight w:val="935" w:hRule="atLeast"/>
        </w:trPr>
        <w:tc>
          <w:tcPr>
            <w:tcW w:w="1899" w:type="dxa"/>
          </w:tcPr>
          <w:p>
            <w:pPr>
              <w:pStyle w:val="TableParagraph"/>
              <w:spacing w:line="273" w:lineRule="auto"/>
              <w:ind w:left="107" w:right="94"/>
              <w:rPr>
                <w:sz w:val="21"/>
              </w:rPr>
            </w:pPr>
            <w:r>
              <w:rPr>
                <w:sz w:val="21"/>
              </w:rPr>
              <w:t>非危及生命的恶性病变</w:t>
            </w:r>
          </w:p>
        </w:tc>
        <w:tc>
          <w:tcPr>
            <w:tcW w:w="2184" w:type="dxa"/>
          </w:tcPr>
          <w:p>
            <w:pPr>
              <w:pStyle w:val="TableParagraph"/>
              <w:spacing w:line="262" w:lineRule="exact"/>
              <w:ind w:left="107"/>
              <w:rPr>
                <w:sz w:val="21"/>
              </w:rPr>
            </w:pPr>
            <w:r>
              <w:rPr>
                <w:sz w:val="21"/>
              </w:rPr>
              <w:t>冠状动脉支架植入术</w:t>
            </w:r>
          </w:p>
        </w:tc>
        <w:tc>
          <w:tcPr>
            <w:tcW w:w="2043" w:type="dxa"/>
          </w:tcPr>
          <w:p>
            <w:pPr>
              <w:pStyle w:val="TableParagraph"/>
              <w:spacing w:line="273" w:lineRule="auto"/>
              <w:ind w:left="107" w:right="29"/>
              <w:jc w:val="both"/>
              <w:rPr>
                <w:sz w:val="21"/>
              </w:rPr>
            </w:pPr>
            <w:r>
              <w:rPr>
                <w:sz w:val="21"/>
              </w:rPr>
              <w:t>脑垂体瘤、脑囊肿、脑动脉瘤和脑海绵状血管瘤</w:t>
            </w:r>
          </w:p>
        </w:tc>
      </w:tr>
      <w:tr>
        <w:trPr>
          <w:trHeight w:val="311" w:hRule="atLeast"/>
        </w:trPr>
        <w:tc>
          <w:tcPr>
            <w:tcW w:w="1899" w:type="dxa"/>
          </w:tcPr>
          <w:p>
            <w:pPr>
              <w:pStyle w:val="TableParagraph"/>
              <w:spacing w:line="262" w:lineRule="exact"/>
              <w:ind w:left="107"/>
              <w:rPr>
                <w:sz w:val="21"/>
              </w:rPr>
            </w:pPr>
            <w:r>
              <w:rPr>
                <w:sz w:val="21"/>
              </w:rPr>
              <w:t>早期肾衰竭</w:t>
            </w:r>
          </w:p>
        </w:tc>
        <w:tc>
          <w:tcPr>
            <w:tcW w:w="2184" w:type="dxa"/>
          </w:tcPr>
          <w:p>
            <w:pPr>
              <w:pStyle w:val="TableParagraph"/>
              <w:spacing w:line="262" w:lineRule="exact"/>
              <w:ind w:left="107"/>
              <w:rPr>
                <w:sz w:val="21"/>
              </w:rPr>
            </w:pPr>
            <w:r>
              <w:rPr>
                <w:sz w:val="21"/>
              </w:rPr>
              <w:t>主动脉介入手术</w:t>
            </w:r>
          </w:p>
        </w:tc>
        <w:tc>
          <w:tcPr>
            <w:tcW w:w="2043" w:type="dxa"/>
          </w:tcPr>
          <w:p>
            <w:pPr>
              <w:pStyle w:val="TableParagraph"/>
              <w:spacing w:line="262" w:lineRule="exact"/>
              <w:ind w:left="107"/>
              <w:rPr>
                <w:sz w:val="21"/>
              </w:rPr>
            </w:pPr>
            <w:r>
              <w:rPr>
                <w:sz w:val="21"/>
              </w:rPr>
              <w:t>视力严重受损</w:t>
            </w:r>
          </w:p>
        </w:tc>
      </w:tr>
      <w:tr>
        <w:trPr>
          <w:trHeight w:val="624" w:hRule="atLeast"/>
        </w:trPr>
        <w:tc>
          <w:tcPr>
            <w:tcW w:w="1899" w:type="dxa"/>
          </w:tcPr>
          <w:p>
            <w:pPr>
              <w:pStyle w:val="TableParagraph"/>
              <w:spacing w:line="273" w:lineRule="auto"/>
              <w:ind w:left="107" w:right="94"/>
              <w:rPr>
                <w:sz w:val="21"/>
              </w:rPr>
            </w:pPr>
            <w:r>
              <w:rPr>
                <w:sz w:val="21"/>
              </w:rPr>
              <w:t>轻症慢性肝功能衰竭失代偿期</w:t>
            </w:r>
          </w:p>
        </w:tc>
        <w:tc>
          <w:tcPr>
            <w:tcW w:w="2184" w:type="dxa"/>
          </w:tcPr>
          <w:p>
            <w:pPr>
              <w:pStyle w:val="TableParagraph"/>
              <w:spacing w:line="262" w:lineRule="exact"/>
              <w:ind w:left="107"/>
              <w:rPr>
                <w:sz w:val="21"/>
              </w:rPr>
            </w:pPr>
            <w:r>
              <w:rPr>
                <w:sz w:val="21"/>
              </w:rPr>
              <w:t>心脏瓣膜介入手术</w:t>
            </w:r>
          </w:p>
        </w:tc>
        <w:tc>
          <w:tcPr>
            <w:tcW w:w="2043" w:type="dxa"/>
          </w:tcPr>
          <w:p>
            <w:pPr>
              <w:pStyle w:val="TableParagraph"/>
              <w:spacing w:line="262" w:lineRule="exact"/>
              <w:ind w:left="107"/>
              <w:rPr>
                <w:sz w:val="21"/>
              </w:rPr>
            </w:pPr>
            <w:r>
              <w:rPr>
                <w:sz w:val="21"/>
              </w:rPr>
              <w:t>轻微脑中风</w:t>
            </w:r>
          </w:p>
        </w:tc>
      </w:tr>
      <w:tr>
        <w:trPr>
          <w:trHeight w:val="311" w:hRule="atLeast"/>
        </w:trPr>
        <w:tc>
          <w:tcPr>
            <w:tcW w:w="1899" w:type="dxa"/>
          </w:tcPr>
          <w:p>
            <w:pPr>
              <w:pStyle w:val="TableParagraph"/>
              <w:spacing w:line="262" w:lineRule="exact"/>
              <w:ind w:left="107"/>
              <w:rPr>
                <w:sz w:val="21"/>
              </w:rPr>
            </w:pPr>
            <w:r>
              <w:rPr>
                <w:sz w:val="21"/>
              </w:rPr>
              <w:t>单侧肺脏切除</w:t>
            </w:r>
          </w:p>
        </w:tc>
        <w:tc>
          <w:tcPr>
            <w:tcW w:w="2184" w:type="dxa"/>
          </w:tcPr>
          <w:p>
            <w:pPr>
              <w:pStyle w:val="TableParagraph"/>
              <w:spacing w:line="262" w:lineRule="exact"/>
              <w:ind w:left="107"/>
              <w:rPr>
                <w:sz w:val="21"/>
              </w:rPr>
            </w:pPr>
            <w:r>
              <w:rPr>
                <w:sz w:val="21"/>
              </w:rPr>
              <w:t>较小面积Ⅲ度烧伤</w:t>
            </w:r>
          </w:p>
        </w:tc>
        <w:tc>
          <w:tcPr>
            <w:tcW w:w="2043" w:type="dxa"/>
          </w:tcPr>
          <w:p>
            <w:pPr>
              <w:pStyle w:val="TableParagraph"/>
              <w:spacing w:line="262" w:lineRule="exact"/>
              <w:ind w:left="107"/>
              <w:rPr>
                <w:sz w:val="21"/>
              </w:rPr>
            </w:pPr>
            <w:r>
              <w:rPr>
                <w:sz w:val="21"/>
              </w:rPr>
              <w:t>听力严重受损</w:t>
            </w:r>
          </w:p>
        </w:tc>
      </w:tr>
      <w:tr>
        <w:trPr>
          <w:trHeight w:val="623" w:hRule="atLeast"/>
        </w:trPr>
        <w:tc>
          <w:tcPr>
            <w:tcW w:w="1899" w:type="dxa"/>
          </w:tcPr>
          <w:p>
            <w:pPr>
              <w:pStyle w:val="TableParagraph"/>
              <w:spacing w:line="262" w:lineRule="exact"/>
              <w:ind w:left="107"/>
              <w:rPr>
                <w:sz w:val="21"/>
              </w:rPr>
            </w:pPr>
            <w:r>
              <w:rPr>
                <w:sz w:val="21"/>
              </w:rPr>
              <w:t>肝脏整叶切除</w:t>
            </w:r>
          </w:p>
        </w:tc>
        <w:tc>
          <w:tcPr>
            <w:tcW w:w="2184" w:type="dxa"/>
          </w:tcPr>
          <w:p>
            <w:pPr>
              <w:pStyle w:val="TableParagraph"/>
              <w:spacing w:line="273" w:lineRule="auto"/>
              <w:ind w:left="107" w:right="96"/>
              <w:rPr>
                <w:sz w:val="21"/>
              </w:rPr>
            </w:pPr>
            <w:r>
              <w:rPr>
                <w:sz w:val="21"/>
              </w:rPr>
              <w:t>因意外伤害毁容而施行的面部整形手术</w:t>
            </w:r>
          </w:p>
        </w:tc>
        <w:tc>
          <w:tcPr>
            <w:tcW w:w="2043" w:type="dxa"/>
          </w:tcPr>
          <w:p>
            <w:pPr>
              <w:pStyle w:val="TableParagraph"/>
              <w:spacing w:line="262" w:lineRule="exact"/>
              <w:ind w:left="107"/>
              <w:rPr>
                <w:sz w:val="21"/>
              </w:rPr>
            </w:pPr>
            <w:r>
              <w:rPr>
                <w:sz w:val="21"/>
              </w:rPr>
              <w:t>脑外伤开颅手术</w:t>
            </w:r>
          </w:p>
        </w:tc>
      </w:tr>
      <w:tr>
        <w:trPr>
          <w:trHeight w:val="626" w:hRule="atLeast"/>
        </w:trPr>
        <w:tc>
          <w:tcPr>
            <w:tcW w:w="1899" w:type="dxa"/>
          </w:tcPr>
          <w:p>
            <w:pPr>
              <w:pStyle w:val="TableParagraph"/>
              <w:spacing w:line="265" w:lineRule="exact"/>
              <w:ind w:left="107"/>
              <w:rPr>
                <w:sz w:val="21"/>
              </w:rPr>
            </w:pPr>
            <w:r>
              <w:rPr>
                <w:sz w:val="21"/>
              </w:rPr>
              <w:t>中度溃疡性结肠炎</w:t>
            </w:r>
          </w:p>
        </w:tc>
        <w:tc>
          <w:tcPr>
            <w:tcW w:w="2184" w:type="dxa"/>
          </w:tcPr>
          <w:p>
            <w:pPr>
              <w:pStyle w:val="TableParagraph"/>
              <w:spacing w:line="273" w:lineRule="auto"/>
              <w:ind w:left="107" w:right="96"/>
              <w:rPr>
                <w:sz w:val="21"/>
              </w:rPr>
            </w:pPr>
            <w:r>
              <w:rPr>
                <w:sz w:val="21"/>
              </w:rPr>
              <w:t>轻度原发性肺动脉高压</w:t>
            </w:r>
          </w:p>
        </w:tc>
        <w:tc>
          <w:tcPr>
            <w:tcW w:w="2043" w:type="dxa"/>
          </w:tcPr>
          <w:p>
            <w:pPr>
              <w:pStyle w:val="TableParagraph"/>
              <w:spacing w:line="273" w:lineRule="auto"/>
              <w:ind w:left="107" w:right="96"/>
              <w:rPr>
                <w:sz w:val="21"/>
              </w:rPr>
            </w:pPr>
            <w:r>
              <w:rPr>
                <w:sz w:val="21"/>
              </w:rPr>
              <w:t>轻度脑炎或脑膜炎后遗症</w:t>
            </w:r>
          </w:p>
        </w:tc>
      </w:tr>
      <w:tr>
        <w:trPr>
          <w:trHeight w:val="311" w:hRule="atLeast"/>
        </w:trPr>
        <w:tc>
          <w:tcPr>
            <w:tcW w:w="1899" w:type="dxa"/>
          </w:tcPr>
          <w:p>
            <w:pPr>
              <w:pStyle w:val="TableParagraph"/>
              <w:spacing w:line="262" w:lineRule="exact"/>
              <w:ind w:left="107"/>
              <w:rPr>
                <w:sz w:val="21"/>
              </w:rPr>
            </w:pPr>
            <w:r>
              <w:rPr>
                <w:sz w:val="21"/>
              </w:rPr>
              <w:t>中度严重克隆症</w:t>
            </w:r>
          </w:p>
        </w:tc>
        <w:tc>
          <w:tcPr>
            <w:tcW w:w="2184" w:type="dxa"/>
          </w:tcPr>
          <w:p>
            <w:pPr>
              <w:pStyle w:val="TableParagraph"/>
              <w:spacing w:line="262" w:lineRule="exact"/>
              <w:ind w:left="107"/>
              <w:rPr>
                <w:sz w:val="21"/>
              </w:rPr>
            </w:pPr>
            <w:r>
              <w:rPr>
                <w:sz w:val="21"/>
              </w:rPr>
              <w:t>轻症再生障碍性贫血</w:t>
            </w:r>
          </w:p>
        </w:tc>
        <w:tc>
          <w:tcPr>
            <w:tcW w:w="2043" w:type="dxa"/>
          </w:tcPr>
          <w:p>
            <w:pPr>
              <w:pStyle w:val="TableParagraph"/>
              <w:spacing w:line="262" w:lineRule="exact"/>
              <w:ind w:left="107"/>
              <w:rPr>
                <w:sz w:val="21"/>
              </w:rPr>
            </w:pPr>
            <w:r>
              <w:rPr>
                <w:sz w:val="21"/>
              </w:rPr>
              <w:t>深度昏迷 72 小时</w:t>
            </w:r>
          </w:p>
        </w:tc>
      </w:tr>
      <w:tr>
        <w:trPr>
          <w:trHeight w:val="623" w:hRule="atLeast"/>
        </w:trPr>
        <w:tc>
          <w:tcPr>
            <w:tcW w:w="1899" w:type="dxa"/>
          </w:tcPr>
          <w:p>
            <w:pPr>
              <w:pStyle w:val="TableParagraph"/>
              <w:spacing w:line="273" w:lineRule="auto"/>
              <w:ind w:left="107" w:right="94"/>
              <w:rPr>
                <w:sz w:val="21"/>
              </w:rPr>
            </w:pPr>
            <w:r>
              <w:rPr>
                <w:sz w:val="21"/>
              </w:rPr>
              <w:t>严重系统性红斑狼疮</w:t>
            </w:r>
          </w:p>
        </w:tc>
        <w:tc>
          <w:tcPr>
            <w:tcW w:w="2184" w:type="dxa"/>
          </w:tcPr>
          <w:p>
            <w:pPr>
              <w:pStyle w:val="TableParagraph"/>
              <w:spacing w:line="273" w:lineRule="auto"/>
              <w:ind w:left="107" w:right="96"/>
              <w:rPr>
                <w:sz w:val="21"/>
              </w:rPr>
            </w:pPr>
            <w:r>
              <w:rPr>
                <w:sz w:val="21"/>
              </w:rPr>
              <w:t>因肾上腺腺瘤所致的肾上腺切除术</w:t>
            </w:r>
          </w:p>
        </w:tc>
        <w:tc>
          <w:tcPr>
            <w:tcW w:w="2043" w:type="dxa"/>
          </w:tcPr>
          <w:p>
            <w:pPr>
              <w:pStyle w:val="TableParagraph"/>
              <w:spacing w:line="262" w:lineRule="exact"/>
              <w:ind w:left="107"/>
              <w:rPr>
                <w:sz w:val="21"/>
              </w:rPr>
            </w:pPr>
            <w:r>
              <w:rPr>
                <w:sz w:val="21"/>
              </w:rPr>
              <w:t>中度瘫痪</w:t>
            </w:r>
          </w:p>
        </w:tc>
      </w:tr>
      <w:tr>
        <w:trPr>
          <w:trHeight w:val="624" w:hRule="atLeast"/>
        </w:trPr>
        <w:tc>
          <w:tcPr>
            <w:tcW w:w="1899" w:type="dxa"/>
          </w:tcPr>
          <w:p>
            <w:pPr>
              <w:pStyle w:val="TableParagraph"/>
              <w:spacing w:line="262" w:lineRule="exact"/>
              <w:ind w:left="107"/>
              <w:rPr>
                <w:sz w:val="21"/>
              </w:rPr>
            </w:pPr>
            <w:r>
              <w:rPr>
                <w:sz w:val="21"/>
              </w:rPr>
              <w:t>胆道系统重建手术</w:t>
            </w:r>
          </w:p>
        </w:tc>
        <w:tc>
          <w:tcPr>
            <w:tcW w:w="2184" w:type="dxa"/>
          </w:tcPr>
          <w:p>
            <w:pPr>
              <w:pStyle w:val="TableParagraph"/>
              <w:spacing w:line="273" w:lineRule="auto"/>
              <w:ind w:left="107" w:right="96"/>
              <w:rPr>
                <w:sz w:val="21"/>
              </w:rPr>
            </w:pPr>
            <w:r>
              <w:rPr>
                <w:sz w:val="21"/>
              </w:rPr>
              <w:t>心脏起搏器或除颤器植入</w:t>
            </w:r>
          </w:p>
        </w:tc>
        <w:tc>
          <w:tcPr>
            <w:tcW w:w="2043" w:type="dxa"/>
          </w:tcPr>
          <w:p>
            <w:pPr>
              <w:pStyle w:val="TableParagraph"/>
              <w:spacing w:line="262" w:lineRule="exact"/>
              <w:ind w:left="107"/>
              <w:rPr>
                <w:sz w:val="21"/>
              </w:rPr>
            </w:pPr>
            <w:r>
              <w:rPr>
                <w:sz w:val="21"/>
              </w:rPr>
              <w:t>中度阿尔兹海默病</w:t>
            </w:r>
          </w:p>
        </w:tc>
      </w:tr>
      <w:tr>
        <w:trPr>
          <w:trHeight w:val="623" w:hRule="atLeast"/>
        </w:trPr>
        <w:tc>
          <w:tcPr>
            <w:tcW w:w="1899" w:type="dxa"/>
          </w:tcPr>
          <w:p>
            <w:pPr>
              <w:pStyle w:val="TableParagraph"/>
              <w:spacing w:line="273" w:lineRule="auto"/>
              <w:ind w:left="107" w:right="94"/>
              <w:rPr>
                <w:sz w:val="21"/>
              </w:rPr>
            </w:pPr>
            <w:r>
              <w:rPr>
                <w:sz w:val="21"/>
              </w:rPr>
              <w:t>双侧卵巢或睾丸切除术</w:t>
            </w:r>
          </w:p>
        </w:tc>
        <w:tc>
          <w:tcPr>
            <w:tcW w:w="2184" w:type="dxa"/>
          </w:tcPr>
          <w:p>
            <w:pPr>
              <w:pStyle w:val="TableParagraph"/>
              <w:spacing w:line="273" w:lineRule="auto"/>
              <w:ind w:left="107" w:right="96"/>
              <w:rPr>
                <w:sz w:val="21"/>
              </w:rPr>
            </w:pPr>
            <w:r>
              <w:rPr>
                <w:sz w:val="21"/>
              </w:rPr>
              <w:t>于颈动脉进行血管成形术或内膜切除术</w:t>
            </w:r>
          </w:p>
        </w:tc>
        <w:tc>
          <w:tcPr>
            <w:tcW w:w="2043" w:type="dxa"/>
          </w:tcPr>
          <w:p>
            <w:pPr>
              <w:pStyle w:val="TableParagraph"/>
              <w:spacing w:line="262" w:lineRule="exact"/>
              <w:ind w:left="107"/>
              <w:rPr>
                <w:sz w:val="21"/>
              </w:rPr>
            </w:pPr>
            <w:r>
              <w:rPr>
                <w:sz w:val="21"/>
              </w:rPr>
              <w:t>中度帕金森氏病</w:t>
            </w:r>
          </w:p>
        </w:tc>
      </w:tr>
    </w:tbl>
    <w:p>
      <w:pPr>
        <w:spacing w:after="0" w:line="262" w:lineRule="exact"/>
        <w:rPr>
          <w:sz w:val="21"/>
        </w:rPr>
        <w:sectPr>
          <w:type w:val="continuous"/>
          <w:pgSz w:w="11910" w:h="16840"/>
          <w:pgMar w:top="200" w:bottom="280" w:left="1180" w:right="1120"/>
        </w:sectPr>
      </w:pPr>
    </w:p>
    <w:tbl>
      <w:tblPr>
        <w:tblW w:w="0" w:type="auto"/>
        <w:jc w:val="left"/>
        <w:tblInd w:w="3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9"/>
        <w:gridCol w:w="2184"/>
        <w:gridCol w:w="2043"/>
      </w:tblGrid>
      <w:tr>
        <w:trPr>
          <w:trHeight w:val="623" w:hRule="atLeast"/>
        </w:trPr>
        <w:tc>
          <w:tcPr>
            <w:tcW w:w="1899" w:type="dxa"/>
          </w:tcPr>
          <w:p>
            <w:pPr>
              <w:pStyle w:val="TableParagraph"/>
              <w:spacing w:line="263" w:lineRule="exact"/>
              <w:ind w:left="107"/>
              <w:rPr>
                <w:sz w:val="21"/>
              </w:rPr>
            </w:pPr>
            <w:r>
              <w:rPr>
                <w:sz w:val="21"/>
              </w:rPr>
              <w:t>单肢缺失</w:t>
            </w:r>
          </w:p>
        </w:tc>
        <w:tc>
          <w:tcPr>
            <w:tcW w:w="2184" w:type="dxa"/>
          </w:tcPr>
          <w:p>
            <w:pPr>
              <w:pStyle w:val="TableParagraph"/>
              <w:ind w:left="0"/>
              <w:rPr>
                <w:rFonts w:ascii="Times New Roman"/>
                <w:sz w:val="20"/>
              </w:rPr>
            </w:pPr>
          </w:p>
        </w:tc>
        <w:tc>
          <w:tcPr>
            <w:tcW w:w="2043" w:type="dxa"/>
          </w:tcPr>
          <w:p>
            <w:pPr>
              <w:pStyle w:val="TableParagraph"/>
              <w:spacing w:line="273" w:lineRule="auto"/>
              <w:ind w:left="107" w:right="96"/>
              <w:rPr>
                <w:sz w:val="21"/>
              </w:rPr>
            </w:pPr>
            <w:r>
              <w:rPr>
                <w:sz w:val="21"/>
              </w:rPr>
              <w:t>早期运动神经性疾病</w:t>
            </w:r>
          </w:p>
        </w:tc>
      </w:tr>
      <w:tr>
        <w:trPr>
          <w:trHeight w:val="311" w:hRule="atLeast"/>
        </w:trPr>
        <w:tc>
          <w:tcPr>
            <w:tcW w:w="1899" w:type="dxa"/>
          </w:tcPr>
          <w:p>
            <w:pPr>
              <w:pStyle w:val="TableParagraph"/>
              <w:ind w:left="0"/>
              <w:rPr>
                <w:rFonts w:ascii="Times New Roman"/>
                <w:sz w:val="20"/>
              </w:rPr>
            </w:pPr>
          </w:p>
        </w:tc>
        <w:tc>
          <w:tcPr>
            <w:tcW w:w="2184" w:type="dxa"/>
          </w:tcPr>
          <w:p>
            <w:pPr>
              <w:pStyle w:val="TableParagraph"/>
              <w:ind w:left="0"/>
              <w:rPr>
                <w:rFonts w:ascii="Times New Roman"/>
                <w:sz w:val="20"/>
              </w:rPr>
            </w:pPr>
          </w:p>
        </w:tc>
        <w:tc>
          <w:tcPr>
            <w:tcW w:w="2043" w:type="dxa"/>
          </w:tcPr>
          <w:p>
            <w:pPr>
              <w:pStyle w:val="TableParagraph"/>
              <w:spacing w:line="262" w:lineRule="exact"/>
              <w:ind w:left="107"/>
              <w:rPr>
                <w:sz w:val="21"/>
              </w:rPr>
            </w:pPr>
            <w:r>
              <w:rPr>
                <w:sz w:val="21"/>
              </w:rPr>
              <w:t>植入大脑内分流器</w:t>
            </w:r>
          </w:p>
        </w:tc>
      </w:tr>
      <w:tr>
        <w:trPr>
          <w:trHeight w:val="311" w:hRule="atLeast"/>
        </w:trPr>
        <w:tc>
          <w:tcPr>
            <w:tcW w:w="1899" w:type="dxa"/>
          </w:tcPr>
          <w:p>
            <w:pPr>
              <w:pStyle w:val="TableParagraph"/>
              <w:ind w:left="0"/>
              <w:rPr>
                <w:rFonts w:ascii="Times New Roman"/>
                <w:sz w:val="20"/>
              </w:rPr>
            </w:pPr>
          </w:p>
        </w:tc>
        <w:tc>
          <w:tcPr>
            <w:tcW w:w="2184" w:type="dxa"/>
          </w:tcPr>
          <w:p>
            <w:pPr>
              <w:pStyle w:val="TableParagraph"/>
              <w:ind w:left="0"/>
              <w:rPr>
                <w:rFonts w:ascii="Times New Roman"/>
                <w:sz w:val="20"/>
              </w:rPr>
            </w:pPr>
          </w:p>
        </w:tc>
        <w:tc>
          <w:tcPr>
            <w:tcW w:w="2043" w:type="dxa"/>
          </w:tcPr>
          <w:p>
            <w:pPr>
              <w:pStyle w:val="TableParagraph"/>
              <w:spacing w:line="262" w:lineRule="exact"/>
              <w:ind w:left="107"/>
              <w:rPr>
                <w:sz w:val="21"/>
              </w:rPr>
            </w:pPr>
            <w:r>
              <w:rPr>
                <w:sz w:val="21"/>
              </w:rPr>
              <w:t>轻度颅脑手术</w:t>
            </w:r>
          </w:p>
        </w:tc>
      </w:tr>
      <w:tr>
        <w:trPr>
          <w:trHeight w:val="314" w:hRule="atLeast"/>
        </w:trPr>
        <w:tc>
          <w:tcPr>
            <w:tcW w:w="1899" w:type="dxa"/>
          </w:tcPr>
          <w:p>
            <w:pPr>
              <w:pStyle w:val="TableParagraph"/>
              <w:ind w:left="0"/>
              <w:rPr>
                <w:rFonts w:ascii="Times New Roman"/>
                <w:sz w:val="20"/>
              </w:rPr>
            </w:pPr>
          </w:p>
        </w:tc>
        <w:tc>
          <w:tcPr>
            <w:tcW w:w="2184" w:type="dxa"/>
          </w:tcPr>
          <w:p>
            <w:pPr>
              <w:pStyle w:val="TableParagraph"/>
              <w:ind w:left="0"/>
              <w:rPr>
                <w:rFonts w:ascii="Times New Roman"/>
                <w:sz w:val="20"/>
              </w:rPr>
            </w:pPr>
          </w:p>
        </w:tc>
        <w:tc>
          <w:tcPr>
            <w:tcW w:w="2043" w:type="dxa"/>
          </w:tcPr>
          <w:p>
            <w:pPr>
              <w:pStyle w:val="TableParagraph"/>
              <w:spacing w:line="262" w:lineRule="exact"/>
              <w:ind w:left="107"/>
              <w:rPr>
                <w:sz w:val="21"/>
              </w:rPr>
            </w:pPr>
            <w:r>
              <w:rPr>
                <w:sz w:val="21"/>
              </w:rPr>
              <w:t>人工耳蜗植入术</w:t>
            </w:r>
          </w:p>
        </w:tc>
      </w:tr>
    </w:tbl>
    <w:p>
      <w:pPr>
        <w:pStyle w:val="BodyText"/>
        <w:spacing w:before="12"/>
        <w:rPr>
          <w:sz w:val="8"/>
        </w:rPr>
      </w:pPr>
      <w:r>
        <w:rPr/>
        <w:pict>
          <v:shape style="position:absolute;margin-left:59.040001pt;margin-top:7.08pt;width:477.25pt;height:15.6pt;mso-position-horizontal-relative:page;mso-position-vertical-relative:paragraph;z-index:1168;mso-wrap-distance-left:0;mso-wrap-distance-right:0" type="#_x0000_t202" filled="true" fillcolor="#a6a6a6" stroked="false">
            <v:textbox inset="0,0,0,0">
              <w:txbxContent>
                <w:p>
                  <w:pPr>
                    <w:tabs>
                      <w:tab w:pos="1272" w:val="left" w:leader="none"/>
                    </w:tabs>
                    <w:spacing w:line="262" w:lineRule="exact" w:before="0"/>
                    <w:ind w:left="108" w:right="0" w:firstLine="0"/>
                    <w:jc w:val="left"/>
                    <w:rPr>
                      <w:b/>
                      <w:sz w:val="21"/>
                    </w:rPr>
                  </w:pPr>
                  <w:r>
                    <w:rPr>
                      <w:b/>
                      <w:sz w:val="21"/>
                    </w:rPr>
                    <w:t>12．</w:t>
                    <w:tab/>
                    <w:t>特定重大疾病的定义</w:t>
                  </w:r>
                </w:p>
              </w:txbxContent>
            </v:textbox>
            <v:fill type="solid"/>
            <w10:wrap type="topAndBottom"/>
          </v:shape>
        </w:pict>
      </w:r>
    </w:p>
    <w:p>
      <w:pPr>
        <w:pStyle w:val="BodyText"/>
        <w:spacing w:before="12"/>
        <w:rPr>
          <w:sz w:val="5"/>
        </w:rPr>
      </w:pPr>
    </w:p>
    <w:p>
      <w:pPr>
        <w:spacing w:after="0"/>
        <w:rPr>
          <w:sz w:val="5"/>
        </w:rPr>
        <w:sectPr>
          <w:pgSz w:w="11910" w:h="16840"/>
          <w:pgMar w:top="1400" w:bottom="280" w:left="1080" w:right="1060"/>
        </w:sectPr>
      </w:pPr>
    </w:p>
    <w:p>
      <w:pPr>
        <w:tabs>
          <w:tab w:pos="1380" w:val="left" w:leader="none"/>
        </w:tabs>
        <w:spacing w:line="273" w:lineRule="auto" w:before="36"/>
        <w:ind w:left="1380" w:right="0" w:hanging="1172"/>
        <w:jc w:val="left"/>
        <w:rPr>
          <w:b/>
          <w:sz w:val="21"/>
        </w:rPr>
      </w:pPr>
      <w:r>
        <w:rPr>
          <w:b/>
          <w:sz w:val="21"/>
        </w:rPr>
        <w:t>12.1</w:t>
        <w:tab/>
        <w:t>特定重大疾病的定 义</w:t>
      </w:r>
    </w:p>
    <w:p>
      <w:pPr>
        <w:pStyle w:val="BodyText"/>
        <w:spacing w:line="273" w:lineRule="auto" w:before="36"/>
        <w:ind w:left="209" w:right="225" w:firstLine="2"/>
        <w:jc w:val="both"/>
      </w:pPr>
      <w:r>
        <w:rPr/>
        <w:br w:type="column"/>
      </w:r>
      <w:r>
        <w:rPr/>
        <w:t>本合同所保障的特定重大疾病是指被保险人在本合同有效期间内经专科医生明确诊断初次患下列疾病或初次达到下列疾病状态或在医院初次接受下列手术：</w:t>
      </w:r>
    </w:p>
    <w:tbl>
      <w:tblPr>
        <w:tblW w:w="0" w:type="auto"/>
        <w:jc w:val="left"/>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3"/>
        <w:gridCol w:w="2040"/>
        <w:gridCol w:w="2043"/>
      </w:tblGrid>
      <w:tr>
        <w:trPr>
          <w:trHeight w:val="311" w:hRule="atLeast"/>
        </w:trPr>
        <w:tc>
          <w:tcPr>
            <w:tcW w:w="2043" w:type="dxa"/>
          </w:tcPr>
          <w:p>
            <w:pPr>
              <w:pStyle w:val="TableParagraph"/>
              <w:spacing w:line="262" w:lineRule="exact"/>
              <w:ind w:left="107"/>
              <w:rPr>
                <w:b/>
                <w:sz w:val="21"/>
              </w:rPr>
            </w:pPr>
            <w:r>
              <w:rPr>
                <w:b/>
                <w:sz w:val="21"/>
              </w:rPr>
              <w:t>男性特定重大疾病</w:t>
            </w:r>
          </w:p>
        </w:tc>
        <w:tc>
          <w:tcPr>
            <w:tcW w:w="2040" w:type="dxa"/>
          </w:tcPr>
          <w:p>
            <w:pPr>
              <w:pStyle w:val="TableParagraph"/>
              <w:spacing w:line="262" w:lineRule="exact"/>
              <w:ind w:left="105"/>
              <w:rPr>
                <w:b/>
                <w:sz w:val="21"/>
              </w:rPr>
            </w:pPr>
            <w:r>
              <w:rPr>
                <w:b/>
                <w:sz w:val="21"/>
              </w:rPr>
              <w:t>女性特定重大疾病</w:t>
            </w:r>
          </w:p>
        </w:tc>
        <w:tc>
          <w:tcPr>
            <w:tcW w:w="2043" w:type="dxa"/>
          </w:tcPr>
          <w:p>
            <w:pPr>
              <w:pStyle w:val="TableParagraph"/>
              <w:spacing w:line="262" w:lineRule="exact"/>
              <w:ind w:left="107"/>
              <w:rPr>
                <w:b/>
                <w:sz w:val="21"/>
              </w:rPr>
            </w:pPr>
            <w:r>
              <w:rPr>
                <w:b/>
                <w:sz w:val="21"/>
              </w:rPr>
              <w:t>少儿特定重大疾病</w:t>
            </w:r>
          </w:p>
        </w:tc>
      </w:tr>
      <w:tr>
        <w:trPr>
          <w:trHeight w:val="312" w:hRule="atLeast"/>
        </w:trPr>
        <w:tc>
          <w:tcPr>
            <w:tcW w:w="2043" w:type="dxa"/>
          </w:tcPr>
          <w:p>
            <w:pPr>
              <w:pStyle w:val="TableParagraph"/>
              <w:spacing w:line="263" w:lineRule="exact"/>
              <w:ind w:left="107"/>
              <w:rPr>
                <w:sz w:val="21"/>
              </w:rPr>
            </w:pPr>
            <w:r>
              <w:rPr>
                <w:sz w:val="21"/>
              </w:rPr>
              <w:t>前列腺癌</w:t>
            </w:r>
          </w:p>
        </w:tc>
        <w:tc>
          <w:tcPr>
            <w:tcW w:w="2040" w:type="dxa"/>
          </w:tcPr>
          <w:p>
            <w:pPr>
              <w:pStyle w:val="TableParagraph"/>
              <w:spacing w:line="263" w:lineRule="exact"/>
              <w:ind w:left="105"/>
              <w:rPr>
                <w:sz w:val="21"/>
              </w:rPr>
            </w:pPr>
            <w:r>
              <w:rPr>
                <w:sz w:val="21"/>
              </w:rPr>
              <w:t>乳腺癌</w:t>
            </w:r>
          </w:p>
        </w:tc>
        <w:tc>
          <w:tcPr>
            <w:tcW w:w="2043" w:type="dxa"/>
          </w:tcPr>
          <w:p>
            <w:pPr>
              <w:pStyle w:val="TableParagraph"/>
              <w:spacing w:line="263" w:lineRule="exact"/>
              <w:ind w:left="107"/>
              <w:rPr>
                <w:sz w:val="21"/>
              </w:rPr>
            </w:pPr>
            <w:r>
              <w:rPr>
                <w:sz w:val="21"/>
              </w:rPr>
              <w:t>严重川崎病</w:t>
            </w:r>
          </w:p>
        </w:tc>
      </w:tr>
      <w:tr>
        <w:trPr>
          <w:trHeight w:val="311" w:hRule="atLeast"/>
        </w:trPr>
        <w:tc>
          <w:tcPr>
            <w:tcW w:w="2043" w:type="dxa"/>
          </w:tcPr>
          <w:p>
            <w:pPr>
              <w:pStyle w:val="TableParagraph"/>
              <w:spacing w:line="262" w:lineRule="exact"/>
              <w:ind w:left="107"/>
              <w:rPr>
                <w:sz w:val="21"/>
              </w:rPr>
            </w:pPr>
            <w:r>
              <w:rPr>
                <w:sz w:val="21"/>
              </w:rPr>
              <w:t>阴茎癌</w:t>
            </w:r>
          </w:p>
        </w:tc>
        <w:tc>
          <w:tcPr>
            <w:tcW w:w="2040" w:type="dxa"/>
          </w:tcPr>
          <w:p>
            <w:pPr>
              <w:pStyle w:val="TableParagraph"/>
              <w:spacing w:line="262" w:lineRule="exact"/>
              <w:ind w:left="105"/>
              <w:rPr>
                <w:sz w:val="21"/>
              </w:rPr>
            </w:pPr>
            <w:r>
              <w:rPr>
                <w:sz w:val="21"/>
              </w:rPr>
              <w:t>子宫癌</w:t>
            </w:r>
          </w:p>
        </w:tc>
        <w:tc>
          <w:tcPr>
            <w:tcW w:w="2043" w:type="dxa"/>
          </w:tcPr>
          <w:p>
            <w:pPr>
              <w:pStyle w:val="TableParagraph"/>
              <w:spacing w:line="262" w:lineRule="exact"/>
              <w:ind w:left="107"/>
              <w:rPr>
                <w:sz w:val="21"/>
              </w:rPr>
            </w:pPr>
            <w:r>
              <w:rPr>
                <w:sz w:val="21"/>
              </w:rPr>
              <w:t>重症手足口病</w:t>
            </w:r>
          </w:p>
        </w:tc>
      </w:tr>
      <w:tr>
        <w:trPr>
          <w:trHeight w:val="626" w:hRule="atLeast"/>
        </w:trPr>
        <w:tc>
          <w:tcPr>
            <w:tcW w:w="2043" w:type="dxa"/>
          </w:tcPr>
          <w:p>
            <w:pPr>
              <w:pStyle w:val="TableParagraph"/>
              <w:spacing w:line="265" w:lineRule="exact"/>
              <w:ind w:left="107"/>
              <w:rPr>
                <w:sz w:val="21"/>
              </w:rPr>
            </w:pPr>
            <w:r>
              <w:rPr>
                <w:sz w:val="21"/>
              </w:rPr>
              <w:t>睾丸癌</w:t>
            </w:r>
          </w:p>
        </w:tc>
        <w:tc>
          <w:tcPr>
            <w:tcW w:w="2040" w:type="dxa"/>
          </w:tcPr>
          <w:p>
            <w:pPr>
              <w:pStyle w:val="TableParagraph"/>
              <w:spacing w:line="265" w:lineRule="exact"/>
              <w:ind w:left="105"/>
              <w:rPr>
                <w:sz w:val="21"/>
              </w:rPr>
            </w:pPr>
            <w:r>
              <w:rPr>
                <w:sz w:val="21"/>
              </w:rPr>
              <w:t>宫颈癌</w:t>
            </w:r>
          </w:p>
        </w:tc>
        <w:tc>
          <w:tcPr>
            <w:tcW w:w="2043" w:type="dxa"/>
          </w:tcPr>
          <w:p>
            <w:pPr>
              <w:pStyle w:val="TableParagraph"/>
              <w:spacing w:line="273" w:lineRule="auto"/>
              <w:ind w:left="107" w:right="96"/>
              <w:rPr>
                <w:sz w:val="21"/>
              </w:rPr>
            </w:pPr>
            <w:r>
              <w:rPr>
                <w:sz w:val="21"/>
              </w:rPr>
              <w:t>严重幼年型类风湿关节炎</w:t>
            </w:r>
          </w:p>
        </w:tc>
      </w:tr>
      <w:tr>
        <w:trPr>
          <w:trHeight w:val="311" w:hRule="atLeast"/>
        </w:trPr>
        <w:tc>
          <w:tcPr>
            <w:tcW w:w="2043" w:type="dxa"/>
          </w:tcPr>
          <w:p>
            <w:pPr>
              <w:pStyle w:val="TableParagraph"/>
              <w:spacing w:line="262" w:lineRule="exact"/>
              <w:ind w:left="107"/>
              <w:rPr>
                <w:sz w:val="21"/>
              </w:rPr>
            </w:pPr>
            <w:r>
              <w:rPr>
                <w:sz w:val="21"/>
              </w:rPr>
              <w:t>附睾癌</w:t>
            </w:r>
          </w:p>
        </w:tc>
        <w:tc>
          <w:tcPr>
            <w:tcW w:w="2040" w:type="dxa"/>
          </w:tcPr>
          <w:p>
            <w:pPr>
              <w:pStyle w:val="TableParagraph"/>
              <w:spacing w:line="262" w:lineRule="exact"/>
              <w:ind w:left="105"/>
              <w:rPr>
                <w:sz w:val="21"/>
              </w:rPr>
            </w:pPr>
            <w:r>
              <w:rPr>
                <w:sz w:val="21"/>
              </w:rPr>
              <w:t>卵巢癌</w:t>
            </w:r>
          </w:p>
        </w:tc>
        <w:tc>
          <w:tcPr>
            <w:tcW w:w="2043" w:type="dxa"/>
          </w:tcPr>
          <w:p>
            <w:pPr>
              <w:pStyle w:val="TableParagraph"/>
              <w:spacing w:line="262" w:lineRule="exact"/>
              <w:ind w:left="107"/>
              <w:rPr>
                <w:sz w:val="21"/>
              </w:rPr>
            </w:pPr>
            <w:r>
              <w:rPr>
                <w:sz w:val="21"/>
              </w:rPr>
              <w:t>严重Ⅰ型糖尿病</w:t>
            </w:r>
          </w:p>
        </w:tc>
      </w:tr>
      <w:tr>
        <w:trPr>
          <w:trHeight w:val="623" w:hRule="atLeast"/>
        </w:trPr>
        <w:tc>
          <w:tcPr>
            <w:tcW w:w="2043" w:type="dxa"/>
          </w:tcPr>
          <w:p>
            <w:pPr>
              <w:pStyle w:val="TableParagraph"/>
              <w:spacing w:line="262" w:lineRule="exact"/>
              <w:ind w:left="107"/>
              <w:rPr>
                <w:sz w:val="21"/>
              </w:rPr>
            </w:pPr>
            <w:r>
              <w:rPr>
                <w:sz w:val="21"/>
              </w:rPr>
              <w:t>输精管癌</w:t>
            </w:r>
          </w:p>
        </w:tc>
        <w:tc>
          <w:tcPr>
            <w:tcW w:w="2040" w:type="dxa"/>
          </w:tcPr>
          <w:p>
            <w:pPr>
              <w:pStyle w:val="TableParagraph"/>
              <w:spacing w:line="262" w:lineRule="exact"/>
              <w:ind w:left="105"/>
              <w:rPr>
                <w:sz w:val="21"/>
              </w:rPr>
            </w:pPr>
            <w:r>
              <w:rPr>
                <w:sz w:val="21"/>
              </w:rPr>
              <w:t>输卵管癌</w:t>
            </w:r>
          </w:p>
        </w:tc>
        <w:tc>
          <w:tcPr>
            <w:tcW w:w="2043" w:type="dxa"/>
          </w:tcPr>
          <w:p>
            <w:pPr>
              <w:pStyle w:val="TableParagraph"/>
              <w:spacing w:line="273" w:lineRule="auto"/>
              <w:ind w:left="107" w:right="96"/>
              <w:rPr>
                <w:sz w:val="21"/>
              </w:rPr>
            </w:pPr>
            <w:r>
              <w:rPr>
                <w:sz w:val="21"/>
              </w:rPr>
              <w:t>特定年龄的严重哮喘</w:t>
            </w:r>
          </w:p>
        </w:tc>
      </w:tr>
      <w:tr>
        <w:trPr>
          <w:trHeight w:val="311" w:hRule="atLeast"/>
        </w:trPr>
        <w:tc>
          <w:tcPr>
            <w:tcW w:w="2043" w:type="dxa"/>
          </w:tcPr>
          <w:p>
            <w:pPr>
              <w:pStyle w:val="TableParagraph"/>
              <w:spacing w:line="262" w:lineRule="exact"/>
              <w:ind w:left="107"/>
              <w:rPr>
                <w:sz w:val="21"/>
              </w:rPr>
            </w:pPr>
            <w:r>
              <w:rPr>
                <w:sz w:val="21"/>
              </w:rPr>
              <w:t>肝癌</w:t>
            </w:r>
          </w:p>
        </w:tc>
        <w:tc>
          <w:tcPr>
            <w:tcW w:w="2040" w:type="dxa"/>
          </w:tcPr>
          <w:p>
            <w:pPr>
              <w:pStyle w:val="TableParagraph"/>
              <w:spacing w:line="262" w:lineRule="exact"/>
              <w:ind w:left="105"/>
              <w:rPr>
                <w:sz w:val="21"/>
              </w:rPr>
            </w:pPr>
            <w:r>
              <w:rPr>
                <w:sz w:val="21"/>
              </w:rPr>
              <w:t>阴道癌</w:t>
            </w:r>
          </w:p>
        </w:tc>
        <w:tc>
          <w:tcPr>
            <w:tcW w:w="2043" w:type="dxa"/>
          </w:tcPr>
          <w:p>
            <w:pPr>
              <w:pStyle w:val="TableParagraph"/>
              <w:spacing w:line="262" w:lineRule="exact"/>
              <w:ind w:left="107"/>
              <w:rPr>
                <w:sz w:val="21"/>
              </w:rPr>
            </w:pPr>
            <w:r>
              <w:rPr>
                <w:sz w:val="21"/>
              </w:rPr>
              <w:t>骨生长不全症</w:t>
            </w:r>
          </w:p>
        </w:tc>
      </w:tr>
      <w:tr>
        <w:trPr>
          <w:trHeight w:val="623" w:hRule="atLeast"/>
        </w:trPr>
        <w:tc>
          <w:tcPr>
            <w:tcW w:w="2043" w:type="dxa"/>
          </w:tcPr>
          <w:p>
            <w:pPr>
              <w:pStyle w:val="TableParagraph"/>
              <w:spacing w:line="262" w:lineRule="exact"/>
              <w:ind w:left="107"/>
              <w:rPr>
                <w:sz w:val="21"/>
              </w:rPr>
            </w:pPr>
            <w:r>
              <w:rPr>
                <w:sz w:val="21"/>
              </w:rPr>
              <w:t>肺癌</w:t>
            </w:r>
          </w:p>
        </w:tc>
        <w:tc>
          <w:tcPr>
            <w:tcW w:w="2040" w:type="dxa"/>
          </w:tcPr>
          <w:p>
            <w:pPr>
              <w:pStyle w:val="TableParagraph"/>
              <w:spacing w:line="262" w:lineRule="exact"/>
              <w:ind w:left="105"/>
              <w:rPr>
                <w:sz w:val="21"/>
              </w:rPr>
            </w:pPr>
            <w:r>
              <w:rPr>
                <w:sz w:val="21"/>
              </w:rPr>
              <w:t>外阴癌</w:t>
            </w:r>
          </w:p>
        </w:tc>
        <w:tc>
          <w:tcPr>
            <w:tcW w:w="2043" w:type="dxa"/>
          </w:tcPr>
          <w:p>
            <w:pPr>
              <w:pStyle w:val="TableParagraph"/>
              <w:spacing w:line="273" w:lineRule="auto"/>
              <w:ind w:left="107" w:right="96"/>
              <w:rPr>
                <w:sz w:val="21"/>
              </w:rPr>
            </w:pPr>
            <w:r>
              <w:rPr>
                <w:sz w:val="21"/>
              </w:rPr>
              <w:t>特定年龄的脊髓肌肉萎缩症</w:t>
            </w:r>
          </w:p>
        </w:tc>
      </w:tr>
      <w:tr>
        <w:trPr>
          <w:trHeight w:val="624" w:hRule="atLeast"/>
        </w:trPr>
        <w:tc>
          <w:tcPr>
            <w:tcW w:w="2043" w:type="dxa"/>
          </w:tcPr>
          <w:p>
            <w:pPr>
              <w:pStyle w:val="TableParagraph"/>
              <w:spacing w:line="273" w:lineRule="auto"/>
              <w:ind w:left="107" w:right="98"/>
              <w:rPr>
                <w:sz w:val="21"/>
              </w:rPr>
            </w:pPr>
            <w:r>
              <w:rPr>
                <w:sz w:val="21"/>
              </w:rPr>
              <w:t>重大器官移植术或造血干细胞移植术</w:t>
            </w:r>
          </w:p>
        </w:tc>
        <w:tc>
          <w:tcPr>
            <w:tcW w:w="2040" w:type="dxa"/>
          </w:tcPr>
          <w:p>
            <w:pPr>
              <w:pStyle w:val="TableParagraph"/>
              <w:spacing w:line="263" w:lineRule="exact"/>
              <w:ind w:left="105"/>
              <w:rPr>
                <w:sz w:val="21"/>
              </w:rPr>
            </w:pPr>
            <w:r>
              <w:rPr>
                <w:sz w:val="21"/>
              </w:rPr>
              <w:t>肺癌</w:t>
            </w:r>
          </w:p>
        </w:tc>
        <w:tc>
          <w:tcPr>
            <w:tcW w:w="2043" w:type="dxa"/>
          </w:tcPr>
          <w:p>
            <w:pPr>
              <w:pStyle w:val="TableParagraph"/>
              <w:spacing w:line="263" w:lineRule="exact"/>
              <w:ind w:left="107"/>
              <w:rPr>
                <w:sz w:val="21"/>
              </w:rPr>
            </w:pPr>
            <w:r>
              <w:rPr>
                <w:sz w:val="21"/>
              </w:rPr>
              <w:t>白血病</w:t>
            </w:r>
          </w:p>
        </w:tc>
      </w:tr>
      <w:tr>
        <w:trPr>
          <w:trHeight w:val="937" w:hRule="atLeast"/>
        </w:trPr>
        <w:tc>
          <w:tcPr>
            <w:tcW w:w="2043" w:type="dxa"/>
          </w:tcPr>
          <w:p>
            <w:pPr>
              <w:pStyle w:val="TableParagraph"/>
              <w:spacing w:line="273" w:lineRule="auto"/>
              <w:ind w:left="107" w:right="96"/>
              <w:jc w:val="both"/>
              <w:rPr>
                <w:sz w:val="21"/>
              </w:rPr>
            </w:pPr>
            <w:r>
              <w:rPr>
                <w:spacing w:val="-15"/>
                <w:sz w:val="21"/>
              </w:rPr>
              <w:t>终末期肾病</w:t>
            </w:r>
            <w:r>
              <w:rPr>
                <w:spacing w:val="-3"/>
                <w:sz w:val="21"/>
              </w:rPr>
              <w:t>（</w:t>
            </w:r>
            <w:r>
              <w:rPr>
                <w:spacing w:val="-2"/>
                <w:sz w:val="21"/>
              </w:rPr>
              <w:t>或称慢</w:t>
            </w:r>
            <w:r>
              <w:rPr>
                <w:spacing w:val="15"/>
                <w:sz w:val="21"/>
              </w:rPr>
              <w:t>性肾功能衰竭尿毒症期）</w:t>
            </w:r>
          </w:p>
        </w:tc>
        <w:tc>
          <w:tcPr>
            <w:tcW w:w="2040" w:type="dxa"/>
          </w:tcPr>
          <w:p>
            <w:pPr>
              <w:pStyle w:val="TableParagraph"/>
              <w:spacing w:line="273" w:lineRule="auto"/>
              <w:ind w:left="105" w:right="95"/>
              <w:rPr>
                <w:sz w:val="21"/>
              </w:rPr>
            </w:pPr>
            <w:r>
              <w:rPr>
                <w:sz w:val="21"/>
              </w:rPr>
              <w:t>重大器官移植术或造血干细胞移植术</w:t>
            </w:r>
          </w:p>
        </w:tc>
        <w:tc>
          <w:tcPr>
            <w:tcW w:w="2043" w:type="dxa"/>
          </w:tcPr>
          <w:p>
            <w:pPr>
              <w:pStyle w:val="TableParagraph"/>
              <w:spacing w:line="265" w:lineRule="exact"/>
              <w:ind w:left="107"/>
              <w:rPr>
                <w:sz w:val="21"/>
              </w:rPr>
            </w:pPr>
            <w:r>
              <w:rPr>
                <w:sz w:val="21"/>
              </w:rPr>
              <w:t>细菌性脑脊髓膜炎</w:t>
            </w:r>
          </w:p>
        </w:tc>
      </w:tr>
      <w:tr>
        <w:trPr>
          <w:trHeight w:val="935" w:hRule="atLeast"/>
        </w:trPr>
        <w:tc>
          <w:tcPr>
            <w:tcW w:w="2043" w:type="dxa"/>
          </w:tcPr>
          <w:p>
            <w:pPr>
              <w:pStyle w:val="TableParagraph"/>
              <w:spacing w:line="262" w:lineRule="exact"/>
              <w:ind w:left="107"/>
              <w:rPr>
                <w:sz w:val="21"/>
              </w:rPr>
            </w:pPr>
            <w:r>
              <w:rPr>
                <w:sz w:val="21"/>
              </w:rPr>
              <w:t>急性心肌梗塞</w:t>
            </w:r>
          </w:p>
        </w:tc>
        <w:tc>
          <w:tcPr>
            <w:tcW w:w="2040" w:type="dxa"/>
          </w:tcPr>
          <w:p>
            <w:pPr>
              <w:pStyle w:val="TableParagraph"/>
              <w:spacing w:line="273" w:lineRule="auto"/>
              <w:ind w:left="105" w:right="93"/>
              <w:jc w:val="both"/>
              <w:rPr>
                <w:sz w:val="21"/>
              </w:rPr>
            </w:pPr>
            <w:r>
              <w:rPr>
                <w:spacing w:val="-15"/>
                <w:sz w:val="21"/>
              </w:rPr>
              <w:t>终末期肾病</w:t>
            </w:r>
            <w:r>
              <w:rPr>
                <w:sz w:val="21"/>
              </w:rPr>
              <w:t>（</w:t>
            </w:r>
            <w:r>
              <w:rPr>
                <w:spacing w:val="-2"/>
                <w:sz w:val="21"/>
              </w:rPr>
              <w:t>或称慢</w:t>
            </w:r>
            <w:r>
              <w:rPr>
                <w:spacing w:val="15"/>
                <w:sz w:val="21"/>
              </w:rPr>
              <w:t>性肾功能衰竭尿毒症期）</w:t>
            </w:r>
          </w:p>
        </w:tc>
        <w:tc>
          <w:tcPr>
            <w:tcW w:w="2043" w:type="dxa"/>
          </w:tcPr>
          <w:p>
            <w:pPr>
              <w:pStyle w:val="TableParagraph"/>
              <w:spacing w:line="273" w:lineRule="auto"/>
              <w:ind w:left="107" w:right="96"/>
              <w:rPr>
                <w:sz w:val="21"/>
              </w:rPr>
            </w:pPr>
            <w:r>
              <w:rPr>
                <w:sz w:val="21"/>
              </w:rPr>
              <w:t>特定年龄的严重肠道疾病并发症</w:t>
            </w:r>
          </w:p>
        </w:tc>
      </w:tr>
      <w:tr>
        <w:trPr>
          <w:trHeight w:val="936" w:hRule="atLeast"/>
        </w:trPr>
        <w:tc>
          <w:tcPr>
            <w:tcW w:w="2043" w:type="dxa"/>
          </w:tcPr>
          <w:p>
            <w:pPr>
              <w:pStyle w:val="TableParagraph"/>
              <w:spacing w:line="273" w:lineRule="auto"/>
              <w:ind w:left="107" w:right="96"/>
              <w:jc w:val="both"/>
              <w:rPr>
                <w:sz w:val="21"/>
              </w:rPr>
            </w:pPr>
            <w:r>
              <w:rPr>
                <w:spacing w:val="-12"/>
                <w:sz w:val="21"/>
              </w:rPr>
              <w:t>冠状动脉搭桥术</w:t>
            </w:r>
            <w:r>
              <w:rPr>
                <w:spacing w:val="-3"/>
                <w:sz w:val="21"/>
              </w:rPr>
              <w:t>（</w:t>
            </w:r>
            <w:r>
              <w:rPr>
                <w:sz w:val="21"/>
              </w:rPr>
              <w:t>或</w:t>
            </w:r>
            <w:r>
              <w:rPr>
                <w:spacing w:val="15"/>
                <w:sz w:val="21"/>
              </w:rPr>
              <w:t>称冠状动脉旁路移植术）</w:t>
            </w:r>
          </w:p>
        </w:tc>
        <w:tc>
          <w:tcPr>
            <w:tcW w:w="2040" w:type="dxa"/>
          </w:tcPr>
          <w:p>
            <w:pPr>
              <w:pStyle w:val="TableParagraph"/>
              <w:spacing w:line="262" w:lineRule="exact"/>
              <w:ind w:left="105"/>
              <w:rPr>
                <w:sz w:val="21"/>
              </w:rPr>
            </w:pPr>
            <w:r>
              <w:rPr>
                <w:sz w:val="21"/>
              </w:rPr>
              <w:t>急性心肌梗塞</w:t>
            </w:r>
          </w:p>
        </w:tc>
        <w:tc>
          <w:tcPr>
            <w:tcW w:w="2043" w:type="dxa"/>
          </w:tcPr>
          <w:p>
            <w:pPr>
              <w:pStyle w:val="TableParagraph"/>
              <w:ind w:left="0"/>
              <w:rPr>
                <w:rFonts w:ascii="Times New Roman"/>
                <w:sz w:val="20"/>
              </w:rPr>
            </w:pPr>
          </w:p>
        </w:tc>
      </w:tr>
      <w:tr>
        <w:trPr>
          <w:trHeight w:val="935" w:hRule="atLeast"/>
        </w:trPr>
        <w:tc>
          <w:tcPr>
            <w:tcW w:w="2043" w:type="dxa"/>
          </w:tcPr>
          <w:p>
            <w:pPr>
              <w:pStyle w:val="TableParagraph"/>
              <w:spacing w:line="262" w:lineRule="exact"/>
              <w:ind w:left="107"/>
              <w:rPr>
                <w:sz w:val="21"/>
              </w:rPr>
            </w:pPr>
            <w:r>
              <w:rPr>
                <w:sz w:val="21"/>
              </w:rPr>
              <w:t>脑中风后遗症</w:t>
            </w:r>
          </w:p>
        </w:tc>
        <w:tc>
          <w:tcPr>
            <w:tcW w:w="2040" w:type="dxa"/>
          </w:tcPr>
          <w:p>
            <w:pPr>
              <w:pStyle w:val="TableParagraph"/>
              <w:spacing w:line="273" w:lineRule="auto"/>
              <w:ind w:left="105" w:right="93"/>
              <w:jc w:val="both"/>
              <w:rPr>
                <w:sz w:val="21"/>
              </w:rPr>
            </w:pPr>
            <w:r>
              <w:rPr>
                <w:spacing w:val="-12"/>
                <w:sz w:val="21"/>
              </w:rPr>
              <w:t>冠状动脉搭桥术</w:t>
            </w:r>
            <w:r>
              <w:rPr>
                <w:sz w:val="21"/>
              </w:rPr>
              <w:t>（或</w:t>
            </w:r>
            <w:r>
              <w:rPr>
                <w:spacing w:val="15"/>
                <w:sz w:val="21"/>
              </w:rPr>
              <w:t>称冠状动脉旁路移植术）</w:t>
            </w:r>
          </w:p>
        </w:tc>
        <w:tc>
          <w:tcPr>
            <w:tcW w:w="2043" w:type="dxa"/>
          </w:tcPr>
          <w:p>
            <w:pPr>
              <w:pStyle w:val="TableParagraph"/>
              <w:ind w:left="0"/>
              <w:rPr>
                <w:rFonts w:ascii="Times New Roman"/>
                <w:sz w:val="20"/>
              </w:rPr>
            </w:pPr>
          </w:p>
        </w:tc>
      </w:tr>
      <w:tr>
        <w:trPr>
          <w:trHeight w:val="311" w:hRule="atLeast"/>
        </w:trPr>
        <w:tc>
          <w:tcPr>
            <w:tcW w:w="2043" w:type="dxa"/>
          </w:tcPr>
          <w:p>
            <w:pPr>
              <w:pStyle w:val="TableParagraph"/>
              <w:ind w:left="0"/>
              <w:rPr>
                <w:rFonts w:ascii="Times New Roman"/>
                <w:sz w:val="20"/>
              </w:rPr>
            </w:pPr>
          </w:p>
        </w:tc>
        <w:tc>
          <w:tcPr>
            <w:tcW w:w="2040" w:type="dxa"/>
          </w:tcPr>
          <w:p>
            <w:pPr>
              <w:pStyle w:val="TableParagraph"/>
              <w:spacing w:line="262" w:lineRule="exact"/>
              <w:ind w:left="105"/>
              <w:rPr>
                <w:sz w:val="21"/>
              </w:rPr>
            </w:pPr>
            <w:r>
              <w:rPr>
                <w:sz w:val="21"/>
              </w:rPr>
              <w:t>脑中风后遗症</w:t>
            </w:r>
          </w:p>
        </w:tc>
        <w:tc>
          <w:tcPr>
            <w:tcW w:w="2043" w:type="dxa"/>
          </w:tcPr>
          <w:p>
            <w:pPr>
              <w:pStyle w:val="TableParagraph"/>
              <w:ind w:left="0"/>
              <w:rPr>
                <w:rFonts w:ascii="Times New Roman"/>
                <w:sz w:val="20"/>
              </w:rPr>
            </w:pPr>
          </w:p>
        </w:tc>
      </w:tr>
    </w:tbl>
    <w:p>
      <w:pPr>
        <w:pStyle w:val="BodyText"/>
        <w:spacing w:before="7"/>
        <w:ind w:left="209"/>
      </w:pPr>
      <w:r>
        <w:rPr/>
        <w:t>注：</w:t>
      </w:r>
    </w:p>
    <w:p>
      <w:pPr>
        <w:pStyle w:val="BodyText"/>
        <w:spacing w:line="273" w:lineRule="auto" w:before="37"/>
        <w:ind w:left="209" w:right="167"/>
        <w:rPr>
          <w:rFonts w:ascii="黑体" w:hAnsi="黑体" w:eastAsia="黑体" w:hint="eastAsia"/>
        </w:rPr>
      </w:pPr>
      <w:r>
        <w:rPr/>
        <w:t>(1)前列腺癌、阴茎癌、睾丸癌、附睾癌、输精管癌、肺癌、肝癌、乳腺癌、子宫癌、宫颈癌、卵巢癌、输卵管癌、阴道癌、外阴癌14 种疾病</w:t>
      </w:r>
      <w:r>
        <w:rPr>
          <w:rFonts w:ascii="黑体" w:hAnsi="黑体" w:eastAsia="黑体" w:hint="eastAsia"/>
        </w:rPr>
        <w:t>须符合10.1.1中“恶性肿瘤”的定义。</w:t>
      </w:r>
    </w:p>
    <w:p>
      <w:pPr>
        <w:pStyle w:val="BodyText"/>
        <w:spacing w:line="273" w:lineRule="auto" w:before="7"/>
        <w:ind w:left="209" w:right="116"/>
        <w:jc w:val="both"/>
      </w:pPr>
      <w:r>
        <w:rPr/>
        <w:t>(2)</w:t>
      </w:r>
      <w:r>
        <w:rPr>
          <w:b/>
        </w:rPr>
        <w:t>白血病</w:t>
      </w:r>
      <w:r>
        <w:rPr>
          <w:spacing w:val="-5"/>
        </w:rPr>
        <w:t>是一种造血系统的恶性肿瘤</w:t>
      </w:r>
      <w:r>
        <w:rPr/>
        <w:t>（</w:t>
      </w:r>
      <w:r>
        <w:rPr>
          <w:spacing w:val="-10"/>
        </w:rPr>
        <w:t>属于“</w:t>
      </w:r>
      <w:r>
        <w:rPr>
          <w:spacing w:val="-4"/>
        </w:rPr>
        <w:t>10.1.1</w:t>
      </w:r>
      <w:r>
        <w:rPr>
          <w:spacing w:val="-3"/>
        </w:rPr>
        <w:t>”恶性肿瘤范</w:t>
      </w:r>
      <w:r>
        <w:rPr>
          <w:spacing w:val="-3"/>
          <w:w w:val="100"/>
        </w:rPr>
        <w:t>畴</w:t>
      </w:r>
      <w:r>
        <w:rPr>
          <w:spacing w:val="-106"/>
          <w:w w:val="100"/>
        </w:rPr>
        <w:t>）</w:t>
      </w:r>
      <w:r>
        <w:rPr>
          <w:spacing w:val="-3"/>
          <w:w w:val="100"/>
        </w:rPr>
        <w:t>，其主要表现为白血病细胞在骨髓或其他造血组织中大量克隆、</w:t>
      </w:r>
      <w:r>
        <w:rPr>
          <w:spacing w:val="-9"/>
        </w:rPr>
        <w:t>异常增生，大量聚集的白细胞抑制正常造血并浸润全身器官和组织。</w:t>
      </w:r>
      <w:r>
        <w:rPr>
          <w:spacing w:val="-5"/>
        </w:rPr>
        <w:t>周围白细胞有质和量的变化，出现相应临床表现。被保险人所患白</w:t>
      </w:r>
    </w:p>
    <w:p>
      <w:pPr>
        <w:spacing w:after="0" w:line="273" w:lineRule="auto"/>
        <w:jc w:val="both"/>
        <w:sectPr>
          <w:type w:val="continuous"/>
          <w:pgSz w:w="11910" w:h="16840"/>
          <w:pgMar w:top="200" w:bottom="280" w:left="1080" w:right="1060"/>
          <w:cols w:num="2" w:equalWidth="0">
            <w:col w:w="3071" w:space="117"/>
            <w:col w:w="6582"/>
          </w:cols>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8"/>
        <w:gridCol w:w="2274"/>
        <w:gridCol w:w="6432"/>
      </w:tblGrid>
      <w:tr>
        <w:trPr>
          <w:trHeight w:val="1338" w:hRule="atLeast"/>
        </w:trPr>
        <w:tc>
          <w:tcPr>
            <w:tcW w:w="838" w:type="dxa"/>
          </w:tcPr>
          <w:p>
            <w:pPr>
              <w:pStyle w:val="TableParagraph"/>
              <w:ind w:left="0"/>
              <w:rPr>
                <w:rFonts w:ascii="Times New Roman"/>
                <w:sz w:val="20"/>
              </w:rPr>
            </w:pPr>
          </w:p>
        </w:tc>
        <w:tc>
          <w:tcPr>
            <w:tcW w:w="2274" w:type="dxa"/>
          </w:tcPr>
          <w:p>
            <w:pPr>
              <w:pStyle w:val="TableParagraph"/>
              <w:ind w:left="0"/>
              <w:rPr>
                <w:rFonts w:ascii="Times New Roman"/>
                <w:sz w:val="20"/>
              </w:rPr>
            </w:pPr>
          </w:p>
        </w:tc>
        <w:tc>
          <w:tcPr>
            <w:tcW w:w="6432" w:type="dxa"/>
          </w:tcPr>
          <w:p>
            <w:pPr>
              <w:pStyle w:val="TableParagraph"/>
              <w:spacing w:line="203" w:lineRule="exact"/>
              <w:ind w:left="184"/>
              <w:rPr>
                <w:sz w:val="21"/>
              </w:rPr>
            </w:pPr>
            <w:r>
              <w:rPr>
                <w:sz w:val="21"/>
              </w:rPr>
              <w:t>血病必须根据骨髓的活组织检查和周围血象由儿科、血液科或肿瘤</w:t>
            </w:r>
          </w:p>
          <w:p>
            <w:pPr>
              <w:pStyle w:val="TableParagraph"/>
              <w:spacing w:line="273" w:lineRule="auto" w:before="37"/>
              <w:ind w:left="184" w:right="149"/>
              <w:rPr>
                <w:rFonts w:ascii="黑体" w:eastAsia="黑体" w:hint="eastAsia"/>
                <w:sz w:val="21"/>
              </w:rPr>
            </w:pPr>
            <w:r>
              <w:rPr>
                <w:sz w:val="21"/>
              </w:rPr>
              <w:t>科的专科医生确诊。</w:t>
            </w:r>
            <w:r>
              <w:rPr>
                <w:rFonts w:ascii="黑体" w:eastAsia="黑体" w:hint="eastAsia"/>
                <w:sz w:val="21"/>
              </w:rPr>
              <w:t>相当于Binet分期方案A期程度的慢性淋巴细胞白血病不在保障范围内。</w:t>
            </w:r>
          </w:p>
          <w:p>
            <w:pPr>
              <w:pStyle w:val="TableParagraph"/>
              <w:spacing w:before="7"/>
              <w:ind w:left="184"/>
              <w:rPr>
                <w:sz w:val="21"/>
              </w:rPr>
            </w:pPr>
            <w:r>
              <w:rPr>
                <w:sz w:val="21"/>
              </w:rPr>
              <w:t>(3)其他种类疾病定义和10.1对应的疾病定义一致。</w:t>
            </w:r>
          </w:p>
        </w:tc>
      </w:tr>
      <w:tr>
        <w:trPr>
          <w:trHeight w:val="311" w:hRule="atLeast"/>
        </w:trPr>
        <w:tc>
          <w:tcPr>
            <w:tcW w:w="838" w:type="dxa"/>
            <w:shd w:val="clear" w:color="auto" w:fill="A6A6A6"/>
          </w:tcPr>
          <w:p>
            <w:pPr>
              <w:pStyle w:val="TableParagraph"/>
              <w:spacing w:line="254" w:lineRule="exact"/>
              <w:ind w:left="108"/>
              <w:rPr>
                <w:b/>
                <w:sz w:val="21"/>
              </w:rPr>
            </w:pPr>
            <w:r>
              <w:rPr>
                <w:b/>
                <w:sz w:val="21"/>
              </w:rPr>
              <w:t>13．</w:t>
            </w:r>
          </w:p>
        </w:tc>
        <w:tc>
          <w:tcPr>
            <w:tcW w:w="2274" w:type="dxa"/>
            <w:shd w:val="clear" w:color="auto" w:fill="A6A6A6"/>
          </w:tcPr>
          <w:p>
            <w:pPr>
              <w:pStyle w:val="TableParagraph"/>
              <w:spacing w:line="254" w:lineRule="exact"/>
              <w:ind w:left="441"/>
              <w:rPr>
                <w:b/>
                <w:sz w:val="21"/>
              </w:rPr>
            </w:pPr>
            <w:r>
              <w:rPr>
                <w:b/>
                <w:sz w:val="21"/>
              </w:rPr>
              <w:t>释义</w:t>
            </w:r>
          </w:p>
        </w:tc>
        <w:tc>
          <w:tcPr>
            <w:tcW w:w="6432" w:type="dxa"/>
            <w:shd w:val="clear" w:color="auto" w:fill="A6A6A6"/>
          </w:tcPr>
          <w:p>
            <w:pPr>
              <w:pStyle w:val="TableParagraph"/>
              <w:ind w:left="0"/>
              <w:rPr>
                <w:rFonts w:ascii="Times New Roman"/>
                <w:sz w:val="20"/>
              </w:rPr>
            </w:pPr>
          </w:p>
        </w:tc>
      </w:tr>
      <w:tr>
        <w:trPr>
          <w:trHeight w:val="837" w:hRule="atLeast"/>
        </w:trPr>
        <w:tc>
          <w:tcPr>
            <w:tcW w:w="838" w:type="dxa"/>
          </w:tcPr>
          <w:p>
            <w:pPr>
              <w:pStyle w:val="TableParagraph"/>
              <w:spacing w:before="121"/>
              <w:ind w:left="108"/>
              <w:rPr>
                <w:b/>
                <w:sz w:val="21"/>
              </w:rPr>
            </w:pPr>
            <w:r>
              <w:rPr>
                <w:b/>
                <w:sz w:val="21"/>
              </w:rPr>
              <w:t>13.1</w:t>
            </w:r>
          </w:p>
        </w:tc>
        <w:tc>
          <w:tcPr>
            <w:tcW w:w="2274" w:type="dxa"/>
          </w:tcPr>
          <w:p>
            <w:pPr>
              <w:pStyle w:val="TableParagraph"/>
              <w:spacing w:before="121"/>
              <w:ind w:left="441"/>
              <w:rPr>
                <w:b/>
                <w:sz w:val="21"/>
              </w:rPr>
            </w:pPr>
            <w:r>
              <w:rPr>
                <w:b/>
                <w:sz w:val="21"/>
              </w:rPr>
              <w:t>保单年度</w:t>
            </w:r>
          </w:p>
        </w:tc>
        <w:tc>
          <w:tcPr>
            <w:tcW w:w="6432" w:type="dxa"/>
          </w:tcPr>
          <w:p>
            <w:pPr>
              <w:pStyle w:val="TableParagraph"/>
              <w:spacing w:line="273" w:lineRule="auto" w:before="121"/>
              <w:ind w:left="184" w:right="104"/>
              <w:rPr>
                <w:sz w:val="21"/>
              </w:rPr>
            </w:pPr>
            <w:r>
              <w:rPr>
                <w:sz w:val="21"/>
              </w:rPr>
              <w:t>从本合同生效日或保单周年日的零时起至下一个保单周年日前一日的 24 时止为一个保单年度。</w:t>
            </w:r>
          </w:p>
        </w:tc>
      </w:tr>
      <w:tr>
        <w:trPr>
          <w:trHeight w:val="765" w:hRule="atLeast"/>
        </w:trPr>
        <w:tc>
          <w:tcPr>
            <w:tcW w:w="838" w:type="dxa"/>
          </w:tcPr>
          <w:p>
            <w:pPr>
              <w:pStyle w:val="TableParagraph"/>
              <w:spacing w:before="49"/>
              <w:ind w:left="108"/>
              <w:rPr>
                <w:b/>
                <w:sz w:val="21"/>
              </w:rPr>
            </w:pPr>
            <w:r>
              <w:rPr>
                <w:b/>
                <w:sz w:val="21"/>
              </w:rPr>
              <w:t>13.2</w:t>
            </w:r>
          </w:p>
        </w:tc>
        <w:tc>
          <w:tcPr>
            <w:tcW w:w="2274" w:type="dxa"/>
          </w:tcPr>
          <w:p>
            <w:pPr>
              <w:pStyle w:val="TableParagraph"/>
              <w:spacing w:before="49"/>
              <w:ind w:left="441"/>
              <w:rPr>
                <w:b/>
                <w:sz w:val="21"/>
              </w:rPr>
            </w:pPr>
            <w:r>
              <w:rPr>
                <w:b/>
                <w:sz w:val="21"/>
              </w:rPr>
              <w:t>保单周年日</w:t>
            </w:r>
          </w:p>
        </w:tc>
        <w:tc>
          <w:tcPr>
            <w:tcW w:w="6432" w:type="dxa"/>
          </w:tcPr>
          <w:p>
            <w:pPr>
              <w:pStyle w:val="TableParagraph"/>
              <w:spacing w:line="273" w:lineRule="auto" w:before="49"/>
              <w:ind w:left="184" w:right="-15"/>
              <w:rPr>
                <w:sz w:val="21"/>
              </w:rPr>
            </w:pPr>
            <w:r>
              <w:rPr>
                <w:spacing w:val="-6"/>
                <w:sz w:val="21"/>
              </w:rPr>
              <w:t>指本合同生效日在合同生效后每年的对应日，不含合同生效日当日。</w:t>
            </w:r>
            <w:r>
              <w:rPr>
                <w:spacing w:val="-4"/>
                <w:sz w:val="21"/>
              </w:rPr>
              <w:t>如果当月没有对应的同一日，则以下个月第一日为对应日。</w:t>
            </w:r>
          </w:p>
        </w:tc>
      </w:tr>
      <w:tr>
        <w:trPr>
          <w:trHeight w:val="1079" w:hRule="atLeast"/>
        </w:trPr>
        <w:tc>
          <w:tcPr>
            <w:tcW w:w="838" w:type="dxa"/>
          </w:tcPr>
          <w:p>
            <w:pPr>
              <w:pStyle w:val="TableParagraph"/>
              <w:spacing w:before="49"/>
              <w:ind w:left="108"/>
              <w:rPr>
                <w:b/>
                <w:sz w:val="21"/>
              </w:rPr>
            </w:pPr>
            <w:r>
              <w:rPr>
                <w:b/>
                <w:sz w:val="21"/>
              </w:rPr>
              <w:t>13.3</w:t>
            </w:r>
          </w:p>
        </w:tc>
        <w:tc>
          <w:tcPr>
            <w:tcW w:w="2274" w:type="dxa"/>
          </w:tcPr>
          <w:p>
            <w:pPr>
              <w:pStyle w:val="TableParagraph"/>
              <w:spacing w:before="49"/>
              <w:ind w:left="441"/>
              <w:rPr>
                <w:b/>
                <w:sz w:val="21"/>
              </w:rPr>
            </w:pPr>
            <w:r>
              <w:rPr>
                <w:b/>
                <w:sz w:val="21"/>
              </w:rPr>
              <w:t>保险费约定支付日</w:t>
            </w:r>
          </w:p>
        </w:tc>
        <w:tc>
          <w:tcPr>
            <w:tcW w:w="6432" w:type="dxa"/>
          </w:tcPr>
          <w:p>
            <w:pPr>
              <w:pStyle w:val="TableParagraph"/>
              <w:spacing w:line="273" w:lineRule="auto" w:before="49"/>
              <w:ind w:left="184" w:right="100"/>
              <w:jc w:val="both"/>
              <w:rPr>
                <w:sz w:val="21"/>
              </w:rPr>
            </w:pPr>
            <w:r>
              <w:rPr>
                <w:spacing w:val="-11"/>
                <w:sz w:val="21"/>
              </w:rPr>
              <w:t>指保险费交费期间内本合同生效日在每月、每季、每半年或每年</w:t>
            </w:r>
            <w:r>
              <w:rPr>
                <w:spacing w:val="-3"/>
                <w:sz w:val="21"/>
              </w:rPr>
              <w:t>（</w:t>
            </w:r>
            <w:r>
              <w:rPr>
                <w:sz w:val="21"/>
              </w:rPr>
              <w:t>根</w:t>
            </w:r>
            <w:r>
              <w:rPr>
                <w:spacing w:val="-3"/>
                <w:sz w:val="21"/>
              </w:rPr>
              <w:t>据交费方式确定</w:t>
            </w:r>
            <w:r>
              <w:rPr>
                <w:sz w:val="21"/>
              </w:rPr>
              <w:t>）</w:t>
            </w:r>
            <w:r>
              <w:rPr>
                <w:spacing w:val="-3"/>
                <w:sz w:val="21"/>
              </w:rPr>
              <w:t>的对应日。若当月没有对应的同一日，则以该月最后一日为对应日。</w:t>
            </w:r>
          </w:p>
        </w:tc>
      </w:tr>
      <w:tr>
        <w:trPr>
          <w:trHeight w:val="766" w:hRule="atLeast"/>
        </w:trPr>
        <w:tc>
          <w:tcPr>
            <w:tcW w:w="838" w:type="dxa"/>
          </w:tcPr>
          <w:p>
            <w:pPr>
              <w:pStyle w:val="TableParagraph"/>
              <w:spacing w:before="50"/>
              <w:ind w:left="108"/>
              <w:rPr>
                <w:b/>
                <w:sz w:val="21"/>
              </w:rPr>
            </w:pPr>
            <w:r>
              <w:rPr>
                <w:b/>
                <w:sz w:val="21"/>
              </w:rPr>
              <w:t>13.4</w:t>
            </w:r>
          </w:p>
        </w:tc>
        <w:tc>
          <w:tcPr>
            <w:tcW w:w="2274" w:type="dxa"/>
          </w:tcPr>
          <w:p>
            <w:pPr>
              <w:pStyle w:val="TableParagraph"/>
              <w:spacing w:before="50"/>
              <w:ind w:left="441"/>
              <w:rPr>
                <w:b/>
                <w:sz w:val="21"/>
              </w:rPr>
            </w:pPr>
            <w:r>
              <w:rPr>
                <w:b/>
                <w:sz w:val="21"/>
              </w:rPr>
              <w:t>周岁</w:t>
            </w:r>
          </w:p>
        </w:tc>
        <w:tc>
          <w:tcPr>
            <w:tcW w:w="6432" w:type="dxa"/>
          </w:tcPr>
          <w:p>
            <w:pPr>
              <w:pStyle w:val="TableParagraph"/>
              <w:spacing w:line="273" w:lineRule="auto" w:before="50"/>
              <w:ind w:left="184" w:right="104"/>
              <w:rPr>
                <w:sz w:val="21"/>
              </w:rPr>
            </w:pPr>
            <w:r>
              <w:rPr>
                <w:sz w:val="21"/>
              </w:rPr>
              <w:t>指按有效身份证件中记载的出生日期计算的年龄，自出生之日起为零周岁，每经过一年增加一岁，不足一年的不计。</w:t>
            </w:r>
          </w:p>
        </w:tc>
      </w:tr>
      <w:tr>
        <w:trPr>
          <w:trHeight w:val="765" w:hRule="atLeast"/>
        </w:trPr>
        <w:tc>
          <w:tcPr>
            <w:tcW w:w="838" w:type="dxa"/>
          </w:tcPr>
          <w:p>
            <w:pPr>
              <w:pStyle w:val="TableParagraph"/>
              <w:spacing w:before="49"/>
              <w:ind w:left="108"/>
              <w:rPr>
                <w:b/>
                <w:sz w:val="21"/>
              </w:rPr>
            </w:pPr>
            <w:r>
              <w:rPr>
                <w:b/>
                <w:sz w:val="21"/>
              </w:rPr>
              <w:t>13.5</w:t>
            </w:r>
          </w:p>
        </w:tc>
        <w:tc>
          <w:tcPr>
            <w:tcW w:w="2274" w:type="dxa"/>
          </w:tcPr>
          <w:p>
            <w:pPr>
              <w:pStyle w:val="TableParagraph"/>
              <w:spacing w:before="49"/>
              <w:ind w:left="441"/>
              <w:rPr>
                <w:b/>
                <w:sz w:val="21"/>
              </w:rPr>
            </w:pPr>
            <w:r>
              <w:rPr>
                <w:b/>
                <w:sz w:val="21"/>
              </w:rPr>
              <w:t>有效身份证件</w:t>
            </w:r>
          </w:p>
        </w:tc>
        <w:tc>
          <w:tcPr>
            <w:tcW w:w="6432" w:type="dxa"/>
          </w:tcPr>
          <w:p>
            <w:pPr>
              <w:pStyle w:val="TableParagraph"/>
              <w:spacing w:line="273" w:lineRule="auto" w:before="49"/>
              <w:ind w:left="184" w:right="104"/>
              <w:rPr>
                <w:sz w:val="21"/>
              </w:rPr>
            </w:pPr>
            <w:r>
              <w:rPr>
                <w:sz w:val="21"/>
              </w:rPr>
              <w:t>指由政府主管部门规定的证明其身份的证件，如：居民身份证、按规定可使用的有效护照、军官证、警官证等证件。</w:t>
            </w:r>
          </w:p>
        </w:tc>
      </w:tr>
      <w:tr>
        <w:trPr>
          <w:trHeight w:val="1780" w:hRule="atLeast"/>
        </w:trPr>
        <w:tc>
          <w:tcPr>
            <w:tcW w:w="838" w:type="dxa"/>
          </w:tcPr>
          <w:p>
            <w:pPr>
              <w:pStyle w:val="TableParagraph"/>
              <w:spacing w:before="49"/>
              <w:ind w:left="108"/>
              <w:rPr>
                <w:b/>
                <w:sz w:val="21"/>
              </w:rPr>
            </w:pPr>
            <w:r>
              <w:rPr>
                <w:b/>
                <w:sz w:val="21"/>
              </w:rPr>
              <w:t>13.6</w:t>
            </w:r>
          </w:p>
        </w:tc>
        <w:tc>
          <w:tcPr>
            <w:tcW w:w="2274" w:type="dxa"/>
          </w:tcPr>
          <w:p>
            <w:pPr>
              <w:pStyle w:val="TableParagraph"/>
              <w:spacing w:before="49"/>
              <w:ind w:left="441"/>
              <w:rPr>
                <w:b/>
                <w:sz w:val="21"/>
              </w:rPr>
            </w:pPr>
            <w:r>
              <w:rPr>
                <w:b/>
                <w:sz w:val="21"/>
              </w:rPr>
              <w:t>意外伤害</w:t>
            </w:r>
          </w:p>
        </w:tc>
        <w:tc>
          <w:tcPr>
            <w:tcW w:w="6432" w:type="dxa"/>
          </w:tcPr>
          <w:p>
            <w:pPr>
              <w:pStyle w:val="TableParagraph"/>
              <w:spacing w:line="273" w:lineRule="auto" w:before="49"/>
              <w:ind w:left="184" w:right="104"/>
              <w:jc w:val="both"/>
              <w:rPr>
                <w:sz w:val="21"/>
              </w:rPr>
            </w:pPr>
            <w:r>
              <w:rPr>
                <w:sz w:val="21"/>
              </w:rPr>
              <w:t>指遭受外来的、突发的、非本意的、非疾病的客观事件直接致使身体受到的伤害。</w:t>
            </w:r>
          </w:p>
          <w:p>
            <w:pPr>
              <w:pStyle w:val="TableParagraph"/>
              <w:spacing w:line="273" w:lineRule="auto" w:before="85"/>
              <w:ind w:left="184" w:right="100"/>
              <w:jc w:val="both"/>
              <w:rPr>
                <w:sz w:val="21"/>
              </w:rPr>
            </w:pPr>
            <w:r>
              <w:rPr>
                <w:spacing w:val="-5"/>
                <w:sz w:val="21"/>
              </w:rPr>
              <w:t>本合同所述的意外伤害导致的身故，</w:t>
            </w:r>
            <w:r>
              <w:rPr>
                <w:rFonts w:ascii="黑体" w:hAnsi="黑体" w:eastAsia="黑体" w:hint="eastAsia"/>
                <w:spacing w:val="-3"/>
                <w:sz w:val="21"/>
              </w:rPr>
              <w:t>不包括猝死</w:t>
            </w:r>
            <w:r>
              <w:rPr>
                <w:spacing w:val="-19"/>
                <w:sz w:val="21"/>
              </w:rPr>
              <w:t>。“猝死”是指貌似</w:t>
            </w:r>
            <w:r>
              <w:rPr>
                <w:spacing w:val="-13"/>
                <w:sz w:val="21"/>
              </w:rPr>
              <w:t>健康的人因潜在疾病、机能障碍或其他原因在出现症状后 </w:t>
            </w:r>
            <w:r>
              <w:rPr>
                <w:sz w:val="21"/>
              </w:rPr>
              <w:t>24</w:t>
            </w:r>
            <w:r>
              <w:rPr>
                <w:spacing w:val="-12"/>
                <w:sz w:val="21"/>
              </w:rPr>
              <w:t> 小时内</w:t>
            </w:r>
            <w:r>
              <w:rPr>
                <w:spacing w:val="-6"/>
                <w:sz w:val="21"/>
              </w:rPr>
              <w:t>发生的非暴力性突然死亡。</w:t>
            </w:r>
          </w:p>
        </w:tc>
      </w:tr>
      <w:tr>
        <w:trPr>
          <w:trHeight w:val="2327" w:hRule="atLeast"/>
        </w:trPr>
        <w:tc>
          <w:tcPr>
            <w:tcW w:w="838" w:type="dxa"/>
          </w:tcPr>
          <w:p>
            <w:pPr>
              <w:pStyle w:val="TableParagraph"/>
              <w:spacing w:before="50"/>
              <w:ind w:left="108"/>
              <w:rPr>
                <w:b/>
                <w:sz w:val="21"/>
              </w:rPr>
            </w:pPr>
            <w:r>
              <w:rPr>
                <w:b/>
                <w:sz w:val="21"/>
              </w:rPr>
              <w:t>13.7</w:t>
            </w:r>
          </w:p>
        </w:tc>
        <w:tc>
          <w:tcPr>
            <w:tcW w:w="2274" w:type="dxa"/>
          </w:tcPr>
          <w:p>
            <w:pPr>
              <w:pStyle w:val="TableParagraph"/>
              <w:spacing w:before="50"/>
              <w:ind w:left="307"/>
              <w:rPr>
                <w:b/>
                <w:sz w:val="21"/>
              </w:rPr>
            </w:pPr>
            <w:r>
              <w:rPr>
                <w:b/>
                <w:sz w:val="21"/>
              </w:rPr>
              <w:t>约定医院</w:t>
            </w:r>
          </w:p>
        </w:tc>
        <w:tc>
          <w:tcPr>
            <w:tcW w:w="6432" w:type="dxa"/>
          </w:tcPr>
          <w:p>
            <w:pPr>
              <w:pStyle w:val="TableParagraph"/>
              <w:spacing w:line="273" w:lineRule="auto" w:before="50"/>
              <w:ind w:left="143" w:right="189"/>
              <w:jc w:val="both"/>
              <w:rPr>
                <w:sz w:val="21"/>
              </w:rPr>
            </w:pPr>
            <w:r>
              <w:rPr>
                <w:sz w:val="21"/>
              </w:rPr>
              <w:t>指经中华人民共和国卫生部门评审确定的二级或二级以上的医院， 但不包括精神病院及专供康复、休养、戒毒、戒酒、护理、养老等非以直接诊治病人为目的的医疗机构。该医院必须具有符合国家有关医院管理规则设置标准的医疗设备，且全天二十四小时有合格医师及护士驻院提供医疗及护理服务。当被保险人因遭受保险事故须急救时不受此限，但经急救处理病情稳定后，必须及时转入上述约定的医院治疗。</w:t>
            </w:r>
          </w:p>
        </w:tc>
      </w:tr>
      <w:tr>
        <w:trPr>
          <w:trHeight w:val="3841" w:hRule="atLeast"/>
        </w:trPr>
        <w:tc>
          <w:tcPr>
            <w:tcW w:w="838" w:type="dxa"/>
          </w:tcPr>
          <w:p>
            <w:pPr>
              <w:pStyle w:val="TableParagraph"/>
              <w:spacing w:before="49"/>
              <w:ind w:left="108"/>
              <w:rPr>
                <w:b/>
                <w:sz w:val="21"/>
              </w:rPr>
            </w:pPr>
            <w:r>
              <w:rPr>
                <w:b/>
                <w:sz w:val="21"/>
              </w:rPr>
              <w:t>13.8</w:t>
            </w:r>
          </w:p>
        </w:tc>
        <w:tc>
          <w:tcPr>
            <w:tcW w:w="2274" w:type="dxa"/>
          </w:tcPr>
          <w:p>
            <w:pPr>
              <w:pStyle w:val="TableParagraph"/>
              <w:spacing w:before="49"/>
              <w:ind w:left="321"/>
              <w:rPr>
                <w:b/>
                <w:sz w:val="21"/>
              </w:rPr>
            </w:pPr>
            <w:r>
              <w:rPr>
                <w:b/>
                <w:sz w:val="21"/>
              </w:rPr>
              <w:t>全残</w:t>
            </w:r>
          </w:p>
        </w:tc>
        <w:tc>
          <w:tcPr>
            <w:tcW w:w="6432" w:type="dxa"/>
          </w:tcPr>
          <w:p>
            <w:pPr>
              <w:pStyle w:val="TableParagraph"/>
              <w:spacing w:before="49"/>
              <w:ind w:left="184"/>
              <w:rPr>
                <w:sz w:val="21"/>
              </w:rPr>
            </w:pPr>
            <w:r>
              <w:rPr>
                <w:sz w:val="21"/>
              </w:rPr>
              <w:t>指至少满足下列情形之一者：</w:t>
            </w:r>
          </w:p>
          <w:p>
            <w:pPr>
              <w:pStyle w:val="TableParagraph"/>
              <w:spacing w:before="36"/>
              <w:ind w:left="184"/>
              <w:rPr>
                <w:sz w:val="21"/>
              </w:rPr>
            </w:pPr>
            <w:r>
              <w:rPr>
                <w:w w:val="100"/>
                <w:sz w:val="21"/>
              </w:rPr>
              <w:t>(1)</w:t>
            </w:r>
            <w:r>
              <w:rPr>
                <w:spacing w:val="-3"/>
                <w:w w:val="100"/>
                <w:sz w:val="21"/>
              </w:rPr>
              <w:t>双目永久完全失明的（</w:t>
            </w:r>
            <w:r>
              <w:rPr>
                <w:w w:val="100"/>
                <w:sz w:val="21"/>
              </w:rPr>
              <w:t>注①</w:t>
            </w:r>
            <w:r>
              <w:rPr>
                <w:spacing w:val="-108"/>
                <w:w w:val="100"/>
                <w:sz w:val="21"/>
              </w:rPr>
              <w:t>）</w:t>
            </w:r>
            <w:r>
              <w:rPr>
                <w:w w:val="100"/>
                <w:sz w:val="21"/>
              </w:rPr>
              <w:t>；</w:t>
            </w:r>
          </w:p>
          <w:p>
            <w:pPr>
              <w:pStyle w:val="TableParagraph"/>
              <w:spacing w:before="36"/>
              <w:ind w:left="184"/>
              <w:rPr>
                <w:sz w:val="21"/>
              </w:rPr>
            </w:pPr>
            <w:r>
              <w:rPr>
                <w:sz w:val="21"/>
              </w:rPr>
              <w:t>(2)两上肢腕关节以上或两下肢踝关节以上缺失的；</w:t>
            </w:r>
          </w:p>
          <w:p>
            <w:pPr>
              <w:pStyle w:val="TableParagraph"/>
              <w:spacing w:before="36"/>
              <w:ind w:left="184"/>
              <w:rPr>
                <w:sz w:val="21"/>
              </w:rPr>
            </w:pPr>
            <w:r>
              <w:rPr>
                <w:sz w:val="21"/>
              </w:rPr>
              <w:t>(3)一上肢腕关节以上及一下肢踝关节以上缺失的；</w:t>
            </w:r>
          </w:p>
          <w:p>
            <w:pPr>
              <w:pStyle w:val="TableParagraph"/>
              <w:spacing w:before="36"/>
              <w:ind w:left="184"/>
              <w:rPr>
                <w:sz w:val="21"/>
              </w:rPr>
            </w:pPr>
            <w:r>
              <w:rPr>
                <w:sz w:val="21"/>
              </w:rPr>
              <w:t>(4)一目永久完全失明及一上肢腕关节以上缺失的；</w:t>
            </w:r>
          </w:p>
          <w:p>
            <w:pPr>
              <w:pStyle w:val="TableParagraph"/>
              <w:spacing w:before="36"/>
              <w:ind w:left="184"/>
              <w:rPr>
                <w:sz w:val="21"/>
              </w:rPr>
            </w:pPr>
            <w:r>
              <w:rPr>
                <w:sz w:val="21"/>
              </w:rPr>
              <w:t>(5)一目永久完全失明及一下肢踝关节以上缺失的；</w:t>
            </w:r>
          </w:p>
          <w:p>
            <w:pPr>
              <w:pStyle w:val="TableParagraph"/>
              <w:spacing w:before="36"/>
              <w:ind w:left="184"/>
              <w:rPr>
                <w:sz w:val="21"/>
              </w:rPr>
            </w:pPr>
            <w:r>
              <w:rPr>
                <w:w w:val="100"/>
                <w:sz w:val="21"/>
              </w:rPr>
              <w:t>(6)</w:t>
            </w:r>
            <w:r>
              <w:rPr>
                <w:spacing w:val="-3"/>
                <w:w w:val="100"/>
                <w:sz w:val="21"/>
              </w:rPr>
              <w:t>四肢关节机能永久完全丧失的</w:t>
            </w:r>
            <w:r>
              <w:rPr>
                <w:w w:val="100"/>
                <w:sz w:val="21"/>
              </w:rPr>
              <w:t>（</w:t>
            </w:r>
            <w:r>
              <w:rPr>
                <w:spacing w:val="-2"/>
                <w:w w:val="100"/>
                <w:sz w:val="21"/>
              </w:rPr>
              <w:t>注②</w:t>
            </w:r>
            <w:r>
              <w:rPr>
                <w:spacing w:val="-108"/>
                <w:w w:val="100"/>
                <w:sz w:val="21"/>
              </w:rPr>
              <w:t>）</w:t>
            </w:r>
            <w:r>
              <w:rPr>
                <w:w w:val="100"/>
                <w:sz w:val="21"/>
              </w:rPr>
              <w:t>；</w:t>
            </w:r>
          </w:p>
          <w:p>
            <w:pPr>
              <w:pStyle w:val="TableParagraph"/>
              <w:spacing w:before="36"/>
              <w:ind w:left="184"/>
              <w:rPr>
                <w:sz w:val="21"/>
              </w:rPr>
            </w:pPr>
            <w:r>
              <w:rPr>
                <w:w w:val="100"/>
                <w:sz w:val="21"/>
              </w:rPr>
              <w:t>(7)</w:t>
            </w:r>
            <w:r>
              <w:rPr>
                <w:spacing w:val="-3"/>
                <w:w w:val="100"/>
                <w:sz w:val="21"/>
              </w:rPr>
              <w:t>咀嚼、吞咽机能永久完全丧失的（</w:t>
            </w:r>
            <w:r>
              <w:rPr>
                <w:spacing w:val="-2"/>
                <w:w w:val="100"/>
                <w:sz w:val="21"/>
              </w:rPr>
              <w:t>注③</w:t>
            </w:r>
            <w:r>
              <w:rPr>
                <w:spacing w:val="-106"/>
                <w:w w:val="100"/>
                <w:sz w:val="21"/>
              </w:rPr>
              <w:t>）</w:t>
            </w:r>
            <w:r>
              <w:rPr>
                <w:w w:val="100"/>
                <w:sz w:val="21"/>
              </w:rPr>
              <w:t>；</w:t>
            </w:r>
          </w:p>
          <w:p>
            <w:pPr>
              <w:pStyle w:val="TableParagraph"/>
              <w:spacing w:line="273" w:lineRule="auto" w:before="36"/>
              <w:ind w:left="184" w:right="48"/>
              <w:rPr>
                <w:sz w:val="21"/>
              </w:rPr>
            </w:pPr>
            <w:r>
              <w:rPr>
                <w:sz w:val="21"/>
              </w:rPr>
              <w:t>(8)中枢神经系统机能或胸、腹部脏器机能极度障碍，终身不能从事任何工作，为维持生命必要的日常生活活动，全需他人扶助的（注</w:t>
            </w:r>
          </w:p>
          <w:p>
            <w:pPr>
              <w:pStyle w:val="TableParagraph"/>
              <w:spacing w:before="7"/>
              <w:ind w:left="184"/>
              <w:rPr>
                <w:sz w:val="21"/>
              </w:rPr>
            </w:pPr>
            <w:r>
              <w:rPr>
                <w:w w:val="100"/>
                <w:sz w:val="21"/>
              </w:rPr>
              <w:t>④</w:t>
            </w:r>
            <w:r>
              <w:rPr>
                <w:spacing w:val="-106"/>
                <w:w w:val="100"/>
                <w:sz w:val="21"/>
              </w:rPr>
              <w:t>）</w:t>
            </w:r>
            <w:r>
              <w:rPr>
                <w:w w:val="100"/>
                <w:sz w:val="21"/>
              </w:rPr>
              <w:t>。</w:t>
            </w:r>
          </w:p>
          <w:p>
            <w:pPr>
              <w:pStyle w:val="TableParagraph"/>
              <w:spacing w:line="263" w:lineRule="exact" w:before="113"/>
              <w:ind w:left="184"/>
              <w:rPr>
                <w:sz w:val="21"/>
              </w:rPr>
            </w:pPr>
            <w:r>
              <w:rPr>
                <w:sz w:val="21"/>
              </w:rPr>
              <w:t>全残的鉴定应在治疗结束之后，由双方认可的二级及以上公立医院</w:t>
            </w:r>
          </w:p>
        </w:tc>
      </w:tr>
    </w:tbl>
    <w:p>
      <w:pPr>
        <w:spacing w:after="0" w:line="263" w:lineRule="exact"/>
        <w:rPr>
          <w:sz w:val="21"/>
        </w:rPr>
        <w:sectPr>
          <w:pgSz w:w="11910" w:h="16840"/>
          <w:pgMar w:top="1460" w:bottom="280" w:left="1080" w:right="10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0"/>
        <w:gridCol w:w="2281"/>
        <w:gridCol w:w="6569"/>
      </w:tblGrid>
      <w:tr>
        <w:trPr>
          <w:trHeight w:val="5169" w:hRule="atLeast"/>
        </w:trPr>
        <w:tc>
          <w:tcPr>
            <w:tcW w:w="990" w:type="dxa"/>
          </w:tcPr>
          <w:p>
            <w:pPr>
              <w:pStyle w:val="TableParagraph"/>
              <w:ind w:left="0"/>
              <w:rPr>
                <w:rFonts w:ascii="Times New Roman"/>
                <w:sz w:val="20"/>
              </w:rPr>
            </w:pPr>
          </w:p>
        </w:tc>
        <w:tc>
          <w:tcPr>
            <w:tcW w:w="2281" w:type="dxa"/>
          </w:tcPr>
          <w:p>
            <w:pPr>
              <w:pStyle w:val="TableParagraph"/>
              <w:ind w:left="0"/>
              <w:rPr>
                <w:rFonts w:ascii="Times New Roman"/>
                <w:sz w:val="20"/>
              </w:rPr>
            </w:pPr>
          </w:p>
        </w:tc>
        <w:tc>
          <w:tcPr>
            <w:tcW w:w="6569" w:type="dxa"/>
          </w:tcPr>
          <w:p>
            <w:pPr>
              <w:pStyle w:val="TableParagraph"/>
              <w:spacing w:line="203" w:lineRule="exact"/>
              <w:ind w:left="116"/>
              <w:rPr>
                <w:sz w:val="21"/>
              </w:rPr>
            </w:pPr>
            <w:r>
              <w:rPr>
                <w:sz w:val="21"/>
              </w:rPr>
              <w:t>（或有资质的司法鉴定机构）进行。如果自被保险人遭受意外伤害</w:t>
            </w:r>
          </w:p>
          <w:p>
            <w:pPr>
              <w:pStyle w:val="TableParagraph"/>
              <w:spacing w:line="338" w:lineRule="auto" w:before="37"/>
              <w:ind w:left="116" w:right="353"/>
              <w:jc w:val="both"/>
              <w:rPr>
                <w:sz w:val="21"/>
              </w:rPr>
            </w:pPr>
            <w:r>
              <w:rPr>
                <w:spacing w:val="-13"/>
                <w:sz w:val="21"/>
              </w:rPr>
              <w:t>之日起 </w:t>
            </w:r>
            <w:r>
              <w:rPr>
                <w:sz w:val="21"/>
              </w:rPr>
              <w:t>180</w:t>
            </w:r>
            <w:r>
              <w:rPr>
                <w:spacing w:val="-11"/>
                <w:sz w:val="21"/>
              </w:rPr>
              <w:t> 日后治疗仍未结束，按第 </w:t>
            </w:r>
            <w:r>
              <w:rPr>
                <w:sz w:val="21"/>
              </w:rPr>
              <w:t>180</w:t>
            </w:r>
            <w:r>
              <w:rPr>
                <w:spacing w:val="-8"/>
                <w:sz w:val="21"/>
              </w:rPr>
              <w:t> 日的身体情况进行鉴定。注：</w:t>
            </w:r>
          </w:p>
          <w:p>
            <w:pPr>
              <w:pStyle w:val="TableParagraph"/>
              <w:spacing w:line="226" w:lineRule="exact"/>
              <w:ind w:left="116"/>
              <w:rPr>
                <w:sz w:val="21"/>
              </w:rPr>
            </w:pPr>
            <w:r>
              <w:rPr>
                <w:sz w:val="21"/>
              </w:rPr>
              <w:t>①失明包括眼球缺失或摘除、或不能辨别明暗、或仅能辨别眼前手</w:t>
            </w:r>
          </w:p>
          <w:p>
            <w:pPr>
              <w:pStyle w:val="TableParagraph"/>
              <w:spacing w:line="273" w:lineRule="auto" w:before="37"/>
              <w:ind w:left="116" w:right="305"/>
              <w:jc w:val="both"/>
              <w:rPr>
                <w:sz w:val="21"/>
              </w:rPr>
            </w:pPr>
            <w:r>
              <w:rPr>
                <w:spacing w:val="-4"/>
                <w:sz w:val="21"/>
              </w:rPr>
              <w:t>动者，最佳矫正视力低于国际标准视力表 </w:t>
            </w:r>
            <w:r>
              <w:rPr>
                <w:sz w:val="21"/>
              </w:rPr>
              <w:t>0.02</w:t>
            </w:r>
            <w:r>
              <w:rPr>
                <w:spacing w:val="-5"/>
                <w:sz w:val="21"/>
              </w:rPr>
              <w:t>，或视野半径小于 </w:t>
            </w:r>
            <w:r>
              <w:rPr>
                <w:sz w:val="21"/>
              </w:rPr>
              <w:t>5 </w:t>
            </w:r>
            <w:r>
              <w:rPr>
                <w:spacing w:val="-3"/>
                <w:sz w:val="21"/>
              </w:rPr>
              <w:t>度，并由有资格的眼科医生出具医疗诊断证明。</w:t>
            </w:r>
          </w:p>
          <w:p>
            <w:pPr>
              <w:pStyle w:val="TableParagraph"/>
              <w:spacing w:line="273" w:lineRule="auto" w:before="7"/>
              <w:ind w:left="116" w:right="308"/>
              <w:jc w:val="both"/>
              <w:rPr>
                <w:sz w:val="21"/>
              </w:rPr>
            </w:pPr>
            <w:r>
              <w:rPr>
                <w:sz w:val="21"/>
              </w:rPr>
              <w:t>②关节机能的丧失系指关节永久完全僵硬、或麻痹、或关节不能随意识活动。</w:t>
            </w:r>
          </w:p>
          <w:p>
            <w:pPr>
              <w:pStyle w:val="TableParagraph"/>
              <w:spacing w:line="273" w:lineRule="auto" w:before="7"/>
              <w:ind w:left="116" w:right="305"/>
              <w:jc w:val="both"/>
              <w:rPr>
                <w:sz w:val="21"/>
              </w:rPr>
            </w:pPr>
            <w:r>
              <w:rPr>
                <w:sz w:val="21"/>
              </w:rPr>
              <w:t>③咀嚼、吞咽机能的丧失系指由于牙齿以外的原因引起器质障碍或机能障碍，以致不能作咀嚼、吞咽活动，除流质食物外不能摄取或吞咽的状态。</w:t>
            </w:r>
          </w:p>
          <w:p>
            <w:pPr>
              <w:pStyle w:val="TableParagraph"/>
              <w:spacing w:line="273" w:lineRule="auto" w:before="8"/>
              <w:ind w:left="116" w:right="308"/>
              <w:jc w:val="both"/>
              <w:rPr>
                <w:sz w:val="21"/>
              </w:rPr>
            </w:pPr>
            <w:r>
              <w:rPr>
                <w:sz w:val="21"/>
              </w:rPr>
              <w:t>④为维持生命必要之日常生活活动，全需他人扶助系指食物摄取、大小便始末、穿脱衣服、起居、步行、入浴等，皆不能自己为之， 需要他人帮助。</w:t>
            </w:r>
          </w:p>
          <w:p>
            <w:pPr>
              <w:pStyle w:val="TableParagraph"/>
              <w:spacing w:line="273" w:lineRule="auto" w:before="87"/>
              <w:ind w:left="116" w:right="201"/>
              <w:rPr>
                <w:sz w:val="21"/>
              </w:rPr>
            </w:pPr>
            <w:r>
              <w:rPr>
                <w:sz w:val="21"/>
              </w:rPr>
              <w:t>上述所谓永久完全系指自事故发生之日起经过一百八十天的治疗， </w:t>
            </w:r>
            <w:r>
              <w:rPr>
                <w:spacing w:val="-7"/>
                <w:sz w:val="21"/>
              </w:rPr>
              <w:t>机能仍然完全丧失，但眼球摘除等明显无法复原之情况，不在此限。</w:t>
            </w:r>
          </w:p>
        </w:tc>
      </w:tr>
      <w:tr>
        <w:trPr>
          <w:trHeight w:val="2326" w:hRule="atLeast"/>
        </w:trPr>
        <w:tc>
          <w:tcPr>
            <w:tcW w:w="990" w:type="dxa"/>
          </w:tcPr>
          <w:p>
            <w:pPr>
              <w:pStyle w:val="TableParagraph"/>
              <w:spacing w:before="49"/>
              <w:ind w:left="200"/>
              <w:rPr>
                <w:b/>
                <w:sz w:val="21"/>
              </w:rPr>
            </w:pPr>
            <w:r>
              <w:rPr>
                <w:b/>
                <w:sz w:val="21"/>
              </w:rPr>
              <w:t>13.9</w:t>
            </w:r>
          </w:p>
        </w:tc>
        <w:tc>
          <w:tcPr>
            <w:tcW w:w="2281" w:type="dxa"/>
          </w:tcPr>
          <w:p>
            <w:pPr>
              <w:pStyle w:val="TableParagraph"/>
              <w:spacing w:line="273" w:lineRule="auto" w:before="49"/>
              <w:ind w:left="261" w:right="117"/>
              <w:rPr>
                <w:b/>
                <w:sz w:val="21"/>
              </w:rPr>
            </w:pPr>
            <w:r>
              <w:rPr>
                <w:b/>
                <w:sz w:val="21"/>
              </w:rPr>
              <w:t>六项基本日常生活活动</w:t>
            </w:r>
          </w:p>
        </w:tc>
        <w:tc>
          <w:tcPr>
            <w:tcW w:w="6569" w:type="dxa"/>
          </w:tcPr>
          <w:p>
            <w:pPr>
              <w:pStyle w:val="TableParagraph"/>
              <w:spacing w:before="49"/>
              <w:ind w:left="116"/>
              <w:rPr>
                <w:sz w:val="21"/>
              </w:rPr>
            </w:pPr>
            <w:r>
              <w:rPr>
                <w:sz w:val="21"/>
              </w:rPr>
              <w:t>六项基本日常生活活动是指：</w:t>
            </w:r>
          </w:p>
          <w:p>
            <w:pPr>
              <w:pStyle w:val="TableParagraph"/>
              <w:spacing w:before="37"/>
              <w:ind w:left="116"/>
              <w:rPr>
                <w:sz w:val="21"/>
              </w:rPr>
            </w:pPr>
            <w:r>
              <w:rPr>
                <w:sz w:val="21"/>
              </w:rPr>
              <w:t>(1)穿衣：自己能够穿衣及脱衣；</w:t>
            </w:r>
          </w:p>
          <w:p>
            <w:pPr>
              <w:pStyle w:val="TableParagraph"/>
              <w:spacing w:before="37"/>
              <w:ind w:left="116"/>
              <w:rPr>
                <w:sz w:val="21"/>
              </w:rPr>
            </w:pPr>
            <w:r>
              <w:rPr>
                <w:sz w:val="21"/>
              </w:rPr>
              <w:t>(2)移动：自己从一个房间到另一个房间；</w:t>
            </w:r>
          </w:p>
          <w:p>
            <w:pPr>
              <w:pStyle w:val="TableParagraph"/>
              <w:spacing w:before="37"/>
              <w:ind w:left="116"/>
              <w:rPr>
                <w:sz w:val="21"/>
              </w:rPr>
            </w:pPr>
            <w:r>
              <w:rPr>
                <w:sz w:val="21"/>
              </w:rPr>
              <w:t>(3)行动：自己上下床或上下轮椅；</w:t>
            </w:r>
          </w:p>
          <w:p>
            <w:pPr>
              <w:pStyle w:val="TableParagraph"/>
              <w:spacing w:before="37"/>
              <w:ind w:left="116"/>
              <w:rPr>
                <w:sz w:val="21"/>
              </w:rPr>
            </w:pPr>
            <w:r>
              <w:rPr>
                <w:sz w:val="21"/>
              </w:rPr>
              <w:t>(4)如厕：自己控制进行大小便；</w:t>
            </w:r>
          </w:p>
          <w:p>
            <w:pPr>
              <w:pStyle w:val="TableParagraph"/>
              <w:spacing w:before="36"/>
              <w:ind w:left="116"/>
              <w:rPr>
                <w:sz w:val="21"/>
              </w:rPr>
            </w:pPr>
            <w:r>
              <w:rPr>
                <w:sz w:val="21"/>
              </w:rPr>
              <w:t>(5)进食：自己从已准备好的碗或碟中取食物放入口中；</w:t>
            </w:r>
          </w:p>
          <w:p>
            <w:pPr>
              <w:pStyle w:val="TableParagraph"/>
              <w:spacing w:before="36"/>
              <w:ind w:left="116"/>
              <w:rPr>
                <w:sz w:val="21"/>
              </w:rPr>
            </w:pPr>
            <w:r>
              <w:rPr>
                <w:sz w:val="21"/>
              </w:rPr>
              <w:t>(6)洗澡：自己进行淋浴或盆浴。</w:t>
            </w:r>
          </w:p>
        </w:tc>
      </w:tr>
      <w:tr>
        <w:trPr>
          <w:trHeight w:val="1389" w:hRule="atLeast"/>
        </w:trPr>
        <w:tc>
          <w:tcPr>
            <w:tcW w:w="990" w:type="dxa"/>
          </w:tcPr>
          <w:p>
            <w:pPr>
              <w:pStyle w:val="TableParagraph"/>
              <w:spacing w:before="49"/>
              <w:ind w:left="200"/>
              <w:rPr>
                <w:b/>
                <w:sz w:val="21"/>
              </w:rPr>
            </w:pPr>
            <w:r>
              <w:rPr>
                <w:b/>
                <w:sz w:val="21"/>
              </w:rPr>
              <w:t>13.10</w:t>
            </w:r>
          </w:p>
        </w:tc>
        <w:tc>
          <w:tcPr>
            <w:tcW w:w="2281" w:type="dxa"/>
          </w:tcPr>
          <w:p>
            <w:pPr>
              <w:pStyle w:val="TableParagraph"/>
              <w:spacing w:before="49"/>
              <w:ind w:left="261"/>
              <w:rPr>
                <w:b/>
                <w:sz w:val="21"/>
              </w:rPr>
            </w:pPr>
            <w:r>
              <w:rPr>
                <w:b/>
                <w:sz w:val="21"/>
              </w:rPr>
              <w:t>生命末期疾病</w:t>
            </w:r>
          </w:p>
        </w:tc>
        <w:tc>
          <w:tcPr>
            <w:tcW w:w="6569" w:type="dxa"/>
          </w:tcPr>
          <w:p>
            <w:pPr>
              <w:pStyle w:val="TableParagraph"/>
              <w:spacing w:line="273" w:lineRule="auto" w:before="49"/>
              <w:ind w:left="116" w:right="353"/>
              <w:jc w:val="both"/>
              <w:rPr>
                <w:sz w:val="21"/>
              </w:rPr>
            </w:pPr>
            <w:r>
              <w:rPr>
                <w:sz w:val="21"/>
              </w:rPr>
              <w:t>指被保险人被确诊为疾病的终末期状态，疾病已经无法以现有的医疗技术医治缓解，并且根据临床医学经验判断被保险人将于未来六个月内死亡，在家属及患者的要求和医师的同意下积极治疗已被放弃，所有治疗措施仅以减轻患者痛苦为目的。</w:t>
            </w:r>
          </w:p>
        </w:tc>
      </w:tr>
      <w:tr>
        <w:trPr>
          <w:trHeight w:val="765" w:hRule="atLeast"/>
        </w:trPr>
        <w:tc>
          <w:tcPr>
            <w:tcW w:w="990" w:type="dxa"/>
          </w:tcPr>
          <w:p>
            <w:pPr>
              <w:pStyle w:val="TableParagraph"/>
              <w:spacing w:before="49"/>
              <w:ind w:left="200"/>
              <w:rPr>
                <w:b/>
                <w:sz w:val="21"/>
              </w:rPr>
            </w:pPr>
            <w:r>
              <w:rPr>
                <w:b/>
                <w:sz w:val="21"/>
              </w:rPr>
              <w:t>13.11</w:t>
            </w:r>
          </w:p>
        </w:tc>
        <w:tc>
          <w:tcPr>
            <w:tcW w:w="2281" w:type="dxa"/>
          </w:tcPr>
          <w:p>
            <w:pPr>
              <w:pStyle w:val="TableParagraph"/>
              <w:spacing w:before="49"/>
              <w:ind w:left="261"/>
              <w:rPr>
                <w:b/>
                <w:sz w:val="21"/>
              </w:rPr>
            </w:pPr>
            <w:r>
              <w:rPr>
                <w:b/>
                <w:sz w:val="21"/>
              </w:rPr>
              <w:t>保单周月日</w:t>
            </w:r>
          </w:p>
        </w:tc>
        <w:tc>
          <w:tcPr>
            <w:tcW w:w="6569" w:type="dxa"/>
          </w:tcPr>
          <w:p>
            <w:pPr>
              <w:pStyle w:val="TableParagraph"/>
              <w:spacing w:line="273" w:lineRule="auto" w:before="49"/>
              <w:ind w:left="116" w:right="139"/>
              <w:rPr>
                <w:sz w:val="21"/>
              </w:rPr>
            </w:pPr>
            <w:r>
              <w:rPr>
                <w:sz w:val="21"/>
              </w:rPr>
              <w:t>指本合同生效日在合同生效后每月的对应日，不含合同生效日当日。如果当月没有对应的同一日，则以下个月第一日为对应日。</w:t>
            </w:r>
          </w:p>
        </w:tc>
      </w:tr>
      <w:tr>
        <w:trPr>
          <w:trHeight w:val="1391" w:hRule="atLeast"/>
        </w:trPr>
        <w:tc>
          <w:tcPr>
            <w:tcW w:w="990" w:type="dxa"/>
          </w:tcPr>
          <w:p>
            <w:pPr>
              <w:pStyle w:val="TableParagraph"/>
              <w:spacing w:before="49"/>
              <w:ind w:left="200"/>
              <w:rPr>
                <w:b/>
                <w:sz w:val="21"/>
              </w:rPr>
            </w:pPr>
            <w:r>
              <w:rPr>
                <w:b/>
                <w:sz w:val="21"/>
              </w:rPr>
              <w:t>13.12</w:t>
            </w:r>
          </w:p>
        </w:tc>
        <w:tc>
          <w:tcPr>
            <w:tcW w:w="2281" w:type="dxa"/>
          </w:tcPr>
          <w:p>
            <w:pPr>
              <w:pStyle w:val="TableParagraph"/>
              <w:spacing w:before="49"/>
              <w:ind w:left="261"/>
              <w:rPr>
                <w:b/>
                <w:sz w:val="21"/>
              </w:rPr>
            </w:pPr>
            <w:r>
              <w:rPr>
                <w:b/>
                <w:sz w:val="21"/>
              </w:rPr>
              <w:t>毒品</w:t>
            </w:r>
          </w:p>
        </w:tc>
        <w:tc>
          <w:tcPr>
            <w:tcW w:w="6569" w:type="dxa"/>
          </w:tcPr>
          <w:p>
            <w:pPr>
              <w:pStyle w:val="TableParagraph"/>
              <w:spacing w:line="273" w:lineRule="auto" w:before="49"/>
              <w:ind w:left="116" w:right="250"/>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078" w:hRule="atLeast"/>
        </w:trPr>
        <w:tc>
          <w:tcPr>
            <w:tcW w:w="990" w:type="dxa"/>
          </w:tcPr>
          <w:p>
            <w:pPr>
              <w:pStyle w:val="TableParagraph"/>
              <w:spacing w:before="50"/>
              <w:ind w:left="200"/>
              <w:rPr>
                <w:b/>
                <w:sz w:val="21"/>
              </w:rPr>
            </w:pPr>
            <w:r>
              <w:rPr>
                <w:b/>
                <w:sz w:val="21"/>
              </w:rPr>
              <w:t>13.13</w:t>
            </w:r>
          </w:p>
        </w:tc>
        <w:tc>
          <w:tcPr>
            <w:tcW w:w="2281" w:type="dxa"/>
          </w:tcPr>
          <w:p>
            <w:pPr>
              <w:pStyle w:val="TableParagraph"/>
              <w:spacing w:before="50"/>
              <w:ind w:left="381"/>
              <w:rPr>
                <w:b/>
                <w:sz w:val="21"/>
              </w:rPr>
            </w:pPr>
            <w:r>
              <w:rPr>
                <w:b/>
                <w:sz w:val="21"/>
              </w:rPr>
              <w:t>酒后驾驶</w:t>
            </w:r>
          </w:p>
        </w:tc>
        <w:tc>
          <w:tcPr>
            <w:tcW w:w="6569" w:type="dxa"/>
          </w:tcPr>
          <w:p>
            <w:pPr>
              <w:pStyle w:val="TableParagraph"/>
              <w:spacing w:line="273" w:lineRule="auto" w:before="50"/>
              <w:ind w:left="116" w:right="353"/>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1580" w:hRule="atLeast"/>
        </w:trPr>
        <w:tc>
          <w:tcPr>
            <w:tcW w:w="990" w:type="dxa"/>
          </w:tcPr>
          <w:p>
            <w:pPr>
              <w:pStyle w:val="TableParagraph"/>
              <w:spacing w:before="49"/>
              <w:ind w:left="200"/>
              <w:rPr>
                <w:b/>
                <w:sz w:val="21"/>
              </w:rPr>
            </w:pPr>
            <w:r>
              <w:rPr>
                <w:b/>
                <w:sz w:val="21"/>
              </w:rPr>
              <w:t>13.14</w:t>
            </w:r>
          </w:p>
        </w:tc>
        <w:tc>
          <w:tcPr>
            <w:tcW w:w="2281" w:type="dxa"/>
          </w:tcPr>
          <w:p>
            <w:pPr>
              <w:pStyle w:val="TableParagraph"/>
              <w:spacing w:line="273" w:lineRule="auto" w:before="49"/>
              <w:ind w:left="381" w:right="208"/>
              <w:rPr>
                <w:b/>
                <w:sz w:val="21"/>
              </w:rPr>
            </w:pPr>
            <w:r>
              <w:rPr>
                <w:b/>
                <w:sz w:val="21"/>
              </w:rPr>
              <w:t>无合法有效驾驶证驾驶</w:t>
            </w:r>
          </w:p>
        </w:tc>
        <w:tc>
          <w:tcPr>
            <w:tcW w:w="6569" w:type="dxa"/>
          </w:tcPr>
          <w:p>
            <w:pPr>
              <w:pStyle w:val="TableParagraph"/>
              <w:spacing w:before="49"/>
              <w:ind w:left="116"/>
              <w:rPr>
                <w:sz w:val="21"/>
              </w:rPr>
            </w:pPr>
            <w:r>
              <w:rPr>
                <w:sz w:val="21"/>
              </w:rPr>
              <w:t>指下列情形之一：</w:t>
            </w:r>
          </w:p>
          <w:p>
            <w:pPr>
              <w:pStyle w:val="TableParagraph"/>
              <w:spacing w:before="37"/>
              <w:ind w:left="116"/>
              <w:rPr>
                <w:sz w:val="21"/>
              </w:rPr>
            </w:pPr>
            <w:r>
              <w:rPr>
                <w:sz w:val="21"/>
              </w:rPr>
              <w:t>(1)没有取得驾驶资格；</w:t>
            </w:r>
          </w:p>
          <w:p>
            <w:pPr>
              <w:pStyle w:val="TableParagraph"/>
              <w:spacing w:before="37"/>
              <w:ind w:left="116"/>
              <w:rPr>
                <w:sz w:val="21"/>
              </w:rPr>
            </w:pPr>
            <w:r>
              <w:rPr>
                <w:sz w:val="21"/>
              </w:rPr>
              <w:t>(2)驾驶与驾驶证准驾车型不相符合的车辆；</w:t>
            </w:r>
          </w:p>
          <w:p>
            <w:pPr>
              <w:pStyle w:val="TableParagraph"/>
              <w:spacing w:before="37"/>
              <w:ind w:left="116"/>
              <w:rPr>
                <w:sz w:val="21"/>
              </w:rPr>
            </w:pPr>
            <w:r>
              <w:rPr>
                <w:sz w:val="21"/>
              </w:rPr>
              <w:t>(3)持审验不合格的驾驶证驾驶；</w:t>
            </w:r>
          </w:p>
          <w:p>
            <w:pPr>
              <w:pStyle w:val="TableParagraph"/>
              <w:spacing w:line="263" w:lineRule="exact" w:before="36"/>
              <w:ind w:left="116"/>
              <w:rPr>
                <w:sz w:val="21"/>
              </w:rPr>
            </w:pPr>
            <w:r>
              <w:rPr>
                <w:sz w:val="21"/>
              </w:rPr>
              <w:t>(4)持学习驾驶证件学习驾车时，无教练员随车指导，或不按指定时</w:t>
            </w:r>
          </w:p>
        </w:tc>
      </w:tr>
    </w:tbl>
    <w:p>
      <w:pPr>
        <w:spacing w:after="0" w:line="263" w:lineRule="exact"/>
        <w:rPr>
          <w:sz w:val="21"/>
        </w:rPr>
        <w:sectPr>
          <w:pgSz w:w="11910" w:h="16840"/>
          <w:pgMar w:top="1460" w:bottom="280" w:left="980" w:right="8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0"/>
        <w:gridCol w:w="2231"/>
        <w:gridCol w:w="6558"/>
      </w:tblGrid>
      <w:tr>
        <w:trPr>
          <w:trHeight w:val="332" w:hRule="atLeast"/>
        </w:trPr>
        <w:tc>
          <w:tcPr>
            <w:tcW w:w="1050" w:type="dxa"/>
          </w:tcPr>
          <w:p>
            <w:pPr>
              <w:pStyle w:val="TableParagraph"/>
              <w:ind w:left="0"/>
              <w:rPr>
                <w:rFonts w:ascii="Times New Roman"/>
                <w:sz w:val="20"/>
              </w:rPr>
            </w:pPr>
          </w:p>
        </w:tc>
        <w:tc>
          <w:tcPr>
            <w:tcW w:w="2231" w:type="dxa"/>
          </w:tcPr>
          <w:p>
            <w:pPr>
              <w:pStyle w:val="TableParagraph"/>
              <w:ind w:left="0"/>
              <w:rPr>
                <w:rFonts w:ascii="Times New Roman"/>
                <w:sz w:val="20"/>
              </w:rPr>
            </w:pPr>
          </w:p>
        </w:tc>
        <w:tc>
          <w:tcPr>
            <w:tcW w:w="6558" w:type="dxa"/>
          </w:tcPr>
          <w:p>
            <w:pPr>
              <w:pStyle w:val="TableParagraph"/>
              <w:spacing w:line="203" w:lineRule="exact"/>
              <w:ind w:left="106"/>
              <w:rPr>
                <w:sz w:val="21"/>
              </w:rPr>
            </w:pPr>
            <w:r>
              <w:rPr>
                <w:sz w:val="21"/>
              </w:rPr>
              <w:t>间、路线学习驾车。</w:t>
            </w:r>
          </w:p>
        </w:tc>
      </w:tr>
      <w:tr>
        <w:trPr>
          <w:trHeight w:val="1389" w:hRule="atLeast"/>
        </w:trPr>
        <w:tc>
          <w:tcPr>
            <w:tcW w:w="1050" w:type="dxa"/>
          </w:tcPr>
          <w:p>
            <w:pPr>
              <w:pStyle w:val="TableParagraph"/>
              <w:spacing w:before="49"/>
              <w:ind w:left="200"/>
              <w:rPr>
                <w:b/>
                <w:sz w:val="21"/>
              </w:rPr>
            </w:pPr>
            <w:r>
              <w:rPr>
                <w:b/>
                <w:sz w:val="21"/>
              </w:rPr>
              <w:t>13.15</w:t>
            </w:r>
          </w:p>
        </w:tc>
        <w:tc>
          <w:tcPr>
            <w:tcW w:w="2231" w:type="dxa"/>
          </w:tcPr>
          <w:p>
            <w:pPr>
              <w:pStyle w:val="TableParagraph"/>
              <w:spacing w:before="49"/>
              <w:ind w:left="321"/>
              <w:rPr>
                <w:b/>
                <w:sz w:val="21"/>
              </w:rPr>
            </w:pPr>
            <w:r>
              <w:rPr>
                <w:b/>
                <w:sz w:val="21"/>
              </w:rPr>
              <w:t>无有效行驶证</w:t>
            </w:r>
          </w:p>
        </w:tc>
        <w:tc>
          <w:tcPr>
            <w:tcW w:w="6558" w:type="dxa"/>
          </w:tcPr>
          <w:p>
            <w:pPr>
              <w:pStyle w:val="TableParagraph"/>
              <w:spacing w:before="49"/>
              <w:ind w:left="106"/>
              <w:rPr>
                <w:sz w:val="21"/>
              </w:rPr>
            </w:pPr>
            <w:r>
              <w:rPr>
                <w:sz w:val="21"/>
              </w:rPr>
              <w:t>指下列情形之一：</w:t>
            </w:r>
          </w:p>
          <w:p>
            <w:pPr>
              <w:pStyle w:val="TableParagraph"/>
              <w:spacing w:before="37"/>
              <w:ind w:left="106"/>
              <w:rPr>
                <w:sz w:val="21"/>
              </w:rPr>
            </w:pPr>
            <w:r>
              <w:rPr>
                <w:sz w:val="21"/>
              </w:rPr>
              <w:t>(1)未取得行驶证或临时号牌；</w:t>
            </w:r>
          </w:p>
          <w:p>
            <w:pPr>
              <w:pStyle w:val="TableParagraph"/>
              <w:spacing w:before="37"/>
              <w:ind w:left="106"/>
              <w:rPr>
                <w:sz w:val="21"/>
              </w:rPr>
            </w:pPr>
            <w:r>
              <w:rPr>
                <w:sz w:val="21"/>
              </w:rPr>
              <w:t>(2)机动车被依法注销登记的；</w:t>
            </w:r>
          </w:p>
          <w:p>
            <w:pPr>
              <w:pStyle w:val="TableParagraph"/>
              <w:spacing w:before="37"/>
              <w:ind w:left="106"/>
              <w:rPr>
                <w:sz w:val="21"/>
              </w:rPr>
            </w:pPr>
            <w:r>
              <w:rPr>
                <w:sz w:val="21"/>
              </w:rPr>
              <w:t>(3)未依法按时进行或通过机动车安全技术检验。</w:t>
            </w:r>
          </w:p>
        </w:tc>
      </w:tr>
      <w:tr>
        <w:trPr>
          <w:trHeight w:val="1781" w:hRule="atLeast"/>
        </w:trPr>
        <w:tc>
          <w:tcPr>
            <w:tcW w:w="1050" w:type="dxa"/>
          </w:tcPr>
          <w:p>
            <w:pPr>
              <w:pStyle w:val="TableParagraph"/>
              <w:spacing w:before="49"/>
              <w:ind w:left="200"/>
              <w:rPr>
                <w:b/>
                <w:sz w:val="21"/>
              </w:rPr>
            </w:pPr>
            <w:r>
              <w:rPr>
                <w:b/>
                <w:sz w:val="21"/>
              </w:rPr>
              <w:t>13.16</w:t>
            </w:r>
          </w:p>
        </w:tc>
        <w:tc>
          <w:tcPr>
            <w:tcW w:w="2231" w:type="dxa"/>
          </w:tcPr>
          <w:p>
            <w:pPr>
              <w:pStyle w:val="TableParagraph"/>
              <w:spacing w:line="273" w:lineRule="auto" w:before="49"/>
              <w:ind w:left="321" w:right="218"/>
              <w:rPr>
                <w:b/>
                <w:sz w:val="21"/>
              </w:rPr>
            </w:pPr>
            <w:r>
              <w:rPr>
                <w:b/>
                <w:sz w:val="21"/>
              </w:rPr>
              <w:t>感染艾滋病病毒或患艾滋病</w:t>
            </w:r>
          </w:p>
        </w:tc>
        <w:tc>
          <w:tcPr>
            <w:tcW w:w="6558" w:type="dxa"/>
          </w:tcPr>
          <w:p>
            <w:pPr>
              <w:pStyle w:val="TableParagraph"/>
              <w:spacing w:line="273" w:lineRule="auto" w:before="49"/>
              <w:ind w:left="106" w:right="307"/>
              <w:jc w:val="both"/>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7"/>
              <w:ind w:left="106" w:right="352"/>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765" w:hRule="atLeast"/>
        </w:trPr>
        <w:tc>
          <w:tcPr>
            <w:tcW w:w="1050" w:type="dxa"/>
          </w:tcPr>
          <w:p>
            <w:pPr>
              <w:pStyle w:val="TableParagraph"/>
              <w:spacing w:before="49"/>
              <w:ind w:left="200"/>
              <w:rPr>
                <w:b/>
                <w:sz w:val="21"/>
              </w:rPr>
            </w:pPr>
            <w:r>
              <w:rPr>
                <w:b/>
                <w:sz w:val="21"/>
              </w:rPr>
              <w:t>13.17</w:t>
            </w:r>
          </w:p>
        </w:tc>
        <w:tc>
          <w:tcPr>
            <w:tcW w:w="2231" w:type="dxa"/>
          </w:tcPr>
          <w:p>
            <w:pPr>
              <w:pStyle w:val="TableParagraph"/>
              <w:spacing w:before="49"/>
              <w:ind w:left="321"/>
              <w:rPr>
                <w:b/>
                <w:sz w:val="21"/>
              </w:rPr>
            </w:pPr>
            <w:r>
              <w:rPr>
                <w:b/>
                <w:sz w:val="21"/>
              </w:rPr>
              <w:t>遗传性疾病</w:t>
            </w:r>
          </w:p>
        </w:tc>
        <w:tc>
          <w:tcPr>
            <w:tcW w:w="6558" w:type="dxa"/>
          </w:tcPr>
          <w:p>
            <w:pPr>
              <w:pStyle w:val="TableParagraph"/>
              <w:spacing w:line="273" w:lineRule="auto" w:before="49"/>
              <w:ind w:left="106" w:right="352"/>
              <w:rPr>
                <w:sz w:val="21"/>
              </w:rPr>
            </w:pPr>
            <w:r>
              <w:rPr>
                <w:sz w:val="21"/>
              </w:rPr>
              <w:t>指生殖细胞或受精卵的遗传物质（染色体和基因）发生突变或畸变所引起的疾病，通常具有由亲代传至后代的垂直传递的特征。</w:t>
            </w:r>
          </w:p>
        </w:tc>
      </w:tr>
      <w:tr>
        <w:trPr>
          <w:trHeight w:val="1077" w:hRule="atLeast"/>
        </w:trPr>
        <w:tc>
          <w:tcPr>
            <w:tcW w:w="1050" w:type="dxa"/>
          </w:tcPr>
          <w:p>
            <w:pPr>
              <w:pStyle w:val="TableParagraph"/>
              <w:spacing w:before="49"/>
              <w:ind w:left="200"/>
              <w:rPr>
                <w:b/>
                <w:sz w:val="21"/>
              </w:rPr>
            </w:pPr>
            <w:r>
              <w:rPr>
                <w:b/>
                <w:sz w:val="21"/>
              </w:rPr>
              <w:t>13.18</w:t>
            </w:r>
          </w:p>
        </w:tc>
        <w:tc>
          <w:tcPr>
            <w:tcW w:w="2231" w:type="dxa"/>
          </w:tcPr>
          <w:p>
            <w:pPr>
              <w:pStyle w:val="TableParagraph"/>
              <w:spacing w:line="273" w:lineRule="auto" w:before="49"/>
              <w:ind w:left="321" w:right="105"/>
              <w:rPr>
                <w:b/>
                <w:sz w:val="21"/>
              </w:rPr>
            </w:pPr>
            <w:r>
              <w:rPr>
                <w:b/>
                <w:spacing w:val="-13"/>
                <w:sz w:val="21"/>
              </w:rPr>
              <w:t>先天性畸形、变形或染色体异常</w:t>
            </w:r>
          </w:p>
        </w:tc>
        <w:tc>
          <w:tcPr>
            <w:tcW w:w="6558" w:type="dxa"/>
          </w:tcPr>
          <w:p>
            <w:pPr>
              <w:pStyle w:val="TableParagraph"/>
              <w:spacing w:line="273" w:lineRule="auto" w:before="49"/>
              <w:ind w:left="106" w:right="138"/>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1077" w:hRule="atLeast"/>
        </w:trPr>
        <w:tc>
          <w:tcPr>
            <w:tcW w:w="1050" w:type="dxa"/>
          </w:tcPr>
          <w:p>
            <w:pPr>
              <w:pStyle w:val="TableParagraph"/>
              <w:spacing w:before="49"/>
              <w:ind w:left="200"/>
              <w:rPr>
                <w:b/>
                <w:sz w:val="21"/>
              </w:rPr>
            </w:pPr>
            <w:r>
              <w:rPr>
                <w:b/>
                <w:sz w:val="21"/>
              </w:rPr>
              <w:t>13.19</w:t>
            </w:r>
          </w:p>
        </w:tc>
        <w:tc>
          <w:tcPr>
            <w:tcW w:w="2231" w:type="dxa"/>
          </w:tcPr>
          <w:p>
            <w:pPr>
              <w:pStyle w:val="TableParagraph"/>
              <w:spacing w:before="49"/>
              <w:ind w:left="321"/>
              <w:rPr>
                <w:b/>
                <w:sz w:val="21"/>
              </w:rPr>
            </w:pPr>
            <w:r>
              <w:rPr>
                <w:b/>
                <w:sz w:val="21"/>
              </w:rPr>
              <w:t>情形复杂</w:t>
            </w:r>
          </w:p>
        </w:tc>
        <w:tc>
          <w:tcPr>
            <w:tcW w:w="6558" w:type="dxa"/>
          </w:tcPr>
          <w:p>
            <w:pPr>
              <w:pStyle w:val="TableParagraph"/>
              <w:spacing w:line="273" w:lineRule="auto" w:before="49"/>
              <w:ind w:left="106" w:right="304"/>
              <w:jc w:val="both"/>
              <w:rPr>
                <w:sz w:val="21"/>
              </w:rPr>
            </w:pPr>
            <w:r>
              <w:rPr>
                <w:spacing w:val="-3"/>
                <w:sz w:val="21"/>
              </w:rPr>
              <w:t>指保险事故的性质、原因、伤害或损失程度等在我们收到保险金给付申请书及合同约定的证明和资料后</w:t>
            </w:r>
            <w:r>
              <w:rPr>
                <w:sz w:val="21"/>
              </w:rPr>
              <w:t>5</w:t>
            </w:r>
            <w:r>
              <w:rPr>
                <w:spacing w:val="-9"/>
                <w:sz w:val="21"/>
              </w:rPr>
              <w:t>日内无法确定，需要进一步核实。</w:t>
            </w:r>
          </w:p>
        </w:tc>
      </w:tr>
      <w:tr>
        <w:trPr>
          <w:trHeight w:val="1389" w:hRule="atLeast"/>
        </w:trPr>
        <w:tc>
          <w:tcPr>
            <w:tcW w:w="1050" w:type="dxa"/>
          </w:tcPr>
          <w:p>
            <w:pPr>
              <w:pStyle w:val="TableParagraph"/>
              <w:spacing w:before="49"/>
              <w:ind w:left="200"/>
              <w:rPr>
                <w:b/>
                <w:sz w:val="21"/>
              </w:rPr>
            </w:pPr>
            <w:r>
              <w:rPr>
                <w:b/>
                <w:sz w:val="21"/>
              </w:rPr>
              <w:t>13.20</w:t>
            </w:r>
          </w:p>
        </w:tc>
        <w:tc>
          <w:tcPr>
            <w:tcW w:w="2231" w:type="dxa"/>
          </w:tcPr>
          <w:p>
            <w:pPr>
              <w:pStyle w:val="TableParagraph"/>
              <w:spacing w:before="49"/>
              <w:ind w:left="321"/>
              <w:rPr>
                <w:b/>
                <w:sz w:val="21"/>
              </w:rPr>
            </w:pPr>
            <w:r>
              <w:rPr>
                <w:b/>
                <w:sz w:val="21"/>
              </w:rPr>
              <w:t>本合同约定利率</w:t>
            </w:r>
          </w:p>
        </w:tc>
        <w:tc>
          <w:tcPr>
            <w:tcW w:w="6558" w:type="dxa"/>
          </w:tcPr>
          <w:p>
            <w:pPr>
              <w:pStyle w:val="TableParagraph"/>
              <w:spacing w:line="273" w:lineRule="auto" w:before="49"/>
              <w:ind w:left="106" w:right="352"/>
              <w:jc w:val="both"/>
              <w:rPr>
                <w:sz w:val="21"/>
              </w:rPr>
            </w:pPr>
            <w:r>
              <w:rPr>
                <w:sz w:val="21"/>
              </w:rPr>
              <w:t>由我们每年宣布两次，宣布时间为每年的1月1日和7月1日，该利率将根据公司自身资金成本及风险管控能力等因素、并参照中国人民银行公布的同期人民币贷款基准利率来确定。在利率环境发生变化的情况下，我们保留修改该利率计算方法的权力。</w:t>
            </w:r>
          </w:p>
        </w:tc>
      </w:tr>
      <w:tr>
        <w:trPr>
          <w:trHeight w:val="2327" w:hRule="atLeast"/>
        </w:trPr>
        <w:tc>
          <w:tcPr>
            <w:tcW w:w="1050" w:type="dxa"/>
          </w:tcPr>
          <w:p>
            <w:pPr>
              <w:pStyle w:val="TableParagraph"/>
              <w:spacing w:before="49"/>
              <w:ind w:left="200"/>
              <w:rPr>
                <w:b/>
                <w:sz w:val="21"/>
              </w:rPr>
            </w:pPr>
            <w:r>
              <w:rPr>
                <w:b/>
                <w:sz w:val="21"/>
              </w:rPr>
              <w:t>13.21</w:t>
            </w:r>
          </w:p>
        </w:tc>
        <w:tc>
          <w:tcPr>
            <w:tcW w:w="2231" w:type="dxa"/>
          </w:tcPr>
          <w:p>
            <w:pPr>
              <w:pStyle w:val="TableParagraph"/>
              <w:spacing w:before="49"/>
              <w:ind w:left="321"/>
              <w:rPr>
                <w:b/>
                <w:sz w:val="21"/>
              </w:rPr>
            </w:pPr>
            <w:r>
              <w:rPr>
                <w:b/>
                <w:sz w:val="21"/>
              </w:rPr>
              <w:t>专科医生</w:t>
            </w:r>
          </w:p>
        </w:tc>
        <w:tc>
          <w:tcPr>
            <w:tcW w:w="6558" w:type="dxa"/>
          </w:tcPr>
          <w:p>
            <w:pPr>
              <w:pStyle w:val="TableParagraph"/>
              <w:spacing w:before="49"/>
              <w:ind w:left="106"/>
              <w:rPr>
                <w:sz w:val="21"/>
              </w:rPr>
            </w:pPr>
            <w:r>
              <w:rPr>
                <w:sz w:val="21"/>
              </w:rPr>
              <w:t>专科医生应当同时满足以下四项资格条件：</w:t>
            </w:r>
          </w:p>
          <w:p>
            <w:pPr>
              <w:pStyle w:val="TableParagraph"/>
              <w:spacing w:before="37"/>
              <w:ind w:left="106"/>
              <w:rPr>
                <w:sz w:val="21"/>
              </w:rPr>
            </w:pPr>
            <w:r>
              <w:rPr>
                <w:sz w:val="21"/>
              </w:rPr>
              <w:t>(1)具有有效的中华人民共和国《医师资格证书》；</w:t>
            </w:r>
          </w:p>
          <w:p>
            <w:pPr>
              <w:pStyle w:val="TableParagraph"/>
              <w:spacing w:line="273" w:lineRule="auto" w:before="37"/>
              <w:ind w:left="106" w:right="357"/>
              <w:rPr>
                <w:sz w:val="21"/>
              </w:rPr>
            </w:pPr>
            <w:r>
              <w:rPr>
                <w:sz w:val="21"/>
              </w:rPr>
              <w:t>(2)</w:t>
            </w:r>
            <w:r>
              <w:rPr>
                <w:spacing w:val="-9"/>
                <w:sz w:val="21"/>
              </w:rPr>
              <w:t>具有有效的中华人民共和国《医师执业证书》，并按期到相关部</w:t>
            </w:r>
            <w:r>
              <w:rPr>
                <w:spacing w:val="-5"/>
                <w:sz w:val="21"/>
              </w:rPr>
              <w:t>门登记注册；</w:t>
            </w:r>
          </w:p>
          <w:p>
            <w:pPr>
              <w:pStyle w:val="TableParagraph"/>
              <w:spacing w:line="273" w:lineRule="auto" w:before="7"/>
              <w:ind w:left="106" w:right="244"/>
              <w:rPr>
                <w:sz w:val="21"/>
              </w:rPr>
            </w:pPr>
            <w:r>
              <w:rPr>
                <w:sz w:val="21"/>
              </w:rPr>
              <w:t>(3)具有有效的中华人民共和国主治医师或主治医师以上职称的《医师职称证书》；</w:t>
            </w:r>
          </w:p>
          <w:p>
            <w:pPr>
              <w:pStyle w:val="TableParagraph"/>
              <w:spacing w:before="7"/>
              <w:ind w:left="106"/>
              <w:rPr>
                <w:sz w:val="21"/>
              </w:rPr>
            </w:pPr>
            <w:r>
              <w:rPr>
                <w:sz w:val="21"/>
              </w:rPr>
              <w:t>(4)在二级或二级以上医院的相应科室从事临床工作三年以上。</w:t>
            </w:r>
          </w:p>
        </w:tc>
      </w:tr>
      <w:tr>
        <w:trPr>
          <w:trHeight w:val="766" w:hRule="atLeast"/>
        </w:trPr>
        <w:tc>
          <w:tcPr>
            <w:tcW w:w="1050" w:type="dxa"/>
          </w:tcPr>
          <w:p>
            <w:pPr>
              <w:pStyle w:val="TableParagraph"/>
              <w:spacing w:before="50"/>
              <w:ind w:left="200"/>
              <w:rPr>
                <w:b/>
                <w:sz w:val="21"/>
              </w:rPr>
            </w:pPr>
            <w:r>
              <w:rPr>
                <w:b/>
                <w:sz w:val="21"/>
              </w:rPr>
              <w:t>13.22</w:t>
            </w:r>
          </w:p>
        </w:tc>
        <w:tc>
          <w:tcPr>
            <w:tcW w:w="2231" w:type="dxa"/>
          </w:tcPr>
          <w:p>
            <w:pPr>
              <w:pStyle w:val="TableParagraph"/>
              <w:spacing w:before="50"/>
              <w:ind w:left="321"/>
              <w:rPr>
                <w:b/>
                <w:sz w:val="21"/>
              </w:rPr>
            </w:pPr>
            <w:r>
              <w:rPr>
                <w:b/>
                <w:sz w:val="21"/>
              </w:rPr>
              <w:t>肢体机能完全丧失</w:t>
            </w:r>
          </w:p>
        </w:tc>
        <w:tc>
          <w:tcPr>
            <w:tcW w:w="6558" w:type="dxa"/>
          </w:tcPr>
          <w:p>
            <w:pPr>
              <w:pStyle w:val="TableParagraph"/>
              <w:spacing w:line="273" w:lineRule="auto" w:before="50"/>
              <w:ind w:left="106" w:right="352"/>
              <w:rPr>
                <w:sz w:val="21"/>
              </w:rPr>
            </w:pPr>
            <w:r>
              <w:rPr>
                <w:sz w:val="21"/>
              </w:rPr>
              <w:t>指肢体的三大关节中的两大关节僵硬，或不能随意识活动。肢体是指包括肩关节的整个上肢或包括髋关节的整个下肢。</w:t>
            </w:r>
          </w:p>
        </w:tc>
      </w:tr>
      <w:tr>
        <w:trPr>
          <w:trHeight w:val="2090" w:hRule="atLeast"/>
        </w:trPr>
        <w:tc>
          <w:tcPr>
            <w:tcW w:w="1050" w:type="dxa"/>
          </w:tcPr>
          <w:p>
            <w:pPr>
              <w:pStyle w:val="TableParagraph"/>
              <w:spacing w:before="49"/>
              <w:ind w:left="200"/>
              <w:rPr>
                <w:b/>
                <w:sz w:val="21"/>
              </w:rPr>
            </w:pPr>
            <w:r>
              <w:rPr>
                <w:b/>
                <w:sz w:val="21"/>
              </w:rPr>
              <w:t>13.23</w:t>
            </w:r>
          </w:p>
        </w:tc>
        <w:tc>
          <w:tcPr>
            <w:tcW w:w="2231" w:type="dxa"/>
          </w:tcPr>
          <w:p>
            <w:pPr>
              <w:pStyle w:val="TableParagraph"/>
              <w:spacing w:line="273" w:lineRule="auto" w:before="49"/>
              <w:ind w:left="321" w:right="218"/>
              <w:rPr>
                <w:b/>
                <w:sz w:val="21"/>
              </w:rPr>
            </w:pPr>
            <w:r>
              <w:rPr>
                <w:b/>
                <w:sz w:val="21"/>
              </w:rPr>
              <w:t>语言能力或咀嚼吞咽能力完全丧失</w:t>
            </w:r>
          </w:p>
        </w:tc>
        <w:tc>
          <w:tcPr>
            <w:tcW w:w="6558" w:type="dxa"/>
          </w:tcPr>
          <w:p>
            <w:pPr>
              <w:pStyle w:val="TableParagraph"/>
              <w:spacing w:line="273" w:lineRule="auto" w:before="49"/>
              <w:ind w:left="106" w:right="307"/>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84"/>
              <w:ind w:left="106" w:right="352"/>
              <w:jc w:val="both"/>
              <w:rPr>
                <w:sz w:val="21"/>
              </w:rPr>
            </w:pPr>
            <w:r>
              <w:rPr>
                <w:sz w:val="21"/>
              </w:rPr>
              <w:t>咀嚼吞咽能力完全丧失，指因牙齿以外的原因导致器质障碍或机能障碍，以致不能作咀嚼吞咽运动，除流质食物外不能摄取或吞咽的状态。</w:t>
            </w:r>
          </w:p>
        </w:tc>
      </w:tr>
      <w:tr>
        <w:trPr>
          <w:trHeight w:val="644" w:hRule="atLeast"/>
        </w:trPr>
        <w:tc>
          <w:tcPr>
            <w:tcW w:w="1050" w:type="dxa"/>
          </w:tcPr>
          <w:p>
            <w:pPr>
              <w:pStyle w:val="TableParagraph"/>
              <w:spacing w:before="49"/>
              <w:ind w:left="200"/>
              <w:rPr>
                <w:b/>
                <w:sz w:val="21"/>
              </w:rPr>
            </w:pPr>
            <w:r>
              <w:rPr>
                <w:b/>
                <w:sz w:val="21"/>
              </w:rPr>
              <w:t>13.24</w:t>
            </w:r>
          </w:p>
        </w:tc>
        <w:tc>
          <w:tcPr>
            <w:tcW w:w="2231" w:type="dxa"/>
          </w:tcPr>
          <w:p>
            <w:pPr>
              <w:pStyle w:val="TableParagraph"/>
              <w:spacing w:before="49"/>
              <w:ind w:left="321"/>
              <w:rPr>
                <w:b/>
                <w:sz w:val="21"/>
              </w:rPr>
            </w:pPr>
            <w:r>
              <w:rPr>
                <w:b/>
                <w:sz w:val="21"/>
              </w:rPr>
              <w:t>永久不可逆</w:t>
            </w:r>
          </w:p>
        </w:tc>
        <w:tc>
          <w:tcPr>
            <w:tcW w:w="6558" w:type="dxa"/>
          </w:tcPr>
          <w:p>
            <w:pPr>
              <w:pStyle w:val="TableParagraph"/>
              <w:spacing w:line="310" w:lineRule="atLeast" w:before="14"/>
              <w:ind w:left="106" w:right="352"/>
              <w:rPr>
                <w:sz w:val="21"/>
              </w:rPr>
            </w:pPr>
            <w:r>
              <w:rPr>
                <w:sz w:val="21"/>
              </w:rPr>
              <w:t>指自疾病确诊或意外伤害发生之日起，经过积极治疗180 天后，仍无法通过现有医疗手段恢复。</w:t>
            </w:r>
          </w:p>
        </w:tc>
      </w:tr>
    </w:tbl>
    <w:sectPr>
      <w:pgSz w:w="11910" w:h="16840"/>
      <w:pgMar w:top="1460" w:bottom="280" w:left="9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1"/>
      <w:numFmt w:val="decimal"/>
      <w:lvlText w:val="%1"/>
      <w:lvlJc w:val="left"/>
      <w:pPr>
        <w:ind w:left="1280" w:hanging="1172"/>
        <w:jc w:val="left"/>
      </w:pPr>
      <w:rPr>
        <w:rFonts w:hint="default"/>
      </w:rPr>
    </w:lvl>
    <w:lvl w:ilvl="1">
      <w:start w:val="1"/>
      <w:numFmt w:val="decimal"/>
      <w:lvlText w:val="%1.%2"/>
      <w:lvlJc w:val="left"/>
      <w:pPr>
        <w:ind w:left="1280" w:hanging="1172"/>
        <w:jc w:val="left"/>
      </w:pPr>
      <w:rPr>
        <w:rFonts w:hint="default"/>
      </w:rPr>
    </w:lvl>
    <w:lvl w:ilvl="2">
      <w:start w:val="33"/>
      <w:numFmt w:val="decimal"/>
      <w:lvlText w:val="%1.%2.%3"/>
      <w:lvlJc w:val="left"/>
      <w:pPr>
        <w:ind w:left="1280" w:hanging="1172"/>
        <w:jc w:val="left"/>
      </w:pPr>
      <w:rPr>
        <w:rFonts w:hint="default" w:ascii="宋体" w:hAnsi="宋体" w:eastAsia="宋体" w:cs="宋体"/>
        <w:b/>
        <w:bCs/>
        <w:w w:val="99"/>
        <w:sz w:val="21"/>
        <w:szCs w:val="21"/>
      </w:rPr>
    </w:lvl>
    <w:lvl w:ilvl="3">
      <w:start w:val="0"/>
      <w:numFmt w:val="bullet"/>
      <w:lvlText w:val="•"/>
      <w:lvlJc w:val="left"/>
      <w:pPr>
        <w:ind w:left="1787" w:hanging="1172"/>
      </w:pPr>
      <w:rPr>
        <w:rFonts w:hint="default"/>
      </w:rPr>
    </w:lvl>
    <w:lvl w:ilvl="4">
      <w:start w:val="0"/>
      <w:numFmt w:val="bullet"/>
      <w:lvlText w:val="•"/>
      <w:lvlJc w:val="left"/>
      <w:pPr>
        <w:ind w:left="1956" w:hanging="1172"/>
      </w:pPr>
      <w:rPr>
        <w:rFonts w:hint="default"/>
      </w:rPr>
    </w:lvl>
    <w:lvl w:ilvl="5">
      <w:start w:val="0"/>
      <w:numFmt w:val="bullet"/>
      <w:lvlText w:val="•"/>
      <w:lvlJc w:val="left"/>
      <w:pPr>
        <w:ind w:left="2125" w:hanging="1172"/>
      </w:pPr>
      <w:rPr>
        <w:rFonts w:hint="default"/>
      </w:rPr>
    </w:lvl>
    <w:lvl w:ilvl="6">
      <w:start w:val="0"/>
      <w:numFmt w:val="bullet"/>
      <w:lvlText w:val="•"/>
      <w:lvlJc w:val="left"/>
      <w:pPr>
        <w:ind w:left="2294" w:hanging="1172"/>
      </w:pPr>
      <w:rPr>
        <w:rFonts w:hint="default"/>
      </w:rPr>
    </w:lvl>
    <w:lvl w:ilvl="7">
      <w:start w:val="0"/>
      <w:numFmt w:val="bullet"/>
      <w:lvlText w:val="•"/>
      <w:lvlJc w:val="left"/>
      <w:pPr>
        <w:ind w:left="2463" w:hanging="1172"/>
      </w:pPr>
      <w:rPr>
        <w:rFonts w:hint="default"/>
      </w:rPr>
    </w:lvl>
    <w:lvl w:ilvl="8">
      <w:start w:val="0"/>
      <w:numFmt w:val="bullet"/>
      <w:lvlText w:val="•"/>
      <w:lvlJc w:val="left"/>
      <w:pPr>
        <w:ind w:left="2632" w:hanging="1172"/>
      </w:pPr>
      <w:rPr>
        <w:rFonts w:hint="default"/>
      </w:rPr>
    </w:lvl>
  </w:abstractNum>
  <w:abstractNum w:abstractNumId="3">
    <w:multiLevelType w:val="hybridMultilevel"/>
    <w:lvl w:ilvl="0">
      <w:start w:val="13"/>
      <w:numFmt w:val="decimal"/>
      <w:lvlText w:val="%1"/>
      <w:lvlJc w:val="left"/>
      <w:pPr>
        <w:ind w:left="1042" w:hanging="526"/>
        <w:jc w:val="left"/>
      </w:pPr>
      <w:rPr>
        <w:rFonts w:hint="default"/>
      </w:rPr>
    </w:lvl>
    <w:lvl w:ilvl="1">
      <w:start w:val="9"/>
      <w:numFmt w:val="decimal"/>
      <w:lvlText w:val="%1.%2"/>
      <w:lvlJc w:val="left"/>
      <w:pPr>
        <w:ind w:left="1042" w:hanging="526"/>
        <w:jc w:val="left"/>
      </w:pPr>
      <w:rPr>
        <w:rFonts w:hint="default" w:ascii="黑体" w:hAnsi="黑体" w:eastAsia="黑体" w:cs="黑体"/>
        <w:w w:val="100"/>
        <w:sz w:val="21"/>
        <w:szCs w:val="21"/>
      </w:rPr>
    </w:lvl>
    <w:lvl w:ilvl="2">
      <w:start w:val="0"/>
      <w:numFmt w:val="bullet"/>
      <w:lvlText w:val="•"/>
      <w:lvlJc w:val="left"/>
      <w:pPr>
        <w:ind w:left="1658" w:hanging="526"/>
      </w:pPr>
      <w:rPr>
        <w:rFonts w:hint="default"/>
      </w:rPr>
    </w:lvl>
    <w:lvl w:ilvl="3">
      <w:start w:val="0"/>
      <w:numFmt w:val="bullet"/>
      <w:lvlText w:val="•"/>
      <w:lvlJc w:val="left"/>
      <w:pPr>
        <w:ind w:left="1967" w:hanging="526"/>
      </w:pPr>
      <w:rPr>
        <w:rFonts w:hint="default"/>
      </w:rPr>
    </w:lvl>
    <w:lvl w:ilvl="4">
      <w:start w:val="0"/>
      <w:numFmt w:val="bullet"/>
      <w:lvlText w:val="•"/>
      <w:lvlJc w:val="left"/>
      <w:pPr>
        <w:ind w:left="2277" w:hanging="526"/>
      </w:pPr>
      <w:rPr>
        <w:rFonts w:hint="default"/>
      </w:rPr>
    </w:lvl>
    <w:lvl w:ilvl="5">
      <w:start w:val="0"/>
      <w:numFmt w:val="bullet"/>
      <w:lvlText w:val="•"/>
      <w:lvlJc w:val="left"/>
      <w:pPr>
        <w:ind w:left="2586" w:hanging="526"/>
      </w:pPr>
      <w:rPr>
        <w:rFonts w:hint="default"/>
      </w:rPr>
    </w:lvl>
    <w:lvl w:ilvl="6">
      <w:start w:val="0"/>
      <w:numFmt w:val="bullet"/>
      <w:lvlText w:val="•"/>
      <w:lvlJc w:val="left"/>
      <w:pPr>
        <w:ind w:left="2895" w:hanging="526"/>
      </w:pPr>
      <w:rPr>
        <w:rFonts w:hint="default"/>
      </w:rPr>
    </w:lvl>
    <w:lvl w:ilvl="7">
      <w:start w:val="0"/>
      <w:numFmt w:val="bullet"/>
      <w:lvlText w:val="•"/>
      <w:lvlJc w:val="left"/>
      <w:pPr>
        <w:ind w:left="3205" w:hanging="526"/>
      </w:pPr>
      <w:rPr>
        <w:rFonts w:hint="default"/>
      </w:rPr>
    </w:lvl>
    <w:lvl w:ilvl="8">
      <w:start w:val="0"/>
      <w:numFmt w:val="bullet"/>
      <w:lvlText w:val="•"/>
      <w:lvlJc w:val="left"/>
      <w:pPr>
        <w:ind w:left="3514" w:hanging="526"/>
      </w:pPr>
      <w:rPr>
        <w:rFonts w:hint="default"/>
      </w:rPr>
    </w:lvl>
  </w:abstractNum>
  <w:abstractNum w:abstractNumId="2">
    <w:multiLevelType w:val="hybridMultilevel"/>
    <w:lvl w:ilvl="0">
      <w:start w:val="8"/>
      <w:numFmt w:val="decimal"/>
      <w:lvlText w:val="%1"/>
      <w:lvlJc w:val="left"/>
      <w:pPr>
        <w:ind w:left="941" w:hanging="423"/>
        <w:jc w:val="left"/>
      </w:pPr>
      <w:rPr>
        <w:rFonts w:hint="default"/>
      </w:rPr>
    </w:lvl>
    <w:lvl w:ilvl="1">
      <w:start w:val="1"/>
      <w:numFmt w:val="decimal"/>
      <w:lvlText w:val="%1.%2"/>
      <w:lvlJc w:val="left"/>
      <w:pPr>
        <w:ind w:left="941" w:hanging="423"/>
        <w:jc w:val="left"/>
      </w:pPr>
      <w:rPr>
        <w:rFonts w:hint="default" w:ascii="黑体" w:hAnsi="黑体" w:eastAsia="黑体" w:cs="黑体"/>
        <w:w w:val="100"/>
        <w:sz w:val="21"/>
        <w:szCs w:val="21"/>
      </w:rPr>
    </w:lvl>
    <w:lvl w:ilvl="2">
      <w:start w:val="0"/>
      <w:numFmt w:val="bullet"/>
      <w:lvlText w:val="•"/>
      <w:lvlJc w:val="left"/>
      <w:pPr>
        <w:ind w:left="1395" w:hanging="423"/>
      </w:pPr>
      <w:rPr>
        <w:rFonts w:hint="default"/>
      </w:rPr>
    </w:lvl>
    <w:lvl w:ilvl="3">
      <w:start w:val="0"/>
      <w:numFmt w:val="bullet"/>
      <w:lvlText w:val="•"/>
      <w:lvlJc w:val="left"/>
      <w:pPr>
        <w:ind w:left="1623" w:hanging="423"/>
      </w:pPr>
      <w:rPr>
        <w:rFonts w:hint="default"/>
      </w:rPr>
    </w:lvl>
    <w:lvl w:ilvl="4">
      <w:start w:val="0"/>
      <w:numFmt w:val="bullet"/>
      <w:lvlText w:val="•"/>
      <w:lvlJc w:val="left"/>
      <w:pPr>
        <w:ind w:left="1851" w:hanging="423"/>
      </w:pPr>
      <w:rPr>
        <w:rFonts w:hint="default"/>
      </w:rPr>
    </w:lvl>
    <w:lvl w:ilvl="5">
      <w:start w:val="0"/>
      <w:numFmt w:val="bullet"/>
      <w:lvlText w:val="•"/>
      <w:lvlJc w:val="left"/>
      <w:pPr>
        <w:ind w:left="2079" w:hanging="423"/>
      </w:pPr>
      <w:rPr>
        <w:rFonts w:hint="default"/>
      </w:rPr>
    </w:lvl>
    <w:lvl w:ilvl="6">
      <w:start w:val="0"/>
      <w:numFmt w:val="bullet"/>
      <w:lvlText w:val="•"/>
      <w:lvlJc w:val="left"/>
      <w:pPr>
        <w:ind w:left="2307" w:hanging="423"/>
      </w:pPr>
      <w:rPr>
        <w:rFonts w:hint="default"/>
      </w:rPr>
    </w:lvl>
    <w:lvl w:ilvl="7">
      <w:start w:val="0"/>
      <w:numFmt w:val="bullet"/>
      <w:lvlText w:val="•"/>
      <w:lvlJc w:val="left"/>
      <w:pPr>
        <w:ind w:left="2535" w:hanging="423"/>
      </w:pPr>
      <w:rPr>
        <w:rFonts w:hint="default"/>
      </w:rPr>
    </w:lvl>
    <w:lvl w:ilvl="8">
      <w:start w:val="0"/>
      <w:numFmt w:val="bullet"/>
      <w:lvlText w:val="•"/>
      <w:lvlJc w:val="left"/>
      <w:pPr>
        <w:ind w:left="2763" w:hanging="423"/>
      </w:pPr>
      <w:rPr>
        <w:rFonts w:hint="default"/>
      </w:rPr>
    </w:lvl>
  </w:abstractNum>
  <w:abstractNum w:abstractNumId="1">
    <w:multiLevelType w:val="hybridMultilevel"/>
    <w:lvl w:ilvl="0">
      <w:start w:val="2"/>
      <w:numFmt w:val="decimal"/>
      <w:lvlText w:val="%1"/>
      <w:lvlJc w:val="left"/>
      <w:pPr>
        <w:ind w:left="955" w:hanging="423"/>
        <w:jc w:val="left"/>
      </w:pPr>
      <w:rPr>
        <w:rFonts w:hint="default"/>
      </w:rPr>
    </w:lvl>
    <w:lvl w:ilvl="1">
      <w:start w:val="1"/>
      <w:numFmt w:val="decimal"/>
      <w:lvlText w:val="%1.%2"/>
      <w:lvlJc w:val="left"/>
      <w:pPr>
        <w:ind w:left="955" w:hanging="423"/>
        <w:jc w:val="left"/>
      </w:pPr>
      <w:rPr>
        <w:rFonts w:hint="default" w:ascii="黑体" w:hAnsi="黑体" w:eastAsia="黑体" w:cs="黑体"/>
        <w:w w:val="100"/>
        <w:sz w:val="21"/>
        <w:szCs w:val="21"/>
      </w:rPr>
    </w:lvl>
    <w:lvl w:ilvl="2">
      <w:start w:val="0"/>
      <w:numFmt w:val="bullet"/>
      <w:lvlText w:val="•"/>
      <w:lvlJc w:val="left"/>
      <w:pPr>
        <w:ind w:left="1414" w:hanging="423"/>
      </w:pPr>
      <w:rPr>
        <w:rFonts w:hint="default"/>
      </w:rPr>
    </w:lvl>
    <w:lvl w:ilvl="3">
      <w:start w:val="0"/>
      <w:numFmt w:val="bullet"/>
      <w:lvlText w:val="•"/>
      <w:lvlJc w:val="left"/>
      <w:pPr>
        <w:ind w:left="1642" w:hanging="423"/>
      </w:pPr>
      <w:rPr>
        <w:rFonts w:hint="default"/>
      </w:rPr>
    </w:lvl>
    <w:lvl w:ilvl="4">
      <w:start w:val="0"/>
      <w:numFmt w:val="bullet"/>
      <w:lvlText w:val="•"/>
      <w:lvlJc w:val="left"/>
      <w:pPr>
        <w:ind w:left="1869" w:hanging="423"/>
      </w:pPr>
      <w:rPr>
        <w:rFonts w:hint="default"/>
      </w:rPr>
    </w:lvl>
    <w:lvl w:ilvl="5">
      <w:start w:val="0"/>
      <w:numFmt w:val="bullet"/>
      <w:lvlText w:val="•"/>
      <w:lvlJc w:val="left"/>
      <w:pPr>
        <w:ind w:left="2096" w:hanging="423"/>
      </w:pPr>
      <w:rPr>
        <w:rFonts w:hint="default"/>
      </w:rPr>
    </w:lvl>
    <w:lvl w:ilvl="6">
      <w:start w:val="0"/>
      <w:numFmt w:val="bullet"/>
      <w:lvlText w:val="•"/>
      <w:lvlJc w:val="left"/>
      <w:pPr>
        <w:ind w:left="2324" w:hanging="423"/>
      </w:pPr>
      <w:rPr>
        <w:rFonts w:hint="default"/>
      </w:rPr>
    </w:lvl>
    <w:lvl w:ilvl="7">
      <w:start w:val="0"/>
      <w:numFmt w:val="bullet"/>
      <w:lvlText w:val="•"/>
      <w:lvlJc w:val="left"/>
      <w:pPr>
        <w:ind w:left="2551" w:hanging="423"/>
      </w:pPr>
      <w:rPr>
        <w:rFonts w:hint="default"/>
      </w:rPr>
    </w:lvl>
    <w:lvl w:ilvl="8">
      <w:start w:val="0"/>
      <w:numFmt w:val="bullet"/>
      <w:lvlText w:val="•"/>
      <w:lvlJc w:val="left"/>
      <w:pPr>
        <w:ind w:left="2778" w:hanging="423"/>
      </w:pPr>
      <w:rPr>
        <w:rFonts w:hint="default"/>
      </w:rPr>
    </w:lvl>
  </w:abstractNum>
  <w:abstractNum w:abstractNumId="0">
    <w:multiLevelType w:val="hybridMultilevel"/>
    <w:lvl w:ilvl="0">
      <w:start w:val="0"/>
      <w:numFmt w:val="bullet"/>
      <w:lvlText w:val=""/>
      <w:lvlJc w:val="left"/>
      <w:pPr>
        <w:ind w:left="850" w:hanging="454"/>
      </w:pPr>
      <w:rPr>
        <w:rFonts w:hint="default" w:ascii="Wingdings" w:hAnsi="Wingdings" w:eastAsia="Wingdings" w:cs="Wingdings"/>
        <w:w w:val="100"/>
        <w:sz w:val="21"/>
        <w:szCs w:val="21"/>
      </w:rPr>
    </w:lvl>
    <w:lvl w:ilvl="1">
      <w:start w:val="0"/>
      <w:numFmt w:val="bullet"/>
      <w:lvlText w:val="•"/>
      <w:lvlJc w:val="left"/>
      <w:pPr>
        <w:ind w:left="1840" w:hanging="454"/>
      </w:pPr>
      <w:rPr>
        <w:rFonts w:hint="default"/>
      </w:rPr>
    </w:lvl>
    <w:lvl w:ilvl="2">
      <w:start w:val="0"/>
      <w:numFmt w:val="bullet"/>
      <w:lvlText w:val="•"/>
      <w:lvlJc w:val="left"/>
      <w:pPr>
        <w:ind w:left="2821" w:hanging="454"/>
      </w:pPr>
      <w:rPr>
        <w:rFonts w:hint="default"/>
      </w:rPr>
    </w:lvl>
    <w:lvl w:ilvl="3">
      <w:start w:val="0"/>
      <w:numFmt w:val="bullet"/>
      <w:lvlText w:val="•"/>
      <w:lvlJc w:val="left"/>
      <w:pPr>
        <w:ind w:left="3801" w:hanging="454"/>
      </w:pPr>
      <w:rPr>
        <w:rFonts w:hint="default"/>
      </w:rPr>
    </w:lvl>
    <w:lvl w:ilvl="4">
      <w:start w:val="0"/>
      <w:numFmt w:val="bullet"/>
      <w:lvlText w:val="•"/>
      <w:lvlJc w:val="left"/>
      <w:pPr>
        <w:ind w:left="4782" w:hanging="454"/>
      </w:pPr>
      <w:rPr>
        <w:rFonts w:hint="default"/>
      </w:rPr>
    </w:lvl>
    <w:lvl w:ilvl="5">
      <w:start w:val="0"/>
      <w:numFmt w:val="bullet"/>
      <w:lvlText w:val="•"/>
      <w:lvlJc w:val="left"/>
      <w:pPr>
        <w:ind w:left="5763" w:hanging="454"/>
      </w:pPr>
      <w:rPr>
        <w:rFonts w:hint="default"/>
      </w:rPr>
    </w:lvl>
    <w:lvl w:ilvl="6">
      <w:start w:val="0"/>
      <w:numFmt w:val="bullet"/>
      <w:lvlText w:val="•"/>
      <w:lvlJc w:val="left"/>
      <w:pPr>
        <w:ind w:left="6743" w:hanging="454"/>
      </w:pPr>
      <w:rPr>
        <w:rFonts w:hint="default"/>
      </w:rPr>
    </w:lvl>
    <w:lvl w:ilvl="7">
      <w:start w:val="0"/>
      <w:numFmt w:val="bullet"/>
      <w:lvlText w:val="•"/>
      <w:lvlJc w:val="left"/>
      <w:pPr>
        <w:ind w:left="7724" w:hanging="454"/>
      </w:pPr>
      <w:rPr>
        <w:rFonts w:hint="default"/>
      </w:rPr>
    </w:lvl>
    <w:lvl w:ilvl="8">
      <w:start w:val="0"/>
      <w:numFmt w:val="bullet"/>
      <w:lvlText w:val="•"/>
      <w:lvlJc w:val="left"/>
      <w:pPr>
        <w:ind w:left="8705" w:hanging="454"/>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36"/>
      <w:ind w:left="1280"/>
      <w:outlineLvl w:val="1"/>
    </w:pPr>
    <w:rPr>
      <w:rFonts w:ascii="宋体" w:hAnsi="宋体" w:eastAsia="宋体" w:cs="宋体"/>
      <w:b/>
      <w:bCs/>
      <w:sz w:val="21"/>
      <w:szCs w:val="21"/>
    </w:rPr>
  </w:style>
  <w:style w:styleId="ListParagraph" w:type="paragraph">
    <w:name w:val="List Paragraph"/>
    <w:basedOn w:val="Normal"/>
    <w:uiPriority w:val="1"/>
    <w:qFormat/>
    <w:pPr>
      <w:spacing w:before="22"/>
      <w:ind w:left="850" w:hanging="454"/>
    </w:pPr>
    <w:rPr>
      <w:rFonts w:ascii="黑体" w:hAnsi="黑体" w:eastAsia="黑体" w:cs="黑体"/>
    </w:rPr>
  </w:style>
  <w:style w:styleId="TableParagraph" w:type="paragraph">
    <w:name w:val="Table Paragraph"/>
    <w:basedOn w:val="Normal"/>
    <w:uiPriority w:val="1"/>
    <w:qFormat/>
    <w:pPr>
      <w:ind w:left="163"/>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erms:created xsi:type="dcterms:W3CDTF">2018-10-20T03:13:51Z</dcterms:created>
  <dcterms:modified xsi:type="dcterms:W3CDTF">2018-10-20T03:13:51Z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2016-04-07T00:00:00Z</vt:filetime>
  </property>
  <property fmtid="{D5CDD505-2E9C-101B-9397-08002B2CF9AE}" pid="3" name="Creator">
    <vt:lpwstr>Microsoft® Word 2010</vt:lpwstr>
  </property>
  <property fmtid="{D5CDD505-2E9C-101B-9397-08002B2CF9AE}" pid="4" name="LastSaved">
    <vt:filetime>2018-10-19T00:00:00Z</vt:filetime>
  </property>
</Properties>
</file>