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61" w:lineRule="exact"/>
      </w:pPr>
      <w:r>
        <w:rPr/>
        <w:t>中融附加重大疾病保险 </w:t>
      </w:r>
      <w:r>
        <w:rPr>
          <w:rFonts w:ascii="Microsoft JhengHei UI" w:eastAsia="Microsoft JhengHei UI" w:hint="eastAsia"/>
        </w:rPr>
        <w:t>A </w:t>
      </w:r>
      <w:r>
        <w:rPr/>
        <w:t>款条款</w:t>
      </w:r>
    </w:p>
    <w:p>
      <w:pPr>
        <w:spacing w:before="130"/>
        <w:ind w:left="2047" w:right="2215" w:firstLine="0"/>
        <w:jc w:val="center"/>
        <w:rPr>
          <w:rFonts w:ascii="微软雅黑" w:eastAsia="微软雅黑" w:hint="eastAsia"/>
          <w:b/>
          <w:sz w:val="28"/>
        </w:rPr>
      </w:pPr>
      <w:r>
        <w:rPr>
          <w:rFonts w:ascii="微软雅黑" w:eastAsia="微软雅黑" w:hint="eastAsia"/>
          <w:b/>
          <w:sz w:val="28"/>
        </w:rPr>
        <w:t>阅  读  指 引</w:t>
      </w:r>
    </w:p>
    <w:p>
      <w:pPr>
        <w:spacing w:before="216"/>
        <w:ind w:left="2050" w:right="2215" w:firstLine="0"/>
        <w:jc w:val="center"/>
        <w:rPr>
          <w:b/>
          <w:sz w:val="20"/>
        </w:rPr>
      </w:pPr>
      <w:r>
        <w:rPr/>
        <w:drawing>
          <wp:anchor distT="0" distB="0" distL="0" distR="0" allowOverlap="1" layoutInCell="1" locked="0" behindDoc="1" simplePos="0" relativeHeight="268409591">
            <wp:simplePos x="0" y="0"/>
            <wp:positionH relativeFrom="page">
              <wp:posOffset>500176</wp:posOffset>
            </wp:positionH>
            <wp:positionV relativeFrom="paragraph">
              <wp:posOffset>386076</wp:posOffset>
            </wp:positionV>
            <wp:extent cx="6671513" cy="732345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671513" cy="7323455"/>
                    </a:xfrm>
                    <a:prstGeom prst="rect">
                      <a:avLst/>
                    </a:prstGeom>
                  </pic:spPr>
                </pic:pic>
              </a:graphicData>
            </a:graphic>
          </wp:anchor>
        </w:drawing>
      </w:r>
      <w:r>
        <w:rPr>
          <w:b/>
          <w:sz w:val="20"/>
        </w:rPr>
        <w:t>本阅读指引旨在帮助您理解条款，对本附加合同内容的解释以条款为准。</w:t>
      </w:r>
    </w:p>
    <w:p>
      <w:pPr>
        <w:pStyle w:val="BodyText"/>
        <w:spacing w:before="5"/>
        <w:ind w:left="0"/>
        <w:rPr>
          <w:b/>
        </w:rPr>
      </w:pPr>
    </w:p>
    <w:p>
      <w:pPr>
        <w:tabs>
          <w:tab w:pos="1351" w:val="left" w:leader="none"/>
        </w:tabs>
        <w:spacing w:before="0"/>
        <w:ind w:left="342" w:right="0" w:firstLine="0"/>
        <w:jc w:val="left"/>
        <w:rPr>
          <w:b/>
          <w:sz w:val="21"/>
        </w:rPr>
      </w:pPr>
      <w:r>
        <w:rPr>
          <w:rFonts w:ascii="Arial" w:hAnsi="Arial" w:eastAsia="Arial"/>
          <w:b/>
          <w:w w:val="105"/>
          <w:position w:val="-11"/>
          <w:sz w:val="52"/>
        </w:rPr>
        <w:t></w:t>
        <w:tab/>
      </w:r>
      <w:r>
        <w:rPr>
          <w:b/>
          <w:sz w:val="21"/>
        </w:rPr>
        <w:t>您拥有的重要权益</w:t>
      </w:r>
    </w:p>
    <w:p>
      <w:pPr>
        <w:pStyle w:val="ListParagraph"/>
        <w:numPr>
          <w:ilvl w:val="0"/>
          <w:numId w:val="1"/>
        </w:numPr>
        <w:tabs>
          <w:tab w:pos="1735" w:val="left" w:leader="none"/>
          <w:tab w:pos="1736" w:val="left" w:leader="none"/>
        </w:tabs>
        <w:spacing w:line="240" w:lineRule="auto" w:before="23" w:after="0"/>
        <w:ind w:left="1735" w:right="0" w:hanging="418"/>
        <w:jc w:val="left"/>
        <w:rPr>
          <w:sz w:val="21"/>
        </w:rPr>
      </w:pPr>
      <w:r>
        <w:rPr>
          <w:spacing w:val="-5"/>
          <w:w w:val="110"/>
          <w:sz w:val="21"/>
        </w:rPr>
        <w:t>被保险人可以享受本附加合同提供的保障</w:t>
      </w:r>
      <w:r>
        <w:rPr>
          <w:spacing w:val="-1"/>
          <w:w w:val="170"/>
          <w:sz w:val="21"/>
        </w:rPr>
        <w:t>„„„„„„„„„„„„„„„„„„2.4</w:t>
      </w:r>
    </w:p>
    <w:p>
      <w:pPr>
        <w:pStyle w:val="ListParagraph"/>
        <w:numPr>
          <w:ilvl w:val="0"/>
          <w:numId w:val="1"/>
        </w:numPr>
        <w:tabs>
          <w:tab w:pos="1735" w:val="left" w:leader="none"/>
          <w:tab w:pos="1736" w:val="left" w:leader="none"/>
        </w:tabs>
        <w:spacing w:line="240" w:lineRule="auto" w:before="22" w:after="0"/>
        <w:ind w:left="1735" w:right="0" w:hanging="418"/>
        <w:jc w:val="left"/>
        <w:rPr>
          <w:sz w:val="21"/>
        </w:rPr>
      </w:pPr>
      <w:r>
        <w:rPr>
          <w:spacing w:val="-3"/>
          <w:w w:val="120"/>
          <w:sz w:val="21"/>
        </w:rPr>
        <w:t>您有退保的权利</w:t>
      </w:r>
      <w:r>
        <w:rPr>
          <w:spacing w:val="-1"/>
          <w:w w:val="175"/>
          <w:sz w:val="21"/>
        </w:rPr>
        <w:t>„„„„„„„„„„„„„„„„„„„„„„„„„„„„„5.1</w:t>
      </w:r>
    </w:p>
    <w:p>
      <w:pPr>
        <w:tabs>
          <w:tab w:pos="1351" w:val="left" w:leader="none"/>
        </w:tabs>
        <w:spacing w:before="25"/>
        <w:ind w:left="342" w:right="0" w:firstLine="0"/>
        <w:jc w:val="left"/>
        <w:rPr>
          <w:b/>
          <w:sz w:val="21"/>
        </w:rPr>
      </w:pPr>
      <w:r>
        <w:rPr>
          <w:rFonts w:ascii="Arial" w:hAnsi="Arial" w:eastAsia="Arial"/>
          <w:b/>
          <w:w w:val="105"/>
          <w:position w:val="-11"/>
          <w:sz w:val="52"/>
        </w:rPr>
        <w:t></w:t>
        <w:tab/>
      </w:r>
      <w:r>
        <w:rPr>
          <w:b/>
          <w:sz w:val="21"/>
        </w:rPr>
        <w:t>您应当特别注意的事项</w:t>
      </w:r>
    </w:p>
    <w:p>
      <w:pPr>
        <w:pStyle w:val="ListParagraph"/>
        <w:numPr>
          <w:ilvl w:val="0"/>
          <w:numId w:val="1"/>
        </w:numPr>
        <w:tabs>
          <w:tab w:pos="1735" w:val="left" w:leader="none"/>
          <w:tab w:pos="1736" w:val="left" w:leader="none"/>
        </w:tabs>
        <w:spacing w:line="240" w:lineRule="auto" w:before="24" w:after="0"/>
        <w:ind w:left="1735" w:right="0" w:hanging="418"/>
        <w:jc w:val="left"/>
        <w:rPr>
          <w:sz w:val="21"/>
        </w:rPr>
      </w:pPr>
      <w:r>
        <w:rPr>
          <w:spacing w:val="-4"/>
          <w:w w:val="110"/>
          <w:sz w:val="21"/>
        </w:rPr>
        <w:t>在某些情况下，我们不承担保险责任</w:t>
      </w:r>
      <w:r>
        <w:rPr>
          <w:spacing w:val="-1"/>
          <w:w w:val="170"/>
          <w:sz w:val="21"/>
        </w:rPr>
        <w:t>„„„„„„„„„„„„„„„„„„„„2.5</w:t>
      </w:r>
    </w:p>
    <w:p>
      <w:pPr>
        <w:pStyle w:val="ListParagraph"/>
        <w:numPr>
          <w:ilvl w:val="0"/>
          <w:numId w:val="1"/>
        </w:numPr>
        <w:tabs>
          <w:tab w:pos="1735" w:val="left" w:leader="none"/>
          <w:tab w:pos="1736" w:val="left" w:leader="none"/>
        </w:tabs>
        <w:spacing w:line="240" w:lineRule="auto" w:before="22" w:after="0"/>
        <w:ind w:left="1735" w:right="0" w:hanging="418"/>
        <w:jc w:val="left"/>
        <w:rPr>
          <w:sz w:val="21"/>
        </w:rPr>
      </w:pPr>
      <w:r>
        <w:rPr>
          <w:spacing w:val="-5"/>
          <w:w w:val="110"/>
          <w:sz w:val="21"/>
        </w:rPr>
        <w:t>退保会给您造成一定的损失，请您慎重决策</w:t>
      </w:r>
      <w:r>
        <w:rPr>
          <w:spacing w:val="-1"/>
          <w:w w:val="165"/>
          <w:sz w:val="21"/>
        </w:rPr>
        <w:t>„„„„„„„„„„„„„„„„„5.1</w:t>
      </w:r>
    </w:p>
    <w:p>
      <w:pPr>
        <w:pStyle w:val="ListParagraph"/>
        <w:numPr>
          <w:ilvl w:val="0"/>
          <w:numId w:val="1"/>
        </w:numPr>
        <w:tabs>
          <w:tab w:pos="1735" w:val="left" w:leader="none"/>
          <w:tab w:pos="1736" w:val="left" w:leader="none"/>
        </w:tabs>
        <w:spacing w:line="240" w:lineRule="auto" w:before="22" w:after="0"/>
        <w:ind w:left="1735" w:right="0" w:hanging="418"/>
        <w:jc w:val="left"/>
        <w:rPr>
          <w:sz w:val="21"/>
        </w:rPr>
      </w:pPr>
      <w:r>
        <w:rPr>
          <w:spacing w:val="-5"/>
          <w:w w:val="110"/>
          <w:sz w:val="21"/>
        </w:rPr>
        <w:t>主合同的某些变动会导致本附加合同效力终止</w:t>
      </w:r>
      <w:r>
        <w:rPr>
          <w:spacing w:val="-1"/>
          <w:w w:val="165"/>
          <w:sz w:val="21"/>
        </w:rPr>
        <w:t>„„„„„„„„„„„„„„„„6.2</w:t>
      </w:r>
    </w:p>
    <w:p>
      <w:pPr>
        <w:pStyle w:val="ListParagraph"/>
        <w:numPr>
          <w:ilvl w:val="0"/>
          <w:numId w:val="1"/>
        </w:numPr>
        <w:tabs>
          <w:tab w:pos="1735" w:val="left" w:leader="none"/>
          <w:tab w:pos="1736" w:val="left" w:leader="none"/>
        </w:tabs>
        <w:spacing w:line="240" w:lineRule="auto" w:before="22" w:after="0"/>
        <w:ind w:left="1735" w:right="0" w:hanging="418"/>
        <w:jc w:val="left"/>
        <w:rPr>
          <w:sz w:val="21"/>
        </w:rPr>
      </w:pPr>
      <w:r>
        <w:rPr>
          <w:spacing w:val="-5"/>
          <w:w w:val="110"/>
          <w:sz w:val="21"/>
        </w:rPr>
        <w:t>我们对一些重要术语进行了解释，并作了显著标识，请您注意</w:t>
      </w:r>
      <w:r>
        <w:rPr>
          <w:w w:val="140"/>
          <w:sz w:val="21"/>
        </w:rPr>
        <w:t>„„„„„„„„„7</w:t>
      </w:r>
    </w:p>
    <w:p>
      <w:pPr>
        <w:pStyle w:val="ListParagraph"/>
        <w:numPr>
          <w:ilvl w:val="0"/>
          <w:numId w:val="1"/>
        </w:numPr>
        <w:tabs>
          <w:tab w:pos="1735" w:val="left" w:leader="none"/>
          <w:tab w:pos="1736" w:val="left" w:leader="none"/>
        </w:tabs>
        <w:spacing w:line="240" w:lineRule="auto" w:before="22" w:after="0"/>
        <w:ind w:left="1735" w:right="0" w:hanging="418"/>
        <w:jc w:val="left"/>
        <w:rPr>
          <w:sz w:val="21"/>
        </w:rPr>
      </w:pPr>
      <w:r>
        <w:rPr>
          <w:spacing w:val="-5"/>
          <w:w w:val="110"/>
          <w:sz w:val="21"/>
        </w:rPr>
        <w:t>保险条款有关于重大疾病的释义，请您留意</w:t>
      </w:r>
      <w:r>
        <w:rPr>
          <w:spacing w:val="-1"/>
          <w:w w:val="165"/>
          <w:sz w:val="21"/>
        </w:rPr>
        <w:t>„„„„„„„„„„„„„„„„„7.5</w:t>
      </w:r>
    </w:p>
    <w:p>
      <w:pPr>
        <w:tabs>
          <w:tab w:pos="1351" w:val="left" w:leader="none"/>
        </w:tabs>
        <w:spacing w:before="24"/>
        <w:ind w:left="342" w:right="0" w:firstLine="0"/>
        <w:jc w:val="left"/>
        <w:rPr>
          <w:b/>
          <w:sz w:val="21"/>
        </w:rPr>
      </w:pPr>
      <w:r>
        <w:rPr>
          <w:rFonts w:ascii="Arial" w:hAnsi="Arial" w:eastAsia="Arial"/>
          <w:b/>
          <w:w w:val="105"/>
          <w:position w:val="-11"/>
          <w:sz w:val="52"/>
        </w:rPr>
        <w:t></w:t>
        <w:tab/>
      </w:r>
      <w:r>
        <w:rPr>
          <w:b/>
          <w:spacing w:val="-1"/>
          <w:sz w:val="21"/>
        </w:rPr>
        <w:t>条款是保险合同的重要内容，为充分保障您的权益，请您仔细阅读本条款。</w:t>
      </w:r>
    </w:p>
    <w:p>
      <w:pPr>
        <w:tabs>
          <w:tab w:pos="1351" w:val="left" w:leader="none"/>
        </w:tabs>
        <w:spacing w:before="26" w:after="38"/>
        <w:ind w:left="342" w:right="0" w:firstLine="0"/>
        <w:jc w:val="left"/>
        <w:rPr>
          <w:b/>
          <w:sz w:val="21"/>
        </w:rPr>
      </w:pPr>
      <w:r>
        <w:rPr>
          <w:rFonts w:ascii="Arial" w:hAnsi="Arial" w:eastAsia="Arial"/>
          <w:b/>
          <w:w w:val="110"/>
          <w:position w:val="-11"/>
          <w:sz w:val="52"/>
        </w:rPr>
        <w:t></w:t>
        <w:tab/>
      </w:r>
      <w:r>
        <w:rPr>
          <w:b/>
          <w:sz w:val="21"/>
        </w:rPr>
        <w:t>条款目录</w:t>
      </w:r>
    </w:p>
    <w:tbl>
      <w:tblPr>
        <w:tblW w:w="0" w:type="auto"/>
        <w:jc w:val="left"/>
        <w:tblInd w:w="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3"/>
        <w:gridCol w:w="3162"/>
        <w:gridCol w:w="3407"/>
      </w:tblGrid>
      <w:tr>
        <w:trPr>
          <w:trHeight w:val="312" w:hRule="atLeast"/>
        </w:trPr>
        <w:tc>
          <w:tcPr>
            <w:tcW w:w="2573" w:type="dxa"/>
            <w:tcBorders>
              <w:top w:val="single" w:sz="4" w:space="0" w:color="000000"/>
              <w:left w:val="single" w:sz="4" w:space="0" w:color="000000"/>
            </w:tcBorders>
          </w:tcPr>
          <w:p>
            <w:pPr>
              <w:pStyle w:val="TableParagraph"/>
              <w:spacing w:line="284" w:lineRule="exact"/>
              <w:ind w:left="52"/>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3162" w:type="dxa"/>
            <w:vMerge w:val="restart"/>
            <w:tcBorders>
              <w:top w:val="single" w:sz="4" w:space="0" w:color="000000"/>
            </w:tcBorders>
          </w:tcPr>
          <w:p>
            <w:pPr>
              <w:pStyle w:val="TableParagraph"/>
              <w:spacing w:line="250" w:lineRule="exact"/>
              <w:ind w:left="264"/>
              <w:rPr>
                <w:sz w:val="21"/>
              </w:rPr>
            </w:pPr>
            <w:r>
              <w:rPr>
                <w:sz w:val="21"/>
              </w:rPr>
              <w:t>3.4 诉讼时效</w:t>
            </w:r>
          </w:p>
          <w:p>
            <w:pPr>
              <w:pStyle w:val="TableParagraph"/>
              <w:spacing w:line="351" w:lineRule="exact"/>
              <w:ind w:left="159"/>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3407" w:type="dxa"/>
            <w:tcBorders>
              <w:top w:val="single" w:sz="4" w:space="0" w:color="000000"/>
              <w:right w:val="single" w:sz="4" w:space="0" w:color="000000"/>
            </w:tcBorders>
          </w:tcPr>
          <w:p>
            <w:pPr>
              <w:pStyle w:val="TableParagraph"/>
              <w:spacing w:line="260" w:lineRule="exact"/>
              <w:ind w:left="224"/>
              <w:rPr>
                <w:sz w:val="21"/>
              </w:rPr>
            </w:pPr>
            <w:r>
              <w:rPr>
                <w:sz w:val="21"/>
              </w:rPr>
              <w:t>7.5 重大疾病</w:t>
            </w:r>
          </w:p>
        </w:tc>
      </w:tr>
      <w:tr>
        <w:trPr>
          <w:trHeight w:val="314" w:hRule="atLeast"/>
        </w:trPr>
        <w:tc>
          <w:tcPr>
            <w:tcW w:w="2573" w:type="dxa"/>
            <w:tcBorders>
              <w:left w:val="single" w:sz="4" w:space="0" w:color="000000"/>
            </w:tcBorders>
          </w:tcPr>
          <w:p>
            <w:pPr>
              <w:pStyle w:val="TableParagraph"/>
              <w:spacing w:line="264" w:lineRule="exact"/>
              <w:ind w:left="158"/>
              <w:rPr>
                <w:sz w:val="21"/>
              </w:rPr>
            </w:pPr>
            <w:r>
              <w:rPr>
                <w:sz w:val="21"/>
              </w:rPr>
              <w:t>1.1 保险合同构成</w:t>
            </w:r>
          </w:p>
        </w:tc>
        <w:tc>
          <w:tcPr>
            <w:tcW w:w="3162" w:type="dxa"/>
            <w:vMerge/>
            <w:tcBorders>
              <w:top w:val="nil"/>
            </w:tcBorders>
          </w:tcPr>
          <w:p>
            <w:pPr>
              <w:rPr>
                <w:sz w:val="2"/>
                <w:szCs w:val="2"/>
              </w:rPr>
            </w:pPr>
          </w:p>
        </w:tc>
        <w:tc>
          <w:tcPr>
            <w:tcW w:w="3407" w:type="dxa"/>
            <w:tcBorders>
              <w:right w:val="single" w:sz="4" w:space="0" w:color="000000"/>
            </w:tcBorders>
          </w:tcPr>
          <w:p>
            <w:pPr>
              <w:pStyle w:val="TableParagraph"/>
              <w:spacing w:line="264" w:lineRule="exact"/>
              <w:ind w:left="224"/>
              <w:rPr>
                <w:sz w:val="21"/>
              </w:rPr>
            </w:pPr>
            <w:r>
              <w:rPr>
                <w:sz w:val="21"/>
              </w:rPr>
              <w:t>7.6 初次发生</w:t>
            </w:r>
          </w:p>
        </w:tc>
      </w:tr>
      <w:tr>
        <w:trPr>
          <w:trHeight w:val="312" w:hRule="atLeast"/>
        </w:trPr>
        <w:tc>
          <w:tcPr>
            <w:tcW w:w="2573" w:type="dxa"/>
            <w:tcBorders>
              <w:left w:val="single" w:sz="4" w:space="0" w:color="000000"/>
            </w:tcBorders>
          </w:tcPr>
          <w:p>
            <w:pPr>
              <w:pStyle w:val="TableParagraph"/>
              <w:spacing w:line="261" w:lineRule="exact"/>
              <w:ind w:left="158"/>
              <w:rPr>
                <w:sz w:val="21"/>
              </w:rPr>
            </w:pPr>
            <w:r>
              <w:rPr>
                <w:sz w:val="21"/>
              </w:rPr>
              <w:t>1.2 保险合同成立与生效</w:t>
            </w:r>
          </w:p>
        </w:tc>
        <w:tc>
          <w:tcPr>
            <w:tcW w:w="3162" w:type="dxa"/>
          </w:tcPr>
          <w:p>
            <w:pPr>
              <w:pStyle w:val="TableParagraph"/>
              <w:spacing w:line="261" w:lineRule="exact"/>
              <w:ind w:left="264"/>
              <w:rPr>
                <w:sz w:val="21"/>
              </w:rPr>
            </w:pPr>
            <w:r>
              <w:rPr>
                <w:sz w:val="21"/>
              </w:rPr>
              <w:t>4.1 保险费支付</w:t>
            </w:r>
          </w:p>
        </w:tc>
        <w:tc>
          <w:tcPr>
            <w:tcW w:w="3407" w:type="dxa"/>
            <w:tcBorders>
              <w:right w:val="single" w:sz="4" w:space="0" w:color="000000"/>
            </w:tcBorders>
          </w:tcPr>
          <w:p>
            <w:pPr>
              <w:pStyle w:val="TableParagraph"/>
              <w:spacing w:line="261" w:lineRule="exact"/>
              <w:ind w:left="224"/>
              <w:rPr>
                <w:sz w:val="21"/>
              </w:rPr>
            </w:pPr>
            <w:r>
              <w:rPr>
                <w:sz w:val="21"/>
              </w:rPr>
              <w:t>7.7 医疗机构</w:t>
            </w:r>
          </w:p>
        </w:tc>
      </w:tr>
      <w:tr>
        <w:trPr>
          <w:trHeight w:val="312" w:hRule="atLeast"/>
        </w:trPr>
        <w:tc>
          <w:tcPr>
            <w:tcW w:w="2573" w:type="dxa"/>
            <w:tcBorders>
              <w:left w:val="single" w:sz="4" w:space="0" w:color="000000"/>
            </w:tcBorders>
          </w:tcPr>
          <w:p>
            <w:pPr>
              <w:pStyle w:val="TableParagraph"/>
              <w:spacing w:line="261" w:lineRule="exact"/>
              <w:ind w:left="158"/>
              <w:rPr>
                <w:sz w:val="21"/>
              </w:rPr>
            </w:pPr>
            <w:r>
              <w:rPr>
                <w:sz w:val="21"/>
              </w:rPr>
              <w:t>1.3 犹豫期</w:t>
            </w:r>
          </w:p>
        </w:tc>
        <w:tc>
          <w:tcPr>
            <w:tcW w:w="3162" w:type="dxa"/>
          </w:tcPr>
          <w:p>
            <w:pPr>
              <w:pStyle w:val="TableParagraph"/>
              <w:spacing w:line="285" w:lineRule="exact"/>
              <w:ind w:left="159"/>
              <w:rPr>
                <w:rFonts w:ascii="Microsoft JhengHei" w:eastAsia="Microsoft JhengHei" w:hint="eastAsia"/>
                <w:b/>
                <w:sz w:val="21"/>
              </w:rPr>
            </w:pPr>
            <w:r>
              <w:rPr>
                <w:b/>
                <w:sz w:val="21"/>
              </w:rPr>
              <w:t>5.</w:t>
            </w:r>
            <w:r>
              <w:rPr>
                <w:rFonts w:ascii="Microsoft JhengHei" w:eastAsia="Microsoft JhengHei" w:hint="eastAsia"/>
                <w:b/>
                <w:sz w:val="21"/>
              </w:rPr>
              <w:t>如何解除保险合同</w:t>
            </w:r>
          </w:p>
        </w:tc>
        <w:tc>
          <w:tcPr>
            <w:tcW w:w="3407" w:type="dxa"/>
            <w:tcBorders>
              <w:right w:val="single" w:sz="4" w:space="0" w:color="000000"/>
            </w:tcBorders>
          </w:tcPr>
          <w:p>
            <w:pPr>
              <w:pStyle w:val="TableParagraph"/>
              <w:spacing w:line="261" w:lineRule="exact"/>
              <w:ind w:left="224"/>
              <w:rPr>
                <w:sz w:val="21"/>
              </w:rPr>
            </w:pPr>
            <w:r>
              <w:rPr>
                <w:sz w:val="21"/>
              </w:rPr>
              <w:t>7.8 专科医生</w:t>
            </w:r>
          </w:p>
        </w:tc>
      </w:tr>
      <w:tr>
        <w:trPr>
          <w:trHeight w:val="312" w:hRule="atLeast"/>
        </w:trPr>
        <w:tc>
          <w:tcPr>
            <w:tcW w:w="2573" w:type="dxa"/>
            <w:tcBorders>
              <w:left w:val="single" w:sz="4" w:space="0" w:color="000000"/>
            </w:tcBorders>
          </w:tcPr>
          <w:p>
            <w:pPr>
              <w:pStyle w:val="TableParagraph"/>
              <w:spacing w:line="286" w:lineRule="exact"/>
              <w:ind w:left="52"/>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3162" w:type="dxa"/>
          </w:tcPr>
          <w:p>
            <w:pPr>
              <w:pStyle w:val="TableParagraph"/>
              <w:spacing w:line="262" w:lineRule="exact"/>
              <w:ind w:left="264"/>
              <w:rPr>
                <w:sz w:val="21"/>
              </w:rPr>
            </w:pPr>
            <w:r>
              <w:rPr>
                <w:sz w:val="21"/>
              </w:rPr>
              <w:t>5.1 您解除合同的手续及风险</w:t>
            </w:r>
          </w:p>
        </w:tc>
        <w:tc>
          <w:tcPr>
            <w:tcW w:w="3407" w:type="dxa"/>
            <w:tcBorders>
              <w:right w:val="single" w:sz="4" w:space="0" w:color="000000"/>
            </w:tcBorders>
          </w:tcPr>
          <w:p>
            <w:pPr>
              <w:pStyle w:val="TableParagraph"/>
              <w:spacing w:line="262" w:lineRule="exact"/>
              <w:ind w:left="224"/>
              <w:rPr>
                <w:sz w:val="21"/>
              </w:rPr>
            </w:pPr>
            <w:r>
              <w:rPr>
                <w:sz w:val="21"/>
              </w:rPr>
              <w:t>7.9 毒品</w:t>
            </w:r>
          </w:p>
        </w:tc>
      </w:tr>
      <w:tr>
        <w:trPr>
          <w:trHeight w:val="312" w:hRule="atLeast"/>
        </w:trPr>
        <w:tc>
          <w:tcPr>
            <w:tcW w:w="2573" w:type="dxa"/>
            <w:tcBorders>
              <w:left w:val="single" w:sz="4" w:space="0" w:color="000000"/>
            </w:tcBorders>
          </w:tcPr>
          <w:p>
            <w:pPr>
              <w:pStyle w:val="TableParagraph"/>
              <w:spacing w:line="261" w:lineRule="exact"/>
              <w:ind w:left="158"/>
              <w:rPr>
                <w:sz w:val="21"/>
              </w:rPr>
            </w:pPr>
            <w:r>
              <w:rPr>
                <w:sz w:val="21"/>
              </w:rPr>
              <w:t>2.1 保险期间</w:t>
            </w:r>
          </w:p>
        </w:tc>
        <w:tc>
          <w:tcPr>
            <w:tcW w:w="3162" w:type="dxa"/>
          </w:tcPr>
          <w:p>
            <w:pPr>
              <w:pStyle w:val="TableParagraph"/>
              <w:spacing w:line="285" w:lineRule="exact"/>
              <w:ind w:left="159"/>
              <w:rPr>
                <w:rFonts w:ascii="Microsoft JhengHei" w:eastAsia="Microsoft JhengHei" w:hint="eastAsia"/>
                <w:b/>
                <w:sz w:val="21"/>
              </w:rPr>
            </w:pPr>
            <w:r>
              <w:rPr>
                <w:b/>
                <w:sz w:val="21"/>
              </w:rPr>
              <w:t>6.</w:t>
            </w:r>
            <w:r>
              <w:rPr>
                <w:rFonts w:ascii="Microsoft JhengHei" w:eastAsia="Microsoft JhengHei" w:hint="eastAsia"/>
                <w:b/>
                <w:sz w:val="21"/>
              </w:rPr>
              <w:t>其他需要关注的事项</w:t>
            </w:r>
          </w:p>
        </w:tc>
        <w:tc>
          <w:tcPr>
            <w:tcW w:w="3407" w:type="dxa"/>
            <w:tcBorders>
              <w:right w:val="single" w:sz="4" w:space="0" w:color="000000"/>
            </w:tcBorders>
          </w:tcPr>
          <w:p>
            <w:pPr>
              <w:pStyle w:val="TableParagraph"/>
              <w:spacing w:line="261" w:lineRule="exact"/>
              <w:ind w:left="224"/>
              <w:rPr>
                <w:sz w:val="21"/>
              </w:rPr>
            </w:pPr>
            <w:r>
              <w:rPr>
                <w:sz w:val="21"/>
              </w:rPr>
              <w:t>7.10 酒后驾驶</w:t>
            </w:r>
          </w:p>
        </w:tc>
      </w:tr>
      <w:tr>
        <w:trPr>
          <w:trHeight w:val="311" w:hRule="atLeast"/>
        </w:trPr>
        <w:tc>
          <w:tcPr>
            <w:tcW w:w="2573" w:type="dxa"/>
            <w:tcBorders>
              <w:left w:val="single" w:sz="4" w:space="0" w:color="000000"/>
            </w:tcBorders>
          </w:tcPr>
          <w:p>
            <w:pPr>
              <w:pStyle w:val="TableParagraph"/>
              <w:spacing w:line="261" w:lineRule="exact"/>
              <w:ind w:left="158"/>
              <w:rPr>
                <w:sz w:val="21"/>
              </w:rPr>
            </w:pPr>
            <w:r>
              <w:rPr>
                <w:sz w:val="21"/>
              </w:rPr>
              <w:t>2.2 投保条件</w:t>
            </w:r>
          </w:p>
        </w:tc>
        <w:tc>
          <w:tcPr>
            <w:tcW w:w="3162" w:type="dxa"/>
          </w:tcPr>
          <w:p>
            <w:pPr>
              <w:pStyle w:val="TableParagraph"/>
              <w:spacing w:line="261" w:lineRule="exact"/>
              <w:ind w:left="264"/>
              <w:rPr>
                <w:sz w:val="21"/>
              </w:rPr>
            </w:pPr>
            <w:r>
              <w:rPr>
                <w:sz w:val="21"/>
              </w:rPr>
              <w:t>6.1 年龄、性别错误</w:t>
            </w:r>
          </w:p>
        </w:tc>
        <w:tc>
          <w:tcPr>
            <w:tcW w:w="3407" w:type="dxa"/>
            <w:tcBorders>
              <w:right w:val="single" w:sz="4" w:space="0" w:color="000000"/>
            </w:tcBorders>
          </w:tcPr>
          <w:p>
            <w:pPr>
              <w:pStyle w:val="TableParagraph"/>
              <w:spacing w:line="261" w:lineRule="exact"/>
              <w:ind w:left="224"/>
              <w:rPr>
                <w:sz w:val="21"/>
              </w:rPr>
            </w:pPr>
            <w:r>
              <w:rPr>
                <w:sz w:val="21"/>
              </w:rPr>
              <w:t>7.11 无合法有效驾驶证驾驶</w:t>
            </w:r>
          </w:p>
        </w:tc>
      </w:tr>
      <w:tr>
        <w:trPr>
          <w:trHeight w:val="311" w:hRule="atLeast"/>
        </w:trPr>
        <w:tc>
          <w:tcPr>
            <w:tcW w:w="2573" w:type="dxa"/>
            <w:tcBorders>
              <w:left w:val="single" w:sz="4" w:space="0" w:color="000000"/>
            </w:tcBorders>
          </w:tcPr>
          <w:p>
            <w:pPr>
              <w:pStyle w:val="TableParagraph"/>
              <w:spacing w:line="261" w:lineRule="exact"/>
              <w:ind w:left="158"/>
              <w:rPr>
                <w:sz w:val="21"/>
              </w:rPr>
            </w:pPr>
            <w:r>
              <w:rPr>
                <w:sz w:val="21"/>
              </w:rPr>
              <w:t>2.3 基本保险金额</w:t>
            </w:r>
          </w:p>
        </w:tc>
        <w:tc>
          <w:tcPr>
            <w:tcW w:w="3162" w:type="dxa"/>
          </w:tcPr>
          <w:p>
            <w:pPr>
              <w:pStyle w:val="TableParagraph"/>
              <w:spacing w:line="261" w:lineRule="exact"/>
              <w:ind w:left="264"/>
              <w:rPr>
                <w:sz w:val="21"/>
              </w:rPr>
            </w:pPr>
            <w:r>
              <w:rPr>
                <w:sz w:val="21"/>
              </w:rPr>
              <w:t>6.2 效力终止</w:t>
            </w:r>
          </w:p>
        </w:tc>
        <w:tc>
          <w:tcPr>
            <w:tcW w:w="3407" w:type="dxa"/>
            <w:tcBorders>
              <w:right w:val="single" w:sz="4" w:space="0" w:color="000000"/>
            </w:tcBorders>
          </w:tcPr>
          <w:p>
            <w:pPr>
              <w:pStyle w:val="TableParagraph"/>
              <w:spacing w:line="261" w:lineRule="exact"/>
              <w:ind w:left="224"/>
              <w:rPr>
                <w:sz w:val="21"/>
              </w:rPr>
            </w:pPr>
            <w:r>
              <w:rPr>
                <w:sz w:val="21"/>
              </w:rPr>
              <w:t>7.12 无有效行驶证</w:t>
            </w:r>
          </w:p>
        </w:tc>
      </w:tr>
      <w:tr>
        <w:trPr>
          <w:trHeight w:val="312" w:hRule="atLeast"/>
        </w:trPr>
        <w:tc>
          <w:tcPr>
            <w:tcW w:w="2573" w:type="dxa"/>
            <w:tcBorders>
              <w:left w:val="single" w:sz="4" w:space="0" w:color="000000"/>
            </w:tcBorders>
          </w:tcPr>
          <w:p>
            <w:pPr>
              <w:pStyle w:val="TableParagraph"/>
              <w:spacing w:line="261" w:lineRule="exact"/>
              <w:ind w:left="158"/>
              <w:rPr>
                <w:sz w:val="21"/>
              </w:rPr>
            </w:pPr>
            <w:r>
              <w:rPr>
                <w:sz w:val="21"/>
              </w:rPr>
              <w:t>2.4 保险责任</w:t>
            </w:r>
          </w:p>
        </w:tc>
        <w:tc>
          <w:tcPr>
            <w:tcW w:w="3162" w:type="dxa"/>
          </w:tcPr>
          <w:p>
            <w:pPr>
              <w:pStyle w:val="TableParagraph"/>
              <w:spacing w:line="261" w:lineRule="exact"/>
              <w:ind w:left="264"/>
              <w:rPr>
                <w:sz w:val="21"/>
              </w:rPr>
            </w:pPr>
            <w:r>
              <w:rPr>
                <w:sz w:val="21"/>
              </w:rPr>
              <w:t>6.3 适用主合同条款</w:t>
            </w:r>
          </w:p>
        </w:tc>
        <w:tc>
          <w:tcPr>
            <w:tcW w:w="3407" w:type="dxa"/>
            <w:tcBorders>
              <w:right w:val="single" w:sz="4" w:space="0" w:color="000000"/>
            </w:tcBorders>
          </w:tcPr>
          <w:p>
            <w:pPr>
              <w:pStyle w:val="TableParagraph"/>
              <w:spacing w:line="261" w:lineRule="exact"/>
              <w:ind w:left="224"/>
              <w:rPr>
                <w:sz w:val="21"/>
              </w:rPr>
            </w:pPr>
            <w:r>
              <w:rPr>
                <w:sz w:val="21"/>
              </w:rPr>
              <w:t>7.13 感染艾滋病病毒或患艾滋病</w:t>
            </w:r>
          </w:p>
        </w:tc>
      </w:tr>
      <w:tr>
        <w:trPr>
          <w:trHeight w:val="312" w:hRule="atLeast"/>
        </w:trPr>
        <w:tc>
          <w:tcPr>
            <w:tcW w:w="2573" w:type="dxa"/>
            <w:tcBorders>
              <w:left w:val="single" w:sz="4" w:space="0" w:color="000000"/>
            </w:tcBorders>
          </w:tcPr>
          <w:p>
            <w:pPr>
              <w:pStyle w:val="TableParagraph"/>
              <w:spacing w:line="262" w:lineRule="exact"/>
              <w:ind w:left="158"/>
              <w:rPr>
                <w:sz w:val="21"/>
              </w:rPr>
            </w:pPr>
            <w:r>
              <w:rPr>
                <w:sz w:val="21"/>
              </w:rPr>
              <w:t>2.5 责任免除</w:t>
            </w:r>
          </w:p>
        </w:tc>
        <w:tc>
          <w:tcPr>
            <w:tcW w:w="3162" w:type="dxa"/>
          </w:tcPr>
          <w:p>
            <w:pPr>
              <w:pStyle w:val="TableParagraph"/>
              <w:spacing w:line="286" w:lineRule="exact"/>
              <w:ind w:left="159"/>
              <w:rPr>
                <w:rFonts w:ascii="Microsoft JhengHei" w:eastAsia="Microsoft JhengHei" w:hint="eastAsia"/>
                <w:b/>
                <w:sz w:val="21"/>
              </w:rPr>
            </w:pPr>
            <w:r>
              <w:rPr>
                <w:b/>
                <w:sz w:val="21"/>
              </w:rPr>
              <w:t>7.</w:t>
            </w:r>
            <w:r>
              <w:rPr>
                <w:rFonts w:ascii="Microsoft JhengHei" w:eastAsia="Microsoft JhengHei" w:hint="eastAsia"/>
                <w:b/>
                <w:sz w:val="21"/>
              </w:rPr>
              <w:t>释义</w:t>
            </w:r>
          </w:p>
        </w:tc>
        <w:tc>
          <w:tcPr>
            <w:tcW w:w="3407" w:type="dxa"/>
            <w:tcBorders>
              <w:right w:val="single" w:sz="4" w:space="0" w:color="000000"/>
            </w:tcBorders>
          </w:tcPr>
          <w:p>
            <w:pPr>
              <w:pStyle w:val="TableParagraph"/>
              <w:spacing w:line="262" w:lineRule="exact"/>
              <w:ind w:left="224"/>
              <w:rPr>
                <w:sz w:val="21"/>
              </w:rPr>
            </w:pPr>
            <w:r>
              <w:rPr>
                <w:sz w:val="21"/>
              </w:rPr>
              <w:t>7.14 遗传性疾病</w:t>
            </w:r>
          </w:p>
        </w:tc>
      </w:tr>
      <w:tr>
        <w:trPr>
          <w:trHeight w:val="312" w:hRule="atLeast"/>
        </w:trPr>
        <w:tc>
          <w:tcPr>
            <w:tcW w:w="2573" w:type="dxa"/>
            <w:tcBorders>
              <w:left w:val="single" w:sz="4" w:space="0" w:color="000000"/>
            </w:tcBorders>
          </w:tcPr>
          <w:p>
            <w:pPr>
              <w:pStyle w:val="TableParagraph"/>
              <w:spacing w:line="285" w:lineRule="exact"/>
              <w:ind w:left="52"/>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3162" w:type="dxa"/>
          </w:tcPr>
          <w:p>
            <w:pPr>
              <w:pStyle w:val="TableParagraph"/>
              <w:spacing w:line="261" w:lineRule="exact"/>
              <w:ind w:left="264"/>
              <w:rPr>
                <w:sz w:val="21"/>
              </w:rPr>
            </w:pPr>
            <w:r>
              <w:rPr>
                <w:sz w:val="21"/>
              </w:rPr>
              <w:t>7.1 保单年度</w:t>
            </w:r>
          </w:p>
        </w:tc>
        <w:tc>
          <w:tcPr>
            <w:tcW w:w="3407" w:type="dxa"/>
            <w:tcBorders>
              <w:right w:val="single" w:sz="4" w:space="0" w:color="000000"/>
            </w:tcBorders>
          </w:tcPr>
          <w:p>
            <w:pPr>
              <w:pStyle w:val="TableParagraph"/>
              <w:spacing w:line="261" w:lineRule="exact"/>
              <w:ind w:left="224"/>
              <w:rPr>
                <w:sz w:val="21"/>
              </w:rPr>
            </w:pPr>
            <w:r>
              <w:rPr>
                <w:sz w:val="21"/>
              </w:rPr>
              <w:t>7.15 先天性畸形、变形或染色体</w:t>
            </w:r>
          </w:p>
        </w:tc>
      </w:tr>
      <w:tr>
        <w:trPr>
          <w:trHeight w:val="312" w:hRule="atLeast"/>
        </w:trPr>
        <w:tc>
          <w:tcPr>
            <w:tcW w:w="2573" w:type="dxa"/>
            <w:tcBorders>
              <w:left w:val="single" w:sz="4" w:space="0" w:color="000000"/>
            </w:tcBorders>
          </w:tcPr>
          <w:p>
            <w:pPr>
              <w:pStyle w:val="TableParagraph"/>
              <w:spacing w:line="261" w:lineRule="exact"/>
              <w:ind w:left="158"/>
              <w:rPr>
                <w:sz w:val="21"/>
              </w:rPr>
            </w:pPr>
            <w:r>
              <w:rPr>
                <w:sz w:val="21"/>
              </w:rPr>
              <w:t>3.1 受益人</w:t>
            </w:r>
          </w:p>
        </w:tc>
        <w:tc>
          <w:tcPr>
            <w:tcW w:w="3162" w:type="dxa"/>
          </w:tcPr>
          <w:p>
            <w:pPr>
              <w:pStyle w:val="TableParagraph"/>
              <w:spacing w:line="261" w:lineRule="exact"/>
              <w:ind w:left="264"/>
              <w:rPr>
                <w:sz w:val="21"/>
              </w:rPr>
            </w:pPr>
            <w:r>
              <w:rPr>
                <w:sz w:val="21"/>
              </w:rPr>
              <w:t>7.2 有效身份证件</w:t>
            </w:r>
          </w:p>
        </w:tc>
        <w:tc>
          <w:tcPr>
            <w:tcW w:w="3407" w:type="dxa"/>
            <w:tcBorders>
              <w:right w:val="single" w:sz="4" w:space="0" w:color="000000"/>
            </w:tcBorders>
          </w:tcPr>
          <w:p>
            <w:pPr>
              <w:pStyle w:val="TableParagraph"/>
              <w:spacing w:line="261" w:lineRule="exact"/>
              <w:ind w:left="747"/>
              <w:rPr>
                <w:sz w:val="21"/>
              </w:rPr>
            </w:pPr>
            <w:r>
              <w:rPr>
                <w:sz w:val="21"/>
              </w:rPr>
              <w:t>异常</w:t>
            </w:r>
          </w:p>
        </w:tc>
      </w:tr>
      <w:tr>
        <w:trPr>
          <w:trHeight w:val="311" w:hRule="atLeast"/>
        </w:trPr>
        <w:tc>
          <w:tcPr>
            <w:tcW w:w="2573" w:type="dxa"/>
            <w:tcBorders>
              <w:left w:val="single" w:sz="4" w:space="0" w:color="000000"/>
            </w:tcBorders>
          </w:tcPr>
          <w:p>
            <w:pPr>
              <w:pStyle w:val="TableParagraph"/>
              <w:spacing w:line="261" w:lineRule="exact"/>
              <w:ind w:left="158"/>
              <w:rPr>
                <w:sz w:val="21"/>
              </w:rPr>
            </w:pPr>
            <w:r>
              <w:rPr>
                <w:sz w:val="21"/>
              </w:rPr>
              <w:t>3.2 保险金申请</w:t>
            </w:r>
          </w:p>
        </w:tc>
        <w:tc>
          <w:tcPr>
            <w:tcW w:w="3162" w:type="dxa"/>
          </w:tcPr>
          <w:p>
            <w:pPr>
              <w:pStyle w:val="TableParagraph"/>
              <w:spacing w:line="261" w:lineRule="exact"/>
              <w:ind w:left="264"/>
              <w:rPr>
                <w:sz w:val="21"/>
              </w:rPr>
            </w:pPr>
            <w:r>
              <w:rPr>
                <w:sz w:val="21"/>
              </w:rPr>
              <w:t>7.3 周岁</w:t>
            </w:r>
          </w:p>
        </w:tc>
        <w:tc>
          <w:tcPr>
            <w:tcW w:w="3407" w:type="dxa"/>
            <w:tcBorders>
              <w:right w:val="single" w:sz="4" w:space="0" w:color="000000"/>
            </w:tcBorders>
          </w:tcPr>
          <w:p>
            <w:pPr>
              <w:pStyle w:val="TableParagraph"/>
              <w:spacing w:line="261" w:lineRule="exact"/>
              <w:ind w:left="224"/>
              <w:rPr>
                <w:sz w:val="21"/>
              </w:rPr>
            </w:pPr>
            <w:r>
              <w:rPr>
                <w:sz w:val="21"/>
              </w:rPr>
              <w:t>7.16 现金价值</w:t>
            </w:r>
          </w:p>
        </w:tc>
      </w:tr>
      <w:tr>
        <w:trPr>
          <w:trHeight w:val="318" w:hRule="atLeast"/>
        </w:trPr>
        <w:tc>
          <w:tcPr>
            <w:tcW w:w="2573" w:type="dxa"/>
            <w:tcBorders>
              <w:left w:val="single" w:sz="4" w:space="0" w:color="000000"/>
              <w:bottom w:val="single" w:sz="4" w:space="0" w:color="000000"/>
            </w:tcBorders>
          </w:tcPr>
          <w:p>
            <w:pPr>
              <w:pStyle w:val="TableParagraph"/>
              <w:spacing w:line="261" w:lineRule="exact"/>
              <w:ind w:left="158"/>
              <w:rPr>
                <w:sz w:val="21"/>
              </w:rPr>
            </w:pPr>
            <w:r>
              <w:rPr>
                <w:sz w:val="21"/>
              </w:rPr>
              <w:t>3.3 保险金给付</w:t>
            </w:r>
          </w:p>
        </w:tc>
        <w:tc>
          <w:tcPr>
            <w:tcW w:w="3162" w:type="dxa"/>
            <w:tcBorders>
              <w:bottom w:val="single" w:sz="4" w:space="0" w:color="000000"/>
            </w:tcBorders>
          </w:tcPr>
          <w:p>
            <w:pPr>
              <w:pStyle w:val="TableParagraph"/>
              <w:spacing w:line="261" w:lineRule="exact"/>
              <w:ind w:left="264"/>
              <w:rPr>
                <w:sz w:val="21"/>
              </w:rPr>
            </w:pPr>
            <w:r>
              <w:rPr>
                <w:sz w:val="21"/>
              </w:rPr>
              <w:t>7.4 意外伤害事故</w:t>
            </w:r>
          </w:p>
        </w:tc>
        <w:tc>
          <w:tcPr>
            <w:tcW w:w="3407" w:type="dxa"/>
            <w:tcBorders>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1500" w:bottom="280" w:left="680" w:right="500"/>
        </w:sectPr>
      </w:pPr>
    </w:p>
    <w:p>
      <w:pPr>
        <w:pStyle w:val="BodyText"/>
        <w:spacing w:before="15"/>
        <w:ind w:left="0" w:right="403"/>
        <w:jc w:val="right"/>
      </w:pPr>
      <w:r>
        <w:rPr/>
        <w:drawing>
          <wp:anchor distT="0" distB="0" distL="0" distR="0" allowOverlap="1" layoutInCell="1" locked="0" behindDoc="0" simplePos="0" relativeHeight="1048">
            <wp:simplePos x="0" y="0"/>
            <wp:positionH relativeFrom="page">
              <wp:posOffset>5534914</wp:posOffset>
            </wp:positionH>
            <wp:positionV relativeFrom="paragraph">
              <wp:posOffset>208199</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anchor>
        </w:drawing>
      </w:r>
      <w:r>
        <w:rPr/>
        <w:t>中融人寿[2010]疾病保险021号</w:t>
      </w:r>
    </w:p>
    <w:p>
      <w:pPr>
        <w:pStyle w:val="BodyText"/>
        <w:spacing w:before="0"/>
        <w:ind w:left="0" w:right="773"/>
        <w:jc w:val="right"/>
      </w:pPr>
      <w:r>
        <w:rPr/>
        <w:t>请扫描以查询验证条款</w:t>
      </w:r>
    </w:p>
    <w:p>
      <w:pPr>
        <w:pStyle w:val="BodyText"/>
        <w:spacing w:before="0"/>
        <w:ind w:left="0"/>
        <w:rPr>
          <w:sz w:val="20"/>
        </w:rPr>
      </w:pPr>
    </w:p>
    <w:p>
      <w:pPr>
        <w:pStyle w:val="BodyText"/>
        <w:spacing w:before="6"/>
        <w:ind w:left="0"/>
        <w:rPr>
          <w:sz w:val="19"/>
        </w:rPr>
      </w:pPr>
      <w:r>
        <w:rPr/>
        <w:drawing>
          <wp:anchor distT="0" distB="0" distL="0" distR="0" allowOverlap="1" layoutInCell="1" locked="0" behindDoc="0" simplePos="0" relativeHeight="1072">
            <wp:simplePos x="0" y="0"/>
            <wp:positionH relativeFrom="page">
              <wp:posOffset>1909064</wp:posOffset>
            </wp:positionH>
            <wp:positionV relativeFrom="paragraph">
              <wp:posOffset>186531</wp:posOffset>
            </wp:positionV>
            <wp:extent cx="3758662" cy="439769"/>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3758662" cy="439769"/>
                    </a:xfrm>
                    <a:prstGeom prst="rect">
                      <a:avLst/>
                    </a:prstGeom>
                  </pic:spPr>
                </pic:pic>
              </a:graphicData>
            </a:graphic>
          </wp:anchor>
        </w:drawing>
      </w:r>
    </w:p>
    <w:p>
      <w:pPr>
        <w:pStyle w:val="BodyText"/>
        <w:spacing w:before="0"/>
        <w:ind w:left="0"/>
        <w:rPr>
          <w:sz w:val="20"/>
        </w:rPr>
      </w:pPr>
    </w:p>
    <w:p>
      <w:pPr>
        <w:pStyle w:val="Heading1"/>
        <w:spacing w:before="119"/>
        <w:ind w:left="3001" w:right="2988"/>
      </w:pPr>
      <w:r>
        <w:rPr/>
        <w:t>中融附加重大疾病保险 </w:t>
      </w:r>
      <w:r>
        <w:rPr>
          <w:rFonts w:ascii="Microsoft JhengHei UI" w:eastAsia="Microsoft JhengHei UI" w:hint="eastAsia"/>
        </w:rPr>
        <w:t>A </w:t>
      </w:r>
      <w:r>
        <w:rPr/>
        <w:t>款条款</w:t>
      </w:r>
    </w:p>
    <w:p>
      <w:pPr>
        <w:pStyle w:val="BodyText"/>
        <w:spacing w:before="118"/>
        <w:ind w:left="2997" w:right="2988"/>
        <w:jc w:val="center"/>
      </w:pPr>
      <w:r>
        <w:rPr/>
        <w:t>(中融保报[2010]54 号)</w:t>
      </w:r>
    </w:p>
    <w:p>
      <w:pPr>
        <w:pStyle w:val="BodyText"/>
        <w:spacing w:before="0"/>
        <w:ind w:left="0"/>
        <w:rPr>
          <w:sz w:val="20"/>
        </w:rPr>
      </w:pPr>
    </w:p>
    <w:p>
      <w:pPr>
        <w:pStyle w:val="BodyText"/>
        <w:spacing w:before="174"/>
        <w:ind w:left="222"/>
      </w:pPr>
      <w:r>
        <w:rPr>
          <w:spacing w:val="-23"/>
          <w:w w:val="100"/>
        </w:rPr>
        <w:t>在本条款中，“您”指投保人，“我们”、“本公司”均指中融人寿保险股份有限公司。</w:t>
      </w:r>
    </w:p>
    <w:p>
      <w:pPr>
        <w:pStyle w:val="BodyText"/>
        <w:spacing w:before="0"/>
        <w:ind w:left="0"/>
        <w:rPr>
          <w:sz w:val="20"/>
        </w:rPr>
      </w:pPr>
    </w:p>
    <w:p>
      <w:pPr>
        <w:pStyle w:val="BodyText"/>
        <w:spacing w:before="6"/>
        <w:ind w:left="0"/>
        <w:rPr>
          <w:sz w:val="15"/>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1"/>
        <w:gridCol w:w="1529"/>
        <w:gridCol w:w="7628"/>
      </w:tblGrid>
      <w:tr>
        <w:trPr>
          <w:trHeight w:val="522" w:hRule="atLeast"/>
        </w:trPr>
        <w:tc>
          <w:tcPr>
            <w:tcW w:w="931" w:type="dxa"/>
            <w:tcBorders>
              <w:bottom w:val="single" w:sz="8" w:space="0" w:color="000000"/>
            </w:tcBorders>
          </w:tcPr>
          <w:p>
            <w:pPr>
              <w:pStyle w:val="TableParagraph"/>
              <w:spacing w:line="421" w:lineRule="exact"/>
              <w:ind w:right="103"/>
              <w:jc w:val="right"/>
              <w:rPr>
                <w:rFonts w:ascii="Arial" w:hAnsi="Arial"/>
                <w:b/>
                <w:sz w:val="40"/>
              </w:rPr>
            </w:pPr>
            <w:r>
              <w:rPr>
                <w:rFonts w:ascii="Arial" w:hAnsi="Arial"/>
                <w:b/>
                <w:w w:val="118"/>
                <w:sz w:val="40"/>
              </w:rPr>
              <w:t></w:t>
            </w:r>
          </w:p>
        </w:tc>
        <w:tc>
          <w:tcPr>
            <w:tcW w:w="9157" w:type="dxa"/>
            <w:gridSpan w:val="2"/>
            <w:tcBorders>
              <w:bottom w:val="single" w:sz="8" w:space="0" w:color="000000"/>
            </w:tcBorders>
          </w:tcPr>
          <w:p>
            <w:pPr>
              <w:pStyle w:val="TableParagraph"/>
              <w:spacing w:before="17"/>
              <w:ind w:left="106"/>
              <w:rPr>
                <w:b/>
                <w:sz w:val="24"/>
              </w:rPr>
            </w:pPr>
            <w:r>
              <w:rPr>
                <w:b/>
                <w:w w:val="95"/>
                <w:sz w:val="24"/>
              </w:rPr>
              <w:t>您与我们的合同</w:t>
            </w:r>
          </w:p>
        </w:tc>
      </w:tr>
      <w:tr>
        <w:trPr>
          <w:trHeight w:val="1714" w:hRule="atLeast"/>
        </w:trPr>
        <w:tc>
          <w:tcPr>
            <w:tcW w:w="931" w:type="dxa"/>
            <w:tcBorders>
              <w:top w:val="single" w:sz="8" w:space="0" w:color="000000"/>
            </w:tcBorders>
          </w:tcPr>
          <w:p>
            <w:pPr>
              <w:pStyle w:val="TableParagraph"/>
              <w:spacing w:before="8"/>
              <w:rPr>
                <w:sz w:val="22"/>
              </w:rPr>
            </w:pPr>
          </w:p>
          <w:p>
            <w:pPr>
              <w:pStyle w:val="TableParagraph"/>
              <w:spacing w:before="1"/>
              <w:ind w:right="103"/>
              <w:jc w:val="right"/>
              <w:rPr>
                <w:b/>
                <w:sz w:val="21"/>
              </w:rPr>
            </w:pPr>
            <w:r>
              <w:rPr>
                <w:b/>
                <w:sz w:val="21"/>
              </w:rPr>
              <w:t>1.1</w:t>
            </w:r>
          </w:p>
        </w:tc>
        <w:tc>
          <w:tcPr>
            <w:tcW w:w="1529" w:type="dxa"/>
            <w:tcBorders>
              <w:top w:val="single" w:sz="8" w:space="0" w:color="000000"/>
            </w:tcBorders>
          </w:tcPr>
          <w:p>
            <w:pPr>
              <w:pStyle w:val="TableParagraph"/>
              <w:spacing w:before="8"/>
              <w:rPr>
                <w:sz w:val="22"/>
              </w:rPr>
            </w:pPr>
          </w:p>
          <w:p>
            <w:pPr>
              <w:pStyle w:val="TableParagraph"/>
              <w:spacing w:before="1"/>
              <w:ind w:left="106"/>
              <w:rPr>
                <w:b/>
                <w:sz w:val="21"/>
              </w:rPr>
            </w:pPr>
            <w:r>
              <w:rPr>
                <w:b/>
                <w:sz w:val="21"/>
              </w:rPr>
              <w:t>保险合同构成</w:t>
            </w:r>
          </w:p>
        </w:tc>
        <w:tc>
          <w:tcPr>
            <w:tcW w:w="7628" w:type="dxa"/>
            <w:tcBorders>
              <w:top w:val="single" w:sz="8" w:space="0" w:color="000000"/>
            </w:tcBorders>
          </w:tcPr>
          <w:p>
            <w:pPr>
              <w:pStyle w:val="TableParagraph"/>
              <w:spacing w:before="8"/>
              <w:rPr>
                <w:sz w:val="22"/>
              </w:rPr>
            </w:pPr>
          </w:p>
          <w:p>
            <w:pPr>
              <w:pStyle w:val="TableParagraph"/>
              <w:spacing w:line="273" w:lineRule="auto" w:before="1"/>
              <w:ind w:left="156" w:right="104"/>
              <w:jc w:val="both"/>
              <w:rPr>
                <w:sz w:val="21"/>
              </w:rPr>
            </w:pPr>
            <w:r>
              <w:rPr>
                <w:spacing w:val="-5"/>
                <w:sz w:val="21"/>
              </w:rPr>
              <w:t>本附加保险合同</w:t>
            </w:r>
            <w:r>
              <w:rPr>
                <w:sz w:val="21"/>
              </w:rPr>
              <w:t>（</w:t>
            </w:r>
            <w:r>
              <w:rPr>
                <w:spacing w:val="-12"/>
                <w:sz w:val="21"/>
              </w:rPr>
              <w:t>以下简称“本附加合同”</w:t>
            </w:r>
            <w:r>
              <w:rPr>
                <w:spacing w:val="-66"/>
                <w:sz w:val="21"/>
              </w:rPr>
              <w:t>）</w:t>
            </w:r>
            <w:r>
              <w:rPr>
                <w:spacing w:val="-6"/>
                <w:sz w:val="21"/>
              </w:rPr>
              <w:t>附加于我们规定的主保险合同</w:t>
            </w:r>
            <w:r>
              <w:rPr>
                <w:sz w:val="21"/>
              </w:rPr>
              <w:t>（以下</w:t>
            </w:r>
            <w:r>
              <w:rPr>
                <w:spacing w:val="-15"/>
                <w:sz w:val="21"/>
              </w:rPr>
              <w:t>简称“主合同”</w:t>
            </w:r>
            <w:r>
              <w:rPr>
                <w:spacing w:val="-66"/>
                <w:sz w:val="21"/>
              </w:rPr>
              <w:t>）</w:t>
            </w:r>
            <w:r>
              <w:rPr>
                <w:spacing w:val="-8"/>
                <w:sz w:val="21"/>
              </w:rPr>
              <w:t>上。主合同所附条款、投保单及与本附加合同有关的其他投保文</w:t>
            </w:r>
            <w:r>
              <w:rPr>
                <w:spacing w:val="-6"/>
                <w:sz w:val="21"/>
              </w:rPr>
              <w:t>件、合法有效的声明、批注、批单和其他书面协议，凡与本附加合同相关者，均</w:t>
            </w:r>
            <w:r>
              <w:rPr>
                <w:spacing w:val="-5"/>
                <w:sz w:val="21"/>
              </w:rPr>
              <w:t>为本附加合同的构成部分。</w:t>
            </w:r>
          </w:p>
        </w:tc>
      </w:tr>
      <w:tr>
        <w:trPr>
          <w:trHeight w:val="2496" w:hRule="atLeast"/>
        </w:trPr>
        <w:tc>
          <w:tcPr>
            <w:tcW w:w="931" w:type="dxa"/>
          </w:tcPr>
          <w:p>
            <w:pPr>
              <w:pStyle w:val="TableParagraph"/>
              <w:spacing w:before="142"/>
              <w:ind w:right="103"/>
              <w:jc w:val="right"/>
              <w:rPr>
                <w:b/>
                <w:sz w:val="21"/>
              </w:rPr>
            </w:pPr>
            <w:r>
              <w:rPr>
                <w:b/>
                <w:sz w:val="21"/>
              </w:rPr>
              <w:t>1.2</w:t>
            </w:r>
          </w:p>
        </w:tc>
        <w:tc>
          <w:tcPr>
            <w:tcW w:w="1529" w:type="dxa"/>
          </w:tcPr>
          <w:p>
            <w:pPr>
              <w:pStyle w:val="TableParagraph"/>
              <w:spacing w:line="273" w:lineRule="auto" w:before="142"/>
              <w:ind w:left="106" w:right="153"/>
              <w:rPr>
                <w:b/>
                <w:sz w:val="21"/>
              </w:rPr>
            </w:pPr>
            <w:r>
              <w:rPr>
                <w:b/>
                <w:sz w:val="21"/>
              </w:rPr>
              <w:t>保险合同成立与生效</w:t>
            </w:r>
          </w:p>
        </w:tc>
        <w:tc>
          <w:tcPr>
            <w:tcW w:w="7628" w:type="dxa"/>
          </w:tcPr>
          <w:p>
            <w:pPr>
              <w:pStyle w:val="TableParagraph"/>
              <w:spacing w:before="142"/>
              <w:ind w:left="156"/>
              <w:rPr>
                <w:sz w:val="21"/>
              </w:rPr>
            </w:pPr>
            <w:r>
              <w:rPr>
                <w:sz w:val="21"/>
              </w:rPr>
              <w:t>您提出保险申请、我们同意承保，本附加合同成立。</w:t>
            </w:r>
          </w:p>
          <w:p>
            <w:pPr>
              <w:pStyle w:val="TableParagraph"/>
              <w:spacing w:before="8"/>
              <w:rPr>
                <w:sz w:val="26"/>
              </w:rPr>
            </w:pPr>
          </w:p>
          <w:p>
            <w:pPr>
              <w:pStyle w:val="TableParagraph"/>
              <w:spacing w:line="273" w:lineRule="auto"/>
              <w:ind w:left="156" w:right="115"/>
              <w:rPr>
                <w:sz w:val="21"/>
              </w:rPr>
            </w:pPr>
            <w:r>
              <w:rPr>
                <w:sz w:val="21"/>
              </w:rPr>
              <w:t>如果本附加合同与主合同同时投保，本附加合同的生效日与主合同相同。如果您在主合同有效期内投保本附加合同，本附加合同生效日以批注所载的日期为准。</w:t>
            </w:r>
          </w:p>
          <w:p>
            <w:pPr>
              <w:pStyle w:val="TableParagraph"/>
              <w:spacing w:before="5"/>
              <w:rPr>
                <w:sz w:val="24"/>
              </w:rPr>
            </w:pPr>
          </w:p>
          <w:p>
            <w:pPr>
              <w:pStyle w:val="TableParagraph"/>
              <w:spacing w:line="273" w:lineRule="auto"/>
              <w:ind w:left="156" w:right="109"/>
              <w:rPr>
                <w:sz w:val="21"/>
              </w:rPr>
            </w:pPr>
            <w:r>
              <w:rPr>
                <w:spacing w:val="-4"/>
                <w:w w:val="100"/>
                <w:sz w:val="21"/>
              </w:rPr>
              <w:t>保单周年日、</w:t>
            </w:r>
            <w:r>
              <w:rPr>
                <w:b/>
                <w:spacing w:val="-3"/>
                <w:w w:val="100"/>
                <w:sz w:val="21"/>
              </w:rPr>
              <w:t>保单年度</w:t>
            </w:r>
            <w:r>
              <w:rPr>
                <w:w w:val="100"/>
                <w:sz w:val="21"/>
              </w:rPr>
              <w:t>（见</w:t>
            </w:r>
            <w:r>
              <w:rPr>
                <w:spacing w:val="-57"/>
                <w:sz w:val="21"/>
              </w:rPr>
              <w:t> </w:t>
            </w:r>
            <w:r>
              <w:rPr>
                <w:w w:val="100"/>
                <w:sz w:val="21"/>
              </w:rPr>
              <w:t>7.1</w:t>
            </w:r>
            <w:r>
              <w:rPr>
                <w:spacing w:val="-111"/>
                <w:w w:val="100"/>
                <w:sz w:val="21"/>
              </w:rPr>
              <w:t>）</w:t>
            </w:r>
            <w:r>
              <w:rPr>
                <w:spacing w:val="-6"/>
                <w:w w:val="100"/>
                <w:sz w:val="21"/>
              </w:rPr>
              <w:t>、保单周月日和保单满期日均以该日期计算。如</w:t>
            </w:r>
            <w:r>
              <w:rPr>
                <w:spacing w:val="-5"/>
                <w:sz w:val="21"/>
              </w:rPr>
              <w:t>当月无对应同一日，则以该月最后一日作为对应日。</w:t>
            </w:r>
          </w:p>
        </w:tc>
      </w:tr>
      <w:tr>
        <w:trPr>
          <w:trHeight w:val="2522" w:hRule="atLeast"/>
        </w:trPr>
        <w:tc>
          <w:tcPr>
            <w:tcW w:w="931" w:type="dxa"/>
          </w:tcPr>
          <w:p>
            <w:pPr>
              <w:pStyle w:val="TableParagraph"/>
              <w:spacing w:before="142"/>
              <w:ind w:right="103"/>
              <w:jc w:val="right"/>
              <w:rPr>
                <w:b/>
                <w:sz w:val="21"/>
              </w:rPr>
            </w:pPr>
            <w:r>
              <w:rPr>
                <w:b/>
                <w:sz w:val="21"/>
              </w:rPr>
              <w:t>1.3</w:t>
            </w:r>
          </w:p>
        </w:tc>
        <w:tc>
          <w:tcPr>
            <w:tcW w:w="1529" w:type="dxa"/>
          </w:tcPr>
          <w:p>
            <w:pPr>
              <w:pStyle w:val="TableParagraph"/>
              <w:spacing w:before="142"/>
              <w:ind w:left="106"/>
              <w:rPr>
                <w:b/>
                <w:sz w:val="21"/>
              </w:rPr>
            </w:pPr>
            <w:r>
              <w:rPr>
                <w:b/>
                <w:sz w:val="21"/>
              </w:rPr>
              <w:t>犹豫期</w:t>
            </w:r>
          </w:p>
        </w:tc>
        <w:tc>
          <w:tcPr>
            <w:tcW w:w="7628" w:type="dxa"/>
          </w:tcPr>
          <w:p>
            <w:pPr>
              <w:pStyle w:val="TableParagraph"/>
              <w:spacing w:line="273" w:lineRule="auto" w:before="142"/>
              <w:ind w:left="156" w:right="105"/>
              <w:jc w:val="both"/>
              <w:rPr>
                <w:sz w:val="21"/>
              </w:rPr>
            </w:pPr>
            <w:r>
              <w:rPr>
                <w:spacing w:val="-8"/>
                <w:sz w:val="21"/>
              </w:rPr>
              <w:t>自您签收本附加合同之日起，有 </w:t>
            </w:r>
            <w:r>
              <w:rPr>
                <w:sz w:val="21"/>
              </w:rPr>
              <w:t>10</w:t>
            </w:r>
            <w:r>
              <w:rPr>
                <w:spacing w:val="-11"/>
                <w:sz w:val="21"/>
              </w:rPr>
              <w:t> 日的犹豫期。在此期间请您认真审视本附加合</w:t>
            </w:r>
            <w:r>
              <w:rPr>
                <w:spacing w:val="-9"/>
                <w:sz w:val="21"/>
              </w:rPr>
              <w:t>同，如果您认为本附加合同与您的需求不相符，您可以在此期间提出解除本附加</w:t>
            </w:r>
            <w:r>
              <w:rPr>
                <w:spacing w:val="-7"/>
                <w:sz w:val="21"/>
              </w:rPr>
              <w:t>合同，我们将无息退还您所支付的全部保险费。</w:t>
            </w:r>
          </w:p>
          <w:p>
            <w:pPr>
              <w:pStyle w:val="TableParagraph"/>
              <w:spacing w:before="5"/>
              <w:rPr>
                <w:sz w:val="24"/>
              </w:rPr>
            </w:pPr>
          </w:p>
          <w:p>
            <w:pPr>
              <w:pStyle w:val="TableParagraph"/>
              <w:ind w:left="156"/>
              <w:rPr>
                <w:sz w:val="21"/>
              </w:rPr>
            </w:pPr>
            <w:r>
              <w:rPr>
                <w:spacing w:val="-13"/>
                <w:sz w:val="21"/>
              </w:rPr>
              <w:t>解除本附加合同时，您需要填写申请书，并提供您的保险合同及</w:t>
            </w:r>
            <w:r>
              <w:rPr>
                <w:b/>
                <w:spacing w:val="-12"/>
                <w:sz w:val="21"/>
              </w:rPr>
              <w:t>有效身份证件</w:t>
            </w:r>
            <w:r>
              <w:rPr>
                <w:sz w:val="21"/>
              </w:rPr>
              <w:t>（见</w:t>
            </w:r>
          </w:p>
          <w:p>
            <w:pPr>
              <w:pStyle w:val="TableParagraph"/>
              <w:spacing w:line="273" w:lineRule="auto" w:before="36"/>
              <w:ind w:left="156" w:right="108"/>
              <w:jc w:val="both"/>
              <w:rPr>
                <w:sz w:val="21"/>
              </w:rPr>
            </w:pPr>
            <w:r>
              <w:rPr>
                <w:w w:val="100"/>
                <w:sz w:val="21"/>
              </w:rPr>
              <w:t>7.2</w:t>
            </w:r>
            <w:r>
              <w:rPr>
                <w:spacing w:val="-106"/>
                <w:w w:val="100"/>
                <w:sz w:val="21"/>
              </w:rPr>
              <w:t>）</w:t>
            </w:r>
            <w:r>
              <w:rPr>
                <w:spacing w:val="-5"/>
                <w:w w:val="100"/>
                <w:sz w:val="21"/>
              </w:rPr>
              <w:t>。自我们收到您解除合同的书面申请时起，本附加合同即被解除，我们自始</w:t>
            </w:r>
            <w:r>
              <w:rPr>
                <w:spacing w:val="-5"/>
                <w:sz w:val="21"/>
              </w:rPr>
              <w:t>不承担保险责任。</w:t>
            </w:r>
          </w:p>
        </w:tc>
      </w:tr>
      <w:tr>
        <w:trPr>
          <w:trHeight w:val="755" w:hRule="atLeast"/>
        </w:trPr>
        <w:tc>
          <w:tcPr>
            <w:tcW w:w="931" w:type="dxa"/>
            <w:tcBorders>
              <w:bottom w:val="single" w:sz="8" w:space="0" w:color="000000"/>
            </w:tcBorders>
          </w:tcPr>
          <w:p>
            <w:pPr>
              <w:pStyle w:val="TableParagraph"/>
              <w:spacing w:before="193"/>
              <w:ind w:right="103"/>
              <w:jc w:val="right"/>
              <w:rPr>
                <w:rFonts w:ascii="Arial" w:hAnsi="Arial"/>
                <w:b/>
                <w:sz w:val="40"/>
              </w:rPr>
            </w:pPr>
            <w:r>
              <w:rPr>
                <w:rFonts w:ascii="Arial" w:hAnsi="Arial"/>
                <w:b/>
                <w:w w:val="118"/>
                <w:sz w:val="40"/>
              </w:rPr>
              <w:t></w:t>
            </w:r>
          </w:p>
        </w:tc>
        <w:tc>
          <w:tcPr>
            <w:tcW w:w="9157" w:type="dxa"/>
            <w:gridSpan w:val="2"/>
            <w:tcBorders>
              <w:bottom w:val="single" w:sz="8" w:space="0" w:color="000000"/>
            </w:tcBorders>
          </w:tcPr>
          <w:p>
            <w:pPr>
              <w:pStyle w:val="TableParagraph"/>
              <w:rPr>
                <w:sz w:val="19"/>
              </w:rPr>
            </w:pPr>
          </w:p>
          <w:p>
            <w:pPr>
              <w:pStyle w:val="TableParagraph"/>
              <w:spacing w:before="1"/>
              <w:ind w:left="106"/>
              <w:rPr>
                <w:b/>
                <w:sz w:val="24"/>
              </w:rPr>
            </w:pPr>
            <w:r>
              <w:rPr>
                <w:b/>
                <w:w w:val="95"/>
                <w:sz w:val="24"/>
              </w:rPr>
              <w:t>我们提供的保障</w:t>
            </w:r>
          </w:p>
        </w:tc>
      </w:tr>
      <w:tr>
        <w:trPr>
          <w:trHeight w:val="571" w:hRule="atLeast"/>
        </w:trPr>
        <w:tc>
          <w:tcPr>
            <w:tcW w:w="931" w:type="dxa"/>
            <w:tcBorders>
              <w:top w:val="single" w:sz="8" w:space="0" w:color="000000"/>
            </w:tcBorders>
          </w:tcPr>
          <w:p>
            <w:pPr>
              <w:pStyle w:val="TableParagraph"/>
              <w:spacing w:before="8"/>
              <w:rPr>
                <w:sz w:val="22"/>
              </w:rPr>
            </w:pPr>
          </w:p>
          <w:p>
            <w:pPr>
              <w:pStyle w:val="TableParagraph"/>
              <w:spacing w:line="255" w:lineRule="exact"/>
              <w:ind w:right="103"/>
              <w:jc w:val="right"/>
              <w:rPr>
                <w:b/>
                <w:sz w:val="21"/>
              </w:rPr>
            </w:pPr>
            <w:r>
              <w:rPr>
                <w:b/>
                <w:sz w:val="21"/>
              </w:rPr>
              <w:t>2.1</w:t>
            </w:r>
          </w:p>
        </w:tc>
        <w:tc>
          <w:tcPr>
            <w:tcW w:w="1529" w:type="dxa"/>
            <w:tcBorders>
              <w:top w:val="single" w:sz="8" w:space="0" w:color="000000"/>
            </w:tcBorders>
          </w:tcPr>
          <w:p>
            <w:pPr>
              <w:pStyle w:val="TableParagraph"/>
              <w:spacing w:before="8"/>
              <w:rPr>
                <w:sz w:val="22"/>
              </w:rPr>
            </w:pPr>
          </w:p>
          <w:p>
            <w:pPr>
              <w:pStyle w:val="TableParagraph"/>
              <w:spacing w:line="255" w:lineRule="exact"/>
              <w:ind w:left="106"/>
              <w:rPr>
                <w:b/>
                <w:sz w:val="21"/>
              </w:rPr>
            </w:pPr>
            <w:r>
              <w:rPr>
                <w:b/>
                <w:sz w:val="21"/>
              </w:rPr>
              <w:t>保险期间</w:t>
            </w:r>
          </w:p>
        </w:tc>
        <w:tc>
          <w:tcPr>
            <w:tcW w:w="7628" w:type="dxa"/>
            <w:tcBorders>
              <w:top w:val="single" w:sz="8" w:space="0" w:color="000000"/>
            </w:tcBorders>
          </w:tcPr>
          <w:p>
            <w:pPr>
              <w:pStyle w:val="TableParagraph"/>
              <w:spacing w:before="8"/>
              <w:rPr>
                <w:sz w:val="22"/>
              </w:rPr>
            </w:pPr>
          </w:p>
          <w:p>
            <w:pPr>
              <w:pStyle w:val="TableParagraph"/>
              <w:spacing w:line="255" w:lineRule="exact"/>
              <w:ind w:left="156" w:right="-15"/>
              <w:rPr>
                <w:sz w:val="21"/>
              </w:rPr>
            </w:pPr>
            <w:r>
              <w:rPr>
                <w:sz w:val="21"/>
              </w:rPr>
              <w:t>本附加合同的保险期间为5</w:t>
            </w:r>
            <w:r>
              <w:rPr>
                <w:spacing w:val="-13"/>
                <w:sz w:val="21"/>
              </w:rPr>
              <w:t> 年，自本附加合同生效日零时起至约定终止日</w:t>
            </w:r>
            <w:r>
              <w:rPr>
                <w:spacing w:val="-3"/>
                <w:sz w:val="21"/>
              </w:rPr>
              <w:t>24</w:t>
            </w:r>
            <w:r>
              <w:rPr>
                <w:spacing w:val="-14"/>
                <w:sz w:val="21"/>
              </w:rPr>
              <w:t> 时止。</w:t>
            </w:r>
          </w:p>
        </w:tc>
      </w:tr>
    </w:tbl>
    <w:p>
      <w:pPr>
        <w:spacing w:after="0" w:line="255" w:lineRule="exact"/>
        <w:rPr>
          <w:sz w:val="21"/>
        </w:rPr>
        <w:sectPr>
          <w:footerReference w:type="default" r:id="rId6"/>
          <w:pgSz w:w="11910" w:h="16840"/>
          <w:pgMar w:footer="329" w:header="0" w:top="960" w:bottom="520" w:left="800" w:right="800"/>
          <w:pgNumType w:start="1"/>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1"/>
        <w:gridCol w:w="1529"/>
        <w:gridCol w:w="7628"/>
      </w:tblGrid>
      <w:tr>
        <w:trPr>
          <w:trHeight w:val="417" w:hRule="atLeast"/>
        </w:trPr>
        <w:tc>
          <w:tcPr>
            <w:tcW w:w="931" w:type="dxa"/>
          </w:tcPr>
          <w:p>
            <w:pPr>
              <w:pStyle w:val="TableParagraph"/>
              <w:spacing w:line="211" w:lineRule="exact"/>
              <w:ind w:right="103"/>
              <w:jc w:val="right"/>
              <w:rPr>
                <w:b/>
                <w:sz w:val="21"/>
              </w:rPr>
            </w:pPr>
            <w:r>
              <w:rPr>
                <w:b/>
                <w:w w:val="95"/>
                <w:sz w:val="21"/>
              </w:rPr>
              <w:t>2.2</w:t>
            </w:r>
          </w:p>
        </w:tc>
        <w:tc>
          <w:tcPr>
            <w:tcW w:w="1529" w:type="dxa"/>
          </w:tcPr>
          <w:p>
            <w:pPr>
              <w:pStyle w:val="TableParagraph"/>
              <w:spacing w:line="211" w:lineRule="exact"/>
              <w:ind w:left="106"/>
              <w:rPr>
                <w:b/>
                <w:sz w:val="21"/>
              </w:rPr>
            </w:pPr>
            <w:r>
              <w:rPr>
                <w:b/>
                <w:sz w:val="21"/>
              </w:rPr>
              <w:t>投保条件</w:t>
            </w:r>
          </w:p>
        </w:tc>
        <w:tc>
          <w:tcPr>
            <w:tcW w:w="7628" w:type="dxa"/>
          </w:tcPr>
          <w:p>
            <w:pPr>
              <w:pStyle w:val="TableParagraph"/>
              <w:spacing w:line="211" w:lineRule="exact"/>
              <w:ind w:left="156"/>
              <w:rPr>
                <w:sz w:val="21"/>
              </w:rPr>
            </w:pPr>
            <w:r>
              <w:rPr>
                <w:sz w:val="21"/>
              </w:rPr>
              <w:t>您和被保险人必须符合以下条件：</w:t>
            </w:r>
          </w:p>
        </w:tc>
      </w:tr>
      <w:tr>
        <w:trPr>
          <w:trHeight w:val="971" w:hRule="atLeast"/>
        </w:trPr>
        <w:tc>
          <w:tcPr>
            <w:tcW w:w="931" w:type="dxa"/>
          </w:tcPr>
          <w:p>
            <w:pPr>
              <w:pStyle w:val="TableParagraph"/>
              <w:rPr>
                <w:rFonts w:ascii="Times New Roman"/>
                <w:sz w:val="20"/>
              </w:rPr>
            </w:pPr>
          </w:p>
        </w:tc>
        <w:tc>
          <w:tcPr>
            <w:tcW w:w="1529" w:type="dxa"/>
          </w:tcPr>
          <w:p>
            <w:pPr>
              <w:pStyle w:val="TableParagraph"/>
              <w:spacing w:line="182" w:lineRule="auto" w:before="155"/>
              <w:ind w:left="106" w:right="220"/>
              <w:rPr>
                <w:rFonts w:ascii="Microsoft JhengHei" w:eastAsia="Microsoft JhengHei" w:hint="eastAsia"/>
                <w:b/>
                <w:sz w:val="24"/>
              </w:rPr>
            </w:pPr>
            <w:r>
              <w:rPr>
                <w:rFonts w:ascii="Microsoft JhengHei" w:eastAsia="Microsoft JhengHei" w:hint="eastAsia"/>
                <w:b/>
                <w:sz w:val="24"/>
              </w:rPr>
              <w:t>被保险人条件</w:t>
            </w:r>
          </w:p>
        </w:tc>
        <w:tc>
          <w:tcPr>
            <w:tcW w:w="7628" w:type="dxa"/>
          </w:tcPr>
          <w:p>
            <w:pPr>
              <w:pStyle w:val="TableParagraph"/>
              <w:spacing w:line="273" w:lineRule="auto" w:before="142"/>
              <w:ind w:left="156" w:right="103"/>
              <w:rPr>
                <w:sz w:val="21"/>
              </w:rPr>
            </w:pPr>
            <w:r>
              <w:rPr>
                <w:spacing w:val="-2"/>
                <w:w w:val="100"/>
                <w:sz w:val="21"/>
              </w:rPr>
              <w:t>凡投保时满</w:t>
            </w:r>
            <w:r>
              <w:rPr>
                <w:spacing w:val="-42"/>
                <w:sz w:val="21"/>
              </w:rPr>
              <w:t> </w:t>
            </w:r>
            <w:r>
              <w:rPr>
                <w:w w:val="100"/>
                <w:sz w:val="21"/>
              </w:rPr>
              <w:t>16</w:t>
            </w:r>
            <w:r>
              <w:rPr>
                <w:spacing w:val="-48"/>
                <w:sz w:val="21"/>
              </w:rPr>
              <w:t> </w:t>
            </w:r>
            <w:r>
              <w:rPr>
                <w:b/>
                <w:w w:val="100"/>
                <w:sz w:val="21"/>
              </w:rPr>
              <w:t>周岁</w:t>
            </w:r>
            <w:r>
              <w:rPr>
                <w:w w:val="100"/>
                <w:sz w:val="21"/>
              </w:rPr>
              <w:t>（见</w:t>
            </w:r>
            <w:r>
              <w:rPr>
                <w:spacing w:val="-43"/>
                <w:sz w:val="21"/>
              </w:rPr>
              <w:t> </w:t>
            </w:r>
            <w:r>
              <w:rPr>
                <w:w w:val="100"/>
                <w:sz w:val="21"/>
              </w:rPr>
              <w:t>7</w:t>
            </w:r>
            <w:r>
              <w:rPr>
                <w:spacing w:val="-5"/>
                <w:w w:val="100"/>
                <w:sz w:val="21"/>
              </w:rPr>
              <w:t>.</w:t>
            </w:r>
            <w:r>
              <w:rPr>
                <w:w w:val="100"/>
                <w:sz w:val="21"/>
              </w:rPr>
              <w:t>3）至</w:t>
            </w:r>
            <w:r>
              <w:rPr>
                <w:spacing w:val="-48"/>
                <w:sz w:val="21"/>
              </w:rPr>
              <w:t> </w:t>
            </w:r>
            <w:r>
              <w:rPr>
                <w:w w:val="100"/>
                <w:sz w:val="21"/>
              </w:rPr>
              <w:t>55</w:t>
            </w:r>
            <w:r>
              <w:rPr>
                <w:spacing w:val="-43"/>
                <w:sz w:val="21"/>
              </w:rPr>
              <w:t> </w:t>
            </w:r>
            <w:r>
              <w:rPr>
                <w:spacing w:val="-3"/>
                <w:w w:val="100"/>
                <w:sz w:val="21"/>
              </w:rPr>
              <w:t>周岁</w:t>
            </w:r>
            <w:r>
              <w:rPr>
                <w:w w:val="100"/>
                <w:sz w:val="21"/>
              </w:rPr>
              <w:t>（含</w:t>
            </w:r>
            <w:r>
              <w:rPr>
                <w:spacing w:val="-43"/>
                <w:sz w:val="21"/>
              </w:rPr>
              <w:t> </w:t>
            </w:r>
            <w:r>
              <w:rPr>
                <w:spacing w:val="-5"/>
                <w:w w:val="100"/>
                <w:sz w:val="21"/>
              </w:rPr>
              <w:t>5</w:t>
            </w:r>
            <w:r>
              <w:rPr>
                <w:w w:val="100"/>
                <w:sz w:val="21"/>
              </w:rPr>
              <w:t>5</w:t>
            </w:r>
            <w:r>
              <w:rPr>
                <w:spacing w:val="-43"/>
                <w:sz w:val="21"/>
              </w:rPr>
              <w:t> </w:t>
            </w:r>
            <w:r>
              <w:rPr>
                <w:spacing w:val="-3"/>
                <w:w w:val="100"/>
                <w:sz w:val="21"/>
              </w:rPr>
              <w:t>周岁</w:t>
            </w:r>
            <w:r>
              <w:rPr>
                <w:spacing w:val="-105"/>
                <w:w w:val="100"/>
                <w:sz w:val="21"/>
              </w:rPr>
              <w:t>）</w:t>
            </w:r>
            <w:r>
              <w:rPr>
                <w:spacing w:val="-3"/>
                <w:w w:val="100"/>
                <w:sz w:val="21"/>
              </w:rPr>
              <w:t>，身体健康，且符合我们</w:t>
            </w:r>
            <w:r>
              <w:rPr>
                <w:spacing w:val="-5"/>
                <w:sz w:val="21"/>
              </w:rPr>
              <w:t>承保条件的人，均可作为本保险的被保险人。</w:t>
            </w:r>
          </w:p>
        </w:tc>
      </w:tr>
      <w:tr>
        <w:trPr>
          <w:trHeight w:val="915" w:hRule="atLeast"/>
        </w:trPr>
        <w:tc>
          <w:tcPr>
            <w:tcW w:w="931" w:type="dxa"/>
          </w:tcPr>
          <w:p>
            <w:pPr>
              <w:pStyle w:val="TableParagraph"/>
              <w:rPr>
                <w:rFonts w:ascii="Times New Roman"/>
                <w:sz w:val="20"/>
              </w:rPr>
            </w:pPr>
          </w:p>
        </w:tc>
        <w:tc>
          <w:tcPr>
            <w:tcW w:w="1529" w:type="dxa"/>
          </w:tcPr>
          <w:p>
            <w:pPr>
              <w:pStyle w:val="TableParagraph"/>
              <w:spacing w:before="35"/>
              <w:ind w:left="106"/>
              <w:rPr>
                <w:rFonts w:ascii="Microsoft JhengHei" w:eastAsia="Microsoft JhengHei" w:hint="eastAsia"/>
                <w:b/>
                <w:sz w:val="24"/>
              </w:rPr>
            </w:pPr>
            <w:r>
              <w:rPr>
                <w:rFonts w:ascii="Microsoft JhengHei" w:eastAsia="Microsoft JhengHei" w:hint="eastAsia"/>
                <w:b/>
                <w:sz w:val="24"/>
              </w:rPr>
              <w:t>投保人条件</w:t>
            </w:r>
          </w:p>
        </w:tc>
        <w:tc>
          <w:tcPr>
            <w:tcW w:w="7628" w:type="dxa"/>
          </w:tcPr>
          <w:p>
            <w:pPr>
              <w:pStyle w:val="TableParagraph"/>
              <w:spacing w:line="273" w:lineRule="auto" w:before="122"/>
              <w:ind w:left="156" w:right="105"/>
              <w:rPr>
                <w:sz w:val="21"/>
              </w:rPr>
            </w:pPr>
            <w:r>
              <w:rPr>
                <w:spacing w:val="-9"/>
                <w:sz w:val="21"/>
              </w:rPr>
              <w:t>凡年满 </w:t>
            </w:r>
            <w:r>
              <w:rPr>
                <w:sz w:val="21"/>
              </w:rPr>
              <w:t>18</w:t>
            </w:r>
            <w:r>
              <w:rPr>
                <w:spacing w:val="-13"/>
                <w:sz w:val="21"/>
              </w:rPr>
              <w:t> 周岁，具有完全民事行为能力且对被保险人具有保险利益的人，均可作</w:t>
            </w:r>
            <w:r>
              <w:rPr>
                <w:spacing w:val="-8"/>
                <w:sz w:val="21"/>
              </w:rPr>
              <w:t>为本保险的投保人。</w:t>
            </w:r>
          </w:p>
        </w:tc>
      </w:tr>
      <w:tr>
        <w:trPr>
          <w:trHeight w:val="936" w:hRule="atLeast"/>
        </w:trPr>
        <w:tc>
          <w:tcPr>
            <w:tcW w:w="931" w:type="dxa"/>
          </w:tcPr>
          <w:p>
            <w:pPr>
              <w:pStyle w:val="TableParagraph"/>
              <w:spacing w:before="142"/>
              <w:ind w:right="103"/>
              <w:jc w:val="right"/>
              <w:rPr>
                <w:b/>
                <w:sz w:val="21"/>
              </w:rPr>
            </w:pPr>
            <w:r>
              <w:rPr>
                <w:b/>
                <w:sz w:val="21"/>
              </w:rPr>
              <w:t>2.3</w:t>
            </w:r>
          </w:p>
        </w:tc>
        <w:tc>
          <w:tcPr>
            <w:tcW w:w="1529" w:type="dxa"/>
          </w:tcPr>
          <w:p>
            <w:pPr>
              <w:pStyle w:val="TableParagraph"/>
              <w:spacing w:before="142"/>
              <w:ind w:left="106"/>
              <w:rPr>
                <w:b/>
                <w:sz w:val="21"/>
              </w:rPr>
            </w:pPr>
            <w:r>
              <w:rPr>
                <w:b/>
                <w:sz w:val="21"/>
              </w:rPr>
              <w:t>基本保险金额</w:t>
            </w:r>
          </w:p>
        </w:tc>
        <w:tc>
          <w:tcPr>
            <w:tcW w:w="7628" w:type="dxa"/>
          </w:tcPr>
          <w:p>
            <w:pPr>
              <w:pStyle w:val="TableParagraph"/>
              <w:spacing w:line="273" w:lineRule="auto" w:before="142"/>
              <w:ind w:left="156" w:right="108"/>
              <w:rPr>
                <w:sz w:val="21"/>
              </w:rPr>
            </w:pPr>
            <w:r>
              <w:rPr>
                <w:sz w:val="21"/>
              </w:rPr>
              <w:t>本附加合同的基本保险金额由您在投保时与我们约定并在保险单上载明。若该金额发生变更，则以变更后的金额为基本保险金额。</w:t>
            </w:r>
          </w:p>
        </w:tc>
      </w:tr>
      <w:tr>
        <w:trPr>
          <w:trHeight w:val="623" w:hRule="atLeast"/>
        </w:trPr>
        <w:tc>
          <w:tcPr>
            <w:tcW w:w="931" w:type="dxa"/>
          </w:tcPr>
          <w:p>
            <w:pPr>
              <w:pStyle w:val="TableParagraph"/>
              <w:spacing w:before="142"/>
              <w:ind w:right="103"/>
              <w:jc w:val="right"/>
              <w:rPr>
                <w:b/>
                <w:sz w:val="21"/>
              </w:rPr>
            </w:pPr>
            <w:r>
              <w:rPr>
                <w:b/>
                <w:sz w:val="21"/>
              </w:rPr>
              <w:t>2.4</w:t>
            </w:r>
          </w:p>
        </w:tc>
        <w:tc>
          <w:tcPr>
            <w:tcW w:w="1529" w:type="dxa"/>
          </w:tcPr>
          <w:p>
            <w:pPr>
              <w:pStyle w:val="TableParagraph"/>
              <w:spacing w:before="142"/>
              <w:ind w:left="106"/>
              <w:rPr>
                <w:b/>
                <w:sz w:val="21"/>
              </w:rPr>
            </w:pPr>
            <w:r>
              <w:rPr>
                <w:b/>
                <w:sz w:val="21"/>
              </w:rPr>
              <w:t>保险责任</w:t>
            </w:r>
          </w:p>
        </w:tc>
        <w:tc>
          <w:tcPr>
            <w:tcW w:w="7628" w:type="dxa"/>
          </w:tcPr>
          <w:p>
            <w:pPr>
              <w:pStyle w:val="TableParagraph"/>
              <w:spacing w:before="142"/>
              <w:ind w:left="156"/>
              <w:rPr>
                <w:sz w:val="21"/>
              </w:rPr>
            </w:pPr>
            <w:r>
              <w:rPr>
                <w:sz w:val="21"/>
              </w:rPr>
              <w:t>在本附加合同有效期内，我们承担如下保险责任：</w:t>
            </w:r>
          </w:p>
        </w:tc>
      </w:tr>
      <w:tr>
        <w:trPr>
          <w:trHeight w:val="1872" w:hRule="atLeast"/>
        </w:trPr>
        <w:tc>
          <w:tcPr>
            <w:tcW w:w="931" w:type="dxa"/>
          </w:tcPr>
          <w:p>
            <w:pPr>
              <w:pStyle w:val="TableParagraph"/>
              <w:rPr>
                <w:rFonts w:ascii="Times New Roman"/>
                <w:sz w:val="20"/>
              </w:rPr>
            </w:pPr>
          </w:p>
        </w:tc>
        <w:tc>
          <w:tcPr>
            <w:tcW w:w="1529" w:type="dxa"/>
          </w:tcPr>
          <w:p>
            <w:pPr>
              <w:pStyle w:val="TableParagraph"/>
              <w:spacing w:before="55"/>
              <w:ind w:left="106"/>
              <w:rPr>
                <w:rFonts w:ascii="Microsoft JhengHei" w:eastAsia="Microsoft JhengHei" w:hint="eastAsia"/>
                <w:b/>
                <w:sz w:val="24"/>
              </w:rPr>
            </w:pPr>
            <w:r>
              <w:rPr>
                <w:rFonts w:ascii="Microsoft JhengHei" w:eastAsia="Microsoft JhengHei" w:hint="eastAsia"/>
                <w:b/>
                <w:sz w:val="24"/>
              </w:rPr>
              <w:t>等待期</w:t>
            </w:r>
          </w:p>
        </w:tc>
        <w:tc>
          <w:tcPr>
            <w:tcW w:w="7628" w:type="dxa"/>
          </w:tcPr>
          <w:p>
            <w:pPr>
              <w:pStyle w:val="TableParagraph"/>
              <w:spacing w:before="142"/>
              <w:ind w:left="156"/>
              <w:rPr>
                <w:sz w:val="21"/>
              </w:rPr>
            </w:pPr>
            <w:r>
              <w:rPr>
                <w:spacing w:val="-2"/>
                <w:w w:val="100"/>
                <w:sz w:val="21"/>
              </w:rPr>
              <w:t>在本附加合同生效日起</w:t>
            </w:r>
            <w:r>
              <w:rPr>
                <w:spacing w:val="-52"/>
                <w:sz w:val="21"/>
              </w:rPr>
              <w:t> </w:t>
            </w:r>
            <w:r>
              <w:rPr>
                <w:w w:val="100"/>
                <w:sz w:val="21"/>
              </w:rPr>
              <w:t>90</w:t>
            </w:r>
            <w:r>
              <w:rPr>
                <w:spacing w:val="-53"/>
                <w:sz w:val="21"/>
              </w:rPr>
              <w:t> </w:t>
            </w:r>
            <w:r>
              <w:rPr>
                <w:spacing w:val="-3"/>
                <w:w w:val="100"/>
                <w:sz w:val="21"/>
              </w:rPr>
              <w:t>日内</w:t>
            </w:r>
            <w:r>
              <w:rPr>
                <w:w w:val="100"/>
                <w:sz w:val="21"/>
              </w:rPr>
              <w:t>（含</w:t>
            </w:r>
            <w:r>
              <w:rPr>
                <w:spacing w:val="-53"/>
                <w:sz w:val="21"/>
              </w:rPr>
              <w:t> </w:t>
            </w:r>
            <w:r>
              <w:rPr>
                <w:w w:val="100"/>
                <w:sz w:val="21"/>
              </w:rPr>
              <w:t>90</w:t>
            </w:r>
            <w:r>
              <w:rPr>
                <w:spacing w:val="-57"/>
                <w:sz w:val="21"/>
              </w:rPr>
              <w:t> </w:t>
            </w:r>
            <w:r>
              <w:rPr>
                <w:w w:val="100"/>
                <w:sz w:val="21"/>
              </w:rPr>
              <w:t>日当日</w:t>
            </w:r>
            <w:r>
              <w:rPr>
                <w:spacing w:val="-111"/>
                <w:w w:val="100"/>
                <w:sz w:val="21"/>
              </w:rPr>
              <w:t>）</w:t>
            </w:r>
            <w:r>
              <w:rPr>
                <w:spacing w:val="-3"/>
                <w:w w:val="100"/>
                <w:sz w:val="21"/>
              </w:rPr>
              <w:t>，被保险人因</w:t>
            </w:r>
            <w:r>
              <w:rPr>
                <w:b/>
                <w:w w:val="100"/>
                <w:sz w:val="21"/>
              </w:rPr>
              <w:t>意外伤害事故</w:t>
            </w:r>
            <w:r>
              <w:rPr>
                <w:w w:val="100"/>
                <w:sz w:val="21"/>
              </w:rPr>
              <w:t>（见</w:t>
            </w:r>
          </w:p>
          <w:p>
            <w:pPr>
              <w:pStyle w:val="TableParagraph"/>
              <w:spacing w:line="273" w:lineRule="auto" w:before="36"/>
              <w:ind w:left="156"/>
              <w:rPr>
                <w:sz w:val="21"/>
              </w:rPr>
            </w:pPr>
            <w:r>
              <w:rPr>
                <w:w w:val="100"/>
                <w:sz w:val="21"/>
              </w:rPr>
              <w:t>7.4</w:t>
            </w:r>
            <w:r>
              <w:rPr>
                <w:spacing w:val="-15"/>
                <w:w w:val="100"/>
                <w:sz w:val="21"/>
              </w:rPr>
              <w:t>）</w:t>
            </w:r>
            <w:r>
              <w:rPr>
                <w:spacing w:val="-5"/>
                <w:w w:val="100"/>
                <w:sz w:val="21"/>
              </w:rPr>
              <w:t>以外的原因患本附加合同约定的</w:t>
            </w:r>
            <w:r>
              <w:rPr>
                <w:b/>
                <w:spacing w:val="-3"/>
                <w:w w:val="100"/>
                <w:sz w:val="21"/>
              </w:rPr>
              <w:t>重大疾病</w:t>
            </w:r>
            <w:r>
              <w:rPr>
                <w:spacing w:val="-5"/>
                <w:w w:val="100"/>
                <w:sz w:val="21"/>
              </w:rPr>
              <w:t>（</w:t>
            </w:r>
            <w:r>
              <w:rPr>
                <w:w w:val="100"/>
                <w:sz w:val="21"/>
              </w:rPr>
              <w:t>见</w:t>
            </w:r>
            <w:r>
              <w:rPr>
                <w:spacing w:val="-52"/>
                <w:sz w:val="21"/>
              </w:rPr>
              <w:t> </w:t>
            </w:r>
            <w:r>
              <w:rPr>
                <w:spacing w:val="-5"/>
                <w:w w:val="100"/>
                <w:sz w:val="21"/>
              </w:rPr>
              <w:t>7</w:t>
            </w:r>
            <w:r>
              <w:rPr>
                <w:w w:val="100"/>
                <w:sz w:val="21"/>
              </w:rPr>
              <w:t>.5</w:t>
            </w:r>
            <w:r>
              <w:rPr>
                <w:spacing w:val="-106"/>
                <w:w w:val="100"/>
                <w:sz w:val="21"/>
              </w:rPr>
              <w:t>）</w:t>
            </w:r>
            <w:r>
              <w:rPr>
                <w:spacing w:val="-5"/>
                <w:w w:val="100"/>
                <w:sz w:val="21"/>
              </w:rPr>
              <w:t>，我们不承担保险责任，</w:t>
            </w:r>
            <w:r>
              <w:rPr>
                <w:spacing w:val="-16"/>
                <w:sz w:val="21"/>
              </w:rPr>
              <w:t>向投保人无息退还所支付的保险费，本附加合同终止。这 </w:t>
            </w:r>
            <w:r>
              <w:rPr>
                <w:sz w:val="21"/>
              </w:rPr>
              <w:t>90</w:t>
            </w:r>
            <w:r>
              <w:rPr>
                <w:spacing w:val="-6"/>
                <w:sz w:val="21"/>
              </w:rPr>
              <w:t> 日的时间称为等待期。</w:t>
            </w:r>
          </w:p>
          <w:p>
            <w:pPr>
              <w:pStyle w:val="TableParagraph"/>
              <w:spacing w:before="5"/>
              <w:rPr>
                <w:sz w:val="24"/>
              </w:rPr>
            </w:pPr>
          </w:p>
          <w:p>
            <w:pPr>
              <w:pStyle w:val="TableParagraph"/>
              <w:ind w:left="156"/>
              <w:rPr>
                <w:sz w:val="21"/>
              </w:rPr>
            </w:pPr>
            <w:r>
              <w:rPr>
                <w:sz w:val="21"/>
              </w:rPr>
              <w:t>因意外伤害事故患本附加合同约定的重大疾病的无等待期。</w:t>
            </w:r>
          </w:p>
        </w:tc>
      </w:tr>
      <w:tr>
        <w:trPr>
          <w:trHeight w:val="935" w:hRule="atLeast"/>
        </w:trPr>
        <w:tc>
          <w:tcPr>
            <w:tcW w:w="931" w:type="dxa"/>
          </w:tcPr>
          <w:p>
            <w:pPr>
              <w:pStyle w:val="TableParagraph"/>
              <w:rPr>
                <w:rFonts w:ascii="Times New Roman"/>
                <w:sz w:val="20"/>
              </w:rPr>
            </w:pPr>
          </w:p>
        </w:tc>
        <w:tc>
          <w:tcPr>
            <w:tcW w:w="1529" w:type="dxa"/>
          </w:tcPr>
          <w:p>
            <w:pPr>
              <w:pStyle w:val="TableParagraph"/>
              <w:rPr>
                <w:rFonts w:ascii="Times New Roman"/>
                <w:sz w:val="20"/>
              </w:rPr>
            </w:pPr>
          </w:p>
        </w:tc>
        <w:tc>
          <w:tcPr>
            <w:tcW w:w="7628" w:type="dxa"/>
          </w:tcPr>
          <w:p>
            <w:pPr>
              <w:pStyle w:val="TableParagraph"/>
              <w:spacing w:line="273" w:lineRule="auto" w:before="142"/>
              <w:ind w:left="156" w:right="115"/>
              <w:rPr>
                <w:sz w:val="21"/>
              </w:rPr>
            </w:pPr>
            <w:r>
              <w:rPr>
                <w:sz w:val="21"/>
              </w:rPr>
              <w:t>被保险人在等待期后发生本附加合同所约定的保险事故，我们按照下列方式给付保险金：</w:t>
            </w:r>
          </w:p>
        </w:tc>
      </w:tr>
      <w:tr>
        <w:trPr>
          <w:trHeight w:val="1248" w:hRule="atLeast"/>
        </w:trPr>
        <w:tc>
          <w:tcPr>
            <w:tcW w:w="931" w:type="dxa"/>
          </w:tcPr>
          <w:p>
            <w:pPr>
              <w:pStyle w:val="TableParagraph"/>
              <w:rPr>
                <w:rFonts w:ascii="Times New Roman"/>
                <w:sz w:val="20"/>
              </w:rPr>
            </w:pPr>
          </w:p>
        </w:tc>
        <w:tc>
          <w:tcPr>
            <w:tcW w:w="1529" w:type="dxa"/>
          </w:tcPr>
          <w:p>
            <w:pPr>
              <w:pStyle w:val="TableParagraph"/>
              <w:spacing w:line="172" w:lineRule="auto" w:before="158"/>
              <w:ind w:left="106" w:right="220"/>
              <w:rPr>
                <w:rFonts w:ascii="Microsoft JhengHei" w:eastAsia="Microsoft JhengHei" w:hint="eastAsia"/>
                <w:b/>
                <w:sz w:val="24"/>
              </w:rPr>
            </w:pPr>
            <w:r>
              <w:rPr>
                <w:rFonts w:ascii="Microsoft JhengHei" w:eastAsia="Microsoft JhengHei" w:hint="eastAsia"/>
                <w:b/>
                <w:sz w:val="24"/>
              </w:rPr>
              <w:t>重大疾病保险金</w:t>
            </w:r>
          </w:p>
        </w:tc>
        <w:tc>
          <w:tcPr>
            <w:tcW w:w="7628" w:type="dxa"/>
          </w:tcPr>
          <w:p>
            <w:pPr>
              <w:pStyle w:val="TableParagraph"/>
              <w:spacing w:line="273" w:lineRule="auto" w:before="143"/>
              <w:ind w:left="156" w:right="103"/>
              <w:jc w:val="both"/>
              <w:rPr>
                <w:sz w:val="21"/>
              </w:rPr>
            </w:pPr>
            <w:r>
              <w:rPr>
                <w:spacing w:val="-2"/>
                <w:sz w:val="21"/>
              </w:rPr>
              <w:t>被保险人</w:t>
            </w:r>
            <w:r>
              <w:rPr>
                <w:b/>
                <w:spacing w:val="-3"/>
                <w:sz w:val="21"/>
              </w:rPr>
              <w:t>初次发生</w:t>
            </w:r>
            <w:r>
              <w:rPr>
                <w:sz w:val="21"/>
              </w:rPr>
              <w:t>（</w:t>
            </w:r>
            <w:r>
              <w:rPr>
                <w:spacing w:val="-21"/>
                <w:sz w:val="21"/>
              </w:rPr>
              <w:t>见 </w:t>
            </w:r>
            <w:r>
              <w:rPr>
                <w:spacing w:val="-4"/>
                <w:sz w:val="21"/>
              </w:rPr>
              <w:t>7.6）</w:t>
            </w:r>
            <w:r>
              <w:rPr>
                <w:spacing w:val="-3"/>
                <w:sz w:val="21"/>
              </w:rPr>
              <w:t>并被</w:t>
            </w:r>
            <w:r>
              <w:rPr>
                <w:b/>
                <w:spacing w:val="-2"/>
                <w:sz w:val="21"/>
              </w:rPr>
              <w:t>医疗机构</w:t>
            </w:r>
            <w:r>
              <w:rPr>
                <w:spacing w:val="-5"/>
                <w:sz w:val="21"/>
              </w:rPr>
              <w:t>（</w:t>
            </w:r>
            <w:r>
              <w:rPr>
                <w:spacing w:val="-22"/>
                <w:sz w:val="21"/>
              </w:rPr>
              <w:t>见 </w:t>
            </w:r>
            <w:r>
              <w:rPr>
                <w:spacing w:val="-4"/>
                <w:sz w:val="21"/>
              </w:rPr>
              <w:t>7.7）</w:t>
            </w:r>
            <w:r>
              <w:rPr>
                <w:sz w:val="21"/>
              </w:rPr>
              <w:t>的</w:t>
            </w:r>
            <w:r>
              <w:rPr>
                <w:b/>
                <w:spacing w:val="-3"/>
                <w:sz w:val="21"/>
              </w:rPr>
              <w:t>专科医生</w:t>
            </w:r>
            <w:r>
              <w:rPr>
                <w:sz w:val="21"/>
              </w:rPr>
              <w:t>（</w:t>
            </w:r>
            <w:r>
              <w:rPr>
                <w:spacing w:val="-22"/>
                <w:sz w:val="21"/>
              </w:rPr>
              <w:t>见 </w:t>
            </w:r>
            <w:r>
              <w:rPr>
                <w:spacing w:val="-4"/>
                <w:sz w:val="21"/>
              </w:rPr>
              <w:t>7.8）</w:t>
            </w:r>
            <w:r>
              <w:rPr>
                <w:sz w:val="21"/>
              </w:rPr>
              <w:t>确诊</w:t>
            </w:r>
            <w:r>
              <w:rPr>
                <w:spacing w:val="-6"/>
                <w:sz w:val="21"/>
              </w:rPr>
              <w:t>为患有本附加合同约定的重大疾病</w:t>
            </w:r>
            <w:r>
              <w:rPr>
                <w:sz w:val="21"/>
              </w:rPr>
              <w:t>（</w:t>
            </w:r>
            <w:r>
              <w:rPr>
                <w:spacing w:val="-3"/>
                <w:sz w:val="21"/>
              </w:rPr>
              <w:t>无论一种或多种</w:t>
            </w:r>
            <w:r>
              <w:rPr>
                <w:spacing w:val="-80"/>
                <w:sz w:val="21"/>
              </w:rPr>
              <w:t>）</w:t>
            </w:r>
            <w:r>
              <w:rPr>
                <w:spacing w:val="-10"/>
                <w:sz w:val="21"/>
              </w:rPr>
              <w:t>，我们按基本保险金额给付</w:t>
            </w:r>
            <w:r>
              <w:rPr>
                <w:spacing w:val="-7"/>
                <w:sz w:val="21"/>
              </w:rPr>
              <w:t>重大疾病保险金，本附加合同终止。</w:t>
            </w:r>
          </w:p>
        </w:tc>
      </w:tr>
      <w:tr>
        <w:trPr>
          <w:trHeight w:val="4707" w:hRule="atLeast"/>
        </w:trPr>
        <w:tc>
          <w:tcPr>
            <w:tcW w:w="931" w:type="dxa"/>
          </w:tcPr>
          <w:p>
            <w:pPr>
              <w:pStyle w:val="TableParagraph"/>
              <w:spacing w:before="143"/>
              <w:ind w:right="103"/>
              <w:jc w:val="right"/>
              <w:rPr>
                <w:b/>
                <w:sz w:val="21"/>
              </w:rPr>
            </w:pPr>
            <w:r>
              <w:rPr>
                <w:b/>
                <w:sz w:val="21"/>
              </w:rPr>
              <w:t>2.5</w:t>
            </w:r>
          </w:p>
        </w:tc>
        <w:tc>
          <w:tcPr>
            <w:tcW w:w="1529" w:type="dxa"/>
          </w:tcPr>
          <w:p>
            <w:pPr>
              <w:pStyle w:val="TableParagraph"/>
              <w:spacing w:before="143"/>
              <w:ind w:left="106"/>
              <w:rPr>
                <w:b/>
                <w:sz w:val="21"/>
              </w:rPr>
            </w:pPr>
            <w:r>
              <w:rPr>
                <w:b/>
                <w:sz w:val="21"/>
              </w:rPr>
              <w:t>责任免除</w:t>
            </w:r>
          </w:p>
        </w:tc>
        <w:tc>
          <w:tcPr>
            <w:tcW w:w="7628" w:type="dxa"/>
          </w:tcPr>
          <w:p>
            <w:pPr>
              <w:pStyle w:val="TableParagraph"/>
              <w:spacing w:line="273" w:lineRule="auto" w:before="143"/>
              <w:ind w:left="156" w:right="113"/>
              <w:rPr>
                <w:rFonts w:ascii="黑体" w:eastAsia="黑体" w:hint="eastAsia"/>
                <w:sz w:val="21"/>
              </w:rPr>
            </w:pPr>
            <w:r>
              <w:rPr>
                <w:rFonts w:ascii="黑体" w:eastAsia="黑体" w:hint="eastAsia"/>
                <w:sz w:val="21"/>
              </w:rPr>
              <w:t>因下列情形之一，导致被保险人初次发Th本附加合同约定重大疾病的，我们不承担给付保险金的责任：</w:t>
            </w:r>
          </w:p>
          <w:p>
            <w:pPr>
              <w:pStyle w:val="TableParagraph"/>
              <w:numPr>
                <w:ilvl w:val="0"/>
                <w:numId w:val="2"/>
              </w:numPr>
              <w:tabs>
                <w:tab w:pos="580" w:val="left" w:leader="none"/>
              </w:tabs>
              <w:spacing w:line="240" w:lineRule="auto" w:before="8" w:after="0"/>
              <w:ind w:left="579" w:right="0" w:hanging="423"/>
              <w:jc w:val="left"/>
              <w:rPr>
                <w:rFonts w:ascii="黑体" w:eastAsia="黑体" w:hint="eastAsia"/>
                <w:sz w:val="21"/>
              </w:rPr>
            </w:pPr>
            <w:r>
              <w:rPr>
                <w:rFonts w:ascii="黑体" w:eastAsia="黑体" w:hint="eastAsia"/>
                <w:spacing w:val="-4"/>
                <w:sz w:val="21"/>
              </w:rPr>
              <w:t>投保人对被保险人的故意杀害、故意伤害；</w:t>
            </w:r>
          </w:p>
          <w:p>
            <w:pPr>
              <w:pStyle w:val="TableParagraph"/>
              <w:numPr>
                <w:ilvl w:val="0"/>
                <w:numId w:val="2"/>
              </w:numPr>
              <w:tabs>
                <w:tab w:pos="580" w:val="left" w:leader="none"/>
              </w:tabs>
              <w:spacing w:line="240" w:lineRule="auto" w:before="37" w:after="0"/>
              <w:ind w:left="579" w:right="0" w:hanging="423"/>
              <w:jc w:val="left"/>
              <w:rPr>
                <w:rFonts w:ascii="黑体" w:eastAsia="黑体" w:hint="eastAsia"/>
                <w:sz w:val="21"/>
              </w:rPr>
            </w:pPr>
            <w:r>
              <w:rPr>
                <w:rFonts w:ascii="黑体" w:eastAsia="黑体" w:hint="eastAsia"/>
                <w:spacing w:val="-5"/>
                <w:sz w:val="21"/>
              </w:rPr>
              <w:t>被保险人故意自伤、故意犯罪或者抗拒依法采取的刑事强制措施；</w:t>
            </w:r>
          </w:p>
          <w:p>
            <w:pPr>
              <w:pStyle w:val="TableParagraph"/>
              <w:numPr>
                <w:ilvl w:val="0"/>
                <w:numId w:val="2"/>
              </w:numPr>
              <w:tabs>
                <w:tab w:pos="580" w:val="left" w:leader="none"/>
              </w:tabs>
              <w:spacing w:line="240" w:lineRule="auto" w:before="37" w:after="0"/>
              <w:ind w:left="579" w:right="0" w:hanging="423"/>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pacing w:val="0"/>
                <w:sz w:val="21"/>
              </w:rPr>
              <w:t>毒品</w:t>
            </w:r>
            <w:r>
              <w:rPr>
                <w:rFonts w:ascii="黑体" w:eastAsia="黑体" w:hint="eastAsia"/>
                <w:spacing w:val="-5"/>
                <w:sz w:val="21"/>
              </w:rPr>
              <w:t>（</w:t>
            </w:r>
            <w:r>
              <w:rPr>
                <w:rFonts w:ascii="黑体" w:eastAsia="黑体" w:hint="eastAsia"/>
                <w:spacing w:val="-16"/>
                <w:sz w:val="21"/>
              </w:rPr>
              <w:t>见 </w:t>
            </w:r>
            <w:r>
              <w:rPr>
                <w:rFonts w:ascii="黑体" w:eastAsia="黑体" w:hint="eastAsia"/>
                <w:sz w:val="21"/>
              </w:rPr>
              <w:t>7.9）；</w:t>
            </w:r>
          </w:p>
          <w:p>
            <w:pPr>
              <w:pStyle w:val="TableParagraph"/>
              <w:numPr>
                <w:ilvl w:val="0"/>
                <w:numId w:val="2"/>
              </w:numPr>
              <w:tabs>
                <w:tab w:pos="580" w:val="left" w:leader="none"/>
              </w:tabs>
              <w:spacing w:line="273" w:lineRule="auto" w:before="38" w:after="0"/>
              <w:ind w:left="579" w:right="204" w:hanging="423"/>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z w:val="21"/>
              </w:rPr>
              <w:t>（</w:t>
            </w:r>
            <w:r>
              <w:rPr>
                <w:rFonts w:ascii="黑体" w:eastAsia="黑体" w:hint="eastAsia"/>
                <w:spacing w:val="-23"/>
                <w:sz w:val="21"/>
              </w:rPr>
              <w:t>见 </w:t>
            </w:r>
            <w:r>
              <w:rPr>
                <w:rFonts w:ascii="黑体" w:eastAsia="黑体" w:hint="eastAsia"/>
                <w:sz w:val="21"/>
              </w:rPr>
              <w:t>7.10）</w:t>
            </w:r>
            <w:r>
              <w:rPr>
                <w:rFonts w:ascii="黑体" w:eastAsia="黑体" w:hint="eastAsia"/>
                <w:spacing w:val="-5"/>
                <w:sz w:val="21"/>
              </w:rPr>
              <w:t>、</w:t>
            </w:r>
            <w:r>
              <w:rPr>
                <w:rFonts w:ascii="黑体" w:eastAsia="黑体" w:hint="eastAsia"/>
                <w:b/>
                <w:spacing w:val="-1"/>
                <w:sz w:val="21"/>
              </w:rPr>
              <w:t>无合法有效驾驶证驾驶</w:t>
            </w:r>
            <w:r>
              <w:rPr>
                <w:rFonts w:ascii="黑体" w:eastAsia="黑体" w:hint="eastAsia"/>
                <w:spacing w:val="-5"/>
                <w:sz w:val="21"/>
              </w:rPr>
              <w:t>（</w:t>
            </w:r>
            <w:r>
              <w:rPr>
                <w:rFonts w:ascii="黑体" w:eastAsia="黑体" w:hint="eastAsia"/>
                <w:spacing w:val="-22"/>
                <w:sz w:val="21"/>
              </w:rPr>
              <w:t>见 </w:t>
            </w:r>
            <w:r>
              <w:rPr>
                <w:rFonts w:ascii="黑体" w:eastAsia="黑体" w:hint="eastAsia"/>
                <w:sz w:val="21"/>
              </w:rPr>
              <w:t>7.11），或驾驶</w:t>
            </w:r>
            <w:r>
              <w:rPr>
                <w:rFonts w:ascii="黑体" w:eastAsia="黑体" w:hint="eastAsia"/>
                <w:b/>
                <w:sz w:val="21"/>
              </w:rPr>
              <w:t>无有效行驶证</w:t>
            </w:r>
            <w:r>
              <w:rPr>
                <w:rFonts w:ascii="黑体" w:eastAsia="黑体" w:hint="eastAsia"/>
                <w:sz w:val="21"/>
              </w:rPr>
              <w:t>（</w:t>
            </w:r>
            <w:r>
              <w:rPr>
                <w:rFonts w:ascii="黑体" w:eastAsia="黑体" w:hint="eastAsia"/>
                <w:spacing w:val="-21"/>
                <w:sz w:val="21"/>
              </w:rPr>
              <w:t>见 </w:t>
            </w:r>
            <w:r>
              <w:rPr>
                <w:rFonts w:ascii="黑体" w:eastAsia="黑体" w:hint="eastAsia"/>
                <w:sz w:val="21"/>
              </w:rPr>
              <w:t>7.12）</w:t>
            </w:r>
            <w:r>
              <w:rPr>
                <w:rFonts w:ascii="黑体" w:eastAsia="黑体" w:hint="eastAsia"/>
                <w:spacing w:val="-2"/>
                <w:sz w:val="21"/>
              </w:rPr>
              <w:t>的机动车；</w:t>
            </w:r>
          </w:p>
          <w:p>
            <w:pPr>
              <w:pStyle w:val="TableParagraph"/>
              <w:numPr>
                <w:ilvl w:val="0"/>
                <w:numId w:val="2"/>
              </w:numPr>
              <w:tabs>
                <w:tab w:pos="580" w:val="left" w:leader="none"/>
              </w:tabs>
              <w:spacing w:line="240" w:lineRule="auto" w:before="8" w:after="0"/>
              <w:ind w:left="579" w:right="0" w:hanging="423"/>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感染艾滋病病毒或患艾滋病</w:t>
            </w:r>
            <w:r>
              <w:rPr>
                <w:rFonts w:ascii="黑体" w:eastAsia="黑体" w:hint="eastAsia"/>
                <w:spacing w:val="-5"/>
                <w:sz w:val="21"/>
              </w:rPr>
              <w:t>（</w:t>
            </w:r>
            <w:r>
              <w:rPr>
                <w:rFonts w:ascii="黑体" w:eastAsia="黑体" w:hint="eastAsia"/>
                <w:spacing w:val="-24"/>
                <w:sz w:val="21"/>
              </w:rPr>
              <w:t>见 </w:t>
            </w:r>
            <w:r>
              <w:rPr>
                <w:rFonts w:ascii="黑体" w:eastAsia="黑体" w:hint="eastAsia"/>
                <w:sz w:val="21"/>
              </w:rPr>
              <w:t>7.13）；</w:t>
            </w:r>
          </w:p>
          <w:p>
            <w:pPr>
              <w:pStyle w:val="TableParagraph"/>
              <w:numPr>
                <w:ilvl w:val="0"/>
                <w:numId w:val="2"/>
              </w:numPr>
              <w:tabs>
                <w:tab w:pos="580" w:val="left" w:leader="none"/>
              </w:tabs>
              <w:spacing w:line="240" w:lineRule="auto" w:before="37" w:after="0"/>
              <w:ind w:left="579" w:right="0" w:hanging="423"/>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2"/>
              </w:numPr>
              <w:tabs>
                <w:tab w:pos="580" w:val="left" w:leader="none"/>
              </w:tabs>
              <w:spacing w:line="240" w:lineRule="auto" w:before="37" w:after="0"/>
              <w:ind w:left="579" w:right="0" w:hanging="423"/>
              <w:jc w:val="left"/>
              <w:rPr>
                <w:rFonts w:ascii="黑体" w:eastAsia="黑体" w:hint="eastAsia"/>
                <w:sz w:val="21"/>
              </w:rPr>
            </w:pPr>
            <w:r>
              <w:rPr>
                <w:rFonts w:ascii="黑体" w:eastAsia="黑体" w:hint="eastAsia"/>
                <w:spacing w:val="-2"/>
                <w:sz w:val="21"/>
              </w:rPr>
              <w:t>核爆炸、核辐射或核污染；</w:t>
            </w:r>
          </w:p>
          <w:p>
            <w:pPr>
              <w:pStyle w:val="TableParagraph"/>
              <w:numPr>
                <w:ilvl w:val="0"/>
                <w:numId w:val="2"/>
              </w:numPr>
              <w:tabs>
                <w:tab w:pos="580" w:val="left" w:leader="none"/>
              </w:tabs>
              <w:spacing w:line="240" w:lineRule="auto" w:before="37" w:after="0"/>
              <w:ind w:left="579" w:right="0" w:hanging="423"/>
              <w:jc w:val="left"/>
              <w:rPr>
                <w:rFonts w:ascii="黑体" w:eastAsia="黑体" w:hint="eastAsia"/>
                <w:sz w:val="21"/>
              </w:rPr>
            </w:pPr>
            <w:r>
              <w:rPr>
                <w:rFonts w:ascii="黑体" w:eastAsia="黑体" w:hint="eastAsia"/>
                <w:b/>
                <w:sz w:val="21"/>
              </w:rPr>
              <w:t>遗传性疾病</w:t>
            </w:r>
            <w:r>
              <w:rPr>
                <w:rFonts w:ascii="黑体" w:eastAsia="黑体" w:hint="eastAsia"/>
                <w:sz w:val="21"/>
              </w:rPr>
              <w:t>（</w:t>
            </w:r>
            <w:r>
              <w:rPr>
                <w:rFonts w:ascii="黑体" w:eastAsia="黑体" w:hint="eastAsia"/>
                <w:spacing w:val="-25"/>
                <w:sz w:val="21"/>
              </w:rPr>
              <w:t>见 </w:t>
            </w:r>
            <w:r>
              <w:rPr>
                <w:rFonts w:ascii="黑体" w:eastAsia="黑体" w:hint="eastAsia"/>
                <w:sz w:val="21"/>
              </w:rPr>
              <w:t>7.14），</w:t>
            </w:r>
            <w:r>
              <w:rPr>
                <w:rFonts w:ascii="黑体" w:eastAsia="黑体" w:hint="eastAsia"/>
                <w:b/>
                <w:spacing w:val="-1"/>
                <w:sz w:val="21"/>
              </w:rPr>
              <w:t>先天性畸形、变形或染色体异常</w:t>
            </w:r>
            <w:r>
              <w:rPr>
                <w:rFonts w:ascii="黑体" w:eastAsia="黑体" w:hint="eastAsia"/>
                <w:spacing w:val="-5"/>
                <w:sz w:val="21"/>
              </w:rPr>
              <w:t>（</w:t>
            </w:r>
            <w:r>
              <w:rPr>
                <w:rFonts w:ascii="黑体" w:eastAsia="黑体" w:hint="eastAsia"/>
                <w:spacing w:val="-25"/>
                <w:sz w:val="21"/>
              </w:rPr>
              <w:t>见 </w:t>
            </w:r>
            <w:r>
              <w:rPr>
                <w:rFonts w:ascii="黑体" w:eastAsia="黑体" w:hint="eastAsia"/>
                <w:sz w:val="21"/>
              </w:rPr>
              <w:t>7.15）。</w:t>
            </w:r>
          </w:p>
          <w:p>
            <w:pPr>
              <w:pStyle w:val="TableParagraph"/>
              <w:spacing w:before="8"/>
              <w:rPr>
                <w:sz w:val="26"/>
              </w:rPr>
            </w:pPr>
          </w:p>
          <w:p>
            <w:pPr>
              <w:pStyle w:val="TableParagraph"/>
              <w:spacing w:line="273" w:lineRule="auto"/>
              <w:ind w:left="156" w:right="108"/>
              <w:rPr>
                <w:rFonts w:ascii="黑体" w:eastAsia="黑体" w:hint="eastAsia"/>
                <w:sz w:val="21"/>
              </w:rPr>
            </w:pPr>
            <w:r>
              <w:rPr>
                <w:rFonts w:ascii="黑体" w:eastAsia="黑体" w:hint="eastAsia"/>
                <w:sz w:val="21"/>
              </w:rPr>
              <w:t>发Th上述情形导致被保险人初次发Th本附加合同约定重大疾病的，本附加合同终止，我们退还本附加合同的</w:t>
            </w:r>
            <w:r>
              <w:rPr>
                <w:rFonts w:ascii="黑体" w:eastAsia="黑体" w:hint="eastAsia"/>
                <w:b/>
                <w:sz w:val="21"/>
              </w:rPr>
              <w:t>现金价值</w:t>
            </w:r>
            <w:r>
              <w:rPr>
                <w:rFonts w:ascii="黑体" w:eastAsia="黑体" w:hint="eastAsia"/>
                <w:sz w:val="21"/>
              </w:rPr>
              <w:t>（见 7.16）。</w:t>
            </w:r>
          </w:p>
        </w:tc>
      </w:tr>
      <w:tr>
        <w:trPr>
          <w:trHeight w:val="755" w:hRule="atLeast"/>
        </w:trPr>
        <w:tc>
          <w:tcPr>
            <w:tcW w:w="931" w:type="dxa"/>
            <w:tcBorders>
              <w:bottom w:val="single" w:sz="8" w:space="0" w:color="000000"/>
            </w:tcBorders>
          </w:tcPr>
          <w:p>
            <w:pPr>
              <w:pStyle w:val="TableParagraph"/>
              <w:spacing w:before="193"/>
              <w:ind w:right="103"/>
              <w:jc w:val="right"/>
              <w:rPr>
                <w:rFonts w:ascii="Arial" w:hAnsi="Arial"/>
                <w:b/>
                <w:sz w:val="40"/>
              </w:rPr>
            </w:pPr>
            <w:r>
              <w:rPr>
                <w:rFonts w:ascii="Arial" w:hAnsi="Arial"/>
                <w:b/>
                <w:w w:val="118"/>
                <w:sz w:val="40"/>
              </w:rPr>
              <w:t></w:t>
            </w:r>
          </w:p>
        </w:tc>
        <w:tc>
          <w:tcPr>
            <w:tcW w:w="9157" w:type="dxa"/>
            <w:gridSpan w:val="2"/>
            <w:tcBorders>
              <w:bottom w:val="single" w:sz="8" w:space="0" w:color="000000"/>
            </w:tcBorders>
          </w:tcPr>
          <w:p>
            <w:pPr>
              <w:pStyle w:val="TableParagraph"/>
              <w:spacing w:before="1"/>
              <w:rPr>
                <w:sz w:val="19"/>
              </w:rPr>
            </w:pPr>
          </w:p>
          <w:p>
            <w:pPr>
              <w:pStyle w:val="TableParagraph"/>
              <w:ind w:left="106"/>
              <w:rPr>
                <w:b/>
                <w:sz w:val="24"/>
              </w:rPr>
            </w:pPr>
            <w:r>
              <w:rPr>
                <w:b/>
                <w:w w:val="95"/>
                <w:sz w:val="24"/>
              </w:rPr>
              <w:t>如何申请领取保险金</w:t>
            </w:r>
          </w:p>
        </w:tc>
      </w:tr>
      <w:tr>
        <w:trPr>
          <w:trHeight w:val="571" w:hRule="atLeast"/>
        </w:trPr>
        <w:tc>
          <w:tcPr>
            <w:tcW w:w="931" w:type="dxa"/>
            <w:tcBorders>
              <w:top w:val="single" w:sz="8" w:space="0" w:color="000000"/>
            </w:tcBorders>
          </w:tcPr>
          <w:p>
            <w:pPr>
              <w:pStyle w:val="TableParagraph"/>
              <w:spacing w:before="8"/>
              <w:rPr>
                <w:sz w:val="22"/>
              </w:rPr>
            </w:pPr>
          </w:p>
          <w:p>
            <w:pPr>
              <w:pStyle w:val="TableParagraph"/>
              <w:spacing w:line="255" w:lineRule="exact"/>
              <w:ind w:right="103"/>
              <w:jc w:val="right"/>
              <w:rPr>
                <w:b/>
                <w:sz w:val="21"/>
              </w:rPr>
            </w:pPr>
            <w:r>
              <w:rPr>
                <w:b/>
                <w:sz w:val="21"/>
              </w:rPr>
              <w:t>3.1</w:t>
            </w:r>
          </w:p>
        </w:tc>
        <w:tc>
          <w:tcPr>
            <w:tcW w:w="1529" w:type="dxa"/>
            <w:tcBorders>
              <w:top w:val="single" w:sz="8" w:space="0" w:color="000000"/>
            </w:tcBorders>
          </w:tcPr>
          <w:p>
            <w:pPr>
              <w:pStyle w:val="TableParagraph"/>
              <w:spacing w:before="8"/>
              <w:rPr>
                <w:sz w:val="22"/>
              </w:rPr>
            </w:pPr>
          </w:p>
          <w:p>
            <w:pPr>
              <w:pStyle w:val="TableParagraph"/>
              <w:spacing w:line="255" w:lineRule="exact"/>
              <w:ind w:left="106"/>
              <w:rPr>
                <w:b/>
                <w:sz w:val="21"/>
              </w:rPr>
            </w:pPr>
            <w:r>
              <w:rPr>
                <w:b/>
                <w:sz w:val="21"/>
              </w:rPr>
              <w:t>受益人</w:t>
            </w:r>
          </w:p>
        </w:tc>
        <w:tc>
          <w:tcPr>
            <w:tcW w:w="7628" w:type="dxa"/>
            <w:tcBorders>
              <w:top w:val="single" w:sz="8" w:space="0" w:color="000000"/>
            </w:tcBorders>
          </w:tcPr>
          <w:p>
            <w:pPr>
              <w:pStyle w:val="TableParagraph"/>
              <w:spacing w:before="8"/>
              <w:rPr>
                <w:sz w:val="22"/>
              </w:rPr>
            </w:pPr>
          </w:p>
          <w:p>
            <w:pPr>
              <w:pStyle w:val="TableParagraph"/>
              <w:spacing w:line="255" w:lineRule="exact"/>
              <w:ind w:left="156"/>
              <w:rPr>
                <w:sz w:val="21"/>
              </w:rPr>
            </w:pPr>
            <w:r>
              <w:rPr>
                <w:sz w:val="21"/>
              </w:rPr>
              <w:t>除另有约定外，本附加合同保险金的受益人为被保险人本人。</w:t>
            </w:r>
          </w:p>
        </w:tc>
      </w:tr>
    </w:tbl>
    <w:p>
      <w:pPr>
        <w:spacing w:after="0" w:line="255" w:lineRule="exact"/>
        <w:rPr>
          <w:sz w:val="21"/>
        </w:rPr>
        <w:sectPr>
          <w:pgSz w:w="11910" w:h="16840"/>
          <w:pgMar w:header="0" w:footer="329" w:top="1280" w:bottom="520" w:left="80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1"/>
        <w:gridCol w:w="1529"/>
        <w:gridCol w:w="7628"/>
      </w:tblGrid>
      <w:tr>
        <w:trPr>
          <w:trHeight w:val="2914" w:hRule="atLeast"/>
        </w:trPr>
        <w:tc>
          <w:tcPr>
            <w:tcW w:w="931" w:type="dxa"/>
          </w:tcPr>
          <w:p>
            <w:pPr>
              <w:pStyle w:val="TableParagraph"/>
              <w:spacing w:line="211" w:lineRule="exact"/>
              <w:ind w:right="103"/>
              <w:jc w:val="right"/>
              <w:rPr>
                <w:b/>
                <w:sz w:val="21"/>
              </w:rPr>
            </w:pPr>
            <w:r>
              <w:rPr>
                <w:b/>
                <w:sz w:val="21"/>
              </w:rPr>
              <w:t>3.2</w:t>
            </w:r>
          </w:p>
        </w:tc>
        <w:tc>
          <w:tcPr>
            <w:tcW w:w="1529" w:type="dxa"/>
          </w:tcPr>
          <w:p>
            <w:pPr>
              <w:pStyle w:val="TableParagraph"/>
              <w:spacing w:line="235" w:lineRule="exact"/>
              <w:ind w:left="106"/>
              <w:rPr>
                <w:b/>
                <w:sz w:val="21"/>
              </w:rPr>
            </w:pPr>
            <w:r>
              <w:rPr>
                <w:b/>
                <w:sz w:val="21"/>
              </w:rPr>
              <w:t>保险金申请</w:t>
            </w:r>
          </w:p>
        </w:tc>
        <w:tc>
          <w:tcPr>
            <w:tcW w:w="7628" w:type="dxa"/>
          </w:tcPr>
          <w:p>
            <w:pPr>
              <w:pStyle w:val="TableParagraph"/>
              <w:spacing w:line="211" w:lineRule="exact"/>
              <w:ind w:left="156"/>
              <w:rPr>
                <w:sz w:val="21"/>
              </w:rPr>
            </w:pPr>
            <w:r>
              <w:rPr>
                <w:sz w:val="21"/>
              </w:rPr>
              <w:t>在申请保险金时，申请人须填写保险金给付申请书，并提供下列证明和资料：</w:t>
            </w:r>
          </w:p>
          <w:p>
            <w:pPr>
              <w:pStyle w:val="TableParagraph"/>
              <w:spacing w:before="37"/>
              <w:ind w:left="156"/>
              <w:rPr>
                <w:sz w:val="21"/>
              </w:rPr>
            </w:pPr>
            <w:r>
              <w:rPr>
                <w:sz w:val="21"/>
              </w:rPr>
              <w:t>（1）保险合同；</w:t>
            </w:r>
          </w:p>
          <w:p>
            <w:pPr>
              <w:pStyle w:val="TableParagraph"/>
              <w:spacing w:before="37"/>
              <w:ind w:left="156"/>
              <w:rPr>
                <w:sz w:val="21"/>
              </w:rPr>
            </w:pPr>
            <w:r>
              <w:rPr>
                <w:sz w:val="21"/>
              </w:rPr>
              <w:t>（2）申请人的有效身份证件；</w:t>
            </w:r>
          </w:p>
          <w:p>
            <w:pPr>
              <w:pStyle w:val="TableParagraph"/>
              <w:spacing w:line="273" w:lineRule="auto" w:before="37"/>
              <w:ind w:left="627" w:right="105" w:hanging="471"/>
              <w:rPr>
                <w:sz w:val="21"/>
              </w:rPr>
            </w:pPr>
            <w:r>
              <w:rPr>
                <w:spacing w:val="-16"/>
                <w:sz w:val="21"/>
              </w:rPr>
              <w:t>（3）</w:t>
            </w:r>
            <w:r>
              <w:rPr>
                <w:spacing w:val="-8"/>
                <w:sz w:val="21"/>
              </w:rPr>
              <w:t>医疗机构出具的附有病理显微镜检查、血液检验及其他科学方法检验报告的</w:t>
            </w:r>
            <w:r>
              <w:rPr>
                <w:spacing w:val="-6"/>
                <w:sz w:val="21"/>
              </w:rPr>
              <w:t>疾病诊断证明书；</w:t>
            </w:r>
          </w:p>
          <w:p>
            <w:pPr>
              <w:pStyle w:val="TableParagraph"/>
              <w:spacing w:before="7"/>
              <w:ind w:left="156"/>
              <w:rPr>
                <w:sz w:val="21"/>
              </w:rPr>
            </w:pPr>
            <w:r>
              <w:rPr>
                <w:sz w:val="21"/>
              </w:rPr>
              <w:t>（4）所能提供的与确认保险事故的性质、原因等有关的其他证明和资料。</w:t>
            </w:r>
          </w:p>
          <w:p>
            <w:pPr>
              <w:pStyle w:val="TableParagraph"/>
              <w:spacing w:before="8"/>
              <w:rPr>
                <w:sz w:val="26"/>
              </w:rPr>
            </w:pPr>
          </w:p>
          <w:p>
            <w:pPr>
              <w:pStyle w:val="TableParagraph"/>
              <w:spacing w:line="273" w:lineRule="auto" w:before="1"/>
              <w:ind w:left="156" w:right="115"/>
              <w:rPr>
                <w:sz w:val="21"/>
              </w:rPr>
            </w:pPr>
            <w:r>
              <w:rPr>
                <w:sz w:val="21"/>
              </w:rPr>
              <w:t>以上证明和资料不完整的，我们将及时一次性通知申请人补充提供有关证明和资料。</w:t>
            </w:r>
          </w:p>
        </w:tc>
      </w:tr>
      <w:tr>
        <w:trPr>
          <w:trHeight w:val="5317" w:hRule="atLeast"/>
        </w:trPr>
        <w:tc>
          <w:tcPr>
            <w:tcW w:w="931" w:type="dxa"/>
          </w:tcPr>
          <w:p>
            <w:pPr>
              <w:pStyle w:val="TableParagraph"/>
              <w:spacing w:before="142"/>
              <w:ind w:right="103"/>
              <w:jc w:val="right"/>
              <w:rPr>
                <w:b/>
                <w:sz w:val="21"/>
              </w:rPr>
            </w:pPr>
            <w:r>
              <w:rPr>
                <w:b/>
                <w:sz w:val="21"/>
              </w:rPr>
              <w:t>3.3</w:t>
            </w:r>
          </w:p>
        </w:tc>
        <w:tc>
          <w:tcPr>
            <w:tcW w:w="1529" w:type="dxa"/>
          </w:tcPr>
          <w:p>
            <w:pPr>
              <w:pStyle w:val="TableParagraph"/>
              <w:spacing w:before="142"/>
              <w:ind w:left="106"/>
              <w:rPr>
                <w:b/>
                <w:sz w:val="21"/>
              </w:rPr>
            </w:pPr>
            <w:r>
              <w:rPr>
                <w:b/>
                <w:sz w:val="21"/>
              </w:rPr>
              <w:t>保险金给付</w:t>
            </w:r>
          </w:p>
        </w:tc>
        <w:tc>
          <w:tcPr>
            <w:tcW w:w="7628" w:type="dxa"/>
          </w:tcPr>
          <w:p>
            <w:pPr>
              <w:pStyle w:val="TableParagraph"/>
              <w:spacing w:line="273" w:lineRule="auto" w:before="142"/>
              <w:ind w:left="156" w:right="-15"/>
              <w:rPr>
                <w:sz w:val="21"/>
              </w:rPr>
            </w:pPr>
            <w:r>
              <w:rPr>
                <w:spacing w:val="-10"/>
                <w:sz w:val="21"/>
              </w:rPr>
              <w:t>我们在收到保险金给付申请书及合同约定的证明和资料后，将在 </w:t>
            </w:r>
            <w:r>
              <w:rPr>
                <w:sz w:val="21"/>
              </w:rPr>
              <w:t>5</w:t>
            </w:r>
            <w:r>
              <w:rPr>
                <w:spacing w:val="-6"/>
                <w:sz w:val="21"/>
              </w:rPr>
              <w:t> 日内作出核定； </w:t>
            </w:r>
            <w:r>
              <w:rPr>
                <w:spacing w:val="-16"/>
                <w:sz w:val="21"/>
              </w:rPr>
              <w:t>情形复杂的，在 </w:t>
            </w:r>
            <w:r>
              <w:rPr>
                <w:sz w:val="21"/>
              </w:rPr>
              <w:t>30</w:t>
            </w:r>
            <w:r>
              <w:rPr>
                <w:spacing w:val="-11"/>
                <w:sz w:val="21"/>
              </w:rPr>
              <w:t> 日内作出核定，但因第三方责任或其他非我们的责任导致保险</w:t>
            </w:r>
            <w:r>
              <w:rPr>
                <w:spacing w:val="-7"/>
                <w:sz w:val="21"/>
              </w:rPr>
              <w:t>事故的性质、金额无法确定的除外。</w:t>
            </w:r>
          </w:p>
          <w:p>
            <w:pPr>
              <w:pStyle w:val="TableParagraph"/>
              <w:spacing w:before="5"/>
              <w:rPr>
                <w:sz w:val="24"/>
              </w:rPr>
            </w:pPr>
          </w:p>
          <w:p>
            <w:pPr>
              <w:pStyle w:val="TableParagraph"/>
              <w:spacing w:line="273" w:lineRule="auto"/>
              <w:ind w:left="156" w:right="103"/>
              <w:rPr>
                <w:sz w:val="21"/>
              </w:rPr>
            </w:pPr>
            <w:r>
              <w:rPr>
                <w:spacing w:val="-8"/>
                <w:sz w:val="21"/>
              </w:rPr>
              <w:t>对属于保险责任的，我们在与受益人达成给付保险金的协议后 </w:t>
            </w:r>
            <w:r>
              <w:rPr>
                <w:sz w:val="21"/>
              </w:rPr>
              <w:t>10</w:t>
            </w:r>
            <w:r>
              <w:rPr>
                <w:spacing w:val="-14"/>
                <w:sz w:val="21"/>
              </w:rPr>
              <w:t> 日内，履行给付</w:t>
            </w:r>
            <w:r>
              <w:rPr>
                <w:spacing w:val="-11"/>
                <w:sz w:val="21"/>
              </w:rPr>
              <w:t>保险金义务。</w:t>
            </w:r>
          </w:p>
          <w:p>
            <w:pPr>
              <w:pStyle w:val="TableParagraph"/>
              <w:spacing w:before="5"/>
              <w:rPr>
                <w:sz w:val="24"/>
              </w:rPr>
            </w:pPr>
          </w:p>
          <w:p>
            <w:pPr>
              <w:pStyle w:val="TableParagraph"/>
              <w:spacing w:line="273" w:lineRule="auto"/>
              <w:ind w:left="156" w:right="111"/>
              <w:rPr>
                <w:sz w:val="21"/>
              </w:rPr>
            </w:pPr>
            <w:r>
              <w:rPr>
                <w:sz w:val="21"/>
              </w:rPr>
              <w:t>我们未及时履行前款规定义务的，除支付保险金外，应当赔偿受益人因此受到的损失。</w:t>
            </w:r>
          </w:p>
          <w:p>
            <w:pPr>
              <w:pStyle w:val="TableParagraph"/>
              <w:spacing w:before="6"/>
              <w:rPr>
                <w:sz w:val="24"/>
              </w:rPr>
            </w:pPr>
          </w:p>
          <w:p>
            <w:pPr>
              <w:pStyle w:val="TableParagraph"/>
              <w:spacing w:line="273" w:lineRule="auto"/>
              <w:ind w:left="156" w:right="103"/>
              <w:rPr>
                <w:sz w:val="21"/>
              </w:rPr>
            </w:pPr>
            <w:r>
              <w:rPr>
                <w:spacing w:val="-6"/>
                <w:sz w:val="21"/>
              </w:rPr>
              <w:t>对不属于保险责任的，我们自作出核定之日起 </w:t>
            </w:r>
            <w:r>
              <w:rPr>
                <w:sz w:val="21"/>
              </w:rPr>
              <w:t>3</w:t>
            </w:r>
            <w:r>
              <w:rPr>
                <w:spacing w:val="-6"/>
                <w:sz w:val="21"/>
              </w:rPr>
              <w:t> 日内向受益人发出拒绝给付保险</w:t>
            </w:r>
            <w:r>
              <w:rPr>
                <w:spacing w:val="-5"/>
                <w:sz w:val="21"/>
              </w:rPr>
              <w:t>金通知书并说明理由。</w:t>
            </w:r>
          </w:p>
          <w:p>
            <w:pPr>
              <w:pStyle w:val="TableParagraph"/>
              <w:spacing w:before="5"/>
              <w:rPr>
                <w:sz w:val="24"/>
              </w:rPr>
            </w:pPr>
          </w:p>
          <w:p>
            <w:pPr>
              <w:pStyle w:val="TableParagraph"/>
              <w:spacing w:line="273" w:lineRule="auto"/>
              <w:ind w:left="156" w:right="104"/>
              <w:jc w:val="both"/>
              <w:rPr>
                <w:sz w:val="21"/>
              </w:rPr>
            </w:pPr>
            <w:r>
              <w:rPr>
                <w:spacing w:val="-6"/>
                <w:sz w:val="21"/>
              </w:rPr>
              <w:t>我们在收到保险金给付申请书及有关证明和资料之日起 </w:t>
            </w:r>
            <w:r>
              <w:rPr>
                <w:sz w:val="21"/>
              </w:rPr>
              <w:t>60</w:t>
            </w:r>
            <w:r>
              <w:rPr>
                <w:spacing w:val="-16"/>
                <w:sz w:val="21"/>
              </w:rPr>
              <w:t> 日内，对给付保险金的</w:t>
            </w:r>
            <w:r>
              <w:rPr>
                <w:spacing w:val="-9"/>
                <w:sz w:val="21"/>
              </w:rPr>
              <w:t>数额不能确定的，根据已有证明和资料可以确定的数额先予支付；我们最终确定</w:t>
            </w:r>
            <w:r>
              <w:rPr>
                <w:spacing w:val="-7"/>
                <w:sz w:val="21"/>
              </w:rPr>
              <w:t>给付保险金的数额后，将支付相应的差额。</w:t>
            </w:r>
          </w:p>
        </w:tc>
      </w:tr>
      <w:tr>
        <w:trPr>
          <w:trHeight w:val="974" w:hRule="atLeast"/>
        </w:trPr>
        <w:tc>
          <w:tcPr>
            <w:tcW w:w="931" w:type="dxa"/>
          </w:tcPr>
          <w:p>
            <w:pPr>
              <w:pStyle w:val="TableParagraph"/>
              <w:spacing w:before="154"/>
              <w:ind w:right="103"/>
              <w:jc w:val="right"/>
              <w:rPr>
                <w:b/>
                <w:sz w:val="21"/>
              </w:rPr>
            </w:pPr>
            <w:r>
              <w:rPr>
                <w:b/>
                <w:sz w:val="21"/>
              </w:rPr>
              <w:t>3.4</w:t>
            </w:r>
          </w:p>
        </w:tc>
        <w:tc>
          <w:tcPr>
            <w:tcW w:w="1529" w:type="dxa"/>
          </w:tcPr>
          <w:p>
            <w:pPr>
              <w:pStyle w:val="TableParagraph"/>
              <w:spacing w:before="154"/>
              <w:ind w:left="106"/>
              <w:rPr>
                <w:b/>
                <w:sz w:val="21"/>
              </w:rPr>
            </w:pPr>
            <w:r>
              <w:rPr>
                <w:b/>
                <w:sz w:val="21"/>
              </w:rPr>
              <w:t>诉讼时效</w:t>
            </w:r>
          </w:p>
        </w:tc>
        <w:tc>
          <w:tcPr>
            <w:tcW w:w="7628" w:type="dxa"/>
          </w:tcPr>
          <w:p>
            <w:pPr>
              <w:pStyle w:val="TableParagraph"/>
              <w:spacing w:line="273" w:lineRule="auto" w:before="154"/>
              <w:ind w:left="156" w:right="113"/>
              <w:rPr>
                <w:sz w:val="21"/>
              </w:rPr>
            </w:pPr>
            <w:r>
              <w:rPr>
                <w:spacing w:val="-6"/>
                <w:sz w:val="21"/>
              </w:rPr>
              <w:t>受益人向我们请求给付保险金的诉讼时效期间为 </w:t>
            </w:r>
            <w:r>
              <w:rPr>
                <w:sz w:val="21"/>
              </w:rPr>
              <w:t>2</w:t>
            </w:r>
            <w:r>
              <w:rPr>
                <w:spacing w:val="-7"/>
                <w:sz w:val="21"/>
              </w:rPr>
              <w:t> 年，自其知道或应当知道保险</w:t>
            </w:r>
            <w:r>
              <w:rPr>
                <w:spacing w:val="-6"/>
                <w:sz w:val="21"/>
              </w:rPr>
              <w:t>事故发生之日起计算。</w:t>
            </w:r>
          </w:p>
        </w:tc>
      </w:tr>
      <w:tr>
        <w:trPr>
          <w:trHeight w:val="755" w:hRule="atLeast"/>
        </w:trPr>
        <w:tc>
          <w:tcPr>
            <w:tcW w:w="931" w:type="dxa"/>
            <w:tcBorders>
              <w:bottom w:val="single" w:sz="8" w:space="0" w:color="000000"/>
            </w:tcBorders>
          </w:tcPr>
          <w:p>
            <w:pPr>
              <w:pStyle w:val="TableParagraph"/>
              <w:spacing w:before="193"/>
              <w:ind w:right="103"/>
              <w:jc w:val="right"/>
              <w:rPr>
                <w:rFonts w:ascii="Arial" w:hAnsi="Arial"/>
                <w:b/>
                <w:sz w:val="40"/>
              </w:rPr>
            </w:pPr>
            <w:r>
              <w:rPr>
                <w:rFonts w:ascii="Arial" w:hAnsi="Arial"/>
                <w:b/>
                <w:w w:val="118"/>
                <w:sz w:val="40"/>
              </w:rPr>
              <w:t></w:t>
            </w:r>
          </w:p>
        </w:tc>
        <w:tc>
          <w:tcPr>
            <w:tcW w:w="9157" w:type="dxa"/>
            <w:gridSpan w:val="2"/>
            <w:tcBorders>
              <w:bottom w:val="single" w:sz="8" w:space="0" w:color="000000"/>
            </w:tcBorders>
          </w:tcPr>
          <w:p>
            <w:pPr>
              <w:pStyle w:val="TableParagraph"/>
              <w:spacing w:before="9"/>
              <w:rPr>
                <w:sz w:val="18"/>
              </w:rPr>
            </w:pPr>
          </w:p>
          <w:p>
            <w:pPr>
              <w:pStyle w:val="TableParagraph"/>
              <w:ind w:left="106"/>
              <w:rPr>
                <w:b/>
                <w:sz w:val="24"/>
              </w:rPr>
            </w:pPr>
            <w:r>
              <w:rPr>
                <w:b/>
                <w:w w:val="95"/>
                <w:sz w:val="24"/>
              </w:rPr>
              <w:t>如何支付保险费</w:t>
            </w:r>
          </w:p>
        </w:tc>
      </w:tr>
      <w:tr>
        <w:trPr>
          <w:trHeight w:val="804" w:hRule="atLeast"/>
        </w:trPr>
        <w:tc>
          <w:tcPr>
            <w:tcW w:w="931" w:type="dxa"/>
            <w:tcBorders>
              <w:top w:val="single" w:sz="8" w:space="0" w:color="000000"/>
            </w:tcBorders>
          </w:tcPr>
          <w:p>
            <w:pPr>
              <w:pStyle w:val="TableParagraph"/>
              <w:spacing w:before="8"/>
              <w:rPr>
                <w:sz w:val="22"/>
              </w:rPr>
            </w:pPr>
          </w:p>
          <w:p>
            <w:pPr>
              <w:pStyle w:val="TableParagraph"/>
              <w:spacing w:before="1"/>
              <w:ind w:right="103"/>
              <w:jc w:val="right"/>
              <w:rPr>
                <w:b/>
                <w:sz w:val="21"/>
              </w:rPr>
            </w:pPr>
            <w:r>
              <w:rPr>
                <w:b/>
                <w:sz w:val="21"/>
              </w:rPr>
              <w:t>4.1</w:t>
            </w:r>
          </w:p>
        </w:tc>
        <w:tc>
          <w:tcPr>
            <w:tcW w:w="1529" w:type="dxa"/>
            <w:tcBorders>
              <w:top w:val="single" w:sz="8" w:space="0" w:color="000000"/>
            </w:tcBorders>
          </w:tcPr>
          <w:p>
            <w:pPr>
              <w:pStyle w:val="TableParagraph"/>
              <w:spacing w:before="8"/>
              <w:rPr>
                <w:sz w:val="22"/>
              </w:rPr>
            </w:pPr>
          </w:p>
          <w:p>
            <w:pPr>
              <w:pStyle w:val="TableParagraph"/>
              <w:spacing w:before="1"/>
              <w:ind w:left="106"/>
              <w:rPr>
                <w:b/>
                <w:sz w:val="21"/>
              </w:rPr>
            </w:pPr>
            <w:r>
              <w:rPr>
                <w:b/>
                <w:sz w:val="21"/>
              </w:rPr>
              <w:t>保险费支付</w:t>
            </w:r>
          </w:p>
        </w:tc>
        <w:tc>
          <w:tcPr>
            <w:tcW w:w="7628" w:type="dxa"/>
            <w:tcBorders>
              <w:top w:val="single" w:sz="8" w:space="0" w:color="000000"/>
            </w:tcBorders>
          </w:tcPr>
          <w:p>
            <w:pPr>
              <w:pStyle w:val="TableParagraph"/>
              <w:spacing w:before="8"/>
              <w:rPr>
                <w:sz w:val="22"/>
              </w:rPr>
            </w:pPr>
          </w:p>
          <w:p>
            <w:pPr>
              <w:pStyle w:val="TableParagraph"/>
              <w:spacing w:before="1"/>
              <w:ind w:left="156"/>
              <w:rPr>
                <w:sz w:val="21"/>
              </w:rPr>
            </w:pPr>
            <w:r>
              <w:rPr>
                <w:sz w:val="21"/>
              </w:rPr>
              <w:t>您须在投保时一次性支付整个保险期间的保险费。</w:t>
            </w:r>
          </w:p>
        </w:tc>
      </w:tr>
      <w:tr>
        <w:trPr>
          <w:trHeight w:val="755" w:hRule="atLeast"/>
        </w:trPr>
        <w:tc>
          <w:tcPr>
            <w:tcW w:w="931" w:type="dxa"/>
            <w:tcBorders>
              <w:bottom w:val="single" w:sz="8" w:space="0" w:color="000000"/>
            </w:tcBorders>
          </w:tcPr>
          <w:p>
            <w:pPr>
              <w:pStyle w:val="TableParagraph"/>
              <w:spacing w:before="193"/>
              <w:ind w:right="103"/>
              <w:jc w:val="right"/>
              <w:rPr>
                <w:rFonts w:ascii="Arial" w:hAnsi="Arial"/>
                <w:b/>
                <w:sz w:val="40"/>
              </w:rPr>
            </w:pPr>
            <w:r>
              <w:rPr>
                <w:rFonts w:ascii="Arial" w:hAnsi="Arial"/>
                <w:b/>
                <w:w w:val="118"/>
                <w:sz w:val="40"/>
              </w:rPr>
              <w:t></w:t>
            </w:r>
          </w:p>
        </w:tc>
        <w:tc>
          <w:tcPr>
            <w:tcW w:w="9157" w:type="dxa"/>
            <w:gridSpan w:val="2"/>
            <w:tcBorders>
              <w:bottom w:val="single" w:sz="8" w:space="0" w:color="000000"/>
            </w:tcBorders>
          </w:tcPr>
          <w:p>
            <w:pPr>
              <w:pStyle w:val="TableParagraph"/>
              <w:spacing w:before="9"/>
              <w:rPr>
                <w:sz w:val="18"/>
              </w:rPr>
            </w:pPr>
          </w:p>
          <w:p>
            <w:pPr>
              <w:pStyle w:val="TableParagraph"/>
              <w:ind w:left="106"/>
              <w:rPr>
                <w:b/>
                <w:sz w:val="24"/>
              </w:rPr>
            </w:pPr>
            <w:r>
              <w:rPr>
                <w:b/>
                <w:w w:val="95"/>
                <w:sz w:val="24"/>
              </w:rPr>
              <w:t>如何解除保险合同</w:t>
            </w:r>
          </w:p>
        </w:tc>
      </w:tr>
      <w:tr>
        <w:trPr>
          <w:trHeight w:val="2180" w:hRule="atLeast"/>
        </w:trPr>
        <w:tc>
          <w:tcPr>
            <w:tcW w:w="931" w:type="dxa"/>
            <w:tcBorders>
              <w:top w:val="single" w:sz="8" w:space="0" w:color="000000"/>
            </w:tcBorders>
          </w:tcPr>
          <w:p>
            <w:pPr>
              <w:pStyle w:val="TableParagraph"/>
              <w:spacing w:before="4"/>
              <w:rPr>
                <w:sz w:val="26"/>
              </w:rPr>
            </w:pPr>
          </w:p>
          <w:p>
            <w:pPr>
              <w:pStyle w:val="TableParagraph"/>
              <w:ind w:right="103"/>
              <w:jc w:val="right"/>
              <w:rPr>
                <w:b/>
                <w:sz w:val="21"/>
              </w:rPr>
            </w:pPr>
            <w:r>
              <w:rPr>
                <w:b/>
                <w:sz w:val="21"/>
              </w:rPr>
              <w:t>5.1</w:t>
            </w:r>
          </w:p>
        </w:tc>
        <w:tc>
          <w:tcPr>
            <w:tcW w:w="1529" w:type="dxa"/>
            <w:tcBorders>
              <w:top w:val="single" w:sz="8" w:space="0" w:color="000000"/>
            </w:tcBorders>
          </w:tcPr>
          <w:p>
            <w:pPr>
              <w:pStyle w:val="TableParagraph"/>
              <w:spacing w:before="4"/>
              <w:rPr>
                <w:sz w:val="26"/>
              </w:rPr>
            </w:pPr>
          </w:p>
          <w:p>
            <w:pPr>
              <w:pStyle w:val="TableParagraph"/>
              <w:spacing w:line="273" w:lineRule="auto"/>
              <w:ind w:left="106" w:right="153"/>
              <w:rPr>
                <w:b/>
                <w:sz w:val="21"/>
              </w:rPr>
            </w:pPr>
            <w:r>
              <w:rPr>
                <w:b/>
                <w:sz w:val="21"/>
              </w:rPr>
              <w:t>您解除合同的手续及风险</w:t>
            </w:r>
          </w:p>
        </w:tc>
        <w:tc>
          <w:tcPr>
            <w:tcW w:w="7628" w:type="dxa"/>
            <w:tcBorders>
              <w:top w:val="single" w:sz="8" w:space="0" w:color="000000"/>
            </w:tcBorders>
          </w:tcPr>
          <w:p>
            <w:pPr>
              <w:pStyle w:val="TableParagraph"/>
              <w:spacing w:before="4"/>
              <w:rPr>
                <w:sz w:val="26"/>
              </w:rPr>
            </w:pPr>
          </w:p>
          <w:p>
            <w:pPr>
              <w:pStyle w:val="TableParagraph"/>
              <w:spacing w:line="273" w:lineRule="auto"/>
              <w:ind w:left="156" w:right="114"/>
              <w:rPr>
                <w:sz w:val="21"/>
              </w:rPr>
            </w:pPr>
            <w:r>
              <w:rPr>
                <w:sz w:val="21"/>
              </w:rPr>
              <w:t>如您在犹豫期后申请解除本附加合同，请填写解除合同申请书并向我们提供下列资料：</w:t>
            </w:r>
          </w:p>
          <w:p>
            <w:pPr>
              <w:pStyle w:val="TableParagraph"/>
              <w:spacing w:before="8"/>
              <w:ind w:left="156"/>
              <w:rPr>
                <w:sz w:val="21"/>
              </w:rPr>
            </w:pPr>
            <w:r>
              <w:rPr>
                <w:sz w:val="21"/>
              </w:rPr>
              <w:t>（1）保险合同原件；</w:t>
            </w:r>
          </w:p>
          <w:p>
            <w:pPr>
              <w:pStyle w:val="TableParagraph"/>
              <w:spacing w:before="37"/>
              <w:ind w:left="156"/>
              <w:rPr>
                <w:sz w:val="21"/>
              </w:rPr>
            </w:pPr>
            <w:r>
              <w:rPr>
                <w:sz w:val="21"/>
              </w:rPr>
              <w:t>（2）您的有效身份证件。</w:t>
            </w:r>
          </w:p>
          <w:p>
            <w:pPr>
              <w:pStyle w:val="TableParagraph"/>
              <w:spacing w:before="8"/>
              <w:rPr>
                <w:sz w:val="26"/>
              </w:rPr>
            </w:pPr>
          </w:p>
          <w:p>
            <w:pPr>
              <w:pStyle w:val="TableParagraph"/>
              <w:spacing w:line="255" w:lineRule="exact"/>
              <w:ind w:left="156"/>
              <w:rPr>
                <w:sz w:val="21"/>
              </w:rPr>
            </w:pPr>
            <w:r>
              <w:rPr>
                <w:sz w:val="21"/>
              </w:rPr>
              <w:t>自我们收到解除合同申请书时起，本附加合同终止。我们自收到解除合同申请书</w:t>
            </w:r>
          </w:p>
        </w:tc>
      </w:tr>
    </w:tbl>
    <w:p>
      <w:pPr>
        <w:spacing w:after="0" w:line="255" w:lineRule="exact"/>
        <w:rPr>
          <w:sz w:val="21"/>
        </w:rPr>
        <w:sectPr>
          <w:pgSz w:w="11910" w:h="16840"/>
          <w:pgMar w:header="0" w:footer="329" w:top="1580" w:bottom="520" w:left="80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1"/>
        <w:gridCol w:w="1529"/>
        <w:gridCol w:w="7628"/>
      </w:tblGrid>
      <w:tr>
        <w:trPr>
          <w:trHeight w:val="1067" w:hRule="atLeast"/>
        </w:trPr>
        <w:tc>
          <w:tcPr>
            <w:tcW w:w="931" w:type="dxa"/>
          </w:tcPr>
          <w:p>
            <w:pPr>
              <w:pStyle w:val="TableParagraph"/>
              <w:rPr>
                <w:rFonts w:ascii="Times New Roman"/>
                <w:sz w:val="20"/>
              </w:rPr>
            </w:pPr>
          </w:p>
        </w:tc>
        <w:tc>
          <w:tcPr>
            <w:tcW w:w="1529" w:type="dxa"/>
          </w:tcPr>
          <w:p>
            <w:pPr>
              <w:pStyle w:val="TableParagraph"/>
              <w:rPr>
                <w:rFonts w:ascii="Times New Roman"/>
                <w:sz w:val="20"/>
              </w:rPr>
            </w:pPr>
          </w:p>
        </w:tc>
        <w:tc>
          <w:tcPr>
            <w:tcW w:w="7628" w:type="dxa"/>
          </w:tcPr>
          <w:p>
            <w:pPr>
              <w:pStyle w:val="TableParagraph"/>
              <w:spacing w:line="211" w:lineRule="exact"/>
              <w:ind w:left="156"/>
              <w:rPr>
                <w:sz w:val="21"/>
              </w:rPr>
            </w:pPr>
            <w:r>
              <w:rPr>
                <w:sz w:val="21"/>
              </w:rPr>
              <w:t>之日起 30 日内向您退还保险单的现金价值。</w:t>
            </w:r>
          </w:p>
          <w:p>
            <w:pPr>
              <w:pStyle w:val="TableParagraph"/>
              <w:spacing w:before="8"/>
              <w:rPr>
                <w:sz w:val="26"/>
              </w:rPr>
            </w:pPr>
          </w:p>
          <w:p>
            <w:pPr>
              <w:pStyle w:val="TableParagraph"/>
              <w:spacing w:before="1"/>
              <w:ind w:left="156"/>
              <w:rPr>
                <w:sz w:val="21"/>
              </w:rPr>
            </w:pPr>
            <w:r>
              <w:rPr>
                <w:sz w:val="21"/>
              </w:rPr>
              <w:t>您犹豫期后解除合同会遭受一定损失。</w:t>
            </w:r>
          </w:p>
        </w:tc>
      </w:tr>
      <w:tr>
        <w:trPr>
          <w:trHeight w:val="755" w:hRule="atLeast"/>
        </w:trPr>
        <w:tc>
          <w:tcPr>
            <w:tcW w:w="931" w:type="dxa"/>
            <w:tcBorders>
              <w:bottom w:val="single" w:sz="8" w:space="0" w:color="000000"/>
            </w:tcBorders>
          </w:tcPr>
          <w:p>
            <w:pPr>
              <w:pStyle w:val="TableParagraph"/>
              <w:spacing w:before="193"/>
              <w:ind w:right="103"/>
              <w:jc w:val="right"/>
              <w:rPr>
                <w:rFonts w:ascii="Arial" w:hAnsi="Arial"/>
                <w:b/>
                <w:sz w:val="40"/>
              </w:rPr>
            </w:pPr>
            <w:r>
              <w:rPr>
                <w:rFonts w:ascii="Arial" w:hAnsi="Arial"/>
                <w:b/>
                <w:w w:val="118"/>
                <w:sz w:val="40"/>
              </w:rPr>
              <w:t></w:t>
            </w:r>
          </w:p>
        </w:tc>
        <w:tc>
          <w:tcPr>
            <w:tcW w:w="9157" w:type="dxa"/>
            <w:gridSpan w:val="2"/>
            <w:tcBorders>
              <w:bottom w:val="single" w:sz="8" w:space="0" w:color="000000"/>
            </w:tcBorders>
          </w:tcPr>
          <w:p>
            <w:pPr>
              <w:pStyle w:val="TableParagraph"/>
              <w:spacing w:before="9"/>
              <w:rPr>
                <w:sz w:val="18"/>
              </w:rPr>
            </w:pPr>
          </w:p>
          <w:p>
            <w:pPr>
              <w:pStyle w:val="TableParagraph"/>
              <w:ind w:left="106"/>
              <w:rPr>
                <w:b/>
                <w:sz w:val="24"/>
              </w:rPr>
            </w:pPr>
            <w:r>
              <w:rPr>
                <w:b/>
                <w:w w:val="95"/>
                <w:sz w:val="24"/>
              </w:rPr>
              <w:t>其他需要关注的事项</w:t>
            </w:r>
          </w:p>
        </w:tc>
      </w:tr>
      <w:tr>
        <w:trPr>
          <w:trHeight w:val="3587" w:hRule="atLeast"/>
        </w:trPr>
        <w:tc>
          <w:tcPr>
            <w:tcW w:w="931" w:type="dxa"/>
            <w:tcBorders>
              <w:top w:val="single" w:sz="8" w:space="0" w:color="000000"/>
            </w:tcBorders>
          </w:tcPr>
          <w:p>
            <w:pPr>
              <w:pStyle w:val="TableParagraph"/>
              <w:spacing w:before="8"/>
              <w:rPr>
                <w:sz w:val="22"/>
              </w:rPr>
            </w:pPr>
          </w:p>
          <w:p>
            <w:pPr>
              <w:pStyle w:val="TableParagraph"/>
              <w:spacing w:before="1"/>
              <w:ind w:right="103"/>
              <w:jc w:val="right"/>
              <w:rPr>
                <w:b/>
                <w:sz w:val="21"/>
              </w:rPr>
            </w:pPr>
            <w:r>
              <w:rPr>
                <w:b/>
                <w:w w:val="95"/>
                <w:sz w:val="21"/>
              </w:rPr>
              <w:t>6.1</w:t>
            </w:r>
          </w:p>
        </w:tc>
        <w:tc>
          <w:tcPr>
            <w:tcW w:w="1529" w:type="dxa"/>
            <w:tcBorders>
              <w:top w:val="single" w:sz="8" w:space="0" w:color="000000"/>
            </w:tcBorders>
          </w:tcPr>
          <w:p>
            <w:pPr>
              <w:pStyle w:val="TableParagraph"/>
              <w:spacing w:before="8"/>
              <w:rPr>
                <w:sz w:val="22"/>
              </w:rPr>
            </w:pPr>
          </w:p>
          <w:p>
            <w:pPr>
              <w:pStyle w:val="TableParagraph"/>
              <w:spacing w:line="273" w:lineRule="auto" w:before="1"/>
              <w:ind w:left="106" w:right="153"/>
              <w:rPr>
                <w:b/>
                <w:sz w:val="21"/>
              </w:rPr>
            </w:pPr>
            <w:r>
              <w:rPr>
                <w:b/>
                <w:sz w:val="21"/>
              </w:rPr>
              <w:t>年龄、性别错误</w:t>
            </w:r>
          </w:p>
        </w:tc>
        <w:tc>
          <w:tcPr>
            <w:tcW w:w="7628" w:type="dxa"/>
            <w:tcBorders>
              <w:top w:val="single" w:sz="8" w:space="0" w:color="000000"/>
            </w:tcBorders>
          </w:tcPr>
          <w:p>
            <w:pPr>
              <w:pStyle w:val="TableParagraph"/>
              <w:spacing w:before="8"/>
              <w:rPr>
                <w:sz w:val="22"/>
              </w:rPr>
            </w:pPr>
          </w:p>
          <w:p>
            <w:pPr>
              <w:pStyle w:val="TableParagraph"/>
              <w:spacing w:line="273" w:lineRule="auto" w:before="1"/>
              <w:ind w:left="156" w:right="111"/>
              <w:rPr>
                <w:sz w:val="21"/>
              </w:rPr>
            </w:pPr>
            <w:r>
              <w:rPr>
                <w:sz w:val="21"/>
              </w:rPr>
              <w:t>您在申请投保时，应将与有效身份证件相符的被保险人的出生日期及性别在投保单上填明，如果发生错误按照下列方式办理：</w:t>
            </w:r>
          </w:p>
          <w:p>
            <w:pPr>
              <w:pStyle w:val="TableParagraph"/>
              <w:spacing w:line="273" w:lineRule="auto" w:before="8"/>
              <w:ind w:left="660" w:right="-15" w:hanging="504"/>
              <w:jc w:val="both"/>
              <w:rPr>
                <w:sz w:val="21"/>
              </w:rPr>
            </w:pPr>
            <w:r>
              <w:rPr>
                <w:spacing w:val="-16"/>
                <w:sz w:val="21"/>
              </w:rPr>
              <w:t>（1）</w:t>
            </w:r>
            <w:r>
              <w:rPr>
                <w:spacing w:val="-8"/>
                <w:sz w:val="21"/>
              </w:rPr>
              <w:t>您申报的被保险人年龄不真实，并且其真实年龄不符合本附加合同约定投保</w:t>
            </w:r>
            <w:r>
              <w:rPr>
                <w:spacing w:val="-12"/>
                <w:sz w:val="21"/>
              </w:rPr>
              <w:t>年龄限制的，在保险事故发生之前我们有权解除合同，并向您退还本附加合</w:t>
            </w:r>
            <w:r>
              <w:rPr>
                <w:spacing w:val="-17"/>
                <w:sz w:val="21"/>
              </w:rPr>
              <w:t>同的现金价值。我们行使合同解除权适用“我们合同解除权的限制”的规定；</w:t>
            </w:r>
          </w:p>
          <w:p>
            <w:pPr>
              <w:pStyle w:val="TableParagraph"/>
              <w:spacing w:line="273" w:lineRule="auto" w:before="7"/>
              <w:ind w:left="660" w:right="1" w:hanging="504"/>
              <w:rPr>
                <w:sz w:val="21"/>
              </w:rPr>
            </w:pPr>
            <w:r>
              <w:rPr>
                <w:w w:val="100"/>
                <w:sz w:val="21"/>
              </w:rPr>
              <w:t>（2</w:t>
            </w:r>
            <w:r>
              <w:rPr>
                <w:spacing w:val="-101"/>
                <w:w w:val="100"/>
                <w:sz w:val="21"/>
              </w:rPr>
              <w:t>）</w:t>
            </w:r>
            <w:r>
              <w:rPr>
                <w:spacing w:val="-11"/>
                <w:w w:val="100"/>
                <w:sz w:val="21"/>
              </w:rPr>
              <w:t>您申报的被保险人年龄或性别不真实，致使您实付保险费少于应付保险费的，</w:t>
            </w:r>
            <w:r>
              <w:rPr>
                <w:spacing w:val="-11"/>
                <w:sz w:val="21"/>
              </w:rPr>
              <w:t>我们有权更正并要求您补交保险费；若已经发生保险事故，在给付保险金时</w:t>
            </w:r>
            <w:r>
              <w:rPr>
                <w:spacing w:val="-7"/>
                <w:sz w:val="21"/>
              </w:rPr>
              <w:t>按实付保险费与应付保险费的比例给付；</w:t>
            </w:r>
          </w:p>
          <w:p>
            <w:pPr>
              <w:pStyle w:val="TableParagraph"/>
              <w:spacing w:line="273" w:lineRule="auto" w:before="8"/>
              <w:ind w:left="627" w:right="1" w:hanging="471"/>
              <w:rPr>
                <w:sz w:val="21"/>
              </w:rPr>
            </w:pPr>
            <w:r>
              <w:rPr>
                <w:w w:val="100"/>
                <w:sz w:val="21"/>
              </w:rPr>
              <w:t>（3</w:t>
            </w:r>
            <w:r>
              <w:rPr>
                <w:spacing w:val="-101"/>
                <w:w w:val="100"/>
                <w:sz w:val="21"/>
              </w:rPr>
              <w:t>）</w:t>
            </w:r>
            <w:r>
              <w:rPr>
                <w:spacing w:val="-11"/>
                <w:w w:val="100"/>
                <w:sz w:val="21"/>
              </w:rPr>
              <w:t>您申报的被保险人年龄或性别不真实，致使您实付保险费多于应付保险费的，</w:t>
            </w:r>
            <w:r>
              <w:rPr>
                <w:spacing w:val="-7"/>
                <w:sz w:val="21"/>
              </w:rPr>
              <w:t>我们会将多收的保险费无息退还给您。</w:t>
            </w:r>
          </w:p>
        </w:tc>
      </w:tr>
      <w:tr>
        <w:trPr>
          <w:trHeight w:val="1293" w:hRule="atLeast"/>
        </w:trPr>
        <w:tc>
          <w:tcPr>
            <w:tcW w:w="931" w:type="dxa"/>
          </w:tcPr>
          <w:p>
            <w:pPr>
              <w:pStyle w:val="TableParagraph"/>
              <w:spacing w:before="142"/>
              <w:ind w:right="103"/>
              <w:jc w:val="right"/>
              <w:rPr>
                <w:b/>
                <w:sz w:val="21"/>
              </w:rPr>
            </w:pPr>
            <w:r>
              <w:rPr>
                <w:b/>
                <w:sz w:val="21"/>
              </w:rPr>
              <w:t>6.2</w:t>
            </w:r>
          </w:p>
        </w:tc>
        <w:tc>
          <w:tcPr>
            <w:tcW w:w="1529" w:type="dxa"/>
          </w:tcPr>
          <w:p>
            <w:pPr>
              <w:pStyle w:val="TableParagraph"/>
              <w:spacing w:before="142"/>
              <w:ind w:left="106"/>
              <w:rPr>
                <w:b/>
                <w:sz w:val="21"/>
              </w:rPr>
            </w:pPr>
            <w:r>
              <w:rPr>
                <w:b/>
                <w:sz w:val="21"/>
              </w:rPr>
              <w:t>效力终止</w:t>
            </w:r>
          </w:p>
        </w:tc>
        <w:tc>
          <w:tcPr>
            <w:tcW w:w="7628" w:type="dxa"/>
          </w:tcPr>
          <w:p>
            <w:pPr>
              <w:pStyle w:val="TableParagraph"/>
              <w:spacing w:before="142"/>
              <w:ind w:left="156"/>
              <w:rPr>
                <w:sz w:val="21"/>
              </w:rPr>
            </w:pPr>
            <w:r>
              <w:rPr>
                <w:sz w:val="21"/>
              </w:rPr>
              <w:t>当发生下列情形之一时，本附加合同效力终止：</w:t>
            </w:r>
          </w:p>
          <w:p>
            <w:pPr>
              <w:pStyle w:val="TableParagraph"/>
              <w:spacing w:before="36"/>
              <w:ind w:left="156"/>
              <w:rPr>
                <w:sz w:val="21"/>
              </w:rPr>
            </w:pPr>
            <w:r>
              <w:rPr>
                <w:sz w:val="21"/>
              </w:rPr>
              <w:t>（1）主合同效力终止；</w:t>
            </w:r>
          </w:p>
          <w:p>
            <w:pPr>
              <w:pStyle w:val="TableParagraph"/>
              <w:spacing w:before="37"/>
              <w:ind w:left="156"/>
              <w:rPr>
                <w:sz w:val="21"/>
              </w:rPr>
            </w:pPr>
            <w:r>
              <w:rPr>
                <w:sz w:val="21"/>
              </w:rPr>
              <w:t>（2）您申请解除本附加合同。</w:t>
            </w:r>
          </w:p>
        </w:tc>
      </w:tr>
      <w:tr>
        <w:trPr>
          <w:trHeight w:val="2618" w:hRule="atLeast"/>
        </w:trPr>
        <w:tc>
          <w:tcPr>
            <w:tcW w:w="931" w:type="dxa"/>
          </w:tcPr>
          <w:p>
            <w:pPr>
              <w:pStyle w:val="TableParagraph"/>
              <w:spacing w:before="5"/>
              <w:rPr>
                <w:sz w:val="14"/>
              </w:rPr>
            </w:pPr>
          </w:p>
          <w:p>
            <w:pPr>
              <w:pStyle w:val="TableParagraph"/>
              <w:ind w:right="103"/>
              <w:jc w:val="right"/>
              <w:rPr>
                <w:b/>
                <w:sz w:val="21"/>
              </w:rPr>
            </w:pPr>
            <w:r>
              <w:rPr>
                <w:b/>
                <w:sz w:val="21"/>
              </w:rPr>
              <w:t>6.3</w:t>
            </w:r>
          </w:p>
        </w:tc>
        <w:tc>
          <w:tcPr>
            <w:tcW w:w="1529" w:type="dxa"/>
          </w:tcPr>
          <w:p>
            <w:pPr>
              <w:pStyle w:val="TableParagraph"/>
              <w:spacing w:before="5"/>
              <w:rPr>
                <w:sz w:val="14"/>
              </w:rPr>
            </w:pPr>
          </w:p>
          <w:p>
            <w:pPr>
              <w:pStyle w:val="TableParagraph"/>
              <w:spacing w:line="273" w:lineRule="auto"/>
              <w:ind w:left="106" w:right="153"/>
              <w:rPr>
                <w:b/>
                <w:sz w:val="21"/>
              </w:rPr>
            </w:pPr>
            <w:r>
              <w:rPr>
                <w:b/>
                <w:sz w:val="21"/>
              </w:rPr>
              <w:t>适用主合同条款</w:t>
            </w:r>
          </w:p>
        </w:tc>
        <w:tc>
          <w:tcPr>
            <w:tcW w:w="7628" w:type="dxa"/>
          </w:tcPr>
          <w:p>
            <w:pPr>
              <w:pStyle w:val="TableParagraph"/>
              <w:spacing w:before="5"/>
              <w:rPr>
                <w:sz w:val="14"/>
              </w:rPr>
            </w:pPr>
          </w:p>
          <w:p>
            <w:pPr>
              <w:pStyle w:val="TableParagraph"/>
              <w:ind w:left="156"/>
              <w:rPr>
                <w:sz w:val="21"/>
              </w:rPr>
            </w:pPr>
            <w:r>
              <w:rPr>
                <w:sz w:val="21"/>
              </w:rPr>
              <w:t>下列各项条款，适用主合同条款：</w:t>
            </w:r>
          </w:p>
          <w:p>
            <w:pPr>
              <w:pStyle w:val="TableParagraph"/>
              <w:spacing w:before="37"/>
              <w:ind w:left="156"/>
              <w:rPr>
                <w:sz w:val="21"/>
              </w:rPr>
            </w:pPr>
            <w:r>
              <w:rPr>
                <w:sz w:val="21"/>
              </w:rPr>
              <w:t>（1）保险事故通知；</w:t>
            </w:r>
          </w:p>
          <w:p>
            <w:pPr>
              <w:pStyle w:val="TableParagraph"/>
              <w:spacing w:before="37"/>
              <w:ind w:left="156"/>
              <w:rPr>
                <w:sz w:val="21"/>
              </w:rPr>
            </w:pPr>
            <w:r>
              <w:rPr>
                <w:sz w:val="21"/>
              </w:rPr>
              <w:t>（2）明确说明与如实告知；</w:t>
            </w:r>
          </w:p>
          <w:p>
            <w:pPr>
              <w:pStyle w:val="TableParagraph"/>
              <w:spacing w:before="37"/>
              <w:ind w:left="156"/>
              <w:rPr>
                <w:sz w:val="21"/>
              </w:rPr>
            </w:pPr>
            <w:r>
              <w:rPr>
                <w:sz w:val="21"/>
              </w:rPr>
              <w:t>（3）我们合同解除权的限制；</w:t>
            </w:r>
          </w:p>
          <w:p>
            <w:pPr>
              <w:pStyle w:val="TableParagraph"/>
              <w:spacing w:before="36"/>
              <w:ind w:left="156"/>
              <w:rPr>
                <w:sz w:val="21"/>
              </w:rPr>
            </w:pPr>
            <w:r>
              <w:rPr>
                <w:sz w:val="21"/>
              </w:rPr>
              <w:t>（4）合同内容变更；</w:t>
            </w:r>
          </w:p>
          <w:p>
            <w:pPr>
              <w:pStyle w:val="TableParagraph"/>
              <w:spacing w:before="36"/>
              <w:ind w:left="156"/>
              <w:rPr>
                <w:sz w:val="21"/>
              </w:rPr>
            </w:pPr>
            <w:r>
              <w:rPr>
                <w:sz w:val="21"/>
              </w:rPr>
              <w:t>（5）联系方式变更；</w:t>
            </w:r>
          </w:p>
          <w:p>
            <w:pPr>
              <w:pStyle w:val="TableParagraph"/>
              <w:spacing w:before="36"/>
              <w:ind w:left="156"/>
              <w:rPr>
                <w:sz w:val="21"/>
              </w:rPr>
            </w:pPr>
            <w:r>
              <w:rPr>
                <w:sz w:val="21"/>
              </w:rPr>
              <w:t>（6）争议处理。</w:t>
            </w:r>
          </w:p>
        </w:tc>
      </w:tr>
      <w:tr>
        <w:trPr>
          <w:trHeight w:val="805" w:hRule="atLeast"/>
        </w:trPr>
        <w:tc>
          <w:tcPr>
            <w:tcW w:w="931" w:type="dxa"/>
            <w:tcBorders>
              <w:bottom w:val="single" w:sz="8" w:space="0" w:color="000000"/>
            </w:tcBorders>
          </w:tcPr>
          <w:p>
            <w:pPr>
              <w:pStyle w:val="TableParagraph"/>
              <w:spacing w:before="244"/>
              <w:ind w:right="103"/>
              <w:jc w:val="right"/>
              <w:rPr>
                <w:rFonts w:ascii="Arial" w:hAnsi="Arial"/>
                <w:b/>
                <w:sz w:val="40"/>
              </w:rPr>
            </w:pPr>
            <w:r>
              <w:rPr>
                <w:rFonts w:ascii="Arial" w:hAnsi="Arial"/>
                <w:b/>
                <w:w w:val="118"/>
                <w:sz w:val="40"/>
              </w:rPr>
              <w:t></w:t>
            </w:r>
          </w:p>
        </w:tc>
        <w:tc>
          <w:tcPr>
            <w:tcW w:w="1529" w:type="dxa"/>
            <w:tcBorders>
              <w:bottom w:val="single" w:sz="8" w:space="0" w:color="000000"/>
            </w:tcBorders>
          </w:tcPr>
          <w:p>
            <w:pPr>
              <w:pStyle w:val="TableParagraph"/>
              <w:spacing w:before="12"/>
              <w:rPr>
                <w:sz w:val="22"/>
              </w:rPr>
            </w:pPr>
          </w:p>
          <w:p>
            <w:pPr>
              <w:pStyle w:val="TableParagraph"/>
              <w:ind w:left="106"/>
              <w:rPr>
                <w:b/>
                <w:sz w:val="24"/>
              </w:rPr>
            </w:pPr>
            <w:r>
              <w:rPr>
                <w:b/>
                <w:w w:val="95"/>
                <w:sz w:val="24"/>
              </w:rPr>
              <w:t>释义</w:t>
            </w:r>
          </w:p>
        </w:tc>
        <w:tc>
          <w:tcPr>
            <w:tcW w:w="7628" w:type="dxa"/>
            <w:tcBorders>
              <w:bottom w:val="single" w:sz="8" w:space="0" w:color="000000"/>
            </w:tcBorders>
          </w:tcPr>
          <w:p>
            <w:pPr>
              <w:pStyle w:val="TableParagraph"/>
              <w:rPr>
                <w:rFonts w:ascii="Times New Roman"/>
                <w:sz w:val="20"/>
              </w:rPr>
            </w:pPr>
          </w:p>
        </w:tc>
      </w:tr>
      <w:tr>
        <w:trPr>
          <w:trHeight w:val="1095" w:hRule="atLeast"/>
        </w:trPr>
        <w:tc>
          <w:tcPr>
            <w:tcW w:w="931" w:type="dxa"/>
            <w:tcBorders>
              <w:top w:val="single" w:sz="8" w:space="0" w:color="000000"/>
            </w:tcBorders>
          </w:tcPr>
          <w:p>
            <w:pPr>
              <w:pStyle w:val="TableParagraph"/>
              <w:rPr>
                <w:sz w:val="23"/>
              </w:rPr>
            </w:pPr>
          </w:p>
          <w:p>
            <w:pPr>
              <w:pStyle w:val="TableParagraph"/>
              <w:ind w:right="103"/>
              <w:jc w:val="right"/>
              <w:rPr>
                <w:b/>
                <w:sz w:val="21"/>
              </w:rPr>
            </w:pPr>
            <w:r>
              <w:rPr>
                <w:b/>
                <w:sz w:val="21"/>
              </w:rPr>
              <w:t>7.1</w:t>
            </w:r>
          </w:p>
        </w:tc>
        <w:tc>
          <w:tcPr>
            <w:tcW w:w="1529" w:type="dxa"/>
            <w:tcBorders>
              <w:top w:val="single" w:sz="8" w:space="0" w:color="000000"/>
            </w:tcBorders>
          </w:tcPr>
          <w:p>
            <w:pPr>
              <w:pStyle w:val="TableParagraph"/>
              <w:rPr>
                <w:sz w:val="23"/>
              </w:rPr>
            </w:pPr>
          </w:p>
          <w:p>
            <w:pPr>
              <w:pStyle w:val="TableParagraph"/>
              <w:ind w:left="106"/>
              <w:rPr>
                <w:b/>
                <w:sz w:val="21"/>
              </w:rPr>
            </w:pPr>
            <w:r>
              <w:rPr>
                <w:b/>
                <w:sz w:val="21"/>
              </w:rPr>
              <w:t>保单年度</w:t>
            </w:r>
          </w:p>
        </w:tc>
        <w:tc>
          <w:tcPr>
            <w:tcW w:w="7628" w:type="dxa"/>
            <w:tcBorders>
              <w:top w:val="single" w:sz="8" w:space="0" w:color="000000"/>
            </w:tcBorders>
          </w:tcPr>
          <w:p>
            <w:pPr>
              <w:pStyle w:val="TableParagraph"/>
              <w:rPr>
                <w:sz w:val="23"/>
              </w:rPr>
            </w:pPr>
          </w:p>
          <w:p>
            <w:pPr>
              <w:pStyle w:val="TableParagraph"/>
              <w:spacing w:line="273" w:lineRule="auto"/>
              <w:ind w:left="156" w:right="115"/>
              <w:rPr>
                <w:sz w:val="21"/>
              </w:rPr>
            </w:pPr>
            <w:r>
              <w:rPr>
                <w:sz w:val="21"/>
              </w:rPr>
              <w:t>指从保险合同生效日或生效对应日零时起至下一年度保险合同生效对应日零时止的期间为一个保单年度。</w:t>
            </w:r>
          </w:p>
        </w:tc>
      </w:tr>
      <w:tr>
        <w:trPr>
          <w:trHeight w:val="936" w:hRule="atLeast"/>
        </w:trPr>
        <w:tc>
          <w:tcPr>
            <w:tcW w:w="931" w:type="dxa"/>
          </w:tcPr>
          <w:p>
            <w:pPr>
              <w:pStyle w:val="TableParagraph"/>
              <w:spacing w:before="143"/>
              <w:ind w:right="103"/>
              <w:jc w:val="right"/>
              <w:rPr>
                <w:b/>
                <w:sz w:val="21"/>
              </w:rPr>
            </w:pPr>
            <w:r>
              <w:rPr>
                <w:b/>
                <w:sz w:val="21"/>
              </w:rPr>
              <w:t>7.2</w:t>
            </w:r>
          </w:p>
        </w:tc>
        <w:tc>
          <w:tcPr>
            <w:tcW w:w="1529" w:type="dxa"/>
          </w:tcPr>
          <w:p>
            <w:pPr>
              <w:pStyle w:val="TableParagraph"/>
              <w:spacing w:before="143"/>
              <w:ind w:left="106"/>
              <w:rPr>
                <w:b/>
                <w:sz w:val="21"/>
              </w:rPr>
            </w:pPr>
            <w:r>
              <w:rPr>
                <w:b/>
                <w:sz w:val="21"/>
              </w:rPr>
              <w:t>有效身份证件</w:t>
            </w:r>
          </w:p>
        </w:tc>
        <w:tc>
          <w:tcPr>
            <w:tcW w:w="7628" w:type="dxa"/>
          </w:tcPr>
          <w:p>
            <w:pPr>
              <w:pStyle w:val="TableParagraph"/>
              <w:spacing w:line="273" w:lineRule="auto" w:before="143"/>
              <w:ind w:left="156" w:right="115"/>
              <w:rPr>
                <w:sz w:val="21"/>
              </w:rPr>
            </w:pPr>
            <w:r>
              <w:rPr>
                <w:sz w:val="21"/>
              </w:rPr>
              <w:t>指由政府主管部门规定的证明其身份的证件，如：居民身份证、按规定可使用的有效护照、军官证、警官证、士兵证、户口簿等证件。</w:t>
            </w:r>
          </w:p>
        </w:tc>
      </w:tr>
      <w:tr>
        <w:trPr>
          <w:trHeight w:val="936" w:hRule="atLeast"/>
        </w:trPr>
        <w:tc>
          <w:tcPr>
            <w:tcW w:w="931" w:type="dxa"/>
          </w:tcPr>
          <w:p>
            <w:pPr>
              <w:pStyle w:val="TableParagraph"/>
              <w:spacing w:before="142"/>
              <w:ind w:right="103"/>
              <w:jc w:val="right"/>
              <w:rPr>
                <w:b/>
                <w:sz w:val="21"/>
              </w:rPr>
            </w:pPr>
            <w:r>
              <w:rPr>
                <w:b/>
                <w:sz w:val="21"/>
              </w:rPr>
              <w:t>7.3</w:t>
            </w:r>
          </w:p>
        </w:tc>
        <w:tc>
          <w:tcPr>
            <w:tcW w:w="1529" w:type="dxa"/>
          </w:tcPr>
          <w:p>
            <w:pPr>
              <w:pStyle w:val="TableParagraph"/>
              <w:spacing w:before="142"/>
              <w:ind w:left="106"/>
              <w:rPr>
                <w:b/>
                <w:sz w:val="21"/>
              </w:rPr>
            </w:pPr>
            <w:r>
              <w:rPr>
                <w:b/>
                <w:sz w:val="21"/>
              </w:rPr>
              <w:t>周岁</w:t>
            </w:r>
          </w:p>
        </w:tc>
        <w:tc>
          <w:tcPr>
            <w:tcW w:w="7628" w:type="dxa"/>
          </w:tcPr>
          <w:p>
            <w:pPr>
              <w:pStyle w:val="TableParagraph"/>
              <w:spacing w:line="273" w:lineRule="auto" w:before="142"/>
              <w:ind w:left="156" w:right="115"/>
              <w:rPr>
                <w:sz w:val="21"/>
              </w:rPr>
            </w:pPr>
            <w:r>
              <w:rPr>
                <w:sz w:val="21"/>
              </w:rPr>
              <w:t>指按有效身份证件中记载的出生日期计算的年龄，自出生之日起为零周岁，每经过一年增加一岁，不足一年的不计。</w:t>
            </w:r>
          </w:p>
        </w:tc>
      </w:tr>
      <w:tr>
        <w:trPr>
          <w:trHeight w:val="624" w:hRule="atLeast"/>
        </w:trPr>
        <w:tc>
          <w:tcPr>
            <w:tcW w:w="931" w:type="dxa"/>
          </w:tcPr>
          <w:p>
            <w:pPr>
              <w:pStyle w:val="TableParagraph"/>
              <w:spacing w:before="143"/>
              <w:ind w:right="103"/>
              <w:jc w:val="right"/>
              <w:rPr>
                <w:b/>
                <w:sz w:val="21"/>
              </w:rPr>
            </w:pPr>
            <w:r>
              <w:rPr>
                <w:b/>
                <w:sz w:val="21"/>
              </w:rPr>
              <w:t>7.4</w:t>
            </w:r>
          </w:p>
        </w:tc>
        <w:tc>
          <w:tcPr>
            <w:tcW w:w="1529" w:type="dxa"/>
          </w:tcPr>
          <w:p>
            <w:pPr>
              <w:pStyle w:val="TableParagraph"/>
              <w:spacing w:before="143"/>
              <w:ind w:left="106"/>
              <w:rPr>
                <w:b/>
                <w:sz w:val="21"/>
              </w:rPr>
            </w:pPr>
            <w:r>
              <w:rPr>
                <w:b/>
                <w:sz w:val="21"/>
              </w:rPr>
              <w:t>意外伤害事故</w:t>
            </w:r>
          </w:p>
        </w:tc>
        <w:tc>
          <w:tcPr>
            <w:tcW w:w="7628" w:type="dxa"/>
          </w:tcPr>
          <w:p>
            <w:pPr>
              <w:pStyle w:val="TableParagraph"/>
              <w:spacing w:before="143"/>
              <w:ind w:left="136" w:right="97"/>
              <w:jc w:val="center"/>
              <w:rPr>
                <w:sz w:val="21"/>
              </w:rPr>
            </w:pPr>
            <w:r>
              <w:rPr>
                <w:sz w:val="21"/>
              </w:rPr>
              <w:t>指外来的、突发的、非本意的、非疾病的使被保险人身体受到伤害的客观事件。</w:t>
            </w:r>
          </w:p>
        </w:tc>
      </w:tr>
      <w:tr>
        <w:trPr>
          <w:trHeight w:val="417" w:hRule="atLeast"/>
        </w:trPr>
        <w:tc>
          <w:tcPr>
            <w:tcW w:w="931" w:type="dxa"/>
          </w:tcPr>
          <w:p>
            <w:pPr>
              <w:pStyle w:val="TableParagraph"/>
              <w:spacing w:line="255" w:lineRule="exact" w:before="142"/>
              <w:ind w:right="103"/>
              <w:jc w:val="right"/>
              <w:rPr>
                <w:b/>
                <w:sz w:val="21"/>
              </w:rPr>
            </w:pPr>
            <w:r>
              <w:rPr>
                <w:b/>
                <w:sz w:val="21"/>
              </w:rPr>
              <w:t>7.5</w:t>
            </w:r>
          </w:p>
        </w:tc>
        <w:tc>
          <w:tcPr>
            <w:tcW w:w="1529" w:type="dxa"/>
          </w:tcPr>
          <w:p>
            <w:pPr>
              <w:pStyle w:val="TableParagraph"/>
              <w:spacing w:line="255" w:lineRule="exact" w:before="142"/>
              <w:ind w:left="106"/>
              <w:rPr>
                <w:b/>
                <w:sz w:val="21"/>
              </w:rPr>
            </w:pPr>
            <w:r>
              <w:rPr>
                <w:b/>
                <w:sz w:val="21"/>
              </w:rPr>
              <w:t>重大疾病</w:t>
            </w:r>
          </w:p>
        </w:tc>
        <w:tc>
          <w:tcPr>
            <w:tcW w:w="7628" w:type="dxa"/>
          </w:tcPr>
          <w:p>
            <w:pPr>
              <w:pStyle w:val="TableParagraph"/>
              <w:spacing w:line="255" w:lineRule="exact" w:before="142"/>
              <w:ind w:left="138" w:right="95"/>
              <w:jc w:val="center"/>
              <w:rPr>
                <w:sz w:val="21"/>
              </w:rPr>
            </w:pPr>
            <w:r>
              <w:rPr>
                <w:sz w:val="21"/>
              </w:rPr>
              <w:t>指被保险人初次发生符合下列定义的疾病，或初次接受符合下列定义的手术。该</w:t>
            </w:r>
          </w:p>
        </w:tc>
      </w:tr>
    </w:tbl>
    <w:p>
      <w:pPr>
        <w:spacing w:after="0" w:line="255" w:lineRule="exact"/>
        <w:jc w:val="center"/>
        <w:rPr>
          <w:sz w:val="21"/>
        </w:rPr>
        <w:sectPr>
          <w:pgSz w:w="11910" w:h="16840"/>
          <w:pgMar w:header="0" w:footer="329" w:top="1280" w:bottom="520" w:left="800" w:right="800"/>
        </w:sectPr>
      </w:pPr>
    </w:p>
    <w:p>
      <w:pPr>
        <w:pStyle w:val="BodyText"/>
        <w:spacing w:before="15"/>
      </w:pPr>
      <w:r>
        <w:rPr/>
        <w:t>疾病或手术应当由专科医生明确诊断。</w:t>
      </w:r>
    </w:p>
    <w:p>
      <w:pPr>
        <w:pStyle w:val="BodyText"/>
        <w:spacing w:line="273" w:lineRule="auto"/>
        <w:ind w:right="211"/>
      </w:pPr>
      <w:r>
        <w:rPr/>
        <w:t>以下重大疾病定义是由中国保险行业协会与中国医师协会共同制定的重大疾病保险的疾病定义：</w:t>
      </w:r>
    </w:p>
    <w:p>
      <w:pPr>
        <w:pStyle w:val="BodyText"/>
        <w:spacing w:before="7"/>
      </w:pPr>
      <w:r>
        <w:rPr/>
        <w:t>（1）恶性肿瘤</w:t>
      </w:r>
    </w:p>
    <w:p>
      <w:pPr>
        <w:pStyle w:val="BodyText"/>
        <w:spacing w:line="273" w:lineRule="auto"/>
        <w:ind w:right="104"/>
      </w:pPr>
      <w:r>
        <w:rPr>
          <w:spacing w:val="-5"/>
        </w:rPr>
        <w:t>指恶性细胞不受控制的进行性增长和扩散，浸润和破坏周围正常组织，可以经血</w:t>
      </w:r>
      <w:r>
        <w:rPr>
          <w:spacing w:val="-11"/>
        </w:rPr>
        <w:t>管、淋巴管和体腔扩散转移到身体其它部位的疾病。经病理学检查结果明确诊断， </w:t>
      </w:r>
      <w:r>
        <w:rPr>
          <w:spacing w:val="-10"/>
        </w:rPr>
        <w:t>临床诊断属于世界卫生组织《疾病和有关健康问题的国际统计分类</w:t>
      </w:r>
      <w:r>
        <w:rPr>
          <w:spacing w:val="-140"/>
        </w:rPr>
        <w:t>》</w:t>
      </w:r>
      <w:r>
        <w:rPr>
          <w:spacing w:val="-5"/>
        </w:rPr>
        <w:t>（ICD-10）</w:t>
      </w:r>
      <w:r>
        <w:rPr>
          <w:spacing w:val="-39"/>
        </w:rPr>
        <w:t>的</w:t>
      </w:r>
      <w:r>
        <w:rPr>
          <w:spacing w:val="-2"/>
        </w:rPr>
        <w:t>恶性肿瘤范畴。 下列疾病不在保障范围内：</w:t>
      </w:r>
    </w:p>
    <w:p>
      <w:pPr>
        <w:pStyle w:val="BodyText"/>
        <w:spacing w:before="7"/>
      </w:pPr>
      <w:r>
        <w:rPr/>
        <w:t>① 原位癌；</w:t>
      </w:r>
    </w:p>
    <w:p>
      <w:pPr>
        <w:pStyle w:val="BodyText"/>
      </w:pPr>
      <w:r>
        <w:rPr/>
        <w:t>② 相当于 Binet 分期方案 A 期程度的慢性淋巴细胞白血病；</w:t>
      </w:r>
    </w:p>
    <w:p>
      <w:pPr>
        <w:pStyle w:val="BodyText"/>
      </w:pPr>
      <w:r>
        <w:rPr/>
        <w:t>③ 相当于 Ann Arbor 分期方案 I 期程度的何杰金氏病；</w:t>
      </w:r>
    </w:p>
    <w:p>
      <w:pPr>
        <w:pStyle w:val="BodyText"/>
      </w:pPr>
      <w:r>
        <w:rPr>
          <w:w w:val="100"/>
        </w:rPr>
        <w:t>④</w:t>
      </w:r>
      <w:r>
        <w:rPr/>
        <w:t> </w:t>
      </w:r>
      <w:r>
        <w:rPr>
          <w:w w:val="100"/>
        </w:rPr>
        <w:t>皮肤癌</w:t>
      </w:r>
      <w:r>
        <w:rPr>
          <w:spacing w:val="-5"/>
          <w:w w:val="100"/>
        </w:rPr>
        <w:t>（不包括恶性黑色素瘤及已发生转移的皮肤癌</w:t>
      </w:r>
      <w:r>
        <w:rPr>
          <w:spacing w:val="-106"/>
          <w:w w:val="100"/>
        </w:rPr>
        <w:t>）</w:t>
      </w:r>
      <w:r>
        <w:rPr>
          <w:w w:val="100"/>
        </w:rPr>
        <w:t>；</w:t>
      </w:r>
    </w:p>
    <w:p>
      <w:pPr>
        <w:pStyle w:val="BodyText"/>
      </w:pPr>
      <w:r>
        <w:rPr>
          <w:position w:val="1"/>
        </w:rPr>
        <w:t>⑤ 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pPr>
      <w:r>
        <w:rPr/>
        <w:t>⑥ 感染艾滋病病毒或患艾滋病期间所患恶性肿瘤。</w:t>
      </w:r>
    </w:p>
    <w:p>
      <w:pPr>
        <w:pStyle w:val="BodyText"/>
        <w:spacing w:before="8"/>
        <w:ind w:left="0"/>
        <w:rPr>
          <w:sz w:val="26"/>
        </w:rPr>
      </w:pPr>
    </w:p>
    <w:p>
      <w:pPr>
        <w:pStyle w:val="BodyText"/>
        <w:spacing w:before="1"/>
      </w:pPr>
      <w:r>
        <w:rPr/>
        <w:t>（2）急性心肌梗塞</w:t>
      </w:r>
    </w:p>
    <w:p>
      <w:pPr>
        <w:pStyle w:val="BodyText"/>
        <w:spacing w:line="273" w:lineRule="auto"/>
        <w:ind w:right="214"/>
      </w:pPr>
      <w:r>
        <w:rPr/>
        <w:t>指因冠状动脉阻塞导致的相应区域供血不足造成部分心肌坏死。须满足下列至少三项条件：</w:t>
      </w:r>
    </w:p>
    <w:p>
      <w:pPr>
        <w:pStyle w:val="BodyText"/>
        <w:spacing w:before="7"/>
      </w:pPr>
      <w:r>
        <w:rPr/>
        <w:t>① 典型临床表现，例如急性胸痛等；</w:t>
      </w:r>
    </w:p>
    <w:p>
      <w:pPr>
        <w:pStyle w:val="BodyText"/>
        <w:spacing w:before="36"/>
      </w:pPr>
      <w:r>
        <w:rPr/>
        <w:t>② 新近的心电图改变提示急性心肌梗塞；</w:t>
      </w:r>
    </w:p>
    <w:p>
      <w:pPr>
        <w:pStyle w:val="BodyText"/>
      </w:pPr>
      <w:r>
        <w:rPr/>
        <w:t>③ 心肌酶或肌钙蛋白有诊断意义的升高，或呈符合急性心肌梗塞的动态性变化；</w:t>
      </w:r>
    </w:p>
    <w:p>
      <w:pPr>
        <w:pStyle w:val="BodyText"/>
      </w:pPr>
      <w:r>
        <w:rPr/>
        <w:t>④ 发病 90 天后，经检查证实左心室功能降低，如左心室射血分数低于 50%。</w:t>
      </w:r>
    </w:p>
    <w:p>
      <w:pPr>
        <w:pStyle w:val="BodyText"/>
        <w:spacing w:before="8"/>
        <w:ind w:left="0"/>
        <w:rPr>
          <w:sz w:val="26"/>
        </w:rPr>
      </w:pPr>
    </w:p>
    <w:p>
      <w:pPr>
        <w:pStyle w:val="BodyText"/>
        <w:spacing w:before="0"/>
      </w:pPr>
      <w:r>
        <w:rPr/>
        <w:t>（3）脑中风后遗症</w:t>
      </w:r>
    </w:p>
    <w:p>
      <w:pPr>
        <w:pStyle w:val="BodyText"/>
        <w:spacing w:line="273" w:lineRule="auto" w:before="36"/>
        <w:ind w:right="207"/>
        <w:jc w:val="both"/>
      </w:pPr>
      <w:r>
        <w:rPr>
          <w:spacing w:val="-5"/>
        </w:rPr>
        <w:t>指因脑血管的突发病变引起脑血管出血、栓塞或梗塞，并导致神经系统永久性的</w:t>
      </w:r>
      <w:r>
        <w:rPr>
          <w:spacing w:val="-7"/>
        </w:rPr>
        <w:t>功能障碍。神经系统永久性的功能障碍，指疾病确诊 </w:t>
      </w:r>
      <w:r>
        <w:rPr/>
        <w:t>180</w:t>
      </w:r>
      <w:r>
        <w:rPr>
          <w:spacing w:val="-6"/>
        </w:rPr>
        <w:t> 天后，仍遗留下列一种</w:t>
      </w:r>
      <w:r>
        <w:rPr>
          <w:spacing w:val="-5"/>
        </w:rPr>
        <w:t>或一种以上障碍：</w:t>
      </w:r>
    </w:p>
    <w:p>
      <w:pPr>
        <w:pStyle w:val="BodyText"/>
        <w:spacing w:before="7"/>
      </w:pPr>
      <w:r>
        <w:rPr/>
        <w:t>① 一肢或一肢以上肢体机能完全丧失；</w:t>
      </w:r>
    </w:p>
    <w:p>
      <w:pPr>
        <w:pStyle w:val="BodyText"/>
      </w:pPr>
      <w:r>
        <w:rPr/>
        <w:t>② 语言能力或咀嚼吞咽能力完全丧失；</w:t>
      </w:r>
    </w:p>
    <w:p>
      <w:pPr>
        <w:pStyle w:val="BodyText"/>
        <w:spacing w:line="273" w:lineRule="auto"/>
        <w:ind w:left="2132" w:right="209" w:hanging="284"/>
      </w:pPr>
      <w:r>
        <w:rPr>
          <w:spacing w:val="-8"/>
        </w:rPr>
        <w:t>③ 自主生活能力完全丧失，无法独立完成六项基本日常生活活动中的三项或三项以上。</w:t>
      </w:r>
    </w:p>
    <w:p>
      <w:pPr>
        <w:pStyle w:val="BodyText"/>
        <w:spacing w:before="6"/>
        <w:ind w:left="0"/>
        <w:rPr>
          <w:sz w:val="24"/>
        </w:rPr>
      </w:pPr>
    </w:p>
    <w:p>
      <w:pPr>
        <w:pStyle w:val="BodyText"/>
        <w:spacing w:before="0"/>
      </w:pPr>
      <w:r>
        <w:rPr/>
        <w:t>（4）重大器官移植术或造血干细胞移植术</w:t>
      </w:r>
    </w:p>
    <w:p>
      <w:pPr>
        <w:pStyle w:val="BodyText"/>
        <w:spacing w:line="273" w:lineRule="auto"/>
        <w:ind w:right="214"/>
      </w:pPr>
      <w:r>
        <w:rPr/>
        <w:t>重大器官移植术，指因相应器官功能衰竭，已经实施了肾脏、肝脏、心脏或肺脏的异体移植手术。</w:t>
      </w:r>
    </w:p>
    <w:p>
      <w:pPr>
        <w:pStyle w:val="BodyText"/>
        <w:spacing w:line="273" w:lineRule="auto" w:before="7"/>
        <w:ind w:right="214"/>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4"/>
        </w:rPr>
      </w:pPr>
    </w:p>
    <w:p>
      <w:pPr>
        <w:pStyle w:val="BodyText"/>
        <w:spacing w:before="0"/>
      </w:pPr>
      <w:r>
        <w:rPr/>
        <w:t>（5）冠状动脉搭桥术（或称冠状动脉旁路移植术）</w:t>
      </w:r>
    </w:p>
    <w:p>
      <w:pPr>
        <w:pStyle w:val="BodyText"/>
        <w:spacing w:line="273" w:lineRule="auto"/>
        <w:ind w:right="214"/>
        <w:jc w:val="both"/>
      </w:pPr>
      <w:r>
        <w:rPr/>
        <w:t>指为治疗严重的冠心病，实际实施了开胸进行的冠状动脉血管旁路移植的手术。冠状动脉支架植入术、心导管球囊扩张术、激光射频技术及其它非开胸的介入手术、腔镜手术不在保障范围内。</w:t>
      </w:r>
    </w:p>
    <w:p>
      <w:pPr>
        <w:pStyle w:val="BodyText"/>
        <w:spacing w:before="5"/>
        <w:ind w:left="0"/>
        <w:rPr>
          <w:sz w:val="24"/>
        </w:rPr>
      </w:pPr>
    </w:p>
    <w:p>
      <w:pPr>
        <w:pStyle w:val="BodyText"/>
        <w:spacing w:before="0"/>
      </w:pPr>
      <w:r>
        <w:rPr/>
        <w:t>（6）终末期肾病（或称慢性肾功能衰竭尿毒症期）</w:t>
      </w:r>
    </w:p>
    <w:p>
      <w:pPr>
        <w:spacing w:after="0"/>
        <w:sectPr>
          <w:pgSz w:w="11910" w:h="16840"/>
          <w:pgMar w:header="0" w:footer="329" w:top="1200" w:bottom="520" w:left="1680" w:right="800"/>
        </w:sectPr>
      </w:pPr>
    </w:p>
    <w:p>
      <w:pPr>
        <w:pStyle w:val="BodyText"/>
        <w:spacing w:line="273" w:lineRule="auto" w:before="15"/>
        <w:ind w:right="207"/>
      </w:pPr>
      <w:r>
        <w:rPr>
          <w:spacing w:val="-10"/>
        </w:rPr>
        <w:t>指双肾功能慢性不可逆性衰竭，达到尿毒症期，经诊断后已经进行了至少 </w:t>
      </w:r>
      <w:r>
        <w:rPr/>
        <w:t>90</w:t>
      </w:r>
      <w:r>
        <w:rPr>
          <w:spacing w:val="-12"/>
        </w:rPr>
        <w:t> 天的</w:t>
      </w:r>
      <w:r>
        <w:rPr>
          <w:spacing w:val="-8"/>
        </w:rPr>
        <w:t>规律性透析治疗或实施了肾脏移植手术。</w:t>
      </w:r>
    </w:p>
    <w:p>
      <w:pPr>
        <w:pStyle w:val="BodyText"/>
        <w:spacing w:before="5"/>
        <w:ind w:left="0"/>
        <w:rPr>
          <w:sz w:val="24"/>
        </w:rPr>
      </w:pPr>
    </w:p>
    <w:p>
      <w:pPr>
        <w:pStyle w:val="BodyText"/>
        <w:spacing w:before="0"/>
      </w:pPr>
      <w:r>
        <w:rPr/>
        <w:t>（7）多个肢体缺失</w:t>
      </w:r>
    </w:p>
    <w:p>
      <w:pPr>
        <w:pStyle w:val="BodyText"/>
        <w:spacing w:line="273" w:lineRule="auto"/>
        <w:ind w:right="214"/>
      </w:pPr>
      <w:r>
        <w:rPr/>
        <w:t>指因疾病或意外伤害导致两个或两个以上肢体自腕关节或踝关节近端（靠近躯干端）以上完全性断离。</w:t>
      </w:r>
    </w:p>
    <w:p>
      <w:pPr>
        <w:pStyle w:val="BodyText"/>
        <w:spacing w:before="5"/>
        <w:ind w:left="0"/>
        <w:rPr>
          <w:sz w:val="24"/>
        </w:rPr>
      </w:pPr>
    </w:p>
    <w:p>
      <w:pPr>
        <w:pStyle w:val="BodyText"/>
        <w:spacing w:before="0"/>
      </w:pPr>
      <w:r>
        <w:rPr/>
        <w:t>（8）急性或亚急性重症肝炎</w:t>
      </w:r>
    </w:p>
    <w:p>
      <w:pPr>
        <w:pStyle w:val="BodyText"/>
        <w:spacing w:line="273" w:lineRule="auto" w:before="36"/>
        <w:ind w:right="214"/>
      </w:pPr>
      <w:r>
        <w:rPr/>
        <w:t>指因肝炎病毒感染引起肝脏组织弥漫性坏死，导致急性肝功能衰竭，且经血清学或病毒学检查证实，并须满足下列全部条件：</w:t>
      </w:r>
    </w:p>
    <w:p>
      <w:pPr>
        <w:pStyle w:val="BodyText"/>
        <w:spacing w:before="7"/>
      </w:pPr>
      <w:r>
        <w:rPr/>
        <w:t>① 重度黄疸或黄疸迅速加重；</w:t>
      </w:r>
    </w:p>
    <w:p>
      <w:pPr>
        <w:pStyle w:val="BodyText"/>
      </w:pPr>
      <w:r>
        <w:rPr/>
        <w:t>② 肝性脑病；</w:t>
      </w:r>
    </w:p>
    <w:p>
      <w:pPr>
        <w:pStyle w:val="BodyText"/>
      </w:pPr>
      <w:r>
        <w:rPr/>
        <w:t>③ B 超或其它影像学检查显示肝脏体积急速萎缩；</w:t>
      </w:r>
    </w:p>
    <w:p>
      <w:pPr>
        <w:pStyle w:val="BodyText"/>
      </w:pPr>
      <w:r>
        <w:rPr/>
        <w:t>④ 肝功能指标进行性恶化。</w:t>
      </w:r>
    </w:p>
    <w:p>
      <w:pPr>
        <w:pStyle w:val="BodyText"/>
        <w:spacing w:before="9"/>
        <w:ind w:left="0"/>
        <w:rPr>
          <w:sz w:val="26"/>
        </w:rPr>
      </w:pPr>
    </w:p>
    <w:p>
      <w:pPr>
        <w:pStyle w:val="BodyText"/>
        <w:spacing w:before="0"/>
      </w:pPr>
      <w:r>
        <w:rPr/>
        <w:t>（9）良性脑肿瘤</w:t>
      </w:r>
    </w:p>
    <w:p>
      <w:pPr>
        <w:pStyle w:val="BodyText"/>
        <w:spacing w:line="273" w:lineRule="auto" w:before="36"/>
        <w:ind w:right="100"/>
        <w:jc w:val="both"/>
      </w:pPr>
      <w:r>
        <w:rPr>
          <w:spacing w:val="-9"/>
        </w:rPr>
        <w:t>指脑的良性肿瘤，已经引起颅内压增高，临床表现为视神经乳头水肿、精神症状、</w:t>
      </w:r>
      <w:r>
        <w:rPr>
          <w:spacing w:val="-22"/>
          <w:w w:val="100"/>
        </w:rPr>
        <w:t>癫痫及运动感觉障碍等，并危及生命。须由头颅断层扫描</w:t>
      </w:r>
      <w:r>
        <w:rPr>
          <w:spacing w:val="0"/>
          <w:w w:val="100"/>
        </w:rPr>
        <w:t>（</w:t>
      </w:r>
      <w:r>
        <w:rPr>
          <w:w w:val="100"/>
        </w:rPr>
        <w:t>CT</w:t>
      </w:r>
      <w:r>
        <w:rPr>
          <w:spacing w:val="-106"/>
          <w:w w:val="100"/>
        </w:rPr>
        <w:t>）</w:t>
      </w:r>
      <w:r>
        <w:rPr>
          <w:spacing w:val="-33"/>
          <w:w w:val="100"/>
        </w:rPr>
        <w:t>、核磁共振检查</w:t>
      </w:r>
      <w:r>
        <w:rPr>
          <w:w w:val="100"/>
        </w:rPr>
        <w:t>（MRI）</w:t>
      </w:r>
      <w:r>
        <w:rPr>
          <w:spacing w:val="-3"/>
        </w:rPr>
        <w:t>或正电子发射断层扫描</w:t>
      </w:r>
      <w:r>
        <w:rPr/>
        <w:t>（PET）</w:t>
      </w:r>
      <w:r>
        <w:rPr>
          <w:spacing w:val="-5"/>
        </w:rPr>
        <w:t>等影像学检查证实，并须满足下列至少一项条件：</w:t>
      </w:r>
    </w:p>
    <w:p>
      <w:pPr>
        <w:pStyle w:val="BodyText"/>
        <w:spacing w:before="7"/>
      </w:pPr>
      <w:r>
        <w:rPr/>
        <w:t>① 实际实施了开颅进行的脑肿瘤完全切除或部分切除的手术；</w:t>
      </w:r>
    </w:p>
    <w:p>
      <w:pPr>
        <w:pStyle w:val="BodyText"/>
      </w:pPr>
      <w:r>
        <w:rPr/>
        <w:t>② 实际实施了对脑肿瘤进行的放射治疗。</w:t>
      </w:r>
    </w:p>
    <w:p>
      <w:pPr>
        <w:pStyle w:val="BodyText"/>
        <w:spacing w:before="36"/>
      </w:pPr>
      <w:r>
        <w:rPr/>
        <w:t>脑垂体瘤、脑囊肿、脑血管性疾病不在保障范围内。</w:t>
      </w:r>
    </w:p>
    <w:p>
      <w:pPr>
        <w:pStyle w:val="BodyText"/>
        <w:spacing w:before="8"/>
        <w:ind w:left="0"/>
        <w:rPr>
          <w:sz w:val="26"/>
        </w:rPr>
      </w:pPr>
    </w:p>
    <w:p>
      <w:pPr>
        <w:pStyle w:val="BodyText"/>
        <w:spacing w:before="0"/>
      </w:pPr>
      <w:r>
        <w:rPr/>
        <w:t>（10）慢性肝功能衰竭失代偿期</w:t>
      </w:r>
    </w:p>
    <w:p>
      <w:pPr>
        <w:pStyle w:val="BodyText"/>
      </w:pPr>
      <w:r>
        <w:rPr/>
        <w:t>指因慢性肝脏疾病导致肝功能衰竭。须满足下列全部条件：</w:t>
      </w:r>
    </w:p>
    <w:p>
      <w:pPr>
        <w:pStyle w:val="BodyText"/>
      </w:pPr>
      <w:r>
        <w:rPr/>
        <w:t>① 持续性黄疸；</w:t>
      </w:r>
    </w:p>
    <w:p>
      <w:pPr>
        <w:pStyle w:val="BodyText"/>
        <w:spacing w:before="36"/>
      </w:pPr>
      <w:r>
        <w:rPr/>
        <w:t>② 腹水；</w:t>
      </w:r>
    </w:p>
    <w:p>
      <w:pPr>
        <w:pStyle w:val="BodyText"/>
        <w:spacing w:before="36"/>
      </w:pPr>
      <w:r>
        <w:rPr/>
        <w:t>③ 肝性脑病；</w:t>
      </w:r>
    </w:p>
    <w:p>
      <w:pPr>
        <w:pStyle w:val="BodyText"/>
        <w:spacing w:line="273" w:lineRule="auto" w:before="36"/>
        <w:ind w:right="2532"/>
      </w:pPr>
      <w:r>
        <w:rPr>
          <w:spacing w:val="-5"/>
        </w:rPr>
        <w:t>④ 充血性脾肿大伴脾功能亢进或食管胃底静脉曲张。因酗酒或药物滥用导致的肝功能衰竭不在保障范围内。</w:t>
      </w:r>
    </w:p>
    <w:p>
      <w:pPr>
        <w:pStyle w:val="BodyText"/>
        <w:spacing w:before="5"/>
        <w:ind w:left="0"/>
        <w:rPr>
          <w:sz w:val="24"/>
        </w:rPr>
      </w:pPr>
    </w:p>
    <w:p>
      <w:pPr>
        <w:pStyle w:val="BodyText"/>
        <w:spacing w:before="0"/>
      </w:pPr>
      <w:r>
        <w:rPr/>
        <w:t>（11）脑炎后遗症或脑膜炎后遗症</w:t>
      </w:r>
    </w:p>
    <w:p>
      <w:pPr>
        <w:pStyle w:val="BodyText"/>
        <w:spacing w:line="273" w:lineRule="auto" w:before="36"/>
        <w:ind w:right="214"/>
      </w:pPr>
      <w:r>
        <w:rPr/>
        <w:t>指因患脑炎或脑膜炎导致的神经系统永久性的功能障碍。神经系统永久性的功能障碍，指疾病确诊 180 天后，仍遗留下列一种或一种以上障碍：</w:t>
      </w:r>
    </w:p>
    <w:p>
      <w:pPr>
        <w:pStyle w:val="BodyText"/>
        <w:spacing w:before="7"/>
      </w:pPr>
      <w:r>
        <w:rPr/>
        <w:t>① 一肢或一肢以上肢体机能完全丧失；</w:t>
      </w:r>
    </w:p>
    <w:p>
      <w:pPr>
        <w:pStyle w:val="BodyText"/>
      </w:pPr>
      <w:r>
        <w:rPr/>
        <w:t>② 语言能力或咀嚼吞咽能力完全丧失；</w:t>
      </w:r>
    </w:p>
    <w:p>
      <w:pPr>
        <w:pStyle w:val="BodyText"/>
        <w:spacing w:line="273" w:lineRule="auto"/>
        <w:ind w:left="2132" w:right="209" w:hanging="284"/>
      </w:pPr>
      <w:r>
        <w:rPr>
          <w:spacing w:val="-8"/>
        </w:rPr>
        <w:t>③ 自主生活能力完全丧失，无法独立完成六项基本日常生活活动中的三项或三项以上。</w:t>
      </w:r>
    </w:p>
    <w:p>
      <w:pPr>
        <w:pStyle w:val="BodyText"/>
        <w:spacing w:before="4"/>
        <w:ind w:left="0"/>
        <w:rPr>
          <w:sz w:val="24"/>
        </w:rPr>
      </w:pPr>
    </w:p>
    <w:p>
      <w:pPr>
        <w:pStyle w:val="BodyText"/>
        <w:spacing w:before="1"/>
      </w:pPr>
      <w:r>
        <w:rPr/>
        <w:t>（12）深度昏迷</w:t>
      </w:r>
    </w:p>
    <w:p>
      <w:pPr>
        <w:pStyle w:val="BodyText"/>
        <w:spacing w:line="273" w:lineRule="auto"/>
        <w:ind w:right="207"/>
        <w:jc w:val="both"/>
      </w:pPr>
      <w:r>
        <w:rPr>
          <w:spacing w:val="-5"/>
        </w:rPr>
        <w:t>指因疾病或意外伤害导致意识丧失，对外界刺激和体内需求均无反应，昏迷程度按照格拉斯哥昏迷分级</w:t>
      </w:r>
      <w:r>
        <w:rPr/>
        <w:t>（Glasgow coma scale）</w:t>
      </w:r>
      <w:r>
        <w:rPr>
          <w:spacing w:val="-14"/>
        </w:rPr>
        <w:t>结果为 </w:t>
      </w:r>
      <w:r>
        <w:rPr/>
        <w:t>5</w:t>
      </w:r>
      <w:r>
        <w:rPr>
          <w:spacing w:val="-26"/>
        </w:rPr>
        <w:t> 分或 </w:t>
      </w:r>
      <w:r>
        <w:rPr/>
        <w:t>5</w:t>
      </w:r>
      <w:r>
        <w:rPr>
          <w:spacing w:val="-8"/>
        </w:rPr>
        <w:t> 分以下，且已经持续使用呼吸机及其它生命维持系统 </w:t>
      </w:r>
      <w:r>
        <w:rPr/>
        <w:t>96</w:t>
      </w:r>
      <w:r>
        <w:rPr>
          <w:spacing w:val="-10"/>
        </w:rPr>
        <w:t> 小时以上。</w:t>
      </w:r>
    </w:p>
    <w:p>
      <w:pPr>
        <w:pStyle w:val="BodyText"/>
        <w:spacing w:before="7"/>
      </w:pPr>
      <w:r>
        <w:rPr/>
        <w:t>因酗酒或药物滥用导致的深度昏迷不在保障范围内。</w:t>
      </w:r>
    </w:p>
    <w:p>
      <w:pPr>
        <w:spacing w:after="0"/>
        <w:sectPr>
          <w:pgSz w:w="11910" w:h="16840"/>
          <w:pgMar w:header="0" w:footer="329" w:top="1200" w:bottom="600" w:left="1680" w:right="800"/>
        </w:sectPr>
      </w:pPr>
    </w:p>
    <w:p>
      <w:pPr>
        <w:pStyle w:val="BodyText"/>
        <w:spacing w:before="15"/>
      </w:pPr>
      <w:r>
        <w:rPr/>
        <w:t>（13）双耳失聪</w:t>
      </w:r>
    </w:p>
    <w:p>
      <w:pPr>
        <w:pStyle w:val="BodyText"/>
      </w:pPr>
      <w:r>
        <w:rPr/>
        <w:t>指因疾病或意外伤害导致双耳听力永久不可逆性丧失，在 500 赫兹、1000 赫兹和</w:t>
      </w:r>
    </w:p>
    <w:p>
      <w:pPr>
        <w:pStyle w:val="BodyText"/>
        <w:spacing w:line="273" w:lineRule="auto"/>
        <w:ind w:right="208"/>
      </w:pPr>
      <w:r>
        <w:rPr/>
        <w:t>2000</w:t>
      </w:r>
      <w:r>
        <w:rPr>
          <w:spacing w:val="-6"/>
        </w:rPr>
        <w:t> 赫兹语音频率下，平均听阈大于 </w:t>
      </w:r>
      <w:r>
        <w:rPr/>
        <w:t>90</w:t>
      </w:r>
      <w:r>
        <w:rPr>
          <w:spacing w:val="-6"/>
        </w:rPr>
        <w:t> 分贝，且经纯音听力测试、声导抗检测</w:t>
      </w:r>
      <w:r>
        <w:rPr>
          <w:spacing w:val="-5"/>
        </w:rPr>
        <w:t>或听觉诱发电位检测等证实。</w:t>
      </w:r>
    </w:p>
    <w:p>
      <w:pPr>
        <w:pStyle w:val="BodyText"/>
        <w:spacing w:before="8"/>
      </w:pPr>
      <w:r>
        <w:rPr/>
        <w:t>在 0 至 3 周岁保单周年日期间，被保险人双耳失聪不在保障范围内。</w:t>
      </w:r>
    </w:p>
    <w:p>
      <w:pPr>
        <w:pStyle w:val="BodyText"/>
        <w:spacing w:before="8"/>
        <w:ind w:left="0"/>
        <w:rPr>
          <w:sz w:val="26"/>
        </w:rPr>
      </w:pPr>
    </w:p>
    <w:p>
      <w:pPr>
        <w:pStyle w:val="BodyText"/>
        <w:spacing w:before="0"/>
      </w:pPr>
      <w:r>
        <w:rPr/>
        <w:t>（14）双目失明</w:t>
      </w:r>
    </w:p>
    <w:p>
      <w:pPr>
        <w:pStyle w:val="BodyText"/>
        <w:spacing w:line="273" w:lineRule="auto" w:before="36"/>
        <w:ind w:right="214"/>
      </w:pPr>
      <w:r>
        <w:rPr/>
        <w:t>指因疾病或意外伤害导致双眼视力永久不可逆性丧失，双眼中较好眼须满足下列至少一项条件：</w:t>
      </w:r>
    </w:p>
    <w:p>
      <w:pPr>
        <w:pStyle w:val="BodyText"/>
        <w:spacing w:before="7"/>
      </w:pPr>
      <w:r>
        <w:rPr/>
        <w:t>① 眼球缺失或摘除；</w:t>
      </w:r>
    </w:p>
    <w:p>
      <w:pPr>
        <w:pStyle w:val="BodyText"/>
        <w:spacing w:before="36"/>
      </w:pPr>
      <w:r>
        <w:rPr>
          <w:w w:val="100"/>
        </w:rPr>
        <w:t>②</w:t>
      </w:r>
      <w:r>
        <w:rPr/>
        <w:t> </w:t>
      </w:r>
      <w:r>
        <w:rPr>
          <w:spacing w:val="-2"/>
          <w:w w:val="100"/>
        </w:rPr>
        <w:t>矫正视力低于</w:t>
      </w:r>
      <w:r>
        <w:rPr>
          <w:spacing w:val="-52"/>
        </w:rPr>
        <w:t> </w:t>
      </w:r>
      <w:r>
        <w:rPr>
          <w:w w:val="100"/>
        </w:rPr>
        <w:t>0.</w:t>
      </w:r>
      <w:r>
        <w:rPr>
          <w:spacing w:val="-5"/>
          <w:w w:val="100"/>
        </w:rPr>
        <w:t>0</w:t>
      </w:r>
      <w:r>
        <w:rPr>
          <w:spacing w:val="-77"/>
          <w:w w:val="100"/>
        </w:rPr>
        <w:t>2</w:t>
      </w:r>
      <w:r>
        <w:rPr>
          <w:w w:val="100"/>
        </w:rPr>
        <w:t>（</w:t>
      </w:r>
      <w:r>
        <w:rPr>
          <w:spacing w:val="-10"/>
          <w:w w:val="100"/>
        </w:rPr>
        <w:t>采用国际标准视力表，如果使用其它视力表应进行换算</w:t>
      </w:r>
      <w:r>
        <w:rPr>
          <w:spacing w:val="-106"/>
          <w:w w:val="100"/>
        </w:rPr>
        <w:t>）</w:t>
      </w:r>
      <w:r>
        <w:rPr>
          <w:w w:val="100"/>
        </w:rPr>
        <w:t>；</w:t>
      </w:r>
    </w:p>
    <w:p>
      <w:pPr>
        <w:pStyle w:val="BodyText"/>
        <w:spacing w:before="36"/>
      </w:pPr>
      <w:r>
        <w:rPr/>
        <w:t>③ 视野半径小于 5 度。</w:t>
      </w:r>
    </w:p>
    <w:p>
      <w:pPr>
        <w:pStyle w:val="BodyText"/>
        <w:spacing w:before="8"/>
        <w:ind w:left="0"/>
        <w:rPr>
          <w:sz w:val="26"/>
        </w:rPr>
      </w:pPr>
    </w:p>
    <w:p>
      <w:pPr>
        <w:pStyle w:val="BodyText"/>
        <w:spacing w:before="0"/>
      </w:pPr>
      <w:r>
        <w:rPr/>
        <w:t>（15）瘫痪</w:t>
      </w:r>
    </w:p>
    <w:p>
      <w:pPr>
        <w:pStyle w:val="BodyText"/>
        <w:spacing w:line="273" w:lineRule="auto"/>
        <w:ind w:right="207"/>
        <w:jc w:val="both"/>
      </w:pPr>
      <w:r>
        <w:rPr>
          <w:spacing w:val="-5"/>
        </w:rPr>
        <w:t>指因疾病或意外伤害导致两肢或两肢以上肢体机能永久完全丧失。肢体机能永久</w:t>
      </w:r>
      <w:r>
        <w:rPr>
          <w:spacing w:val="-9"/>
        </w:rPr>
        <w:t>完全丧失，指疾病确诊 </w:t>
      </w:r>
      <w:r>
        <w:rPr/>
        <w:t>180</w:t>
      </w:r>
      <w:r>
        <w:rPr>
          <w:spacing w:val="-12"/>
        </w:rPr>
        <w:t> 天后或意外伤害发生 </w:t>
      </w:r>
      <w:r>
        <w:rPr/>
        <w:t>180</w:t>
      </w:r>
      <w:r>
        <w:rPr>
          <w:spacing w:val="-8"/>
        </w:rPr>
        <w:t> 天后，每肢三大关节中的两</w:t>
      </w:r>
      <w:r>
        <w:rPr>
          <w:spacing w:val="-6"/>
        </w:rPr>
        <w:t>大关节仍然完全僵硬，或不能随意识活动。</w:t>
      </w:r>
    </w:p>
    <w:p>
      <w:pPr>
        <w:pStyle w:val="BodyText"/>
        <w:spacing w:before="5"/>
        <w:ind w:left="0"/>
        <w:rPr>
          <w:sz w:val="24"/>
        </w:rPr>
      </w:pPr>
    </w:p>
    <w:p>
      <w:pPr>
        <w:pStyle w:val="BodyText"/>
        <w:spacing w:before="1"/>
      </w:pPr>
      <w:r>
        <w:rPr/>
        <w:t>（16）心脏瓣膜手术</w:t>
      </w:r>
    </w:p>
    <w:p>
      <w:pPr>
        <w:pStyle w:val="BodyText"/>
      </w:pPr>
      <w:r>
        <w:rPr/>
        <w:t>指为治疗心脏瓣膜疾病，实际实施了开胸进行的心脏瓣膜置换或修复的手术。</w:t>
      </w:r>
    </w:p>
    <w:p>
      <w:pPr>
        <w:pStyle w:val="BodyText"/>
        <w:spacing w:before="8"/>
        <w:ind w:left="0"/>
        <w:rPr>
          <w:sz w:val="26"/>
        </w:rPr>
      </w:pPr>
    </w:p>
    <w:p>
      <w:pPr>
        <w:pStyle w:val="BodyText"/>
        <w:spacing w:before="1"/>
      </w:pPr>
      <w:r>
        <w:rPr/>
        <w:t>（17）严重阿尔茨海默病</w:t>
      </w:r>
    </w:p>
    <w:p>
      <w:pPr>
        <w:pStyle w:val="BodyText"/>
        <w:spacing w:line="273" w:lineRule="auto"/>
        <w:ind w:right="207"/>
        <w:jc w:val="both"/>
      </w:pPr>
      <w:r>
        <w:rPr>
          <w:spacing w:val="-5"/>
        </w:rPr>
        <w:t>指因大脑进行性、不可逆性改变导致智能严重衰退或丧失，临床表现为明显的认知能力障碍、行为异常和社交能力减退，其日常生活必须持续受到他人监护。须</w:t>
      </w:r>
      <w:r>
        <w:rPr>
          <w:spacing w:val="-7"/>
          <w:w w:val="100"/>
        </w:rPr>
        <w:t>由头颅断层扫描</w:t>
      </w:r>
      <w:r>
        <w:rPr>
          <w:spacing w:val="-5"/>
          <w:w w:val="100"/>
        </w:rPr>
        <w:t>（</w:t>
      </w:r>
      <w:r>
        <w:rPr>
          <w:w w:val="100"/>
        </w:rPr>
        <w:t>CT</w:t>
      </w:r>
      <w:r>
        <w:rPr>
          <w:spacing w:val="-106"/>
          <w:w w:val="100"/>
        </w:rPr>
        <w:t>）</w:t>
      </w:r>
      <w:r>
        <w:rPr>
          <w:spacing w:val="-8"/>
          <w:w w:val="100"/>
        </w:rPr>
        <w:t>、核磁共振检查</w:t>
      </w:r>
      <w:r>
        <w:rPr>
          <w:w w:val="100"/>
        </w:rPr>
        <w:t>（MR</w:t>
      </w:r>
      <w:r>
        <w:rPr>
          <w:spacing w:val="-5"/>
          <w:w w:val="100"/>
        </w:rPr>
        <w:t>I</w:t>
      </w:r>
      <w:r>
        <w:rPr>
          <w:spacing w:val="-15"/>
          <w:w w:val="100"/>
        </w:rPr>
        <w:t>）</w:t>
      </w:r>
      <w:r>
        <w:rPr>
          <w:spacing w:val="-5"/>
          <w:w w:val="100"/>
        </w:rPr>
        <w:t>或正电子发射断层扫描</w:t>
      </w:r>
      <w:r>
        <w:rPr>
          <w:spacing w:val="-4"/>
          <w:w w:val="100"/>
        </w:rPr>
        <w:t>（</w:t>
      </w:r>
      <w:r>
        <w:rPr>
          <w:w w:val="100"/>
        </w:rPr>
        <w:t>PET</w:t>
      </w:r>
      <w:r>
        <w:rPr>
          <w:spacing w:val="-20"/>
          <w:w w:val="100"/>
        </w:rPr>
        <w:t>）</w:t>
      </w:r>
      <w:r>
        <w:rPr>
          <w:w w:val="100"/>
        </w:rPr>
        <w:t>等影</w:t>
      </w:r>
      <w:r>
        <w:rPr>
          <w:spacing w:val="-5"/>
        </w:rPr>
        <w:t>像学检查证实，且自主生活能力完全丧失，无法独立完成六项基本日常生活活动中的三项或三项以上。</w:t>
      </w:r>
    </w:p>
    <w:p>
      <w:pPr>
        <w:pStyle w:val="BodyText"/>
        <w:spacing w:before="7"/>
      </w:pPr>
      <w:r>
        <w:rPr/>
        <w:t>神经官能症和精神疾病不在保障范围内。</w:t>
      </w:r>
    </w:p>
    <w:p>
      <w:pPr>
        <w:pStyle w:val="BodyText"/>
        <w:spacing w:before="8"/>
        <w:ind w:left="0"/>
        <w:rPr>
          <w:sz w:val="26"/>
        </w:rPr>
      </w:pPr>
    </w:p>
    <w:p>
      <w:pPr>
        <w:pStyle w:val="BodyText"/>
        <w:spacing w:before="0"/>
      </w:pPr>
      <w:r>
        <w:rPr/>
        <w:t>（18）严重脑损伤</w:t>
      </w:r>
    </w:p>
    <w:p>
      <w:pPr>
        <w:pStyle w:val="BodyText"/>
        <w:spacing w:line="273" w:lineRule="auto"/>
        <w:ind w:right="100"/>
      </w:pPr>
      <w:r>
        <w:rPr>
          <w:spacing w:val="-5"/>
        </w:rPr>
        <w:t>指因头部遭受机械性外力，引起脑重要部位损伤，导致神经系统永久性的功能障</w:t>
      </w:r>
      <w:r>
        <w:rPr>
          <w:spacing w:val="-10"/>
          <w:w w:val="100"/>
        </w:rPr>
        <w:t>碍。须由头颅断层扫描</w:t>
      </w:r>
      <w:r>
        <w:rPr>
          <w:spacing w:val="0"/>
          <w:w w:val="100"/>
        </w:rPr>
        <w:t>（</w:t>
      </w:r>
      <w:r>
        <w:rPr>
          <w:w w:val="100"/>
        </w:rPr>
        <w:t>CT</w:t>
      </w:r>
      <w:r>
        <w:rPr>
          <w:spacing w:val="-111"/>
          <w:w w:val="100"/>
        </w:rPr>
        <w:t>）</w:t>
      </w:r>
      <w:r>
        <w:rPr>
          <w:spacing w:val="-12"/>
          <w:w w:val="100"/>
        </w:rPr>
        <w:t>、核磁共振检查</w:t>
      </w:r>
      <w:r>
        <w:rPr>
          <w:w w:val="100"/>
        </w:rPr>
        <w:t>（</w:t>
      </w:r>
      <w:r>
        <w:rPr>
          <w:spacing w:val="-5"/>
          <w:w w:val="100"/>
        </w:rPr>
        <w:t>M</w:t>
      </w:r>
      <w:r>
        <w:rPr>
          <w:w w:val="100"/>
        </w:rPr>
        <w:t>RI</w:t>
      </w:r>
      <w:r>
        <w:rPr>
          <w:spacing w:val="-34"/>
          <w:w w:val="100"/>
        </w:rPr>
        <w:t>）</w:t>
      </w:r>
      <w:r>
        <w:rPr>
          <w:spacing w:val="-7"/>
          <w:w w:val="100"/>
        </w:rPr>
        <w:t>或正电子发射断层扫描</w:t>
      </w:r>
      <w:r>
        <w:rPr>
          <w:w w:val="100"/>
        </w:rPr>
        <w:t>（PET）</w:t>
      </w:r>
      <w:r>
        <w:rPr>
          <w:spacing w:val="-7"/>
        </w:rPr>
        <w:t>等影像学检查证实。神经系统永久性的功能障碍，指脑损伤 </w:t>
      </w:r>
      <w:r>
        <w:rPr/>
        <w:t>180</w:t>
      </w:r>
      <w:r>
        <w:rPr>
          <w:spacing w:val="-7"/>
        </w:rPr>
        <w:t> 天后，仍遗留下</w:t>
      </w:r>
      <w:r>
        <w:rPr>
          <w:spacing w:val="-6"/>
        </w:rPr>
        <w:t>列一种或一种以上障碍：</w:t>
      </w:r>
    </w:p>
    <w:p>
      <w:pPr>
        <w:pStyle w:val="BodyText"/>
        <w:spacing w:before="8"/>
      </w:pPr>
      <w:r>
        <w:rPr/>
        <w:t>① 一肢或一肢以上肢体机能完全丧失；</w:t>
      </w:r>
    </w:p>
    <w:p>
      <w:pPr>
        <w:pStyle w:val="BodyText"/>
      </w:pPr>
      <w:r>
        <w:rPr/>
        <w:t>② 语言能力或咀嚼吞咽能力完全丧失；</w:t>
      </w:r>
    </w:p>
    <w:p>
      <w:pPr>
        <w:pStyle w:val="BodyText"/>
        <w:spacing w:line="273" w:lineRule="auto"/>
        <w:ind w:left="2132" w:right="209" w:hanging="284"/>
      </w:pPr>
      <w:r>
        <w:rPr>
          <w:spacing w:val="-8"/>
        </w:rPr>
        <w:t>③ 自主生活能力完全丧失，无法独立完成六项基本日常生活活动中的三项或三项以上。</w:t>
      </w:r>
    </w:p>
    <w:p>
      <w:pPr>
        <w:pStyle w:val="BodyText"/>
        <w:spacing w:before="5"/>
        <w:ind w:left="0"/>
        <w:rPr>
          <w:sz w:val="24"/>
        </w:rPr>
      </w:pPr>
    </w:p>
    <w:p>
      <w:pPr>
        <w:pStyle w:val="BodyText"/>
        <w:spacing w:before="0"/>
      </w:pPr>
      <w:r>
        <w:rPr/>
        <w:t>（19）严重帕金森病</w:t>
      </w:r>
    </w:p>
    <w:p>
      <w:pPr>
        <w:pStyle w:val="BodyText"/>
        <w:spacing w:line="273" w:lineRule="auto"/>
        <w:ind w:right="214"/>
      </w:pPr>
      <w:r>
        <w:rPr/>
        <w:t>是一种中枢神经系统的退行性疾病，临床表现为震颤麻痹、共济失调等。须满足下列全部条件：</w:t>
      </w:r>
    </w:p>
    <w:p>
      <w:pPr>
        <w:pStyle w:val="BodyText"/>
        <w:spacing w:before="8"/>
      </w:pPr>
      <w:r>
        <w:rPr/>
        <w:t>① 药物治疗无法控制病情；</w:t>
      </w:r>
    </w:p>
    <w:p>
      <w:pPr>
        <w:pStyle w:val="BodyText"/>
        <w:spacing w:line="273" w:lineRule="auto" w:before="36"/>
        <w:ind w:left="2132" w:right="209" w:hanging="284"/>
      </w:pPr>
      <w:r>
        <w:rPr>
          <w:spacing w:val="-8"/>
        </w:rPr>
        <w:t>② 自主生活能力完全丧失，无法独立完成六项基本日常生活活动中的三项或三项以上。</w:t>
      </w:r>
    </w:p>
    <w:p>
      <w:pPr>
        <w:spacing w:after="0" w:line="273" w:lineRule="auto"/>
        <w:sectPr>
          <w:pgSz w:w="11910" w:h="16840"/>
          <w:pgMar w:header="0" w:footer="329" w:top="1200" w:bottom="600" w:left="1680" w:right="800"/>
        </w:sectPr>
      </w:pPr>
    </w:p>
    <w:p>
      <w:pPr>
        <w:pStyle w:val="BodyText"/>
        <w:spacing w:before="15"/>
      </w:pPr>
      <w:r>
        <w:rPr/>
        <w:t>继发性帕金森综合征不在保障范围内。</w:t>
      </w:r>
    </w:p>
    <w:p>
      <w:pPr>
        <w:pStyle w:val="BodyText"/>
        <w:spacing w:before="8"/>
        <w:ind w:left="0"/>
        <w:rPr>
          <w:sz w:val="26"/>
        </w:rPr>
      </w:pPr>
    </w:p>
    <w:p>
      <w:pPr>
        <w:pStyle w:val="BodyText"/>
        <w:spacing w:before="1"/>
      </w:pPr>
      <w:r>
        <w:rPr/>
        <w:t>（20）严重Ⅲ度烧伤</w:t>
      </w:r>
    </w:p>
    <w:p>
      <w:pPr>
        <w:pStyle w:val="BodyText"/>
        <w:spacing w:line="273" w:lineRule="auto"/>
        <w:ind w:right="107"/>
      </w:pPr>
      <w:r>
        <w:rPr>
          <w:spacing w:val="-8"/>
        </w:rPr>
        <w:t>指烧伤程度为Ⅲ度，且Ⅲ度烧伤的面积达到全身体表面积的 </w:t>
      </w:r>
      <w:r>
        <w:rPr/>
        <w:t>20</w:t>
      </w:r>
      <w:r>
        <w:rPr>
          <w:spacing w:val="-12"/>
        </w:rPr>
        <w:t>％或 </w:t>
      </w:r>
      <w:r>
        <w:rPr/>
        <w:t>20％</w:t>
      </w:r>
      <w:r>
        <w:rPr>
          <w:spacing w:val="-14"/>
        </w:rPr>
        <w:t>以上。体</w:t>
      </w:r>
      <w:r>
        <w:rPr>
          <w:spacing w:val="-9"/>
        </w:rPr>
        <w:t>表面积根据《中国新九分法》计算。</w:t>
      </w:r>
    </w:p>
    <w:p>
      <w:pPr>
        <w:pStyle w:val="BodyText"/>
        <w:spacing w:before="5"/>
        <w:ind w:left="0"/>
        <w:rPr>
          <w:sz w:val="24"/>
        </w:rPr>
      </w:pPr>
    </w:p>
    <w:p>
      <w:pPr>
        <w:pStyle w:val="BodyText"/>
        <w:spacing w:before="0"/>
      </w:pPr>
      <w:r>
        <w:rPr/>
        <w:t>（21）严重原发性肺动脉高压</w:t>
      </w:r>
    </w:p>
    <w:p>
      <w:pPr>
        <w:pStyle w:val="BodyText"/>
        <w:spacing w:line="273" w:lineRule="auto"/>
        <w:ind w:right="111"/>
        <w:jc w:val="both"/>
      </w:pPr>
      <w:r>
        <w:rPr/>
        <w:t>指不明原因的肺动脉压力持续性增高，进行性发展而导致的慢性疾病，已经造成永久不可逆性的体力活动能力受限，达到美国纽约心脏病学会心功能状态分级Ⅳ 级，且静息状态下肺动脉平均压超过 30mmHg。</w:t>
      </w:r>
    </w:p>
    <w:p>
      <w:pPr>
        <w:pStyle w:val="BodyText"/>
        <w:spacing w:before="5"/>
        <w:ind w:left="0"/>
        <w:rPr>
          <w:sz w:val="24"/>
        </w:rPr>
      </w:pPr>
    </w:p>
    <w:p>
      <w:pPr>
        <w:pStyle w:val="BodyText"/>
        <w:spacing w:before="1"/>
      </w:pPr>
      <w:r>
        <w:rPr/>
        <w:t>（22）严重运动神经元病</w:t>
      </w:r>
    </w:p>
    <w:p>
      <w:pPr>
        <w:pStyle w:val="BodyText"/>
        <w:spacing w:line="273" w:lineRule="auto"/>
        <w:ind w:right="114"/>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6"/>
        <w:ind w:left="0"/>
        <w:rPr>
          <w:sz w:val="24"/>
        </w:rPr>
      </w:pPr>
    </w:p>
    <w:p>
      <w:pPr>
        <w:pStyle w:val="BodyText"/>
        <w:spacing w:before="0"/>
      </w:pPr>
      <w:r>
        <w:rPr/>
        <w:t>（23）语言能力丧失</w:t>
      </w:r>
    </w:p>
    <w:p>
      <w:pPr>
        <w:pStyle w:val="BodyText"/>
        <w:spacing w:line="273" w:lineRule="auto"/>
        <w:ind w:right="107"/>
      </w:pPr>
      <w:r>
        <w:rPr>
          <w:spacing w:val="-8"/>
        </w:rPr>
        <w:t>指因疾病或意外伤害导致完全丧失语言能力，经过积极治疗至少 </w:t>
      </w:r>
      <w:r>
        <w:rPr>
          <w:spacing w:val="-3"/>
        </w:rPr>
        <w:t>12</w:t>
      </w:r>
      <w:r>
        <w:rPr>
          <w:spacing w:val="-29"/>
        </w:rPr>
        <w:t> 个月</w:t>
      </w:r>
      <w:r>
        <w:rPr/>
        <w:t>（声带完</w:t>
      </w:r>
      <w:r>
        <w:rPr>
          <w:spacing w:val="-2"/>
          <w:w w:val="100"/>
        </w:rPr>
        <w:t>全切除不受此时间限制</w:t>
      </w:r>
      <w:r>
        <w:rPr>
          <w:spacing w:val="-106"/>
          <w:w w:val="100"/>
        </w:rPr>
        <w:t>）</w:t>
      </w:r>
      <w:r>
        <w:rPr>
          <w:spacing w:val="-5"/>
          <w:w w:val="100"/>
        </w:rPr>
        <w:t>，仍无法通过现有医疗手段恢复。</w:t>
      </w:r>
    </w:p>
    <w:p>
      <w:pPr>
        <w:pStyle w:val="BodyText"/>
        <w:spacing w:before="7"/>
      </w:pPr>
      <w:r>
        <w:rPr/>
        <w:t>精神心理因素所致的语言能力丧失不在保障范围内。</w:t>
      </w:r>
    </w:p>
    <w:p>
      <w:pPr>
        <w:pStyle w:val="BodyText"/>
      </w:pPr>
      <w:r>
        <w:rPr/>
        <w:t>在 0 至 3 周岁保单周年日期间，被保险人语言能力丧失不在保障范围内。</w:t>
      </w:r>
    </w:p>
    <w:p>
      <w:pPr>
        <w:pStyle w:val="BodyText"/>
        <w:spacing w:before="9"/>
        <w:ind w:left="0"/>
        <w:rPr>
          <w:sz w:val="26"/>
        </w:rPr>
      </w:pPr>
    </w:p>
    <w:p>
      <w:pPr>
        <w:pStyle w:val="BodyText"/>
        <w:spacing w:before="0"/>
      </w:pPr>
      <w:r>
        <w:rPr/>
        <w:t>（24）重型再生障碍性贫血</w:t>
      </w:r>
    </w:p>
    <w:p>
      <w:pPr>
        <w:pStyle w:val="BodyText"/>
        <w:spacing w:line="273" w:lineRule="auto"/>
        <w:ind w:right="114"/>
      </w:pPr>
      <w:r>
        <w:rPr/>
        <w:t>指因骨髓造血功能慢性持续性衰竭导致的贫血、中性粒细胞减少及血小板减少。须满足下列全部条件：</w:t>
      </w:r>
    </w:p>
    <w:p>
      <w:pPr>
        <w:pStyle w:val="BodyText"/>
        <w:spacing w:before="8"/>
      </w:pPr>
      <w:r>
        <w:rPr/>
        <w:t>① 骨髓穿刺检查或骨髓活检结果支持诊断；</w:t>
      </w:r>
    </w:p>
    <w:p>
      <w:pPr>
        <w:pStyle w:val="BodyText"/>
      </w:pPr>
      <w:r>
        <w:rPr/>
        <w:t>② 外周血象须具备以下三项条件：</w:t>
      </w:r>
    </w:p>
    <w:p>
      <w:pPr>
        <w:spacing w:before="37"/>
        <w:ind w:left="1849" w:right="0" w:firstLine="0"/>
        <w:jc w:val="left"/>
        <w:rPr>
          <w:sz w:val="21"/>
        </w:rPr>
      </w:pPr>
      <w:r>
        <w:rPr/>
        <w:pict>
          <v:shape style="position:absolute;margin-left:339.959991pt;margin-top:2.871527pt;width:3.5pt;height:7.75pt;mso-position-horizontal-relative:page;mso-position-vertical-relative:paragraph;z-index:-25792"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9</w:t>
                  </w:r>
                </w:p>
              </w:txbxContent>
            </v:textbox>
            <w10:wrap type="none"/>
          </v:shape>
        </w:pict>
      </w:r>
      <w:r>
        <w:rPr>
          <w:w w:val="100"/>
          <w:sz w:val="21"/>
        </w:rPr>
        <w:t>（ⅰ）</w:t>
      </w:r>
      <w:r>
        <w:rPr>
          <w:spacing w:val="-3"/>
          <w:w w:val="100"/>
          <w:sz w:val="21"/>
        </w:rPr>
        <w:t>中性粒细胞绝对值≤</w:t>
      </w:r>
      <w:r>
        <w:rPr>
          <w:w w:val="100"/>
          <w:sz w:val="21"/>
        </w:rPr>
        <w:t>0.</w:t>
      </w:r>
      <w:r>
        <w:rPr>
          <w:spacing w:val="-5"/>
          <w:w w:val="100"/>
          <w:sz w:val="21"/>
        </w:rPr>
        <w:t>5</w:t>
      </w:r>
      <w:r>
        <w:rPr>
          <w:w w:val="100"/>
          <w:sz w:val="21"/>
        </w:rPr>
        <w:t>×</w:t>
      </w:r>
      <w:r>
        <w:rPr>
          <w:rFonts w:ascii="Times New Roman" w:hAnsi="Times New Roman" w:eastAsia="Times New Roman"/>
          <w:w w:val="100"/>
          <w:sz w:val="21"/>
        </w:rPr>
        <w:t>10</w:t>
      </w:r>
      <w:r>
        <w:rPr>
          <w:rFonts w:ascii="Times New Roman" w:hAnsi="Times New Roman" w:eastAsia="Times New Roman"/>
          <w:w w:val="95"/>
          <w:sz w:val="2"/>
        </w:rPr>
        <w:t>P</w:t>
      </w:r>
      <w:r>
        <w:rPr>
          <w:rFonts w:ascii="Times New Roman" w:hAnsi="Times New Roman" w:eastAsia="Times New Roman"/>
          <w:sz w:val="2"/>
        </w:rPr>
        <w:t>             </w:t>
      </w:r>
      <w:r>
        <w:rPr>
          <w:rFonts w:ascii="Times New Roman" w:hAnsi="Times New Roman" w:eastAsia="Times New Roman"/>
          <w:spacing w:val="-2"/>
          <w:w w:val="95"/>
          <w:position w:val="1"/>
          <w:sz w:val="2"/>
        </w:rPr>
        <w:t>P</w:t>
      </w:r>
      <w:r>
        <w:rPr>
          <w:w w:val="100"/>
          <w:sz w:val="21"/>
        </w:rPr>
        <w:t>/L</w:t>
      </w:r>
      <w:r>
        <w:rPr>
          <w:spacing w:val="0"/>
          <w:sz w:val="21"/>
        </w:rPr>
        <w:t> </w:t>
      </w:r>
      <w:r>
        <w:rPr>
          <w:w w:val="100"/>
          <w:sz w:val="21"/>
        </w:rPr>
        <w:t>；</w:t>
      </w:r>
    </w:p>
    <w:p>
      <w:pPr>
        <w:pStyle w:val="BodyText"/>
        <w:spacing w:before="21"/>
      </w:pPr>
      <w:r>
        <w:rPr/>
        <w:t>（ⅱ）网织红细胞＜1%；</w:t>
      </w:r>
    </w:p>
    <w:p>
      <w:pPr>
        <w:spacing w:before="37"/>
        <w:ind w:left="1849" w:right="0" w:firstLine="0"/>
        <w:jc w:val="left"/>
        <w:rPr>
          <w:sz w:val="21"/>
        </w:rPr>
      </w:pPr>
      <w:r>
        <w:rPr/>
        <w:pict>
          <v:shape style="position:absolute;margin-left:313.799988pt;margin-top:2.871515pt;width:3.5pt;height:7.75pt;mso-position-horizontal-relative:page;mso-position-vertical-relative:paragraph;z-index:-25768"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9</w:t>
                  </w:r>
                </w:p>
              </w:txbxContent>
            </v:textbox>
            <w10:wrap type="none"/>
          </v:shape>
        </w:pict>
      </w:r>
      <w:r>
        <w:rPr>
          <w:w w:val="100"/>
          <w:sz w:val="21"/>
        </w:rPr>
        <w:t>（ⅲ）</w:t>
      </w:r>
      <w:r>
        <w:rPr>
          <w:spacing w:val="-3"/>
          <w:w w:val="100"/>
          <w:sz w:val="21"/>
        </w:rPr>
        <w:t>血小板绝对值</w:t>
      </w:r>
      <w:r>
        <w:rPr>
          <w:w w:val="100"/>
          <w:sz w:val="21"/>
        </w:rPr>
        <w:t>≤20×</w:t>
      </w:r>
      <w:r>
        <w:rPr>
          <w:rFonts w:ascii="Times New Roman" w:hAnsi="Times New Roman" w:eastAsia="Times New Roman"/>
          <w:w w:val="100"/>
          <w:sz w:val="21"/>
        </w:rPr>
        <w:t>10</w:t>
      </w:r>
      <w:r>
        <w:rPr>
          <w:rFonts w:ascii="Times New Roman" w:hAnsi="Times New Roman" w:eastAsia="Times New Roman"/>
          <w:w w:val="95"/>
          <w:sz w:val="2"/>
        </w:rPr>
        <w:t>P</w:t>
      </w:r>
      <w:r>
        <w:rPr>
          <w:rFonts w:ascii="Times New Roman" w:hAnsi="Times New Roman" w:eastAsia="Times New Roman"/>
          <w:sz w:val="2"/>
        </w:rPr>
        <w:t>             </w:t>
      </w:r>
      <w:r>
        <w:rPr>
          <w:rFonts w:ascii="Times New Roman" w:hAnsi="Times New Roman" w:eastAsia="Times New Roman"/>
          <w:spacing w:val="-2"/>
          <w:w w:val="95"/>
          <w:position w:val="1"/>
          <w:sz w:val="2"/>
        </w:rPr>
        <w:t>P</w:t>
      </w:r>
      <w:r>
        <w:rPr>
          <w:w w:val="100"/>
          <w:sz w:val="21"/>
        </w:rPr>
        <w:t>/L。</w:t>
      </w:r>
    </w:p>
    <w:p>
      <w:pPr>
        <w:pStyle w:val="BodyText"/>
        <w:spacing w:before="6"/>
        <w:ind w:left="0"/>
        <w:rPr>
          <w:sz w:val="25"/>
        </w:rPr>
      </w:pPr>
    </w:p>
    <w:p>
      <w:pPr>
        <w:pStyle w:val="BodyText"/>
        <w:spacing w:before="1"/>
      </w:pPr>
      <w:r>
        <w:rPr/>
        <w:t>（25）主动脉手术</w:t>
      </w:r>
    </w:p>
    <w:p>
      <w:pPr>
        <w:pStyle w:val="BodyText"/>
        <w:spacing w:line="273" w:lineRule="auto"/>
        <w:ind w:right="114"/>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7"/>
      </w:pPr>
      <w:r>
        <w:rPr/>
        <w:t>动脉内血管成形术不在保障范围内。</w:t>
      </w:r>
    </w:p>
    <w:p>
      <w:pPr>
        <w:pStyle w:val="BodyText"/>
        <w:spacing w:before="8"/>
        <w:ind w:left="0"/>
        <w:rPr>
          <w:sz w:val="26"/>
        </w:rPr>
      </w:pPr>
    </w:p>
    <w:p>
      <w:pPr>
        <w:pStyle w:val="BodyText"/>
        <w:spacing w:line="273" w:lineRule="auto" w:before="1"/>
        <w:ind w:right="111"/>
      </w:pPr>
      <w:r>
        <w:rPr/>
        <w:t>以下重大疾病定义是我们在中国保险行业协会与中国医师协会共同制定的重大疾病保险的疾病种类范围以外增加的重大疾病定义：</w:t>
      </w:r>
    </w:p>
    <w:p>
      <w:pPr>
        <w:pStyle w:val="BodyText"/>
        <w:spacing w:before="8"/>
      </w:pPr>
      <w:r>
        <w:rPr/>
        <w:t>（26）慢性呼吸功能衰竭</w:t>
      </w:r>
    </w:p>
    <w:p>
      <w:pPr>
        <w:pStyle w:val="BodyText"/>
        <w:spacing w:line="273" w:lineRule="auto"/>
        <w:ind w:right="114"/>
      </w:pPr>
      <w:r>
        <w:rPr/>
        <w:t>慢性肺部疾病导致永久不可逆性的慢性呼吸功能衰竭，必须由呼吸专科医师确认并符合下列所有条件：</w:t>
      </w:r>
    </w:p>
    <w:p>
      <w:pPr>
        <w:pStyle w:val="BodyText"/>
        <w:spacing w:before="8"/>
      </w:pPr>
      <w:r>
        <w:rPr/>
        <w:t>① 休息时出现呼吸困难；</w:t>
      </w:r>
    </w:p>
    <w:p>
      <w:pPr>
        <w:pStyle w:val="BodyText"/>
        <w:spacing w:before="36"/>
      </w:pPr>
      <w:r>
        <w:rPr>
          <w:spacing w:val="-1"/>
          <w:position w:val="1"/>
        </w:rPr>
        <w:t>② 动脉血氧分压 </w:t>
      </w:r>
      <w:r>
        <w:rPr>
          <w:position w:val="1"/>
        </w:rPr>
        <w:t>（PaO</w:t>
      </w:r>
      <w:r>
        <w:rPr>
          <w:spacing w:val="-51"/>
          <w:position w:val="1"/>
        </w:rPr>
        <w:t> </w:t>
      </w:r>
      <w:r>
        <w:rPr>
          <w:sz w:val="11"/>
        </w:rPr>
        <w:t>2</w:t>
      </w:r>
      <w:r>
        <w:rPr>
          <w:position w:val="1"/>
        </w:rPr>
        <w:t>）&lt; 50mmHg；</w:t>
      </w:r>
    </w:p>
    <w:p>
      <w:pPr>
        <w:pStyle w:val="BodyText"/>
        <w:spacing w:before="36"/>
      </w:pPr>
      <w:r>
        <w:rPr>
          <w:position w:val="1"/>
        </w:rPr>
        <w:t>③ 动脉血氧饱和度 （SaO </w:t>
      </w:r>
      <w:r>
        <w:rPr>
          <w:sz w:val="11"/>
        </w:rPr>
        <w:t>2</w:t>
      </w:r>
      <w:r>
        <w:rPr>
          <w:position w:val="1"/>
        </w:rPr>
        <w:t>）&lt; 80％；</w:t>
      </w:r>
    </w:p>
    <w:p>
      <w:pPr>
        <w:spacing w:after="0"/>
        <w:sectPr>
          <w:pgSz w:w="11910" w:h="16840"/>
          <w:pgMar w:header="0" w:footer="329" w:top="1200" w:bottom="600" w:left="1680" w:right="900"/>
        </w:sectPr>
      </w:pPr>
    </w:p>
    <w:p>
      <w:pPr>
        <w:pStyle w:val="BodyText"/>
        <w:spacing w:before="15"/>
      </w:pPr>
      <w:r>
        <w:rPr/>
        <w:t>④ 因缺氧必须接受持续的输氧治疗。</w:t>
      </w:r>
    </w:p>
    <w:p>
      <w:pPr>
        <w:pStyle w:val="BodyText"/>
        <w:spacing w:before="8"/>
        <w:ind w:left="0"/>
        <w:rPr>
          <w:sz w:val="26"/>
        </w:rPr>
      </w:pPr>
    </w:p>
    <w:p>
      <w:pPr>
        <w:pStyle w:val="BodyText"/>
        <w:spacing w:before="1"/>
      </w:pPr>
      <w:r>
        <w:rPr/>
        <w:t>（27）严重多发性硬化</w:t>
      </w:r>
    </w:p>
    <w:p>
      <w:pPr>
        <w:pStyle w:val="BodyText"/>
        <w:spacing w:line="273" w:lineRule="auto"/>
        <w:ind w:right="113"/>
        <w:jc w:val="both"/>
      </w:pP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pPr>
      <w:r>
        <w:rPr/>
        <w:t>① 移动：自己从一个房间移动到另一个房间；或者</w:t>
      </w:r>
    </w:p>
    <w:p>
      <w:pPr>
        <w:pStyle w:val="BodyText"/>
        <w:spacing w:before="36"/>
      </w:pPr>
      <w:r>
        <w:rPr/>
        <w:t>② 进食：自己从已准备好的碗或碟中取食物放入口中。</w:t>
      </w:r>
    </w:p>
    <w:p>
      <w:pPr>
        <w:pStyle w:val="BodyText"/>
        <w:spacing w:before="8"/>
        <w:ind w:left="0"/>
        <w:rPr>
          <w:sz w:val="26"/>
        </w:rPr>
      </w:pPr>
    </w:p>
    <w:p>
      <w:pPr>
        <w:pStyle w:val="BodyText"/>
        <w:spacing w:before="0"/>
      </w:pPr>
      <w:r>
        <w:rPr/>
        <w:t>（28）严重冠心病</w:t>
      </w:r>
    </w:p>
    <w:p>
      <w:pPr>
        <w:pStyle w:val="BodyText"/>
        <w:spacing w:line="273" w:lineRule="auto" w:before="36"/>
        <w:ind w:right="107"/>
        <w:jc w:val="both"/>
      </w:pPr>
      <w:r>
        <w:rPr>
          <w:spacing w:val="-5"/>
        </w:rPr>
        <w:t>指经心脏科专科医师根据冠状动脉造影检查结果确诊的三支主要血管</w:t>
      </w:r>
      <w:r>
        <w:rPr/>
        <w:t>（</w:t>
      </w:r>
      <w:r>
        <w:rPr>
          <w:spacing w:val="-2"/>
        </w:rPr>
        <w:t>左冠状动</w:t>
      </w:r>
      <w:r>
        <w:rPr>
          <w:spacing w:val="-5"/>
        </w:rPr>
        <w:t>脉主干和右冠状动脉，或前降支、左旋支和右冠状动脉</w:t>
      </w:r>
      <w:r>
        <w:rPr/>
        <w:t>）</w:t>
      </w:r>
      <w:r>
        <w:rPr>
          <w:spacing w:val="-1"/>
        </w:rPr>
        <w:t>严重狭窄性病变</w:t>
      </w:r>
      <w:r>
        <w:rPr/>
        <w:t>（</w:t>
      </w:r>
      <w:r>
        <w:rPr>
          <w:spacing w:val="-3"/>
        </w:rPr>
        <w:t>至少</w:t>
      </w:r>
      <w:r>
        <w:rPr>
          <w:spacing w:val="-8"/>
        </w:rPr>
        <w:t>一支血管管腔直径减少 </w:t>
      </w:r>
      <w:r>
        <w:rPr/>
        <w:t>75</w:t>
      </w:r>
      <w:r>
        <w:rPr>
          <w:spacing w:val="-5"/>
        </w:rPr>
        <w:t>％以上和其他两支血管管腔直径减少 </w:t>
      </w:r>
      <w:r>
        <w:rPr/>
        <w:t>60％以上</w:t>
      </w:r>
      <w:r>
        <w:rPr>
          <w:spacing w:val="-111"/>
        </w:rPr>
        <w:t>）</w:t>
      </w:r>
      <w:r>
        <w:rPr/>
        <w:t>。前降</w:t>
      </w:r>
      <w:r>
        <w:rPr>
          <w:spacing w:val="-5"/>
        </w:rPr>
        <w:t>支、左旋支及右冠状动脉的分支血管的狭窄不作为本保障的衡量指标。</w:t>
      </w:r>
    </w:p>
    <w:p>
      <w:pPr>
        <w:pStyle w:val="BodyText"/>
        <w:spacing w:before="5"/>
        <w:ind w:left="0"/>
        <w:rPr>
          <w:sz w:val="24"/>
        </w:rPr>
      </w:pPr>
    </w:p>
    <w:p>
      <w:pPr>
        <w:pStyle w:val="BodyText"/>
        <w:spacing w:before="0"/>
      </w:pPr>
      <w:r>
        <w:rPr/>
        <w:t>（29）严重心肌病</w:t>
      </w:r>
    </w:p>
    <w:p>
      <w:pPr>
        <w:pStyle w:val="BodyText"/>
        <w:spacing w:line="273" w:lineRule="auto" w:before="36"/>
        <w:ind w:right="111"/>
        <w:jc w:val="both"/>
      </w:pPr>
      <w:r>
        <w:rPr/>
        <w:t>指被保人因心肌病导致慢性心功能损害造成永久不可逆性的心功能衰竭。心功能衰竭程度达到纽约心脏病学会的心功能分级标准之心功能Ⅳ级。被保险人永久不可逆性的体力活动能力受限，不能从事任何体力活动。</w:t>
      </w:r>
    </w:p>
    <w:p>
      <w:pPr>
        <w:pStyle w:val="BodyText"/>
        <w:spacing w:before="5"/>
        <w:ind w:left="0"/>
        <w:rPr>
          <w:sz w:val="24"/>
        </w:rPr>
      </w:pPr>
    </w:p>
    <w:p>
      <w:pPr>
        <w:pStyle w:val="BodyText"/>
        <w:spacing w:before="0"/>
      </w:pPr>
      <w:r>
        <w:rPr/>
        <w:t>（30）系统性红斑狼疮 － Ⅲ型或Ⅲ型以上狼疮性肾炎</w:t>
      </w:r>
    </w:p>
    <w:p>
      <w:pPr>
        <w:pStyle w:val="BodyText"/>
        <w:spacing w:line="273" w:lineRule="auto" w:before="36"/>
        <w:ind w:right="119"/>
      </w:pPr>
      <w:r>
        <w:rPr/>
        <w:t>系统性红斑狼疮是由多种因素引起，累及多系统的自身免疫性疾病。其特点是生成自身抗体对抗多种自身抗原。多见于育龄妇女。</w:t>
      </w:r>
    </w:p>
    <w:p>
      <w:pPr>
        <w:pStyle w:val="BodyText"/>
        <w:spacing w:line="273" w:lineRule="auto" w:before="7"/>
        <w:ind w:right="116"/>
        <w:jc w:val="both"/>
      </w:pPr>
      <w:r>
        <w:rPr>
          <w:spacing w:val="-4"/>
        </w:rPr>
        <w:t>本保单所指的系统性红斑狼疮仅限于累及肾脏</w:t>
      </w:r>
      <w:r>
        <w:rPr>
          <w:spacing w:val="-5"/>
        </w:rPr>
        <w:t>（</w:t>
      </w:r>
      <w:r>
        <w:rPr>
          <w:spacing w:val="-6"/>
        </w:rPr>
        <w:t>经肾脏活检确认的，符合 </w:t>
      </w:r>
      <w:r>
        <w:rPr/>
        <w:t>WHO</w:t>
      </w:r>
      <w:r>
        <w:rPr>
          <w:spacing w:val="-18"/>
        </w:rPr>
        <w:t> 诊</w:t>
      </w:r>
      <w:r>
        <w:rPr>
          <w:spacing w:val="-10"/>
        </w:rPr>
        <w:t>断标准定义Ⅲ型或Ⅲ型以上狼疮性肾炎</w:t>
      </w:r>
      <w:r>
        <w:rPr/>
        <w:t>）</w:t>
      </w:r>
      <w:r>
        <w:rPr>
          <w:spacing w:val="-5"/>
        </w:rPr>
        <w:t>的系统性红斑狼疮。其他类型的红斑性狼疮，如盘状狼疮、仅累及血液及关节的狼疮不在本保单保障范围內。</w:t>
      </w:r>
    </w:p>
    <w:p>
      <w:pPr>
        <w:pStyle w:val="BodyText"/>
        <w:spacing w:before="7"/>
        <w:jc w:val="both"/>
      </w:pPr>
      <w:r>
        <w:rPr/>
        <w:t>本病必须由免疫和风湿科专家医师确诊。</w:t>
      </w:r>
    </w:p>
    <w:p>
      <w:pPr>
        <w:pStyle w:val="BodyText"/>
        <w:spacing w:before="8"/>
        <w:ind w:left="0"/>
        <w:rPr>
          <w:sz w:val="26"/>
        </w:rPr>
      </w:pPr>
    </w:p>
    <w:p>
      <w:pPr>
        <w:pStyle w:val="BodyText"/>
        <w:spacing w:before="0"/>
        <w:jc w:val="both"/>
      </w:pPr>
      <w:r>
        <w:rPr>
          <w:rFonts w:ascii="Times New Roman" w:eastAsia="Times New Roman"/>
          <w:spacing w:val="-53"/>
          <w:w w:val="100"/>
          <w:u w:val="single"/>
        </w:rPr>
        <w:t> </w:t>
      </w:r>
      <w:r>
        <w:rPr>
          <w:spacing w:val="-2"/>
          <w:u w:val="single"/>
        </w:rPr>
        <w:t>世界卫生组织</w:t>
      </w:r>
      <w:r>
        <w:rPr>
          <w:u w:val="single"/>
        </w:rPr>
        <w:t>（WHO）</w:t>
      </w:r>
      <w:r>
        <w:rPr>
          <w:spacing w:val="-2"/>
          <w:u w:val="single"/>
        </w:rPr>
        <w:t>狼疮性肾炎分型：</w:t>
      </w:r>
    </w:p>
    <w:p>
      <w:pPr>
        <w:pStyle w:val="BodyText"/>
        <w:spacing w:before="8" w:after="1"/>
        <w:ind w:left="0"/>
        <w:rPr>
          <w:sz w:val="7"/>
        </w:rPr>
      </w:pPr>
    </w:p>
    <w:tbl>
      <w:tblPr>
        <w:tblW w:w="0" w:type="auto"/>
        <w:jc w:val="left"/>
        <w:tblInd w:w="1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9"/>
        <w:gridCol w:w="2641"/>
      </w:tblGrid>
      <w:tr>
        <w:trPr>
          <w:trHeight w:val="261" w:hRule="atLeast"/>
        </w:trPr>
        <w:tc>
          <w:tcPr>
            <w:tcW w:w="1379" w:type="dxa"/>
          </w:tcPr>
          <w:p>
            <w:pPr>
              <w:pStyle w:val="TableParagraph"/>
              <w:spacing w:line="211" w:lineRule="exact"/>
              <w:ind w:left="200"/>
              <w:rPr>
                <w:sz w:val="21"/>
              </w:rPr>
            </w:pPr>
            <w:r>
              <w:rPr>
                <w:sz w:val="21"/>
              </w:rPr>
              <w:t>Ⅰ型</w:t>
            </w:r>
          </w:p>
        </w:tc>
        <w:tc>
          <w:tcPr>
            <w:tcW w:w="2641" w:type="dxa"/>
          </w:tcPr>
          <w:p>
            <w:pPr>
              <w:pStyle w:val="TableParagraph"/>
              <w:spacing w:line="211" w:lineRule="exact"/>
              <w:ind w:left="756"/>
              <w:rPr>
                <w:sz w:val="21"/>
              </w:rPr>
            </w:pPr>
            <w:r>
              <w:rPr>
                <w:sz w:val="21"/>
              </w:rPr>
              <w:t>微小病变型</w:t>
            </w:r>
          </w:p>
        </w:tc>
      </w:tr>
      <w:tr>
        <w:trPr>
          <w:trHeight w:val="312" w:hRule="atLeast"/>
        </w:trPr>
        <w:tc>
          <w:tcPr>
            <w:tcW w:w="1379" w:type="dxa"/>
          </w:tcPr>
          <w:p>
            <w:pPr>
              <w:pStyle w:val="TableParagraph"/>
              <w:spacing w:line="261" w:lineRule="exact"/>
              <w:ind w:left="200"/>
              <w:rPr>
                <w:sz w:val="21"/>
              </w:rPr>
            </w:pPr>
            <w:r>
              <w:rPr>
                <w:sz w:val="21"/>
              </w:rPr>
              <w:t>Ⅱ型</w:t>
            </w:r>
          </w:p>
        </w:tc>
        <w:tc>
          <w:tcPr>
            <w:tcW w:w="2641" w:type="dxa"/>
          </w:tcPr>
          <w:p>
            <w:pPr>
              <w:pStyle w:val="TableParagraph"/>
              <w:spacing w:line="261" w:lineRule="exact"/>
              <w:ind w:left="756"/>
              <w:rPr>
                <w:sz w:val="21"/>
              </w:rPr>
            </w:pPr>
            <w:r>
              <w:rPr>
                <w:sz w:val="21"/>
              </w:rPr>
              <w:t>系膜病变型</w:t>
            </w:r>
          </w:p>
        </w:tc>
      </w:tr>
      <w:tr>
        <w:trPr>
          <w:trHeight w:val="312" w:hRule="atLeast"/>
        </w:trPr>
        <w:tc>
          <w:tcPr>
            <w:tcW w:w="1379" w:type="dxa"/>
          </w:tcPr>
          <w:p>
            <w:pPr>
              <w:pStyle w:val="TableParagraph"/>
              <w:spacing w:line="262" w:lineRule="exact"/>
              <w:ind w:left="200"/>
              <w:rPr>
                <w:sz w:val="21"/>
              </w:rPr>
            </w:pPr>
            <w:r>
              <w:rPr>
                <w:sz w:val="21"/>
              </w:rPr>
              <w:t>Ⅲ型</w:t>
            </w:r>
          </w:p>
        </w:tc>
        <w:tc>
          <w:tcPr>
            <w:tcW w:w="2641" w:type="dxa"/>
          </w:tcPr>
          <w:p>
            <w:pPr>
              <w:pStyle w:val="TableParagraph"/>
              <w:spacing w:line="262" w:lineRule="exact"/>
              <w:ind w:left="756"/>
              <w:rPr>
                <w:sz w:val="21"/>
              </w:rPr>
            </w:pPr>
            <w:r>
              <w:rPr>
                <w:sz w:val="21"/>
              </w:rPr>
              <w:t>局灶及节段增生型</w:t>
            </w:r>
          </w:p>
        </w:tc>
      </w:tr>
      <w:tr>
        <w:trPr>
          <w:trHeight w:val="312" w:hRule="atLeast"/>
        </w:trPr>
        <w:tc>
          <w:tcPr>
            <w:tcW w:w="1379" w:type="dxa"/>
          </w:tcPr>
          <w:p>
            <w:pPr>
              <w:pStyle w:val="TableParagraph"/>
              <w:spacing w:line="261" w:lineRule="exact"/>
              <w:ind w:left="200"/>
              <w:rPr>
                <w:sz w:val="21"/>
              </w:rPr>
            </w:pPr>
            <w:r>
              <w:rPr>
                <w:sz w:val="21"/>
              </w:rPr>
              <w:t>Ⅳ型</w:t>
            </w:r>
          </w:p>
        </w:tc>
        <w:tc>
          <w:tcPr>
            <w:tcW w:w="2641" w:type="dxa"/>
          </w:tcPr>
          <w:p>
            <w:pPr>
              <w:pStyle w:val="TableParagraph"/>
              <w:spacing w:line="261" w:lineRule="exact"/>
              <w:ind w:left="756"/>
              <w:rPr>
                <w:sz w:val="21"/>
              </w:rPr>
            </w:pPr>
            <w:r>
              <w:rPr>
                <w:sz w:val="21"/>
              </w:rPr>
              <w:t>弥漫增生型</w:t>
            </w:r>
          </w:p>
        </w:tc>
      </w:tr>
      <w:tr>
        <w:trPr>
          <w:trHeight w:val="312" w:hRule="atLeast"/>
        </w:trPr>
        <w:tc>
          <w:tcPr>
            <w:tcW w:w="1379" w:type="dxa"/>
          </w:tcPr>
          <w:p>
            <w:pPr>
              <w:pStyle w:val="TableParagraph"/>
              <w:spacing w:line="261" w:lineRule="exact"/>
              <w:ind w:left="200"/>
              <w:rPr>
                <w:sz w:val="21"/>
              </w:rPr>
            </w:pPr>
            <w:r>
              <w:rPr>
                <w:sz w:val="21"/>
              </w:rPr>
              <w:t>Ⅴ型</w:t>
            </w:r>
          </w:p>
        </w:tc>
        <w:tc>
          <w:tcPr>
            <w:tcW w:w="2641" w:type="dxa"/>
          </w:tcPr>
          <w:p>
            <w:pPr>
              <w:pStyle w:val="TableParagraph"/>
              <w:spacing w:line="261" w:lineRule="exact"/>
              <w:ind w:left="756"/>
              <w:rPr>
                <w:sz w:val="21"/>
              </w:rPr>
            </w:pPr>
            <w:r>
              <w:rPr>
                <w:sz w:val="21"/>
              </w:rPr>
              <w:t>膜型</w:t>
            </w:r>
          </w:p>
        </w:tc>
      </w:tr>
      <w:tr>
        <w:trPr>
          <w:trHeight w:val="261" w:hRule="atLeast"/>
        </w:trPr>
        <w:tc>
          <w:tcPr>
            <w:tcW w:w="1379" w:type="dxa"/>
          </w:tcPr>
          <w:p>
            <w:pPr>
              <w:pStyle w:val="TableParagraph"/>
              <w:spacing w:line="242" w:lineRule="exact"/>
              <w:ind w:left="200"/>
              <w:rPr>
                <w:sz w:val="21"/>
              </w:rPr>
            </w:pPr>
            <w:r>
              <w:rPr>
                <w:sz w:val="21"/>
              </w:rPr>
              <w:t>Ⅵ型</w:t>
            </w:r>
          </w:p>
        </w:tc>
        <w:tc>
          <w:tcPr>
            <w:tcW w:w="2641" w:type="dxa"/>
          </w:tcPr>
          <w:p>
            <w:pPr>
              <w:pStyle w:val="TableParagraph"/>
              <w:spacing w:line="242" w:lineRule="exact"/>
              <w:ind w:left="756"/>
              <w:rPr>
                <w:sz w:val="21"/>
              </w:rPr>
            </w:pPr>
            <w:r>
              <w:rPr>
                <w:sz w:val="21"/>
              </w:rPr>
              <w:t>肾小球硬化型</w:t>
            </w:r>
          </w:p>
        </w:tc>
      </w:tr>
    </w:tbl>
    <w:p>
      <w:pPr>
        <w:pStyle w:val="BodyText"/>
        <w:spacing w:before="9"/>
        <w:ind w:left="0"/>
        <w:rPr>
          <w:sz w:val="26"/>
        </w:rPr>
      </w:pPr>
    </w:p>
    <w:p>
      <w:pPr>
        <w:pStyle w:val="BodyText"/>
        <w:spacing w:before="0"/>
        <w:jc w:val="both"/>
      </w:pPr>
      <w:r>
        <w:rPr/>
        <w:t>（31）经输血导致的人类免疫缺陷病毒感染</w:t>
      </w:r>
    </w:p>
    <w:p>
      <w:pPr>
        <w:pStyle w:val="BodyText"/>
        <w:jc w:val="both"/>
      </w:pPr>
      <w:r>
        <w:rPr/>
        <w:t>被保险人感染上人类免疫缺陷病毒（HIV）并且满足下列全部条件：</w:t>
      </w:r>
    </w:p>
    <w:p>
      <w:pPr>
        <w:pStyle w:val="BodyText"/>
        <w:jc w:val="both"/>
      </w:pPr>
      <w:r>
        <w:rPr/>
        <w:t>① 在保障起始日或复效日之后，被保险人因输血而感染 HIV；</w:t>
      </w:r>
    </w:p>
    <w:p>
      <w:pPr>
        <w:pStyle w:val="BodyText"/>
        <w:spacing w:line="273" w:lineRule="auto"/>
        <w:ind w:left="2161" w:right="109" w:hanging="312"/>
      </w:pPr>
      <w:r>
        <w:rPr/>
        <w:t>② 提供输血治疗的输血中心或医疗机构出具该项输血感染属医疗责任事故的报告，或者法院终审裁定为医疗责任并且不准上诉；</w:t>
      </w:r>
    </w:p>
    <w:p>
      <w:pPr>
        <w:pStyle w:val="BodyText"/>
        <w:spacing w:before="7"/>
      </w:pPr>
      <w:r>
        <w:rPr/>
        <w:t>③ 受感染的被保险人不是血友病患者。</w:t>
      </w:r>
    </w:p>
    <w:p>
      <w:pPr>
        <w:pStyle w:val="BodyText"/>
        <w:spacing w:line="273" w:lineRule="auto"/>
        <w:ind w:right="111"/>
      </w:pPr>
      <w:r>
        <w:rPr>
          <w:spacing w:val="-12"/>
          <w:w w:val="100"/>
        </w:rPr>
        <w:t>在任何治愈艾滋病</w:t>
      </w:r>
      <w:r>
        <w:rPr>
          <w:w w:val="100"/>
        </w:rPr>
        <w:t>（AIDS</w:t>
      </w:r>
      <w:r>
        <w:rPr>
          <w:spacing w:val="-92"/>
          <w:w w:val="100"/>
        </w:rPr>
        <w:t>）</w:t>
      </w:r>
      <w:r>
        <w:rPr>
          <w:w w:val="100"/>
        </w:rPr>
        <w:t>或阻止</w:t>
      </w:r>
      <w:r>
        <w:rPr>
          <w:spacing w:val="-53"/>
        </w:rPr>
        <w:t> </w:t>
      </w:r>
      <w:r>
        <w:rPr>
          <w:spacing w:val="-5"/>
          <w:w w:val="100"/>
        </w:rPr>
        <w:t>H</w:t>
      </w:r>
      <w:r>
        <w:rPr>
          <w:w w:val="100"/>
        </w:rPr>
        <w:t>IV</w:t>
      </w:r>
      <w:r>
        <w:rPr>
          <w:spacing w:val="-52"/>
        </w:rPr>
        <w:t> </w:t>
      </w:r>
      <w:r>
        <w:rPr>
          <w:spacing w:val="-11"/>
          <w:w w:val="100"/>
        </w:rPr>
        <w:t>病毒作用的疗法被发现以后，或能防止</w:t>
      </w:r>
      <w:r>
        <w:rPr>
          <w:spacing w:val="-11"/>
        </w:rPr>
        <w:t> </w:t>
      </w:r>
      <w:r>
        <w:rPr>
          <w:spacing w:val="-5"/>
          <w:w w:val="100"/>
        </w:rPr>
        <w:t>A</w:t>
      </w:r>
      <w:r>
        <w:rPr>
          <w:w w:val="100"/>
        </w:rPr>
        <w:t>IDS</w:t>
      </w:r>
      <w:r>
        <w:rPr>
          <w:spacing w:val="-5"/>
        </w:rPr>
        <w:t>发生的医疗方法被研究出来以后，本保障将不再予以赔付。</w:t>
      </w:r>
    </w:p>
    <w:p>
      <w:pPr>
        <w:pStyle w:val="BodyText"/>
        <w:spacing w:before="7"/>
        <w:jc w:val="both"/>
      </w:pPr>
      <w:r>
        <w:rPr/>
        <w:t>任何因其他传播方式（包括：性传播或静脉注射毒品）导致的 HIV 感染不在本保</w:t>
      </w:r>
    </w:p>
    <w:p>
      <w:pPr>
        <w:spacing w:after="0"/>
        <w:jc w:val="both"/>
        <w:sectPr>
          <w:pgSz w:w="11910" w:h="16840"/>
          <w:pgMar w:header="0" w:footer="329" w:top="1200" w:bottom="600" w:left="1680" w:right="900"/>
        </w:sectPr>
      </w:pPr>
    </w:p>
    <w:p>
      <w:pPr>
        <w:pStyle w:val="BodyText"/>
        <w:spacing w:line="273" w:lineRule="auto" w:before="15"/>
        <w:ind w:right="214"/>
      </w:pPr>
      <w:r>
        <w:rPr/>
        <w:t>单保障范围内。保险公司必须拥有获得使用被保险人的所有血液样本的权利和能够对这些样本进行独立检验的权利。</w:t>
      </w:r>
    </w:p>
    <w:p>
      <w:pPr>
        <w:pStyle w:val="BodyText"/>
        <w:spacing w:before="5"/>
        <w:ind w:left="0"/>
        <w:rPr>
          <w:sz w:val="24"/>
        </w:rPr>
      </w:pPr>
    </w:p>
    <w:p>
      <w:pPr>
        <w:pStyle w:val="BodyText"/>
        <w:spacing w:before="0"/>
      </w:pPr>
      <w:r>
        <w:rPr/>
        <w:t>（32）因职业关系导致的人类免疫缺陷病毒（HIV）感染</w:t>
      </w:r>
    </w:p>
    <w:p>
      <w:pPr>
        <w:pStyle w:val="BodyText"/>
        <w:spacing w:line="273" w:lineRule="auto"/>
        <w:ind w:right="219"/>
      </w:pPr>
      <w:r>
        <w:rPr/>
        <w:t>被保险人在其常规职业工作过程中遭遇外伤，或者职业需要处理血液或者其他体液时感染上人类免疫缺陷病毒（HIV）。</w:t>
      </w:r>
    </w:p>
    <w:p>
      <w:pPr>
        <w:pStyle w:val="BodyText"/>
        <w:spacing w:before="7"/>
      </w:pPr>
      <w:r>
        <w:rPr/>
        <w:t>必须满足下列全部条件：</w:t>
      </w:r>
    </w:p>
    <w:p>
      <w:pPr>
        <w:pStyle w:val="BodyText"/>
        <w:spacing w:line="266" w:lineRule="auto" w:before="29"/>
        <w:ind w:left="2161" w:right="315" w:hanging="312"/>
      </w:pPr>
      <w:r>
        <w:rPr>
          <w:sz w:val="22"/>
        </w:rPr>
        <w:t>① </w:t>
      </w:r>
      <w:r>
        <w:rPr/>
        <w:t>感染必须是在被保险人正在从事其职业工作中发生，该职业必须属于以下列表内的职业；</w:t>
      </w:r>
    </w:p>
    <w:p>
      <w:pPr>
        <w:pStyle w:val="BodyText"/>
        <w:spacing w:before="7"/>
      </w:pPr>
      <w:r>
        <w:rPr>
          <w:sz w:val="22"/>
        </w:rPr>
        <w:t>② </w:t>
      </w:r>
      <w:r>
        <w:rPr/>
        <w:t>血清转化必须出现在事故发生后的 6 个月以内；</w:t>
      </w:r>
    </w:p>
    <w:p>
      <w:pPr>
        <w:pStyle w:val="BodyText"/>
        <w:spacing w:line="266" w:lineRule="auto" w:before="24"/>
        <w:ind w:left="2161" w:right="313" w:hanging="312"/>
      </w:pPr>
      <w:r>
        <w:rPr>
          <w:spacing w:val="5"/>
          <w:sz w:val="22"/>
        </w:rPr>
        <w:t>③ </w:t>
      </w:r>
      <w:r>
        <w:rPr>
          <w:spacing w:val="-8"/>
        </w:rPr>
        <w:t>必须提供被保险人在所报事故发生后的 </w:t>
      </w:r>
      <w:r>
        <w:rPr/>
        <w:t>5</w:t>
      </w:r>
      <w:r>
        <w:rPr>
          <w:spacing w:val="-8"/>
        </w:rPr>
        <w:t> 天以内进行的检查报告，该报告必</w:t>
      </w:r>
      <w:r>
        <w:rPr>
          <w:spacing w:val="-11"/>
        </w:rPr>
        <w:t>须显示被保险人血液 </w:t>
      </w:r>
      <w:r>
        <w:rPr/>
        <w:t>HIV</w:t>
      </w:r>
      <w:r>
        <w:rPr>
          <w:spacing w:val="-10"/>
        </w:rPr>
        <w:t> 病毒阴性和</w:t>
      </w:r>
      <w:r>
        <w:rPr>
          <w:spacing w:val="-5"/>
        </w:rPr>
        <w:t>/</w:t>
      </w:r>
      <w:r>
        <w:rPr>
          <w:spacing w:val="-23"/>
        </w:rPr>
        <w:t>或 </w:t>
      </w:r>
      <w:r>
        <w:rPr/>
        <w:t>HIV</w:t>
      </w:r>
      <w:r>
        <w:rPr>
          <w:spacing w:val="-10"/>
        </w:rPr>
        <w:t> 抗体阴性；</w:t>
      </w:r>
    </w:p>
    <w:p>
      <w:pPr>
        <w:pStyle w:val="BodyText"/>
        <w:spacing w:line="266" w:lineRule="auto" w:before="7"/>
        <w:ind w:left="2281" w:right="101" w:hanging="432"/>
      </w:pPr>
      <w:r>
        <w:rPr>
          <w:spacing w:val="5"/>
          <w:sz w:val="22"/>
        </w:rPr>
        <w:t>④ </w:t>
      </w:r>
      <w:r>
        <w:rPr>
          <w:spacing w:val="0"/>
        </w:rPr>
        <w:t>必须在事故发生后的</w:t>
      </w:r>
      <w:r>
        <w:rPr/>
        <w:t>12</w:t>
      </w:r>
      <w:r>
        <w:rPr>
          <w:spacing w:val="-7"/>
        </w:rPr>
        <w:t> 个月内证实被保险人体内存在</w:t>
      </w:r>
      <w:r>
        <w:rPr/>
        <w:t>HIV</w:t>
      </w:r>
      <w:r>
        <w:rPr>
          <w:spacing w:val="-8"/>
        </w:rPr>
        <w:t> 病毒或者</w:t>
      </w:r>
      <w:r>
        <w:rPr/>
        <w:t>HIV</w:t>
      </w:r>
      <w:r>
        <w:rPr>
          <w:spacing w:val="-18"/>
        </w:rPr>
        <w:t> 抗体。</w:t>
      </w:r>
      <w:r>
        <w:rPr>
          <w:spacing w:val="-10"/>
        </w:rPr>
        <w:t>职业限制如下所示:</w:t>
      </w:r>
    </w:p>
    <w:p>
      <w:pPr>
        <w:pStyle w:val="BodyText"/>
        <w:spacing w:before="12"/>
        <w:ind w:left="0"/>
        <w:rPr>
          <w:sz w:val="5"/>
        </w:rPr>
      </w:pPr>
    </w:p>
    <w:tbl>
      <w:tblPr>
        <w:tblW w:w="0" w:type="auto"/>
        <w:jc w:val="left"/>
        <w:tblInd w:w="2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9"/>
        <w:gridCol w:w="2567"/>
      </w:tblGrid>
      <w:tr>
        <w:trPr>
          <w:trHeight w:val="261" w:hRule="atLeast"/>
        </w:trPr>
        <w:tc>
          <w:tcPr>
            <w:tcW w:w="2989" w:type="dxa"/>
          </w:tcPr>
          <w:p>
            <w:pPr>
              <w:pStyle w:val="TableParagraph"/>
              <w:spacing w:line="211" w:lineRule="exact"/>
              <w:ind w:left="200"/>
              <w:rPr>
                <w:sz w:val="21"/>
              </w:rPr>
            </w:pPr>
            <w:r>
              <w:rPr>
                <w:sz w:val="21"/>
              </w:rPr>
              <w:t>医生和牙科医生</w:t>
            </w:r>
          </w:p>
        </w:tc>
        <w:tc>
          <w:tcPr>
            <w:tcW w:w="2567" w:type="dxa"/>
          </w:tcPr>
          <w:p>
            <w:pPr>
              <w:pStyle w:val="TableParagraph"/>
              <w:spacing w:line="211" w:lineRule="exact"/>
              <w:ind w:left="893"/>
              <w:rPr>
                <w:sz w:val="21"/>
              </w:rPr>
            </w:pPr>
            <w:r>
              <w:rPr>
                <w:sz w:val="21"/>
              </w:rPr>
              <w:t>护士</w:t>
            </w:r>
          </w:p>
        </w:tc>
      </w:tr>
      <w:tr>
        <w:trPr>
          <w:trHeight w:val="312" w:hRule="atLeast"/>
        </w:trPr>
        <w:tc>
          <w:tcPr>
            <w:tcW w:w="2989" w:type="dxa"/>
          </w:tcPr>
          <w:p>
            <w:pPr>
              <w:pStyle w:val="TableParagraph"/>
              <w:spacing w:line="262" w:lineRule="exact"/>
              <w:ind w:left="200"/>
              <w:rPr>
                <w:sz w:val="21"/>
              </w:rPr>
            </w:pPr>
            <w:r>
              <w:rPr>
                <w:sz w:val="21"/>
              </w:rPr>
              <w:t>实验室工作人员</w:t>
            </w:r>
          </w:p>
        </w:tc>
        <w:tc>
          <w:tcPr>
            <w:tcW w:w="2567" w:type="dxa"/>
          </w:tcPr>
          <w:p>
            <w:pPr>
              <w:pStyle w:val="TableParagraph"/>
              <w:spacing w:line="262" w:lineRule="exact"/>
              <w:ind w:left="893"/>
              <w:rPr>
                <w:sz w:val="21"/>
              </w:rPr>
            </w:pPr>
            <w:r>
              <w:rPr>
                <w:sz w:val="21"/>
              </w:rPr>
              <w:t>医院护工</w:t>
            </w:r>
          </w:p>
        </w:tc>
      </w:tr>
      <w:tr>
        <w:trPr>
          <w:trHeight w:val="312" w:hRule="atLeast"/>
        </w:trPr>
        <w:tc>
          <w:tcPr>
            <w:tcW w:w="2989" w:type="dxa"/>
          </w:tcPr>
          <w:p>
            <w:pPr>
              <w:pStyle w:val="TableParagraph"/>
              <w:spacing w:line="261" w:lineRule="exact"/>
              <w:ind w:left="200"/>
              <w:rPr>
                <w:sz w:val="21"/>
              </w:rPr>
            </w:pPr>
            <w:r>
              <w:rPr>
                <w:sz w:val="21"/>
              </w:rPr>
              <w:t>医生助理和牙医助理</w:t>
            </w:r>
          </w:p>
        </w:tc>
        <w:tc>
          <w:tcPr>
            <w:tcW w:w="2567" w:type="dxa"/>
          </w:tcPr>
          <w:p>
            <w:pPr>
              <w:pStyle w:val="TableParagraph"/>
              <w:spacing w:line="261" w:lineRule="exact"/>
              <w:ind w:left="893"/>
              <w:rPr>
                <w:sz w:val="21"/>
              </w:rPr>
            </w:pPr>
            <w:r>
              <w:rPr>
                <w:sz w:val="21"/>
              </w:rPr>
              <w:t>救护车工作人员</w:t>
            </w:r>
          </w:p>
        </w:tc>
      </w:tr>
      <w:tr>
        <w:trPr>
          <w:trHeight w:val="311" w:hRule="atLeast"/>
        </w:trPr>
        <w:tc>
          <w:tcPr>
            <w:tcW w:w="2989" w:type="dxa"/>
          </w:tcPr>
          <w:p>
            <w:pPr>
              <w:pStyle w:val="TableParagraph"/>
              <w:spacing w:line="261" w:lineRule="exact"/>
              <w:ind w:left="200"/>
              <w:rPr>
                <w:sz w:val="21"/>
              </w:rPr>
            </w:pPr>
            <w:r>
              <w:rPr>
                <w:sz w:val="21"/>
              </w:rPr>
              <w:t>助产士</w:t>
            </w:r>
          </w:p>
        </w:tc>
        <w:tc>
          <w:tcPr>
            <w:tcW w:w="2567" w:type="dxa"/>
          </w:tcPr>
          <w:p>
            <w:pPr>
              <w:pStyle w:val="TableParagraph"/>
              <w:spacing w:line="261" w:lineRule="exact"/>
              <w:ind w:left="893"/>
              <w:rPr>
                <w:sz w:val="21"/>
              </w:rPr>
            </w:pPr>
            <w:r>
              <w:rPr>
                <w:sz w:val="21"/>
              </w:rPr>
              <w:t>消防队员</w:t>
            </w:r>
          </w:p>
        </w:tc>
      </w:tr>
      <w:tr>
        <w:trPr>
          <w:trHeight w:val="261" w:hRule="atLeast"/>
        </w:trPr>
        <w:tc>
          <w:tcPr>
            <w:tcW w:w="2989" w:type="dxa"/>
          </w:tcPr>
          <w:p>
            <w:pPr>
              <w:pStyle w:val="TableParagraph"/>
              <w:spacing w:line="242" w:lineRule="exact"/>
              <w:ind w:left="200"/>
              <w:rPr>
                <w:sz w:val="21"/>
              </w:rPr>
            </w:pPr>
            <w:r>
              <w:rPr>
                <w:sz w:val="21"/>
              </w:rPr>
              <w:t>警察</w:t>
            </w:r>
          </w:p>
        </w:tc>
        <w:tc>
          <w:tcPr>
            <w:tcW w:w="2567" w:type="dxa"/>
          </w:tcPr>
          <w:p>
            <w:pPr>
              <w:pStyle w:val="TableParagraph"/>
              <w:spacing w:line="242" w:lineRule="exact"/>
              <w:ind w:left="893"/>
              <w:rPr>
                <w:sz w:val="21"/>
              </w:rPr>
            </w:pPr>
            <w:r>
              <w:rPr>
                <w:sz w:val="21"/>
              </w:rPr>
              <w:t>狱警</w:t>
            </w:r>
          </w:p>
        </w:tc>
      </w:tr>
    </w:tbl>
    <w:p>
      <w:pPr>
        <w:pStyle w:val="BodyText"/>
        <w:spacing w:before="9"/>
        <w:ind w:left="0"/>
        <w:rPr>
          <w:sz w:val="26"/>
        </w:rPr>
      </w:pPr>
    </w:p>
    <w:p>
      <w:pPr>
        <w:pStyle w:val="BodyText"/>
        <w:spacing w:before="0"/>
      </w:pPr>
      <w:r>
        <w:rPr/>
        <w:t>（33）脊髓灰质炎</w:t>
      </w:r>
    </w:p>
    <w:p>
      <w:pPr>
        <w:pStyle w:val="Heading2"/>
        <w:spacing w:line="259" w:lineRule="auto" w:before="29"/>
        <w:ind w:right="308"/>
        <w:jc w:val="both"/>
      </w:pPr>
      <w:r>
        <w:rPr>
          <w:spacing w:val="-5"/>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w:t>
      </w:r>
      <w:r>
        <w:rPr>
          <w:spacing w:val="-7"/>
        </w:rPr>
        <w:t>的情况予以理赔。肢体机能永久完全丧失，指疾病确诊 </w:t>
      </w:r>
      <w:r>
        <w:rPr/>
        <w:t>180</w:t>
      </w:r>
      <w:r>
        <w:rPr>
          <w:spacing w:val="-7"/>
        </w:rPr>
        <w:t> 天后，每肢三大关节中的两大关节仍然完全僵硬，或不能随意识活动。</w:t>
      </w:r>
    </w:p>
    <w:p>
      <w:pPr>
        <w:pStyle w:val="BodyText"/>
        <w:spacing w:before="3"/>
        <w:ind w:left="0"/>
        <w:rPr>
          <w:sz w:val="24"/>
        </w:rPr>
      </w:pPr>
    </w:p>
    <w:p>
      <w:pPr>
        <w:spacing w:before="0"/>
        <w:ind w:left="1849" w:right="0" w:firstLine="0"/>
        <w:jc w:val="left"/>
        <w:rPr>
          <w:sz w:val="22"/>
        </w:rPr>
      </w:pPr>
      <w:r>
        <w:rPr>
          <w:sz w:val="22"/>
        </w:rPr>
        <w:t>（34）终末期肺病</w:t>
      </w:r>
    </w:p>
    <w:p>
      <w:pPr>
        <w:spacing w:before="23"/>
        <w:ind w:left="1849" w:right="0" w:firstLine="0"/>
        <w:jc w:val="left"/>
        <w:rPr>
          <w:sz w:val="22"/>
        </w:rPr>
      </w:pPr>
      <w:r>
        <w:rPr>
          <w:sz w:val="22"/>
        </w:rPr>
        <w:t>经呼吸科专科医生明确诊断为终末期肺病，且须同时满足下列条件：</w:t>
      </w:r>
    </w:p>
    <w:p>
      <w:pPr>
        <w:spacing w:before="23"/>
        <w:ind w:left="1849" w:right="0" w:firstLine="0"/>
        <w:jc w:val="left"/>
        <w:rPr>
          <w:sz w:val="22"/>
        </w:rPr>
      </w:pPr>
      <w:r>
        <w:rPr>
          <w:sz w:val="22"/>
        </w:rPr>
        <w:t>① 肺功能测试其 FEVB1B 持续低于 0.75 升；</w:t>
      </w:r>
    </w:p>
    <w:p>
      <w:pPr>
        <w:spacing w:before="23"/>
        <w:ind w:left="1849" w:right="0" w:firstLine="0"/>
        <w:jc w:val="left"/>
        <w:rPr>
          <w:sz w:val="22"/>
        </w:rPr>
      </w:pPr>
      <w:r>
        <w:rPr>
          <w:sz w:val="22"/>
        </w:rPr>
        <w:t>② 病人缺氧必须广泛而持续地进行输氧治疗；</w:t>
      </w:r>
    </w:p>
    <w:p>
      <w:pPr>
        <w:spacing w:before="24"/>
        <w:ind w:left="1849" w:right="0" w:firstLine="0"/>
        <w:jc w:val="left"/>
        <w:rPr>
          <w:sz w:val="22"/>
        </w:rPr>
      </w:pPr>
      <w:r>
        <w:rPr>
          <w:sz w:val="22"/>
        </w:rPr>
        <w:t>③ 动脉血气分析氧分压低于 55mmHg；</w:t>
      </w:r>
    </w:p>
    <w:p>
      <w:pPr>
        <w:spacing w:before="23"/>
        <w:ind w:left="1849" w:right="0" w:firstLine="0"/>
        <w:jc w:val="left"/>
        <w:rPr>
          <w:sz w:val="22"/>
        </w:rPr>
      </w:pPr>
      <w:r>
        <w:rPr>
          <w:sz w:val="22"/>
        </w:rPr>
        <w:t>④ 出现慢性呼吸功能衰竭。</w:t>
      </w:r>
    </w:p>
    <w:p>
      <w:pPr>
        <w:spacing w:before="23"/>
        <w:ind w:left="1849" w:right="0" w:firstLine="0"/>
        <w:jc w:val="left"/>
        <w:rPr>
          <w:sz w:val="22"/>
        </w:rPr>
      </w:pPr>
      <w:r>
        <w:rPr>
          <w:sz w:val="22"/>
        </w:rPr>
        <w:t>因职业因素造成的肺部疾病不在保障范围内。</w:t>
      </w:r>
    </w:p>
    <w:p>
      <w:pPr>
        <w:pStyle w:val="BodyText"/>
        <w:spacing w:before="8"/>
        <w:ind w:left="0"/>
        <w:rPr>
          <w:sz w:val="25"/>
        </w:rPr>
      </w:pPr>
    </w:p>
    <w:p>
      <w:pPr>
        <w:spacing w:before="0"/>
        <w:ind w:left="1849" w:right="0" w:firstLine="0"/>
        <w:jc w:val="left"/>
        <w:rPr>
          <w:sz w:val="22"/>
        </w:rPr>
      </w:pPr>
      <w:r>
        <w:rPr>
          <w:sz w:val="22"/>
        </w:rPr>
        <w:t>（35）克隆病</w:t>
      </w:r>
    </w:p>
    <w:p>
      <w:pPr>
        <w:spacing w:before="24"/>
        <w:ind w:left="1849" w:right="0" w:firstLine="0"/>
        <w:jc w:val="left"/>
        <w:rPr>
          <w:sz w:val="22"/>
        </w:rPr>
      </w:pPr>
      <w:r>
        <w:rPr>
          <w:sz w:val="22"/>
        </w:rPr>
        <w:t>指一种肉芽肿性肠炎。且须满足下列所有条件：</w:t>
      </w:r>
    </w:p>
    <w:p>
      <w:pPr>
        <w:spacing w:before="24"/>
        <w:ind w:left="1849" w:right="0" w:firstLine="0"/>
        <w:jc w:val="left"/>
        <w:rPr>
          <w:sz w:val="22"/>
        </w:rPr>
      </w:pPr>
      <w:r>
        <w:rPr>
          <w:sz w:val="22"/>
        </w:rPr>
        <w:t>① 已经造成瘘管并伴有肠梗阻或肠穿孔；</w:t>
      </w:r>
    </w:p>
    <w:p>
      <w:pPr>
        <w:spacing w:before="24"/>
        <w:ind w:left="1849" w:right="0" w:firstLine="0"/>
        <w:jc w:val="left"/>
        <w:rPr>
          <w:sz w:val="22"/>
        </w:rPr>
      </w:pPr>
      <w:r>
        <w:rPr>
          <w:sz w:val="22"/>
        </w:rPr>
        <w:t>② 有结肠镜检查和组织病理学检查作为诊断依据。</w:t>
      </w:r>
    </w:p>
    <w:p>
      <w:pPr>
        <w:pStyle w:val="BodyText"/>
        <w:spacing w:before="0"/>
        <w:ind w:left="0"/>
        <w:rPr>
          <w:sz w:val="22"/>
        </w:rPr>
      </w:pPr>
    </w:p>
    <w:p>
      <w:pPr>
        <w:pStyle w:val="BodyText"/>
        <w:spacing w:before="0"/>
        <w:ind w:left="0"/>
        <w:rPr>
          <w:sz w:val="28"/>
        </w:rPr>
      </w:pPr>
    </w:p>
    <w:p>
      <w:pPr>
        <w:pStyle w:val="BodyText"/>
        <w:spacing w:before="0"/>
      </w:pPr>
      <w:r>
        <w:rPr/>
        <w:t>上述重大疾病定义中部分术语释义如下：</w:t>
      </w:r>
    </w:p>
    <w:p>
      <w:pPr>
        <w:pStyle w:val="BodyText"/>
      </w:pPr>
      <w:r>
        <w:rPr/>
        <w:t>（1）专科医生</w:t>
      </w:r>
    </w:p>
    <w:p>
      <w:pPr>
        <w:pStyle w:val="BodyText"/>
      </w:pPr>
      <w:r>
        <w:rPr/>
        <w:t>专科医生应当同时满足以下四项资格条件：</w:t>
      </w:r>
    </w:p>
    <w:p>
      <w:pPr>
        <w:pStyle w:val="BodyText"/>
      </w:pPr>
      <w:r>
        <w:rPr/>
        <w:t>① 具有有效的中华人民共和国《医师资格证书》；</w:t>
      </w:r>
    </w:p>
    <w:p>
      <w:pPr>
        <w:spacing w:after="0"/>
        <w:sectPr>
          <w:pgSz w:w="11910" w:h="16840"/>
          <w:pgMar w:header="0" w:footer="329" w:top="1200" w:bottom="600" w:left="168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1318"/>
        <w:gridCol w:w="8036"/>
      </w:tblGrid>
      <w:tr>
        <w:trPr>
          <w:trHeight w:val="8220" w:hRule="atLeast"/>
        </w:trPr>
        <w:tc>
          <w:tcPr>
            <w:tcW w:w="623" w:type="dxa"/>
          </w:tcPr>
          <w:p>
            <w:pPr>
              <w:pStyle w:val="TableParagraph"/>
              <w:rPr>
                <w:rFonts w:ascii="Times New Roman"/>
                <w:sz w:val="20"/>
              </w:rPr>
            </w:pPr>
          </w:p>
        </w:tc>
        <w:tc>
          <w:tcPr>
            <w:tcW w:w="1318" w:type="dxa"/>
          </w:tcPr>
          <w:p>
            <w:pPr>
              <w:pStyle w:val="TableParagraph"/>
              <w:rPr>
                <w:rFonts w:ascii="Times New Roman"/>
                <w:sz w:val="20"/>
              </w:rPr>
            </w:pPr>
          </w:p>
        </w:tc>
        <w:tc>
          <w:tcPr>
            <w:tcW w:w="8036" w:type="dxa"/>
          </w:tcPr>
          <w:p>
            <w:pPr>
              <w:pStyle w:val="TableParagraph"/>
              <w:spacing w:line="211" w:lineRule="exact"/>
              <w:ind w:left="367"/>
              <w:rPr>
                <w:sz w:val="21"/>
              </w:rPr>
            </w:pPr>
            <w:r>
              <w:rPr>
                <w:sz w:val="21"/>
              </w:rPr>
              <w:t>② 具有有效的中华人民共和国《医师执业证书》，并按期到相关部门登记注册；</w:t>
            </w:r>
          </w:p>
          <w:p>
            <w:pPr>
              <w:pStyle w:val="TableParagraph"/>
              <w:spacing w:before="37"/>
              <w:ind w:left="367"/>
              <w:rPr>
                <w:sz w:val="21"/>
              </w:rPr>
            </w:pPr>
            <w:r>
              <w:rPr>
                <w:sz w:val="21"/>
              </w:rPr>
              <w:t>③ 具有有效的中华人民共和国主治医师或主治医师以上职称的《医师职称证书》；</w:t>
            </w:r>
          </w:p>
          <w:p>
            <w:pPr>
              <w:pStyle w:val="TableParagraph"/>
              <w:spacing w:before="37"/>
              <w:ind w:left="367"/>
              <w:rPr>
                <w:sz w:val="21"/>
              </w:rPr>
            </w:pPr>
            <w:r>
              <w:rPr>
                <w:sz w:val="21"/>
              </w:rPr>
              <w:t>④ 在二级或二级以上医院的相应科室从事临床工作三年以上。</w:t>
            </w:r>
          </w:p>
          <w:p>
            <w:pPr>
              <w:pStyle w:val="TableParagraph"/>
              <w:spacing w:before="9"/>
              <w:rPr>
                <w:sz w:val="26"/>
              </w:rPr>
            </w:pPr>
          </w:p>
          <w:p>
            <w:pPr>
              <w:pStyle w:val="TableParagraph"/>
              <w:ind w:left="367"/>
              <w:rPr>
                <w:sz w:val="21"/>
              </w:rPr>
            </w:pPr>
            <w:r>
              <w:rPr>
                <w:sz w:val="21"/>
              </w:rPr>
              <w:t>（2）肢体机能完全丧失</w:t>
            </w:r>
          </w:p>
          <w:p>
            <w:pPr>
              <w:pStyle w:val="TableParagraph"/>
              <w:spacing w:line="273" w:lineRule="auto" w:before="36"/>
              <w:ind w:left="367" w:right="306"/>
              <w:rPr>
                <w:sz w:val="21"/>
              </w:rPr>
            </w:pPr>
            <w:r>
              <w:rPr>
                <w:sz w:val="21"/>
              </w:rPr>
              <w:t>肢体机能完全丧失是指肢体的三大关节中的两大关节僵硬，或不能随意识活动。肢体是指包括肩关节的整个上肢或包括髋关节的整个下肢。</w:t>
            </w:r>
          </w:p>
          <w:p>
            <w:pPr>
              <w:pStyle w:val="TableParagraph"/>
              <w:spacing w:before="5"/>
              <w:rPr>
                <w:sz w:val="24"/>
              </w:rPr>
            </w:pPr>
          </w:p>
          <w:p>
            <w:pPr>
              <w:pStyle w:val="TableParagraph"/>
              <w:ind w:left="367"/>
              <w:rPr>
                <w:sz w:val="21"/>
              </w:rPr>
            </w:pPr>
            <w:r>
              <w:rPr>
                <w:sz w:val="21"/>
              </w:rPr>
              <w:t>（3）语言能力或咀嚼吞咽能力完全丧失</w:t>
            </w:r>
          </w:p>
          <w:p>
            <w:pPr>
              <w:pStyle w:val="TableParagraph"/>
              <w:spacing w:line="273" w:lineRule="auto" w:before="37"/>
              <w:ind w:left="367" w:right="308"/>
              <w:rPr>
                <w:sz w:val="21"/>
              </w:rPr>
            </w:pPr>
            <w:r>
              <w:rPr>
                <w:spacing w:val="-3"/>
                <w:sz w:val="21"/>
              </w:rPr>
              <w:t>语言能力完全丧失是指无法发出四种语音</w:t>
            </w:r>
            <w:r>
              <w:rPr>
                <w:sz w:val="21"/>
              </w:rPr>
              <w:t>（</w:t>
            </w:r>
            <w:r>
              <w:rPr>
                <w:spacing w:val="-5"/>
                <w:sz w:val="21"/>
              </w:rPr>
              <w:t>包括口唇音、齿舌音、口盖音和喉头音）中的任何三种、或声带全部切除，或因大脑语言中枢受伤害而患失语症。 咀嚼吞咽能力完全丧失是指因牙齿以外的原因导致器质障碍或机能障碍，以致不能作咀嚼吞咽运动，除流质食物外不能摄取或吞咽的状态。</w:t>
            </w:r>
          </w:p>
          <w:p>
            <w:pPr>
              <w:pStyle w:val="TableParagraph"/>
              <w:spacing w:before="5"/>
              <w:rPr>
                <w:sz w:val="24"/>
              </w:rPr>
            </w:pPr>
          </w:p>
          <w:p>
            <w:pPr>
              <w:pStyle w:val="TableParagraph"/>
              <w:spacing w:line="273" w:lineRule="auto"/>
              <w:ind w:left="367" w:right="4930"/>
              <w:rPr>
                <w:sz w:val="21"/>
              </w:rPr>
            </w:pPr>
            <w:r>
              <w:rPr>
                <w:sz w:val="21"/>
              </w:rPr>
              <w:t>（4）六项基本日常生活活动六项基本日常生活活动是指：</w:t>
            </w:r>
          </w:p>
          <w:p>
            <w:pPr>
              <w:pStyle w:val="TableParagraph"/>
              <w:spacing w:before="7"/>
              <w:ind w:left="367"/>
              <w:rPr>
                <w:sz w:val="21"/>
              </w:rPr>
            </w:pPr>
            <w:r>
              <w:rPr>
                <w:sz w:val="21"/>
              </w:rPr>
              <w:t>① 穿衣：自己能够穿衣及脱衣；</w:t>
            </w:r>
          </w:p>
          <w:p>
            <w:pPr>
              <w:pStyle w:val="TableParagraph"/>
              <w:spacing w:before="36"/>
              <w:ind w:left="367"/>
              <w:rPr>
                <w:sz w:val="21"/>
              </w:rPr>
            </w:pPr>
            <w:r>
              <w:rPr>
                <w:sz w:val="21"/>
              </w:rPr>
              <w:t>② 移动：自己从一个房间到另一个房间；</w:t>
            </w:r>
          </w:p>
          <w:p>
            <w:pPr>
              <w:pStyle w:val="TableParagraph"/>
              <w:spacing w:before="36"/>
              <w:ind w:left="367"/>
              <w:rPr>
                <w:sz w:val="21"/>
              </w:rPr>
            </w:pPr>
            <w:r>
              <w:rPr>
                <w:sz w:val="21"/>
              </w:rPr>
              <w:t>③ 行动：自己上下床或上下轮椅；</w:t>
            </w:r>
          </w:p>
          <w:p>
            <w:pPr>
              <w:pStyle w:val="TableParagraph"/>
              <w:spacing w:before="36"/>
              <w:ind w:left="367"/>
              <w:rPr>
                <w:sz w:val="21"/>
              </w:rPr>
            </w:pPr>
            <w:r>
              <w:rPr>
                <w:sz w:val="21"/>
              </w:rPr>
              <w:t>④ 如厕：自己控制进行大小便；</w:t>
            </w:r>
          </w:p>
          <w:p>
            <w:pPr>
              <w:pStyle w:val="TableParagraph"/>
              <w:spacing w:before="37"/>
              <w:ind w:left="367"/>
              <w:rPr>
                <w:sz w:val="21"/>
              </w:rPr>
            </w:pPr>
            <w:r>
              <w:rPr>
                <w:sz w:val="21"/>
              </w:rPr>
              <w:t>⑤ 进食：自己从已准备好的碗或碟中取食物放入口中；</w:t>
            </w:r>
          </w:p>
          <w:p>
            <w:pPr>
              <w:pStyle w:val="TableParagraph"/>
              <w:spacing w:before="37"/>
              <w:ind w:left="367"/>
              <w:rPr>
                <w:sz w:val="21"/>
              </w:rPr>
            </w:pPr>
            <w:r>
              <w:rPr>
                <w:sz w:val="21"/>
              </w:rPr>
              <w:t>⑥ 洗澡：自己进行淋浴或盆浴。</w:t>
            </w:r>
          </w:p>
          <w:p>
            <w:pPr>
              <w:pStyle w:val="TableParagraph"/>
              <w:spacing w:before="8"/>
              <w:rPr>
                <w:sz w:val="26"/>
              </w:rPr>
            </w:pPr>
          </w:p>
          <w:p>
            <w:pPr>
              <w:pStyle w:val="TableParagraph"/>
              <w:ind w:left="367"/>
              <w:rPr>
                <w:sz w:val="21"/>
              </w:rPr>
            </w:pPr>
            <w:r>
              <w:rPr>
                <w:sz w:val="21"/>
              </w:rPr>
              <w:t>（5）永久不可逆</w:t>
            </w:r>
          </w:p>
          <w:p>
            <w:pPr>
              <w:pStyle w:val="TableParagraph"/>
              <w:spacing w:line="273" w:lineRule="auto" w:before="36"/>
              <w:ind w:left="367" w:right="310"/>
              <w:rPr>
                <w:sz w:val="21"/>
              </w:rPr>
            </w:pPr>
            <w:r>
              <w:rPr>
                <w:spacing w:val="-6"/>
                <w:sz w:val="21"/>
              </w:rPr>
              <w:t>永久不可逆是指自疾病确诊或意外伤害发生之日起，经过积极治疗 </w:t>
            </w:r>
            <w:r>
              <w:rPr>
                <w:sz w:val="21"/>
              </w:rPr>
              <w:t>180</w:t>
            </w:r>
            <w:r>
              <w:rPr>
                <w:spacing w:val="-9"/>
                <w:sz w:val="21"/>
              </w:rPr>
              <w:t> 天后，仍</w:t>
            </w:r>
            <w:r>
              <w:rPr>
                <w:spacing w:val="-7"/>
                <w:sz w:val="21"/>
              </w:rPr>
              <w:t>无法通过现有医疗手段恢复。</w:t>
            </w:r>
          </w:p>
        </w:tc>
      </w:tr>
      <w:tr>
        <w:trPr>
          <w:trHeight w:val="936" w:hRule="atLeast"/>
        </w:trPr>
        <w:tc>
          <w:tcPr>
            <w:tcW w:w="623" w:type="dxa"/>
          </w:tcPr>
          <w:p>
            <w:pPr>
              <w:pStyle w:val="TableParagraph"/>
              <w:spacing w:before="142"/>
              <w:ind w:right="104"/>
              <w:jc w:val="right"/>
              <w:rPr>
                <w:b/>
                <w:sz w:val="21"/>
              </w:rPr>
            </w:pPr>
            <w:r>
              <w:rPr>
                <w:b/>
                <w:sz w:val="21"/>
              </w:rPr>
              <w:t>7.6</w:t>
            </w:r>
          </w:p>
        </w:tc>
        <w:tc>
          <w:tcPr>
            <w:tcW w:w="1318" w:type="dxa"/>
          </w:tcPr>
          <w:p>
            <w:pPr>
              <w:pStyle w:val="TableParagraph"/>
              <w:spacing w:before="142"/>
              <w:ind w:left="105"/>
              <w:rPr>
                <w:b/>
                <w:sz w:val="21"/>
              </w:rPr>
            </w:pPr>
            <w:r>
              <w:rPr>
                <w:b/>
                <w:sz w:val="21"/>
              </w:rPr>
              <w:t>初次发生</w:t>
            </w:r>
          </w:p>
        </w:tc>
        <w:tc>
          <w:tcPr>
            <w:tcW w:w="8036" w:type="dxa"/>
          </w:tcPr>
          <w:p>
            <w:pPr>
              <w:pStyle w:val="TableParagraph"/>
              <w:spacing w:line="273" w:lineRule="auto" w:before="142"/>
              <w:ind w:left="367" w:right="313"/>
              <w:rPr>
                <w:sz w:val="21"/>
              </w:rPr>
            </w:pPr>
            <w:r>
              <w:rPr>
                <w:sz w:val="21"/>
              </w:rPr>
              <w:t>指被保险人首次出现重大疾病的前兆或异常的身体状况，包括与重大疾病相关的症状及体征。</w:t>
            </w:r>
          </w:p>
        </w:tc>
      </w:tr>
      <w:tr>
        <w:trPr>
          <w:trHeight w:val="1560" w:hRule="atLeast"/>
        </w:trPr>
        <w:tc>
          <w:tcPr>
            <w:tcW w:w="623" w:type="dxa"/>
          </w:tcPr>
          <w:p>
            <w:pPr>
              <w:pStyle w:val="TableParagraph"/>
              <w:spacing w:before="142"/>
              <w:ind w:right="104"/>
              <w:jc w:val="right"/>
              <w:rPr>
                <w:b/>
                <w:sz w:val="21"/>
              </w:rPr>
            </w:pPr>
            <w:r>
              <w:rPr>
                <w:b/>
                <w:sz w:val="21"/>
              </w:rPr>
              <w:t>7.7</w:t>
            </w:r>
          </w:p>
        </w:tc>
        <w:tc>
          <w:tcPr>
            <w:tcW w:w="1318" w:type="dxa"/>
          </w:tcPr>
          <w:p>
            <w:pPr>
              <w:pStyle w:val="TableParagraph"/>
              <w:spacing w:before="142"/>
              <w:ind w:left="105"/>
              <w:rPr>
                <w:b/>
                <w:sz w:val="21"/>
              </w:rPr>
            </w:pPr>
            <w:r>
              <w:rPr>
                <w:b/>
                <w:sz w:val="21"/>
              </w:rPr>
              <w:t>医疗机构</w:t>
            </w:r>
          </w:p>
        </w:tc>
        <w:tc>
          <w:tcPr>
            <w:tcW w:w="8036" w:type="dxa"/>
          </w:tcPr>
          <w:p>
            <w:pPr>
              <w:pStyle w:val="TableParagraph"/>
              <w:spacing w:line="273" w:lineRule="auto" w:before="142"/>
              <w:ind w:left="367" w:right="198"/>
              <w:rPr>
                <w:sz w:val="21"/>
              </w:rPr>
            </w:pPr>
            <w:r>
              <w:rPr>
                <w:spacing w:val="-5"/>
                <w:sz w:val="21"/>
              </w:rPr>
              <w:t>指国家卫生部医院等级分类中的二级或二级以上的公立医院，但不包括附属于前</w:t>
            </w:r>
            <w:r>
              <w:rPr>
                <w:spacing w:val="-11"/>
                <w:sz w:val="21"/>
              </w:rPr>
              <w:t>述医院或单独作为诊所、康复、护理、疗养、戒酒、戒毒等或相类似的医疗机构。</w:t>
            </w:r>
            <w:r>
              <w:rPr>
                <w:spacing w:val="-7"/>
                <w:sz w:val="21"/>
              </w:rPr>
              <w:t>同时该医院必须具有符合有关医院管理规定设置标准的医疗设备，并且全天二十</w:t>
            </w:r>
            <w:r>
              <w:rPr>
                <w:spacing w:val="-6"/>
                <w:sz w:val="21"/>
              </w:rPr>
              <w:t>四小时有合格医师及护士驻院提供医疗和护理等服务。</w:t>
            </w:r>
          </w:p>
        </w:tc>
      </w:tr>
      <w:tr>
        <w:trPr>
          <w:trHeight w:val="2184" w:hRule="atLeast"/>
        </w:trPr>
        <w:tc>
          <w:tcPr>
            <w:tcW w:w="623" w:type="dxa"/>
          </w:tcPr>
          <w:p>
            <w:pPr>
              <w:pStyle w:val="TableParagraph"/>
              <w:spacing w:before="142"/>
              <w:ind w:right="104"/>
              <w:jc w:val="right"/>
              <w:rPr>
                <w:b/>
                <w:sz w:val="21"/>
              </w:rPr>
            </w:pPr>
            <w:r>
              <w:rPr>
                <w:b/>
                <w:sz w:val="21"/>
              </w:rPr>
              <w:t>7.8</w:t>
            </w:r>
          </w:p>
        </w:tc>
        <w:tc>
          <w:tcPr>
            <w:tcW w:w="1318" w:type="dxa"/>
          </w:tcPr>
          <w:p>
            <w:pPr>
              <w:pStyle w:val="TableParagraph"/>
              <w:spacing w:before="142"/>
              <w:ind w:left="105"/>
              <w:rPr>
                <w:b/>
                <w:sz w:val="21"/>
              </w:rPr>
            </w:pPr>
            <w:r>
              <w:rPr>
                <w:b/>
                <w:sz w:val="21"/>
              </w:rPr>
              <w:t>专科医生</w:t>
            </w:r>
          </w:p>
        </w:tc>
        <w:tc>
          <w:tcPr>
            <w:tcW w:w="8036" w:type="dxa"/>
          </w:tcPr>
          <w:p>
            <w:pPr>
              <w:pStyle w:val="TableParagraph"/>
              <w:spacing w:before="142"/>
              <w:ind w:left="367"/>
              <w:rPr>
                <w:sz w:val="21"/>
              </w:rPr>
            </w:pPr>
            <w:r>
              <w:rPr>
                <w:sz w:val="21"/>
              </w:rPr>
              <w:t>专科医生应当同时满足以下四项资格条件：</w:t>
            </w:r>
          </w:p>
          <w:p>
            <w:pPr>
              <w:pStyle w:val="TableParagraph"/>
              <w:spacing w:before="37"/>
              <w:ind w:left="367"/>
              <w:rPr>
                <w:sz w:val="21"/>
              </w:rPr>
            </w:pPr>
            <w:r>
              <w:rPr>
                <w:sz w:val="21"/>
              </w:rPr>
              <w:t>（1）具有有效的中华人民共和国《医师资格证书》；</w:t>
            </w:r>
          </w:p>
          <w:p>
            <w:pPr>
              <w:pStyle w:val="TableParagraph"/>
              <w:spacing w:before="37"/>
              <w:ind w:left="367"/>
              <w:rPr>
                <w:sz w:val="21"/>
              </w:rPr>
            </w:pPr>
            <w:r>
              <w:rPr>
                <w:sz w:val="21"/>
              </w:rPr>
              <w:t>（2）具有有效的中华人民共和国《医师执业证书》，并按期到相关部门登记注册；</w:t>
            </w:r>
          </w:p>
          <w:p>
            <w:pPr>
              <w:pStyle w:val="TableParagraph"/>
              <w:spacing w:line="273" w:lineRule="auto" w:before="37"/>
              <w:ind w:left="890" w:right="316" w:hanging="524"/>
              <w:rPr>
                <w:sz w:val="21"/>
              </w:rPr>
            </w:pPr>
            <w:r>
              <w:rPr>
                <w:sz w:val="21"/>
              </w:rPr>
              <w:t>（3）具有有效的中华人民共和国主治医师或主治医师以上职称的《医师职称证书》；</w:t>
            </w:r>
          </w:p>
          <w:p>
            <w:pPr>
              <w:pStyle w:val="TableParagraph"/>
              <w:spacing w:before="8"/>
              <w:ind w:left="367"/>
              <w:rPr>
                <w:sz w:val="21"/>
              </w:rPr>
            </w:pPr>
            <w:r>
              <w:rPr>
                <w:sz w:val="21"/>
              </w:rPr>
              <w:t>（4）在二级或二级以上医院的相应科室从事临床工作三年以上。</w:t>
            </w:r>
          </w:p>
        </w:tc>
      </w:tr>
      <w:tr>
        <w:trPr>
          <w:trHeight w:val="1041" w:hRule="atLeast"/>
        </w:trPr>
        <w:tc>
          <w:tcPr>
            <w:tcW w:w="623" w:type="dxa"/>
          </w:tcPr>
          <w:p>
            <w:pPr>
              <w:pStyle w:val="TableParagraph"/>
              <w:spacing w:before="143"/>
              <w:ind w:right="104"/>
              <w:jc w:val="right"/>
              <w:rPr>
                <w:b/>
                <w:sz w:val="21"/>
              </w:rPr>
            </w:pPr>
            <w:r>
              <w:rPr>
                <w:b/>
                <w:sz w:val="21"/>
              </w:rPr>
              <w:t>7.9</w:t>
            </w:r>
          </w:p>
        </w:tc>
        <w:tc>
          <w:tcPr>
            <w:tcW w:w="1318" w:type="dxa"/>
          </w:tcPr>
          <w:p>
            <w:pPr>
              <w:pStyle w:val="TableParagraph"/>
              <w:spacing w:before="143"/>
              <w:ind w:left="105"/>
              <w:rPr>
                <w:b/>
                <w:sz w:val="21"/>
              </w:rPr>
            </w:pPr>
            <w:r>
              <w:rPr>
                <w:b/>
                <w:sz w:val="21"/>
              </w:rPr>
              <w:t>毒品</w:t>
            </w:r>
          </w:p>
        </w:tc>
        <w:tc>
          <w:tcPr>
            <w:tcW w:w="8036" w:type="dxa"/>
          </w:tcPr>
          <w:p>
            <w:pPr>
              <w:pStyle w:val="TableParagraph"/>
              <w:spacing w:line="310" w:lineRule="atLeast" w:before="107"/>
              <w:ind w:left="367" w:right="208"/>
              <w:rPr>
                <w:sz w:val="21"/>
              </w:rPr>
            </w:pPr>
            <w:r>
              <w:rPr>
                <w:spacing w:val="-5"/>
                <w:sz w:val="21"/>
              </w:rPr>
              <w:t>指中华人民共和国刑法规定的鸦片、海洛因、甲基苯丙胺</w:t>
            </w:r>
            <w:r>
              <w:rPr>
                <w:sz w:val="21"/>
              </w:rPr>
              <w:t>（冰毒</w:t>
            </w:r>
            <w:r>
              <w:rPr>
                <w:spacing w:val="-111"/>
                <w:sz w:val="21"/>
              </w:rPr>
              <w:t>）</w:t>
            </w:r>
            <w:r>
              <w:rPr>
                <w:spacing w:val="-2"/>
                <w:sz w:val="21"/>
              </w:rPr>
              <w:t>、吗啡、大麻、</w:t>
            </w:r>
            <w:r>
              <w:rPr>
                <w:spacing w:val="-5"/>
                <w:sz w:val="21"/>
              </w:rPr>
              <w:t>可卡因以及国家规定管制的其他能够使人形成瘾癖的麻醉药品和精神药品，但不包括由医生开具并遵医嘱使用的用于治疗疾病但含有毒品成分的处方药品。</w:t>
            </w:r>
          </w:p>
        </w:tc>
      </w:tr>
    </w:tbl>
    <w:p>
      <w:pPr>
        <w:spacing w:after="0" w:line="310" w:lineRule="atLeast"/>
        <w:rPr>
          <w:sz w:val="21"/>
        </w:rPr>
        <w:sectPr>
          <w:pgSz w:w="11910" w:h="16840"/>
          <w:pgMar w:header="0" w:footer="329" w:top="1280" w:bottom="520" w:left="1120" w:right="6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529"/>
        <w:gridCol w:w="7827"/>
      </w:tblGrid>
      <w:tr>
        <w:trPr>
          <w:trHeight w:val="1041" w:hRule="atLeast"/>
        </w:trPr>
        <w:tc>
          <w:tcPr>
            <w:tcW w:w="728" w:type="dxa"/>
          </w:tcPr>
          <w:p>
            <w:pPr>
              <w:pStyle w:val="TableParagraph"/>
              <w:spacing w:line="211" w:lineRule="exact"/>
              <w:ind w:right="103"/>
              <w:jc w:val="right"/>
              <w:rPr>
                <w:b/>
                <w:sz w:val="21"/>
              </w:rPr>
            </w:pPr>
            <w:r>
              <w:rPr>
                <w:b/>
                <w:w w:val="95"/>
                <w:sz w:val="21"/>
              </w:rPr>
              <w:t>7.10</w:t>
            </w:r>
          </w:p>
        </w:tc>
        <w:tc>
          <w:tcPr>
            <w:tcW w:w="1529" w:type="dxa"/>
          </w:tcPr>
          <w:p>
            <w:pPr>
              <w:pStyle w:val="TableParagraph"/>
              <w:spacing w:line="211" w:lineRule="exact"/>
              <w:ind w:left="106"/>
              <w:rPr>
                <w:b/>
                <w:sz w:val="21"/>
              </w:rPr>
            </w:pPr>
            <w:r>
              <w:rPr>
                <w:b/>
                <w:sz w:val="21"/>
              </w:rPr>
              <w:t>酒后驾驶</w:t>
            </w:r>
          </w:p>
        </w:tc>
        <w:tc>
          <w:tcPr>
            <w:tcW w:w="7827" w:type="dxa"/>
          </w:tcPr>
          <w:p>
            <w:pPr>
              <w:pStyle w:val="TableParagraph"/>
              <w:spacing w:line="211" w:lineRule="exact"/>
              <w:ind w:left="156"/>
              <w:rPr>
                <w:sz w:val="21"/>
              </w:rPr>
            </w:pPr>
            <w:r>
              <w:rPr>
                <w:sz w:val="21"/>
              </w:rPr>
              <w:t>指经检测或鉴定，发生事故时车辆驾驶人员每百毫升血液中的酒精含量达到或超</w:t>
            </w:r>
          </w:p>
          <w:p>
            <w:pPr>
              <w:pStyle w:val="TableParagraph"/>
              <w:spacing w:line="273" w:lineRule="auto" w:before="37"/>
              <w:ind w:left="156" w:right="315"/>
              <w:rPr>
                <w:sz w:val="21"/>
              </w:rPr>
            </w:pPr>
            <w:r>
              <w:rPr>
                <w:sz w:val="21"/>
              </w:rPr>
              <w:t>过一定的标准，公安机关交通管理部门依据《道路交通安全法》的规定认定为饮酒后驾驶或醉酒后驾驶。</w:t>
            </w:r>
          </w:p>
        </w:tc>
      </w:tr>
      <w:tr>
        <w:trPr>
          <w:trHeight w:val="2184" w:hRule="atLeast"/>
        </w:trPr>
        <w:tc>
          <w:tcPr>
            <w:tcW w:w="728" w:type="dxa"/>
          </w:tcPr>
          <w:p>
            <w:pPr>
              <w:pStyle w:val="TableParagraph"/>
              <w:spacing w:before="143"/>
              <w:ind w:right="103"/>
              <w:jc w:val="right"/>
              <w:rPr>
                <w:b/>
                <w:sz w:val="21"/>
              </w:rPr>
            </w:pPr>
            <w:r>
              <w:rPr>
                <w:b/>
                <w:w w:val="95"/>
                <w:sz w:val="21"/>
              </w:rPr>
              <w:t>7.11</w:t>
            </w:r>
          </w:p>
        </w:tc>
        <w:tc>
          <w:tcPr>
            <w:tcW w:w="1529" w:type="dxa"/>
          </w:tcPr>
          <w:p>
            <w:pPr>
              <w:pStyle w:val="TableParagraph"/>
              <w:spacing w:line="276" w:lineRule="auto" w:before="167"/>
              <w:ind w:left="106" w:right="153"/>
              <w:rPr>
                <w:b/>
                <w:sz w:val="21"/>
              </w:rPr>
            </w:pPr>
            <w:r>
              <w:rPr>
                <w:b/>
                <w:sz w:val="21"/>
              </w:rPr>
              <w:t>无合法有效驾驶证驾驶</w:t>
            </w:r>
          </w:p>
        </w:tc>
        <w:tc>
          <w:tcPr>
            <w:tcW w:w="7827" w:type="dxa"/>
          </w:tcPr>
          <w:p>
            <w:pPr>
              <w:pStyle w:val="TableParagraph"/>
              <w:spacing w:before="143"/>
              <w:ind w:left="156"/>
              <w:rPr>
                <w:sz w:val="21"/>
              </w:rPr>
            </w:pPr>
            <w:r>
              <w:rPr>
                <w:sz w:val="21"/>
              </w:rPr>
              <w:t>指下列情形之一：</w:t>
            </w:r>
          </w:p>
          <w:p>
            <w:pPr>
              <w:pStyle w:val="TableParagraph"/>
              <w:spacing w:before="37"/>
              <w:ind w:left="156"/>
              <w:rPr>
                <w:sz w:val="21"/>
              </w:rPr>
            </w:pPr>
            <w:r>
              <w:rPr>
                <w:sz w:val="21"/>
              </w:rPr>
              <w:t>（1）没有取得驾驶资格；</w:t>
            </w:r>
          </w:p>
          <w:p>
            <w:pPr>
              <w:pStyle w:val="TableParagraph"/>
              <w:spacing w:before="37"/>
              <w:ind w:left="156"/>
              <w:rPr>
                <w:sz w:val="21"/>
              </w:rPr>
            </w:pPr>
            <w:r>
              <w:rPr>
                <w:sz w:val="21"/>
              </w:rPr>
              <w:t>（2）驾驶与驾驶证准驾车型不相符合的车辆；</w:t>
            </w:r>
          </w:p>
          <w:p>
            <w:pPr>
              <w:pStyle w:val="TableParagraph"/>
              <w:spacing w:before="37"/>
              <w:ind w:left="156"/>
              <w:rPr>
                <w:sz w:val="21"/>
              </w:rPr>
            </w:pPr>
            <w:r>
              <w:rPr>
                <w:sz w:val="21"/>
              </w:rPr>
              <w:t>（3）持审验不合格的驾驶证驾驶；</w:t>
            </w:r>
          </w:p>
          <w:p>
            <w:pPr>
              <w:pStyle w:val="TableParagraph"/>
              <w:spacing w:line="273" w:lineRule="auto" w:before="37"/>
              <w:ind w:left="679" w:right="305" w:hanging="524"/>
              <w:rPr>
                <w:sz w:val="21"/>
              </w:rPr>
            </w:pPr>
            <w:r>
              <w:rPr>
                <w:spacing w:val="-9"/>
                <w:sz w:val="21"/>
              </w:rPr>
              <w:t>（4）持学习驾驶证学习驾车时，无教练员随车指导，或不按指定时间、路线学习驾车。</w:t>
            </w:r>
          </w:p>
        </w:tc>
      </w:tr>
      <w:tr>
        <w:trPr>
          <w:trHeight w:val="1248" w:hRule="atLeast"/>
        </w:trPr>
        <w:tc>
          <w:tcPr>
            <w:tcW w:w="728" w:type="dxa"/>
          </w:tcPr>
          <w:p>
            <w:pPr>
              <w:pStyle w:val="TableParagraph"/>
              <w:spacing w:before="142"/>
              <w:ind w:right="103"/>
              <w:jc w:val="right"/>
              <w:rPr>
                <w:b/>
                <w:sz w:val="21"/>
              </w:rPr>
            </w:pPr>
            <w:r>
              <w:rPr>
                <w:b/>
                <w:w w:val="95"/>
                <w:sz w:val="21"/>
              </w:rPr>
              <w:t>7.12</w:t>
            </w:r>
          </w:p>
        </w:tc>
        <w:tc>
          <w:tcPr>
            <w:tcW w:w="1529" w:type="dxa"/>
          </w:tcPr>
          <w:p>
            <w:pPr>
              <w:pStyle w:val="TableParagraph"/>
              <w:spacing w:before="142"/>
              <w:ind w:left="106"/>
              <w:rPr>
                <w:b/>
                <w:sz w:val="21"/>
              </w:rPr>
            </w:pPr>
            <w:r>
              <w:rPr>
                <w:b/>
                <w:sz w:val="21"/>
              </w:rPr>
              <w:t>无有效行驶证</w:t>
            </w:r>
          </w:p>
        </w:tc>
        <w:tc>
          <w:tcPr>
            <w:tcW w:w="7827" w:type="dxa"/>
          </w:tcPr>
          <w:p>
            <w:pPr>
              <w:pStyle w:val="TableParagraph"/>
              <w:spacing w:before="142"/>
              <w:ind w:left="156"/>
              <w:rPr>
                <w:sz w:val="21"/>
              </w:rPr>
            </w:pPr>
            <w:r>
              <w:rPr>
                <w:sz w:val="21"/>
              </w:rPr>
              <w:t>指下列情形之一：</w:t>
            </w:r>
          </w:p>
          <w:p>
            <w:pPr>
              <w:pStyle w:val="TableParagraph"/>
              <w:spacing w:before="36"/>
              <w:ind w:left="156"/>
              <w:rPr>
                <w:sz w:val="21"/>
              </w:rPr>
            </w:pPr>
            <w:r>
              <w:rPr>
                <w:sz w:val="21"/>
              </w:rPr>
              <w:t>（1）机动车被依法注销登记的；</w:t>
            </w:r>
          </w:p>
          <w:p>
            <w:pPr>
              <w:pStyle w:val="TableParagraph"/>
              <w:spacing w:before="36"/>
              <w:ind w:left="156"/>
              <w:rPr>
                <w:sz w:val="21"/>
              </w:rPr>
            </w:pPr>
            <w:r>
              <w:rPr>
                <w:sz w:val="21"/>
              </w:rPr>
              <w:t>（2）未依法按时进行或通过机动车安全技术检验。</w:t>
            </w:r>
          </w:p>
        </w:tc>
      </w:tr>
      <w:tr>
        <w:trPr>
          <w:trHeight w:val="2184" w:hRule="atLeast"/>
        </w:trPr>
        <w:tc>
          <w:tcPr>
            <w:tcW w:w="728" w:type="dxa"/>
          </w:tcPr>
          <w:p>
            <w:pPr>
              <w:pStyle w:val="TableParagraph"/>
              <w:spacing w:before="143"/>
              <w:ind w:right="103"/>
              <w:jc w:val="right"/>
              <w:rPr>
                <w:b/>
                <w:sz w:val="21"/>
              </w:rPr>
            </w:pPr>
            <w:r>
              <w:rPr>
                <w:b/>
                <w:w w:val="95"/>
                <w:sz w:val="21"/>
              </w:rPr>
              <w:t>7.13</w:t>
            </w:r>
          </w:p>
        </w:tc>
        <w:tc>
          <w:tcPr>
            <w:tcW w:w="1529" w:type="dxa"/>
          </w:tcPr>
          <w:p>
            <w:pPr>
              <w:pStyle w:val="TableParagraph"/>
              <w:spacing w:line="276" w:lineRule="auto" w:before="167"/>
              <w:ind w:left="106" w:right="153"/>
              <w:rPr>
                <w:b/>
                <w:sz w:val="21"/>
              </w:rPr>
            </w:pPr>
            <w:r>
              <w:rPr>
                <w:b/>
                <w:sz w:val="21"/>
              </w:rPr>
              <w:t>感染艾滋病病毒或患艾滋病</w:t>
            </w:r>
          </w:p>
        </w:tc>
        <w:tc>
          <w:tcPr>
            <w:tcW w:w="7827" w:type="dxa"/>
          </w:tcPr>
          <w:p>
            <w:pPr>
              <w:pStyle w:val="TableParagraph"/>
              <w:spacing w:line="273" w:lineRule="auto" w:before="143"/>
              <w:ind w:left="156" w:right="366"/>
              <w:jc w:val="both"/>
              <w:rPr>
                <w:sz w:val="21"/>
              </w:rPr>
            </w:pPr>
            <w:r>
              <w:rPr>
                <w:spacing w:val="-5"/>
                <w:sz w:val="21"/>
              </w:rPr>
              <w:t>艾滋病病毒指人类免疫缺陷病毒，英文缩写为 </w:t>
            </w:r>
            <w:r>
              <w:rPr>
                <w:sz w:val="21"/>
              </w:rPr>
              <w:t>HIV</w:t>
            </w:r>
            <w:r>
              <w:rPr>
                <w:spacing w:val="-4"/>
                <w:sz w:val="21"/>
              </w:rPr>
              <w:t>。艾滋病指人类免疫缺陷病毒</w:t>
            </w:r>
            <w:r>
              <w:rPr>
                <w:spacing w:val="-7"/>
                <w:sz w:val="21"/>
              </w:rPr>
              <w:t>引起的获得性免疫缺陷综合征，英文缩写为 </w:t>
            </w:r>
            <w:r>
              <w:rPr>
                <w:sz w:val="21"/>
              </w:rPr>
              <w:t>AIDS。</w:t>
            </w:r>
          </w:p>
          <w:p>
            <w:pPr>
              <w:pStyle w:val="TableParagraph"/>
              <w:spacing w:before="5"/>
              <w:rPr>
                <w:sz w:val="24"/>
              </w:rPr>
            </w:pPr>
          </w:p>
          <w:p>
            <w:pPr>
              <w:pStyle w:val="TableParagraph"/>
              <w:spacing w:line="273" w:lineRule="auto" w:before="1"/>
              <w:ind w:left="156" w:right="315"/>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936" w:hRule="atLeast"/>
        </w:trPr>
        <w:tc>
          <w:tcPr>
            <w:tcW w:w="728" w:type="dxa"/>
          </w:tcPr>
          <w:p>
            <w:pPr>
              <w:pStyle w:val="TableParagraph"/>
              <w:spacing w:before="142"/>
              <w:ind w:right="103"/>
              <w:jc w:val="right"/>
              <w:rPr>
                <w:b/>
                <w:sz w:val="21"/>
              </w:rPr>
            </w:pPr>
            <w:r>
              <w:rPr>
                <w:b/>
                <w:w w:val="95"/>
                <w:sz w:val="21"/>
              </w:rPr>
              <w:t>7.14</w:t>
            </w:r>
          </w:p>
        </w:tc>
        <w:tc>
          <w:tcPr>
            <w:tcW w:w="1529" w:type="dxa"/>
          </w:tcPr>
          <w:p>
            <w:pPr>
              <w:pStyle w:val="TableParagraph"/>
              <w:spacing w:before="142"/>
              <w:ind w:left="106"/>
              <w:rPr>
                <w:b/>
                <w:sz w:val="21"/>
              </w:rPr>
            </w:pPr>
            <w:r>
              <w:rPr>
                <w:b/>
                <w:sz w:val="21"/>
              </w:rPr>
              <w:t>遗传性疾病</w:t>
            </w:r>
          </w:p>
        </w:tc>
        <w:tc>
          <w:tcPr>
            <w:tcW w:w="7827" w:type="dxa"/>
          </w:tcPr>
          <w:p>
            <w:pPr>
              <w:pStyle w:val="TableParagraph"/>
              <w:spacing w:line="273" w:lineRule="auto" w:before="142"/>
              <w:ind w:left="156" w:right="315"/>
              <w:rPr>
                <w:sz w:val="21"/>
              </w:rPr>
            </w:pPr>
            <w:r>
              <w:rPr>
                <w:sz w:val="21"/>
              </w:rPr>
              <w:t>指生殖细胞或受精卵的遗传物质（染色体和基因）发生突变（或畸变）所引起的疾病，通常具有由亲代传至后代的垂直传递的特征。</w:t>
            </w:r>
          </w:p>
        </w:tc>
      </w:tr>
      <w:tr>
        <w:trPr>
          <w:trHeight w:val="1041" w:hRule="atLeast"/>
        </w:trPr>
        <w:tc>
          <w:tcPr>
            <w:tcW w:w="728" w:type="dxa"/>
          </w:tcPr>
          <w:p>
            <w:pPr>
              <w:pStyle w:val="TableParagraph"/>
              <w:spacing w:before="143"/>
              <w:ind w:right="103"/>
              <w:jc w:val="right"/>
              <w:rPr>
                <w:b/>
                <w:sz w:val="21"/>
              </w:rPr>
            </w:pPr>
            <w:r>
              <w:rPr>
                <w:b/>
                <w:w w:val="95"/>
                <w:sz w:val="21"/>
              </w:rPr>
              <w:t>7.15</w:t>
            </w:r>
          </w:p>
        </w:tc>
        <w:tc>
          <w:tcPr>
            <w:tcW w:w="1529" w:type="dxa"/>
          </w:tcPr>
          <w:p>
            <w:pPr>
              <w:pStyle w:val="TableParagraph"/>
              <w:spacing w:line="310" w:lineRule="atLeast" w:before="107"/>
              <w:ind w:left="106" w:right="153"/>
              <w:jc w:val="both"/>
              <w:rPr>
                <w:b/>
                <w:sz w:val="21"/>
              </w:rPr>
            </w:pPr>
            <w:r>
              <w:rPr>
                <w:b/>
                <w:sz w:val="21"/>
              </w:rPr>
              <w:t>先天性畸形、变形或染色体异常</w:t>
            </w:r>
          </w:p>
        </w:tc>
        <w:tc>
          <w:tcPr>
            <w:tcW w:w="7827" w:type="dxa"/>
          </w:tcPr>
          <w:p>
            <w:pPr>
              <w:pStyle w:val="TableParagraph"/>
              <w:spacing w:line="273" w:lineRule="auto" w:before="143"/>
              <w:ind w:left="156" w:right="197"/>
              <w:rPr>
                <w:sz w:val="21"/>
              </w:rPr>
            </w:pPr>
            <w:r>
              <w:rPr>
                <w:spacing w:val="-5"/>
                <w:sz w:val="21"/>
              </w:rPr>
              <w:t>指被保险人出生时就具有的畸形、变形或染色体异常。先天性畸形、变形和染色</w:t>
            </w:r>
            <w:r>
              <w:rPr>
                <w:spacing w:val="-11"/>
                <w:sz w:val="21"/>
              </w:rPr>
              <w:t>体异常依照世界卫生组织《疾病和有关健康问题的国际统计分类</w:t>
            </w:r>
            <w:r>
              <w:rPr>
                <w:spacing w:val="-178"/>
                <w:sz w:val="21"/>
              </w:rPr>
              <w:t>》</w:t>
            </w:r>
            <w:r>
              <w:rPr>
                <w:spacing w:val="-9"/>
                <w:sz w:val="21"/>
              </w:rPr>
              <w:t>（ICD-10）</w:t>
            </w:r>
            <w:r>
              <w:rPr>
                <w:sz w:val="21"/>
              </w:rPr>
              <w:t>确定。</w:t>
            </w:r>
          </w:p>
        </w:tc>
      </w:tr>
    </w:tbl>
    <w:p>
      <w:pPr>
        <w:pStyle w:val="BodyText"/>
        <w:spacing w:before="0"/>
        <w:ind w:left="0"/>
        <w:rPr>
          <w:sz w:val="20"/>
        </w:rPr>
      </w:pPr>
    </w:p>
    <w:p>
      <w:pPr>
        <w:pStyle w:val="BodyText"/>
        <w:spacing w:before="4" w:after="1"/>
        <w:ind w:left="0"/>
        <w:rPr>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318"/>
        <w:gridCol w:w="7920"/>
      </w:tblGrid>
      <w:tr>
        <w:trPr>
          <w:trHeight w:val="523" w:hRule="atLeast"/>
        </w:trPr>
        <w:tc>
          <w:tcPr>
            <w:tcW w:w="728" w:type="dxa"/>
          </w:tcPr>
          <w:p>
            <w:pPr>
              <w:pStyle w:val="TableParagraph"/>
              <w:spacing w:line="211" w:lineRule="exact"/>
              <w:ind w:left="200"/>
              <w:rPr>
                <w:b/>
                <w:sz w:val="21"/>
              </w:rPr>
            </w:pPr>
            <w:r>
              <w:rPr>
                <w:b/>
                <w:sz w:val="21"/>
              </w:rPr>
              <w:t>7.16</w:t>
            </w:r>
          </w:p>
        </w:tc>
        <w:tc>
          <w:tcPr>
            <w:tcW w:w="1318" w:type="dxa"/>
          </w:tcPr>
          <w:p>
            <w:pPr>
              <w:pStyle w:val="TableParagraph"/>
              <w:spacing w:line="211" w:lineRule="exact"/>
              <w:ind w:left="106"/>
              <w:rPr>
                <w:b/>
                <w:sz w:val="21"/>
              </w:rPr>
            </w:pPr>
            <w:r>
              <w:rPr>
                <w:b/>
                <w:sz w:val="21"/>
              </w:rPr>
              <w:t>现金价值</w:t>
            </w:r>
          </w:p>
        </w:tc>
        <w:tc>
          <w:tcPr>
            <w:tcW w:w="7920" w:type="dxa"/>
          </w:tcPr>
          <w:p>
            <w:pPr>
              <w:pStyle w:val="TableParagraph"/>
              <w:spacing w:line="211" w:lineRule="exact"/>
              <w:ind w:left="367"/>
              <w:rPr>
                <w:sz w:val="21"/>
              </w:rPr>
            </w:pPr>
            <w:r>
              <w:rPr>
                <w:sz w:val="21"/>
              </w:rPr>
              <w:t>指保险单所具有的价值，通常体现为解除合同时，根据精算原理计算的，由我们</w:t>
            </w:r>
          </w:p>
          <w:p>
            <w:pPr>
              <w:pStyle w:val="TableParagraph"/>
              <w:spacing w:line="255" w:lineRule="exact" w:before="37"/>
              <w:ind w:left="367"/>
              <w:rPr>
                <w:sz w:val="21"/>
              </w:rPr>
            </w:pPr>
            <w:r>
              <w:rPr>
                <w:sz w:val="21"/>
              </w:rPr>
              <w:t>退还的那部分金额。</w:t>
            </w:r>
          </w:p>
        </w:tc>
      </w:tr>
    </w:tbl>
    <w:sectPr>
      <w:pgSz w:w="11910" w:h="16840"/>
      <w:pgMar w:header="0" w:footer="329" w:top="1580" w:bottom="520" w:left="10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UI">
    <w:altName w:val="Microsoft JhengHei UI"/>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59.739990pt;margin-top:810.473022pt;width:76.45pt;height:12.1pt;mso-position-horizontal-relative:page;mso-position-vertical-relative:page;z-index:-25864" type="#_x0000_t202" filled="false" stroked="false">
          <v:textbox inset="0,0,0,0">
            <w:txbxContent>
              <w:p>
                <w:pPr>
                  <w:spacing w:line="221"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79" w:hanging="423"/>
        <w:jc w:val="left"/>
      </w:pPr>
      <w:rPr>
        <w:rFonts w:hint="default" w:ascii="黑体" w:hAnsi="黑体" w:eastAsia="黑体" w:cs="黑体"/>
        <w:w w:val="100"/>
        <w:sz w:val="21"/>
        <w:szCs w:val="21"/>
      </w:rPr>
    </w:lvl>
    <w:lvl w:ilvl="1">
      <w:start w:val="0"/>
      <w:numFmt w:val="bullet"/>
      <w:lvlText w:val="•"/>
      <w:lvlJc w:val="left"/>
      <w:pPr>
        <w:ind w:left="1284" w:hanging="423"/>
      </w:pPr>
      <w:rPr>
        <w:rFonts w:hint="default"/>
      </w:rPr>
    </w:lvl>
    <w:lvl w:ilvl="2">
      <w:start w:val="0"/>
      <w:numFmt w:val="bullet"/>
      <w:lvlText w:val="•"/>
      <w:lvlJc w:val="left"/>
      <w:pPr>
        <w:ind w:left="1989" w:hanging="423"/>
      </w:pPr>
      <w:rPr>
        <w:rFonts w:hint="default"/>
      </w:rPr>
    </w:lvl>
    <w:lvl w:ilvl="3">
      <w:start w:val="0"/>
      <w:numFmt w:val="bullet"/>
      <w:lvlText w:val="•"/>
      <w:lvlJc w:val="left"/>
      <w:pPr>
        <w:ind w:left="2694" w:hanging="423"/>
      </w:pPr>
      <w:rPr>
        <w:rFonts w:hint="default"/>
      </w:rPr>
    </w:lvl>
    <w:lvl w:ilvl="4">
      <w:start w:val="0"/>
      <w:numFmt w:val="bullet"/>
      <w:lvlText w:val="•"/>
      <w:lvlJc w:val="left"/>
      <w:pPr>
        <w:ind w:left="3399" w:hanging="423"/>
      </w:pPr>
      <w:rPr>
        <w:rFonts w:hint="default"/>
      </w:rPr>
    </w:lvl>
    <w:lvl w:ilvl="5">
      <w:start w:val="0"/>
      <w:numFmt w:val="bullet"/>
      <w:lvlText w:val="•"/>
      <w:lvlJc w:val="left"/>
      <w:pPr>
        <w:ind w:left="4104" w:hanging="423"/>
      </w:pPr>
      <w:rPr>
        <w:rFonts w:hint="default"/>
      </w:rPr>
    </w:lvl>
    <w:lvl w:ilvl="6">
      <w:start w:val="0"/>
      <w:numFmt w:val="bullet"/>
      <w:lvlText w:val="•"/>
      <w:lvlJc w:val="left"/>
      <w:pPr>
        <w:ind w:left="4808" w:hanging="423"/>
      </w:pPr>
      <w:rPr>
        <w:rFonts w:hint="default"/>
      </w:rPr>
    </w:lvl>
    <w:lvl w:ilvl="7">
      <w:start w:val="0"/>
      <w:numFmt w:val="bullet"/>
      <w:lvlText w:val="•"/>
      <w:lvlJc w:val="left"/>
      <w:pPr>
        <w:ind w:left="5513" w:hanging="423"/>
      </w:pPr>
      <w:rPr>
        <w:rFonts w:hint="default"/>
      </w:rPr>
    </w:lvl>
    <w:lvl w:ilvl="8">
      <w:start w:val="0"/>
      <w:numFmt w:val="bullet"/>
      <w:lvlText w:val="•"/>
      <w:lvlJc w:val="left"/>
      <w:pPr>
        <w:ind w:left="6218" w:hanging="423"/>
      </w:pPr>
      <w:rPr>
        <w:rFonts w:hint="default"/>
      </w:rPr>
    </w:lvl>
  </w:abstractNum>
  <w:abstractNum w:abstractNumId="0">
    <w:multiLevelType w:val="hybridMultilevel"/>
    <w:lvl w:ilvl="0">
      <w:start w:val="0"/>
      <w:numFmt w:val="bullet"/>
      <w:lvlText w:val=""/>
      <w:lvlJc w:val="left"/>
      <w:pPr>
        <w:ind w:left="1735" w:hanging="418"/>
      </w:pPr>
      <w:rPr>
        <w:rFonts w:hint="default" w:ascii="Wingdings" w:hAnsi="Wingdings" w:eastAsia="Wingdings" w:cs="Wingdings"/>
        <w:w w:val="100"/>
        <w:sz w:val="21"/>
        <w:szCs w:val="21"/>
      </w:rPr>
    </w:lvl>
    <w:lvl w:ilvl="1">
      <w:start w:val="0"/>
      <w:numFmt w:val="bullet"/>
      <w:lvlText w:val="•"/>
      <w:lvlJc w:val="left"/>
      <w:pPr>
        <w:ind w:left="2638" w:hanging="418"/>
      </w:pPr>
      <w:rPr>
        <w:rFonts w:hint="default"/>
      </w:rPr>
    </w:lvl>
    <w:lvl w:ilvl="2">
      <w:start w:val="0"/>
      <w:numFmt w:val="bullet"/>
      <w:lvlText w:val="•"/>
      <w:lvlJc w:val="left"/>
      <w:pPr>
        <w:ind w:left="3536" w:hanging="418"/>
      </w:pPr>
      <w:rPr>
        <w:rFonts w:hint="default"/>
      </w:rPr>
    </w:lvl>
    <w:lvl w:ilvl="3">
      <w:start w:val="0"/>
      <w:numFmt w:val="bullet"/>
      <w:lvlText w:val="•"/>
      <w:lvlJc w:val="left"/>
      <w:pPr>
        <w:ind w:left="4435" w:hanging="418"/>
      </w:pPr>
      <w:rPr>
        <w:rFonts w:hint="default"/>
      </w:rPr>
    </w:lvl>
    <w:lvl w:ilvl="4">
      <w:start w:val="0"/>
      <w:numFmt w:val="bullet"/>
      <w:lvlText w:val="•"/>
      <w:lvlJc w:val="left"/>
      <w:pPr>
        <w:ind w:left="5333" w:hanging="418"/>
      </w:pPr>
      <w:rPr>
        <w:rFonts w:hint="default"/>
      </w:rPr>
    </w:lvl>
    <w:lvl w:ilvl="5">
      <w:start w:val="0"/>
      <w:numFmt w:val="bullet"/>
      <w:lvlText w:val="•"/>
      <w:lvlJc w:val="left"/>
      <w:pPr>
        <w:ind w:left="6232" w:hanging="418"/>
      </w:pPr>
      <w:rPr>
        <w:rFonts w:hint="default"/>
      </w:rPr>
    </w:lvl>
    <w:lvl w:ilvl="6">
      <w:start w:val="0"/>
      <w:numFmt w:val="bullet"/>
      <w:lvlText w:val="•"/>
      <w:lvlJc w:val="left"/>
      <w:pPr>
        <w:ind w:left="7130" w:hanging="418"/>
      </w:pPr>
      <w:rPr>
        <w:rFonts w:hint="default"/>
      </w:rPr>
    </w:lvl>
    <w:lvl w:ilvl="7">
      <w:start w:val="0"/>
      <w:numFmt w:val="bullet"/>
      <w:lvlText w:val="•"/>
      <w:lvlJc w:val="left"/>
      <w:pPr>
        <w:ind w:left="8028" w:hanging="418"/>
      </w:pPr>
      <w:rPr>
        <w:rFonts w:hint="default"/>
      </w:rPr>
    </w:lvl>
    <w:lvl w:ilvl="8">
      <w:start w:val="0"/>
      <w:numFmt w:val="bullet"/>
      <w:lvlText w:val="•"/>
      <w:lvlJc w:val="left"/>
      <w:pPr>
        <w:ind w:left="8927" w:hanging="41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849"/>
    </w:pPr>
    <w:rPr>
      <w:rFonts w:ascii="宋体" w:hAnsi="宋体" w:eastAsia="宋体" w:cs="宋体"/>
      <w:sz w:val="21"/>
      <w:szCs w:val="21"/>
    </w:rPr>
  </w:style>
  <w:style w:styleId="Heading1" w:type="paragraph">
    <w:name w:val="Heading 1"/>
    <w:basedOn w:val="Normal"/>
    <w:uiPriority w:val="1"/>
    <w:qFormat/>
    <w:pPr>
      <w:ind w:left="2050" w:right="2214"/>
      <w:jc w:val="center"/>
      <w:outlineLvl w:val="1"/>
    </w:pPr>
    <w:rPr>
      <w:rFonts w:ascii="微软雅黑" w:hAnsi="微软雅黑" w:eastAsia="微软雅黑" w:cs="微软雅黑"/>
      <w:b/>
      <w:bCs/>
      <w:sz w:val="30"/>
      <w:szCs w:val="30"/>
    </w:rPr>
  </w:style>
  <w:style w:styleId="Heading2" w:type="paragraph">
    <w:name w:val="Heading 2"/>
    <w:basedOn w:val="Normal"/>
    <w:uiPriority w:val="1"/>
    <w:qFormat/>
    <w:pPr>
      <w:spacing w:before="23"/>
      <w:ind w:left="1849"/>
      <w:outlineLvl w:val="2"/>
    </w:pPr>
    <w:rPr>
      <w:rFonts w:ascii="宋体" w:hAnsi="宋体" w:eastAsia="宋体" w:cs="宋体"/>
      <w:sz w:val="22"/>
      <w:szCs w:val="22"/>
    </w:rPr>
  </w:style>
  <w:style w:styleId="ListParagraph" w:type="paragraph">
    <w:name w:val="List Paragraph"/>
    <w:basedOn w:val="Normal"/>
    <w:uiPriority w:val="1"/>
    <w:qFormat/>
    <w:pPr>
      <w:spacing w:before="22"/>
      <w:ind w:left="1735" w:hanging="41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dc:title>附加重大疾病保险条款</dc:title>
  <dcterms:created xsi:type="dcterms:W3CDTF">2018-10-20T03:21:19Z</dcterms:created>
  <dcterms:modified xsi:type="dcterms:W3CDTF">2018-10-20T03:21:19Z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2014-07-21T00:00:00Z</vt:filetime>
  </property>
  <property fmtid="{D5CDD505-2E9C-101B-9397-08002B2CF9AE}" pid="3" name="Creator">
    <vt:lpwstr>Microsoft® Office Word 2007</vt:lpwstr>
  </property>
  <property fmtid="{D5CDD505-2E9C-101B-9397-08002B2CF9AE}" pid="4" name="LastSaved">
    <vt:filetime>2018-10-19T00:00:00Z</vt:filetime>
  </property>
</Properties>
</file>