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ind w:right="104"/>
        <w:jc w:val="right"/>
      </w:pPr>
      <w:r>
        <w:rPr/>
        <w:t>泰康养老（2018）疾病保险 002 号</w:t>
      </w:r>
    </w:p>
    <w:p>
      <w:pPr>
        <w:pStyle w:val="BodyText"/>
        <w:spacing w:before="0"/>
        <w:rPr>
          <w:sz w:val="15"/>
        </w:rPr>
      </w:pPr>
    </w:p>
    <w:p>
      <w:pPr>
        <w:spacing w:after="0"/>
        <w:rPr>
          <w:sz w:val="15"/>
        </w:rPr>
        <w:sectPr>
          <w:type w:val="continuous"/>
          <w:pgSz w:w="12240" w:h="15840"/>
          <w:pgMar w:top="900" w:bottom="280" w:left="740" w:right="640"/>
        </w:sectPr>
      </w:pPr>
    </w:p>
    <w:p>
      <w:pPr>
        <w:spacing w:before="15"/>
        <w:ind w:left="1060" w:right="0" w:firstLine="0"/>
        <w:jc w:val="left"/>
        <w:rPr>
          <w:rFonts w:ascii="黑体" w:eastAsia="黑体" w:hint="eastAsia"/>
          <w:sz w:val="28"/>
        </w:rPr>
      </w:pPr>
      <w:r>
        <w:rPr>
          <w:rFonts w:ascii="黑体" w:eastAsia="黑体" w:hint="eastAsia"/>
          <w:spacing w:val="-24"/>
          <w:sz w:val="28"/>
        </w:rPr>
        <w:t>附件 </w:t>
      </w:r>
      <w:r>
        <w:rPr>
          <w:rFonts w:ascii="黑体" w:eastAsia="黑体" w:hint="eastAsia"/>
          <w:sz w:val="28"/>
        </w:rPr>
        <w:t>2</w:t>
      </w:r>
    </w:p>
    <w:p>
      <w:pPr>
        <w:spacing w:line="513" w:lineRule="exact" w:before="300"/>
        <w:ind w:left="247" w:right="2212" w:firstLine="0"/>
        <w:jc w:val="center"/>
        <w:rPr>
          <w:rFonts w:ascii="微软雅黑" w:eastAsia="微软雅黑" w:hint="eastAsia"/>
          <w:b/>
          <w:sz w:val="32"/>
        </w:rPr>
      </w:pPr>
      <w:r>
        <w:rPr/>
        <w:br w:type="column"/>
      </w:r>
      <w:r>
        <w:rPr>
          <w:rFonts w:ascii="微软雅黑" w:eastAsia="微软雅黑" w:hint="eastAsia"/>
          <w:b/>
          <w:w w:val="95"/>
          <w:sz w:val="32"/>
        </w:rPr>
        <w:t>泰康养老保险股份有限公司</w:t>
      </w:r>
    </w:p>
    <w:p>
      <w:pPr>
        <w:spacing w:line="513" w:lineRule="exact" w:before="0"/>
        <w:ind w:left="247" w:right="2212" w:firstLine="0"/>
        <w:jc w:val="center"/>
        <w:rPr>
          <w:rFonts w:ascii="微软雅黑" w:eastAsia="微软雅黑" w:hint="eastAsia"/>
          <w:b/>
          <w:sz w:val="32"/>
        </w:rPr>
      </w:pPr>
      <w:r>
        <w:rPr/>
        <w:drawing>
          <wp:anchor distT="0" distB="0" distL="0" distR="0" allowOverlap="1" layoutInCell="1" locked="0" behindDoc="0" simplePos="0" relativeHeight="0">
            <wp:simplePos x="0" y="0"/>
            <wp:positionH relativeFrom="page">
              <wp:posOffset>6277355</wp:posOffset>
            </wp:positionH>
            <wp:positionV relativeFrom="paragraph">
              <wp:posOffset>-583191</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rFonts w:ascii="微软雅黑" w:eastAsia="微软雅黑" w:hint="eastAsia"/>
          <w:b/>
          <w:sz w:val="32"/>
        </w:rPr>
        <w:t>泰康健康有约团体终身重大疾病保险 B 款条款</w:t>
      </w:r>
    </w:p>
    <w:p>
      <w:pPr>
        <w:spacing w:after="0" w:line="513" w:lineRule="exact"/>
        <w:jc w:val="center"/>
        <w:rPr>
          <w:rFonts w:ascii="微软雅黑" w:eastAsia="微软雅黑" w:hint="eastAsia"/>
          <w:sz w:val="32"/>
        </w:rPr>
        <w:sectPr>
          <w:type w:val="continuous"/>
          <w:pgSz w:w="12240" w:h="15840"/>
          <w:pgMar w:top="900" w:bottom="280" w:left="740" w:right="640"/>
          <w:cols w:num="2" w:equalWidth="0">
            <w:col w:w="1830" w:space="40"/>
            <w:col w:w="8990"/>
          </w:cols>
        </w:sectPr>
      </w:pPr>
    </w:p>
    <w:p>
      <w:pPr>
        <w:spacing w:line="473"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line="218" w:lineRule="exact" w:before="0"/>
        <w:ind w:left="1817"/>
        <w:rPr>
          <w:rFonts w:ascii="仿宋" w:eastAsia="仿宋" w:hint="eastAsia"/>
        </w:rPr>
      </w:pPr>
      <w:r>
        <w:rPr/>
        <w:br w:type="column"/>
      </w:r>
      <w:r>
        <w:rPr>
          <w:rFonts w:ascii="仿宋" w:eastAsia="仿宋" w:hint="eastAsia"/>
          <w:w w:val="95"/>
        </w:rPr>
        <w:t>请扫描以查询验证条款</w:t>
      </w:r>
    </w:p>
    <w:p>
      <w:pPr>
        <w:spacing w:after="0" w:line="218" w:lineRule="exact"/>
        <w:rPr>
          <w:rFonts w:ascii="仿宋" w:eastAsia="仿宋" w:hint="eastAsia"/>
        </w:rPr>
        <w:sectPr>
          <w:type w:val="continuous"/>
          <w:pgSz w:w="12240" w:h="15840"/>
          <w:pgMar w:top="900" w:bottom="280" w:left="740" w:right="640"/>
          <w:cols w:num="2" w:equalWidth="0">
            <w:col w:w="6261" w:space="40"/>
            <w:col w:w="4559"/>
          </w:cols>
        </w:sectPr>
      </w:pPr>
    </w:p>
    <w:p>
      <w:pPr>
        <w:spacing w:line="347" w:lineRule="exact" w:before="129"/>
        <w:ind w:left="651" w:right="0" w:firstLine="0"/>
        <w:jc w:val="left"/>
        <w:rPr>
          <w:sz w:val="21"/>
        </w:rPr>
      </w:pPr>
      <w:r>
        <w:rPr>
          <w:b/>
          <w:spacing w:val="-147"/>
          <w:w w:val="99"/>
          <w:sz w:val="21"/>
        </w:rPr>
        <w:t>本</w:t>
      </w:r>
      <w:r>
        <w:rPr>
          <w:spacing w:val="-61"/>
          <w:w w:val="99"/>
          <w:position w:val="-7"/>
          <w:sz w:val="21"/>
        </w:rPr>
        <w:t>．</w:t>
      </w:r>
      <w:r>
        <w:rPr>
          <w:b/>
          <w:spacing w:val="-147"/>
          <w:w w:val="99"/>
          <w:sz w:val="21"/>
        </w:rPr>
        <w:t>阅</w:t>
      </w:r>
      <w:r>
        <w:rPr>
          <w:spacing w:val="-61"/>
          <w:w w:val="99"/>
          <w:position w:val="-7"/>
          <w:sz w:val="21"/>
        </w:rPr>
        <w:t>．</w:t>
      </w:r>
      <w:r>
        <w:rPr>
          <w:b/>
          <w:spacing w:val="-147"/>
          <w:w w:val="99"/>
          <w:sz w:val="21"/>
        </w:rPr>
        <w:t>读</w:t>
      </w:r>
      <w:r>
        <w:rPr>
          <w:spacing w:val="-61"/>
          <w:w w:val="99"/>
          <w:position w:val="-7"/>
          <w:sz w:val="21"/>
        </w:rPr>
        <w:t>．</w:t>
      </w:r>
      <w:r>
        <w:rPr>
          <w:b/>
          <w:spacing w:val="-148"/>
          <w:w w:val="99"/>
          <w:sz w:val="21"/>
        </w:rPr>
        <w:t>指</w:t>
      </w:r>
      <w:r>
        <w:rPr>
          <w:spacing w:val="-62"/>
          <w:w w:val="99"/>
          <w:position w:val="-7"/>
          <w:sz w:val="21"/>
        </w:rPr>
        <w:t>．</w:t>
      </w:r>
      <w:r>
        <w:rPr>
          <w:b/>
          <w:spacing w:val="-147"/>
          <w:w w:val="99"/>
          <w:sz w:val="21"/>
        </w:rPr>
        <w:t>引</w:t>
      </w:r>
      <w:r>
        <w:rPr>
          <w:spacing w:val="-61"/>
          <w:w w:val="99"/>
          <w:position w:val="-7"/>
          <w:sz w:val="21"/>
        </w:rPr>
        <w:t>．</w:t>
      </w:r>
      <w:r>
        <w:rPr>
          <w:b/>
          <w:spacing w:val="-147"/>
          <w:w w:val="99"/>
          <w:sz w:val="21"/>
        </w:rPr>
        <w:t>有</w:t>
      </w:r>
      <w:r>
        <w:rPr>
          <w:spacing w:val="-61"/>
          <w:w w:val="99"/>
          <w:position w:val="-7"/>
          <w:sz w:val="21"/>
        </w:rPr>
        <w:t>．</w:t>
      </w:r>
      <w:r>
        <w:rPr>
          <w:b/>
          <w:spacing w:val="-147"/>
          <w:w w:val="99"/>
          <w:sz w:val="21"/>
        </w:rPr>
        <w:t>助</w:t>
      </w:r>
      <w:r>
        <w:rPr>
          <w:spacing w:val="-61"/>
          <w:w w:val="99"/>
          <w:position w:val="-7"/>
          <w:sz w:val="21"/>
        </w:rPr>
        <w:t>．</w:t>
      </w:r>
      <w:r>
        <w:rPr>
          <w:b/>
          <w:spacing w:val="-147"/>
          <w:w w:val="99"/>
          <w:sz w:val="21"/>
        </w:rPr>
        <w:t>于</w:t>
      </w:r>
      <w:r>
        <w:rPr>
          <w:spacing w:val="-61"/>
          <w:w w:val="99"/>
          <w:position w:val="-7"/>
          <w:sz w:val="21"/>
        </w:rPr>
        <w:t>．</w:t>
      </w:r>
      <w:r>
        <w:rPr>
          <w:b/>
          <w:spacing w:val="-147"/>
          <w:w w:val="99"/>
          <w:sz w:val="21"/>
        </w:rPr>
        <w:t>投</w:t>
      </w:r>
      <w:r>
        <w:rPr>
          <w:spacing w:val="-61"/>
          <w:w w:val="99"/>
          <w:position w:val="-7"/>
          <w:sz w:val="21"/>
        </w:rPr>
        <w:t>．</w:t>
      </w:r>
      <w:r>
        <w:rPr>
          <w:b/>
          <w:spacing w:val="-148"/>
          <w:w w:val="99"/>
          <w:sz w:val="21"/>
        </w:rPr>
        <w:t>保</w:t>
      </w:r>
      <w:r>
        <w:rPr>
          <w:spacing w:val="-62"/>
          <w:w w:val="99"/>
          <w:position w:val="-7"/>
          <w:sz w:val="21"/>
        </w:rPr>
        <w:t>．</w:t>
      </w:r>
      <w:r>
        <w:rPr>
          <w:b/>
          <w:spacing w:val="-147"/>
          <w:w w:val="99"/>
          <w:sz w:val="21"/>
        </w:rPr>
        <w:t>人</w:t>
      </w:r>
      <w:r>
        <w:rPr>
          <w:spacing w:val="-61"/>
          <w:w w:val="99"/>
          <w:position w:val="-7"/>
          <w:sz w:val="21"/>
        </w:rPr>
        <w:t>．</w:t>
      </w:r>
      <w:r>
        <w:rPr>
          <w:b/>
          <w:spacing w:val="-147"/>
          <w:w w:val="99"/>
          <w:sz w:val="21"/>
        </w:rPr>
        <w:t>理</w:t>
      </w:r>
      <w:r>
        <w:rPr>
          <w:spacing w:val="-61"/>
          <w:w w:val="99"/>
          <w:position w:val="-7"/>
          <w:sz w:val="21"/>
        </w:rPr>
        <w:t>．</w:t>
      </w:r>
      <w:r>
        <w:rPr>
          <w:b/>
          <w:spacing w:val="-147"/>
          <w:w w:val="99"/>
          <w:sz w:val="21"/>
        </w:rPr>
        <w:t>解</w:t>
      </w:r>
      <w:r>
        <w:rPr>
          <w:spacing w:val="-61"/>
          <w:w w:val="99"/>
          <w:position w:val="-7"/>
          <w:sz w:val="21"/>
        </w:rPr>
        <w:t>．</w:t>
      </w:r>
      <w:r>
        <w:rPr>
          <w:b/>
          <w:spacing w:val="-147"/>
          <w:w w:val="99"/>
          <w:sz w:val="21"/>
        </w:rPr>
        <w:t>条</w:t>
      </w:r>
      <w:r>
        <w:rPr>
          <w:spacing w:val="-61"/>
          <w:w w:val="99"/>
          <w:position w:val="-7"/>
          <w:sz w:val="21"/>
        </w:rPr>
        <w:t>．</w:t>
      </w:r>
      <w:r>
        <w:rPr>
          <w:b/>
          <w:spacing w:val="-147"/>
          <w:w w:val="99"/>
          <w:sz w:val="21"/>
        </w:rPr>
        <w:t>款</w:t>
      </w:r>
      <w:r>
        <w:rPr>
          <w:spacing w:val="-61"/>
          <w:w w:val="99"/>
          <w:position w:val="-7"/>
          <w:sz w:val="21"/>
        </w:rPr>
        <w:t>．</w:t>
      </w:r>
      <w:r>
        <w:rPr>
          <w:b/>
          <w:spacing w:val="-148"/>
          <w:w w:val="99"/>
          <w:sz w:val="21"/>
        </w:rPr>
        <w:t>，</w:t>
      </w:r>
      <w:r>
        <w:rPr>
          <w:spacing w:val="-62"/>
          <w:w w:val="99"/>
          <w:position w:val="-7"/>
          <w:sz w:val="21"/>
        </w:rPr>
        <w:t>．</w:t>
      </w:r>
      <w:r>
        <w:rPr>
          <w:b/>
          <w:spacing w:val="-147"/>
          <w:w w:val="99"/>
          <w:sz w:val="21"/>
        </w:rPr>
        <w:t>对</w:t>
      </w:r>
      <w:r>
        <w:rPr>
          <w:spacing w:val="-61"/>
          <w:w w:val="99"/>
          <w:position w:val="-7"/>
          <w:sz w:val="21"/>
        </w:rPr>
        <w:t>．</w:t>
      </w:r>
      <w:r>
        <w:rPr>
          <w:b/>
          <w:spacing w:val="-147"/>
          <w:w w:val="99"/>
          <w:sz w:val="21"/>
        </w:rPr>
        <w:t>本</w:t>
      </w:r>
      <w:r>
        <w:rPr>
          <w:spacing w:val="-61"/>
          <w:w w:val="99"/>
          <w:position w:val="-7"/>
          <w:sz w:val="21"/>
        </w:rPr>
        <w:t>．</w:t>
      </w:r>
      <w:r>
        <w:rPr>
          <w:b/>
          <w:spacing w:val="-147"/>
          <w:w w:val="99"/>
          <w:sz w:val="21"/>
        </w:rPr>
        <w:t>合</w:t>
      </w:r>
      <w:r>
        <w:rPr>
          <w:spacing w:val="-61"/>
          <w:w w:val="99"/>
          <w:position w:val="-7"/>
          <w:sz w:val="21"/>
        </w:rPr>
        <w:t>．</w:t>
      </w:r>
      <w:r>
        <w:rPr>
          <w:b/>
          <w:spacing w:val="-147"/>
          <w:w w:val="99"/>
          <w:sz w:val="21"/>
        </w:rPr>
        <w:t>同</w:t>
      </w:r>
      <w:r>
        <w:rPr>
          <w:spacing w:val="-61"/>
          <w:w w:val="99"/>
          <w:position w:val="-7"/>
          <w:sz w:val="21"/>
        </w:rPr>
        <w:t>．</w:t>
      </w:r>
      <w:r>
        <w:rPr>
          <w:b/>
          <w:spacing w:val="-147"/>
          <w:w w:val="99"/>
          <w:sz w:val="21"/>
        </w:rPr>
        <w:t>内</w:t>
      </w:r>
      <w:r>
        <w:rPr>
          <w:spacing w:val="-61"/>
          <w:w w:val="99"/>
          <w:position w:val="-7"/>
          <w:sz w:val="21"/>
        </w:rPr>
        <w:t>．</w:t>
      </w:r>
      <w:r>
        <w:rPr>
          <w:b/>
          <w:spacing w:val="-147"/>
          <w:w w:val="99"/>
          <w:sz w:val="21"/>
        </w:rPr>
        <w:t>容</w:t>
      </w:r>
      <w:r>
        <w:rPr>
          <w:spacing w:val="-61"/>
          <w:w w:val="99"/>
          <w:position w:val="-7"/>
          <w:sz w:val="21"/>
        </w:rPr>
        <w:t>．</w:t>
      </w:r>
      <w:r>
        <w:rPr>
          <w:b/>
          <w:spacing w:val="-148"/>
          <w:w w:val="99"/>
          <w:sz w:val="21"/>
        </w:rPr>
        <w:t>的</w:t>
      </w:r>
      <w:r>
        <w:rPr>
          <w:spacing w:val="-62"/>
          <w:w w:val="99"/>
          <w:position w:val="-7"/>
          <w:sz w:val="21"/>
        </w:rPr>
        <w:t>．</w:t>
      </w:r>
      <w:r>
        <w:rPr>
          <w:b/>
          <w:spacing w:val="-147"/>
          <w:w w:val="99"/>
          <w:sz w:val="21"/>
        </w:rPr>
        <w:t>解</w:t>
      </w:r>
      <w:r>
        <w:rPr>
          <w:spacing w:val="-61"/>
          <w:w w:val="99"/>
          <w:position w:val="-7"/>
          <w:sz w:val="21"/>
        </w:rPr>
        <w:t>．</w:t>
      </w:r>
      <w:r>
        <w:rPr>
          <w:b/>
          <w:spacing w:val="-147"/>
          <w:w w:val="99"/>
          <w:sz w:val="21"/>
        </w:rPr>
        <w:t>释</w:t>
      </w:r>
      <w:r>
        <w:rPr>
          <w:spacing w:val="-61"/>
          <w:w w:val="99"/>
          <w:position w:val="-7"/>
          <w:sz w:val="21"/>
        </w:rPr>
        <w:t>．</w:t>
      </w:r>
      <w:r>
        <w:rPr>
          <w:b/>
          <w:spacing w:val="-147"/>
          <w:w w:val="99"/>
          <w:sz w:val="21"/>
        </w:rPr>
        <w:t>凡</w:t>
      </w:r>
      <w:r>
        <w:rPr>
          <w:spacing w:val="-61"/>
          <w:w w:val="99"/>
          <w:position w:val="-7"/>
          <w:sz w:val="21"/>
        </w:rPr>
        <w:t>．</w:t>
      </w:r>
      <w:r>
        <w:rPr>
          <w:b/>
          <w:spacing w:val="-147"/>
          <w:w w:val="99"/>
          <w:sz w:val="21"/>
        </w:rPr>
        <w:t>条</w:t>
      </w:r>
      <w:r>
        <w:rPr>
          <w:spacing w:val="-61"/>
          <w:w w:val="99"/>
          <w:position w:val="-7"/>
          <w:sz w:val="21"/>
        </w:rPr>
        <w:t>．</w:t>
      </w:r>
      <w:r>
        <w:rPr>
          <w:b/>
          <w:spacing w:val="-147"/>
          <w:w w:val="99"/>
          <w:sz w:val="21"/>
        </w:rPr>
        <w:t>款</w:t>
      </w:r>
      <w:r>
        <w:rPr>
          <w:spacing w:val="-61"/>
          <w:w w:val="99"/>
          <w:position w:val="-7"/>
          <w:sz w:val="21"/>
        </w:rPr>
        <w:t>．</w:t>
      </w:r>
      <w:r>
        <w:rPr>
          <w:b/>
          <w:spacing w:val="-148"/>
          <w:w w:val="99"/>
          <w:sz w:val="21"/>
        </w:rPr>
        <w:t>已</w:t>
      </w:r>
      <w:r>
        <w:rPr>
          <w:spacing w:val="-62"/>
          <w:w w:val="99"/>
          <w:position w:val="-7"/>
          <w:sz w:val="21"/>
        </w:rPr>
        <w:t>．</w:t>
      </w:r>
      <w:r>
        <w:rPr>
          <w:b/>
          <w:spacing w:val="-147"/>
          <w:w w:val="99"/>
          <w:sz w:val="21"/>
        </w:rPr>
        <w:t>有</w:t>
      </w:r>
      <w:r>
        <w:rPr>
          <w:spacing w:val="-61"/>
          <w:w w:val="99"/>
          <w:position w:val="-7"/>
          <w:sz w:val="21"/>
        </w:rPr>
        <w:t>．</w:t>
      </w:r>
      <w:r>
        <w:rPr>
          <w:b/>
          <w:spacing w:val="-147"/>
          <w:w w:val="99"/>
          <w:sz w:val="21"/>
        </w:rPr>
        <w:t>约</w:t>
      </w:r>
      <w:r>
        <w:rPr>
          <w:spacing w:val="-61"/>
          <w:w w:val="99"/>
          <w:position w:val="-7"/>
          <w:sz w:val="21"/>
        </w:rPr>
        <w:t>．</w:t>
      </w:r>
      <w:r>
        <w:rPr>
          <w:b/>
          <w:spacing w:val="-147"/>
          <w:w w:val="99"/>
          <w:sz w:val="21"/>
        </w:rPr>
        <w:t>定</w:t>
      </w:r>
      <w:r>
        <w:rPr>
          <w:spacing w:val="-61"/>
          <w:w w:val="99"/>
          <w:position w:val="-7"/>
          <w:sz w:val="21"/>
        </w:rPr>
        <w:t>．</w:t>
      </w:r>
      <w:r>
        <w:rPr>
          <w:b/>
          <w:spacing w:val="-147"/>
          <w:w w:val="99"/>
          <w:sz w:val="21"/>
        </w:rPr>
        <w:t>的</w:t>
      </w:r>
      <w:r>
        <w:rPr>
          <w:spacing w:val="-61"/>
          <w:w w:val="99"/>
          <w:position w:val="-7"/>
          <w:sz w:val="21"/>
        </w:rPr>
        <w:t>．</w:t>
      </w:r>
      <w:r>
        <w:rPr>
          <w:b/>
          <w:spacing w:val="-147"/>
          <w:w w:val="99"/>
          <w:sz w:val="21"/>
        </w:rPr>
        <w:t>，</w:t>
      </w:r>
      <w:r>
        <w:rPr>
          <w:spacing w:val="-61"/>
          <w:w w:val="99"/>
          <w:position w:val="-7"/>
          <w:sz w:val="21"/>
        </w:rPr>
        <w:t>．</w:t>
      </w:r>
      <w:r>
        <w:rPr>
          <w:b/>
          <w:spacing w:val="-148"/>
          <w:w w:val="99"/>
          <w:sz w:val="21"/>
        </w:rPr>
        <w:t>以</w:t>
      </w:r>
      <w:r>
        <w:rPr>
          <w:spacing w:val="-62"/>
          <w:w w:val="99"/>
          <w:position w:val="-7"/>
          <w:sz w:val="21"/>
        </w:rPr>
        <w:t>．</w:t>
      </w:r>
      <w:r>
        <w:rPr>
          <w:b/>
          <w:spacing w:val="-147"/>
          <w:w w:val="99"/>
          <w:sz w:val="21"/>
        </w:rPr>
        <w:t>本</w:t>
      </w:r>
      <w:r>
        <w:rPr>
          <w:spacing w:val="-61"/>
          <w:w w:val="99"/>
          <w:position w:val="-7"/>
          <w:sz w:val="21"/>
        </w:rPr>
        <w:t>．</w:t>
      </w:r>
      <w:r>
        <w:rPr>
          <w:b/>
          <w:spacing w:val="-147"/>
          <w:w w:val="99"/>
          <w:sz w:val="21"/>
        </w:rPr>
        <w:t>条</w:t>
      </w:r>
      <w:r>
        <w:rPr>
          <w:spacing w:val="-61"/>
          <w:w w:val="99"/>
          <w:position w:val="-7"/>
          <w:sz w:val="21"/>
        </w:rPr>
        <w:t>．</w:t>
      </w:r>
      <w:r>
        <w:rPr>
          <w:b/>
          <w:spacing w:val="-147"/>
          <w:w w:val="99"/>
          <w:sz w:val="21"/>
        </w:rPr>
        <w:t>款</w:t>
      </w:r>
      <w:r>
        <w:rPr>
          <w:spacing w:val="-61"/>
          <w:w w:val="99"/>
          <w:position w:val="-7"/>
          <w:sz w:val="21"/>
        </w:rPr>
        <w:t>．</w:t>
      </w:r>
      <w:r>
        <w:rPr>
          <w:b/>
          <w:spacing w:val="-147"/>
          <w:w w:val="99"/>
          <w:sz w:val="21"/>
        </w:rPr>
        <w:t>约</w:t>
      </w:r>
      <w:r>
        <w:rPr>
          <w:spacing w:val="-61"/>
          <w:w w:val="99"/>
          <w:position w:val="-7"/>
          <w:sz w:val="21"/>
        </w:rPr>
        <w:t>．</w:t>
      </w:r>
      <w:r>
        <w:rPr>
          <w:b/>
          <w:spacing w:val="-147"/>
          <w:w w:val="99"/>
          <w:sz w:val="21"/>
        </w:rPr>
        <w:t>定</w:t>
      </w:r>
      <w:r>
        <w:rPr>
          <w:spacing w:val="-61"/>
          <w:w w:val="99"/>
          <w:position w:val="-7"/>
          <w:sz w:val="21"/>
        </w:rPr>
        <w:t>．</w:t>
      </w:r>
      <w:r>
        <w:rPr>
          <w:b/>
          <w:spacing w:val="-147"/>
          <w:w w:val="99"/>
          <w:sz w:val="21"/>
        </w:rPr>
        <w:t>为</w:t>
      </w:r>
      <w:r>
        <w:rPr>
          <w:spacing w:val="-61"/>
          <w:w w:val="99"/>
          <w:position w:val="-7"/>
          <w:sz w:val="21"/>
        </w:rPr>
        <w:t>．</w:t>
      </w:r>
      <w:r>
        <w:rPr>
          <w:b/>
          <w:spacing w:val="-148"/>
          <w:w w:val="99"/>
          <w:sz w:val="21"/>
        </w:rPr>
        <w:t>准</w:t>
      </w:r>
      <w:r>
        <w:rPr>
          <w:spacing w:val="-59"/>
          <w:w w:val="99"/>
          <w:position w:val="-7"/>
          <w:sz w:val="21"/>
        </w:rPr>
        <w:t>．</w:t>
      </w:r>
      <w:r>
        <w:rPr>
          <w:b/>
          <w:spacing w:val="-149"/>
          <w:w w:val="99"/>
          <w:sz w:val="21"/>
        </w:rPr>
        <w:t>。</w:t>
      </w:r>
      <w:r>
        <w:rPr>
          <w:w w:val="99"/>
          <w:position w:val="-7"/>
          <w:sz w:val="21"/>
        </w:rPr>
        <w:t>．</w:t>
      </w:r>
    </w:p>
    <w:p>
      <w:pPr>
        <w:pStyle w:val="BodyText"/>
        <w:spacing w:before="0" w:after="45"/>
        <w:ind w:left="635" w:right="586"/>
      </w:pPr>
      <w:r>
        <w:rPr>
          <w:spacing w:val="-4"/>
          <w:w w:val="95"/>
        </w:rPr>
        <w:t>在本条款中，“本公司”指在保险单上签章的泰康养老保险股份有限公司的分公司，“本合同”指投保人   </w:t>
      </w:r>
      <w:r>
        <w:rPr>
          <w:spacing w:val="-7"/>
        </w:rPr>
        <w:t>与本公司之间订立的“泰康健康有约团体终身重大疾病保险 </w:t>
      </w:r>
      <w:r>
        <w:rPr/>
        <w:t>B</w:t>
      </w:r>
      <w:r>
        <w:rPr>
          <w:spacing w:val="-30"/>
        </w:rPr>
        <w:t> 款合同”。</w:t>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79"/>
        <w:gridCol w:w="3647"/>
        <w:gridCol w:w="932"/>
        <w:gridCol w:w="2462"/>
      </w:tblGrid>
      <w:tr>
        <w:trPr>
          <w:trHeight w:val="5219" w:hRule="atLeast"/>
        </w:trPr>
        <w:tc>
          <w:tcPr>
            <w:tcW w:w="10520" w:type="dxa"/>
            <w:gridSpan w:val="4"/>
            <w:tcBorders>
              <w:top w:val="single" w:sz="4" w:space="0" w:color="000000"/>
              <w:left w:val="single" w:sz="4" w:space="0" w:color="000000"/>
              <w:right w:val="single" w:sz="4" w:space="0" w:color="000000"/>
            </w:tcBorders>
          </w:tcPr>
          <w:p>
            <w:pPr>
              <w:pStyle w:val="TableParagraph"/>
              <w:tabs>
                <w:tab w:pos="1117" w:val="left" w:leader="none"/>
              </w:tabs>
              <w:spacing w:line="531" w:lineRule="exact"/>
              <w:ind w:left="106"/>
              <w:rPr>
                <w:b/>
                <w:sz w:val="21"/>
              </w:rPr>
            </w:pPr>
            <w:r>
              <w:rPr>
                <w:rFonts w:ascii="Arial" w:hAnsi="Arial" w:eastAsia="Arial"/>
                <w:b/>
                <w:w w:val="105"/>
                <w:position w:val="-11"/>
                <w:sz w:val="52"/>
              </w:rPr>
              <w:t></w:t>
              <w:tab/>
            </w:r>
            <w:r>
              <w:rPr>
                <w:b/>
                <w:w w:val="95"/>
                <w:sz w:val="21"/>
              </w:rPr>
              <w:t>投保人拥有的重要权益</w:t>
            </w:r>
          </w:p>
          <w:p>
            <w:pPr>
              <w:pStyle w:val="TableParagraph"/>
              <w:numPr>
                <w:ilvl w:val="0"/>
                <w:numId w:val="1"/>
              </w:numPr>
              <w:tabs>
                <w:tab w:pos="1126" w:val="left" w:leader="none"/>
                <w:tab w:pos="1127" w:val="left" w:leader="none"/>
              </w:tabs>
              <w:spacing w:line="265" w:lineRule="exact" w:before="0" w:after="0"/>
              <w:ind w:left="1126" w:right="0" w:hanging="388"/>
              <w:jc w:val="left"/>
              <w:rPr>
                <w:sz w:val="21"/>
              </w:rPr>
            </w:pPr>
            <w:r>
              <w:rPr>
                <w:spacing w:val="-6"/>
                <w:sz w:val="21"/>
              </w:rPr>
              <w:t>签收本合同次日零时起 </w:t>
            </w:r>
            <w:r>
              <w:rPr>
                <w:sz w:val="21"/>
              </w:rPr>
              <w:t>15</w:t>
            </w:r>
            <w:r>
              <w:rPr>
                <w:spacing w:val="-32"/>
                <w:sz w:val="21"/>
              </w:rPr>
              <w:t> 日</w:t>
            </w:r>
            <w:r>
              <w:rPr>
                <w:sz w:val="21"/>
              </w:rPr>
              <w:t>（即犹豫期）内投保人若要求解除合同，本公司仅扣除工本费..1.5</w:t>
            </w:r>
          </w:p>
          <w:p>
            <w:pPr>
              <w:pStyle w:val="TableParagraph"/>
              <w:numPr>
                <w:ilvl w:val="0"/>
                <w:numId w:val="1"/>
              </w:numPr>
              <w:tabs>
                <w:tab w:pos="1126" w:val="left" w:leader="none"/>
                <w:tab w:pos="1127" w:val="left" w:leader="none"/>
                <w:tab w:pos="9948" w:val="right" w:leader="dot"/>
              </w:tabs>
              <w:spacing w:line="272" w:lineRule="exact" w:before="0" w:after="0"/>
              <w:ind w:left="1126" w:right="0" w:hanging="388"/>
              <w:jc w:val="left"/>
              <w:rPr>
                <w:sz w:val="21"/>
              </w:rPr>
            </w:pPr>
            <w:r>
              <w:rPr>
                <w:sz w:val="21"/>
              </w:rPr>
              <w:t>本合同提供的保障在保险责任条款中列明</w:t>
              <w:tab/>
              <w:t>2.4</w:t>
            </w:r>
          </w:p>
          <w:p>
            <w:pPr>
              <w:pStyle w:val="TableParagraph"/>
              <w:numPr>
                <w:ilvl w:val="0"/>
                <w:numId w:val="1"/>
              </w:numPr>
              <w:tabs>
                <w:tab w:pos="1126" w:val="left" w:leader="none"/>
                <w:tab w:pos="1127" w:val="left" w:leader="none"/>
                <w:tab w:pos="9948" w:val="right" w:leader="dot"/>
              </w:tabs>
              <w:spacing w:line="264" w:lineRule="exact" w:before="0" w:after="0"/>
              <w:ind w:left="1126" w:right="0" w:hanging="388"/>
              <w:jc w:val="left"/>
              <w:rPr>
                <w:sz w:val="21"/>
              </w:rPr>
            </w:pPr>
            <w:r>
              <w:rPr>
                <w:sz w:val="21"/>
              </w:rPr>
              <w:t>投保人有解除合同的权利</w:t>
              <w:tab/>
              <w:t>7.1</w:t>
            </w:r>
          </w:p>
          <w:p>
            <w:pPr>
              <w:pStyle w:val="TableParagraph"/>
              <w:tabs>
                <w:tab w:pos="1117" w:val="left" w:leader="none"/>
              </w:tabs>
              <w:spacing w:line="565" w:lineRule="exact"/>
              <w:ind w:left="106"/>
              <w:rPr>
                <w:b/>
                <w:sz w:val="21"/>
              </w:rPr>
            </w:pPr>
            <w:r>
              <w:rPr>
                <w:rFonts w:ascii="Arial" w:hAnsi="Arial" w:eastAsia="Arial"/>
                <w:b/>
                <w:w w:val="105"/>
                <w:position w:val="-11"/>
                <w:sz w:val="52"/>
              </w:rPr>
              <w:t></w:t>
              <w:tab/>
            </w:r>
            <w:r>
              <w:rPr>
                <w:b/>
                <w:w w:val="95"/>
                <w:sz w:val="21"/>
              </w:rPr>
              <w:t>投保人应当特别注意的事项</w:t>
            </w:r>
          </w:p>
          <w:p>
            <w:pPr>
              <w:pStyle w:val="TableParagraph"/>
              <w:numPr>
                <w:ilvl w:val="0"/>
                <w:numId w:val="1"/>
              </w:numPr>
              <w:tabs>
                <w:tab w:pos="1126" w:val="left" w:leader="none"/>
                <w:tab w:pos="1127" w:val="left" w:leader="none"/>
                <w:tab w:pos="9948" w:val="right" w:leader="dot"/>
              </w:tabs>
              <w:spacing w:line="263" w:lineRule="exact" w:before="0" w:after="0"/>
              <w:ind w:left="1126" w:right="0" w:hanging="388"/>
              <w:jc w:val="left"/>
              <w:rPr>
                <w:sz w:val="21"/>
              </w:rPr>
            </w:pPr>
            <w:r>
              <w:rPr>
                <w:rFonts w:ascii="黑体" w:eastAsia="黑体" w:hint="eastAsia"/>
                <w:sz w:val="21"/>
              </w:rPr>
              <w:t>在某些情况下，本公司不承担保险责任</w:t>
              <w:tab/>
            </w:r>
            <w:r>
              <w:rPr>
                <w:sz w:val="21"/>
              </w:rPr>
              <w:t>2.5</w:t>
            </w:r>
          </w:p>
          <w:p>
            <w:pPr>
              <w:pStyle w:val="TableParagraph"/>
              <w:numPr>
                <w:ilvl w:val="0"/>
                <w:numId w:val="1"/>
              </w:numPr>
              <w:tabs>
                <w:tab w:pos="1126" w:val="left" w:leader="none"/>
                <w:tab w:pos="1127" w:val="left" w:leader="none"/>
                <w:tab w:pos="9948" w:val="right" w:leader="dot"/>
              </w:tabs>
              <w:spacing w:line="272" w:lineRule="exact" w:before="0" w:after="0"/>
              <w:ind w:left="1126" w:right="0" w:hanging="388"/>
              <w:jc w:val="left"/>
              <w:rPr>
                <w:sz w:val="21"/>
              </w:rPr>
            </w:pPr>
            <w:r>
              <w:rPr>
                <w:rFonts w:ascii="黑体" w:eastAsia="黑体" w:hint="eastAsia"/>
                <w:sz w:val="21"/>
              </w:rPr>
              <w:t>保险事故发Th后，请投保人及时通知本公司</w:t>
              <w:tab/>
            </w:r>
            <w:r>
              <w:rPr>
                <w:sz w:val="21"/>
              </w:rPr>
              <w:t>3.2</w:t>
            </w:r>
          </w:p>
          <w:p>
            <w:pPr>
              <w:pStyle w:val="TableParagraph"/>
              <w:numPr>
                <w:ilvl w:val="0"/>
                <w:numId w:val="1"/>
              </w:numPr>
              <w:tabs>
                <w:tab w:pos="1126" w:val="left" w:leader="none"/>
                <w:tab w:pos="1127" w:val="left" w:leader="none"/>
                <w:tab w:pos="9948" w:val="right" w:leader="dot"/>
              </w:tabs>
              <w:spacing w:line="272" w:lineRule="exact" w:before="0" w:after="0"/>
              <w:ind w:left="1126" w:right="0" w:hanging="388"/>
              <w:jc w:val="left"/>
              <w:rPr>
                <w:sz w:val="21"/>
              </w:rPr>
            </w:pPr>
            <w:r>
              <w:rPr>
                <w:rFonts w:ascii="黑体" w:eastAsia="黑体" w:hint="eastAsia"/>
                <w:sz w:val="21"/>
              </w:rPr>
              <w:t>投保人应当按时交纳保险费</w:t>
              <w:tab/>
            </w:r>
            <w:r>
              <w:rPr>
                <w:sz w:val="21"/>
              </w:rPr>
              <w:t>4.1</w:t>
            </w:r>
          </w:p>
          <w:p>
            <w:pPr>
              <w:pStyle w:val="TableParagraph"/>
              <w:numPr>
                <w:ilvl w:val="0"/>
                <w:numId w:val="1"/>
              </w:numPr>
              <w:tabs>
                <w:tab w:pos="1126" w:val="left" w:leader="none"/>
                <w:tab w:pos="1127" w:val="left" w:leader="none"/>
                <w:tab w:pos="9948" w:val="right" w:leader="dot"/>
              </w:tabs>
              <w:spacing w:line="272" w:lineRule="exact" w:before="0" w:after="0"/>
              <w:ind w:left="1126" w:right="0" w:hanging="388"/>
              <w:jc w:val="left"/>
              <w:rPr>
                <w:sz w:val="21"/>
              </w:rPr>
            </w:pPr>
            <w:r>
              <w:rPr>
                <w:rFonts w:ascii="黑体" w:eastAsia="黑体" w:hint="eastAsia"/>
                <w:sz w:val="21"/>
              </w:rPr>
              <w:t>解除合同会造成一定的损失，请投保人慎重决策</w:t>
              <w:tab/>
            </w:r>
            <w:r>
              <w:rPr>
                <w:sz w:val="21"/>
              </w:rPr>
              <w:t>7.1</w:t>
            </w:r>
          </w:p>
          <w:p>
            <w:pPr>
              <w:pStyle w:val="TableParagraph"/>
              <w:numPr>
                <w:ilvl w:val="0"/>
                <w:numId w:val="1"/>
              </w:numPr>
              <w:tabs>
                <w:tab w:pos="1126" w:val="left" w:leader="none"/>
                <w:tab w:pos="1127" w:val="left" w:leader="none"/>
                <w:tab w:pos="9948" w:val="right" w:leader="dot"/>
              </w:tabs>
              <w:spacing w:line="272" w:lineRule="exact" w:before="0" w:after="0"/>
              <w:ind w:left="1126" w:right="0" w:hanging="388"/>
              <w:jc w:val="left"/>
              <w:rPr>
                <w:sz w:val="21"/>
              </w:rPr>
            </w:pPr>
            <w:r>
              <w:rPr>
                <w:rFonts w:ascii="黑体" w:eastAsia="黑体" w:hint="eastAsia"/>
                <w:sz w:val="21"/>
              </w:rPr>
              <w:t>投保人有如实告知的义务</w:t>
              <w:tab/>
            </w:r>
            <w:r>
              <w:rPr>
                <w:sz w:val="21"/>
              </w:rPr>
              <w:t>8.1</w:t>
            </w:r>
          </w:p>
          <w:p>
            <w:pPr>
              <w:pStyle w:val="TableParagraph"/>
              <w:numPr>
                <w:ilvl w:val="0"/>
                <w:numId w:val="1"/>
              </w:numPr>
              <w:tabs>
                <w:tab w:pos="1126" w:val="left" w:leader="none"/>
                <w:tab w:pos="1127" w:val="left" w:leader="none"/>
                <w:tab w:pos="9739" w:val="right" w:leader="dot"/>
              </w:tabs>
              <w:spacing w:line="272" w:lineRule="exact" w:before="0" w:after="0"/>
              <w:ind w:left="1126" w:right="0" w:hanging="388"/>
              <w:jc w:val="left"/>
              <w:rPr>
                <w:sz w:val="21"/>
              </w:rPr>
            </w:pPr>
            <w:r>
              <w:rPr>
                <w:rFonts w:ascii="黑体" w:eastAsia="黑体" w:hint="eastAsia"/>
                <w:sz w:val="21"/>
              </w:rPr>
              <w:t>本合同对重大疾病进行了明确定义，请投保人仔细阅读</w:t>
              <w:tab/>
            </w:r>
            <w:r>
              <w:rPr>
                <w:sz w:val="21"/>
              </w:rPr>
              <w:t>9</w:t>
            </w:r>
          </w:p>
          <w:p>
            <w:pPr>
              <w:pStyle w:val="TableParagraph"/>
              <w:numPr>
                <w:ilvl w:val="0"/>
                <w:numId w:val="1"/>
              </w:numPr>
              <w:tabs>
                <w:tab w:pos="1126" w:val="left" w:leader="none"/>
                <w:tab w:pos="1127" w:val="left" w:leader="none"/>
                <w:tab w:pos="9842" w:val="right" w:leader="dot"/>
              </w:tabs>
              <w:spacing w:line="272" w:lineRule="exact" w:before="0" w:after="0"/>
              <w:ind w:left="1126" w:right="0" w:hanging="388"/>
              <w:jc w:val="left"/>
              <w:rPr>
                <w:sz w:val="21"/>
              </w:rPr>
            </w:pPr>
            <w:r>
              <w:rPr>
                <w:rFonts w:ascii="黑体" w:eastAsia="黑体" w:hint="eastAsia"/>
                <w:sz w:val="21"/>
              </w:rPr>
              <w:t>本合同对轻症疾病进行了明确定义，请投保人仔细阅读</w:t>
              <w:tab/>
            </w:r>
            <w:r>
              <w:rPr>
                <w:sz w:val="21"/>
              </w:rPr>
              <w:t>10</w:t>
            </w:r>
          </w:p>
          <w:p>
            <w:pPr>
              <w:pStyle w:val="TableParagraph"/>
              <w:numPr>
                <w:ilvl w:val="0"/>
                <w:numId w:val="1"/>
              </w:numPr>
              <w:tabs>
                <w:tab w:pos="1126" w:val="left" w:leader="none"/>
                <w:tab w:pos="1127" w:val="left" w:leader="none"/>
                <w:tab w:pos="9842" w:val="right" w:leader="dot"/>
              </w:tabs>
              <w:spacing w:line="264" w:lineRule="exact" w:before="0" w:after="0"/>
              <w:ind w:left="1126" w:right="0" w:hanging="388"/>
              <w:jc w:val="left"/>
              <w:rPr>
                <w:sz w:val="21"/>
              </w:rPr>
            </w:pPr>
            <w:r>
              <w:rPr>
                <w:rFonts w:ascii="黑体" w:eastAsia="黑体" w:hint="eastAsia"/>
                <w:sz w:val="21"/>
              </w:rPr>
              <w:t>本公司对一些重要术语进行了解释，并作了显著标识，请投保人注意</w:t>
              <w:tab/>
            </w:r>
            <w:r>
              <w:rPr>
                <w:sz w:val="21"/>
              </w:rPr>
              <w:t>11</w:t>
            </w:r>
          </w:p>
          <w:p>
            <w:pPr>
              <w:pStyle w:val="TableParagraph"/>
              <w:tabs>
                <w:tab w:pos="1117" w:val="left" w:leader="none"/>
              </w:tabs>
              <w:spacing w:line="556" w:lineRule="exact"/>
              <w:ind w:left="106"/>
              <w:rPr>
                <w:b/>
                <w:sz w:val="21"/>
              </w:rPr>
            </w:pPr>
            <w:r>
              <w:rPr>
                <w:rFonts w:ascii="Arial" w:hAnsi="Arial" w:eastAsia="Arial"/>
                <w:b/>
                <w:w w:val="105"/>
                <w:position w:val="-11"/>
                <w:sz w:val="52"/>
              </w:rPr>
              <w:t></w:t>
              <w:tab/>
            </w:r>
            <w:r>
              <w:rPr>
                <w:b/>
                <w:w w:val="95"/>
                <w:sz w:val="21"/>
              </w:rPr>
              <w:t>条款是保险合同的重要内容，为充分保障投保人的权益，请投保人仔细阅读本条款。</w:t>
            </w:r>
          </w:p>
          <w:p>
            <w:pPr>
              <w:pStyle w:val="TableParagraph"/>
              <w:tabs>
                <w:tab w:pos="1117" w:val="left" w:leader="none"/>
              </w:tabs>
              <w:spacing w:line="573" w:lineRule="exact"/>
              <w:ind w:left="106"/>
              <w:rPr>
                <w:b/>
                <w:sz w:val="21"/>
              </w:rPr>
            </w:pPr>
            <w:r>
              <w:rPr>
                <w:rFonts w:ascii="Arial" w:hAnsi="Arial" w:eastAsia="Arial"/>
                <w:b/>
                <w:w w:val="105"/>
                <w:position w:val="-11"/>
                <w:sz w:val="52"/>
              </w:rPr>
              <w:t></w:t>
              <w:tab/>
            </w:r>
            <w:r>
              <w:rPr>
                <w:b/>
                <w:w w:val="95"/>
                <w:sz w:val="21"/>
              </w:rPr>
              <w:t>条款目录</w:t>
            </w:r>
          </w:p>
        </w:tc>
      </w:tr>
      <w:tr>
        <w:trPr>
          <w:trHeight w:val="240" w:hRule="atLeast"/>
        </w:trPr>
        <w:tc>
          <w:tcPr>
            <w:tcW w:w="3479" w:type="dxa"/>
            <w:tcBorders>
              <w:left w:val="single" w:sz="4" w:space="0" w:color="000000"/>
            </w:tcBorders>
          </w:tcPr>
          <w:p>
            <w:pPr>
              <w:pStyle w:val="TableParagraph"/>
              <w:tabs>
                <w:tab w:pos="639" w:val="left" w:leader="none"/>
              </w:tabs>
              <w:spacing w:line="209" w:lineRule="exact"/>
              <w:ind w:left="214"/>
              <w:rPr>
                <w:b/>
                <w:sz w:val="21"/>
              </w:rPr>
            </w:pPr>
            <w:r>
              <w:rPr>
                <w:b/>
                <w:sz w:val="21"/>
              </w:rPr>
              <w:t>1.</w:t>
              <w:tab/>
            </w:r>
            <w:r>
              <w:rPr>
                <w:b/>
                <w:w w:val="95"/>
                <w:sz w:val="21"/>
              </w:rPr>
              <w:t>合同的订立</w:t>
            </w:r>
          </w:p>
        </w:tc>
        <w:tc>
          <w:tcPr>
            <w:tcW w:w="3647" w:type="dxa"/>
          </w:tcPr>
          <w:p>
            <w:pPr>
              <w:pStyle w:val="TableParagraph"/>
              <w:tabs>
                <w:tab w:pos="1168" w:val="left" w:leader="none"/>
              </w:tabs>
              <w:spacing w:line="209" w:lineRule="exact"/>
              <w:ind w:left="602"/>
              <w:rPr>
                <w:sz w:val="21"/>
              </w:rPr>
            </w:pPr>
            <w:r>
              <w:rPr>
                <w:sz w:val="21"/>
              </w:rPr>
              <w:t>5.3</w:t>
              <w:tab/>
            </w:r>
            <w:r>
              <w:rPr>
                <w:w w:val="95"/>
                <w:sz w:val="21"/>
              </w:rPr>
              <w:t>减额交清</w:t>
            </w:r>
          </w:p>
        </w:tc>
        <w:tc>
          <w:tcPr>
            <w:tcW w:w="932" w:type="dxa"/>
          </w:tcPr>
          <w:p>
            <w:pPr>
              <w:pStyle w:val="TableParagraph"/>
              <w:spacing w:line="209" w:lineRule="exact"/>
              <w:ind w:right="118"/>
              <w:jc w:val="right"/>
              <w:rPr>
                <w:sz w:val="21"/>
              </w:rPr>
            </w:pPr>
            <w:r>
              <w:rPr>
                <w:w w:val="95"/>
                <w:sz w:val="21"/>
              </w:rPr>
              <w:t>11.5</w:t>
            </w:r>
          </w:p>
        </w:tc>
        <w:tc>
          <w:tcPr>
            <w:tcW w:w="2462" w:type="dxa"/>
            <w:tcBorders>
              <w:right w:val="single" w:sz="4" w:space="0" w:color="000000"/>
            </w:tcBorders>
          </w:tcPr>
          <w:p>
            <w:pPr>
              <w:pStyle w:val="TableParagraph"/>
              <w:spacing w:line="209" w:lineRule="exact"/>
              <w:ind w:left="26"/>
              <w:rPr>
                <w:sz w:val="21"/>
              </w:rPr>
            </w:pPr>
            <w:r>
              <w:rPr>
                <w:w w:val="95"/>
                <w:sz w:val="21"/>
              </w:rPr>
              <w:t>周岁</w:t>
            </w:r>
          </w:p>
        </w:tc>
      </w:tr>
      <w:tr>
        <w:trPr>
          <w:trHeight w:val="272"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1.1</w:t>
              <w:tab/>
            </w:r>
            <w:r>
              <w:rPr>
                <w:w w:val="95"/>
                <w:sz w:val="21"/>
              </w:rPr>
              <w:t>合同构成</w:t>
            </w:r>
          </w:p>
        </w:tc>
        <w:tc>
          <w:tcPr>
            <w:tcW w:w="3647" w:type="dxa"/>
          </w:tcPr>
          <w:p>
            <w:pPr>
              <w:pStyle w:val="TableParagraph"/>
              <w:tabs>
                <w:tab w:pos="602" w:val="left" w:leader="none"/>
              </w:tabs>
              <w:spacing w:line="240" w:lineRule="exact"/>
              <w:ind w:left="177"/>
              <w:rPr>
                <w:b/>
                <w:sz w:val="21"/>
              </w:rPr>
            </w:pPr>
            <w:r>
              <w:rPr>
                <w:b/>
                <w:sz w:val="21"/>
              </w:rPr>
              <w:t>6.</w:t>
              <w:tab/>
            </w:r>
            <w:r>
              <w:rPr>
                <w:b/>
                <w:w w:val="95"/>
                <w:sz w:val="21"/>
              </w:rPr>
              <w:t>合同效力的中止及恢复</w:t>
            </w:r>
          </w:p>
        </w:tc>
        <w:tc>
          <w:tcPr>
            <w:tcW w:w="932" w:type="dxa"/>
          </w:tcPr>
          <w:p>
            <w:pPr>
              <w:pStyle w:val="TableParagraph"/>
              <w:spacing w:line="240" w:lineRule="exact"/>
              <w:ind w:right="118"/>
              <w:jc w:val="right"/>
              <w:rPr>
                <w:sz w:val="21"/>
              </w:rPr>
            </w:pPr>
            <w:r>
              <w:rPr>
                <w:w w:val="95"/>
                <w:sz w:val="21"/>
              </w:rPr>
              <w:t>11.6</w:t>
            </w:r>
          </w:p>
        </w:tc>
        <w:tc>
          <w:tcPr>
            <w:tcW w:w="2462" w:type="dxa"/>
            <w:tcBorders>
              <w:right w:val="single" w:sz="4" w:space="0" w:color="000000"/>
            </w:tcBorders>
          </w:tcPr>
          <w:p>
            <w:pPr>
              <w:pStyle w:val="TableParagraph"/>
              <w:spacing w:line="240" w:lineRule="exact"/>
              <w:ind w:left="26"/>
              <w:rPr>
                <w:sz w:val="21"/>
              </w:rPr>
            </w:pPr>
            <w:r>
              <w:rPr>
                <w:w w:val="95"/>
                <w:sz w:val="21"/>
              </w:rPr>
              <w:t>有效身份证件</w:t>
            </w:r>
          </w:p>
        </w:tc>
      </w:tr>
      <w:tr>
        <w:trPr>
          <w:trHeight w:val="273"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1.2</w:t>
              <w:tab/>
            </w:r>
            <w:r>
              <w:rPr>
                <w:w w:val="95"/>
                <w:sz w:val="21"/>
              </w:rPr>
              <w:t>合同成立及生效</w:t>
            </w:r>
          </w:p>
        </w:tc>
        <w:tc>
          <w:tcPr>
            <w:tcW w:w="3647" w:type="dxa"/>
          </w:tcPr>
          <w:p>
            <w:pPr>
              <w:pStyle w:val="TableParagraph"/>
              <w:tabs>
                <w:tab w:pos="1168" w:val="left" w:leader="none"/>
              </w:tabs>
              <w:spacing w:line="241" w:lineRule="exact"/>
              <w:ind w:left="602"/>
              <w:rPr>
                <w:sz w:val="21"/>
              </w:rPr>
            </w:pPr>
            <w:r>
              <w:rPr>
                <w:sz w:val="21"/>
              </w:rPr>
              <w:t>6.1</w:t>
              <w:tab/>
            </w:r>
            <w:r>
              <w:rPr>
                <w:w w:val="95"/>
                <w:sz w:val="21"/>
              </w:rPr>
              <w:t>效力中止</w:t>
            </w:r>
          </w:p>
        </w:tc>
        <w:tc>
          <w:tcPr>
            <w:tcW w:w="932" w:type="dxa"/>
          </w:tcPr>
          <w:p>
            <w:pPr>
              <w:pStyle w:val="TableParagraph"/>
              <w:spacing w:line="241" w:lineRule="exact"/>
              <w:ind w:right="118"/>
              <w:jc w:val="right"/>
              <w:rPr>
                <w:sz w:val="21"/>
              </w:rPr>
            </w:pPr>
            <w:r>
              <w:rPr>
                <w:w w:val="95"/>
                <w:sz w:val="21"/>
              </w:rPr>
              <w:t>11.7</w:t>
            </w:r>
          </w:p>
        </w:tc>
        <w:tc>
          <w:tcPr>
            <w:tcW w:w="2462" w:type="dxa"/>
            <w:tcBorders>
              <w:right w:val="single" w:sz="4" w:space="0" w:color="000000"/>
            </w:tcBorders>
          </w:tcPr>
          <w:p>
            <w:pPr>
              <w:pStyle w:val="TableParagraph"/>
              <w:spacing w:line="241" w:lineRule="exact"/>
              <w:ind w:left="26"/>
              <w:rPr>
                <w:sz w:val="21"/>
              </w:rPr>
            </w:pPr>
            <w:r>
              <w:rPr>
                <w:w w:val="95"/>
                <w:sz w:val="21"/>
              </w:rPr>
              <w:t>医院</w:t>
            </w:r>
          </w:p>
        </w:tc>
      </w:tr>
      <w:tr>
        <w:trPr>
          <w:trHeight w:val="272"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1.3</w:t>
              <w:tab/>
            </w:r>
            <w:r>
              <w:rPr>
                <w:w w:val="95"/>
                <w:sz w:val="21"/>
              </w:rPr>
              <w:t>投保范围</w:t>
            </w:r>
          </w:p>
        </w:tc>
        <w:tc>
          <w:tcPr>
            <w:tcW w:w="3647" w:type="dxa"/>
          </w:tcPr>
          <w:p>
            <w:pPr>
              <w:pStyle w:val="TableParagraph"/>
              <w:tabs>
                <w:tab w:pos="1168" w:val="left" w:leader="none"/>
              </w:tabs>
              <w:spacing w:line="241" w:lineRule="exact"/>
              <w:ind w:left="602"/>
              <w:rPr>
                <w:sz w:val="21"/>
              </w:rPr>
            </w:pPr>
            <w:r>
              <w:rPr>
                <w:sz w:val="21"/>
              </w:rPr>
              <w:t>6.2</w:t>
              <w:tab/>
            </w:r>
            <w:r>
              <w:rPr>
                <w:w w:val="95"/>
                <w:sz w:val="21"/>
              </w:rPr>
              <w:t>效力恢复</w:t>
            </w:r>
          </w:p>
        </w:tc>
        <w:tc>
          <w:tcPr>
            <w:tcW w:w="932" w:type="dxa"/>
          </w:tcPr>
          <w:p>
            <w:pPr>
              <w:pStyle w:val="TableParagraph"/>
              <w:spacing w:line="241" w:lineRule="exact"/>
              <w:ind w:right="118"/>
              <w:jc w:val="right"/>
              <w:rPr>
                <w:sz w:val="21"/>
              </w:rPr>
            </w:pPr>
            <w:r>
              <w:rPr>
                <w:w w:val="95"/>
                <w:sz w:val="21"/>
              </w:rPr>
              <w:t>11.8</w:t>
            </w:r>
          </w:p>
        </w:tc>
        <w:tc>
          <w:tcPr>
            <w:tcW w:w="2462" w:type="dxa"/>
            <w:tcBorders>
              <w:right w:val="single" w:sz="4" w:space="0" w:color="000000"/>
            </w:tcBorders>
          </w:tcPr>
          <w:p>
            <w:pPr>
              <w:pStyle w:val="TableParagraph"/>
              <w:spacing w:line="241" w:lineRule="exact"/>
              <w:ind w:left="26"/>
              <w:rPr>
                <w:sz w:val="21"/>
              </w:rPr>
            </w:pPr>
            <w:r>
              <w:rPr>
                <w:w w:val="95"/>
                <w:sz w:val="21"/>
              </w:rPr>
              <w:t>初次确诊</w:t>
            </w:r>
          </w:p>
        </w:tc>
      </w:tr>
      <w:tr>
        <w:trPr>
          <w:trHeight w:val="271"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1.4</w:t>
              <w:tab/>
            </w:r>
            <w:r>
              <w:rPr>
                <w:w w:val="95"/>
                <w:sz w:val="21"/>
              </w:rPr>
              <w:t>投保年龄</w:t>
            </w:r>
          </w:p>
        </w:tc>
        <w:tc>
          <w:tcPr>
            <w:tcW w:w="3647" w:type="dxa"/>
          </w:tcPr>
          <w:p>
            <w:pPr>
              <w:pStyle w:val="TableParagraph"/>
              <w:tabs>
                <w:tab w:pos="602" w:val="left" w:leader="none"/>
              </w:tabs>
              <w:spacing w:line="240" w:lineRule="exact"/>
              <w:ind w:left="177"/>
              <w:rPr>
                <w:b/>
                <w:sz w:val="21"/>
              </w:rPr>
            </w:pPr>
            <w:r>
              <w:rPr>
                <w:b/>
                <w:sz w:val="21"/>
              </w:rPr>
              <w:t>7.</w:t>
              <w:tab/>
            </w:r>
            <w:r>
              <w:rPr>
                <w:b/>
                <w:w w:val="95"/>
                <w:sz w:val="21"/>
              </w:rPr>
              <w:t>合同解除</w:t>
            </w:r>
          </w:p>
        </w:tc>
        <w:tc>
          <w:tcPr>
            <w:tcW w:w="932" w:type="dxa"/>
          </w:tcPr>
          <w:p>
            <w:pPr>
              <w:pStyle w:val="TableParagraph"/>
              <w:spacing w:line="240" w:lineRule="exact"/>
              <w:ind w:right="118"/>
              <w:jc w:val="right"/>
              <w:rPr>
                <w:sz w:val="21"/>
              </w:rPr>
            </w:pPr>
            <w:r>
              <w:rPr>
                <w:w w:val="95"/>
                <w:sz w:val="21"/>
              </w:rPr>
              <w:t>11.9</w:t>
            </w:r>
          </w:p>
        </w:tc>
        <w:tc>
          <w:tcPr>
            <w:tcW w:w="2462" w:type="dxa"/>
            <w:tcBorders>
              <w:right w:val="single" w:sz="4" w:space="0" w:color="000000"/>
            </w:tcBorders>
          </w:tcPr>
          <w:p>
            <w:pPr>
              <w:pStyle w:val="TableParagraph"/>
              <w:spacing w:line="240" w:lineRule="exact"/>
              <w:ind w:left="26"/>
              <w:rPr>
                <w:sz w:val="21"/>
              </w:rPr>
            </w:pPr>
            <w:r>
              <w:rPr>
                <w:w w:val="95"/>
                <w:sz w:val="21"/>
              </w:rPr>
              <w:t>意外伤害</w:t>
            </w:r>
          </w:p>
        </w:tc>
      </w:tr>
      <w:tr>
        <w:trPr>
          <w:trHeight w:val="272"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1.5</w:t>
              <w:tab/>
            </w:r>
            <w:r>
              <w:rPr>
                <w:w w:val="95"/>
                <w:sz w:val="21"/>
              </w:rPr>
              <w:t>犹豫期</w:t>
            </w:r>
          </w:p>
        </w:tc>
        <w:tc>
          <w:tcPr>
            <w:tcW w:w="3647" w:type="dxa"/>
          </w:tcPr>
          <w:p>
            <w:pPr>
              <w:pStyle w:val="TableParagraph"/>
              <w:tabs>
                <w:tab w:pos="566" w:val="left" w:leader="none"/>
              </w:tabs>
              <w:spacing w:line="240" w:lineRule="exact"/>
              <w:ind w:right="378"/>
              <w:jc w:val="right"/>
              <w:rPr>
                <w:sz w:val="21"/>
              </w:rPr>
            </w:pPr>
            <w:r>
              <w:rPr>
                <w:sz w:val="21"/>
              </w:rPr>
              <w:t>7.1</w:t>
              <w:tab/>
            </w:r>
            <w:r>
              <w:rPr>
                <w:w w:val="95"/>
                <w:sz w:val="21"/>
              </w:rPr>
              <w:t>投保人解除合同的手续</w:t>
            </w:r>
          </w:p>
        </w:tc>
        <w:tc>
          <w:tcPr>
            <w:tcW w:w="932" w:type="dxa"/>
          </w:tcPr>
          <w:p>
            <w:pPr>
              <w:pStyle w:val="TableParagraph"/>
              <w:spacing w:line="240" w:lineRule="exact"/>
              <w:ind w:right="15"/>
              <w:jc w:val="right"/>
              <w:rPr>
                <w:sz w:val="21"/>
              </w:rPr>
            </w:pPr>
            <w:r>
              <w:rPr>
                <w:sz w:val="21"/>
              </w:rPr>
              <w:t>11.10</w:t>
            </w:r>
          </w:p>
        </w:tc>
        <w:tc>
          <w:tcPr>
            <w:tcW w:w="2462" w:type="dxa"/>
            <w:tcBorders>
              <w:right w:val="single" w:sz="4" w:space="0" w:color="000000"/>
            </w:tcBorders>
          </w:tcPr>
          <w:p>
            <w:pPr>
              <w:pStyle w:val="TableParagraph"/>
              <w:spacing w:line="240" w:lineRule="exact"/>
              <w:ind w:left="26"/>
              <w:rPr>
                <w:sz w:val="21"/>
              </w:rPr>
            </w:pPr>
            <w:r>
              <w:rPr>
                <w:w w:val="95"/>
                <w:sz w:val="21"/>
              </w:rPr>
              <w:t>日期之间的间隔天数</w:t>
            </w:r>
          </w:p>
        </w:tc>
      </w:tr>
      <w:tr>
        <w:trPr>
          <w:trHeight w:val="272" w:hRule="atLeast"/>
        </w:trPr>
        <w:tc>
          <w:tcPr>
            <w:tcW w:w="3479" w:type="dxa"/>
            <w:tcBorders>
              <w:left w:val="single" w:sz="4" w:space="0" w:color="000000"/>
            </w:tcBorders>
          </w:tcPr>
          <w:p>
            <w:pPr>
              <w:pStyle w:val="TableParagraph"/>
              <w:tabs>
                <w:tab w:pos="639" w:val="left" w:leader="none"/>
              </w:tabs>
              <w:spacing w:line="241" w:lineRule="exact"/>
              <w:ind w:left="214"/>
              <w:rPr>
                <w:b/>
                <w:sz w:val="21"/>
              </w:rPr>
            </w:pPr>
            <w:r>
              <w:rPr>
                <w:b/>
                <w:sz w:val="21"/>
              </w:rPr>
              <w:t>2.</w:t>
              <w:tab/>
            </w:r>
            <w:r>
              <w:rPr>
                <w:b/>
                <w:w w:val="95"/>
                <w:sz w:val="21"/>
              </w:rPr>
              <w:t>提供的保障</w:t>
            </w:r>
          </w:p>
        </w:tc>
        <w:tc>
          <w:tcPr>
            <w:tcW w:w="3647" w:type="dxa"/>
          </w:tcPr>
          <w:p>
            <w:pPr>
              <w:pStyle w:val="TableParagraph"/>
              <w:spacing w:line="241" w:lineRule="exact"/>
              <w:ind w:left="1168"/>
              <w:rPr>
                <w:sz w:val="21"/>
              </w:rPr>
            </w:pPr>
            <w:r>
              <w:rPr>
                <w:w w:val="95"/>
                <w:sz w:val="21"/>
              </w:rPr>
              <w:t>及风险</w:t>
            </w:r>
          </w:p>
        </w:tc>
        <w:tc>
          <w:tcPr>
            <w:tcW w:w="932" w:type="dxa"/>
          </w:tcPr>
          <w:p>
            <w:pPr>
              <w:pStyle w:val="TableParagraph"/>
              <w:spacing w:line="241" w:lineRule="exact"/>
              <w:ind w:right="15"/>
              <w:jc w:val="right"/>
              <w:rPr>
                <w:sz w:val="21"/>
              </w:rPr>
            </w:pPr>
            <w:r>
              <w:rPr>
                <w:sz w:val="21"/>
              </w:rPr>
              <w:t>11.11</w:t>
            </w:r>
          </w:p>
        </w:tc>
        <w:tc>
          <w:tcPr>
            <w:tcW w:w="2462" w:type="dxa"/>
            <w:tcBorders>
              <w:right w:val="single" w:sz="4" w:space="0" w:color="000000"/>
            </w:tcBorders>
          </w:tcPr>
          <w:p>
            <w:pPr>
              <w:pStyle w:val="TableParagraph"/>
              <w:spacing w:line="241" w:lineRule="exact"/>
              <w:ind w:left="26"/>
              <w:rPr>
                <w:sz w:val="21"/>
              </w:rPr>
            </w:pPr>
            <w:r>
              <w:rPr>
                <w:w w:val="95"/>
                <w:sz w:val="21"/>
              </w:rPr>
              <w:t>毒品</w:t>
            </w:r>
          </w:p>
        </w:tc>
      </w:tr>
      <w:tr>
        <w:trPr>
          <w:trHeight w:val="272"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2.1</w:t>
              <w:tab/>
            </w:r>
            <w:r>
              <w:rPr>
                <w:w w:val="95"/>
                <w:sz w:val="21"/>
              </w:rPr>
              <w:t>基本保险金额</w:t>
            </w:r>
          </w:p>
        </w:tc>
        <w:tc>
          <w:tcPr>
            <w:tcW w:w="3647" w:type="dxa"/>
          </w:tcPr>
          <w:p>
            <w:pPr>
              <w:pStyle w:val="TableParagraph"/>
              <w:tabs>
                <w:tab w:pos="602" w:val="left" w:leader="none"/>
              </w:tabs>
              <w:spacing w:line="240" w:lineRule="exact"/>
              <w:ind w:left="177"/>
              <w:rPr>
                <w:b/>
                <w:sz w:val="21"/>
              </w:rPr>
            </w:pPr>
            <w:r>
              <w:rPr>
                <w:b/>
                <w:sz w:val="21"/>
              </w:rPr>
              <w:t>8.</w:t>
              <w:tab/>
            </w:r>
            <w:r>
              <w:rPr>
                <w:b/>
                <w:w w:val="95"/>
                <w:sz w:val="21"/>
              </w:rPr>
              <w:t>其他需要关注的事项</w:t>
            </w:r>
          </w:p>
        </w:tc>
        <w:tc>
          <w:tcPr>
            <w:tcW w:w="932" w:type="dxa"/>
          </w:tcPr>
          <w:p>
            <w:pPr>
              <w:pStyle w:val="TableParagraph"/>
              <w:spacing w:line="240" w:lineRule="exact"/>
              <w:ind w:right="15"/>
              <w:jc w:val="right"/>
              <w:rPr>
                <w:sz w:val="21"/>
              </w:rPr>
            </w:pPr>
            <w:r>
              <w:rPr>
                <w:sz w:val="21"/>
              </w:rPr>
              <w:t>11.12</w:t>
            </w:r>
          </w:p>
        </w:tc>
        <w:tc>
          <w:tcPr>
            <w:tcW w:w="2462" w:type="dxa"/>
            <w:tcBorders>
              <w:right w:val="single" w:sz="4" w:space="0" w:color="000000"/>
            </w:tcBorders>
          </w:tcPr>
          <w:p>
            <w:pPr>
              <w:pStyle w:val="TableParagraph"/>
              <w:spacing w:line="240" w:lineRule="exact"/>
              <w:ind w:left="26"/>
              <w:rPr>
                <w:sz w:val="21"/>
              </w:rPr>
            </w:pPr>
            <w:r>
              <w:rPr>
                <w:w w:val="95"/>
                <w:sz w:val="21"/>
              </w:rPr>
              <w:t>酒后驾驶</w:t>
            </w:r>
          </w:p>
        </w:tc>
      </w:tr>
      <w:tr>
        <w:trPr>
          <w:trHeight w:val="272"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2.2</w:t>
              <w:tab/>
            </w:r>
            <w:r>
              <w:rPr>
                <w:w w:val="95"/>
                <w:sz w:val="21"/>
              </w:rPr>
              <w:t>未成年人身故保险金限</w:t>
            </w:r>
          </w:p>
        </w:tc>
        <w:tc>
          <w:tcPr>
            <w:tcW w:w="3647" w:type="dxa"/>
          </w:tcPr>
          <w:p>
            <w:pPr>
              <w:pStyle w:val="TableParagraph"/>
              <w:tabs>
                <w:tab w:pos="1168" w:val="left" w:leader="none"/>
              </w:tabs>
              <w:spacing w:line="241" w:lineRule="exact"/>
              <w:ind w:left="602"/>
              <w:rPr>
                <w:sz w:val="21"/>
              </w:rPr>
            </w:pPr>
            <w:r>
              <w:rPr>
                <w:sz w:val="21"/>
              </w:rPr>
              <w:t>8.1</w:t>
              <w:tab/>
            </w:r>
            <w:r>
              <w:rPr>
                <w:w w:val="95"/>
                <w:sz w:val="21"/>
              </w:rPr>
              <w:t>说明与如实告知</w:t>
            </w:r>
          </w:p>
        </w:tc>
        <w:tc>
          <w:tcPr>
            <w:tcW w:w="932" w:type="dxa"/>
          </w:tcPr>
          <w:p>
            <w:pPr>
              <w:pStyle w:val="TableParagraph"/>
              <w:spacing w:line="241" w:lineRule="exact"/>
              <w:ind w:right="15"/>
              <w:jc w:val="right"/>
              <w:rPr>
                <w:sz w:val="21"/>
              </w:rPr>
            </w:pPr>
            <w:r>
              <w:rPr>
                <w:sz w:val="21"/>
              </w:rPr>
              <w:t>11.13</w:t>
            </w:r>
          </w:p>
        </w:tc>
        <w:tc>
          <w:tcPr>
            <w:tcW w:w="2462" w:type="dxa"/>
            <w:tcBorders>
              <w:right w:val="single" w:sz="4" w:space="0" w:color="000000"/>
            </w:tcBorders>
          </w:tcPr>
          <w:p>
            <w:pPr>
              <w:pStyle w:val="TableParagraph"/>
              <w:spacing w:line="241" w:lineRule="exact"/>
              <w:ind w:left="26"/>
              <w:rPr>
                <w:sz w:val="21"/>
              </w:rPr>
            </w:pPr>
            <w:r>
              <w:rPr>
                <w:w w:val="95"/>
                <w:sz w:val="21"/>
              </w:rPr>
              <w:t>无合法有效驾驶证驾驶</w:t>
            </w:r>
          </w:p>
        </w:tc>
      </w:tr>
      <w:tr>
        <w:trPr>
          <w:trHeight w:val="272" w:hRule="atLeast"/>
        </w:trPr>
        <w:tc>
          <w:tcPr>
            <w:tcW w:w="3479" w:type="dxa"/>
            <w:tcBorders>
              <w:left w:val="single" w:sz="4" w:space="0" w:color="000000"/>
            </w:tcBorders>
          </w:tcPr>
          <w:p>
            <w:pPr>
              <w:pStyle w:val="TableParagraph"/>
              <w:spacing w:line="240" w:lineRule="exact"/>
              <w:ind w:right="845"/>
              <w:jc w:val="center"/>
              <w:rPr>
                <w:sz w:val="21"/>
              </w:rPr>
            </w:pPr>
            <w:r>
              <w:rPr>
                <w:w w:val="99"/>
                <w:sz w:val="21"/>
              </w:rPr>
              <w:t>制</w:t>
            </w:r>
          </w:p>
        </w:tc>
        <w:tc>
          <w:tcPr>
            <w:tcW w:w="3647" w:type="dxa"/>
          </w:tcPr>
          <w:p>
            <w:pPr>
              <w:pStyle w:val="TableParagraph"/>
              <w:tabs>
                <w:tab w:pos="566" w:val="left" w:leader="none"/>
              </w:tabs>
              <w:spacing w:line="240" w:lineRule="exact"/>
              <w:ind w:right="378"/>
              <w:jc w:val="right"/>
              <w:rPr>
                <w:sz w:val="21"/>
              </w:rPr>
            </w:pPr>
            <w:r>
              <w:rPr>
                <w:sz w:val="21"/>
              </w:rPr>
              <w:t>8.2</w:t>
              <w:tab/>
            </w:r>
            <w:r>
              <w:rPr>
                <w:w w:val="95"/>
                <w:sz w:val="21"/>
              </w:rPr>
              <w:t>本公司合同解除权的限</w:t>
            </w:r>
          </w:p>
        </w:tc>
        <w:tc>
          <w:tcPr>
            <w:tcW w:w="932" w:type="dxa"/>
          </w:tcPr>
          <w:p>
            <w:pPr>
              <w:pStyle w:val="TableParagraph"/>
              <w:spacing w:line="240" w:lineRule="exact"/>
              <w:ind w:right="15"/>
              <w:jc w:val="right"/>
              <w:rPr>
                <w:sz w:val="21"/>
              </w:rPr>
            </w:pPr>
            <w:r>
              <w:rPr>
                <w:sz w:val="21"/>
              </w:rPr>
              <w:t>11.14</w:t>
            </w:r>
          </w:p>
        </w:tc>
        <w:tc>
          <w:tcPr>
            <w:tcW w:w="2462" w:type="dxa"/>
            <w:tcBorders>
              <w:right w:val="single" w:sz="4" w:space="0" w:color="000000"/>
            </w:tcBorders>
          </w:tcPr>
          <w:p>
            <w:pPr>
              <w:pStyle w:val="TableParagraph"/>
              <w:spacing w:line="240" w:lineRule="exact"/>
              <w:ind w:left="26"/>
              <w:rPr>
                <w:sz w:val="21"/>
              </w:rPr>
            </w:pPr>
            <w:r>
              <w:rPr>
                <w:w w:val="95"/>
                <w:sz w:val="21"/>
              </w:rPr>
              <w:t>无合法有效行驶证</w:t>
            </w:r>
          </w:p>
        </w:tc>
      </w:tr>
      <w:tr>
        <w:trPr>
          <w:trHeight w:val="272"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2.3</w:t>
              <w:tab/>
            </w:r>
            <w:r>
              <w:rPr>
                <w:w w:val="95"/>
                <w:sz w:val="21"/>
              </w:rPr>
              <w:t>保险期间</w:t>
            </w:r>
          </w:p>
        </w:tc>
        <w:tc>
          <w:tcPr>
            <w:tcW w:w="3647" w:type="dxa"/>
          </w:tcPr>
          <w:p>
            <w:pPr>
              <w:pStyle w:val="TableParagraph"/>
              <w:spacing w:line="241" w:lineRule="exact"/>
              <w:ind w:left="1168"/>
              <w:rPr>
                <w:sz w:val="21"/>
              </w:rPr>
            </w:pPr>
            <w:r>
              <w:rPr>
                <w:w w:val="99"/>
                <w:sz w:val="21"/>
              </w:rPr>
              <w:t>制</w:t>
            </w:r>
          </w:p>
        </w:tc>
        <w:tc>
          <w:tcPr>
            <w:tcW w:w="932" w:type="dxa"/>
          </w:tcPr>
          <w:p>
            <w:pPr>
              <w:pStyle w:val="TableParagraph"/>
              <w:spacing w:line="241" w:lineRule="exact"/>
              <w:ind w:right="15"/>
              <w:jc w:val="right"/>
              <w:rPr>
                <w:sz w:val="21"/>
              </w:rPr>
            </w:pPr>
            <w:r>
              <w:rPr>
                <w:sz w:val="21"/>
              </w:rPr>
              <w:t>11.15</w:t>
            </w:r>
          </w:p>
        </w:tc>
        <w:tc>
          <w:tcPr>
            <w:tcW w:w="2462" w:type="dxa"/>
            <w:tcBorders>
              <w:right w:val="single" w:sz="4" w:space="0" w:color="000000"/>
            </w:tcBorders>
          </w:tcPr>
          <w:p>
            <w:pPr>
              <w:pStyle w:val="TableParagraph"/>
              <w:spacing w:line="241" w:lineRule="exact"/>
              <w:ind w:left="26"/>
              <w:rPr>
                <w:sz w:val="21"/>
              </w:rPr>
            </w:pPr>
            <w:r>
              <w:rPr>
                <w:w w:val="95"/>
                <w:sz w:val="21"/>
              </w:rPr>
              <w:t>机动车</w:t>
            </w:r>
          </w:p>
        </w:tc>
      </w:tr>
      <w:tr>
        <w:trPr>
          <w:trHeight w:val="272"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2.4</w:t>
              <w:tab/>
            </w:r>
            <w:r>
              <w:rPr>
                <w:w w:val="95"/>
                <w:sz w:val="21"/>
              </w:rPr>
              <w:t>保险责任</w:t>
            </w:r>
          </w:p>
        </w:tc>
        <w:tc>
          <w:tcPr>
            <w:tcW w:w="3647" w:type="dxa"/>
          </w:tcPr>
          <w:p>
            <w:pPr>
              <w:pStyle w:val="TableParagraph"/>
              <w:tabs>
                <w:tab w:pos="1168" w:val="left" w:leader="none"/>
              </w:tabs>
              <w:spacing w:line="240" w:lineRule="exact"/>
              <w:ind w:left="602"/>
              <w:rPr>
                <w:sz w:val="21"/>
              </w:rPr>
            </w:pPr>
            <w:r>
              <w:rPr>
                <w:sz w:val="21"/>
              </w:rPr>
              <w:t>8.3</w:t>
              <w:tab/>
            </w:r>
            <w:r>
              <w:rPr>
                <w:w w:val="95"/>
                <w:sz w:val="21"/>
              </w:rPr>
              <w:t>年龄性别错误</w:t>
            </w:r>
          </w:p>
        </w:tc>
        <w:tc>
          <w:tcPr>
            <w:tcW w:w="932" w:type="dxa"/>
          </w:tcPr>
          <w:p>
            <w:pPr>
              <w:pStyle w:val="TableParagraph"/>
              <w:spacing w:line="240" w:lineRule="exact"/>
              <w:ind w:right="15"/>
              <w:jc w:val="right"/>
              <w:rPr>
                <w:sz w:val="21"/>
              </w:rPr>
            </w:pPr>
            <w:r>
              <w:rPr>
                <w:sz w:val="21"/>
              </w:rPr>
              <w:t>11.16</w:t>
            </w:r>
          </w:p>
        </w:tc>
        <w:tc>
          <w:tcPr>
            <w:tcW w:w="2462" w:type="dxa"/>
            <w:tcBorders>
              <w:right w:val="single" w:sz="4" w:space="0" w:color="000000"/>
            </w:tcBorders>
          </w:tcPr>
          <w:p>
            <w:pPr>
              <w:pStyle w:val="TableParagraph"/>
              <w:spacing w:line="240" w:lineRule="exact"/>
              <w:ind w:left="26"/>
              <w:rPr>
                <w:sz w:val="21"/>
              </w:rPr>
            </w:pPr>
            <w:r>
              <w:rPr>
                <w:w w:val="95"/>
                <w:sz w:val="21"/>
              </w:rPr>
              <w:t>感染艾滋病病毒或者患</w:t>
            </w:r>
          </w:p>
        </w:tc>
      </w:tr>
      <w:tr>
        <w:trPr>
          <w:trHeight w:val="272"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2.5</w:t>
              <w:tab/>
            </w:r>
            <w:r>
              <w:rPr>
                <w:w w:val="95"/>
                <w:sz w:val="21"/>
              </w:rPr>
              <w:t>责任免除</w:t>
            </w:r>
          </w:p>
        </w:tc>
        <w:tc>
          <w:tcPr>
            <w:tcW w:w="3647" w:type="dxa"/>
          </w:tcPr>
          <w:p>
            <w:pPr>
              <w:pStyle w:val="TableParagraph"/>
              <w:tabs>
                <w:tab w:pos="1168" w:val="left" w:leader="none"/>
              </w:tabs>
              <w:spacing w:line="241" w:lineRule="exact"/>
              <w:ind w:left="602"/>
              <w:rPr>
                <w:sz w:val="21"/>
              </w:rPr>
            </w:pPr>
            <w:r>
              <w:rPr>
                <w:sz w:val="21"/>
              </w:rPr>
              <w:t>8.4</w:t>
              <w:tab/>
            </w:r>
            <w:r>
              <w:rPr>
                <w:w w:val="95"/>
                <w:sz w:val="21"/>
              </w:rPr>
              <w:t>被保险人变动</w:t>
            </w:r>
          </w:p>
        </w:tc>
        <w:tc>
          <w:tcPr>
            <w:tcW w:w="932" w:type="dxa"/>
          </w:tcPr>
          <w:p>
            <w:pPr>
              <w:pStyle w:val="TableParagraph"/>
              <w:rPr>
                <w:rFonts w:ascii="Times New Roman"/>
                <w:sz w:val="20"/>
              </w:rPr>
            </w:pPr>
          </w:p>
        </w:tc>
        <w:tc>
          <w:tcPr>
            <w:tcW w:w="2462" w:type="dxa"/>
            <w:tcBorders>
              <w:right w:val="single" w:sz="4" w:space="0" w:color="000000"/>
            </w:tcBorders>
          </w:tcPr>
          <w:p>
            <w:pPr>
              <w:pStyle w:val="TableParagraph"/>
              <w:spacing w:line="241" w:lineRule="exact"/>
              <w:ind w:left="26"/>
              <w:rPr>
                <w:sz w:val="21"/>
              </w:rPr>
            </w:pPr>
            <w:r>
              <w:rPr>
                <w:w w:val="95"/>
                <w:sz w:val="21"/>
              </w:rPr>
              <w:t>艾滋病</w:t>
            </w:r>
          </w:p>
        </w:tc>
      </w:tr>
      <w:tr>
        <w:trPr>
          <w:trHeight w:val="271" w:hRule="atLeast"/>
        </w:trPr>
        <w:tc>
          <w:tcPr>
            <w:tcW w:w="3479" w:type="dxa"/>
            <w:tcBorders>
              <w:left w:val="single" w:sz="4" w:space="0" w:color="000000"/>
            </w:tcBorders>
          </w:tcPr>
          <w:p>
            <w:pPr>
              <w:pStyle w:val="TableParagraph"/>
              <w:tabs>
                <w:tab w:pos="639" w:val="left" w:leader="none"/>
              </w:tabs>
              <w:spacing w:line="240" w:lineRule="exact"/>
              <w:ind w:left="214"/>
              <w:rPr>
                <w:b/>
                <w:sz w:val="21"/>
              </w:rPr>
            </w:pPr>
            <w:r>
              <w:rPr>
                <w:b/>
                <w:sz w:val="21"/>
              </w:rPr>
              <w:t>3.</w:t>
              <w:tab/>
            </w:r>
            <w:r>
              <w:rPr>
                <w:b/>
                <w:w w:val="95"/>
                <w:sz w:val="21"/>
              </w:rPr>
              <w:t>保险金的申请</w:t>
            </w:r>
          </w:p>
        </w:tc>
        <w:tc>
          <w:tcPr>
            <w:tcW w:w="3647" w:type="dxa"/>
          </w:tcPr>
          <w:p>
            <w:pPr>
              <w:pStyle w:val="TableParagraph"/>
              <w:tabs>
                <w:tab w:pos="1168" w:val="left" w:leader="none"/>
              </w:tabs>
              <w:spacing w:line="240" w:lineRule="exact"/>
              <w:ind w:left="602"/>
              <w:rPr>
                <w:sz w:val="21"/>
              </w:rPr>
            </w:pPr>
            <w:r>
              <w:rPr>
                <w:sz w:val="21"/>
              </w:rPr>
              <w:t>8.5</w:t>
              <w:tab/>
            </w:r>
            <w:r>
              <w:rPr>
                <w:w w:val="95"/>
                <w:sz w:val="21"/>
              </w:rPr>
              <w:t>未还款项</w:t>
            </w:r>
          </w:p>
        </w:tc>
        <w:tc>
          <w:tcPr>
            <w:tcW w:w="932" w:type="dxa"/>
          </w:tcPr>
          <w:p>
            <w:pPr>
              <w:pStyle w:val="TableParagraph"/>
              <w:spacing w:line="240" w:lineRule="exact"/>
              <w:ind w:right="15"/>
              <w:jc w:val="right"/>
              <w:rPr>
                <w:sz w:val="21"/>
              </w:rPr>
            </w:pPr>
            <w:r>
              <w:rPr>
                <w:sz w:val="21"/>
              </w:rPr>
              <w:t>11.17</w:t>
            </w:r>
          </w:p>
        </w:tc>
        <w:tc>
          <w:tcPr>
            <w:tcW w:w="2462" w:type="dxa"/>
            <w:tcBorders>
              <w:right w:val="single" w:sz="4" w:space="0" w:color="000000"/>
            </w:tcBorders>
          </w:tcPr>
          <w:p>
            <w:pPr>
              <w:pStyle w:val="TableParagraph"/>
              <w:spacing w:line="240" w:lineRule="exact"/>
              <w:ind w:left="26"/>
              <w:rPr>
                <w:sz w:val="21"/>
              </w:rPr>
            </w:pPr>
            <w:r>
              <w:rPr>
                <w:w w:val="95"/>
                <w:sz w:val="21"/>
              </w:rPr>
              <w:t>遗传性疾病</w:t>
            </w:r>
          </w:p>
        </w:tc>
      </w:tr>
      <w:tr>
        <w:trPr>
          <w:trHeight w:val="272" w:hRule="atLeast"/>
        </w:trPr>
        <w:tc>
          <w:tcPr>
            <w:tcW w:w="3479" w:type="dxa"/>
            <w:tcBorders>
              <w:left w:val="single" w:sz="4" w:space="0" w:color="000000"/>
            </w:tcBorders>
          </w:tcPr>
          <w:p>
            <w:pPr>
              <w:pStyle w:val="TableParagraph"/>
              <w:tabs>
                <w:tab w:pos="1208" w:val="left" w:leader="none"/>
              </w:tabs>
              <w:spacing w:line="240" w:lineRule="exact"/>
              <w:ind w:left="639"/>
              <w:rPr>
                <w:sz w:val="21"/>
              </w:rPr>
            </w:pPr>
            <w:r>
              <w:rPr>
                <w:sz w:val="21"/>
              </w:rPr>
              <w:t>3.1</w:t>
              <w:tab/>
            </w:r>
            <w:r>
              <w:rPr>
                <w:w w:val="95"/>
                <w:sz w:val="21"/>
              </w:rPr>
              <w:t>受益人</w:t>
            </w:r>
          </w:p>
        </w:tc>
        <w:tc>
          <w:tcPr>
            <w:tcW w:w="3647" w:type="dxa"/>
          </w:tcPr>
          <w:p>
            <w:pPr>
              <w:pStyle w:val="TableParagraph"/>
              <w:tabs>
                <w:tab w:pos="1168" w:val="left" w:leader="none"/>
              </w:tabs>
              <w:spacing w:line="240" w:lineRule="exact"/>
              <w:ind w:left="602"/>
              <w:rPr>
                <w:sz w:val="21"/>
              </w:rPr>
            </w:pPr>
            <w:r>
              <w:rPr>
                <w:sz w:val="21"/>
              </w:rPr>
              <w:t>8.6</w:t>
              <w:tab/>
            </w:r>
            <w:r>
              <w:rPr>
                <w:w w:val="95"/>
                <w:sz w:val="21"/>
              </w:rPr>
              <w:t>转账规定</w:t>
            </w:r>
          </w:p>
        </w:tc>
        <w:tc>
          <w:tcPr>
            <w:tcW w:w="932" w:type="dxa"/>
          </w:tcPr>
          <w:p>
            <w:pPr>
              <w:pStyle w:val="TableParagraph"/>
              <w:spacing w:line="240" w:lineRule="exact"/>
              <w:ind w:right="15"/>
              <w:jc w:val="right"/>
              <w:rPr>
                <w:sz w:val="21"/>
              </w:rPr>
            </w:pPr>
            <w:r>
              <w:rPr>
                <w:sz w:val="21"/>
              </w:rPr>
              <w:t>11.18</w:t>
            </w:r>
          </w:p>
        </w:tc>
        <w:tc>
          <w:tcPr>
            <w:tcW w:w="2462" w:type="dxa"/>
            <w:tcBorders>
              <w:right w:val="single" w:sz="4" w:space="0" w:color="000000"/>
            </w:tcBorders>
          </w:tcPr>
          <w:p>
            <w:pPr>
              <w:pStyle w:val="TableParagraph"/>
              <w:spacing w:line="240" w:lineRule="exact"/>
              <w:ind w:left="26"/>
              <w:rPr>
                <w:sz w:val="21"/>
              </w:rPr>
            </w:pPr>
            <w:r>
              <w:rPr>
                <w:w w:val="95"/>
                <w:sz w:val="21"/>
              </w:rPr>
              <w:t>先天性畸形、变形或者染</w:t>
            </w:r>
          </w:p>
        </w:tc>
      </w:tr>
      <w:tr>
        <w:trPr>
          <w:trHeight w:val="273"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3.2</w:t>
              <w:tab/>
            </w:r>
            <w:r>
              <w:rPr>
                <w:w w:val="95"/>
                <w:sz w:val="21"/>
              </w:rPr>
              <w:t>保险事故通知</w:t>
            </w:r>
          </w:p>
        </w:tc>
        <w:tc>
          <w:tcPr>
            <w:tcW w:w="3647" w:type="dxa"/>
          </w:tcPr>
          <w:p>
            <w:pPr>
              <w:pStyle w:val="TableParagraph"/>
              <w:tabs>
                <w:tab w:pos="1168" w:val="left" w:leader="none"/>
              </w:tabs>
              <w:spacing w:line="241" w:lineRule="exact"/>
              <w:ind w:left="602"/>
              <w:rPr>
                <w:sz w:val="21"/>
              </w:rPr>
            </w:pPr>
            <w:r>
              <w:rPr>
                <w:sz w:val="21"/>
              </w:rPr>
              <w:t>8.7</w:t>
              <w:tab/>
            </w:r>
            <w:r>
              <w:rPr>
                <w:w w:val="95"/>
                <w:sz w:val="21"/>
              </w:rPr>
              <w:t>合同内容变更</w:t>
            </w:r>
          </w:p>
        </w:tc>
        <w:tc>
          <w:tcPr>
            <w:tcW w:w="932" w:type="dxa"/>
          </w:tcPr>
          <w:p>
            <w:pPr>
              <w:pStyle w:val="TableParagraph"/>
              <w:rPr>
                <w:rFonts w:ascii="Times New Roman"/>
                <w:sz w:val="20"/>
              </w:rPr>
            </w:pPr>
          </w:p>
        </w:tc>
        <w:tc>
          <w:tcPr>
            <w:tcW w:w="2462" w:type="dxa"/>
            <w:tcBorders>
              <w:right w:val="single" w:sz="4" w:space="0" w:color="000000"/>
            </w:tcBorders>
          </w:tcPr>
          <w:p>
            <w:pPr>
              <w:pStyle w:val="TableParagraph"/>
              <w:spacing w:line="241" w:lineRule="exact"/>
              <w:ind w:left="26"/>
              <w:rPr>
                <w:sz w:val="21"/>
              </w:rPr>
            </w:pPr>
            <w:r>
              <w:rPr>
                <w:w w:val="95"/>
                <w:sz w:val="21"/>
              </w:rPr>
              <w:t>色体异常</w:t>
            </w:r>
          </w:p>
        </w:tc>
      </w:tr>
      <w:tr>
        <w:trPr>
          <w:trHeight w:val="272" w:hRule="atLeast"/>
        </w:trPr>
        <w:tc>
          <w:tcPr>
            <w:tcW w:w="3479" w:type="dxa"/>
            <w:tcBorders>
              <w:left w:val="single" w:sz="4" w:space="0" w:color="000000"/>
            </w:tcBorders>
          </w:tcPr>
          <w:p>
            <w:pPr>
              <w:pStyle w:val="TableParagraph"/>
              <w:tabs>
                <w:tab w:pos="1208" w:val="left" w:leader="none"/>
              </w:tabs>
              <w:spacing w:line="241" w:lineRule="exact"/>
              <w:ind w:left="639"/>
              <w:rPr>
                <w:sz w:val="21"/>
              </w:rPr>
            </w:pPr>
            <w:r>
              <w:rPr>
                <w:sz w:val="21"/>
              </w:rPr>
              <w:t>3.3</w:t>
              <w:tab/>
            </w:r>
            <w:r>
              <w:rPr>
                <w:w w:val="95"/>
                <w:sz w:val="21"/>
              </w:rPr>
              <w:t>保险金申请</w:t>
            </w:r>
          </w:p>
        </w:tc>
        <w:tc>
          <w:tcPr>
            <w:tcW w:w="3647" w:type="dxa"/>
          </w:tcPr>
          <w:p>
            <w:pPr>
              <w:pStyle w:val="TableParagraph"/>
              <w:tabs>
                <w:tab w:pos="1168" w:val="left" w:leader="none"/>
              </w:tabs>
              <w:spacing w:line="241" w:lineRule="exact"/>
              <w:ind w:left="602"/>
              <w:rPr>
                <w:sz w:val="21"/>
              </w:rPr>
            </w:pPr>
            <w:r>
              <w:rPr>
                <w:sz w:val="21"/>
              </w:rPr>
              <w:t>8.8</w:t>
              <w:tab/>
            </w:r>
            <w:r>
              <w:rPr>
                <w:w w:val="95"/>
                <w:sz w:val="21"/>
              </w:rPr>
              <w:t>联系方式变更</w:t>
            </w:r>
          </w:p>
        </w:tc>
        <w:tc>
          <w:tcPr>
            <w:tcW w:w="932" w:type="dxa"/>
          </w:tcPr>
          <w:p>
            <w:pPr>
              <w:pStyle w:val="TableParagraph"/>
              <w:spacing w:line="241" w:lineRule="exact"/>
              <w:ind w:right="15"/>
              <w:jc w:val="right"/>
              <w:rPr>
                <w:sz w:val="21"/>
              </w:rPr>
            </w:pPr>
            <w:r>
              <w:rPr>
                <w:sz w:val="21"/>
              </w:rPr>
              <w:t>11.19</w:t>
            </w:r>
          </w:p>
        </w:tc>
        <w:tc>
          <w:tcPr>
            <w:tcW w:w="2462" w:type="dxa"/>
            <w:tcBorders>
              <w:right w:val="single" w:sz="4" w:space="0" w:color="000000"/>
            </w:tcBorders>
          </w:tcPr>
          <w:p>
            <w:pPr>
              <w:pStyle w:val="TableParagraph"/>
              <w:spacing w:line="241" w:lineRule="exact"/>
              <w:ind w:left="26"/>
              <w:rPr>
                <w:sz w:val="21"/>
              </w:rPr>
            </w:pPr>
            <w:r>
              <w:rPr>
                <w:w w:val="95"/>
                <w:sz w:val="21"/>
              </w:rPr>
              <w:t>现金价值</w:t>
            </w:r>
          </w:p>
        </w:tc>
      </w:tr>
      <w:tr>
        <w:trPr>
          <w:trHeight w:val="281" w:hRule="atLeast"/>
        </w:trPr>
        <w:tc>
          <w:tcPr>
            <w:tcW w:w="3479" w:type="dxa"/>
            <w:tcBorders>
              <w:left w:val="single" w:sz="4" w:space="0" w:color="000000"/>
              <w:bottom w:val="single" w:sz="4" w:space="0" w:color="000000"/>
            </w:tcBorders>
          </w:tcPr>
          <w:p>
            <w:pPr>
              <w:pStyle w:val="TableParagraph"/>
              <w:tabs>
                <w:tab w:pos="1208" w:val="left" w:leader="none"/>
              </w:tabs>
              <w:spacing w:line="240" w:lineRule="exact"/>
              <w:ind w:left="639"/>
              <w:rPr>
                <w:sz w:val="21"/>
              </w:rPr>
            </w:pPr>
            <w:r>
              <w:rPr>
                <w:sz w:val="21"/>
              </w:rPr>
              <w:t>3.4</w:t>
              <w:tab/>
            </w:r>
            <w:r>
              <w:rPr>
                <w:w w:val="95"/>
                <w:sz w:val="21"/>
              </w:rPr>
              <w:t>保险金给付</w:t>
            </w:r>
          </w:p>
        </w:tc>
        <w:tc>
          <w:tcPr>
            <w:tcW w:w="3647" w:type="dxa"/>
            <w:tcBorders>
              <w:bottom w:val="single" w:sz="4" w:space="0" w:color="000000"/>
            </w:tcBorders>
          </w:tcPr>
          <w:p>
            <w:pPr>
              <w:pStyle w:val="TableParagraph"/>
              <w:tabs>
                <w:tab w:pos="1168" w:val="left" w:leader="none"/>
              </w:tabs>
              <w:spacing w:line="240" w:lineRule="exact"/>
              <w:ind w:left="602"/>
              <w:rPr>
                <w:sz w:val="21"/>
              </w:rPr>
            </w:pPr>
            <w:r>
              <w:rPr>
                <w:sz w:val="21"/>
              </w:rPr>
              <w:t>8.9</w:t>
              <w:tab/>
            </w:r>
            <w:r>
              <w:rPr>
                <w:w w:val="95"/>
                <w:sz w:val="21"/>
              </w:rPr>
              <w:t>争议处理</w:t>
            </w:r>
          </w:p>
        </w:tc>
        <w:tc>
          <w:tcPr>
            <w:tcW w:w="932" w:type="dxa"/>
            <w:tcBorders>
              <w:bottom w:val="single" w:sz="4" w:space="0" w:color="000000"/>
            </w:tcBorders>
          </w:tcPr>
          <w:p>
            <w:pPr>
              <w:pStyle w:val="TableParagraph"/>
              <w:spacing w:line="240" w:lineRule="exact"/>
              <w:ind w:right="15"/>
              <w:jc w:val="right"/>
              <w:rPr>
                <w:sz w:val="21"/>
              </w:rPr>
            </w:pPr>
            <w:r>
              <w:rPr>
                <w:sz w:val="21"/>
              </w:rPr>
              <w:t>11.20</w:t>
            </w:r>
          </w:p>
        </w:tc>
        <w:tc>
          <w:tcPr>
            <w:tcW w:w="2462" w:type="dxa"/>
            <w:tcBorders>
              <w:bottom w:val="single" w:sz="4" w:space="0" w:color="000000"/>
              <w:right w:val="single" w:sz="4" w:space="0" w:color="000000"/>
            </w:tcBorders>
          </w:tcPr>
          <w:p>
            <w:pPr>
              <w:pStyle w:val="TableParagraph"/>
              <w:spacing w:line="240" w:lineRule="exact"/>
              <w:ind w:left="26"/>
              <w:rPr>
                <w:sz w:val="21"/>
              </w:rPr>
            </w:pPr>
            <w:r>
              <w:rPr>
                <w:w w:val="95"/>
                <w:sz w:val="21"/>
              </w:rPr>
              <w:t>专科医生</w:t>
            </w:r>
          </w:p>
        </w:tc>
      </w:tr>
    </w:tbl>
    <w:p>
      <w:pPr>
        <w:spacing w:after="0" w:line="240" w:lineRule="exact"/>
        <w:rPr>
          <w:sz w:val="21"/>
        </w:rPr>
        <w:sectPr>
          <w:type w:val="continuous"/>
          <w:pgSz w:w="12240" w:h="15840"/>
          <w:pgMar w:top="900" w:bottom="280" w:left="740" w:right="64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59"/>
        <w:gridCol w:w="3856"/>
        <w:gridCol w:w="3603"/>
      </w:tblGrid>
      <w:tr>
        <w:trPr>
          <w:trHeight w:val="272" w:hRule="atLeast"/>
        </w:trPr>
        <w:tc>
          <w:tcPr>
            <w:tcW w:w="3059" w:type="dxa"/>
            <w:tcBorders>
              <w:top w:val="single" w:sz="4" w:space="0" w:color="000000"/>
              <w:left w:val="single" w:sz="4" w:space="0" w:color="000000"/>
            </w:tcBorders>
          </w:tcPr>
          <w:p>
            <w:pPr>
              <w:pStyle w:val="TableParagraph"/>
              <w:tabs>
                <w:tab w:pos="568" w:val="left" w:leader="none"/>
              </w:tabs>
              <w:spacing w:line="242" w:lineRule="exact"/>
              <w:ind w:right="585"/>
              <w:jc w:val="right"/>
              <w:rPr>
                <w:sz w:val="21"/>
              </w:rPr>
            </w:pPr>
            <w:r>
              <w:rPr>
                <w:sz w:val="21"/>
              </w:rPr>
              <w:t>3.5</w:t>
              <w:tab/>
            </w:r>
            <w:r>
              <w:rPr>
                <w:w w:val="95"/>
                <w:sz w:val="21"/>
              </w:rPr>
              <w:t>宣告死亡处理</w:t>
            </w:r>
          </w:p>
        </w:tc>
        <w:tc>
          <w:tcPr>
            <w:tcW w:w="3856" w:type="dxa"/>
            <w:tcBorders>
              <w:top w:val="single" w:sz="4" w:space="0" w:color="000000"/>
            </w:tcBorders>
          </w:tcPr>
          <w:p>
            <w:pPr>
              <w:pStyle w:val="TableParagraph"/>
              <w:spacing w:line="242" w:lineRule="exact"/>
              <w:ind w:left="1022"/>
              <w:rPr>
                <w:sz w:val="21"/>
              </w:rPr>
            </w:pPr>
            <w:r>
              <w:rPr>
                <w:sz w:val="21"/>
              </w:rPr>
              <w:t>8.10 保险事故鉴定</w:t>
            </w:r>
          </w:p>
        </w:tc>
        <w:tc>
          <w:tcPr>
            <w:tcW w:w="3603" w:type="dxa"/>
            <w:tcBorders>
              <w:top w:val="single" w:sz="4" w:space="0" w:color="000000"/>
              <w:right w:val="single" w:sz="4" w:space="0" w:color="000000"/>
            </w:tcBorders>
          </w:tcPr>
          <w:p>
            <w:pPr>
              <w:pStyle w:val="TableParagraph"/>
              <w:spacing w:line="242" w:lineRule="exact"/>
              <w:ind w:left="600"/>
              <w:rPr>
                <w:sz w:val="21"/>
              </w:rPr>
            </w:pPr>
            <w:r>
              <w:rPr>
                <w:sz w:val="21"/>
              </w:rPr>
              <w:t>11.21 与基本保险金额减少部</w:t>
            </w:r>
          </w:p>
        </w:tc>
      </w:tr>
      <w:tr>
        <w:trPr>
          <w:trHeight w:val="271" w:hRule="atLeast"/>
        </w:trPr>
        <w:tc>
          <w:tcPr>
            <w:tcW w:w="3059" w:type="dxa"/>
            <w:tcBorders>
              <w:left w:val="single" w:sz="4" w:space="0" w:color="000000"/>
            </w:tcBorders>
          </w:tcPr>
          <w:p>
            <w:pPr>
              <w:pStyle w:val="TableParagraph"/>
              <w:tabs>
                <w:tab w:pos="1208" w:val="left" w:leader="none"/>
              </w:tabs>
              <w:spacing w:line="240" w:lineRule="exact"/>
              <w:ind w:left="639"/>
              <w:rPr>
                <w:sz w:val="21"/>
              </w:rPr>
            </w:pPr>
            <w:r>
              <w:rPr>
                <w:sz w:val="21"/>
              </w:rPr>
              <w:t>3.6</w:t>
              <w:tab/>
            </w:r>
            <w:r>
              <w:rPr>
                <w:w w:val="95"/>
                <w:sz w:val="21"/>
              </w:rPr>
              <w:t>诉讼时效</w:t>
            </w:r>
          </w:p>
        </w:tc>
        <w:tc>
          <w:tcPr>
            <w:tcW w:w="3856" w:type="dxa"/>
          </w:tcPr>
          <w:p>
            <w:pPr>
              <w:pStyle w:val="TableParagraph"/>
              <w:tabs>
                <w:tab w:pos="1022" w:val="left" w:leader="none"/>
              </w:tabs>
              <w:spacing w:line="240" w:lineRule="exact"/>
              <w:ind w:left="597"/>
              <w:rPr>
                <w:b/>
                <w:sz w:val="21"/>
              </w:rPr>
            </w:pPr>
            <w:r>
              <w:rPr>
                <w:b/>
                <w:sz w:val="21"/>
              </w:rPr>
              <w:t>9.</w:t>
              <w:tab/>
            </w:r>
            <w:r>
              <w:rPr>
                <w:b/>
                <w:w w:val="95"/>
                <w:sz w:val="21"/>
              </w:rPr>
              <w:t>重大疾病定义</w:t>
            </w:r>
          </w:p>
        </w:tc>
        <w:tc>
          <w:tcPr>
            <w:tcW w:w="3603" w:type="dxa"/>
            <w:tcBorders>
              <w:right w:val="single" w:sz="4" w:space="0" w:color="000000"/>
            </w:tcBorders>
          </w:tcPr>
          <w:p>
            <w:pPr>
              <w:pStyle w:val="TableParagraph"/>
              <w:spacing w:line="240" w:lineRule="exact"/>
              <w:ind w:left="1169"/>
              <w:rPr>
                <w:sz w:val="21"/>
              </w:rPr>
            </w:pPr>
            <w:r>
              <w:rPr>
                <w:w w:val="95"/>
                <w:sz w:val="21"/>
              </w:rPr>
              <w:t>分相对应的现金价值</w:t>
            </w:r>
          </w:p>
        </w:tc>
      </w:tr>
      <w:tr>
        <w:trPr>
          <w:trHeight w:val="272" w:hRule="atLeast"/>
        </w:trPr>
        <w:tc>
          <w:tcPr>
            <w:tcW w:w="3059" w:type="dxa"/>
            <w:tcBorders>
              <w:left w:val="single" w:sz="4" w:space="0" w:color="000000"/>
            </w:tcBorders>
          </w:tcPr>
          <w:p>
            <w:pPr>
              <w:pStyle w:val="TableParagraph"/>
              <w:tabs>
                <w:tab w:pos="639" w:val="left" w:leader="none"/>
              </w:tabs>
              <w:spacing w:line="240" w:lineRule="exact"/>
              <w:ind w:left="214"/>
              <w:rPr>
                <w:b/>
                <w:sz w:val="21"/>
              </w:rPr>
            </w:pPr>
            <w:r>
              <w:rPr>
                <w:b/>
                <w:sz w:val="21"/>
              </w:rPr>
              <w:t>4.</w:t>
              <w:tab/>
            </w:r>
            <w:r>
              <w:rPr>
                <w:b/>
                <w:w w:val="95"/>
                <w:sz w:val="21"/>
              </w:rPr>
              <w:t>保险费的交纳</w:t>
            </w:r>
          </w:p>
        </w:tc>
        <w:tc>
          <w:tcPr>
            <w:tcW w:w="3856" w:type="dxa"/>
          </w:tcPr>
          <w:p>
            <w:pPr>
              <w:pStyle w:val="TableParagraph"/>
              <w:spacing w:line="240" w:lineRule="exact"/>
              <w:ind w:left="597"/>
              <w:rPr>
                <w:b/>
                <w:sz w:val="21"/>
              </w:rPr>
            </w:pPr>
            <w:r>
              <w:rPr>
                <w:b/>
                <w:sz w:val="21"/>
              </w:rPr>
              <w:t>10. 轻症疾病定义</w:t>
            </w:r>
          </w:p>
        </w:tc>
        <w:tc>
          <w:tcPr>
            <w:tcW w:w="3603" w:type="dxa"/>
            <w:tcBorders>
              <w:right w:val="single" w:sz="4" w:space="0" w:color="000000"/>
            </w:tcBorders>
          </w:tcPr>
          <w:p>
            <w:pPr>
              <w:pStyle w:val="TableParagraph"/>
              <w:spacing w:line="240" w:lineRule="exact"/>
              <w:ind w:left="600"/>
              <w:rPr>
                <w:sz w:val="21"/>
              </w:rPr>
            </w:pPr>
            <w:r>
              <w:rPr>
                <w:sz w:val="21"/>
              </w:rPr>
              <w:t>11.22 净保险费</w:t>
            </w:r>
          </w:p>
        </w:tc>
      </w:tr>
      <w:tr>
        <w:trPr>
          <w:trHeight w:val="272" w:hRule="atLeast"/>
        </w:trPr>
        <w:tc>
          <w:tcPr>
            <w:tcW w:w="3059" w:type="dxa"/>
            <w:tcBorders>
              <w:left w:val="single" w:sz="4" w:space="0" w:color="000000"/>
            </w:tcBorders>
          </w:tcPr>
          <w:p>
            <w:pPr>
              <w:pStyle w:val="TableParagraph"/>
              <w:tabs>
                <w:tab w:pos="568" w:val="left" w:leader="none"/>
              </w:tabs>
              <w:spacing w:line="241" w:lineRule="exact"/>
              <w:ind w:right="585"/>
              <w:jc w:val="right"/>
              <w:rPr>
                <w:sz w:val="21"/>
              </w:rPr>
            </w:pPr>
            <w:r>
              <w:rPr>
                <w:sz w:val="21"/>
              </w:rPr>
              <w:t>4.1</w:t>
              <w:tab/>
            </w:r>
            <w:r>
              <w:rPr>
                <w:w w:val="95"/>
                <w:sz w:val="21"/>
              </w:rPr>
              <w:t>保险费的交纳</w:t>
            </w:r>
          </w:p>
        </w:tc>
        <w:tc>
          <w:tcPr>
            <w:tcW w:w="3856" w:type="dxa"/>
          </w:tcPr>
          <w:p>
            <w:pPr>
              <w:pStyle w:val="TableParagraph"/>
              <w:spacing w:line="241" w:lineRule="exact"/>
              <w:ind w:left="597"/>
              <w:rPr>
                <w:b/>
                <w:sz w:val="21"/>
              </w:rPr>
            </w:pPr>
            <w:r>
              <w:rPr>
                <w:b/>
                <w:sz w:val="21"/>
              </w:rPr>
              <w:t>11. 释义</w:t>
            </w:r>
          </w:p>
        </w:tc>
        <w:tc>
          <w:tcPr>
            <w:tcW w:w="3603" w:type="dxa"/>
            <w:tcBorders>
              <w:right w:val="single" w:sz="4" w:space="0" w:color="000000"/>
            </w:tcBorders>
          </w:tcPr>
          <w:p>
            <w:pPr>
              <w:pStyle w:val="TableParagraph"/>
              <w:spacing w:line="241" w:lineRule="exact"/>
              <w:ind w:left="600"/>
              <w:rPr>
                <w:sz w:val="21"/>
              </w:rPr>
            </w:pPr>
            <w:r>
              <w:rPr>
                <w:sz w:val="21"/>
              </w:rPr>
              <w:t>11.23 特殊情形</w:t>
            </w:r>
          </w:p>
        </w:tc>
      </w:tr>
      <w:tr>
        <w:trPr>
          <w:trHeight w:val="272" w:hRule="atLeast"/>
        </w:trPr>
        <w:tc>
          <w:tcPr>
            <w:tcW w:w="3059" w:type="dxa"/>
            <w:tcBorders>
              <w:left w:val="single" w:sz="4" w:space="0" w:color="000000"/>
            </w:tcBorders>
          </w:tcPr>
          <w:p>
            <w:pPr>
              <w:pStyle w:val="TableParagraph"/>
              <w:tabs>
                <w:tab w:pos="1208" w:val="left" w:leader="none"/>
              </w:tabs>
              <w:spacing w:line="240" w:lineRule="exact"/>
              <w:ind w:left="639"/>
              <w:rPr>
                <w:sz w:val="21"/>
              </w:rPr>
            </w:pPr>
            <w:r>
              <w:rPr>
                <w:sz w:val="21"/>
              </w:rPr>
              <w:t>4.2</w:t>
              <w:tab/>
            </w:r>
            <w:r>
              <w:rPr>
                <w:w w:val="95"/>
                <w:sz w:val="21"/>
              </w:rPr>
              <w:t>宽限期</w:t>
            </w:r>
          </w:p>
        </w:tc>
        <w:tc>
          <w:tcPr>
            <w:tcW w:w="3856" w:type="dxa"/>
          </w:tcPr>
          <w:p>
            <w:pPr>
              <w:pStyle w:val="TableParagraph"/>
              <w:spacing w:line="240" w:lineRule="exact"/>
              <w:ind w:left="1022"/>
              <w:rPr>
                <w:sz w:val="21"/>
              </w:rPr>
            </w:pPr>
            <w:r>
              <w:rPr>
                <w:sz w:val="21"/>
              </w:rPr>
              <w:t>11.1 合法有效</w:t>
            </w:r>
          </w:p>
        </w:tc>
        <w:tc>
          <w:tcPr>
            <w:tcW w:w="3603" w:type="dxa"/>
            <w:tcBorders>
              <w:right w:val="single" w:sz="4" w:space="0" w:color="000000"/>
            </w:tcBorders>
          </w:tcPr>
          <w:p>
            <w:pPr>
              <w:pStyle w:val="TableParagraph"/>
              <w:spacing w:line="240" w:lineRule="exact"/>
              <w:ind w:left="600"/>
              <w:rPr>
                <w:sz w:val="21"/>
              </w:rPr>
            </w:pPr>
            <w:r>
              <w:rPr>
                <w:sz w:val="21"/>
              </w:rPr>
              <w:t>11.24 肢体机能完全丧失</w:t>
            </w:r>
          </w:p>
        </w:tc>
      </w:tr>
      <w:tr>
        <w:trPr>
          <w:trHeight w:val="272" w:hRule="atLeast"/>
        </w:trPr>
        <w:tc>
          <w:tcPr>
            <w:tcW w:w="3059" w:type="dxa"/>
            <w:tcBorders>
              <w:left w:val="single" w:sz="4" w:space="0" w:color="000000"/>
            </w:tcBorders>
          </w:tcPr>
          <w:p>
            <w:pPr>
              <w:pStyle w:val="TableParagraph"/>
              <w:tabs>
                <w:tab w:pos="639" w:val="left" w:leader="none"/>
              </w:tabs>
              <w:spacing w:line="241" w:lineRule="exact"/>
              <w:ind w:left="214"/>
              <w:rPr>
                <w:b/>
                <w:sz w:val="21"/>
              </w:rPr>
            </w:pPr>
            <w:r>
              <w:rPr>
                <w:b/>
                <w:sz w:val="21"/>
              </w:rPr>
              <w:t>5.</w:t>
              <w:tab/>
            </w:r>
            <w:r>
              <w:rPr>
                <w:b/>
                <w:w w:val="95"/>
                <w:sz w:val="21"/>
              </w:rPr>
              <w:t>现金价值权益</w:t>
            </w:r>
          </w:p>
        </w:tc>
        <w:tc>
          <w:tcPr>
            <w:tcW w:w="3856" w:type="dxa"/>
          </w:tcPr>
          <w:p>
            <w:pPr>
              <w:pStyle w:val="TableParagraph"/>
              <w:spacing w:line="241" w:lineRule="exact"/>
              <w:ind w:left="1022"/>
              <w:rPr>
                <w:sz w:val="21"/>
              </w:rPr>
            </w:pPr>
            <w:r>
              <w:rPr>
                <w:sz w:val="21"/>
              </w:rPr>
              <w:t>11.2 保单年度</w:t>
            </w:r>
          </w:p>
        </w:tc>
        <w:tc>
          <w:tcPr>
            <w:tcW w:w="3603" w:type="dxa"/>
            <w:tcBorders>
              <w:right w:val="single" w:sz="4" w:space="0" w:color="000000"/>
            </w:tcBorders>
          </w:tcPr>
          <w:p>
            <w:pPr>
              <w:pStyle w:val="TableParagraph"/>
              <w:spacing w:line="241" w:lineRule="exact"/>
              <w:ind w:left="600"/>
              <w:rPr>
                <w:sz w:val="21"/>
              </w:rPr>
            </w:pPr>
            <w:r>
              <w:rPr>
                <w:sz w:val="21"/>
              </w:rPr>
              <w:t>11.25 语言能力或咀嚼吞咽能</w:t>
            </w:r>
          </w:p>
        </w:tc>
      </w:tr>
      <w:tr>
        <w:trPr>
          <w:trHeight w:val="272" w:hRule="atLeast"/>
        </w:trPr>
        <w:tc>
          <w:tcPr>
            <w:tcW w:w="3059" w:type="dxa"/>
            <w:tcBorders>
              <w:left w:val="single" w:sz="4" w:space="0" w:color="000000"/>
            </w:tcBorders>
          </w:tcPr>
          <w:p>
            <w:pPr>
              <w:pStyle w:val="TableParagraph"/>
              <w:tabs>
                <w:tab w:pos="1208" w:val="left" w:leader="none"/>
              </w:tabs>
              <w:spacing w:line="240" w:lineRule="exact"/>
              <w:ind w:left="639"/>
              <w:rPr>
                <w:sz w:val="21"/>
              </w:rPr>
            </w:pPr>
            <w:r>
              <w:rPr>
                <w:sz w:val="21"/>
              </w:rPr>
              <w:t>5.1</w:t>
              <w:tab/>
            </w:r>
            <w:r>
              <w:rPr>
                <w:w w:val="95"/>
                <w:sz w:val="21"/>
              </w:rPr>
              <w:t>现金价值</w:t>
            </w:r>
          </w:p>
        </w:tc>
        <w:tc>
          <w:tcPr>
            <w:tcW w:w="3856" w:type="dxa"/>
          </w:tcPr>
          <w:p>
            <w:pPr>
              <w:pStyle w:val="TableParagraph"/>
              <w:spacing w:line="240" w:lineRule="exact"/>
              <w:ind w:left="1022"/>
              <w:rPr>
                <w:sz w:val="21"/>
              </w:rPr>
            </w:pPr>
            <w:r>
              <w:rPr>
                <w:sz w:val="21"/>
              </w:rPr>
              <w:t>11.3 保险费约定交纳日</w:t>
            </w:r>
          </w:p>
        </w:tc>
        <w:tc>
          <w:tcPr>
            <w:tcW w:w="3603" w:type="dxa"/>
            <w:tcBorders>
              <w:right w:val="single" w:sz="4" w:space="0" w:color="000000"/>
            </w:tcBorders>
          </w:tcPr>
          <w:p>
            <w:pPr>
              <w:pStyle w:val="TableParagraph"/>
              <w:spacing w:line="240" w:lineRule="exact"/>
              <w:ind w:left="1169"/>
              <w:rPr>
                <w:sz w:val="21"/>
              </w:rPr>
            </w:pPr>
            <w:r>
              <w:rPr>
                <w:w w:val="95"/>
                <w:sz w:val="21"/>
              </w:rPr>
              <w:t>力完全丧失</w:t>
            </w:r>
          </w:p>
        </w:tc>
      </w:tr>
      <w:tr>
        <w:trPr>
          <w:trHeight w:val="272" w:hRule="atLeast"/>
        </w:trPr>
        <w:tc>
          <w:tcPr>
            <w:tcW w:w="3059" w:type="dxa"/>
            <w:tcBorders>
              <w:left w:val="single" w:sz="4" w:space="0" w:color="000000"/>
            </w:tcBorders>
          </w:tcPr>
          <w:p>
            <w:pPr>
              <w:pStyle w:val="TableParagraph"/>
              <w:tabs>
                <w:tab w:pos="1208" w:val="left" w:leader="none"/>
              </w:tabs>
              <w:spacing w:line="241" w:lineRule="exact"/>
              <w:ind w:left="639"/>
              <w:rPr>
                <w:sz w:val="21"/>
              </w:rPr>
            </w:pPr>
            <w:r>
              <w:rPr>
                <w:sz w:val="21"/>
              </w:rPr>
              <w:t>5.2</w:t>
              <w:tab/>
            </w:r>
            <w:r>
              <w:rPr>
                <w:spacing w:val="-1"/>
                <w:w w:val="95"/>
                <w:sz w:val="21"/>
              </w:rPr>
              <w:t>减保</w:t>
            </w:r>
          </w:p>
        </w:tc>
        <w:tc>
          <w:tcPr>
            <w:tcW w:w="3856" w:type="dxa"/>
          </w:tcPr>
          <w:p>
            <w:pPr>
              <w:pStyle w:val="TableParagraph"/>
              <w:spacing w:line="241" w:lineRule="exact"/>
              <w:ind w:left="1022"/>
              <w:rPr>
                <w:sz w:val="21"/>
              </w:rPr>
            </w:pPr>
            <w:r>
              <w:rPr>
                <w:sz w:val="21"/>
              </w:rPr>
              <w:t>11.4 团体</w:t>
            </w:r>
          </w:p>
        </w:tc>
        <w:tc>
          <w:tcPr>
            <w:tcW w:w="3603" w:type="dxa"/>
            <w:tcBorders>
              <w:right w:val="single" w:sz="4" w:space="0" w:color="000000"/>
            </w:tcBorders>
          </w:tcPr>
          <w:p>
            <w:pPr>
              <w:pStyle w:val="TableParagraph"/>
              <w:spacing w:line="241" w:lineRule="exact"/>
              <w:ind w:left="600"/>
              <w:rPr>
                <w:sz w:val="21"/>
              </w:rPr>
            </w:pPr>
            <w:r>
              <w:rPr>
                <w:sz w:val="21"/>
              </w:rPr>
              <w:t>11.26 六项基本日常生活活动</w:t>
            </w:r>
          </w:p>
        </w:tc>
      </w:tr>
      <w:tr>
        <w:trPr>
          <w:trHeight w:val="272" w:hRule="atLeast"/>
        </w:trPr>
        <w:tc>
          <w:tcPr>
            <w:tcW w:w="3059" w:type="dxa"/>
            <w:tcBorders>
              <w:left w:val="single" w:sz="4" w:space="0" w:color="000000"/>
              <w:bottom w:val="single" w:sz="4" w:space="0" w:color="000000"/>
            </w:tcBorders>
          </w:tcPr>
          <w:p>
            <w:pPr>
              <w:pStyle w:val="TableParagraph"/>
              <w:rPr>
                <w:rFonts w:ascii="Times New Roman"/>
                <w:sz w:val="20"/>
              </w:rPr>
            </w:pPr>
          </w:p>
        </w:tc>
        <w:tc>
          <w:tcPr>
            <w:tcW w:w="3856" w:type="dxa"/>
            <w:tcBorders>
              <w:bottom w:val="single" w:sz="4" w:space="0" w:color="000000"/>
            </w:tcBorders>
          </w:tcPr>
          <w:p>
            <w:pPr>
              <w:pStyle w:val="TableParagraph"/>
              <w:rPr>
                <w:rFonts w:ascii="Times New Roman"/>
                <w:sz w:val="20"/>
              </w:rPr>
            </w:pPr>
          </w:p>
        </w:tc>
        <w:tc>
          <w:tcPr>
            <w:tcW w:w="3603" w:type="dxa"/>
            <w:tcBorders>
              <w:bottom w:val="single" w:sz="4" w:space="0" w:color="000000"/>
              <w:right w:val="single" w:sz="4" w:space="0" w:color="000000"/>
            </w:tcBorders>
          </w:tcPr>
          <w:p>
            <w:pPr>
              <w:pStyle w:val="TableParagraph"/>
              <w:spacing w:line="240" w:lineRule="exact"/>
              <w:ind w:left="600"/>
              <w:rPr>
                <w:sz w:val="21"/>
              </w:rPr>
            </w:pPr>
            <w:r>
              <w:rPr>
                <w:sz w:val="21"/>
              </w:rPr>
              <w:t>11.27 永久不可逆</w:t>
            </w:r>
          </w:p>
        </w:tc>
      </w:tr>
    </w:tbl>
    <w:p>
      <w:pPr>
        <w:spacing w:after="0" w:line="240" w:lineRule="exact"/>
        <w:rPr>
          <w:sz w:val="21"/>
        </w:rPr>
        <w:sectPr>
          <w:pgSz w:w="12240" w:h="15840"/>
          <w:pgMar w:top="1440" w:bottom="28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868"/>
        <w:gridCol w:w="6348"/>
      </w:tblGrid>
      <w:tr>
        <w:trPr>
          <w:trHeight w:val="275" w:hRule="atLeast"/>
        </w:trPr>
        <w:tc>
          <w:tcPr>
            <w:tcW w:w="640" w:type="dxa"/>
            <w:tcBorders>
              <w:bottom w:val="single" w:sz="12" w:space="0" w:color="000000"/>
            </w:tcBorders>
          </w:tcPr>
          <w:p>
            <w:pPr>
              <w:pStyle w:val="TableParagraph"/>
              <w:spacing w:line="235" w:lineRule="exact"/>
              <w:ind w:left="108"/>
              <w:rPr>
                <w:b/>
                <w:sz w:val="24"/>
              </w:rPr>
            </w:pPr>
            <w:r>
              <w:rPr>
                <w:b/>
                <w:sz w:val="24"/>
              </w:rPr>
              <w:t>1.</w:t>
            </w:r>
          </w:p>
        </w:tc>
        <w:tc>
          <w:tcPr>
            <w:tcW w:w="1868" w:type="dxa"/>
            <w:tcBorders>
              <w:bottom w:val="single" w:sz="12" w:space="0" w:color="000000"/>
            </w:tcBorders>
          </w:tcPr>
          <w:p>
            <w:pPr>
              <w:pStyle w:val="TableParagraph"/>
              <w:spacing w:line="235" w:lineRule="exact"/>
              <w:ind w:left="214"/>
              <w:rPr>
                <w:b/>
                <w:sz w:val="24"/>
              </w:rPr>
            </w:pPr>
            <w:r>
              <w:rPr>
                <w:b/>
                <w:w w:val="95"/>
                <w:sz w:val="24"/>
              </w:rPr>
              <w:t>合同的订立</w:t>
            </w:r>
          </w:p>
        </w:tc>
        <w:tc>
          <w:tcPr>
            <w:tcW w:w="6348" w:type="dxa"/>
            <w:tcBorders>
              <w:bottom w:val="single" w:sz="12" w:space="0" w:color="000000"/>
            </w:tcBorders>
          </w:tcPr>
          <w:p>
            <w:pPr>
              <w:pStyle w:val="TableParagraph"/>
              <w:rPr>
                <w:rFonts w:ascii="Times New Roman"/>
                <w:sz w:val="20"/>
              </w:rPr>
            </w:pPr>
          </w:p>
        </w:tc>
      </w:tr>
      <w:tr>
        <w:trPr>
          <w:trHeight w:val="1587" w:hRule="atLeast"/>
        </w:trPr>
        <w:tc>
          <w:tcPr>
            <w:tcW w:w="640" w:type="dxa"/>
            <w:tcBorders>
              <w:top w:val="single" w:sz="12" w:space="0" w:color="000000"/>
            </w:tcBorders>
          </w:tcPr>
          <w:p>
            <w:pPr>
              <w:pStyle w:val="TableParagraph"/>
              <w:spacing w:before="5"/>
              <w:rPr>
                <w:sz w:val="22"/>
              </w:rPr>
            </w:pPr>
          </w:p>
          <w:p>
            <w:pPr>
              <w:pStyle w:val="TableParagraph"/>
              <w:ind w:left="108"/>
              <w:rPr>
                <w:b/>
                <w:sz w:val="21"/>
              </w:rPr>
            </w:pPr>
            <w:r>
              <w:rPr>
                <w:b/>
                <w:sz w:val="21"/>
              </w:rPr>
              <w:t>1.1</w:t>
            </w:r>
          </w:p>
        </w:tc>
        <w:tc>
          <w:tcPr>
            <w:tcW w:w="1868" w:type="dxa"/>
            <w:tcBorders>
              <w:top w:val="single" w:sz="12" w:space="0" w:color="000000"/>
            </w:tcBorders>
          </w:tcPr>
          <w:p>
            <w:pPr>
              <w:pStyle w:val="TableParagraph"/>
              <w:spacing w:before="5"/>
              <w:rPr>
                <w:sz w:val="22"/>
              </w:rPr>
            </w:pPr>
          </w:p>
          <w:p>
            <w:pPr>
              <w:pStyle w:val="TableParagraph"/>
              <w:ind w:left="214"/>
              <w:rPr>
                <w:b/>
                <w:sz w:val="21"/>
              </w:rPr>
            </w:pPr>
            <w:r>
              <w:rPr>
                <w:b/>
                <w:w w:val="95"/>
                <w:sz w:val="21"/>
              </w:rPr>
              <w:t>合同构成</w:t>
            </w:r>
          </w:p>
        </w:tc>
        <w:tc>
          <w:tcPr>
            <w:tcW w:w="6348" w:type="dxa"/>
            <w:tcBorders>
              <w:top w:val="single" w:sz="12" w:space="0" w:color="000000"/>
            </w:tcBorders>
          </w:tcPr>
          <w:p>
            <w:pPr>
              <w:pStyle w:val="TableParagraph"/>
              <w:spacing w:before="8"/>
              <w:rPr>
                <w:sz w:val="22"/>
              </w:rPr>
            </w:pPr>
          </w:p>
          <w:p>
            <w:pPr>
              <w:pStyle w:val="TableParagraph"/>
              <w:spacing w:line="237" w:lineRule="auto"/>
              <w:ind w:left="180" w:right="108"/>
              <w:jc w:val="both"/>
              <w:rPr>
                <w:sz w:val="21"/>
              </w:rPr>
            </w:pPr>
            <w:r>
              <w:rPr>
                <w:spacing w:val="-2"/>
                <w:w w:val="95"/>
                <w:sz w:val="21"/>
              </w:rPr>
              <w:t>本合同是投保人与本公司约定保险权利义务关系的协议，包括本保  </w:t>
            </w:r>
            <w:r>
              <w:rPr>
                <w:spacing w:val="-6"/>
                <w:w w:val="95"/>
                <w:sz w:val="21"/>
              </w:rPr>
              <w:t>险条款、保险单或者其他保险凭证、投保单、被保险人名册等与本 </w:t>
            </w:r>
            <w:r>
              <w:rPr>
                <w:spacing w:val="-8"/>
                <w:sz w:val="21"/>
              </w:rPr>
              <w:t>合同有关的投保文件、</w:t>
            </w:r>
            <w:r>
              <w:rPr>
                <w:b/>
                <w:spacing w:val="-4"/>
                <w:sz w:val="21"/>
              </w:rPr>
              <w:t>合法有效</w:t>
            </w:r>
            <w:r>
              <w:rPr>
                <w:sz w:val="21"/>
              </w:rPr>
              <w:t>（</w:t>
            </w:r>
            <w:r>
              <w:rPr>
                <w:spacing w:val="-33"/>
                <w:sz w:val="21"/>
              </w:rPr>
              <w:t>见 </w:t>
            </w:r>
            <w:r>
              <w:rPr>
                <w:spacing w:val="-4"/>
                <w:sz w:val="21"/>
              </w:rPr>
              <w:t>11.1）</w:t>
            </w:r>
            <w:r>
              <w:rPr>
                <w:spacing w:val="-6"/>
                <w:sz w:val="21"/>
              </w:rPr>
              <w:t>的声明、批注、批单及</w:t>
            </w:r>
            <w:r>
              <w:rPr>
                <w:spacing w:val="-6"/>
                <w:w w:val="95"/>
                <w:sz w:val="21"/>
              </w:rPr>
              <w:t>其他投保人与本公司共同认可的书面协议。</w:t>
            </w:r>
          </w:p>
        </w:tc>
      </w:tr>
      <w:tr>
        <w:trPr>
          <w:trHeight w:val="741" w:hRule="atLeast"/>
        </w:trPr>
        <w:tc>
          <w:tcPr>
            <w:tcW w:w="640" w:type="dxa"/>
          </w:tcPr>
          <w:p>
            <w:pPr>
              <w:pStyle w:val="TableParagraph"/>
              <w:spacing w:before="127"/>
              <w:ind w:left="108"/>
              <w:rPr>
                <w:b/>
                <w:sz w:val="21"/>
              </w:rPr>
            </w:pPr>
            <w:r>
              <w:rPr>
                <w:b/>
                <w:sz w:val="21"/>
              </w:rPr>
              <w:t>1.2</w:t>
            </w:r>
          </w:p>
        </w:tc>
        <w:tc>
          <w:tcPr>
            <w:tcW w:w="1868" w:type="dxa"/>
          </w:tcPr>
          <w:p>
            <w:pPr>
              <w:pStyle w:val="TableParagraph"/>
              <w:spacing w:before="127"/>
              <w:ind w:left="214"/>
              <w:rPr>
                <w:b/>
                <w:sz w:val="21"/>
              </w:rPr>
            </w:pPr>
            <w:r>
              <w:rPr>
                <w:b/>
                <w:w w:val="95"/>
                <w:sz w:val="21"/>
              </w:rPr>
              <w:t>合同成立及生效</w:t>
            </w:r>
          </w:p>
        </w:tc>
        <w:tc>
          <w:tcPr>
            <w:tcW w:w="6348" w:type="dxa"/>
          </w:tcPr>
          <w:p>
            <w:pPr>
              <w:pStyle w:val="TableParagraph"/>
              <w:spacing w:before="127"/>
              <w:ind w:left="180" w:right="108"/>
              <w:rPr>
                <w:sz w:val="21"/>
              </w:rPr>
            </w:pPr>
            <w:r>
              <w:rPr>
                <w:spacing w:val="-2"/>
                <w:w w:val="95"/>
                <w:sz w:val="21"/>
              </w:rPr>
              <w:t>投保人提出保险申请且本公司同意承保，本合同成立。本合同的成  立日、生效日以本合同记载的日期为准。</w:t>
            </w:r>
          </w:p>
        </w:tc>
      </w:tr>
      <w:tr>
        <w:trPr>
          <w:trHeight w:val="771" w:hRule="atLeast"/>
        </w:trPr>
        <w:tc>
          <w:tcPr>
            <w:tcW w:w="640" w:type="dxa"/>
          </w:tcPr>
          <w:p>
            <w:pPr>
              <w:pStyle w:val="TableParagraph"/>
              <w:rPr>
                <w:rFonts w:ascii="Times New Roman"/>
                <w:sz w:val="20"/>
              </w:rPr>
            </w:pPr>
          </w:p>
        </w:tc>
        <w:tc>
          <w:tcPr>
            <w:tcW w:w="1868" w:type="dxa"/>
          </w:tcPr>
          <w:p>
            <w:pPr>
              <w:pStyle w:val="TableParagraph"/>
              <w:rPr>
                <w:rFonts w:ascii="Times New Roman"/>
                <w:sz w:val="20"/>
              </w:rPr>
            </w:pPr>
          </w:p>
        </w:tc>
        <w:tc>
          <w:tcPr>
            <w:tcW w:w="6348" w:type="dxa"/>
          </w:tcPr>
          <w:p>
            <w:pPr>
              <w:pStyle w:val="TableParagraph"/>
              <w:ind w:left="180" w:right="60"/>
              <w:rPr>
                <w:sz w:val="21"/>
              </w:rPr>
            </w:pPr>
            <w:r>
              <w:rPr>
                <w:b/>
                <w:spacing w:val="-2"/>
                <w:w w:val="99"/>
                <w:sz w:val="21"/>
              </w:rPr>
              <w:t>保单年度</w:t>
            </w:r>
            <w:r>
              <w:rPr>
                <w:spacing w:val="-1"/>
                <w:w w:val="99"/>
                <w:sz w:val="21"/>
              </w:rPr>
              <w:t>（</w:t>
            </w:r>
            <w:r>
              <w:rPr>
                <w:w w:val="99"/>
                <w:sz w:val="21"/>
              </w:rPr>
              <w:t>见</w:t>
            </w:r>
            <w:r>
              <w:rPr>
                <w:sz w:val="21"/>
              </w:rPr>
              <w:t> </w:t>
            </w:r>
            <w:r>
              <w:rPr>
                <w:spacing w:val="0"/>
                <w:w w:val="99"/>
                <w:sz w:val="21"/>
              </w:rPr>
              <w:t>11</w:t>
            </w:r>
            <w:r>
              <w:rPr>
                <w:spacing w:val="-2"/>
                <w:w w:val="99"/>
                <w:sz w:val="21"/>
              </w:rPr>
              <w:t>.</w:t>
            </w:r>
            <w:r>
              <w:rPr>
                <w:spacing w:val="0"/>
                <w:w w:val="99"/>
                <w:sz w:val="21"/>
              </w:rPr>
              <w:t>2</w:t>
            </w:r>
            <w:r>
              <w:rPr>
                <w:spacing w:val="-106"/>
                <w:w w:val="99"/>
                <w:sz w:val="21"/>
              </w:rPr>
              <w:t>）</w:t>
            </w:r>
            <w:r>
              <w:rPr>
                <w:spacing w:val="-8"/>
                <w:w w:val="99"/>
                <w:sz w:val="21"/>
              </w:rPr>
              <w:t>、</w:t>
            </w:r>
            <w:r>
              <w:rPr>
                <w:b/>
                <w:spacing w:val="-1"/>
                <w:w w:val="99"/>
                <w:sz w:val="21"/>
              </w:rPr>
              <w:t>保险费约定交纳日</w:t>
            </w:r>
            <w:r>
              <w:rPr>
                <w:spacing w:val="-1"/>
                <w:w w:val="99"/>
                <w:sz w:val="21"/>
              </w:rPr>
              <w:t>（</w:t>
            </w:r>
            <w:r>
              <w:rPr>
                <w:w w:val="99"/>
                <w:sz w:val="21"/>
              </w:rPr>
              <w:t>见</w:t>
            </w:r>
            <w:r>
              <w:rPr>
                <w:spacing w:val="-53"/>
                <w:sz w:val="21"/>
              </w:rPr>
              <w:t> </w:t>
            </w:r>
            <w:r>
              <w:rPr>
                <w:spacing w:val="0"/>
                <w:w w:val="99"/>
                <w:sz w:val="21"/>
              </w:rPr>
              <w:t>11</w:t>
            </w:r>
            <w:r>
              <w:rPr>
                <w:spacing w:val="-2"/>
                <w:w w:val="99"/>
                <w:sz w:val="21"/>
              </w:rPr>
              <w:t>.</w:t>
            </w:r>
            <w:r>
              <w:rPr>
                <w:spacing w:val="0"/>
                <w:w w:val="99"/>
                <w:sz w:val="21"/>
              </w:rPr>
              <w:t>3</w:t>
            </w:r>
            <w:r>
              <w:rPr>
                <w:spacing w:val="-8"/>
                <w:w w:val="99"/>
                <w:sz w:val="21"/>
              </w:rPr>
              <w:t>）</w:t>
            </w:r>
            <w:r>
              <w:rPr>
                <w:spacing w:val="-1"/>
                <w:w w:val="99"/>
                <w:sz w:val="21"/>
              </w:rPr>
              <w:t>均依据本合同</w:t>
            </w:r>
            <w:r>
              <w:rPr>
                <w:spacing w:val="-1"/>
                <w:w w:val="95"/>
                <w:sz w:val="21"/>
              </w:rPr>
              <w:t>的生效日确定。</w:t>
            </w:r>
          </w:p>
        </w:tc>
      </w:tr>
      <w:tr>
        <w:trPr>
          <w:trHeight w:val="1042" w:hRule="atLeast"/>
        </w:trPr>
        <w:tc>
          <w:tcPr>
            <w:tcW w:w="640" w:type="dxa"/>
          </w:tcPr>
          <w:p>
            <w:pPr>
              <w:pStyle w:val="TableParagraph"/>
              <w:spacing w:before="157"/>
              <w:ind w:left="108"/>
              <w:rPr>
                <w:b/>
                <w:sz w:val="21"/>
              </w:rPr>
            </w:pPr>
            <w:r>
              <w:rPr>
                <w:b/>
                <w:sz w:val="21"/>
              </w:rPr>
              <w:t>1.3</w:t>
            </w:r>
          </w:p>
        </w:tc>
        <w:tc>
          <w:tcPr>
            <w:tcW w:w="1868" w:type="dxa"/>
          </w:tcPr>
          <w:p>
            <w:pPr>
              <w:pStyle w:val="TableParagraph"/>
              <w:spacing w:before="157"/>
              <w:ind w:left="214"/>
              <w:rPr>
                <w:b/>
                <w:sz w:val="21"/>
              </w:rPr>
            </w:pPr>
            <w:r>
              <w:rPr>
                <w:b/>
                <w:w w:val="95"/>
                <w:sz w:val="21"/>
              </w:rPr>
              <w:t>投保范围</w:t>
            </w:r>
          </w:p>
        </w:tc>
        <w:tc>
          <w:tcPr>
            <w:tcW w:w="6348" w:type="dxa"/>
          </w:tcPr>
          <w:p>
            <w:pPr>
              <w:pStyle w:val="TableParagraph"/>
              <w:spacing w:line="237" w:lineRule="auto" w:before="159"/>
              <w:ind w:left="180" w:right="2"/>
              <w:rPr>
                <w:sz w:val="21"/>
              </w:rPr>
            </w:pPr>
            <w:r>
              <w:rPr>
                <w:spacing w:val="-1"/>
                <w:w w:val="99"/>
                <w:sz w:val="21"/>
              </w:rPr>
              <w:t>投保人可将</w:t>
            </w:r>
            <w:r>
              <w:rPr>
                <w:b/>
                <w:spacing w:val="-45"/>
                <w:w w:val="99"/>
                <w:sz w:val="21"/>
              </w:rPr>
              <w:t>团体</w:t>
            </w:r>
            <w:r>
              <w:rPr>
                <w:spacing w:val="-1"/>
                <w:w w:val="99"/>
                <w:sz w:val="21"/>
              </w:rPr>
              <w:t>（</w:t>
            </w:r>
            <w:r>
              <w:rPr>
                <w:w w:val="99"/>
                <w:sz w:val="21"/>
              </w:rPr>
              <w:t>见</w:t>
            </w:r>
            <w:r>
              <w:rPr>
                <w:spacing w:val="-53"/>
                <w:sz w:val="21"/>
              </w:rPr>
              <w:t> </w:t>
            </w:r>
            <w:r>
              <w:rPr>
                <w:spacing w:val="0"/>
                <w:w w:val="99"/>
                <w:sz w:val="21"/>
              </w:rPr>
              <w:t>11.</w:t>
            </w:r>
            <w:r>
              <w:rPr>
                <w:spacing w:val="-2"/>
                <w:w w:val="99"/>
                <w:sz w:val="21"/>
              </w:rPr>
              <w:t>4</w:t>
            </w:r>
            <w:r>
              <w:rPr>
                <w:spacing w:val="-92"/>
                <w:w w:val="99"/>
                <w:sz w:val="21"/>
              </w:rPr>
              <w:t>）</w:t>
            </w:r>
            <w:r>
              <w:rPr>
                <w:spacing w:val="-1"/>
                <w:w w:val="99"/>
                <w:sz w:val="21"/>
              </w:rPr>
              <w:t>成员作为被保险人向本公司投保本保险，</w:t>
            </w:r>
            <w:r>
              <w:rPr>
                <w:spacing w:val="-5"/>
                <w:sz w:val="21"/>
              </w:rPr>
              <w:t>团体成员的配偶、子女、父母也可以作为被保险人参加本保险。另</w:t>
            </w:r>
            <w:r>
              <w:rPr>
                <w:spacing w:val="-5"/>
                <w:w w:val="95"/>
                <w:sz w:val="21"/>
              </w:rPr>
              <w:t>有约定的按约定内容执行。</w:t>
            </w:r>
          </w:p>
        </w:tc>
      </w:tr>
      <w:tr>
        <w:trPr>
          <w:trHeight w:val="1012" w:hRule="atLeast"/>
        </w:trPr>
        <w:tc>
          <w:tcPr>
            <w:tcW w:w="640" w:type="dxa"/>
          </w:tcPr>
          <w:p>
            <w:pPr>
              <w:pStyle w:val="TableParagraph"/>
              <w:rPr>
                <w:rFonts w:ascii="Times New Roman"/>
                <w:sz w:val="20"/>
              </w:rPr>
            </w:pPr>
          </w:p>
        </w:tc>
        <w:tc>
          <w:tcPr>
            <w:tcW w:w="1868" w:type="dxa"/>
          </w:tcPr>
          <w:p>
            <w:pPr>
              <w:pStyle w:val="TableParagraph"/>
              <w:rPr>
                <w:rFonts w:ascii="Times New Roman"/>
                <w:sz w:val="20"/>
              </w:rPr>
            </w:pPr>
          </w:p>
        </w:tc>
        <w:tc>
          <w:tcPr>
            <w:tcW w:w="6348" w:type="dxa"/>
          </w:tcPr>
          <w:p>
            <w:pPr>
              <w:pStyle w:val="TableParagraph"/>
              <w:spacing w:line="237" w:lineRule="auto"/>
              <w:ind w:left="180" w:right="108"/>
              <w:jc w:val="both"/>
              <w:rPr>
                <w:sz w:val="21"/>
              </w:rPr>
            </w:pPr>
            <w:r>
              <w:rPr>
                <w:spacing w:val="-2"/>
                <w:w w:val="95"/>
                <w:sz w:val="21"/>
              </w:rPr>
              <w:t>团体属于法人或者非法人组织的，投保人应为该法人或者非法人组  </w:t>
            </w:r>
            <w:r>
              <w:rPr>
                <w:spacing w:val="-5"/>
                <w:w w:val="95"/>
                <w:sz w:val="21"/>
              </w:rPr>
              <w:t>织；团体属于其他不以购买保险为目的而组成的团体的，投保人可  以是团体中的自然人。</w:t>
            </w:r>
          </w:p>
        </w:tc>
      </w:tr>
      <w:tr>
        <w:trPr>
          <w:trHeight w:val="604" w:hRule="atLeast"/>
        </w:trPr>
        <w:tc>
          <w:tcPr>
            <w:tcW w:w="640" w:type="dxa"/>
          </w:tcPr>
          <w:p>
            <w:pPr>
              <w:pStyle w:val="TableParagraph"/>
              <w:spacing w:before="127"/>
              <w:ind w:left="108"/>
              <w:rPr>
                <w:b/>
                <w:sz w:val="21"/>
              </w:rPr>
            </w:pPr>
            <w:r>
              <w:rPr>
                <w:b/>
                <w:sz w:val="21"/>
              </w:rPr>
              <w:t>1.4</w:t>
            </w:r>
          </w:p>
        </w:tc>
        <w:tc>
          <w:tcPr>
            <w:tcW w:w="1868" w:type="dxa"/>
          </w:tcPr>
          <w:p>
            <w:pPr>
              <w:pStyle w:val="TableParagraph"/>
              <w:spacing w:before="127"/>
              <w:ind w:left="214"/>
              <w:rPr>
                <w:b/>
                <w:sz w:val="21"/>
              </w:rPr>
            </w:pPr>
            <w:r>
              <w:rPr>
                <w:b/>
                <w:w w:val="95"/>
                <w:sz w:val="21"/>
              </w:rPr>
              <w:t>投保年龄</w:t>
            </w:r>
          </w:p>
        </w:tc>
        <w:tc>
          <w:tcPr>
            <w:tcW w:w="6348" w:type="dxa"/>
          </w:tcPr>
          <w:p>
            <w:pPr>
              <w:pStyle w:val="TableParagraph"/>
              <w:spacing w:before="127"/>
              <w:ind w:left="180"/>
              <w:rPr>
                <w:sz w:val="21"/>
              </w:rPr>
            </w:pPr>
            <w:r>
              <w:rPr>
                <w:sz w:val="21"/>
              </w:rPr>
              <w:t>投保年龄是指投保时被保险人的年龄，以</w:t>
            </w:r>
            <w:r>
              <w:rPr>
                <w:b/>
                <w:sz w:val="21"/>
              </w:rPr>
              <w:t>周岁</w:t>
            </w:r>
            <w:r>
              <w:rPr>
                <w:sz w:val="21"/>
              </w:rPr>
              <w:t>（见 11.5）计算。</w:t>
            </w:r>
          </w:p>
        </w:tc>
      </w:tr>
      <w:tr>
        <w:trPr>
          <w:trHeight w:val="1013" w:hRule="atLeast"/>
        </w:trPr>
        <w:tc>
          <w:tcPr>
            <w:tcW w:w="640" w:type="dxa"/>
          </w:tcPr>
          <w:p>
            <w:pPr>
              <w:pStyle w:val="TableParagraph"/>
              <w:spacing w:before="127"/>
              <w:ind w:left="108"/>
              <w:rPr>
                <w:b/>
                <w:sz w:val="21"/>
              </w:rPr>
            </w:pPr>
            <w:r>
              <w:rPr>
                <w:b/>
                <w:sz w:val="21"/>
              </w:rPr>
              <w:t>1.5</w:t>
            </w:r>
          </w:p>
        </w:tc>
        <w:tc>
          <w:tcPr>
            <w:tcW w:w="1868" w:type="dxa"/>
          </w:tcPr>
          <w:p>
            <w:pPr>
              <w:pStyle w:val="TableParagraph"/>
              <w:spacing w:before="127"/>
              <w:ind w:left="214"/>
              <w:rPr>
                <w:b/>
                <w:sz w:val="21"/>
              </w:rPr>
            </w:pPr>
            <w:r>
              <w:rPr>
                <w:b/>
                <w:w w:val="95"/>
                <w:sz w:val="21"/>
              </w:rPr>
              <w:t>犹豫期</w:t>
            </w:r>
          </w:p>
        </w:tc>
        <w:tc>
          <w:tcPr>
            <w:tcW w:w="6348" w:type="dxa"/>
          </w:tcPr>
          <w:p>
            <w:pPr>
              <w:pStyle w:val="TableParagraph"/>
              <w:spacing w:line="237" w:lineRule="auto" w:before="129"/>
              <w:ind w:left="180" w:right="108"/>
              <w:rPr>
                <w:sz w:val="21"/>
              </w:rPr>
            </w:pPr>
            <w:r>
              <w:rPr>
                <w:spacing w:val="-4"/>
                <w:sz w:val="21"/>
              </w:rPr>
              <w:t>自投保人签收本合同次日零时起，有 </w:t>
            </w:r>
            <w:r>
              <w:rPr>
                <w:sz w:val="21"/>
              </w:rPr>
              <w:t>15</w:t>
            </w:r>
            <w:r>
              <w:rPr>
                <w:spacing w:val="-8"/>
                <w:sz w:val="21"/>
              </w:rPr>
              <w:t> 日的犹豫期。在此期间， </w:t>
            </w:r>
            <w:r>
              <w:rPr>
                <w:spacing w:val="-10"/>
                <w:w w:val="95"/>
                <w:sz w:val="21"/>
              </w:rPr>
              <w:t>请投保人认真审视本合同，若被保险人未发生保险事故，投保人可  以在此期间提出解除本合同，本公司向投保人无息退还保险费。</w:t>
            </w:r>
          </w:p>
        </w:tc>
      </w:tr>
      <w:tr>
        <w:trPr>
          <w:trHeight w:val="542" w:hRule="atLeast"/>
        </w:trPr>
        <w:tc>
          <w:tcPr>
            <w:tcW w:w="640" w:type="dxa"/>
          </w:tcPr>
          <w:p>
            <w:pPr>
              <w:pStyle w:val="TableParagraph"/>
              <w:rPr>
                <w:rFonts w:ascii="Times New Roman"/>
                <w:sz w:val="20"/>
              </w:rPr>
            </w:pPr>
          </w:p>
        </w:tc>
        <w:tc>
          <w:tcPr>
            <w:tcW w:w="1868" w:type="dxa"/>
          </w:tcPr>
          <w:p>
            <w:pPr>
              <w:pStyle w:val="TableParagraph"/>
              <w:rPr>
                <w:rFonts w:ascii="Times New Roman"/>
                <w:sz w:val="20"/>
              </w:rPr>
            </w:pPr>
          </w:p>
        </w:tc>
        <w:tc>
          <w:tcPr>
            <w:tcW w:w="6348" w:type="dxa"/>
          </w:tcPr>
          <w:p>
            <w:pPr>
              <w:pStyle w:val="TableParagraph"/>
              <w:spacing w:line="272" w:lineRule="exact" w:before="19"/>
              <w:ind w:left="180" w:right="108"/>
              <w:rPr>
                <w:sz w:val="21"/>
              </w:rPr>
            </w:pPr>
            <w:r>
              <w:rPr>
                <w:spacing w:val="-3"/>
                <w:w w:val="95"/>
                <w:sz w:val="21"/>
              </w:rPr>
              <w:t>若投保人不为自然人的，解除本合同时，投保人须提供加盖投保人  公章的保单变更申请书并向本公司提供下列资料的原件：</w:t>
            </w:r>
          </w:p>
        </w:tc>
      </w:tr>
    </w:tbl>
    <w:p>
      <w:pPr>
        <w:pStyle w:val="ListParagraph"/>
        <w:numPr>
          <w:ilvl w:val="0"/>
          <w:numId w:val="2"/>
        </w:numPr>
        <w:tabs>
          <w:tab w:pos="3639" w:val="left" w:leader="none"/>
          <w:tab w:pos="3640" w:val="left" w:leader="none"/>
        </w:tabs>
        <w:spacing w:line="240" w:lineRule="auto" w:before="51" w:after="0"/>
        <w:ind w:left="3640" w:right="0" w:hanging="840"/>
        <w:jc w:val="left"/>
        <w:rPr>
          <w:sz w:val="21"/>
        </w:rPr>
      </w:pPr>
      <w:r>
        <w:rPr>
          <w:w w:val="95"/>
          <w:sz w:val="21"/>
        </w:rPr>
        <w:t>本合同；</w:t>
      </w:r>
    </w:p>
    <w:p>
      <w:pPr>
        <w:pStyle w:val="ListParagraph"/>
        <w:numPr>
          <w:ilvl w:val="0"/>
          <w:numId w:val="2"/>
        </w:numPr>
        <w:tabs>
          <w:tab w:pos="3639" w:val="left" w:leader="none"/>
          <w:tab w:pos="3640" w:val="left" w:leader="none"/>
        </w:tabs>
        <w:spacing w:line="240" w:lineRule="auto" w:before="58" w:after="0"/>
        <w:ind w:left="3640" w:right="0" w:hanging="840"/>
        <w:jc w:val="left"/>
        <w:rPr>
          <w:sz w:val="21"/>
        </w:rPr>
      </w:pPr>
      <w:r>
        <w:rPr>
          <w:w w:val="95"/>
          <w:sz w:val="21"/>
        </w:rPr>
        <w:t>投保人出具的加盖投保人公章的投保人授权书；</w:t>
      </w:r>
    </w:p>
    <w:p>
      <w:pPr>
        <w:pStyle w:val="ListParagraph"/>
        <w:numPr>
          <w:ilvl w:val="0"/>
          <w:numId w:val="2"/>
        </w:numPr>
        <w:tabs>
          <w:tab w:pos="3639" w:val="left" w:leader="none"/>
          <w:tab w:pos="3640" w:val="left" w:leader="none"/>
        </w:tabs>
        <w:spacing w:line="240" w:lineRule="auto" w:before="56" w:after="0"/>
        <w:ind w:left="3640" w:right="0" w:hanging="840"/>
        <w:jc w:val="left"/>
        <w:rPr>
          <w:sz w:val="21"/>
        </w:rPr>
      </w:pPr>
      <w:r>
        <w:rPr>
          <w:spacing w:val="-1"/>
          <w:w w:val="99"/>
          <w:sz w:val="21"/>
        </w:rPr>
        <w:t>经办人的</w:t>
      </w:r>
      <w:r>
        <w:rPr>
          <w:b/>
          <w:w w:val="99"/>
          <w:sz w:val="21"/>
        </w:rPr>
        <w:t>有效身份证件</w:t>
      </w:r>
      <w:r>
        <w:rPr>
          <w:spacing w:val="-1"/>
          <w:w w:val="99"/>
          <w:sz w:val="21"/>
        </w:rPr>
        <w:t>（</w:t>
      </w:r>
      <w:r>
        <w:rPr>
          <w:w w:val="99"/>
          <w:sz w:val="21"/>
        </w:rPr>
        <w:t>见</w:t>
      </w:r>
      <w:r>
        <w:rPr>
          <w:spacing w:val="-51"/>
          <w:sz w:val="21"/>
        </w:rPr>
        <w:t> </w:t>
      </w:r>
      <w:r>
        <w:rPr>
          <w:spacing w:val="0"/>
          <w:w w:val="99"/>
          <w:sz w:val="21"/>
        </w:rPr>
        <w:t>11.</w:t>
      </w:r>
      <w:r>
        <w:rPr>
          <w:spacing w:val="-2"/>
          <w:w w:val="99"/>
          <w:sz w:val="21"/>
        </w:rPr>
        <w:t>6</w:t>
      </w:r>
      <w:r>
        <w:rPr>
          <w:spacing w:val="-104"/>
          <w:w w:val="99"/>
          <w:sz w:val="21"/>
        </w:rPr>
        <w:t>）</w:t>
      </w:r>
      <w:r>
        <w:rPr>
          <w:w w:val="99"/>
          <w:sz w:val="21"/>
        </w:rPr>
        <w:t>。</w:t>
      </w:r>
    </w:p>
    <w:p>
      <w:pPr>
        <w:pStyle w:val="BodyText"/>
        <w:spacing w:line="237" w:lineRule="auto" w:before="61"/>
        <w:ind w:left="2800" w:right="220"/>
      </w:pPr>
      <w:r>
        <w:rPr>
          <w:spacing w:val="-3"/>
          <w:w w:val="95"/>
        </w:rPr>
        <w:t>若投保人为自然人的，解除本合同时，投保人须提供保单变更申请  书并向本公司提供下列资料的原件：</w:t>
      </w:r>
    </w:p>
    <w:p>
      <w:pPr>
        <w:pStyle w:val="ListParagraph"/>
        <w:numPr>
          <w:ilvl w:val="0"/>
          <w:numId w:val="3"/>
        </w:numPr>
        <w:tabs>
          <w:tab w:pos="3639" w:val="left" w:leader="none"/>
          <w:tab w:pos="3640" w:val="left" w:leader="none"/>
        </w:tabs>
        <w:spacing w:line="240" w:lineRule="auto" w:before="58" w:after="0"/>
        <w:ind w:left="3640" w:right="0" w:hanging="840"/>
        <w:jc w:val="left"/>
        <w:rPr>
          <w:sz w:val="21"/>
        </w:rPr>
      </w:pPr>
      <w:r>
        <w:rPr>
          <w:w w:val="95"/>
          <w:sz w:val="21"/>
        </w:rPr>
        <w:t>本合同；</w:t>
      </w:r>
    </w:p>
    <w:p>
      <w:pPr>
        <w:pStyle w:val="ListParagraph"/>
        <w:numPr>
          <w:ilvl w:val="0"/>
          <w:numId w:val="3"/>
        </w:numPr>
        <w:tabs>
          <w:tab w:pos="3639" w:val="left" w:leader="none"/>
          <w:tab w:pos="3640" w:val="left" w:leader="none"/>
        </w:tabs>
        <w:spacing w:line="240" w:lineRule="auto" w:before="56" w:after="0"/>
        <w:ind w:left="3640" w:right="0" w:hanging="840"/>
        <w:jc w:val="left"/>
        <w:rPr>
          <w:sz w:val="21"/>
        </w:rPr>
      </w:pPr>
      <w:r>
        <w:rPr>
          <w:w w:val="95"/>
          <w:sz w:val="21"/>
        </w:rPr>
        <w:t>投保人的有效身份证件。</w:t>
      </w:r>
    </w:p>
    <w:p>
      <w:pPr>
        <w:pStyle w:val="BodyText"/>
        <w:spacing w:before="58"/>
        <w:ind w:left="2800"/>
        <w:rPr>
          <w:rFonts w:ascii="黑体" w:eastAsia="黑体" w:hint="eastAsia"/>
        </w:rPr>
      </w:pPr>
      <w:r>
        <w:rPr>
          <w:rFonts w:ascii="黑体" w:eastAsia="黑体" w:hint="eastAsia"/>
          <w:w w:val="95"/>
        </w:rPr>
        <w:t>自本公司收到投保人的保单变更申请书时起，本合同即被解除。</w:t>
      </w:r>
    </w:p>
    <w:p>
      <w:pPr>
        <w:pStyle w:val="BodyText"/>
        <w:spacing w:before="1"/>
        <w:rPr>
          <w:rFonts w:ascii="黑体"/>
          <w:sz w:val="18"/>
        </w:rPr>
      </w:pPr>
    </w:p>
    <w:p>
      <w:pPr>
        <w:pStyle w:val="Heading1"/>
        <w:numPr>
          <w:ilvl w:val="0"/>
          <w:numId w:val="4"/>
        </w:numPr>
        <w:tabs>
          <w:tab w:pos="966" w:val="left" w:leader="none"/>
          <w:tab w:pos="967" w:val="left" w:leader="none"/>
        </w:tabs>
        <w:spacing w:line="240" w:lineRule="auto" w:before="26" w:after="0"/>
        <w:ind w:left="966" w:right="0" w:hanging="746"/>
        <w:jc w:val="left"/>
      </w:pPr>
      <w:r>
        <w:rPr/>
        <w:pict>
          <v:line style="position:absolute;mso-position-horizontal-relative:page;mso-position-vertical-relative:paragraph;z-index:1048;mso-wrap-distance-left:0;mso-wrap-distance-right:0" from="84.599998pt,19.585623pt" to="527.399998pt,19.585623pt" stroked="true" strokeweight="1.44pt" strokecolor="#000000">
            <v:stroke dashstyle="solid"/>
            <w10:wrap type="topAndBottom"/>
          </v:line>
        </w:pict>
      </w:r>
      <w:r>
        <w:rPr>
          <w:w w:val="95"/>
        </w:rPr>
        <w:t>提供的保障</w:t>
      </w:r>
    </w:p>
    <w:p>
      <w:pPr>
        <w:pStyle w:val="BodyText"/>
        <w:spacing w:before="6"/>
        <w:rPr>
          <w:b/>
          <w:sz w:val="20"/>
        </w:rPr>
      </w:pPr>
    </w:p>
    <w:p>
      <w:pPr>
        <w:pStyle w:val="ListParagraph"/>
        <w:numPr>
          <w:ilvl w:val="1"/>
          <w:numId w:val="4"/>
        </w:numPr>
        <w:tabs>
          <w:tab w:pos="966" w:val="left" w:leader="none"/>
          <w:tab w:pos="967" w:val="left" w:leader="none"/>
          <w:tab w:pos="2799" w:val="left" w:leader="none"/>
        </w:tabs>
        <w:spacing w:line="240" w:lineRule="auto" w:before="0" w:after="0"/>
        <w:ind w:left="2800" w:right="400" w:hanging="2580"/>
        <w:jc w:val="left"/>
        <w:rPr>
          <w:sz w:val="21"/>
        </w:rPr>
      </w:pPr>
      <w:r>
        <w:rPr>
          <w:b/>
          <w:sz w:val="21"/>
        </w:rPr>
        <w:t>基本保险金额</w:t>
        <w:tab/>
      </w:r>
      <w:r>
        <w:rPr>
          <w:w w:val="95"/>
          <w:sz w:val="21"/>
        </w:rPr>
        <w:t>本合同项下各被保险人名下的基本保险金额由投保人在投保时与   本公司约定，并在本合同上载明。</w:t>
      </w:r>
    </w:p>
    <w:p>
      <w:pPr>
        <w:pStyle w:val="BodyText"/>
        <w:spacing w:before="1"/>
        <w:rPr>
          <w:sz w:val="27"/>
        </w:rPr>
      </w:pPr>
    </w:p>
    <w:p>
      <w:pPr>
        <w:spacing w:after="0"/>
        <w:rPr>
          <w:sz w:val="27"/>
        </w:rPr>
        <w:sectPr>
          <w:pgSz w:w="12240" w:h="15840"/>
          <w:pgMar w:top="1480" w:bottom="280" w:left="1580" w:right="1580"/>
        </w:sectPr>
      </w:pPr>
    </w:p>
    <w:p>
      <w:pPr>
        <w:pStyle w:val="Heading2"/>
        <w:numPr>
          <w:ilvl w:val="1"/>
          <w:numId w:val="4"/>
        </w:numPr>
        <w:tabs>
          <w:tab w:pos="966" w:val="left" w:leader="none"/>
          <w:tab w:pos="967" w:val="left" w:leader="none"/>
        </w:tabs>
        <w:spacing w:line="237" w:lineRule="auto" w:before="37" w:after="0"/>
        <w:ind w:left="966" w:right="0" w:hanging="746"/>
        <w:jc w:val="left"/>
      </w:pPr>
      <w:r>
        <w:rPr>
          <w:w w:val="95"/>
        </w:rPr>
        <w:t>未成年人身故保险金限制</w:t>
      </w:r>
    </w:p>
    <w:p>
      <w:pPr>
        <w:pStyle w:val="BodyText"/>
        <w:spacing w:line="237" w:lineRule="auto" w:before="37"/>
        <w:ind w:left="220" w:right="220"/>
        <w:rPr>
          <w:rFonts w:ascii="黑体" w:eastAsia="黑体" w:hint="eastAsia"/>
        </w:rPr>
      </w:pPr>
      <w:r>
        <w:rPr/>
        <w:br w:type="column"/>
      </w:r>
      <w:r>
        <w:rPr>
          <w:rFonts w:ascii="黑体" w:eastAsia="黑体" w:hint="eastAsia"/>
          <w:spacing w:val="-3"/>
          <w:w w:val="95"/>
        </w:rPr>
        <w:t>为未成年子女投保的人身保险，因被保险人身故给付的身故保险金  </w:t>
      </w:r>
      <w:r>
        <w:rPr>
          <w:rFonts w:ascii="黑体" w:eastAsia="黑体" w:hint="eastAsia"/>
          <w:spacing w:val="-5"/>
          <w:w w:val="95"/>
        </w:rPr>
        <w:t>总和最高不得超过国务院保险监督管理机构规定的限额，身故保险</w:t>
      </w:r>
    </w:p>
    <w:p>
      <w:pPr>
        <w:spacing w:after="0" w:line="237" w:lineRule="auto"/>
        <w:rPr>
          <w:rFonts w:ascii="黑体" w:eastAsia="黑体" w:hint="eastAsia"/>
        </w:rPr>
        <w:sectPr>
          <w:type w:val="continuous"/>
          <w:pgSz w:w="12240" w:h="15840"/>
          <w:pgMar w:top="900" w:bottom="280" w:left="1580" w:right="1580"/>
          <w:cols w:num="2" w:equalWidth="0">
            <w:col w:w="2441" w:space="139"/>
            <w:col w:w="6500"/>
          </w:cols>
        </w:sectPr>
      </w:pPr>
    </w:p>
    <w:p>
      <w:pPr>
        <w:pStyle w:val="BodyText"/>
        <w:spacing w:before="4"/>
        <w:ind w:left="2680"/>
        <w:rPr>
          <w:rFonts w:ascii="黑体" w:eastAsia="黑体" w:hint="eastAsia"/>
        </w:rPr>
      </w:pPr>
      <w:r>
        <w:rPr>
          <w:rFonts w:ascii="黑体" w:eastAsia="黑体" w:hint="eastAsia"/>
          <w:w w:val="95"/>
        </w:rPr>
        <w:t>金总和约定也不得超过前述限额。</w:t>
      </w:r>
    </w:p>
    <w:p>
      <w:pPr>
        <w:pStyle w:val="BodyText"/>
        <w:spacing w:before="5"/>
        <w:rPr>
          <w:rFonts w:ascii="黑体"/>
          <w:sz w:val="25"/>
        </w:rPr>
      </w:pPr>
    </w:p>
    <w:p>
      <w:pPr>
        <w:pStyle w:val="ListParagraph"/>
        <w:numPr>
          <w:ilvl w:val="1"/>
          <w:numId w:val="4"/>
        </w:numPr>
        <w:tabs>
          <w:tab w:pos="847" w:val="left" w:leader="none"/>
        </w:tabs>
        <w:spacing w:line="237" w:lineRule="auto" w:before="0" w:after="0"/>
        <w:ind w:left="2680" w:right="140" w:hanging="2580"/>
        <w:jc w:val="both"/>
        <w:rPr>
          <w:sz w:val="21"/>
        </w:rPr>
      </w:pPr>
      <w:r>
        <w:rPr>
          <w:b/>
          <w:spacing w:val="0"/>
          <w:sz w:val="21"/>
        </w:rPr>
        <w:t>保险期间        </w:t>
      </w:r>
      <w:r>
        <w:rPr>
          <w:spacing w:val="-2"/>
          <w:sz w:val="21"/>
        </w:rPr>
        <w:t>本合同的保险期间自本合同生效日零时开始，至本合同项下所有被</w:t>
      </w:r>
      <w:r>
        <w:rPr>
          <w:spacing w:val="-5"/>
          <w:w w:val="95"/>
          <w:sz w:val="21"/>
        </w:rPr>
        <w:t>保险人的保险责任终止时止。本合同中，被保险人的保险期间，自  </w:t>
      </w:r>
      <w:r>
        <w:rPr>
          <w:spacing w:val="-6"/>
          <w:w w:val="95"/>
          <w:sz w:val="21"/>
        </w:rPr>
        <w:t>本公司按本合同约定开始对其承担保险责任之日零时起，至被保险  人身故时止。</w:t>
      </w:r>
    </w:p>
    <w:p>
      <w:pPr>
        <w:pStyle w:val="BodyText"/>
        <w:spacing w:before="2"/>
        <w:rPr>
          <w:sz w:val="25"/>
        </w:rPr>
      </w:pPr>
    </w:p>
    <w:p>
      <w:pPr>
        <w:pStyle w:val="ListParagraph"/>
        <w:numPr>
          <w:ilvl w:val="1"/>
          <w:numId w:val="4"/>
        </w:numPr>
        <w:tabs>
          <w:tab w:pos="846" w:val="left" w:leader="none"/>
          <w:tab w:pos="847" w:val="left" w:leader="none"/>
          <w:tab w:pos="2679" w:val="left" w:leader="none"/>
        </w:tabs>
        <w:spacing w:line="240" w:lineRule="auto" w:before="0" w:after="0"/>
        <w:ind w:left="846" w:right="0" w:hanging="746"/>
        <w:jc w:val="left"/>
        <w:rPr>
          <w:sz w:val="21"/>
        </w:rPr>
      </w:pPr>
      <w:r>
        <w:rPr>
          <w:b/>
          <w:sz w:val="21"/>
        </w:rPr>
        <w:t>保险责任</w:t>
        <w:tab/>
      </w:r>
      <w:r>
        <w:rPr>
          <w:w w:val="95"/>
          <w:sz w:val="21"/>
        </w:rPr>
        <w:t>在本合同保险期间内，本公司承担下列保险责任：</w:t>
      </w:r>
    </w:p>
    <w:p>
      <w:pPr>
        <w:pStyle w:val="BodyText"/>
        <w:spacing w:before="2"/>
        <w:rPr>
          <w:sz w:val="25"/>
        </w:rPr>
      </w:pPr>
    </w:p>
    <w:p>
      <w:pPr>
        <w:pStyle w:val="Heading2"/>
        <w:numPr>
          <w:ilvl w:val="2"/>
          <w:numId w:val="4"/>
        </w:numPr>
        <w:tabs>
          <w:tab w:pos="846" w:val="left" w:leader="none"/>
          <w:tab w:pos="847" w:val="left" w:leader="none"/>
          <w:tab w:pos="2679" w:val="left" w:leader="none"/>
        </w:tabs>
        <w:spacing w:line="240" w:lineRule="auto" w:before="0" w:after="0"/>
        <w:ind w:left="2680" w:right="0" w:hanging="2580"/>
        <w:jc w:val="left"/>
      </w:pPr>
      <w:r>
        <w:rPr/>
        <w:t>重大疾病保险金</w:t>
        <w:tab/>
        <w:t>2.4.1.1</w:t>
      </w:r>
    </w:p>
    <w:p>
      <w:pPr>
        <w:pStyle w:val="BodyText"/>
        <w:spacing w:line="237" w:lineRule="auto" w:before="59"/>
        <w:ind w:left="2680" w:right="140"/>
      </w:pPr>
      <w:r>
        <w:rPr>
          <w:spacing w:val="-2"/>
          <w:w w:val="95"/>
        </w:rPr>
        <w:t>被保险人于其保险期间开始</w:t>
      </w:r>
      <w:r>
        <w:rPr>
          <w:w w:val="95"/>
        </w:rPr>
        <w:t>（</w:t>
      </w:r>
      <w:r>
        <w:rPr>
          <w:spacing w:val="-3"/>
          <w:w w:val="95"/>
        </w:rPr>
        <w:t>若曾复效，则为本合同最后复效后被 </w:t>
      </w:r>
      <w:r>
        <w:rPr>
          <w:spacing w:val="-3"/>
        </w:rPr>
        <w:t>保险人的新保险期间开始</w:t>
      </w:r>
      <w:r>
        <w:rPr>
          <w:rFonts w:ascii="黑体" w:eastAsia="黑体" w:hint="eastAsia"/>
          <w:spacing w:val="-3"/>
        </w:rPr>
        <w:t>）</w:t>
      </w:r>
      <w:r>
        <w:rPr>
          <w:spacing w:val="-17"/>
        </w:rPr>
        <w:t>之日起 </w:t>
      </w:r>
      <w:r>
        <w:rPr/>
        <w:t>90</w:t>
      </w:r>
      <w:r>
        <w:rPr>
          <w:spacing w:val="-15"/>
        </w:rPr>
        <w:t> 日内经</w:t>
      </w:r>
      <w:r>
        <w:rPr>
          <w:b/>
        </w:rPr>
        <w:t>医院</w:t>
      </w:r>
      <w:r>
        <w:rPr/>
        <w:t>（</w:t>
      </w:r>
      <w:r>
        <w:rPr>
          <w:spacing w:val="-29"/>
        </w:rPr>
        <w:t>见 </w:t>
      </w:r>
      <w:r>
        <w:rPr/>
        <w:t>11.7）</w:t>
      </w:r>
      <w:r>
        <w:rPr>
          <w:b/>
        </w:rPr>
        <w:t>初次确诊</w:t>
      </w:r>
      <w:r>
        <w:rPr/>
        <w:t>（</w:t>
      </w:r>
      <w:r>
        <w:rPr>
          <w:spacing w:val="-28"/>
        </w:rPr>
        <w:t>见 </w:t>
      </w:r>
      <w:r>
        <w:rPr/>
        <w:t>11.8）非因</w:t>
      </w:r>
      <w:r>
        <w:rPr>
          <w:b/>
        </w:rPr>
        <w:t>意外伤害</w:t>
      </w:r>
      <w:r>
        <w:rPr/>
        <w:t>（</w:t>
      </w:r>
      <w:r>
        <w:rPr>
          <w:spacing w:val="-30"/>
        </w:rPr>
        <w:t>见 </w:t>
      </w:r>
      <w:r>
        <w:rPr/>
        <w:t>11.9）导致罹患本合同所定义</w:t>
      </w:r>
      <w:r>
        <w:rPr>
          <w:spacing w:val="-1"/>
          <w:w w:val="99"/>
        </w:rPr>
        <w:t>的重大疾病（无论一种或者多种</w:t>
      </w:r>
      <w:r>
        <w:rPr>
          <w:spacing w:val="-106"/>
          <w:w w:val="99"/>
        </w:rPr>
        <w:t>）</w:t>
      </w:r>
      <w:r>
        <w:rPr>
          <w:spacing w:val="1"/>
          <w:w w:val="99"/>
        </w:rPr>
        <w:t>，</w:t>
      </w:r>
      <w:r>
        <w:rPr>
          <w:rFonts w:ascii="黑体" w:eastAsia="黑体" w:hint="eastAsia"/>
          <w:spacing w:val="-1"/>
          <w:w w:val="99"/>
        </w:rPr>
        <w:t>本公司向本合同中该被保险人</w:t>
      </w:r>
      <w:r>
        <w:rPr>
          <w:rFonts w:ascii="黑体" w:eastAsia="黑体" w:hint="eastAsia"/>
          <w:spacing w:val="-3"/>
          <w:w w:val="95"/>
        </w:rPr>
        <w:t>的疾病保险金受益人给付重大疾病保险金，其数额等于本合同项下  </w:t>
      </w:r>
      <w:r>
        <w:rPr>
          <w:rFonts w:ascii="黑体" w:eastAsia="黑体" w:hint="eastAsia"/>
          <w:spacing w:val="-5"/>
          <w:w w:val="95"/>
        </w:rPr>
        <w:t>该被保险人对应的已交纳的本合同的保险费数额，</w:t>
      </w:r>
      <w:r>
        <w:rPr>
          <w:w w:val="95"/>
        </w:rPr>
        <w:t>本公司对该被保  险人的保险责任终止。</w:t>
      </w:r>
    </w:p>
    <w:p>
      <w:pPr>
        <w:pStyle w:val="Heading2"/>
        <w:spacing w:line="240" w:lineRule="auto" w:before="56"/>
        <w:ind w:left="2680"/>
      </w:pPr>
      <w:r>
        <w:rPr/>
        <w:t>2.4.1.2</w:t>
      </w:r>
    </w:p>
    <w:p>
      <w:pPr>
        <w:pStyle w:val="BodyText"/>
        <w:spacing w:line="237" w:lineRule="auto" w:before="61"/>
        <w:ind w:left="2680" w:right="110" w:hanging="17"/>
        <w:jc w:val="both"/>
      </w:pPr>
      <w:r>
        <w:rPr>
          <w:spacing w:val="-1"/>
        </w:rPr>
        <w:t>被保险人于其保险期间开始</w:t>
      </w:r>
      <w:r>
        <w:rPr/>
        <w:t>（</w:t>
      </w:r>
      <w:r>
        <w:rPr>
          <w:spacing w:val="-2"/>
        </w:rPr>
        <w:t>若曾复效，则为本合同最后复效后被保险人的新保险期间开始</w:t>
      </w:r>
      <w:r>
        <w:rPr>
          <w:spacing w:val="-29"/>
        </w:rPr>
        <w:t>）</w:t>
      </w:r>
      <w:r>
        <w:rPr/>
        <w:t>后经医院初次确诊因意外伤害导致罹患</w:t>
      </w:r>
      <w:r>
        <w:rPr>
          <w:w w:val="99"/>
        </w:rPr>
        <w:t>本合同所定义的重大疾病</w:t>
      </w:r>
      <w:r>
        <w:rPr>
          <w:spacing w:val="3"/>
          <w:w w:val="99"/>
        </w:rPr>
        <w:t>（</w:t>
      </w:r>
      <w:r>
        <w:rPr>
          <w:w w:val="99"/>
        </w:rPr>
        <w:t>无论一种或者多种</w:t>
      </w:r>
      <w:r>
        <w:rPr>
          <w:spacing w:val="-101"/>
          <w:w w:val="99"/>
        </w:rPr>
        <w:t>）</w:t>
      </w:r>
      <w:r>
        <w:rPr>
          <w:spacing w:val="0"/>
          <w:w w:val="99"/>
        </w:rPr>
        <w:t>，或者于其保险期</w:t>
      </w:r>
      <w:r>
        <w:rPr>
          <w:spacing w:val="-5"/>
        </w:rPr>
        <w:t>间开始</w:t>
      </w:r>
      <w:r>
        <w:rPr/>
        <w:t>（</w:t>
      </w:r>
      <w:r>
        <w:rPr>
          <w:spacing w:val="-3"/>
        </w:rPr>
        <w:t>若曾复效，则为本合同最后复效后被保险人的新保险期间</w:t>
      </w:r>
      <w:r>
        <w:rPr>
          <w:spacing w:val="0"/>
        </w:rPr>
        <w:t>开始</w:t>
      </w:r>
      <w:r>
        <w:rPr>
          <w:spacing w:val="2"/>
        </w:rPr>
        <w:t>）</w:t>
      </w:r>
      <w:r>
        <w:rPr>
          <w:spacing w:val="-12"/>
        </w:rPr>
        <w:t>之日起 </w:t>
      </w:r>
      <w:r>
        <w:rPr/>
        <w:t>90</w:t>
      </w:r>
      <w:r>
        <w:rPr>
          <w:spacing w:val="-5"/>
        </w:rPr>
        <w:t> 日后经医院初次确诊非因意外伤害导致罹患本合</w:t>
      </w:r>
      <w:r>
        <w:rPr>
          <w:w w:val="99"/>
        </w:rPr>
        <w:t>同所定义的重大疾病</w:t>
      </w:r>
      <w:r>
        <w:rPr>
          <w:spacing w:val="3"/>
          <w:w w:val="99"/>
        </w:rPr>
        <w:t>（</w:t>
      </w:r>
      <w:r>
        <w:rPr>
          <w:w w:val="99"/>
        </w:rPr>
        <w:t>无论一种或者多种</w:t>
      </w:r>
      <w:r>
        <w:rPr>
          <w:spacing w:val="-101"/>
          <w:w w:val="99"/>
        </w:rPr>
        <w:t>）</w:t>
      </w:r>
      <w:r>
        <w:rPr>
          <w:w w:val="99"/>
        </w:rPr>
        <w:t>，本公司按照本合同项</w:t>
      </w:r>
      <w:r>
        <w:rPr>
          <w:spacing w:val="5"/>
        </w:rPr>
        <w:t>下该被保险人名下的基本保险金额向该被保险人的疾病保险金受</w:t>
      </w:r>
      <w:r>
        <w:rPr>
          <w:spacing w:val="5"/>
          <w:w w:val="95"/>
        </w:rPr>
        <w:t>益人给付重大疾病保险金，本公司对该被保险人的保险责任终止。</w:t>
      </w:r>
    </w:p>
    <w:p>
      <w:pPr>
        <w:pStyle w:val="Heading2"/>
        <w:spacing w:line="240" w:lineRule="auto" w:before="56"/>
        <w:ind w:left="2680"/>
      </w:pPr>
      <w:r>
        <w:rPr/>
        <w:t>2.4.1.3</w:t>
      </w:r>
    </w:p>
    <w:p>
      <w:pPr>
        <w:pStyle w:val="BodyText"/>
        <w:spacing w:before="58"/>
        <w:ind w:left="2663"/>
        <w:rPr>
          <w:rFonts w:ascii="黑体" w:hAnsi="黑体" w:eastAsia="黑体" w:hint="eastAsia"/>
        </w:rPr>
      </w:pPr>
      <w:r>
        <w:rPr>
          <w:rFonts w:ascii="黑体" w:hAnsi="黑体" w:eastAsia="黑体" w:hint="eastAsia"/>
          <w:w w:val="95"/>
        </w:rPr>
        <w:t>本合同所定义的重大疾病载明于本条款“9.重大疾病定义”。</w:t>
      </w:r>
    </w:p>
    <w:p>
      <w:pPr>
        <w:pStyle w:val="BodyText"/>
        <w:spacing w:before="2"/>
        <w:rPr>
          <w:rFonts w:ascii="黑体"/>
          <w:sz w:val="25"/>
        </w:rPr>
      </w:pPr>
    </w:p>
    <w:p>
      <w:pPr>
        <w:pStyle w:val="Heading2"/>
        <w:numPr>
          <w:ilvl w:val="2"/>
          <w:numId w:val="4"/>
        </w:numPr>
        <w:tabs>
          <w:tab w:pos="846" w:val="left" w:leader="none"/>
          <w:tab w:pos="847" w:val="left" w:leader="none"/>
          <w:tab w:pos="2679" w:val="left" w:leader="none"/>
        </w:tabs>
        <w:spacing w:line="240" w:lineRule="auto" w:before="0" w:after="0"/>
        <w:ind w:left="2680" w:right="0" w:hanging="2580"/>
        <w:jc w:val="left"/>
      </w:pPr>
      <w:r>
        <w:rPr/>
        <w:t>轻症疾病保险金</w:t>
        <w:tab/>
        <w:t>2.4.2.1</w:t>
      </w:r>
    </w:p>
    <w:p>
      <w:pPr>
        <w:pStyle w:val="BodyText"/>
        <w:spacing w:line="237" w:lineRule="auto" w:before="59"/>
        <w:ind w:left="2680" w:right="110"/>
      </w:pPr>
      <w:r>
        <w:rPr>
          <w:spacing w:val="-2"/>
        </w:rPr>
        <w:t>被保险人于其保险期间开始</w:t>
      </w:r>
      <w:r>
        <w:rPr/>
        <w:t>（</w:t>
      </w:r>
      <w:r>
        <w:rPr>
          <w:spacing w:val="-3"/>
        </w:rPr>
        <w:t>若曾复效，则为本合同最后复效后被保险人的新保险期间开始）</w:t>
      </w:r>
      <w:r>
        <w:rPr>
          <w:spacing w:val="-17"/>
        </w:rPr>
        <w:t>之日起 </w:t>
      </w:r>
      <w:r>
        <w:rPr/>
        <w:t>90</w:t>
      </w:r>
      <w:r>
        <w:rPr>
          <w:spacing w:val="-8"/>
        </w:rPr>
        <w:t> 日内经医院初次确诊非因意</w:t>
      </w:r>
      <w:r>
        <w:rPr>
          <w:spacing w:val="-8"/>
          <w:w w:val="95"/>
        </w:rPr>
        <w:t>外伤害导致罹患本合同所定义的轻症疾病（无论一种或者多种）， </w:t>
      </w:r>
      <w:r>
        <w:rPr>
          <w:rFonts w:ascii="黑体" w:eastAsia="黑体" w:hint="eastAsia"/>
          <w:spacing w:val="-8"/>
        </w:rPr>
        <w:t>本公司向本合同中该被保险人的疾病保险金受益人给付轻症疾病 保险金，其数额等于本合同项下该被保险人对应的已交纳的本合同</w:t>
      </w:r>
      <w:r>
        <w:rPr>
          <w:rFonts w:ascii="黑体" w:eastAsia="黑体" w:hint="eastAsia"/>
          <w:spacing w:val="-8"/>
          <w:w w:val="95"/>
        </w:rPr>
        <w:t>的保险费数额，</w:t>
      </w:r>
      <w:r>
        <w:rPr>
          <w:spacing w:val="-8"/>
          <w:w w:val="95"/>
        </w:rPr>
        <w:t>本公司对该被保险人的保险责任终止。</w:t>
      </w:r>
    </w:p>
    <w:p>
      <w:pPr>
        <w:pStyle w:val="Heading2"/>
        <w:spacing w:line="240" w:lineRule="auto" w:before="56"/>
        <w:ind w:left="2680"/>
      </w:pPr>
      <w:r>
        <w:rPr/>
        <w:t>2.4.2.2</w:t>
      </w:r>
    </w:p>
    <w:p>
      <w:pPr>
        <w:pStyle w:val="BodyText"/>
        <w:spacing w:line="237" w:lineRule="auto" w:before="58"/>
        <w:ind w:left="2680" w:right="137" w:hanging="17"/>
        <w:jc w:val="both"/>
      </w:pPr>
      <w:r>
        <w:rPr>
          <w:spacing w:val="-1"/>
          <w:w w:val="95"/>
        </w:rPr>
        <w:t>被保险人于其保险期间开始</w:t>
      </w:r>
      <w:r>
        <w:rPr>
          <w:w w:val="95"/>
        </w:rPr>
        <w:t>（</w:t>
      </w:r>
      <w:r>
        <w:rPr>
          <w:spacing w:val="-2"/>
          <w:w w:val="95"/>
        </w:rPr>
        <w:t>若曾复效，则为本合同最后复效后被  保险人的新保险期间开始</w:t>
      </w:r>
      <w:r>
        <w:rPr>
          <w:spacing w:val="-29"/>
          <w:w w:val="95"/>
        </w:rPr>
        <w:t>）</w:t>
      </w:r>
      <w:r>
        <w:rPr>
          <w:w w:val="95"/>
        </w:rPr>
        <w:t>后经医院初次确诊因意外伤害导致罹患</w:t>
      </w:r>
      <w:r>
        <w:rPr>
          <w:spacing w:val="3"/>
          <w:w w:val="99"/>
        </w:rPr>
        <w:t>本</w:t>
      </w:r>
      <w:r>
        <w:rPr>
          <w:w w:val="99"/>
        </w:rPr>
        <w:t>合同所定义的轻症疾病</w:t>
      </w:r>
      <w:r>
        <w:rPr>
          <w:spacing w:val="3"/>
          <w:w w:val="99"/>
        </w:rPr>
        <w:t>（</w:t>
      </w:r>
      <w:r>
        <w:rPr>
          <w:w w:val="99"/>
        </w:rPr>
        <w:t>无论一种或者多种</w:t>
      </w:r>
      <w:r>
        <w:rPr>
          <w:spacing w:val="-101"/>
          <w:w w:val="99"/>
        </w:rPr>
        <w:t>）</w:t>
      </w:r>
      <w:r>
        <w:rPr>
          <w:w w:val="99"/>
        </w:rPr>
        <w:t>，或者于其保险期</w:t>
      </w:r>
      <w:r>
        <w:rPr>
          <w:w w:val="95"/>
        </w:rPr>
        <w:t>间</w:t>
      </w:r>
      <w:r>
        <w:rPr>
          <w:spacing w:val="-8"/>
          <w:w w:val="95"/>
        </w:rPr>
        <w:t>开始</w:t>
      </w:r>
      <w:r>
        <w:rPr>
          <w:w w:val="95"/>
        </w:rPr>
        <w:t>（</w:t>
      </w:r>
      <w:r>
        <w:rPr>
          <w:spacing w:val="-3"/>
          <w:w w:val="95"/>
        </w:rPr>
        <w:t>若曾复效，则为本合同最后复效后被保险人的新保险期间 </w:t>
      </w:r>
      <w:r>
        <w:rPr>
          <w:spacing w:val="2"/>
        </w:rPr>
        <w:t>开</w:t>
      </w:r>
      <w:r>
        <w:rPr/>
        <w:t>始</w:t>
      </w:r>
      <w:r>
        <w:rPr>
          <w:spacing w:val="2"/>
        </w:rPr>
        <w:t>）</w:t>
      </w:r>
      <w:r>
        <w:rPr>
          <w:spacing w:val="-12"/>
        </w:rPr>
        <w:t>之日起 </w:t>
      </w:r>
      <w:r>
        <w:rPr/>
        <w:t>90</w:t>
      </w:r>
      <w:r>
        <w:rPr>
          <w:spacing w:val="-5"/>
        </w:rPr>
        <w:t> 日后经医院初次确诊非因意外伤害导致罹患本合</w:t>
      </w:r>
      <w:r>
        <w:rPr>
          <w:spacing w:val="3"/>
          <w:w w:val="99"/>
        </w:rPr>
        <w:t>同</w:t>
      </w:r>
      <w:r>
        <w:rPr>
          <w:w w:val="99"/>
        </w:rPr>
        <w:t>所定义的轻症疾病</w:t>
      </w:r>
      <w:r>
        <w:rPr>
          <w:spacing w:val="3"/>
          <w:w w:val="99"/>
        </w:rPr>
        <w:t>（</w:t>
      </w:r>
      <w:r>
        <w:rPr>
          <w:w w:val="99"/>
        </w:rPr>
        <w:t>无论一种或者多种</w:t>
      </w:r>
      <w:r>
        <w:rPr>
          <w:spacing w:val="-101"/>
          <w:w w:val="99"/>
        </w:rPr>
        <w:t>）</w:t>
      </w:r>
      <w:r>
        <w:rPr>
          <w:w w:val="99"/>
        </w:rPr>
        <w:t>，本公司按照本合同项</w:t>
      </w:r>
      <w:r>
        <w:rPr/>
        <w:t>下该被保险人名下的</w:t>
      </w:r>
      <w:r>
        <w:rPr>
          <w:rFonts w:ascii="黑体" w:eastAsia="黑体" w:hint="eastAsia"/>
        </w:rPr>
        <w:t>基本保险金额的</w:t>
      </w:r>
      <w:r>
        <w:rPr>
          <w:rFonts w:ascii="黑体" w:eastAsia="黑体" w:hint="eastAsia"/>
          <w:spacing w:val="-46"/>
        </w:rPr>
        <w:t> </w:t>
      </w:r>
      <w:r>
        <w:rPr>
          <w:rFonts w:ascii="黑体" w:eastAsia="黑体" w:hint="eastAsia"/>
          <w:spacing w:val="0"/>
          <w:w w:val="99"/>
        </w:rPr>
        <w:drawing>
          <wp:inline distT="0" distB="0" distL="0" distR="0">
            <wp:extent cx="63499" cy="9524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499" cy="95249"/>
                    </a:xfrm>
                    <a:prstGeom prst="rect">
                      <a:avLst/>
                    </a:prstGeom>
                  </pic:spPr>
                </pic:pic>
              </a:graphicData>
            </a:graphic>
          </wp:inline>
        </w:drawing>
      </w:r>
      <w:r>
        <w:rPr>
          <w:rFonts w:ascii="黑体" w:eastAsia="黑体" w:hint="eastAsia"/>
          <w:spacing w:val="0"/>
          <w:w w:val="99"/>
        </w:rPr>
      </w:r>
      <w:r>
        <w:rPr/>
        <w:t>向疾病保险金受益人给付</w:t>
      </w:r>
    </w:p>
    <w:p>
      <w:pPr>
        <w:spacing w:after="0" w:line="237" w:lineRule="auto"/>
        <w:jc w:val="both"/>
        <w:sectPr>
          <w:pgSz w:w="12240" w:h="15840"/>
          <w:pgMar w:top="1400" w:bottom="280" w:left="1700" w:right="1660"/>
        </w:sectPr>
      </w:pPr>
    </w:p>
    <w:p>
      <w:pPr>
        <w:pStyle w:val="BodyText"/>
        <w:spacing w:before="4"/>
        <w:ind w:left="2680"/>
        <w:rPr>
          <w:rFonts w:ascii="黑体" w:eastAsia="黑体" w:hint="eastAsia"/>
        </w:rPr>
      </w:pPr>
      <w:r>
        <w:rPr>
          <w:w w:val="95"/>
        </w:rPr>
        <w:t>轻症疾病保险金</w:t>
      </w:r>
      <w:r>
        <w:rPr>
          <w:rFonts w:ascii="黑体" w:eastAsia="黑体" w:hint="eastAsia"/>
          <w:w w:val="95"/>
        </w:rPr>
        <w:t>。</w:t>
      </w:r>
    </w:p>
    <w:p>
      <w:pPr>
        <w:pStyle w:val="BodyText"/>
        <w:spacing w:line="237" w:lineRule="auto" w:before="61"/>
        <w:ind w:left="2680" w:right="190" w:hanging="17"/>
        <w:jc w:val="both"/>
        <w:rPr>
          <w:rFonts w:ascii="黑体" w:eastAsia="黑体" w:hint="eastAsia"/>
        </w:rPr>
      </w:pPr>
      <w:r>
        <w:rPr>
          <w:rFonts w:ascii="黑体" w:eastAsia="黑体" w:hint="eastAsia"/>
          <w:spacing w:val="5"/>
        </w:rPr>
        <w:t>被保险人在不同的日期分别初次确诊本合同所定义的不同种类的</w:t>
      </w:r>
      <w:r>
        <w:rPr>
          <w:rFonts w:ascii="黑体" w:eastAsia="黑体" w:hint="eastAsia"/>
          <w:spacing w:val="-1"/>
        </w:rPr>
        <w:t>轻症疾病，对于初次确诊日期相邻的前后两种轻症疾病，若初次确</w:t>
      </w:r>
      <w:r>
        <w:rPr>
          <w:rFonts w:ascii="黑体" w:eastAsia="黑体" w:hint="eastAsia"/>
          <w:spacing w:val="-1"/>
          <w:w w:val="95"/>
        </w:rPr>
        <w:t>诊日期在前的轻症疾病符合本合同中的轻症疾病保险金给付条件， </w:t>
      </w:r>
      <w:r>
        <w:rPr>
          <w:rFonts w:ascii="黑体" w:eastAsia="黑体" w:hint="eastAsia"/>
          <w:spacing w:val="-1"/>
        </w:rPr>
        <w:t>且前后两种轻症疾病的初次确诊</w:t>
      </w:r>
      <w:r>
        <w:rPr>
          <w:rFonts w:ascii="黑体" w:eastAsia="黑体" w:hint="eastAsia"/>
          <w:b/>
          <w:spacing w:val="-1"/>
        </w:rPr>
        <w:t>日期之间的间隔天数</w:t>
      </w:r>
      <w:r>
        <w:rPr>
          <w:rFonts w:ascii="黑体" w:eastAsia="黑体" w:hint="eastAsia"/>
          <w:spacing w:val="-20"/>
        </w:rPr>
        <w:t>(见 </w:t>
      </w:r>
      <w:r>
        <w:rPr>
          <w:rFonts w:ascii="黑体" w:eastAsia="黑体" w:hint="eastAsia"/>
        </w:rPr>
        <w:t>11.10)达</w:t>
      </w:r>
    </w:p>
    <w:p>
      <w:pPr>
        <w:pStyle w:val="BodyText"/>
        <w:spacing w:line="237" w:lineRule="auto" w:before="1"/>
        <w:ind w:left="2680" w:right="220"/>
        <w:jc w:val="both"/>
        <w:rPr>
          <w:rFonts w:ascii="黑体" w:eastAsia="黑体" w:hint="eastAsia"/>
        </w:rPr>
      </w:pPr>
      <w:r>
        <w:rPr>
          <w:rFonts w:ascii="黑体" w:eastAsia="黑体" w:hint="eastAsia"/>
        </w:rPr>
        <w:t>90</w:t>
      </w:r>
      <w:r>
        <w:rPr>
          <w:rFonts w:ascii="黑体" w:eastAsia="黑体" w:hint="eastAsia"/>
          <w:spacing w:val="-13"/>
        </w:rPr>
        <w:t> 日及以上的，本公司可以分别给付轻症疾病保险金，但本合同项</w:t>
      </w:r>
      <w:r>
        <w:rPr>
          <w:rFonts w:ascii="黑体" w:eastAsia="黑体" w:hint="eastAsia"/>
          <w:spacing w:val="-14"/>
          <w:w w:val="95"/>
        </w:rPr>
        <w:t>下该被保险人不同种类的轻症疾病保险金累计给付以五次为限。每  种轻症疾病，仅给付一次轻症疾病保险金。</w:t>
      </w:r>
    </w:p>
    <w:p>
      <w:pPr>
        <w:pStyle w:val="BodyText"/>
        <w:ind w:left="2680" w:right="220" w:hanging="17"/>
      </w:pPr>
      <w:r>
        <w:rPr/>
        <w:t>如果本合同项下该被保险人名下的轻症疾病保险金累计给付的次</w:t>
      </w:r>
      <w:r>
        <w:rPr>
          <w:w w:val="95"/>
        </w:rPr>
        <w:t>数达到五次，本公司对该被保险人的轻症疾病保险金责任终止。</w:t>
      </w:r>
    </w:p>
    <w:p>
      <w:pPr>
        <w:pStyle w:val="Heading2"/>
        <w:spacing w:line="240" w:lineRule="auto" w:before="56"/>
        <w:ind w:left="2680"/>
      </w:pPr>
      <w:r>
        <w:rPr/>
        <w:t>2.4.2.3</w:t>
      </w:r>
    </w:p>
    <w:p>
      <w:pPr>
        <w:pStyle w:val="BodyText"/>
        <w:spacing w:line="237" w:lineRule="auto" w:before="58"/>
        <w:ind w:left="2680" w:right="217" w:hanging="17"/>
        <w:jc w:val="both"/>
        <w:rPr>
          <w:rFonts w:ascii="黑体" w:eastAsia="黑体" w:hint="eastAsia"/>
        </w:rPr>
      </w:pPr>
      <w:r>
        <w:rPr>
          <w:rFonts w:ascii="黑体" w:eastAsia="黑体" w:hint="eastAsia"/>
          <w:spacing w:val="-1"/>
          <w:w w:val="95"/>
        </w:rPr>
        <w:t>轻症疾病保险金仅针对符合本合同定义的轻症疾病进行给付，对于 </w:t>
      </w:r>
      <w:r>
        <w:rPr>
          <w:rFonts w:ascii="黑体" w:eastAsia="黑体" w:hint="eastAsia"/>
          <w:spacing w:val="5"/>
        </w:rPr>
        <w:t>已经首先符合重大疾病保险金给付条件的，仅给付重大疾病保险</w:t>
      </w:r>
      <w:r>
        <w:rPr>
          <w:rFonts w:ascii="黑体" w:eastAsia="黑体" w:hint="eastAsia"/>
          <w:spacing w:val="5"/>
          <w:w w:val="95"/>
        </w:rPr>
        <w:t>金，不再给付轻症疾病保险金。</w:t>
      </w:r>
    </w:p>
    <w:p>
      <w:pPr>
        <w:pStyle w:val="BodyText"/>
        <w:spacing w:before="58"/>
        <w:ind w:left="2663"/>
        <w:rPr>
          <w:rFonts w:ascii="黑体" w:hAnsi="黑体" w:eastAsia="黑体" w:hint="eastAsia"/>
        </w:rPr>
      </w:pPr>
      <w:r>
        <w:rPr>
          <w:rFonts w:ascii="黑体" w:hAnsi="黑体" w:eastAsia="黑体" w:hint="eastAsia"/>
          <w:w w:val="95"/>
        </w:rPr>
        <w:t>本合同所定义的轻症疾病载明于本条款“10.轻症疾病定义”。</w:t>
      </w:r>
    </w:p>
    <w:p>
      <w:pPr>
        <w:pStyle w:val="BodyText"/>
        <w:spacing w:before="0"/>
        <w:rPr>
          <w:rFonts w:ascii="黑体"/>
          <w:sz w:val="20"/>
        </w:rPr>
      </w:pPr>
    </w:p>
    <w:p>
      <w:pPr>
        <w:pStyle w:val="ListParagraph"/>
        <w:numPr>
          <w:ilvl w:val="2"/>
          <w:numId w:val="4"/>
        </w:numPr>
        <w:tabs>
          <w:tab w:pos="846" w:val="left" w:leader="none"/>
          <w:tab w:pos="847" w:val="left" w:leader="none"/>
          <w:tab w:pos="2679" w:val="left" w:leader="none"/>
        </w:tabs>
        <w:spacing w:line="235" w:lineRule="auto" w:before="133" w:after="0"/>
        <w:ind w:left="2680" w:right="190" w:hanging="2580"/>
        <w:jc w:val="left"/>
        <w:rPr>
          <w:sz w:val="21"/>
        </w:rPr>
      </w:pPr>
      <w:r>
        <w:rPr>
          <w:b/>
          <w:sz w:val="21"/>
        </w:rPr>
        <w:t>身故保险金</w:t>
        <w:tab/>
      </w:r>
      <w:r>
        <w:rPr>
          <w:w w:val="95"/>
          <w:sz w:val="21"/>
        </w:rPr>
        <w:t>被保险人于其保险期间开</w:t>
      </w:r>
      <w:r>
        <w:rPr>
          <w:spacing w:val="-13"/>
          <w:w w:val="95"/>
          <w:sz w:val="21"/>
        </w:rPr>
        <w:t>始</w:t>
      </w:r>
      <w:r>
        <w:rPr>
          <w:w w:val="95"/>
          <w:sz w:val="21"/>
        </w:rPr>
        <w:t>（若曾复效</w:t>
      </w:r>
      <w:r>
        <w:rPr>
          <w:spacing w:val="-15"/>
          <w:w w:val="95"/>
          <w:sz w:val="21"/>
        </w:rPr>
        <w:t>，</w:t>
      </w:r>
      <w:r>
        <w:rPr>
          <w:w w:val="95"/>
          <w:sz w:val="21"/>
        </w:rPr>
        <w:t>则为本合同最后复效后被   </w:t>
      </w:r>
      <w:r>
        <w:rPr>
          <w:sz w:val="21"/>
        </w:rPr>
        <w:t>保险人的新保险期间开始）之日起</w:t>
      </w:r>
      <w:r>
        <w:rPr>
          <w:spacing w:val="-54"/>
          <w:sz w:val="21"/>
        </w:rPr>
        <w:t> </w:t>
      </w:r>
      <w:r>
        <w:rPr>
          <w:rFonts w:ascii="Times New Roman" w:eastAsia="Times New Roman"/>
          <w:sz w:val="21"/>
        </w:rPr>
        <w:t>90</w:t>
      </w:r>
      <w:r>
        <w:rPr>
          <w:rFonts w:ascii="Times New Roman" w:eastAsia="Times New Roman"/>
          <w:spacing w:val="-6"/>
          <w:sz w:val="21"/>
        </w:rPr>
        <w:t> </w:t>
      </w:r>
      <w:r>
        <w:rPr>
          <w:sz w:val="21"/>
        </w:rPr>
        <w:t>日内非因意外伤害身故，</w:t>
      </w:r>
      <w:r>
        <w:rPr>
          <w:rFonts w:ascii="黑体" w:eastAsia="黑体" w:hint="eastAsia"/>
          <w:sz w:val="21"/>
        </w:rPr>
        <w:t>本</w:t>
      </w:r>
      <w:r>
        <w:rPr>
          <w:rFonts w:ascii="黑体" w:eastAsia="黑体" w:hint="eastAsia"/>
          <w:w w:val="95"/>
          <w:sz w:val="21"/>
        </w:rPr>
        <w:t>公司向本合同中该被保险人的身故保险金受益人给付身故保险金， </w:t>
      </w:r>
      <w:r>
        <w:rPr>
          <w:rFonts w:ascii="黑体" w:eastAsia="黑体" w:hint="eastAsia"/>
          <w:sz w:val="21"/>
        </w:rPr>
        <w:t>其数额等于本合同项下该被保险人对应的已交纳的本合同的保险 </w:t>
      </w:r>
      <w:r>
        <w:rPr>
          <w:rFonts w:ascii="黑体" w:eastAsia="黑体" w:hint="eastAsia"/>
          <w:w w:val="95"/>
          <w:sz w:val="21"/>
        </w:rPr>
        <w:t>费数额，</w:t>
      </w:r>
      <w:r>
        <w:rPr>
          <w:w w:val="95"/>
          <w:sz w:val="21"/>
        </w:rPr>
        <w:t>本公司对该被保险人的保险责任终止。</w:t>
      </w:r>
    </w:p>
    <w:p>
      <w:pPr>
        <w:pStyle w:val="BodyText"/>
        <w:spacing w:line="237" w:lineRule="auto" w:before="58"/>
        <w:ind w:left="2680" w:right="220"/>
      </w:pPr>
      <w:r>
        <w:rPr>
          <w:spacing w:val="-2"/>
          <w:w w:val="95"/>
        </w:rPr>
        <w:t>被保险人于其保险期间开始</w:t>
      </w:r>
      <w:r>
        <w:rPr>
          <w:w w:val="95"/>
        </w:rPr>
        <w:t>（</w:t>
      </w:r>
      <w:r>
        <w:rPr>
          <w:spacing w:val="-3"/>
          <w:w w:val="95"/>
        </w:rPr>
        <w:t>若曾复效，则为本合同最后复效后被  保险人的新保险期间开始</w:t>
      </w:r>
      <w:r>
        <w:rPr>
          <w:spacing w:val="-15"/>
          <w:w w:val="95"/>
        </w:rPr>
        <w:t>）</w:t>
      </w:r>
      <w:r>
        <w:rPr>
          <w:spacing w:val="-2"/>
          <w:w w:val="95"/>
        </w:rPr>
        <w:t>后因意外伤害身故，或者于其保险期间  </w:t>
      </w:r>
      <w:r>
        <w:rPr>
          <w:spacing w:val="-8"/>
          <w:w w:val="95"/>
        </w:rPr>
        <w:t>开始</w:t>
      </w:r>
      <w:r>
        <w:rPr>
          <w:w w:val="95"/>
        </w:rPr>
        <w:t>（</w:t>
      </w:r>
      <w:r>
        <w:rPr>
          <w:spacing w:val="-3"/>
          <w:w w:val="95"/>
        </w:rPr>
        <w:t>若曾复效，则为本合同最后复效后被保险人的新保险期间开 </w:t>
      </w:r>
      <w:r>
        <w:rPr>
          <w:spacing w:val="-3"/>
        </w:rPr>
        <w:t>始）</w:t>
      </w:r>
      <w:r>
        <w:rPr>
          <w:spacing w:val="-17"/>
        </w:rPr>
        <w:t>之日起 </w:t>
      </w:r>
      <w:r>
        <w:rPr/>
        <w:t>90</w:t>
      </w:r>
      <w:r>
        <w:rPr>
          <w:spacing w:val="-8"/>
        </w:rPr>
        <w:t> 日后非因意外伤害身故，本公司向该被保险人的身</w:t>
      </w:r>
      <w:r>
        <w:rPr>
          <w:spacing w:val="-10"/>
          <w:w w:val="95"/>
        </w:rPr>
        <w:t>故保险金受益人给付身故保险金，本公司对该被保险人的保险责任  终止。</w:t>
      </w:r>
    </w:p>
    <w:p>
      <w:pPr>
        <w:pStyle w:val="BodyText"/>
        <w:spacing w:before="58"/>
        <w:ind w:left="2680"/>
      </w:pPr>
      <w:r>
        <w:rPr>
          <w:w w:val="95"/>
        </w:rPr>
        <w:t>身故保险金数额为：</w:t>
      </w:r>
    </w:p>
    <w:p>
      <w:pPr>
        <w:pStyle w:val="ListParagraph"/>
        <w:numPr>
          <w:ilvl w:val="3"/>
          <w:numId w:val="4"/>
        </w:numPr>
        <w:tabs>
          <w:tab w:pos="3400" w:val="left" w:leader="none"/>
        </w:tabs>
        <w:spacing w:line="223" w:lineRule="auto" w:before="79" w:after="0"/>
        <w:ind w:left="3400" w:right="114" w:hanging="720"/>
        <w:jc w:val="left"/>
        <w:rPr>
          <w:sz w:val="21"/>
        </w:rPr>
      </w:pPr>
      <w:r>
        <w:rPr>
          <w:spacing w:val="-1"/>
          <w:w w:val="99"/>
          <w:sz w:val="21"/>
        </w:rPr>
        <w:t>如果被保险人身故时未满</w:t>
      </w:r>
      <w:r>
        <w:rPr>
          <w:spacing w:val="-58"/>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4"/>
          <w:sz w:val="21"/>
        </w:rPr>
        <w:t> </w:t>
      </w:r>
      <w:r>
        <w:rPr>
          <w:spacing w:val="-51"/>
          <w:w w:val="99"/>
          <w:sz w:val="21"/>
        </w:rPr>
        <w:t>周岁</w:t>
      </w:r>
      <w:r>
        <w:rPr>
          <w:spacing w:val="-1"/>
          <w:w w:val="99"/>
          <w:sz w:val="21"/>
        </w:rPr>
        <w:t>（</w:t>
      </w:r>
      <w:r>
        <w:rPr>
          <w:w w:val="99"/>
          <w:sz w:val="21"/>
        </w:rPr>
        <w:t>不含</w:t>
      </w:r>
      <w:r>
        <w:rPr>
          <w:spacing w:val="-55"/>
          <w:sz w:val="21"/>
        </w:rPr>
        <w:t> </w:t>
      </w:r>
      <w:r>
        <w:rPr>
          <w:rFonts w:ascii="Times New Roman" w:eastAsia="Times New Roman"/>
          <w:spacing w:val="-2"/>
          <w:w w:val="99"/>
          <w:sz w:val="21"/>
        </w:rPr>
        <w:t>1</w:t>
      </w:r>
      <w:r>
        <w:rPr>
          <w:rFonts w:ascii="Times New Roman" w:eastAsia="Times New Roman"/>
          <w:w w:val="99"/>
          <w:sz w:val="21"/>
        </w:rPr>
        <w:t>8</w:t>
      </w:r>
      <w:r>
        <w:rPr>
          <w:rFonts w:ascii="Times New Roman" w:eastAsia="Times New Roman"/>
          <w:spacing w:val="-4"/>
          <w:sz w:val="21"/>
        </w:rPr>
        <w:t> </w:t>
      </w:r>
      <w:r>
        <w:rPr>
          <w:spacing w:val="-1"/>
          <w:w w:val="99"/>
          <w:sz w:val="21"/>
        </w:rPr>
        <w:t>周岁生日当日</w:t>
      </w:r>
      <w:r>
        <w:rPr>
          <w:spacing w:val="-104"/>
          <w:w w:val="99"/>
          <w:sz w:val="21"/>
        </w:rPr>
        <w:t>）</w:t>
      </w:r>
      <w:r>
        <w:rPr>
          <w:w w:val="99"/>
          <w:sz w:val="21"/>
        </w:rPr>
        <w:t>，</w:t>
      </w:r>
      <w:r>
        <w:rPr>
          <w:w w:val="95"/>
          <w:sz w:val="21"/>
        </w:rPr>
        <w:t>则身故保险金的数额等于以下两项中的较大者：</w:t>
      </w:r>
    </w:p>
    <w:p>
      <w:pPr>
        <w:pStyle w:val="ListParagraph"/>
        <w:numPr>
          <w:ilvl w:val="4"/>
          <w:numId w:val="4"/>
        </w:numPr>
        <w:tabs>
          <w:tab w:pos="3760" w:val="left" w:leader="none"/>
        </w:tabs>
        <w:spacing w:line="240" w:lineRule="auto" w:before="56" w:after="0"/>
        <w:ind w:left="3760" w:right="0" w:hanging="360"/>
        <w:jc w:val="left"/>
        <w:rPr>
          <w:sz w:val="21"/>
        </w:rPr>
      </w:pPr>
      <w:r>
        <w:rPr>
          <w:w w:val="95"/>
          <w:sz w:val="21"/>
        </w:rPr>
        <w:t>本合同项下该被保险人对应的已交纳的保险费数额；</w:t>
      </w:r>
    </w:p>
    <w:p>
      <w:pPr>
        <w:pStyle w:val="ListParagraph"/>
        <w:numPr>
          <w:ilvl w:val="4"/>
          <w:numId w:val="4"/>
        </w:numPr>
        <w:tabs>
          <w:tab w:pos="3760" w:val="left" w:leader="none"/>
        </w:tabs>
        <w:spacing w:line="240" w:lineRule="auto" w:before="58" w:after="0"/>
        <w:ind w:left="3760" w:right="0" w:hanging="360"/>
        <w:jc w:val="left"/>
        <w:rPr>
          <w:sz w:val="21"/>
        </w:rPr>
      </w:pPr>
      <w:r>
        <w:rPr>
          <w:w w:val="95"/>
          <w:sz w:val="21"/>
        </w:rPr>
        <w:t>被保险人身故之日的现金价值。</w:t>
      </w:r>
    </w:p>
    <w:p>
      <w:pPr>
        <w:pStyle w:val="ListParagraph"/>
        <w:numPr>
          <w:ilvl w:val="3"/>
          <w:numId w:val="4"/>
        </w:numPr>
        <w:tabs>
          <w:tab w:pos="3400" w:val="left" w:leader="none"/>
        </w:tabs>
        <w:spacing w:line="230" w:lineRule="auto" w:before="67" w:after="0"/>
        <w:ind w:left="3400" w:right="205" w:hanging="720"/>
        <w:jc w:val="left"/>
        <w:rPr>
          <w:sz w:val="21"/>
        </w:rPr>
      </w:pPr>
      <w:r>
        <w:rPr>
          <w:spacing w:val="-1"/>
          <w:w w:val="99"/>
          <w:sz w:val="21"/>
        </w:rPr>
        <w:t>如果被保险人身故时已满</w:t>
      </w:r>
      <w:r>
        <w:rPr>
          <w:spacing w:val="-53"/>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2"/>
          <w:sz w:val="21"/>
        </w:rPr>
        <w:t> </w:t>
      </w:r>
      <w:r>
        <w:rPr>
          <w:w w:val="99"/>
          <w:sz w:val="21"/>
        </w:rPr>
        <w:t>周岁</w:t>
      </w:r>
      <w:r>
        <w:rPr>
          <w:spacing w:val="-1"/>
          <w:w w:val="99"/>
          <w:sz w:val="21"/>
        </w:rPr>
        <w:t>（</w:t>
      </w:r>
      <w:r>
        <w:rPr>
          <w:w w:val="99"/>
          <w:sz w:val="21"/>
        </w:rPr>
        <w:t>含</w:t>
      </w:r>
      <w:r>
        <w:rPr>
          <w:spacing w:val="-50"/>
          <w:sz w:val="21"/>
        </w:rPr>
        <w:t> </w:t>
      </w:r>
      <w:r>
        <w:rPr>
          <w:rFonts w:ascii="Times New Roman" w:eastAsia="Times New Roman"/>
          <w:spacing w:val="0"/>
          <w:w w:val="99"/>
          <w:sz w:val="21"/>
        </w:rPr>
        <w:t>1</w:t>
      </w:r>
      <w:r>
        <w:rPr>
          <w:rFonts w:ascii="Times New Roman" w:eastAsia="Times New Roman"/>
          <w:w w:val="99"/>
          <w:sz w:val="21"/>
        </w:rPr>
        <w:t>8</w:t>
      </w:r>
      <w:r>
        <w:rPr>
          <w:rFonts w:ascii="Times New Roman" w:eastAsia="Times New Roman"/>
          <w:spacing w:val="0"/>
          <w:sz w:val="21"/>
        </w:rPr>
        <w:t> </w:t>
      </w:r>
      <w:r>
        <w:rPr>
          <w:spacing w:val="-1"/>
          <w:w w:val="99"/>
          <w:sz w:val="21"/>
        </w:rPr>
        <w:t>周岁生日当日</w:t>
      </w:r>
      <w:r>
        <w:rPr>
          <w:spacing w:val="-106"/>
          <w:w w:val="99"/>
          <w:sz w:val="21"/>
        </w:rPr>
        <w:t>）</w:t>
      </w:r>
      <w:r>
        <w:rPr>
          <w:w w:val="99"/>
          <w:sz w:val="21"/>
        </w:rPr>
        <w:t>，</w:t>
      </w:r>
      <w:r>
        <w:rPr>
          <w:sz w:val="21"/>
        </w:rPr>
        <w:t>则身故保险金的数额等于本合同项下该被保险人名下的基</w:t>
      </w:r>
      <w:r>
        <w:rPr>
          <w:w w:val="95"/>
          <w:sz w:val="21"/>
        </w:rPr>
        <w:t>本保险金额。</w:t>
      </w:r>
    </w:p>
    <w:p>
      <w:pPr>
        <w:pStyle w:val="BodyText"/>
        <w:spacing w:before="7"/>
        <w:rPr>
          <w:sz w:val="22"/>
        </w:rPr>
      </w:pPr>
    </w:p>
    <w:p>
      <w:pPr>
        <w:spacing w:after="0"/>
        <w:rPr>
          <w:sz w:val="22"/>
        </w:rPr>
        <w:sectPr>
          <w:pgSz w:w="12240" w:h="15840"/>
          <w:pgMar w:top="1400" w:bottom="280" w:left="1700" w:right="1580"/>
        </w:sectPr>
      </w:pPr>
    </w:p>
    <w:p>
      <w:pPr>
        <w:pStyle w:val="Heading2"/>
        <w:numPr>
          <w:ilvl w:val="2"/>
          <w:numId w:val="4"/>
        </w:numPr>
        <w:tabs>
          <w:tab w:pos="846" w:val="left" w:leader="none"/>
          <w:tab w:pos="847" w:val="left" w:leader="none"/>
        </w:tabs>
        <w:spacing w:line="274" w:lineRule="exact" w:before="34" w:after="0"/>
        <w:ind w:left="2680" w:right="0" w:hanging="2580"/>
        <w:jc w:val="left"/>
      </w:pPr>
      <w:r>
        <w:rPr>
          <w:w w:val="95"/>
        </w:rPr>
        <w:t>轻症疾病豁免保</w:t>
      </w:r>
    </w:p>
    <w:p>
      <w:pPr>
        <w:spacing w:line="274" w:lineRule="exact" w:before="0"/>
        <w:ind w:left="837" w:right="1042" w:firstLine="0"/>
        <w:jc w:val="center"/>
        <w:rPr>
          <w:b/>
          <w:sz w:val="21"/>
        </w:rPr>
      </w:pPr>
      <w:r>
        <w:rPr>
          <w:b/>
          <w:w w:val="95"/>
          <w:sz w:val="21"/>
        </w:rPr>
        <w:t>险费</w:t>
      </w:r>
    </w:p>
    <w:p>
      <w:pPr>
        <w:pStyle w:val="BodyText"/>
        <w:spacing w:line="237" w:lineRule="auto" w:before="37"/>
        <w:ind w:left="100" w:right="190"/>
        <w:jc w:val="both"/>
      </w:pPr>
      <w:r>
        <w:rPr/>
        <w:br w:type="column"/>
      </w:r>
      <w:r>
        <w:rPr>
          <w:spacing w:val="-2"/>
        </w:rPr>
        <w:t>被保险人于其保险期间开始</w:t>
      </w:r>
      <w:r>
        <w:rPr/>
        <w:t>（</w:t>
      </w:r>
      <w:r>
        <w:rPr>
          <w:spacing w:val="-3"/>
        </w:rPr>
        <w:t>若曾复效，则为本合同最后复效后被保险人的新保险期间开始</w:t>
      </w:r>
      <w:r>
        <w:rPr>
          <w:spacing w:val="-29"/>
        </w:rPr>
        <w:t>）</w:t>
      </w:r>
      <w:r>
        <w:rPr/>
        <w:t>后经医院初次确诊因意外伤害导致罹患</w:t>
      </w:r>
      <w:r>
        <w:rPr>
          <w:spacing w:val="-2"/>
        </w:rPr>
        <w:t>本合同所定义的轻症疾病，或者于其保险期间开始</w:t>
      </w:r>
      <w:r>
        <w:rPr/>
        <w:t>（</w:t>
      </w:r>
      <w:r>
        <w:rPr>
          <w:spacing w:val="-2"/>
        </w:rPr>
        <w:t>若曾复效，则</w:t>
      </w:r>
      <w:r>
        <w:rPr/>
        <w:t>为本合同最后复效后被保险人的新保险期间开始</w:t>
      </w:r>
      <w:r>
        <w:rPr>
          <w:spacing w:val="2"/>
        </w:rPr>
        <w:t>）</w:t>
      </w:r>
      <w:r>
        <w:rPr>
          <w:spacing w:val="-13"/>
        </w:rPr>
        <w:t>之日起 </w:t>
      </w:r>
      <w:r>
        <w:rPr/>
        <w:t>90</w:t>
      </w:r>
      <w:r>
        <w:rPr>
          <w:spacing w:val="-16"/>
        </w:rPr>
        <w:t> 日后</w:t>
      </w:r>
      <w:r>
        <w:rPr>
          <w:spacing w:val="-16"/>
          <w:w w:val="95"/>
        </w:rPr>
        <w:t>经医院初次确诊非因意外伤害导致罹患本合同所定义的轻症疾病， </w:t>
      </w:r>
      <w:r>
        <w:rPr>
          <w:spacing w:val="5"/>
        </w:rPr>
        <w:t>则自其轻症疾病确诊后首个本合同项下该被保险人的保险费约定交纳日开始至本合同项下该被保险人的最后一次保险费约定交纳</w:t>
      </w:r>
      <w:r>
        <w:rPr>
          <w:spacing w:val="-5"/>
          <w:w w:val="95"/>
        </w:rPr>
        <w:t>日止，本公司豁免前述期间内投保人应交纳的本合同项下该保险人</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4"/>
        <w:ind w:left="2680"/>
      </w:pPr>
      <w:r>
        <w:rPr>
          <w:w w:val="95"/>
        </w:rPr>
        <w:t>的保险费。</w:t>
      </w:r>
    </w:p>
    <w:p>
      <w:pPr>
        <w:pStyle w:val="BodyText"/>
        <w:spacing w:line="237" w:lineRule="auto" w:before="61"/>
        <w:ind w:left="2680" w:right="220"/>
      </w:pPr>
      <w:r>
        <w:rPr>
          <w:spacing w:val="-4"/>
          <w:w w:val="95"/>
        </w:rPr>
        <w:t>保险费豁免开始后，本公司将不接受关于本合同项下该被保险人的  保险费交费方式的变更申请。</w:t>
      </w:r>
    </w:p>
    <w:p>
      <w:pPr>
        <w:pStyle w:val="BodyText"/>
        <w:spacing w:before="5"/>
        <w:rPr>
          <w:sz w:val="25"/>
        </w:rPr>
      </w:pPr>
    </w:p>
    <w:p>
      <w:pPr>
        <w:pStyle w:val="BodyText"/>
        <w:spacing w:line="237" w:lineRule="auto" w:before="0"/>
        <w:ind w:left="2680" w:right="220"/>
        <w:jc w:val="both"/>
        <w:rPr>
          <w:rFonts w:ascii="黑体" w:eastAsia="黑体" w:hint="eastAsia"/>
        </w:rPr>
      </w:pPr>
      <w:r>
        <w:rPr>
          <w:rFonts w:ascii="黑体" w:eastAsia="黑体" w:hint="eastAsia"/>
          <w:spacing w:val="-3"/>
          <w:w w:val="95"/>
        </w:rPr>
        <w:t>上述重大疾病保险金、身故保险金，本公司对各被保险人只给付一  </w:t>
      </w:r>
      <w:r>
        <w:rPr>
          <w:rFonts w:ascii="黑体" w:eastAsia="黑体" w:hint="eastAsia"/>
          <w:spacing w:val="-5"/>
          <w:w w:val="95"/>
        </w:rPr>
        <w:t>项。在给付完毕其中任意一项后，本公司对该被保险人的保险责任  终止。</w:t>
      </w:r>
    </w:p>
    <w:p>
      <w:pPr>
        <w:pStyle w:val="BodyText"/>
        <w:spacing w:before="12"/>
        <w:rPr>
          <w:rFonts w:ascii="黑体"/>
          <w:sz w:val="29"/>
        </w:rPr>
      </w:pPr>
    </w:p>
    <w:p>
      <w:pPr>
        <w:pStyle w:val="ListParagraph"/>
        <w:numPr>
          <w:ilvl w:val="1"/>
          <w:numId w:val="4"/>
        </w:numPr>
        <w:tabs>
          <w:tab w:pos="847" w:val="left" w:leader="none"/>
        </w:tabs>
        <w:spacing w:line="237" w:lineRule="auto" w:before="0" w:after="0"/>
        <w:ind w:left="2680" w:right="220" w:hanging="2580"/>
        <w:jc w:val="both"/>
        <w:rPr>
          <w:rFonts w:ascii="黑体" w:eastAsia="黑体" w:hint="eastAsia"/>
          <w:sz w:val="21"/>
        </w:rPr>
      </w:pPr>
      <w:r>
        <w:rPr>
          <w:b/>
          <w:sz w:val="21"/>
        </w:rPr>
        <w:t>责任免除        </w:t>
      </w:r>
      <w:r>
        <w:rPr>
          <w:rFonts w:ascii="黑体" w:eastAsia="黑体" w:hint="eastAsia"/>
          <w:spacing w:val="-2"/>
          <w:sz w:val="21"/>
        </w:rPr>
        <w:t>因下列第</w:t>
      </w:r>
      <w:r>
        <w:rPr>
          <w:rFonts w:ascii="黑体" w:eastAsia="黑体" w:hint="eastAsia"/>
          <w:sz w:val="21"/>
        </w:rPr>
        <w:t>（1）</w:t>
      </w:r>
      <w:r>
        <w:rPr>
          <w:rFonts w:ascii="黑体" w:eastAsia="黑体" w:hint="eastAsia"/>
          <w:spacing w:val="-2"/>
          <w:sz w:val="21"/>
        </w:rPr>
        <w:t>至第</w:t>
      </w:r>
      <w:r>
        <w:rPr>
          <w:rFonts w:ascii="黑体" w:eastAsia="黑体" w:hint="eastAsia"/>
          <w:sz w:val="21"/>
        </w:rPr>
        <w:t>（7）</w:t>
      </w:r>
      <w:r>
        <w:rPr>
          <w:rFonts w:ascii="黑体" w:eastAsia="黑体" w:hint="eastAsia"/>
          <w:spacing w:val="-1"/>
          <w:sz w:val="21"/>
        </w:rPr>
        <w:t>项情形之一导致被保险人身故的，本公司</w:t>
      </w:r>
      <w:r>
        <w:rPr>
          <w:rFonts w:ascii="黑体" w:eastAsia="黑体" w:hint="eastAsia"/>
          <w:spacing w:val="-3"/>
          <w:w w:val="95"/>
          <w:sz w:val="21"/>
        </w:rPr>
        <w:t>不承担给付身故保险金的责任；因下列第</w:t>
      </w:r>
      <w:r>
        <w:rPr>
          <w:rFonts w:ascii="黑体" w:eastAsia="黑体" w:hint="eastAsia"/>
          <w:w w:val="95"/>
          <w:sz w:val="21"/>
        </w:rPr>
        <w:t>（2）</w:t>
      </w:r>
      <w:r>
        <w:rPr>
          <w:rFonts w:ascii="黑体" w:eastAsia="黑体" w:hint="eastAsia"/>
          <w:spacing w:val="-2"/>
          <w:w w:val="95"/>
          <w:sz w:val="21"/>
        </w:rPr>
        <w:t>至第</w:t>
      </w:r>
      <w:r>
        <w:rPr>
          <w:rFonts w:ascii="黑体" w:eastAsia="黑体" w:hint="eastAsia"/>
          <w:w w:val="95"/>
          <w:sz w:val="21"/>
        </w:rPr>
        <w:t>（9）项情形之 一导致被保险人发Th</w:t>
      </w:r>
      <w:r>
        <w:rPr>
          <w:rFonts w:ascii="黑体" w:eastAsia="黑体" w:hint="eastAsia"/>
          <w:spacing w:val="-3"/>
          <w:w w:val="95"/>
          <w:sz w:val="21"/>
        </w:rPr>
        <w:t>本合同定义的重大疾病的，本公司不承担给付  </w:t>
      </w:r>
      <w:r>
        <w:rPr>
          <w:rFonts w:ascii="黑体" w:eastAsia="黑体" w:hint="eastAsia"/>
          <w:spacing w:val="-5"/>
          <w:w w:val="95"/>
          <w:sz w:val="21"/>
        </w:rPr>
        <w:t>重大疾病保险金的责任；因下列第</w:t>
      </w:r>
      <w:r>
        <w:rPr>
          <w:rFonts w:ascii="黑体" w:eastAsia="黑体" w:hint="eastAsia"/>
          <w:w w:val="95"/>
          <w:sz w:val="21"/>
        </w:rPr>
        <w:t>（2）</w:t>
      </w:r>
      <w:r>
        <w:rPr>
          <w:rFonts w:ascii="黑体" w:eastAsia="黑体" w:hint="eastAsia"/>
          <w:spacing w:val="-2"/>
          <w:w w:val="95"/>
          <w:sz w:val="21"/>
        </w:rPr>
        <w:t>至第</w:t>
      </w:r>
      <w:r>
        <w:rPr>
          <w:rFonts w:ascii="黑体" w:eastAsia="黑体" w:hint="eastAsia"/>
          <w:w w:val="95"/>
          <w:sz w:val="21"/>
        </w:rPr>
        <w:t>（9）项情形之一导致 被保险人发Th</w:t>
      </w:r>
      <w:r>
        <w:rPr>
          <w:rFonts w:ascii="黑体" w:eastAsia="黑体" w:hint="eastAsia"/>
          <w:spacing w:val="-3"/>
          <w:w w:val="95"/>
          <w:sz w:val="21"/>
        </w:rPr>
        <w:t>本合同定义的轻症疾病的，本公司不承担给付轻症疾  病保险金的责任，且不承担轻症疾病豁免保险费的责任：</w:t>
      </w:r>
    </w:p>
    <w:p>
      <w:pPr>
        <w:pStyle w:val="ListParagraph"/>
        <w:numPr>
          <w:ilvl w:val="0"/>
          <w:numId w:val="5"/>
        </w:numPr>
        <w:tabs>
          <w:tab w:pos="3414" w:val="left" w:leader="none"/>
          <w:tab w:pos="3415" w:val="left" w:leader="none"/>
        </w:tabs>
        <w:spacing w:line="237" w:lineRule="auto" w:before="61" w:after="0"/>
        <w:ind w:left="3414" w:right="114" w:hanging="734"/>
        <w:jc w:val="left"/>
        <w:rPr>
          <w:rFonts w:ascii="黑体" w:eastAsia="黑体" w:hint="eastAsia"/>
          <w:sz w:val="21"/>
        </w:rPr>
      </w:pPr>
      <w:r>
        <w:rPr>
          <w:rFonts w:ascii="黑体" w:eastAsia="黑体" w:hint="eastAsia"/>
          <w:spacing w:val="-2"/>
          <w:w w:val="95"/>
          <w:sz w:val="21"/>
        </w:rPr>
        <w:t>被保险人在本合同成立</w:t>
      </w:r>
      <w:r>
        <w:rPr>
          <w:rFonts w:ascii="黑体" w:eastAsia="黑体" w:hint="eastAsia"/>
          <w:w w:val="95"/>
          <w:sz w:val="21"/>
        </w:rPr>
        <w:t>（</w:t>
      </w:r>
      <w:r>
        <w:rPr>
          <w:rFonts w:ascii="黑体" w:eastAsia="黑体" w:hint="eastAsia"/>
          <w:spacing w:val="-3"/>
          <w:w w:val="95"/>
          <w:sz w:val="21"/>
        </w:rPr>
        <w:t>若曾复效，则自本合同最后复效</w:t>
      </w:r>
      <w:r>
        <w:rPr>
          <w:rFonts w:ascii="黑体" w:eastAsia="黑体" w:hint="eastAsia"/>
          <w:w w:val="95"/>
          <w:sz w:val="21"/>
        </w:rPr>
        <w:t>） </w:t>
      </w:r>
      <w:r>
        <w:rPr>
          <w:rFonts w:ascii="黑体" w:eastAsia="黑体" w:hint="eastAsia"/>
          <w:spacing w:val="-14"/>
          <w:sz w:val="21"/>
        </w:rPr>
        <w:t>之日起 </w:t>
      </w:r>
      <w:r>
        <w:rPr>
          <w:rFonts w:ascii="黑体" w:eastAsia="黑体" w:hint="eastAsia"/>
          <w:sz w:val="21"/>
        </w:rPr>
        <w:t>2</w:t>
      </w:r>
      <w:r>
        <w:rPr>
          <w:rFonts w:ascii="黑体" w:eastAsia="黑体" w:hint="eastAsia"/>
          <w:spacing w:val="-8"/>
          <w:sz w:val="21"/>
        </w:rPr>
        <w:t> 年内自杀，但被保险人自杀时为无民事行为能力</w:t>
      </w:r>
      <w:r>
        <w:rPr>
          <w:rFonts w:ascii="黑体" w:eastAsia="黑体" w:hint="eastAsia"/>
          <w:spacing w:val="-8"/>
          <w:w w:val="95"/>
          <w:sz w:val="21"/>
        </w:rPr>
        <w:t>人的除外；</w:t>
      </w:r>
    </w:p>
    <w:p>
      <w:pPr>
        <w:pStyle w:val="ListParagraph"/>
        <w:numPr>
          <w:ilvl w:val="0"/>
          <w:numId w:val="5"/>
        </w:numPr>
        <w:tabs>
          <w:tab w:pos="3414" w:val="left" w:leader="none"/>
          <w:tab w:pos="3415" w:val="left" w:leader="none"/>
        </w:tabs>
        <w:spacing w:line="240" w:lineRule="auto" w:before="59" w:after="0"/>
        <w:ind w:left="3414" w:right="0" w:hanging="734"/>
        <w:jc w:val="left"/>
        <w:rPr>
          <w:rFonts w:ascii="黑体" w:eastAsia="黑体" w:hint="eastAsia"/>
          <w:sz w:val="21"/>
        </w:rPr>
      </w:pPr>
      <w:r>
        <w:rPr>
          <w:rFonts w:ascii="黑体" w:eastAsia="黑体" w:hint="eastAsia"/>
          <w:w w:val="95"/>
          <w:sz w:val="21"/>
        </w:rPr>
        <w:t>投保人对被保险人的故意杀害、故意伤害；</w:t>
      </w:r>
    </w:p>
    <w:p>
      <w:pPr>
        <w:pStyle w:val="ListParagraph"/>
        <w:numPr>
          <w:ilvl w:val="0"/>
          <w:numId w:val="5"/>
        </w:numPr>
        <w:tabs>
          <w:tab w:pos="3414" w:val="left" w:leader="none"/>
          <w:tab w:pos="3415" w:val="left" w:leader="none"/>
        </w:tabs>
        <w:spacing w:line="237" w:lineRule="auto" w:before="61" w:after="0"/>
        <w:ind w:left="3414" w:right="294" w:hanging="734"/>
        <w:jc w:val="left"/>
        <w:rPr>
          <w:rFonts w:ascii="黑体" w:eastAsia="黑体" w:hint="eastAsia"/>
          <w:sz w:val="21"/>
        </w:rPr>
      </w:pPr>
      <w:r>
        <w:rPr>
          <w:rFonts w:ascii="黑体" w:eastAsia="黑体" w:hint="eastAsia"/>
          <w:w w:val="95"/>
          <w:sz w:val="21"/>
        </w:rPr>
        <w:t>被保险人故意自伤、故意犯罪或者抗拒依法采取的刑事强 制措施；</w:t>
      </w:r>
    </w:p>
    <w:p>
      <w:pPr>
        <w:pStyle w:val="ListParagraph"/>
        <w:numPr>
          <w:ilvl w:val="0"/>
          <w:numId w:val="5"/>
        </w:numPr>
        <w:tabs>
          <w:tab w:pos="3414" w:val="left" w:leader="none"/>
          <w:tab w:pos="3415" w:val="left" w:leader="none"/>
        </w:tabs>
        <w:spacing w:line="240" w:lineRule="auto" w:before="58" w:after="0"/>
        <w:ind w:left="3414" w:right="0" w:hanging="734"/>
        <w:jc w:val="left"/>
        <w:rPr>
          <w:rFonts w:ascii="黑体" w:eastAsia="黑体" w:hint="eastAsia"/>
          <w:sz w:val="21"/>
        </w:rPr>
      </w:pPr>
      <w:r>
        <w:rPr>
          <w:rFonts w:ascii="黑体" w:eastAsia="黑体" w:hint="eastAsia"/>
          <w:spacing w:val="-1"/>
          <w:w w:val="99"/>
          <w:sz w:val="21"/>
        </w:rPr>
        <w:t>被保险人主动吸食或者注射</w:t>
      </w:r>
      <w:r>
        <w:rPr>
          <w:rFonts w:ascii="黑体" w:eastAsia="黑体" w:hint="eastAsia"/>
          <w:b/>
          <w:w w:val="99"/>
          <w:sz w:val="21"/>
        </w:rPr>
        <w:t>毒品</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1"/>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1</w:t>
      </w:r>
      <w:r>
        <w:rPr>
          <w:rFonts w:ascii="黑体" w:eastAsia="黑体" w:hint="eastAsia"/>
          <w:spacing w:val="-104"/>
          <w:w w:val="99"/>
          <w:sz w:val="21"/>
        </w:rPr>
        <w:t>）</w:t>
      </w:r>
      <w:r>
        <w:rPr>
          <w:rFonts w:ascii="黑体" w:eastAsia="黑体" w:hint="eastAsia"/>
          <w:w w:val="99"/>
          <w:sz w:val="21"/>
        </w:rPr>
        <w:t>；</w:t>
      </w:r>
    </w:p>
    <w:p>
      <w:pPr>
        <w:pStyle w:val="ListParagraph"/>
        <w:numPr>
          <w:ilvl w:val="0"/>
          <w:numId w:val="5"/>
        </w:numPr>
        <w:tabs>
          <w:tab w:pos="3414" w:val="left" w:leader="none"/>
          <w:tab w:pos="3415" w:val="left" w:leader="none"/>
        </w:tabs>
        <w:spacing w:line="273" w:lineRule="exact" w:before="56" w:after="0"/>
        <w:ind w:left="3414" w:right="0" w:hanging="734"/>
        <w:jc w:val="left"/>
        <w:rPr>
          <w:rFonts w:ascii="黑体" w:eastAsia="黑体" w:hint="eastAsia"/>
          <w:sz w:val="21"/>
        </w:rPr>
      </w:pPr>
      <w:r>
        <w:rPr>
          <w:rFonts w:ascii="黑体" w:eastAsia="黑体" w:hint="eastAsia"/>
          <w:spacing w:val="-1"/>
          <w:w w:val="99"/>
          <w:sz w:val="21"/>
        </w:rPr>
        <w:t>被保险人</w:t>
      </w:r>
      <w:r>
        <w:rPr>
          <w:rFonts w:ascii="黑体" w:eastAsia="黑体" w:hint="eastAsia"/>
          <w:b/>
          <w:spacing w:val="-15"/>
          <w:w w:val="99"/>
          <w:sz w:val="21"/>
        </w:rPr>
        <w:t>酒后驾驶</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3"/>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2</w:t>
      </w:r>
      <w:r>
        <w:rPr>
          <w:rFonts w:ascii="黑体" w:eastAsia="黑体" w:hint="eastAsia"/>
          <w:spacing w:val="-104"/>
          <w:w w:val="99"/>
          <w:sz w:val="21"/>
        </w:rPr>
        <w:t>）</w:t>
      </w:r>
      <w:r>
        <w:rPr>
          <w:rFonts w:ascii="黑体" w:eastAsia="黑体" w:hint="eastAsia"/>
          <w:spacing w:val="-65"/>
          <w:w w:val="99"/>
          <w:sz w:val="21"/>
        </w:rPr>
        <w:t>、</w:t>
      </w:r>
      <w:r>
        <w:rPr>
          <w:rFonts w:ascii="黑体" w:eastAsia="黑体" w:hint="eastAsia"/>
          <w:b/>
          <w:spacing w:val="-6"/>
          <w:w w:val="99"/>
          <w:sz w:val="21"/>
        </w:rPr>
        <w:t>无合法有效驾驶证驾驶</w:t>
      </w:r>
      <w:r>
        <w:rPr>
          <w:rFonts w:ascii="黑体" w:eastAsia="黑体" w:hint="eastAsia"/>
          <w:spacing w:val="-1"/>
          <w:w w:val="99"/>
          <w:sz w:val="21"/>
        </w:rPr>
        <w:t>（</w:t>
      </w:r>
      <w:r>
        <w:rPr>
          <w:rFonts w:ascii="黑体" w:eastAsia="黑体" w:hint="eastAsia"/>
          <w:w w:val="99"/>
          <w:sz w:val="21"/>
        </w:rPr>
        <w:t>见</w:t>
      </w:r>
    </w:p>
    <w:p>
      <w:pPr>
        <w:spacing w:line="272" w:lineRule="exact" w:before="0"/>
        <w:ind w:left="3414" w:right="0" w:firstLine="0"/>
        <w:jc w:val="left"/>
        <w:rPr>
          <w:rFonts w:ascii="黑体" w:eastAsia="黑体" w:hint="eastAsia"/>
          <w:b/>
          <w:sz w:val="21"/>
        </w:rPr>
      </w:pP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3</w:t>
      </w:r>
      <w:r>
        <w:rPr>
          <w:rFonts w:ascii="黑体" w:eastAsia="黑体" w:hint="eastAsia"/>
          <w:spacing w:val="-106"/>
          <w:w w:val="99"/>
          <w:sz w:val="21"/>
        </w:rPr>
        <w:t>）</w:t>
      </w:r>
      <w:r>
        <w:rPr>
          <w:rFonts w:ascii="黑体" w:eastAsia="黑体" w:hint="eastAsia"/>
          <w:spacing w:val="-6"/>
          <w:w w:val="99"/>
          <w:sz w:val="21"/>
        </w:rPr>
        <w:t>，或者驾驶</w:t>
      </w:r>
      <w:r>
        <w:rPr>
          <w:rFonts w:ascii="黑体" w:eastAsia="黑体" w:hint="eastAsia"/>
          <w:b/>
          <w:spacing w:val="-3"/>
          <w:w w:val="99"/>
          <w:sz w:val="21"/>
        </w:rPr>
        <w:t>无合法有效行驶证</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3"/>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4</w:t>
      </w:r>
      <w:r>
        <w:rPr>
          <w:rFonts w:ascii="黑体" w:eastAsia="黑体" w:hint="eastAsia"/>
          <w:spacing w:val="-29"/>
          <w:w w:val="99"/>
          <w:sz w:val="21"/>
        </w:rPr>
        <w:t>）</w:t>
      </w:r>
      <w:r>
        <w:rPr>
          <w:rFonts w:ascii="黑体" w:eastAsia="黑体" w:hint="eastAsia"/>
          <w:spacing w:val="-1"/>
          <w:w w:val="99"/>
          <w:sz w:val="21"/>
        </w:rPr>
        <w:t>的</w:t>
      </w:r>
      <w:r>
        <w:rPr>
          <w:rFonts w:ascii="黑体" w:eastAsia="黑体" w:hint="eastAsia"/>
          <w:b/>
          <w:spacing w:val="0"/>
          <w:w w:val="99"/>
          <w:sz w:val="21"/>
        </w:rPr>
        <w:t>机动车</w:t>
      </w:r>
    </w:p>
    <w:p>
      <w:pPr>
        <w:pStyle w:val="BodyText"/>
        <w:spacing w:line="274" w:lineRule="exact" w:before="0"/>
        <w:ind w:left="3397" w:right="4215"/>
        <w:jc w:val="center"/>
        <w:rPr>
          <w:rFonts w:ascii="黑体" w:eastAsia="黑体" w:hint="eastAsia"/>
        </w:rPr>
      </w:pPr>
      <w:r>
        <w:rPr>
          <w:rFonts w:ascii="黑体" w:eastAsia="黑体" w:hint="eastAsia"/>
          <w:spacing w:val="-1"/>
          <w:w w:val="99"/>
        </w:rPr>
        <w:t>（</w:t>
      </w:r>
      <w:r>
        <w:rPr>
          <w:rFonts w:ascii="黑体" w:eastAsia="黑体" w:hint="eastAsia"/>
          <w:w w:val="99"/>
        </w:rPr>
        <w:t>见</w:t>
      </w:r>
      <w:r>
        <w:rPr>
          <w:rFonts w:ascii="黑体" w:eastAsia="黑体" w:hint="eastAsia"/>
          <w:spacing w:val="-53"/>
        </w:rPr>
        <w:t> </w:t>
      </w:r>
      <w:r>
        <w:rPr>
          <w:rFonts w:ascii="黑体" w:eastAsia="黑体" w:hint="eastAsia"/>
          <w:spacing w:val="0"/>
          <w:w w:val="99"/>
        </w:rPr>
        <w:t>11.</w:t>
      </w:r>
      <w:r>
        <w:rPr>
          <w:rFonts w:ascii="黑体" w:eastAsia="黑体" w:hint="eastAsia"/>
          <w:spacing w:val="-2"/>
          <w:w w:val="99"/>
        </w:rPr>
        <w:t>1</w:t>
      </w:r>
      <w:r>
        <w:rPr>
          <w:rFonts w:ascii="黑体" w:eastAsia="黑体" w:hint="eastAsia"/>
          <w:spacing w:val="0"/>
          <w:w w:val="99"/>
        </w:rPr>
        <w:t>5</w:t>
      </w:r>
      <w:r>
        <w:rPr>
          <w:rFonts w:ascii="黑体" w:eastAsia="黑体" w:hint="eastAsia"/>
          <w:spacing w:val="-104"/>
          <w:w w:val="99"/>
        </w:rPr>
        <w:t>）</w:t>
      </w:r>
      <w:r>
        <w:rPr>
          <w:rFonts w:ascii="黑体" w:eastAsia="黑体" w:hint="eastAsia"/>
          <w:w w:val="99"/>
        </w:rPr>
        <w:t>；</w:t>
      </w:r>
    </w:p>
    <w:p>
      <w:pPr>
        <w:pStyle w:val="ListParagraph"/>
        <w:numPr>
          <w:ilvl w:val="0"/>
          <w:numId w:val="5"/>
        </w:numPr>
        <w:tabs>
          <w:tab w:pos="3414" w:val="left" w:leader="none"/>
          <w:tab w:pos="3415" w:val="left" w:leader="none"/>
        </w:tabs>
        <w:spacing w:line="240" w:lineRule="auto" w:before="56" w:after="0"/>
        <w:ind w:left="3414" w:right="0" w:hanging="734"/>
        <w:jc w:val="left"/>
        <w:rPr>
          <w:rFonts w:ascii="黑体" w:eastAsia="黑体" w:hint="eastAsia"/>
          <w:sz w:val="21"/>
        </w:rPr>
      </w:pPr>
      <w:r>
        <w:rPr>
          <w:rFonts w:ascii="黑体" w:eastAsia="黑体" w:hint="eastAsia"/>
          <w:w w:val="95"/>
          <w:sz w:val="21"/>
        </w:rPr>
        <w:t>战争、军事冲突、暴乱或者武装叛乱；</w:t>
      </w:r>
    </w:p>
    <w:p>
      <w:pPr>
        <w:pStyle w:val="ListParagraph"/>
        <w:numPr>
          <w:ilvl w:val="0"/>
          <w:numId w:val="5"/>
        </w:numPr>
        <w:tabs>
          <w:tab w:pos="3414" w:val="left" w:leader="none"/>
          <w:tab w:pos="3415" w:val="left" w:leader="none"/>
        </w:tabs>
        <w:spacing w:line="240" w:lineRule="auto" w:before="58" w:after="0"/>
        <w:ind w:left="3414" w:right="0" w:hanging="734"/>
        <w:jc w:val="left"/>
        <w:rPr>
          <w:rFonts w:ascii="黑体" w:eastAsia="黑体" w:hint="eastAsia"/>
          <w:sz w:val="21"/>
        </w:rPr>
      </w:pPr>
      <w:r>
        <w:rPr>
          <w:rFonts w:ascii="黑体" w:eastAsia="黑体" w:hint="eastAsia"/>
          <w:w w:val="95"/>
          <w:sz w:val="21"/>
        </w:rPr>
        <w:t>核爆炸、核辐射或者核污染；</w:t>
      </w:r>
    </w:p>
    <w:p>
      <w:pPr>
        <w:pStyle w:val="ListParagraph"/>
        <w:numPr>
          <w:ilvl w:val="0"/>
          <w:numId w:val="5"/>
        </w:numPr>
        <w:tabs>
          <w:tab w:pos="3414" w:val="left" w:leader="none"/>
          <w:tab w:pos="3415" w:val="left" w:leader="none"/>
        </w:tabs>
        <w:spacing w:line="237" w:lineRule="auto" w:before="58" w:after="0"/>
        <w:ind w:left="3414" w:right="232" w:hanging="734"/>
        <w:jc w:val="left"/>
        <w:rPr>
          <w:rFonts w:ascii="黑体" w:hAnsi="黑体" w:eastAsia="黑体" w:hint="eastAsia"/>
          <w:sz w:val="21"/>
        </w:rPr>
      </w:pPr>
      <w:r>
        <w:rPr>
          <w:rFonts w:ascii="黑体" w:hAnsi="黑体" w:eastAsia="黑体" w:hint="eastAsia"/>
          <w:spacing w:val="-1"/>
          <w:w w:val="99"/>
          <w:sz w:val="21"/>
        </w:rPr>
        <w:t>被保险人</w:t>
      </w:r>
      <w:r>
        <w:rPr>
          <w:rFonts w:ascii="黑体" w:hAnsi="黑体" w:eastAsia="黑体" w:hint="eastAsia"/>
          <w:b/>
          <w:spacing w:val="-1"/>
          <w:w w:val="99"/>
          <w:sz w:val="21"/>
        </w:rPr>
        <w:t>感染艾滋病病毒或者患艾滋病</w:t>
      </w:r>
      <w:r>
        <w:rPr>
          <w:rFonts w:ascii="黑体" w:hAnsi="黑体" w:eastAsia="黑体" w:hint="eastAsia"/>
          <w:spacing w:val="-1"/>
          <w:w w:val="99"/>
          <w:sz w:val="21"/>
        </w:rPr>
        <w:t>（</w:t>
      </w:r>
      <w:r>
        <w:rPr>
          <w:rFonts w:ascii="黑体" w:hAnsi="黑体" w:eastAsia="黑体" w:hint="eastAsia"/>
          <w:w w:val="99"/>
          <w:sz w:val="21"/>
        </w:rPr>
        <w:t>见</w:t>
      </w:r>
      <w:r>
        <w:rPr>
          <w:rFonts w:ascii="黑体" w:hAnsi="黑体" w:eastAsia="黑体" w:hint="eastAsia"/>
          <w:spacing w:val="-48"/>
          <w:sz w:val="21"/>
        </w:rPr>
        <w:t> </w:t>
      </w:r>
      <w:r>
        <w:rPr>
          <w:rFonts w:ascii="黑体" w:hAnsi="黑体" w:eastAsia="黑体" w:hint="eastAsia"/>
          <w:spacing w:val="0"/>
          <w:w w:val="99"/>
          <w:sz w:val="21"/>
        </w:rPr>
        <w:t>11</w:t>
      </w:r>
      <w:r>
        <w:rPr>
          <w:rFonts w:ascii="黑体" w:hAnsi="黑体" w:eastAsia="黑体" w:hint="eastAsia"/>
          <w:spacing w:val="-2"/>
          <w:w w:val="99"/>
          <w:sz w:val="21"/>
        </w:rPr>
        <w:t>.</w:t>
      </w:r>
      <w:r>
        <w:rPr>
          <w:rFonts w:ascii="黑体" w:hAnsi="黑体" w:eastAsia="黑体" w:hint="eastAsia"/>
          <w:spacing w:val="0"/>
          <w:w w:val="99"/>
          <w:sz w:val="21"/>
        </w:rPr>
        <w:t>1</w:t>
      </w:r>
      <w:r>
        <w:rPr>
          <w:rFonts w:ascii="黑体" w:hAnsi="黑体" w:eastAsia="黑体" w:hint="eastAsia"/>
          <w:spacing w:val="-2"/>
          <w:w w:val="99"/>
          <w:sz w:val="21"/>
        </w:rPr>
        <w:t>6</w:t>
      </w:r>
      <w:r>
        <w:rPr>
          <w:rFonts w:ascii="黑体" w:hAnsi="黑体" w:eastAsia="黑体" w:hint="eastAsia"/>
          <w:spacing w:val="-104"/>
          <w:w w:val="99"/>
          <w:sz w:val="21"/>
        </w:rPr>
        <w:t>）</w:t>
      </w:r>
      <w:r>
        <w:rPr>
          <w:rFonts w:ascii="黑体" w:hAnsi="黑体" w:eastAsia="黑体" w:hint="eastAsia"/>
          <w:spacing w:val="-1"/>
          <w:w w:val="99"/>
          <w:sz w:val="21"/>
        </w:rPr>
        <w:t>（</w:t>
      </w:r>
      <w:r>
        <w:rPr>
          <w:rFonts w:ascii="黑体" w:hAnsi="黑体" w:eastAsia="黑体" w:hint="eastAsia"/>
          <w:w w:val="99"/>
          <w:sz w:val="21"/>
        </w:rPr>
        <w:t>符合</w:t>
      </w:r>
      <w:r>
        <w:rPr>
          <w:rFonts w:ascii="黑体" w:hAnsi="黑体" w:eastAsia="黑体" w:hint="eastAsia"/>
          <w:sz w:val="21"/>
        </w:rPr>
        <w:t>本合同“因职业关系导致的感染艾滋病病毒或者患艾滋 </w:t>
      </w:r>
      <w:r>
        <w:rPr>
          <w:rFonts w:ascii="黑体" w:hAnsi="黑体" w:eastAsia="黑体" w:hint="eastAsia"/>
          <w:w w:val="95"/>
          <w:sz w:val="21"/>
        </w:rPr>
        <w:t>病”、“经输血导致的感染艾滋病病毒或者患艾滋病”和</w:t>
      </w:r>
    </w:p>
    <w:p>
      <w:pPr>
        <w:pStyle w:val="BodyText"/>
        <w:spacing w:line="274" w:lineRule="exact" w:before="0"/>
        <w:ind w:left="3414"/>
        <w:rPr>
          <w:rFonts w:ascii="黑体" w:hAnsi="黑体" w:eastAsia="黑体" w:hint="eastAsia"/>
        </w:rPr>
      </w:pPr>
      <w:r>
        <w:rPr>
          <w:rFonts w:ascii="黑体" w:hAnsi="黑体" w:eastAsia="黑体" w:hint="eastAsia"/>
          <w:spacing w:val="-1"/>
          <w:w w:val="99"/>
        </w:rPr>
        <w:t>“器官移植导致的</w:t>
      </w:r>
      <w:r>
        <w:rPr>
          <w:rFonts w:ascii="黑体" w:hAnsi="黑体" w:eastAsia="黑体" w:hint="eastAsia"/>
          <w:spacing w:val="-53"/>
        </w:rPr>
        <w:t> </w:t>
      </w:r>
      <w:r>
        <w:rPr>
          <w:rFonts w:ascii="黑体" w:hAnsi="黑体" w:eastAsia="黑体" w:hint="eastAsia"/>
          <w:spacing w:val="0"/>
          <w:w w:val="99"/>
        </w:rPr>
        <w:t>HI</w:t>
      </w:r>
      <w:r>
        <w:rPr>
          <w:rFonts w:ascii="黑体" w:hAnsi="黑体" w:eastAsia="黑体" w:hint="eastAsia"/>
          <w:w w:val="99"/>
        </w:rPr>
        <w:t>V</w:t>
      </w:r>
      <w:r>
        <w:rPr>
          <w:rFonts w:ascii="黑体" w:hAnsi="黑体" w:eastAsia="黑体" w:hint="eastAsia"/>
          <w:spacing w:val="-52"/>
        </w:rPr>
        <w:t> </w:t>
      </w:r>
      <w:r>
        <w:rPr>
          <w:rFonts w:ascii="黑体" w:hAnsi="黑体" w:eastAsia="黑体" w:hint="eastAsia"/>
          <w:spacing w:val="-1"/>
          <w:w w:val="99"/>
        </w:rPr>
        <w:t>感染”定义的不在此限</w:t>
      </w:r>
      <w:r>
        <w:rPr>
          <w:rFonts w:ascii="黑体" w:hAnsi="黑体" w:eastAsia="黑体" w:hint="eastAsia"/>
          <w:spacing w:val="-104"/>
          <w:w w:val="99"/>
        </w:rPr>
        <w:t>）</w:t>
      </w:r>
      <w:r>
        <w:rPr>
          <w:rFonts w:ascii="黑体" w:hAnsi="黑体" w:eastAsia="黑体" w:hint="eastAsia"/>
          <w:w w:val="99"/>
        </w:rPr>
        <w:t>；</w:t>
      </w:r>
    </w:p>
    <w:p>
      <w:pPr>
        <w:pStyle w:val="ListParagraph"/>
        <w:numPr>
          <w:ilvl w:val="0"/>
          <w:numId w:val="5"/>
        </w:numPr>
        <w:tabs>
          <w:tab w:pos="3414" w:val="left" w:leader="none"/>
          <w:tab w:pos="3415" w:val="left" w:leader="none"/>
        </w:tabs>
        <w:spacing w:line="240" w:lineRule="auto" w:before="57" w:after="0"/>
        <w:ind w:left="3414" w:right="227" w:hanging="734"/>
        <w:jc w:val="left"/>
        <w:rPr>
          <w:rFonts w:ascii="黑体" w:eastAsia="黑体" w:hint="eastAsia"/>
          <w:sz w:val="21"/>
        </w:rPr>
      </w:pPr>
      <w:r>
        <w:rPr>
          <w:rFonts w:ascii="黑体" w:eastAsia="黑体" w:hint="eastAsia"/>
          <w:b/>
          <w:spacing w:val="0"/>
          <w:w w:val="99"/>
          <w:sz w:val="21"/>
        </w:rPr>
        <w:t>遗传性疾病</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w:t>
      </w:r>
      <w:r>
        <w:rPr>
          <w:rFonts w:ascii="黑体" w:eastAsia="黑体" w:hint="eastAsia"/>
          <w:spacing w:val="0"/>
          <w:w w:val="99"/>
          <w:sz w:val="21"/>
        </w:rPr>
        <w:t>1</w:t>
      </w:r>
      <w:r>
        <w:rPr>
          <w:rFonts w:ascii="黑体" w:eastAsia="黑体" w:hint="eastAsia"/>
          <w:spacing w:val="-2"/>
          <w:w w:val="99"/>
          <w:sz w:val="21"/>
        </w:rPr>
        <w:t>7</w:t>
      </w:r>
      <w:r>
        <w:rPr>
          <w:rFonts w:ascii="黑体" w:eastAsia="黑体" w:hint="eastAsia"/>
          <w:spacing w:val="-104"/>
          <w:w w:val="99"/>
          <w:sz w:val="21"/>
        </w:rPr>
        <w:t>）</w:t>
      </w:r>
      <w:r>
        <w:rPr>
          <w:rFonts w:ascii="黑体" w:eastAsia="黑体" w:hint="eastAsia"/>
          <w:spacing w:val="1"/>
          <w:w w:val="99"/>
          <w:sz w:val="21"/>
        </w:rPr>
        <w:t>，</w:t>
      </w:r>
      <w:r>
        <w:rPr>
          <w:rFonts w:ascii="黑体" w:eastAsia="黑体" w:hint="eastAsia"/>
          <w:b/>
          <w:w w:val="99"/>
          <w:sz w:val="21"/>
        </w:rPr>
        <w:t>先天性畸形、变形或者染色体异</w:t>
      </w:r>
      <w:r>
        <w:rPr>
          <w:rFonts w:ascii="黑体" w:eastAsia="黑体" w:hint="eastAsia"/>
          <w:b/>
          <w:spacing w:val="-1"/>
          <w:w w:val="99"/>
          <w:sz w:val="21"/>
        </w:rPr>
        <w:t>常</w:t>
      </w:r>
      <w:r>
        <w:rPr>
          <w:rFonts w:ascii="黑体" w:eastAsia="黑体" w:hint="eastAsia"/>
          <w:spacing w:val="-1"/>
          <w:w w:val="99"/>
          <w:sz w:val="21"/>
        </w:rPr>
        <w:t>（</w:t>
      </w:r>
      <w:r>
        <w:rPr>
          <w:rFonts w:ascii="黑体" w:eastAsia="黑体" w:hint="eastAsia"/>
          <w:w w:val="99"/>
          <w:sz w:val="21"/>
        </w:rPr>
        <w:t>见</w:t>
      </w:r>
      <w:r>
        <w:rPr>
          <w:rFonts w:ascii="黑体" w:eastAsia="黑体" w:hint="eastAsia"/>
          <w:spacing w:val="-50"/>
          <w:sz w:val="21"/>
        </w:rPr>
        <w:t> </w:t>
      </w:r>
      <w:r>
        <w:rPr>
          <w:rFonts w:ascii="黑体" w:eastAsia="黑体" w:hint="eastAsia"/>
          <w:spacing w:val="0"/>
          <w:w w:val="99"/>
          <w:sz w:val="21"/>
        </w:rPr>
        <w:t>11.</w:t>
      </w:r>
      <w:r>
        <w:rPr>
          <w:rFonts w:ascii="黑体" w:eastAsia="黑体" w:hint="eastAsia"/>
          <w:spacing w:val="-2"/>
          <w:w w:val="99"/>
          <w:sz w:val="21"/>
        </w:rPr>
        <w:t>1</w:t>
      </w:r>
      <w:r>
        <w:rPr>
          <w:rFonts w:ascii="黑体" w:eastAsia="黑体" w:hint="eastAsia"/>
          <w:spacing w:val="0"/>
          <w:w w:val="99"/>
          <w:sz w:val="21"/>
        </w:rPr>
        <w:t>8</w:t>
      </w:r>
      <w:r>
        <w:rPr>
          <w:rFonts w:ascii="黑体" w:eastAsia="黑体" w:hint="eastAsia"/>
          <w:spacing w:val="-104"/>
          <w:w w:val="99"/>
          <w:sz w:val="21"/>
        </w:rPr>
        <w:t>）</w:t>
      </w:r>
      <w:r>
        <w:rPr>
          <w:rFonts w:ascii="黑体" w:eastAsia="黑体" w:hint="eastAsia"/>
          <w:w w:val="99"/>
          <w:sz w:val="21"/>
        </w:rPr>
        <w:t>。</w:t>
      </w:r>
    </w:p>
    <w:p>
      <w:pPr>
        <w:pStyle w:val="BodyText"/>
        <w:spacing w:line="237" w:lineRule="auto" w:before="25"/>
        <w:ind w:left="2680" w:right="112"/>
        <w:rPr>
          <w:rFonts w:ascii="黑体" w:eastAsia="黑体" w:hint="eastAsia"/>
        </w:rPr>
      </w:pPr>
      <w:r>
        <w:rPr>
          <w:rFonts w:ascii="黑体" w:eastAsia="黑体" w:hint="eastAsia"/>
          <w:spacing w:val="0"/>
        </w:rPr>
        <w:t>因上述第</w:t>
      </w:r>
      <w:r>
        <w:rPr>
          <w:rFonts w:ascii="黑体" w:eastAsia="黑体" w:hint="eastAsia"/>
        </w:rPr>
        <w:t>（2）项情形导致被保险人身故的，本公司对该被保险人</w:t>
      </w:r>
      <w:r>
        <w:rPr>
          <w:rFonts w:ascii="黑体" w:eastAsia="黑体" w:hint="eastAsia"/>
          <w:spacing w:val="-4"/>
        </w:rPr>
        <w:t>的保险责任终止，本公司向投保人之外的其他权利人给付保险责任</w:t>
      </w:r>
      <w:r>
        <w:rPr>
          <w:rFonts w:ascii="黑体" w:eastAsia="黑体" w:hint="eastAsia"/>
          <w:spacing w:val="-1"/>
          <w:w w:val="99"/>
        </w:rPr>
        <w:t>终止之日本合同项下该被保险人名下的</w:t>
      </w:r>
      <w:r>
        <w:rPr>
          <w:rFonts w:ascii="黑体" w:eastAsia="黑体" w:hint="eastAsia"/>
          <w:b/>
          <w:spacing w:val="-9"/>
          <w:w w:val="99"/>
        </w:rPr>
        <w:t>现金价值</w:t>
      </w:r>
      <w:r>
        <w:rPr>
          <w:rFonts w:ascii="黑体" w:eastAsia="黑体" w:hint="eastAsia"/>
          <w:spacing w:val="1"/>
          <w:w w:val="99"/>
        </w:rPr>
        <w:t>（</w:t>
      </w:r>
      <w:r>
        <w:rPr>
          <w:rFonts w:ascii="黑体" w:eastAsia="黑体" w:hint="eastAsia"/>
          <w:w w:val="99"/>
        </w:rPr>
        <w:t>见</w:t>
      </w:r>
      <w:r>
        <w:rPr>
          <w:rFonts w:ascii="黑体" w:eastAsia="黑体" w:hint="eastAsia"/>
          <w:spacing w:val="-53"/>
        </w:rPr>
        <w:t> </w:t>
      </w:r>
      <w:r>
        <w:rPr>
          <w:rFonts w:ascii="黑体" w:eastAsia="黑体" w:hint="eastAsia"/>
          <w:spacing w:val="0"/>
          <w:w w:val="99"/>
        </w:rPr>
        <w:t>11.</w:t>
      </w:r>
      <w:r>
        <w:rPr>
          <w:rFonts w:ascii="黑体" w:eastAsia="黑体" w:hint="eastAsia"/>
          <w:spacing w:val="-2"/>
          <w:w w:val="99"/>
        </w:rPr>
        <w:t>1</w:t>
      </w:r>
      <w:r>
        <w:rPr>
          <w:rFonts w:ascii="黑体" w:eastAsia="黑体" w:hint="eastAsia"/>
          <w:spacing w:val="0"/>
          <w:w w:val="99"/>
        </w:rPr>
        <w:t>9</w:t>
      </w:r>
      <w:r>
        <w:rPr>
          <w:rFonts w:ascii="黑体" w:eastAsia="黑体" w:hint="eastAsia"/>
          <w:spacing w:val="-104"/>
          <w:w w:val="99"/>
        </w:rPr>
        <w:t>）</w:t>
      </w:r>
      <w:r>
        <w:rPr>
          <w:rFonts w:ascii="黑体" w:eastAsia="黑体" w:hint="eastAsia"/>
          <w:spacing w:val="-14"/>
          <w:w w:val="99"/>
        </w:rPr>
        <w:t>，投保</w:t>
      </w:r>
      <w:r>
        <w:rPr>
          <w:rFonts w:ascii="黑体" w:eastAsia="黑体" w:hint="eastAsia"/>
          <w:spacing w:val="-15"/>
        </w:rPr>
        <w:t>人之外的其他权利人按照该被保险人的第一顺序法定继承人、第二</w:t>
      </w:r>
      <w:r>
        <w:rPr>
          <w:rFonts w:ascii="黑体" w:eastAsia="黑体" w:hint="eastAsia"/>
          <w:spacing w:val="-17"/>
          <w:w w:val="95"/>
        </w:rPr>
        <w:t>顺序法定继承人的顺序确定；因上述第</w:t>
      </w:r>
      <w:r>
        <w:rPr>
          <w:rFonts w:ascii="黑体" w:eastAsia="黑体" w:hint="eastAsia"/>
          <w:spacing w:val="-14"/>
          <w:w w:val="95"/>
        </w:rPr>
        <w:t>（1）</w:t>
      </w:r>
      <w:r>
        <w:rPr>
          <w:rFonts w:ascii="黑体" w:eastAsia="黑体" w:hint="eastAsia"/>
          <w:spacing w:val="-10"/>
          <w:w w:val="95"/>
        </w:rPr>
        <w:t>项以及第</w:t>
      </w:r>
      <w:r>
        <w:rPr>
          <w:rFonts w:ascii="黑体" w:eastAsia="黑体" w:hint="eastAsia"/>
          <w:spacing w:val="-14"/>
          <w:w w:val="95"/>
        </w:rPr>
        <w:t>（3）</w:t>
      </w:r>
      <w:r>
        <w:rPr>
          <w:rFonts w:ascii="黑体" w:eastAsia="黑体" w:hint="eastAsia"/>
          <w:spacing w:val="-19"/>
          <w:w w:val="95"/>
        </w:rPr>
        <w:t>至第</w:t>
      </w:r>
      <w:r>
        <w:rPr>
          <w:rFonts w:ascii="黑体" w:eastAsia="黑体" w:hint="eastAsia"/>
          <w:w w:val="95"/>
        </w:rPr>
        <w:t>（7）  </w:t>
      </w:r>
      <w:r>
        <w:rPr>
          <w:rFonts w:ascii="黑体" w:eastAsia="黑体" w:hint="eastAsia"/>
          <w:spacing w:val="-2"/>
        </w:rPr>
        <w:t>项中任一情形导致被保险人身故的，本公司对该被保险人的保险责</w:t>
      </w:r>
      <w:r>
        <w:rPr>
          <w:rFonts w:ascii="黑体" w:eastAsia="黑体" w:hint="eastAsia"/>
          <w:spacing w:val="-6"/>
        </w:rPr>
        <w:t>任终止，本公司向投保人退还保险责任终止之日本合同项下该被保</w:t>
      </w:r>
      <w:r>
        <w:rPr>
          <w:rFonts w:ascii="黑体" w:eastAsia="黑体" w:hint="eastAsia"/>
          <w:spacing w:val="-6"/>
          <w:w w:val="95"/>
        </w:rPr>
        <w:t>险人名下的现金价值。</w:t>
      </w:r>
    </w:p>
    <w:p>
      <w:pPr>
        <w:pStyle w:val="BodyText"/>
        <w:spacing w:line="237" w:lineRule="auto" w:before="61"/>
        <w:ind w:left="2680" w:right="220"/>
        <w:rPr>
          <w:rFonts w:ascii="黑体" w:eastAsia="黑体" w:hint="eastAsia"/>
        </w:rPr>
      </w:pPr>
      <w:r>
        <w:rPr>
          <w:rFonts w:ascii="黑体" w:eastAsia="黑体" w:hint="eastAsia"/>
        </w:rPr>
        <w:t>因上述第（2）项情形导致被保险人发Th本合同所定义的重大疾病</w:t>
      </w:r>
      <w:r>
        <w:rPr>
          <w:rFonts w:ascii="黑体" w:eastAsia="黑体" w:hint="eastAsia"/>
          <w:spacing w:val="-5"/>
          <w:w w:val="95"/>
        </w:rPr>
        <w:t>的，本公司对该被保险人的保险责任终止，本公司向该被保险人给  </w:t>
      </w:r>
      <w:r>
        <w:rPr>
          <w:rFonts w:ascii="黑体" w:eastAsia="黑体" w:hint="eastAsia"/>
          <w:spacing w:val="-6"/>
          <w:w w:val="95"/>
        </w:rPr>
        <w:t>付保险责任终止之日本合同项下该被保险人名下的现金价值；因上  述第</w:t>
      </w:r>
      <w:r>
        <w:rPr>
          <w:rFonts w:ascii="黑体" w:eastAsia="黑体" w:hint="eastAsia"/>
          <w:spacing w:val="-3"/>
          <w:w w:val="95"/>
        </w:rPr>
        <w:t>（3）至第</w:t>
      </w:r>
      <w:r>
        <w:rPr>
          <w:rFonts w:ascii="黑体" w:eastAsia="黑体" w:hint="eastAsia"/>
          <w:w w:val="95"/>
        </w:rPr>
        <w:t>（9）项中任一情形导致被保险人发Th本合同所定义</w:t>
      </w:r>
    </w:p>
    <w:p>
      <w:pPr>
        <w:spacing w:after="0" w:line="237" w:lineRule="auto"/>
        <w:rPr>
          <w:rFonts w:ascii="黑体" w:eastAsia="黑体" w:hint="eastAsia"/>
        </w:rPr>
        <w:sectPr>
          <w:pgSz w:w="12240" w:h="15840"/>
          <w:pgMar w:top="1400" w:bottom="280" w:left="1700" w:right="1580"/>
        </w:sectPr>
      </w:pPr>
    </w:p>
    <w:p>
      <w:pPr>
        <w:pStyle w:val="BodyText"/>
        <w:spacing w:line="237" w:lineRule="auto" w:before="7"/>
        <w:ind w:left="2800" w:right="162"/>
        <w:rPr>
          <w:rFonts w:ascii="黑体" w:eastAsia="黑体" w:hint="eastAsia"/>
        </w:rPr>
      </w:pPr>
      <w:r>
        <w:rPr>
          <w:rFonts w:ascii="黑体" w:eastAsia="黑体" w:hint="eastAsia"/>
          <w:w w:val="95"/>
        </w:rPr>
        <w:t>的重大疾病的，本公司对该被保险人的保险责任终止，本公司向投 </w:t>
      </w:r>
      <w:r>
        <w:rPr>
          <w:rFonts w:ascii="黑体" w:eastAsia="黑体" w:hint="eastAsia"/>
        </w:rPr>
        <w:t>保人退还保险责任终止之日本合同项下该被保险人名下的现金价</w:t>
      </w:r>
      <w:r>
        <w:rPr>
          <w:rFonts w:ascii="黑体" w:eastAsia="黑体" w:hint="eastAsia"/>
          <w:w w:val="95"/>
        </w:rPr>
        <w:t>值。</w:t>
      </w:r>
    </w:p>
    <w:p>
      <w:pPr>
        <w:pStyle w:val="BodyText"/>
        <w:spacing w:line="237" w:lineRule="auto" w:before="61"/>
        <w:ind w:left="2800" w:right="220"/>
        <w:rPr>
          <w:rFonts w:ascii="黑体" w:eastAsia="黑体" w:hint="eastAsia"/>
        </w:rPr>
      </w:pPr>
      <w:r>
        <w:rPr>
          <w:rFonts w:ascii="黑体" w:eastAsia="黑体" w:hint="eastAsia"/>
          <w:spacing w:val="-2"/>
          <w:w w:val="95"/>
        </w:rPr>
        <w:t>因上述第</w:t>
      </w:r>
      <w:r>
        <w:rPr>
          <w:rFonts w:ascii="黑体" w:eastAsia="黑体" w:hint="eastAsia"/>
          <w:spacing w:val="-3"/>
          <w:w w:val="95"/>
        </w:rPr>
        <w:t>（2）至第</w:t>
      </w:r>
      <w:r>
        <w:rPr>
          <w:rFonts w:ascii="黑体" w:eastAsia="黑体" w:hint="eastAsia"/>
          <w:w w:val="95"/>
        </w:rPr>
        <w:t>（9）项中任一情形导致被保险人发Th本合同所 定义的轻症疾病的，本公司对该被保险人的保险责任继续有效。</w:t>
      </w:r>
    </w:p>
    <w:p>
      <w:pPr>
        <w:pStyle w:val="BodyText"/>
        <w:spacing w:before="6"/>
        <w:rPr>
          <w:rFonts w:ascii="黑体"/>
          <w:sz w:val="27"/>
        </w:rPr>
      </w:pPr>
    </w:p>
    <w:p>
      <w:pPr>
        <w:pStyle w:val="Heading1"/>
        <w:numPr>
          <w:ilvl w:val="0"/>
          <w:numId w:val="4"/>
        </w:numPr>
        <w:tabs>
          <w:tab w:pos="966" w:val="left" w:leader="none"/>
          <w:tab w:pos="967" w:val="left" w:leader="none"/>
        </w:tabs>
        <w:spacing w:line="240" w:lineRule="auto" w:before="26" w:after="0"/>
        <w:ind w:left="966" w:right="0" w:hanging="746"/>
        <w:jc w:val="left"/>
      </w:pPr>
      <w:r>
        <w:rPr/>
        <w:pict>
          <v:line style="position:absolute;mso-position-horizontal-relative:page;mso-position-vertical-relative:paragraph;z-index:1072;mso-wrap-distance-left:0;mso-wrap-distance-right:0" from="84.599998pt,19.515606pt" to="527.399998pt,19.515606pt" stroked="true" strokeweight="1.44pt" strokecolor="#000000">
            <v:stroke dashstyle="solid"/>
            <w10:wrap type="topAndBottom"/>
          </v:line>
        </w:pict>
      </w:r>
      <w:r>
        <w:rPr>
          <w:w w:val="95"/>
        </w:rPr>
        <w:t>保险金的申请</w:t>
      </w:r>
    </w:p>
    <w:p>
      <w:pPr>
        <w:pStyle w:val="BodyText"/>
        <w:spacing w:before="5"/>
        <w:rPr>
          <w:b/>
          <w:sz w:val="25"/>
        </w:rPr>
      </w:pPr>
    </w:p>
    <w:p>
      <w:pPr>
        <w:pStyle w:val="ListParagraph"/>
        <w:numPr>
          <w:ilvl w:val="1"/>
          <w:numId w:val="4"/>
        </w:numPr>
        <w:tabs>
          <w:tab w:pos="967" w:val="left" w:leader="none"/>
          <w:tab w:pos="2799" w:val="left" w:leader="none"/>
        </w:tabs>
        <w:spacing w:line="237" w:lineRule="auto" w:before="0" w:after="0"/>
        <w:ind w:left="2800" w:right="190" w:hanging="2580"/>
        <w:jc w:val="both"/>
        <w:rPr>
          <w:sz w:val="21"/>
        </w:rPr>
      </w:pPr>
      <w:r>
        <w:rPr>
          <w:b/>
          <w:sz w:val="21"/>
        </w:rPr>
        <w:t>受益人</w:t>
        <w:tab/>
      </w:r>
      <w:r>
        <w:rPr>
          <w:w w:val="95"/>
          <w:sz w:val="21"/>
        </w:rPr>
        <w:t>投保人或者被保险人可以指定一人或者多人为身故保险金受益人。   </w:t>
      </w:r>
      <w:r>
        <w:rPr>
          <w:sz w:val="21"/>
        </w:rPr>
        <w:t>身故保险金受益人为多人时</w:t>
      </w:r>
      <w:r>
        <w:rPr>
          <w:spacing w:val="-15"/>
          <w:sz w:val="21"/>
        </w:rPr>
        <w:t>，</w:t>
      </w:r>
      <w:r>
        <w:rPr>
          <w:sz w:val="21"/>
        </w:rPr>
        <w:t>可以确定受益人顺序和受益份额</w:t>
      </w:r>
      <w:r>
        <w:rPr>
          <w:spacing w:val="-15"/>
          <w:sz w:val="21"/>
        </w:rPr>
        <w:t>；</w:t>
      </w:r>
      <w:r>
        <w:rPr>
          <w:sz w:val="21"/>
        </w:rPr>
        <w:t>如</w:t>
      </w:r>
      <w:r>
        <w:rPr>
          <w:w w:val="95"/>
          <w:sz w:val="21"/>
        </w:rPr>
        <w:t>果没有确定份额，各身故保险金受益人按照相等份额享有受益权。 </w:t>
      </w:r>
      <w:r>
        <w:rPr>
          <w:sz w:val="21"/>
        </w:rPr>
        <w:t>被保险人为无民事行为能力人或者限制民事行为能力人的</w:t>
      </w:r>
      <w:r>
        <w:rPr>
          <w:spacing w:val="-29"/>
          <w:sz w:val="21"/>
        </w:rPr>
        <w:t>，</w:t>
      </w:r>
      <w:r>
        <w:rPr>
          <w:sz w:val="21"/>
        </w:rPr>
        <w:t>可以依</w:t>
      </w:r>
      <w:r>
        <w:rPr>
          <w:w w:val="95"/>
          <w:sz w:val="21"/>
        </w:rPr>
        <w:t>法由其监护人指定身故保险金受益人。</w:t>
      </w:r>
    </w:p>
    <w:p>
      <w:pPr>
        <w:pStyle w:val="BodyText"/>
        <w:spacing w:line="237" w:lineRule="auto" w:before="61"/>
        <w:ind w:left="2800" w:right="220"/>
      </w:pPr>
      <w:r>
        <w:rPr/>
        <w:t>投保人或者被保险人在被保险人身故前可以变更身故保险金受益</w:t>
      </w:r>
      <w:r>
        <w:rPr>
          <w:spacing w:val="-5"/>
          <w:w w:val="95"/>
        </w:rPr>
        <w:t>人、受益顺序或者受益份额，并书面通知本公司。本公司收到变更  </w:t>
      </w:r>
      <w:r>
        <w:rPr>
          <w:spacing w:val="-8"/>
          <w:w w:val="95"/>
        </w:rPr>
        <w:t>的书面通知后，将及时在保险单或者其他保险凭证上批注或者附贴  批单，变更的生效时间以批注或者批单中载明的时间为准。</w:t>
      </w:r>
    </w:p>
    <w:p>
      <w:pPr>
        <w:pStyle w:val="BodyText"/>
        <w:spacing w:line="237" w:lineRule="auto" w:before="61"/>
        <w:ind w:left="2800" w:right="400"/>
      </w:pPr>
      <w:r>
        <w:rPr>
          <w:w w:val="95"/>
        </w:rPr>
        <w:t>投保人在指定和变更身故保险金受益人、受益顺序或者受益份额 时，必须经过被保险人同意。</w:t>
      </w:r>
    </w:p>
    <w:p>
      <w:pPr>
        <w:pStyle w:val="BodyText"/>
        <w:spacing w:line="237" w:lineRule="auto" w:before="61"/>
        <w:ind w:left="2800" w:right="220"/>
        <w:jc w:val="both"/>
      </w:pPr>
      <w:r>
        <w:rPr>
          <w:spacing w:val="-3"/>
          <w:w w:val="95"/>
        </w:rPr>
        <w:t>被保险人身故后，有下列情形之一的，身故保险金作为被保险人的  </w:t>
      </w:r>
      <w:r>
        <w:rPr>
          <w:spacing w:val="-6"/>
          <w:w w:val="95"/>
        </w:rPr>
        <w:t>遗产，由本公司依照《中华人民共和国继承法》的规定履行给付身  故保险金的义务：</w:t>
      </w:r>
    </w:p>
    <w:p>
      <w:pPr>
        <w:pStyle w:val="ListParagraph"/>
        <w:numPr>
          <w:ilvl w:val="0"/>
          <w:numId w:val="6"/>
        </w:numPr>
        <w:tabs>
          <w:tab w:pos="3534" w:val="left" w:leader="none"/>
          <w:tab w:pos="3535" w:val="left" w:leader="none"/>
        </w:tabs>
        <w:spacing w:line="240" w:lineRule="auto" w:before="56" w:after="0"/>
        <w:ind w:left="3534" w:right="297" w:hanging="734"/>
        <w:jc w:val="left"/>
        <w:rPr>
          <w:sz w:val="21"/>
        </w:rPr>
      </w:pPr>
      <w:r>
        <w:rPr>
          <w:w w:val="95"/>
          <w:sz w:val="21"/>
        </w:rPr>
        <w:t>没有指定身故保险金受益人的，或者身故保险金受益人指 定不明无法确定的；</w:t>
      </w:r>
    </w:p>
    <w:p>
      <w:pPr>
        <w:pStyle w:val="ListParagraph"/>
        <w:numPr>
          <w:ilvl w:val="0"/>
          <w:numId w:val="6"/>
        </w:numPr>
        <w:tabs>
          <w:tab w:pos="3534" w:val="left" w:leader="none"/>
          <w:tab w:pos="3535" w:val="left" w:leader="none"/>
        </w:tabs>
        <w:spacing w:line="237" w:lineRule="auto" w:before="59" w:after="0"/>
        <w:ind w:left="3534" w:right="297" w:hanging="734"/>
        <w:jc w:val="left"/>
        <w:rPr>
          <w:sz w:val="21"/>
        </w:rPr>
      </w:pPr>
      <w:r>
        <w:rPr>
          <w:w w:val="95"/>
          <w:sz w:val="21"/>
        </w:rPr>
        <w:t>身故保险金受益人先于被保险人身故，没有其他身故保险 金受益人的；</w:t>
      </w:r>
    </w:p>
    <w:p>
      <w:pPr>
        <w:pStyle w:val="ListParagraph"/>
        <w:numPr>
          <w:ilvl w:val="0"/>
          <w:numId w:val="6"/>
        </w:numPr>
        <w:tabs>
          <w:tab w:pos="3534" w:val="left" w:leader="none"/>
          <w:tab w:pos="3535" w:val="left" w:leader="none"/>
        </w:tabs>
        <w:spacing w:line="240" w:lineRule="auto" w:before="59" w:after="0"/>
        <w:ind w:left="3534" w:right="294" w:hanging="734"/>
        <w:jc w:val="left"/>
        <w:rPr>
          <w:sz w:val="21"/>
        </w:rPr>
      </w:pPr>
      <w:r>
        <w:rPr>
          <w:w w:val="95"/>
          <w:sz w:val="21"/>
        </w:rPr>
        <w:t>身故保险金受益人依法丧失受益权或者放弃受益权，没有 其他身故保险金受益人的。</w:t>
      </w:r>
    </w:p>
    <w:p>
      <w:pPr>
        <w:pStyle w:val="BodyText"/>
        <w:ind w:left="2800" w:right="220"/>
      </w:pPr>
      <w:r>
        <w:rPr>
          <w:spacing w:val="-2"/>
          <w:w w:val="95"/>
        </w:rPr>
        <w:t>身故保险金受益人与被保险人在同一事件中身故，且不能确定身故  先后顺序的，推定身故保险金受益人身故在先。</w:t>
      </w:r>
    </w:p>
    <w:p>
      <w:pPr>
        <w:pStyle w:val="BodyText"/>
        <w:ind w:left="2800"/>
      </w:pPr>
      <w:r>
        <w:rPr>
          <w:w w:val="95"/>
        </w:rPr>
        <w:t>除另有指定外，疾病保险金受益人为被保险人本人。</w:t>
      </w:r>
    </w:p>
    <w:p>
      <w:pPr>
        <w:pStyle w:val="BodyText"/>
        <w:ind w:left="2800" w:right="220"/>
        <w:rPr>
          <w:rFonts w:ascii="黑体" w:eastAsia="黑体" w:hint="eastAsia"/>
        </w:rPr>
      </w:pPr>
      <w:r>
        <w:rPr>
          <w:rFonts w:ascii="黑体" w:eastAsia="黑体" w:hint="eastAsia"/>
          <w:spacing w:val="-2"/>
          <w:w w:val="95"/>
        </w:rPr>
        <w:t>投保人为与其有劳动关系的劳动者投保本保险，不得指定被保险人  及其近亲属以外的人为受益人。</w:t>
      </w:r>
    </w:p>
    <w:p>
      <w:pPr>
        <w:pStyle w:val="BodyText"/>
        <w:ind w:left="2800" w:right="220"/>
        <w:rPr>
          <w:rFonts w:ascii="黑体" w:eastAsia="黑体" w:hint="eastAsia"/>
        </w:rPr>
      </w:pPr>
      <w:r>
        <w:rPr>
          <w:rFonts w:ascii="黑体" w:eastAsia="黑体" w:hint="eastAsia"/>
          <w:spacing w:val="-3"/>
          <w:w w:val="95"/>
        </w:rPr>
        <w:t>受益人故意造成被保险人死亡、伤残、疾病的，或者故意杀害被保  险人未遂的，该受益人丧失受益权。</w:t>
      </w:r>
    </w:p>
    <w:p>
      <w:pPr>
        <w:pStyle w:val="BodyText"/>
        <w:spacing w:before="10"/>
        <w:rPr>
          <w:rFonts w:ascii="黑体"/>
          <w:sz w:val="29"/>
        </w:rPr>
      </w:pPr>
    </w:p>
    <w:p>
      <w:pPr>
        <w:pStyle w:val="ListParagraph"/>
        <w:numPr>
          <w:ilvl w:val="1"/>
          <w:numId w:val="4"/>
        </w:numPr>
        <w:tabs>
          <w:tab w:pos="966" w:val="left" w:leader="none"/>
          <w:tab w:pos="967" w:val="left" w:leader="none"/>
          <w:tab w:pos="2799" w:val="left" w:leader="none"/>
        </w:tabs>
        <w:spacing w:line="274" w:lineRule="exact" w:before="0" w:after="0"/>
        <w:ind w:left="2800" w:right="0" w:hanging="2580"/>
        <w:jc w:val="left"/>
        <w:rPr>
          <w:rFonts w:ascii="黑体" w:eastAsia="黑体" w:hint="eastAsia"/>
          <w:sz w:val="21"/>
        </w:rPr>
      </w:pPr>
      <w:r>
        <w:rPr>
          <w:b/>
          <w:sz w:val="21"/>
        </w:rPr>
        <w:t>保险事故通知</w:t>
        <w:tab/>
      </w:r>
      <w:r>
        <w:rPr>
          <w:rFonts w:ascii="黑体" w:eastAsia="黑体" w:hint="eastAsia"/>
          <w:sz w:val="21"/>
        </w:rPr>
        <w:t>投保人、被保险人或者受益人知道保险事故发Th后应当在</w:t>
      </w:r>
      <w:r>
        <w:rPr>
          <w:rFonts w:ascii="黑体" w:eastAsia="黑体" w:hint="eastAsia"/>
          <w:spacing w:val="-62"/>
          <w:sz w:val="21"/>
        </w:rPr>
        <w:t> </w:t>
      </w:r>
      <w:r>
        <w:rPr>
          <w:rFonts w:ascii="黑体" w:eastAsia="黑体" w:hint="eastAsia"/>
          <w:sz w:val="21"/>
        </w:rPr>
        <w:t>10</w:t>
      </w:r>
      <w:r>
        <w:rPr>
          <w:rFonts w:ascii="黑体" w:eastAsia="黑体" w:hint="eastAsia"/>
          <w:spacing w:val="-62"/>
          <w:sz w:val="21"/>
        </w:rPr>
        <w:t> </w:t>
      </w:r>
      <w:r>
        <w:rPr>
          <w:rFonts w:ascii="黑体" w:eastAsia="黑体" w:hint="eastAsia"/>
          <w:sz w:val="21"/>
        </w:rPr>
        <w:t>日内</w:t>
      </w:r>
    </w:p>
    <w:p>
      <w:pPr>
        <w:pStyle w:val="BodyText"/>
        <w:spacing w:line="237" w:lineRule="auto" w:before="1"/>
        <w:ind w:left="2800" w:right="220"/>
        <w:rPr>
          <w:rFonts w:ascii="黑体" w:eastAsia="黑体" w:hint="eastAsia"/>
        </w:rPr>
      </w:pPr>
      <w:r>
        <w:rPr>
          <w:rFonts w:ascii="黑体" w:eastAsia="黑体" w:hint="eastAsia"/>
          <w:spacing w:val="-4"/>
          <w:w w:val="95"/>
        </w:rPr>
        <w:t>通知本公司。故意或者因重大过失未及时通知，致使保险事故的性  </w:t>
      </w:r>
      <w:r>
        <w:rPr>
          <w:rFonts w:ascii="黑体" w:eastAsia="黑体" w:hint="eastAsia"/>
          <w:spacing w:val="-6"/>
          <w:w w:val="95"/>
        </w:rPr>
        <w:t>质、原因、损失程度等难以确定的，本公司对无法确定的部分不承  </w:t>
      </w:r>
      <w:r>
        <w:rPr>
          <w:rFonts w:ascii="黑体" w:eastAsia="黑体" w:hint="eastAsia"/>
          <w:spacing w:val="-9"/>
          <w:w w:val="95"/>
        </w:rPr>
        <w:t>担给付保险金的责任，但本公司通过其他途径已经及时知道或者应 </w:t>
      </w:r>
      <w:r>
        <w:rPr>
          <w:rFonts w:ascii="黑体" w:eastAsia="黑体" w:hint="eastAsia"/>
          <w:spacing w:val="-9"/>
        </w:rPr>
        <w:t>当及时知道保险事故发Th或者虽未及时通知但不影响本公司确定</w:t>
      </w:r>
      <w:r>
        <w:rPr>
          <w:rFonts w:ascii="黑体" w:eastAsia="黑体" w:hint="eastAsia"/>
          <w:spacing w:val="-9"/>
          <w:w w:val="95"/>
        </w:rPr>
        <w:t>保险事故的性质、原因、损失程度的除外。</w:t>
      </w:r>
    </w:p>
    <w:p>
      <w:pPr>
        <w:pStyle w:val="BodyText"/>
        <w:spacing w:before="58"/>
        <w:ind w:left="2800"/>
        <w:rPr>
          <w:rFonts w:ascii="黑体" w:eastAsia="黑体" w:hint="eastAsia"/>
        </w:rPr>
      </w:pPr>
      <w:r>
        <w:rPr>
          <w:rFonts w:ascii="黑体" w:eastAsia="黑体" w:hint="eastAsia"/>
          <w:w w:val="95"/>
        </w:rPr>
        <w:t>若投保人、被保险人或者受益人知道保险事故发Th后，未及时通知</w:t>
      </w:r>
    </w:p>
    <w:p>
      <w:pPr>
        <w:spacing w:after="0"/>
        <w:rPr>
          <w:rFonts w:ascii="黑体" w:eastAsia="黑体" w:hint="eastAsia"/>
        </w:rPr>
        <w:sectPr>
          <w:pgSz w:w="12240" w:h="15840"/>
          <w:pgMar w:top="1400" w:bottom="280" w:left="1580" w:right="1580"/>
        </w:sectPr>
      </w:pPr>
    </w:p>
    <w:p>
      <w:pPr>
        <w:pStyle w:val="BodyText"/>
        <w:spacing w:line="237" w:lineRule="auto" w:before="7"/>
        <w:ind w:left="2680" w:right="140"/>
        <w:jc w:val="both"/>
        <w:rPr>
          <w:rFonts w:ascii="黑体" w:eastAsia="黑体" w:hint="eastAsia"/>
        </w:rPr>
      </w:pPr>
      <w:r>
        <w:rPr>
          <w:rFonts w:ascii="黑体" w:eastAsia="黑体" w:hint="eastAsia"/>
          <w:spacing w:val="-5"/>
          <w:w w:val="95"/>
        </w:rPr>
        <w:t>本公司，且投保人要求解除本合同、减少被保险人或者减保导致本  </w:t>
      </w:r>
      <w:r>
        <w:rPr>
          <w:rFonts w:ascii="黑体" w:eastAsia="黑体" w:hint="eastAsia"/>
          <w:spacing w:val="-7"/>
          <w:w w:val="95"/>
        </w:rPr>
        <w:t>公司按本合同约定退还现金价值或保险费后，本公司按本合同约定  需给付保险金时，有权扣减已给付的数额。</w:t>
      </w:r>
    </w:p>
    <w:p>
      <w:pPr>
        <w:pStyle w:val="BodyText"/>
        <w:spacing w:before="10"/>
        <w:rPr>
          <w:rFonts w:ascii="黑体"/>
          <w:sz w:val="29"/>
        </w:rPr>
      </w:pPr>
    </w:p>
    <w:p>
      <w:pPr>
        <w:pStyle w:val="ListParagraph"/>
        <w:numPr>
          <w:ilvl w:val="1"/>
          <w:numId w:val="4"/>
        </w:numPr>
        <w:tabs>
          <w:tab w:pos="846" w:val="left" w:leader="none"/>
          <w:tab w:pos="847" w:val="left" w:leader="none"/>
          <w:tab w:pos="2679" w:val="left" w:leader="none"/>
        </w:tabs>
        <w:spacing w:line="240" w:lineRule="auto" w:before="0" w:after="0"/>
        <w:ind w:left="846" w:right="0" w:hanging="746"/>
        <w:jc w:val="left"/>
        <w:rPr>
          <w:sz w:val="21"/>
        </w:rPr>
      </w:pPr>
      <w:r>
        <w:rPr>
          <w:b/>
          <w:sz w:val="21"/>
        </w:rPr>
        <w:t>保险金申请</w:t>
        <w:tab/>
      </w:r>
      <w:r>
        <w:rPr>
          <w:w w:val="95"/>
          <w:sz w:val="21"/>
        </w:rPr>
        <w:t>在申请保险金时，请按照下列方式办理：</w:t>
      </w:r>
    </w:p>
    <w:p>
      <w:pPr>
        <w:pStyle w:val="BodyText"/>
        <w:spacing w:before="7"/>
        <w:rPr>
          <w:sz w:val="22"/>
        </w:rPr>
      </w:pPr>
    </w:p>
    <w:p>
      <w:pPr>
        <w:spacing w:after="0"/>
        <w:rPr>
          <w:sz w:val="22"/>
        </w:rPr>
        <w:sectPr>
          <w:pgSz w:w="12240" w:h="15840"/>
          <w:pgMar w:top="1400" w:bottom="280" w:left="1700" w:right="1660"/>
        </w:sectPr>
      </w:pPr>
    </w:p>
    <w:p>
      <w:pPr>
        <w:pStyle w:val="Heading2"/>
        <w:spacing w:line="237" w:lineRule="auto" w:before="37"/>
      </w:pPr>
      <w:r>
        <w:rPr>
          <w:w w:val="95"/>
        </w:rPr>
        <w:t>重大疾病保险金、轻症疾病保险金、轻症疾病豁免保费申请</w:t>
      </w:r>
    </w:p>
    <w:p>
      <w:pPr>
        <w:pStyle w:val="BodyText"/>
        <w:spacing w:before="35"/>
        <w:ind w:left="110" w:right="140"/>
      </w:pPr>
      <w:r>
        <w:rPr/>
        <w:br w:type="column"/>
      </w:r>
      <w:r>
        <w:rPr>
          <w:spacing w:val="-2"/>
          <w:w w:val="95"/>
        </w:rPr>
        <w:t>疾病保险金受益人作为申请人须填写领取保险金申请书，并须提供  下列证明和资料的原件：</w:t>
      </w:r>
    </w:p>
    <w:p>
      <w:pPr>
        <w:pStyle w:val="ListParagraph"/>
        <w:numPr>
          <w:ilvl w:val="0"/>
          <w:numId w:val="7"/>
        </w:numPr>
        <w:tabs>
          <w:tab w:pos="845" w:val="left" w:leader="none"/>
          <w:tab w:pos="846" w:val="left" w:leader="none"/>
        </w:tabs>
        <w:spacing w:line="240" w:lineRule="auto" w:before="56" w:after="0"/>
        <w:ind w:left="845" w:right="0" w:hanging="734"/>
        <w:jc w:val="left"/>
        <w:rPr>
          <w:sz w:val="21"/>
        </w:rPr>
      </w:pPr>
      <w:r>
        <w:rPr>
          <w:w w:val="95"/>
          <w:sz w:val="21"/>
        </w:rPr>
        <w:t>疾病保险金受益人的有效身份证件；</w:t>
      </w:r>
    </w:p>
    <w:p>
      <w:pPr>
        <w:pStyle w:val="ListParagraph"/>
        <w:numPr>
          <w:ilvl w:val="0"/>
          <w:numId w:val="7"/>
        </w:numPr>
        <w:tabs>
          <w:tab w:pos="845" w:val="left" w:leader="none"/>
          <w:tab w:pos="846" w:val="left" w:leader="none"/>
        </w:tabs>
        <w:spacing w:line="237" w:lineRule="auto" w:before="61" w:after="0"/>
        <w:ind w:left="845" w:right="140" w:hanging="734"/>
        <w:jc w:val="left"/>
        <w:rPr>
          <w:sz w:val="21"/>
        </w:rPr>
      </w:pPr>
      <w:r>
        <w:rPr>
          <w:sz w:val="21"/>
        </w:rPr>
        <w:t>由医院</w:t>
      </w:r>
      <w:r>
        <w:rPr>
          <w:b/>
          <w:spacing w:val="-11"/>
          <w:sz w:val="21"/>
        </w:rPr>
        <w:t>专科医生</w:t>
      </w:r>
      <w:r>
        <w:rPr>
          <w:sz w:val="21"/>
        </w:rPr>
        <w:t>（</w:t>
      </w:r>
      <w:r>
        <w:rPr>
          <w:spacing w:val="-30"/>
          <w:sz w:val="21"/>
        </w:rPr>
        <w:t>见 </w:t>
      </w:r>
      <w:r>
        <w:rPr>
          <w:spacing w:val="-8"/>
          <w:sz w:val="21"/>
        </w:rPr>
        <w:t>11.20）</w:t>
      </w:r>
      <w:r>
        <w:rPr>
          <w:sz w:val="21"/>
        </w:rPr>
        <w:t>出具的被保险人的疾病诊断证明书，以及由医院出具的与该疾病诊断证明书相关的病理</w:t>
      </w:r>
      <w:r>
        <w:rPr>
          <w:w w:val="95"/>
          <w:sz w:val="21"/>
        </w:rPr>
        <w:t>显微镜检查、血液检验及其他科学方法检验报告；</w:t>
      </w:r>
    </w:p>
    <w:p>
      <w:pPr>
        <w:pStyle w:val="ListParagraph"/>
        <w:numPr>
          <w:ilvl w:val="0"/>
          <w:numId w:val="7"/>
        </w:numPr>
        <w:tabs>
          <w:tab w:pos="845" w:val="left" w:leader="none"/>
          <w:tab w:pos="846" w:val="left" w:leader="none"/>
        </w:tabs>
        <w:spacing w:line="237" w:lineRule="auto" w:before="61" w:after="0"/>
        <w:ind w:left="845" w:right="217" w:hanging="734"/>
        <w:jc w:val="left"/>
        <w:rPr>
          <w:sz w:val="21"/>
        </w:rPr>
      </w:pPr>
      <w:r>
        <w:rPr>
          <w:w w:val="95"/>
          <w:sz w:val="21"/>
        </w:rPr>
        <w:t>所能提供的与确认保险事故的性质、原因等有关的其他证 明和资料。</w:t>
      </w:r>
    </w:p>
    <w:p>
      <w:pPr>
        <w:spacing w:after="0" w:line="237" w:lineRule="auto"/>
        <w:jc w:val="left"/>
        <w:rPr>
          <w:sz w:val="21"/>
        </w:rPr>
        <w:sectPr>
          <w:type w:val="continuous"/>
          <w:pgSz w:w="12240" w:h="15840"/>
          <w:pgMar w:top="900" w:bottom="280" w:left="1700" w:right="1660"/>
          <w:cols w:num="2" w:equalWidth="0">
            <w:col w:w="2530" w:space="40"/>
            <w:col w:w="6310"/>
          </w:cols>
        </w:sectPr>
      </w:pPr>
    </w:p>
    <w:p>
      <w:pPr>
        <w:pStyle w:val="BodyText"/>
        <w:spacing w:before="4"/>
        <w:rPr>
          <w:sz w:val="27"/>
        </w:rPr>
      </w:pPr>
    </w:p>
    <w:p>
      <w:pPr>
        <w:pStyle w:val="BodyText"/>
        <w:tabs>
          <w:tab w:pos="2679" w:val="left" w:leader="none"/>
        </w:tabs>
        <w:spacing w:line="237" w:lineRule="auto" w:before="37"/>
        <w:ind w:left="2680" w:right="140" w:hanging="1834"/>
      </w:pPr>
      <w:r>
        <w:rPr>
          <w:b/>
        </w:rPr>
        <w:t>身故保险金申请</w:t>
        <w:tab/>
      </w:r>
      <w:r>
        <w:rPr>
          <w:w w:val="95"/>
        </w:rPr>
        <w:t>身故保险金受益人作为申请人须填写领取保险金申请书</w:t>
      </w:r>
      <w:r>
        <w:rPr>
          <w:spacing w:val="-29"/>
          <w:w w:val="95"/>
        </w:rPr>
        <w:t>，</w:t>
      </w:r>
      <w:r>
        <w:rPr>
          <w:w w:val="95"/>
        </w:rPr>
        <w:t>并须提供   下列证明和资料的原件：</w:t>
      </w:r>
    </w:p>
    <w:p>
      <w:pPr>
        <w:pStyle w:val="ListParagraph"/>
        <w:numPr>
          <w:ilvl w:val="1"/>
          <w:numId w:val="7"/>
        </w:numPr>
        <w:tabs>
          <w:tab w:pos="3414" w:val="left" w:leader="none"/>
          <w:tab w:pos="3415" w:val="left" w:leader="none"/>
        </w:tabs>
        <w:spacing w:line="240" w:lineRule="auto" w:before="56" w:after="0"/>
        <w:ind w:left="3414" w:right="0" w:hanging="734"/>
        <w:jc w:val="left"/>
        <w:rPr>
          <w:sz w:val="21"/>
        </w:rPr>
      </w:pPr>
      <w:r>
        <w:rPr>
          <w:w w:val="95"/>
          <w:sz w:val="21"/>
        </w:rPr>
        <w:t>身故保险金受益人的有效身份证件；</w:t>
      </w:r>
    </w:p>
    <w:p>
      <w:pPr>
        <w:pStyle w:val="ListParagraph"/>
        <w:numPr>
          <w:ilvl w:val="1"/>
          <w:numId w:val="7"/>
        </w:numPr>
        <w:tabs>
          <w:tab w:pos="3414" w:val="left" w:leader="none"/>
          <w:tab w:pos="3415" w:val="left" w:leader="none"/>
        </w:tabs>
        <w:spacing w:line="237" w:lineRule="auto" w:before="61" w:after="0"/>
        <w:ind w:left="3414" w:right="217" w:hanging="734"/>
        <w:jc w:val="left"/>
        <w:rPr>
          <w:sz w:val="21"/>
        </w:rPr>
      </w:pPr>
      <w:r>
        <w:rPr>
          <w:w w:val="95"/>
          <w:sz w:val="21"/>
        </w:rPr>
        <w:t>国务院卫生行政部门规定的医疗机构、公安部门或者其他 有权机构出具的被保险人的死亡证明；</w:t>
      </w:r>
    </w:p>
    <w:p>
      <w:pPr>
        <w:pStyle w:val="ListParagraph"/>
        <w:numPr>
          <w:ilvl w:val="1"/>
          <w:numId w:val="7"/>
        </w:numPr>
        <w:tabs>
          <w:tab w:pos="3414" w:val="left" w:leader="none"/>
          <w:tab w:pos="3415" w:val="left" w:leader="none"/>
        </w:tabs>
        <w:spacing w:line="237" w:lineRule="auto" w:before="61" w:after="0"/>
        <w:ind w:left="3414" w:right="217" w:hanging="734"/>
        <w:jc w:val="left"/>
        <w:rPr>
          <w:sz w:val="21"/>
        </w:rPr>
      </w:pPr>
      <w:r>
        <w:rPr>
          <w:w w:val="95"/>
          <w:sz w:val="21"/>
        </w:rPr>
        <w:t>所能提供的与确认保险事故的性质、原因等有关的其他证 明和资料。</w:t>
      </w:r>
    </w:p>
    <w:p>
      <w:pPr>
        <w:pStyle w:val="BodyText"/>
        <w:spacing w:before="2"/>
        <w:rPr>
          <w:sz w:val="27"/>
        </w:rPr>
      </w:pPr>
    </w:p>
    <w:p>
      <w:pPr>
        <w:spacing w:after="0"/>
        <w:rPr>
          <w:sz w:val="27"/>
        </w:rPr>
        <w:sectPr>
          <w:type w:val="continuous"/>
          <w:pgSz w:w="12240" w:h="15840"/>
          <w:pgMar w:top="900" w:bottom="280" w:left="1700" w:right="1660"/>
        </w:sectPr>
      </w:pPr>
    </w:p>
    <w:p>
      <w:pPr>
        <w:pStyle w:val="Heading2"/>
        <w:spacing w:line="237" w:lineRule="auto" w:before="37"/>
      </w:pPr>
      <w:r>
        <w:rPr>
          <w:w w:val="95"/>
        </w:rPr>
        <w:t>身故保险金分期领取选择权</w:t>
      </w:r>
    </w:p>
    <w:p>
      <w:pPr>
        <w:pStyle w:val="BodyText"/>
        <w:spacing w:line="237" w:lineRule="auto" w:before="37"/>
        <w:ind w:left="319" w:right="140"/>
        <w:jc w:val="both"/>
      </w:pPr>
      <w:r>
        <w:rPr/>
        <w:br w:type="column"/>
      </w:r>
      <w:r>
        <w:rPr>
          <w:spacing w:val="-3"/>
          <w:w w:val="95"/>
        </w:rPr>
        <w:t>受益人在领取身故保险金时，可以一次性领取，或者与本公司签订  </w:t>
      </w:r>
      <w:r>
        <w:rPr>
          <w:spacing w:val="-6"/>
          <w:w w:val="95"/>
        </w:rPr>
        <w:t>转换年金保险合同，将应领取的保险金作为一次交清的保险费购买  </w:t>
      </w:r>
      <w:r>
        <w:rPr>
          <w:spacing w:val="-8"/>
          <w:w w:val="95"/>
        </w:rPr>
        <w:t>转换年金保险。转换年金保险的领取金额按照购买时本公司提供的  年金领取标准确定。</w:t>
      </w:r>
    </w:p>
    <w:p>
      <w:pPr>
        <w:spacing w:after="0" w:line="237" w:lineRule="auto"/>
        <w:jc w:val="both"/>
        <w:sectPr>
          <w:type w:val="continuous"/>
          <w:pgSz w:w="12240" w:h="15840"/>
          <w:pgMar w:top="900" w:bottom="280" w:left="1700" w:right="1660"/>
          <w:cols w:num="2" w:equalWidth="0">
            <w:col w:w="2321" w:space="40"/>
            <w:col w:w="6519"/>
          </w:cols>
        </w:sectPr>
      </w:pPr>
    </w:p>
    <w:p>
      <w:pPr>
        <w:pStyle w:val="BodyText"/>
        <w:spacing w:before="9"/>
        <w:rPr>
          <w:sz w:val="22"/>
        </w:rPr>
      </w:pPr>
    </w:p>
    <w:p>
      <w:pPr>
        <w:pStyle w:val="BodyText"/>
        <w:tabs>
          <w:tab w:pos="2679" w:val="left" w:leader="none"/>
        </w:tabs>
        <w:spacing w:line="237" w:lineRule="auto" w:before="38"/>
        <w:ind w:left="2680" w:right="140" w:hanging="1834"/>
      </w:pPr>
      <w:r>
        <w:rPr>
          <w:b/>
        </w:rPr>
        <w:t>特别注意事项</w:t>
        <w:tab/>
      </w:r>
      <w:r>
        <w:rPr>
          <w:w w:val="95"/>
        </w:rPr>
        <w:t>以上证明和资料不完整的</w:t>
      </w:r>
      <w:r>
        <w:rPr>
          <w:spacing w:val="-29"/>
          <w:w w:val="95"/>
        </w:rPr>
        <w:t>，</w:t>
      </w:r>
      <w:r>
        <w:rPr>
          <w:w w:val="95"/>
        </w:rPr>
        <w:t>本公司将及时一次性通知受益人补充提   供有关的证明和资料。</w:t>
      </w:r>
    </w:p>
    <w:p>
      <w:pPr>
        <w:pStyle w:val="BodyText"/>
        <w:ind w:left="2680" w:right="140"/>
      </w:pPr>
      <w:r>
        <w:rPr>
          <w:spacing w:val="-3"/>
          <w:w w:val="95"/>
        </w:rPr>
        <w:t>委托他人领取保险金时，受托人还必须提供本人的有效身份证件及  委托人亲笔签名的授权委托书。</w:t>
      </w:r>
    </w:p>
    <w:p>
      <w:pPr>
        <w:pStyle w:val="BodyText"/>
        <w:ind w:left="2680" w:right="140"/>
      </w:pPr>
      <w:r>
        <w:rPr>
          <w:spacing w:val="-3"/>
          <w:w w:val="95"/>
        </w:rPr>
        <w:t>保险金作为被保险人遗产时，继承人还必须提供可证明其合法继承  权的相关权利文件。</w:t>
      </w:r>
    </w:p>
    <w:p>
      <w:pPr>
        <w:pStyle w:val="BodyText"/>
        <w:spacing w:line="237" w:lineRule="auto" w:before="59"/>
        <w:ind w:left="2680" w:right="110"/>
      </w:pPr>
      <w:r>
        <w:rPr>
          <w:w w:val="95"/>
        </w:rPr>
        <w:t>受益人或者继承人为无民事行为能力人或限制民事行为能力人时， </w:t>
      </w:r>
      <w:r>
        <w:rPr>
          <w:spacing w:val="-2"/>
        </w:rPr>
        <w:t>由其合法监护人代其申请领取保险金，其合法监护人还必须提供受益人或者继承人为无民事行为能力人或限制民事行为能力人的证 </w:t>
      </w:r>
      <w:r>
        <w:rPr>
          <w:spacing w:val="-2"/>
          <w:w w:val="95"/>
        </w:rPr>
        <w:t>明和监护人具有合法监护权的证明。</w:t>
      </w:r>
    </w:p>
    <w:p>
      <w:pPr>
        <w:pStyle w:val="BodyText"/>
        <w:spacing w:line="237" w:lineRule="auto" w:before="59"/>
        <w:ind w:left="2680" w:right="140"/>
        <w:jc w:val="both"/>
        <w:rPr>
          <w:rFonts w:ascii="黑体" w:eastAsia="黑体" w:hint="eastAsia"/>
        </w:rPr>
      </w:pPr>
      <w:r>
        <w:rPr>
          <w:rFonts w:ascii="黑体" w:eastAsia="黑体" w:hint="eastAsia"/>
          <w:spacing w:val="-2"/>
          <w:w w:val="95"/>
        </w:rPr>
        <w:t>如果疾病保险金受益人已向本公司书面申领重大疾病保险金，但在  </w:t>
      </w:r>
      <w:r>
        <w:rPr>
          <w:rFonts w:ascii="黑体" w:eastAsia="黑体" w:hint="eastAsia"/>
          <w:spacing w:val="-4"/>
          <w:w w:val="95"/>
        </w:rPr>
        <w:t>实际领取重大疾病保险金前被保险人身故的，本公司仅承担向疾病  </w:t>
      </w:r>
      <w:r>
        <w:rPr>
          <w:rFonts w:ascii="黑体" w:eastAsia="黑体" w:hint="eastAsia"/>
          <w:spacing w:val="-6"/>
          <w:w w:val="95"/>
        </w:rPr>
        <w:t>保险金受益人给付重大疾病保险金的责任，不再承担给付身故保险  金的责任。</w:t>
      </w:r>
    </w:p>
    <w:p>
      <w:pPr>
        <w:pStyle w:val="BodyText"/>
        <w:ind w:left="2680"/>
        <w:rPr>
          <w:rFonts w:ascii="黑体" w:eastAsia="黑体" w:hint="eastAsia"/>
        </w:rPr>
      </w:pPr>
      <w:r>
        <w:rPr>
          <w:rFonts w:ascii="黑体" w:eastAsia="黑体" w:hint="eastAsia"/>
          <w:w w:val="95"/>
        </w:rPr>
        <w:t>如果疾病保险金受益人在提出申领重大疾病保险金书面申请之前</w:t>
      </w:r>
    </w:p>
    <w:p>
      <w:pPr>
        <w:spacing w:after="0"/>
        <w:rPr>
          <w:rFonts w:ascii="黑体" w:eastAsia="黑体" w:hint="eastAsia"/>
        </w:rPr>
        <w:sectPr>
          <w:type w:val="continuous"/>
          <w:pgSz w:w="12240" w:h="15840"/>
          <w:pgMar w:top="900" w:bottom="280" w:left="1700" w:right="16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853"/>
        <w:gridCol w:w="6362"/>
      </w:tblGrid>
      <w:tr>
        <w:trPr>
          <w:trHeight w:val="951" w:hRule="atLeast"/>
        </w:trPr>
        <w:tc>
          <w:tcPr>
            <w:tcW w:w="2493" w:type="dxa"/>
            <w:gridSpan w:val="2"/>
          </w:tcPr>
          <w:p>
            <w:pPr>
              <w:pStyle w:val="TableParagraph"/>
              <w:rPr>
                <w:rFonts w:ascii="Times New Roman"/>
                <w:sz w:val="20"/>
              </w:rPr>
            </w:pPr>
          </w:p>
        </w:tc>
        <w:tc>
          <w:tcPr>
            <w:tcW w:w="6362" w:type="dxa"/>
          </w:tcPr>
          <w:p>
            <w:pPr>
              <w:pStyle w:val="TableParagraph"/>
              <w:spacing w:line="199" w:lineRule="exact"/>
              <w:ind w:left="195"/>
              <w:rPr>
                <w:rFonts w:ascii="黑体" w:eastAsia="黑体" w:hint="eastAsia"/>
                <w:sz w:val="21"/>
              </w:rPr>
            </w:pPr>
            <w:r>
              <w:rPr>
                <w:rFonts w:ascii="黑体" w:eastAsia="黑体" w:hint="eastAsia"/>
                <w:w w:val="95"/>
                <w:sz w:val="21"/>
              </w:rPr>
              <w:t>被保险人已经身故，身故保险金受益人向本公司书面申领身故保险</w:t>
            </w:r>
          </w:p>
          <w:p>
            <w:pPr>
              <w:pStyle w:val="TableParagraph"/>
              <w:spacing w:line="237" w:lineRule="auto" w:before="2"/>
              <w:ind w:left="195" w:right="77"/>
              <w:rPr>
                <w:rFonts w:ascii="黑体" w:eastAsia="黑体" w:hint="eastAsia"/>
                <w:sz w:val="21"/>
              </w:rPr>
            </w:pPr>
            <w:r>
              <w:rPr>
                <w:rFonts w:ascii="黑体" w:eastAsia="黑体" w:hint="eastAsia"/>
                <w:w w:val="95"/>
                <w:sz w:val="21"/>
              </w:rPr>
              <w:t>金的，本公司仅承担向身故保险金受益人给付身故保险金的责任，  不再承担给付重大疾病保险金的责任。</w:t>
            </w:r>
          </w:p>
        </w:tc>
      </w:tr>
      <w:tr>
        <w:trPr>
          <w:trHeight w:val="1286" w:hRule="atLeast"/>
        </w:trPr>
        <w:tc>
          <w:tcPr>
            <w:tcW w:w="640" w:type="dxa"/>
          </w:tcPr>
          <w:p>
            <w:pPr>
              <w:pStyle w:val="TableParagraph"/>
              <w:spacing w:before="122"/>
              <w:ind w:left="108"/>
              <w:rPr>
                <w:b/>
                <w:sz w:val="21"/>
              </w:rPr>
            </w:pPr>
            <w:r>
              <w:rPr>
                <w:b/>
                <w:sz w:val="21"/>
              </w:rPr>
              <w:t>3.4</w:t>
            </w:r>
          </w:p>
        </w:tc>
        <w:tc>
          <w:tcPr>
            <w:tcW w:w="1853" w:type="dxa"/>
          </w:tcPr>
          <w:p>
            <w:pPr>
              <w:pStyle w:val="TableParagraph"/>
              <w:spacing w:before="122"/>
              <w:ind w:left="214"/>
              <w:rPr>
                <w:b/>
                <w:sz w:val="21"/>
              </w:rPr>
            </w:pPr>
            <w:r>
              <w:rPr>
                <w:b/>
                <w:w w:val="95"/>
                <w:sz w:val="21"/>
              </w:rPr>
              <w:t>保险金给付</w:t>
            </w:r>
          </w:p>
        </w:tc>
        <w:tc>
          <w:tcPr>
            <w:tcW w:w="6362" w:type="dxa"/>
          </w:tcPr>
          <w:p>
            <w:pPr>
              <w:pStyle w:val="TableParagraph"/>
              <w:spacing w:before="122"/>
              <w:ind w:left="195" w:right="63"/>
              <w:rPr>
                <w:sz w:val="21"/>
              </w:rPr>
            </w:pPr>
            <w:r>
              <w:rPr>
                <w:w w:val="95"/>
                <w:sz w:val="21"/>
              </w:rPr>
              <w:t>本公司在收到领取保险金申请书及本合同约定的证明和资料后，将 </w:t>
            </w:r>
            <w:r>
              <w:rPr>
                <w:sz w:val="21"/>
              </w:rPr>
              <w:t>在 5 日内作出核定；情形复杂的，在 30 日内作出核定。对属于保</w:t>
            </w:r>
          </w:p>
          <w:p>
            <w:pPr>
              <w:pStyle w:val="TableParagraph"/>
              <w:ind w:left="195" w:right="181"/>
              <w:rPr>
                <w:sz w:val="21"/>
              </w:rPr>
            </w:pPr>
            <w:r>
              <w:rPr>
                <w:spacing w:val="-3"/>
                <w:sz w:val="21"/>
              </w:rPr>
              <w:t>险责任的，本公司在与受益人达成给付保险金的协议后 </w:t>
            </w:r>
            <w:r>
              <w:rPr>
                <w:sz w:val="21"/>
              </w:rPr>
              <w:t>10</w:t>
            </w:r>
            <w:r>
              <w:rPr>
                <w:spacing w:val="-15"/>
                <w:sz w:val="21"/>
              </w:rPr>
              <w:t> 日内， </w:t>
            </w:r>
            <w:r>
              <w:rPr>
                <w:spacing w:val="-15"/>
                <w:w w:val="95"/>
                <w:sz w:val="21"/>
              </w:rPr>
              <w:t>履行给付保险金义务。</w:t>
            </w:r>
          </w:p>
        </w:tc>
      </w:tr>
      <w:tr>
        <w:trPr>
          <w:trHeight w:val="1148" w:hRule="atLeast"/>
        </w:trPr>
        <w:tc>
          <w:tcPr>
            <w:tcW w:w="640" w:type="dxa"/>
          </w:tcPr>
          <w:p>
            <w:pPr>
              <w:pStyle w:val="TableParagraph"/>
              <w:rPr>
                <w:rFonts w:ascii="Times New Roman"/>
                <w:sz w:val="20"/>
              </w:rPr>
            </w:pPr>
          </w:p>
        </w:tc>
        <w:tc>
          <w:tcPr>
            <w:tcW w:w="1853" w:type="dxa"/>
          </w:tcPr>
          <w:p>
            <w:pPr>
              <w:pStyle w:val="TableParagraph"/>
              <w:rPr>
                <w:rFonts w:ascii="Times New Roman"/>
                <w:sz w:val="20"/>
              </w:rPr>
            </w:pPr>
          </w:p>
        </w:tc>
        <w:tc>
          <w:tcPr>
            <w:tcW w:w="6362" w:type="dxa"/>
          </w:tcPr>
          <w:p>
            <w:pPr>
              <w:pStyle w:val="TableParagraph"/>
              <w:spacing w:line="237" w:lineRule="auto"/>
              <w:ind w:left="195" w:right="107"/>
              <w:jc w:val="both"/>
              <w:rPr>
                <w:sz w:val="21"/>
              </w:rPr>
            </w:pPr>
            <w:r>
              <w:rPr>
                <w:spacing w:val="-2"/>
                <w:w w:val="95"/>
                <w:sz w:val="21"/>
              </w:rPr>
              <w:t>本公司未及时履行前款规定的义务的，对属于保险责任的，除支付  </w:t>
            </w:r>
            <w:r>
              <w:rPr>
                <w:spacing w:val="-6"/>
                <w:w w:val="95"/>
                <w:sz w:val="21"/>
              </w:rPr>
              <w:t>保险金外，应当赔偿受益人因此受到的利息损失。利息按照本公司  </w:t>
            </w:r>
            <w:r>
              <w:rPr>
                <w:spacing w:val="-9"/>
                <w:w w:val="95"/>
                <w:sz w:val="21"/>
              </w:rPr>
              <w:t>确定的利率按单利计算，且本公司确定的利率不低于中国人民银行  公布的金融机构人民币活期存款基准利率。</w:t>
            </w:r>
          </w:p>
        </w:tc>
      </w:tr>
      <w:tr>
        <w:trPr>
          <w:trHeight w:val="604" w:hRule="atLeast"/>
        </w:trPr>
        <w:tc>
          <w:tcPr>
            <w:tcW w:w="640" w:type="dxa"/>
          </w:tcPr>
          <w:p>
            <w:pPr>
              <w:pStyle w:val="TableParagraph"/>
              <w:rPr>
                <w:rFonts w:ascii="Times New Roman"/>
                <w:sz w:val="20"/>
              </w:rPr>
            </w:pPr>
          </w:p>
        </w:tc>
        <w:tc>
          <w:tcPr>
            <w:tcW w:w="1853" w:type="dxa"/>
          </w:tcPr>
          <w:p>
            <w:pPr>
              <w:pStyle w:val="TableParagraph"/>
              <w:rPr>
                <w:rFonts w:ascii="Times New Roman"/>
                <w:sz w:val="20"/>
              </w:rPr>
            </w:pPr>
          </w:p>
        </w:tc>
        <w:tc>
          <w:tcPr>
            <w:tcW w:w="6362" w:type="dxa"/>
          </w:tcPr>
          <w:p>
            <w:pPr>
              <w:pStyle w:val="TableParagraph"/>
              <w:spacing w:line="237" w:lineRule="auto"/>
              <w:ind w:left="195" w:right="107"/>
              <w:rPr>
                <w:sz w:val="21"/>
              </w:rPr>
            </w:pPr>
            <w:r>
              <w:rPr>
                <w:spacing w:val="-6"/>
                <w:sz w:val="21"/>
              </w:rPr>
              <w:t>对不属于保险责任的，本公司自作出核定之日起 </w:t>
            </w:r>
            <w:r>
              <w:rPr>
                <w:sz w:val="21"/>
              </w:rPr>
              <w:t>3</w:t>
            </w:r>
            <w:r>
              <w:rPr>
                <w:spacing w:val="-9"/>
                <w:sz w:val="21"/>
              </w:rPr>
              <w:t> 日内向受益人发</w:t>
            </w:r>
            <w:r>
              <w:rPr>
                <w:spacing w:val="-9"/>
                <w:w w:val="95"/>
                <w:sz w:val="21"/>
              </w:rPr>
              <w:t>出拒绝给付保险金通知书并说明理由。</w:t>
            </w:r>
          </w:p>
        </w:tc>
      </w:tr>
      <w:tr>
        <w:trPr>
          <w:trHeight w:val="1315" w:hRule="atLeast"/>
        </w:trPr>
        <w:tc>
          <w:tcPr>
            <w:tcW w:w="640" w:type="dxa"/>
          </w:tcPr>
          <w:p>
            <w:pPr>
              <w:pStyle w:val="TableParagraph"/>
              <w:rPr>
                <w:rFonts w:ascii="Times New Roman"/>
                <w:sz w:val="20"/>
              </w:rPr>
            </w:pPr>
          </w:p>
        </w:tc>
        <w:tc>
          <w:tcPr>
            <w:tcW w:w="1853" w:type="dxa"/>
          </w:tcPr>
          <w:p>
            <w:pPr>
              <w:pStyle w:val="TableParagraph"/>
              <w:rPr>
                <w:rFonts w:ascii="Times New Roman"/>
                <w:sz w:val="20"/>
              </w:rPr>
            </w:pPr>
          </w:p>
        </w:tc>
        <w:tc>
          <w:tcPr>
            <w:tcW w:w="6362" w:type="dxa"/>
          </w:tcPr>
          <w:p>
            <w:pPr>
              <w:pStyle w:val="TableParagraph"/>
              <w:spacing w:line="237" w:lineRule="auto"/>
              <w:ind w:left="195" w:right="1"/>
              <w:rPr>
                <w:sz w:val="21"/>
              </w:rPr>
            </w:pPr>
            <w:r>
              <w:rPr>
                <w:spacing w:val="-3"/>
                <w:sz w:val="21"/>
              </w:rPr>
              <w:t>本公司在收到领取保险金申请书及有关证明和资料之日起 </w:t>
            </w:r>
            <w:r>
              <w:rPr>
                <w:sz w:val="21"/>
              </w:rPr>
              <w:t>60</w:t>
            </w:r>
            <w:r>
              <w:rPr>
                <w:spacing w:val="-20"/>
                <w:sz w:val="21"/>
              </w:rPr>
              <w:t> 日内， </w:t>
            </w:r>
            <w:r>
              <w:rPr>
                <w:spacing w:val="-18"/>
                <w:sz w:val="21"/>
              </w:rPr>
              <w:t>对给付保险金的数额不能确定的，根据已有证明和资料可以确定的</w:t>
            </w:r>
            <w:r>
              <w:rPr>
                <w:spacing w:val="-13"/>
                <w:sz w:val="21"/>
              </w:rPr>
              <w:t>数额先予支付；本公司最终确定给付保险金的数额后，将支付相应</w:t>
            </w:r>
            <w:r>
              <w:rPr>
                <w:spacing w:val="-13"/>
                <w:w w:val="95"/>
                <w:sz w:val="21"/>
              </w:rPr>
              <w:t>的差额。</w:t>
            </w:r>
          </w:p>
        </w:tc>
      </w:tr>
      <w:tr>
        <w:trPr>
          <w:trHeight w:val="2843" w:hRule="atLeast"/>
        </w:trPr>
        <w:tc>
          <w:tcPr>
            <w:tcW w:w="640" w:type="dxa"/>
          </w:tcPr>
          <w:p>
            <w:pPr>
              <w:pStyle w:val="TableParagraph"/>
              <w:spacing w:before="152"/>
              <w:ind w:left="108"/>
              <w:rPr>
                <w:b/>
                <w:sz w:val="21"/>
              </w:rPr>
            </w:pPr>
            <w:r>
              <w:rPr>
                <w:b/>
                <w:sz w:val="21"/>
              </w:rPr>
              <w:t>3.5</w:t>
            </w:r>
          </w:p>
        </w:tc>
        <w:tc>
          <w:tcPr>
            <w:tcW w:w="1853" w:type="dxa"/>
          </w:tcPr>
          <w:p>
            <w:pPr>
              <w:pStyle w:val="TableParagraph"/>
              <w:spacing w:before="152"/>
              <w:ind w:left="214"/>
              <w:rPr>
                <w:b/>
                <w:sz w:val="21"/>
              </w:rPr>
            </w:pPr>
            <w:r>
              <w:rPr>
                <w:b/>
                <w:w w:val="95"/>
                <w:sz w:val="21"/>
              </w:rPr>
              <w:t>宣告死亡处理</w:t>
            </w:r>
          </w:p>
        </w:tc>
        <w:tc>
          <w:tcPr>
            <w:tcW w:w="6362" w:type="dxa"/>
          </w:tcPr>
          <w:p>
            <w:pPr>
              <w:pStyle w:val="TableParagraph"/>
              <w:spacing w:line="237" w:lineRule="auto" w:before="155"/>
              <w:ind w:left="195" w:right="107"/>
              <w:jc w:val="both"/>
              <w:rPr>
                <w:sz w:val="21"/>
              </w:rPr>
            </w:pPr>
            <w:r>
              <w:rPr>
                <w:spacing w:val="-3"/>
                <w:w w:val="95"/>
                <w:sz w:val="21"/>
              </w:rPr>
              <w:t>在本合同有效期内，如果被保险人被法院宣告死亡，本公司以法院  </w:t>
            </w:r>
            <w:r>
              <w:rPr>
                <w:spacing w:val="-5"/>
                <w:w w:val="95"/>
                <w:sz w:val="21"/>
              </w:rPr>
              <w:t>判决宣告之日作为被保险人的死亡时间，按本合同的约定给付身故  保险金，本公司对该被保险人承担的保险责任终止。</w:t>
            </w:r>
          </w:p>
          <w:p>
            <w:pPr>
              <w:pStyle w:val="TableParagraph"/>
              <w:spacing w:line="237" w:lineRule="auto" w:before="1"/>
              <w:ind w:left="195" w:right="107"/>
              <w:jc w:val="both"/>
              <w:rPr>
                <w:sz w:val="21"/>
              </w:rPr>
            </w:pPr>
            <w:r>
              <w:rPr>
                <w:spacing w:val="-2"/>
                <w:w w:val="95"/>
                <w:sz w:val="21"/>
              </w:rPr>
              <w:t>如果被保险人被宣告死亡之日在其保险期间之外，但有证据证明下  </w:t>
            </w:r>
            <w:r>
              <w:rPr>
                <w:spacing w:val="-4"/>
                <w:w w:val="95"/>
                <w:sz w:val="21"/>
              </w:rPr>
              <w:t>落不明之日在其保险期间之内，本公司按本合同约定给付身故保险  </w:t>
            </w:r>
            <w:r>
              <w:rPr>
                <w:spacing w:val="-1"/>
                <w:w w:val="95"/>
                <w:sz w:val="21"/>
              </w:rPr>
              <w:t>金。</w:t>
            </w:r>
          </w:p>
          <w:p>
            <w:pPr>
              <w:pStyle w:val="TableParagraph"/>
              <w:spacing w:line="237" w:lineRule="auto" w:before="1"/>
              <w:ind w:left="195" w:right="77"/>
              <w:jc w:val="both"/>
              <w:rPr>
                <w:sz w:val="21"/>
              </w:rPr>
            </w:pPr>
            <w:r>
              <w:rPr>
                <w:spacing w:val="-2"/>
                <w:sz w:val="21"/>
              </w:rPr>
              <w:t>如果被保险人在宣告死亡后重新出现或者确知其没有死亡，身故保</w:t>
            </w:r>
            <w:r>
              <w:rPr>
                <w:spacing w:val="-2"/>
                <w:w w:val="95"/>
                <w:sz w:val="21"/>
              </w:rPr>
              <w:t>险金受益人应在知道后30日内向本公司退还已领取的身故保险金，  在前述情形下，本合同的效力依法确定。</w:t>
            </w:r>
          </w:p>
        </w:tc>
      </w:tr>
      <w:tr>
        <w:trPr>
          <w:trHeight w:val="939" w:hRule="atLeast"/>
        </w:trPr>
        <w:tc>
          <w:tcPr>
            <w:tcW w:w="640" w:type="dxa"/>
          </w:tcPr>
          <w:p>
            <w:pPr>
              <w:pStyle w:val="TableParagraph"/>
              <w:spacing w:before="152"/>
              <w:ind w:left="108"/>
              <w:rPr>
                <w:b/>
                <w:sz w:val="21"/>
              </w:rPr>
            </w:pPr>
            <w:r>
              <w:rPr>
                <w:b/>
                <w:sz w:val="21"/>
              </w:rPr>
              <w:t>3.6</w:t>
            </w:r>
          </w:p>
        </w:tc>
        <w:tc>
          <w:tcPr>
            <w:tcW w:w="1853" w:type="dxa"/>
          </w:tcPr>
          <w:p>
            <w:pPr>
              <w:pStyle w:val="TableParagraph"/>
              <w:spacing w:before="152"/>
              <w:ind w:left="214"/>
              <w:rPr>
                <w:b/>
                <w:sz w:val="21"/>
              </w:rPr>
            </w:pPr>
            <w:r>
              <w:rPr>
                <w:b/>
                <w:w w:val="95"/>
                <w:sz w:val="21"/>
              </w:rPr>
              <w:t>诉讼时效</w:t>
            </w:r>
          </w:p>
        </w:tc>
        <w:tc>
          <w:tcPr>
            <w:tcW w:w="6362" w:type="dxa"/>
          </w:tcPr>
          <w:p>
            <w:pPr>
              <w:pStyle w:val="TableParagraph"/>
              <w:spacing w:line="237" w:lineRule="auto" w:before="155"/>
              <w:ind w:left="195" w:right="107"/>
              <w:rPr>
                <w:sz w:val="21"/>
              </w:rPr>
            </w:pPr>
            <w:r>
              <w:rPr>
                <w:spacing w:val="-3"/>
                <w:sz w:val="21"/>
              </w:rPr>
              <w:t>权利人向本公司申请给付保险金的诉讼时效期间为 </w:t>
            </w:r>
            <w:r>
              <w:rPr>
                <w:sz w:val="21"/>
              </w:rPr>
              <w:t>5</w:t>
            </w:r>
            <w:r>
              <w:rPr>
                <w:spacing w:val="-14"/>
                <w:sz w:val="21"/>
              </w:rPr>
              <w:t> 年，自其知道</w:t>
            </w:r>
            <w:r>
              <w:rPr>
                <w:spacing w:val="-14"/>
                <w:w w:val="95"/>
                <w:sz w:val="21"/>
              </w:rPr>
              <w:t>或者应当知道保险事故发生之日起计算。</w:t>
            </w:r>
          </w:p>
        </w:tc>
      </w:tr>
      <w:tr>
        <w:trPr>
          <w:trHeight w:val="505" w:hRule="atLeast"/>
        </w:trPr>
        <w:tc>
          <w:tcPr>
            <w:tcW w:w="640" w:type="dxa"/>
            <w:tcBorders>
              <w:bottom w:val="single" w:sz="12" w:space="0" w:color="000000"/>
            </w:tcBorders>
          </w:tcPr>
          <w:p>
            <w:pPr>
              <w:pStyle w:val="TableParagraph"/>
              <w:spacing w:before="147"/>
              <w:ind w:left="108"/>
              <w:rPr>
                <w:b/>
                <w:sz w:val="24"/>
              </w:rPr>
            </w:pPr>
            <w:r>
              <w:rPr>
                <w:b/>
                <w:sz w:val="24"/>
              </w:rPr>
              <w:t>4.</w:t>
            </w:r>
          </w:p>
        </w:tc>
        <w:tc>
          <w:tcPr>
            <w:tcW w:w="1853" w:type="dxa"/>
            <w:tcBorders>
              <w:bottom w:val="single" w:sz="12" w:space="0" w:color="000000"/>
            </w:tcBorders>
          </w:tcPr>
          <w:p>
            <w:pPr>
              <w:pStyle w:val="TableParagraph"/>
              <w:spacing w:before="147"/>
              <w:ind w:left="214"/>
              <w:rPr>
                <w:b/>
                <w:sz w:val="24"/>
              </w:rPr>
            </w:pPr>
            <w:r>
              <w:rPr>
                <w:b/>
                <w:w w:val="95"/>
                <w:sz w:val="24"/>
              </w:rPr>
              <w:t>保险费的交纳</w:t>
            </w:r>
          </w:p>
        </w:tc>
        <w:tc>
          <w:tcPr>
            <w:tcW w:w="6362" w:type="dxa"/>
            <w:tcBorders>
              <w:bottom w:val="single" w:sz="12" w:space="0" w:color="000000"/>
            </w:tcBorders>
          </w:tcPr>
          <w:p>
            <w:pPr>
              <w:pStyle w:val="TableParagraph"/>
              <w:rPr>
                <w:rFonts w:ascii="Times New Roman"/>
                <w:sz w:val="20"/>
              </w:rPr>
            </w:pPr>
          </w:p>
        </w:tc>
      </w:tr>
      <w:tr>
        <w:trPr>
          <w:trHeight w:val="966" w:hRule="atLeast"/>
        </w:trPr>
        <w:tc>
          <w:tcPr>
            <w:tcW w:w="640" w:type="dxa"/>
            <w:tcBorders>
              <w:top w:val="single" w:sz="12" w:space="0" w:color="000000"/>
            </w:tcBorders>
          </w:tcPr>
          <w:p>
            <w:pPr>
              <w:pStyle w:val="TableParagraph"/>
              <w:spacing w:before="7"/>
              <w:rPr>
                <w:rFonts w:ascii="黑体"/>
                <w:sz w:val="26"/>
              </w:rPr>
            </w:pPr>
          </w:p>
          <w:p>
            <w:pPr>
              <w:pStyle w:val="TableParagraph"/>
              <w:spacing w:before="1"/>
              <w:ind w:left="108"/>
              <w:rPr>
                <w:b/>
                <w:sz w:val="21"/>
              </w:rPr>
            </w:pPr>
            <w:r>
              <w:rPr>
                <w:b/>
                <w:sz w:val="21"/>
              </w:rPr>
              <w:t>4.1</w:t>
            </w:r>
          </w:p>
        </w:tc>
        <w:tc>
          <w:tcPr>
            <w:tcW w:w="1853" w:type="dxa"/>
            <w:tcBorders>
              <w:top w:val="single" w:sz="12" w:space="0" w:color="000000"/>
            </w:tcBorders>
          </w:tcPr>
          <w:p>
            <w:pPr>
              <w:pStyle w:val="TableParagraph"/>
              <w:spacing w:before="7"/>
              <w:rPr>
                <w:rFonts w:ascii="黑体"/>
                <w:sz w:val="26"/>
              </w:rPr>
            </w:pPr>
          </w:p>
          <w:p>
            <w:pPr>
              <w:pStyle w:val="TableParagraph"/>
              <w:spacing w:before="1"/>
              <w:ind w:left="214"/>
              <w:rPr>
                <w:b/>
                <w:sz w:val="21"/>
              </w:rPr>
            </w:pPr>
            <w:r>
              <w:rPr>
                <w:b/>
                <w:w w:val="95"/>
                <w:sz w:val="21"/>
              </w:rPr>
              <w:t>保险费的交纳</w:t>
            </w:r>
          </w:p>
        </w:tc>
        <w:tc>
          <w:tcPr>
            <w:tcW w:w="6362" w:type="dxa"/>
            <w:tcBorders>
              <w:top w:val="single" w:sz="12" w:space="0" w:color="000000"/>
            </w:tcBorders>
          </w:tcPr>
          <w:p>
            <w:pPr>
              <w:pStyle w:val="TableParagraph"/>
              <w:spacing w:before="10"/>
              <w:rPr>
                <w:rFonts w:ascii="黑体"/>
                <w:sz w:val="26"/>
              </w:rPr>
            </w:pPr>
          </w:p>
          <w:p>
            <w:pPr>
              <w:pStyle w:val="TableParagraph"/>
              <w:spacing w:line="237" w:lineRule="auto"/>
              <w:ind w:left="195" w:right="107"/>
              <w:rPr>
                <w:sz w:val="21"/>
              </w:rPr>
            </w:pPr>
            <w:r>
              <w:rPr>
                <w:spacing w:val="-2"/>
                <w:w w:val="95"/>
                <w:sz w:val="21"/>
              </w:rPr>
              <w:t>本合同的交费方式和交费期间由投保人在投保时与本公司约定，并  在保险单上载明。</w:t>
            </w:r>
          </w:p>
        </w:tc>
      </w:tr>
      <w:tr>
        <w:trPr>
          <w:trHeight w:val="606" w:hRule="atLeast"/>
        </w:trPr>
        <w:tc>
          <w:tcPr>
            <w:tcW w:w="640" w:type="dxa"/>
          </w:tcPr>
          <w:p>
            <w:pPr>
              <w:pStyle w:val="TableParagraph"/>
              <w:rPr>
                <w:rFonts w:ascii="Times New Roman"/>
                <w:sz w:val="20"/>
              </w:rPr>
            </w:pPr>
          </w:p>
        </w:tc>
        <w:tc>
          <w:tcPr>
            <w:tcW w:w="1853" w:type="dxa"/>
          </w:tcPr>
          <w:p>
            <w:pPr>
              <w:pStyle w:val="TableParagraph"/>
              <w:rPr>
                <w:rFonts w:ascii="Times New Roman"/>
                <w:sz w:val="20"/>
              </w:rPr>
            </w:pPr>
          </w:p>
        </w:tc>
        <w:tc>
          <w:tcPr>
            <w:tcW w:w="6362" w:type="dxa"/>
          </w:tcPr>
          <w:p>
            <w:pPr>
              <w:pStyle w:val="TableParagraph"/>
              <w:spacing w:line="274" w:lineRule="exact" w:before="13"/>
              <w:ind w:left="195" w:right="107"/>
              <w:rPr>
                <w:sz w:val="21"/>
              </w:rPr>
            </w:pPr>
            <w:r>
              <w:rPr>
                <w:spacing w:val="-2"/>
                <w:w w:val="95"/>
                <w:sz w:val="21"/>
              </w:rPr>
              <w:t>被保险人的保险费金额根据投保时被保险人年龄、性别、基本保险  金额、健康状况、保险费交费方式和交费期间等因素确定。</w:t>
            </w:r>
          </w:p>
        </w:tc>
      </w:tr>
      <w:tr>
        <w:trPr>
          <w:trHeight w:val="770" w:hRule="atLeast"/>
        </w:trPr>
        <w:tc>
          <w:tcPr>
            <w:tcW w:w="640" w:type="dxa"/>
          </w:tcPr>
          <w:p>
            <w:pPr>
              <w:pStyle w:val="TableParagraph"/>
              <w:rPr>
                <w:rFonts w:ascii="Times New Roman"/>
                <w:sz w:val="20"/>
              </w:rPr>
            </w:pPr>
          </w:p>
        </w:tc>
        <w:tc>
          <w:tcPr>
            <w:tcW w:w="1853" w:type="dxa"/>
          </w:tcPr>
          <w:p>
            <w:pPr>
              <w:pStyle w:val="TableParagraph"/>
              <w:rPr>
                <w:rFonts w:ascii="Times New Roman"/>
                <w:sz w:val="20"/>
              </w:rPr>
            </w:pPr>
          </w:p>
        </w:tc>
        <w:tc>
          <w:tcPr>
            <w:tcW w:w="6362" w:type="dxa"/>
          </w:tcPr>
          <w:p>
            <w:pPr>
              <w:pStyle w:val="TableParagraph"/>
              <w:spacing w:line="237" w:lineRule="auto"/>
              <w:ind w:left="195" w:right="107"/>
              <w:rPr>
                <w:sz w:val="21"/>
              </w:rPr>
            </w:pPr>
            <w:r>
              <w:rPr>
                <w:spacing w:val="-3"/>
                <w:w w:val="95"/>
                <w:sz w:val="21"/>
              </w:rPr>
              <w:t>分期支付保险费的，在交纳首期保险费后，其余各期的保险费应当  在每个保险费约定交纳日交纳。</w:t>
            </w:r>
          </w:p>
        </w:tc>
      </w:tr>
      <w:tr>
        <w:trPr>
          <w:trHeight w:val="709" w:hRule="atLeast"/>
        </w:trPr>
        <w:tc>
          <w:tcPr>
            <w:tcW w:w="640" w:type="dxa"/>
          </w:tcPr>
          <w:p>
            <w:pPr>
              <w:pStyle w:val="TableParagraph"/>
              <w:spacing w:before="153"/>
              <w:ind w:left="108"/>
              <w:rPr>
                <w:b/>
                <w:sz w:val="21"/>
              </w:rPr>
            </w:pPr>
            <w:r>
              <w:rPr>
                <w:b/>
                <w:sz w:val="21"/>
              </w:rPr>
              <w:t>4.2</w:t>
            </w:r>
          </w:p>
        </w:tc>
        <w:tc>
          <w:tcPr>
            <w:tcW w:w="1853" w:type="dxa"/>
          </w:tcPr>
          <w:p>
            <w:pPr>
              <w:pStyle w:val="TableParagraph"/>
              <w:spacing w:before="153"/>
              <w:ind w:left="214"/>
              <w:rPr>
                <w:b/>
                <w:sz w:val="21"/>
              </w:rPr>
            </w:pPr>
            <w:r>
              <w:rPr>
                <w:b/>
                <w:w w:val="95"/>
                <w:sz w:val="21"/>
              </w:rPr>
              <w:t>宽限期</w:t>
            </w:r>
          </w:p>
        </w:tc>
        <w:tc>
          <w:tcPr>
            <w:tcW w:w="6362" w:type="dxa"/>
          </w:tcPr>
          <w:p>
            <w:pPr>
              <w:pStyle w:val="TableParagraph"/>
              <w:spacing w:line="273" w:lineRule="exact" w:before="153"/>
              <w:ind w:left="195"/>
              <w:rPr>
                <w:sz w:val="21"/>
              </w:rPr>
            </w:pPr>
            <w:r>
              <w:rPr>
                <w:w w:val="95"/>
                <w:sz w:val="21"/>
              </w:rPr>
              <w:t>如果投保人到期未交纳保险费，自保险费约定交纳日的次日零时起</w:t>
            </w:r>
          </w:p>
          <w:p>
            <w:pPr>
              <w:pStyle w:val="TableParagraph"/>
              <w:spacing w:line="263" w:lineRule="exact"/>
              <w:ind w:left="195"/>
              <w:rPr>
                <w:sz w:val="21"/>
              </w:rPr>
            </w:pPr>
            <w:r>
              <w:rPr>
                <w:sz w:val="21"/>
              </w:rPr>
              <w:t>60</w:t>
            </w:r>
            <w:r>
              <w:rPr>
                <w:spacing w:val="-9"/>
                <w:sz w:val="21"/>
              </w:rPr>
              <w:t> 日为保险费交纳的宽限期。宽限期内被保险人发生的保险事故，</w:t>
            </w:r>
          </w:p>
        </w:tc>
      </w:tr>
    </w:tbl>
    <w:p>
      <w:pPr>
        <w:spacing w:after="0" w:line="263" w:lineRule="exact"/>
        <w:rPr>
          <w:sz w:val="21"/>
        </w:rPr>
        <w:sectPr>
          <w:pgSz w:w="12240" w:h="15840"/>
          <w:pgMar w:top="1480" w:bottom="280" w:left="1580" w:right="1580"/>
        </w:sectPr>
      </w:pPr>
    </w:p>
    <w:p>
      <w:pPr>
        <w:pStyle w:val="BodyText"/>
        <w:spacing w:before="4"/>
        <w:ind w:left="2800" w:right="149"/>
      </w:pPr>
      <w:r>
        <w:rPr/>
        <w:t>本公司仍承担保险责任，但在给付保险金时会扣除相应的欠交保险</w:t>
      </w:r>
      <w:r>
        <w:rPr>
          <w:w w:val="95"/>
        </w:rPr>
        <w:t>费，其数额以本合同项下该被保险人当期应交的保险费数额为准。</w:t>
      </w:r>
    </w:p>
    <w:p>
      <w:pPr>
        <w:pStyle w:val="BodyText"/>
        <w:ind w:left="2800" w:right="281"/>
        <w:rPr>
          <w:rFonts w:ascii="黑体" w:eastAsia="黑体" w:hint="eastAsia"/>
        </w:rPr>
      </w:pPr>
      <w:r>
        <w:rPr>
          <w:rFonts w:ascii="黑体" w:eastAsia="黑体" w:hint="eastAsia"/>
        </w:rPr>
        <w:t>如果投保人在宽限期内未交纳保险费，则本合同自宽限期满的 24 </w:t>
      </w:r>
      <w:r>
        <w:rPr>
          <w:rFonts w:ascii="黑体" w:eastAsia="黑体" w:hint="eastAsia"/>
          <w:w w:val="95"/>
        </w:rPr>
        <w:t>时起效力中止，但本合同另有约定的除外。</w:t>
      </w:r>
    </w:p>
    <w:p>
      <w:pPr>
        <w:pStyle w:val="BodyText"/>
        <w:spacing w:before="4"/>
        <w:rPr>
          <w:rFonts w:ascii="黑体"/>
          <w:sz w:val="27"/>
        </w:rPr>
      </w:pPr>
    </w:p>
    <w:p>
      <w:pPr>
        <w:pStyle w:val="Heading1"/>
        <w:numPr>
          <w:ilvl w:val="0"/>
          <w:numId w:val="8"/>
        </w:numPr>
        <w:tabs>
          <w:tab w:pos="966" w:val="left" w:leader="none"/>
          <w:tab w:pos="967" w:val="left" w:leader="none"/>
        </w:tabs>
        <w:spacing w:line="240" w:lineRule="auto" w:before="26" w:after="0"/>
        <w:ind w:left="966" w:right="0" w:hanging="746"/>
        <w:jc w:val="left"/>
      </w:pPr>
      <w:r>
        <w:rPr/>
        <w:pict>
          <v:line style="position:absolute;mso-position-horizontal-relative:page;mso-position-vertical-relative:paragraph;z-index:1096;mso-wrap-distance-left:0;mso-wrap-distance-right:0" from="84.599998pt,19.595598pt" to="527.399998pt,19.595598pt" stroked="true" strokeweight="1.44pt" strokecolor="#000000">
            <v:stroke dashstyle="solid"/>
            <w10:wrap type="topAndBottom"/>
          </v:line>
        </w:pict>
      </w:r>
      <w:r>
        <w:rPr>
          <w:w w:val="95"/>
        </w:rPr>
        <w:t>现金价值权益</w:t>
      </w:r>
    </w:p>
    <w:p>
      <w:pPr>
        <w:pStyle w:val="BodyText"/>
        <w:spacing w:before="3"/>
        <w:rPr>
          <w:b/>
          <w:sz w:val="25"/>
        </w:rPr>
      </w:pPr>
    </w:p>
    <w:p>
      <w:pPr>
        <w:pStyle w:val="ListParagraph"/>
        <w:numPr>
          <w:ilvl w:val="1"/>
          <w:numId w:val="8"/>
        </w:numPr>
        <w:tabs>
          <w:tab w:pos="967" w:val="left" w:leader="none"/>
        </w:tabs>
        <w:spacing w:line="237" w:lineRule="auto" w:before="1" w:after="0"/>
        <w:ind w:left="2800" w:right="220" w:hanging="2580"/>
        <w:jc w:val="both"/>
        <w:rPr>
          <w:rFonts w:ascii="黑体" w:eastAsia="黑体" w:hint="eastAsia"/>
          <w:sz w:val="21"/>
        </w:rPr>
      </w:pPr>
      <w:r>
        <w:rPr>
          <w:b/>
          <w:spacing w:val="0"/>
          <w:sz w:val="21"/>
        </w:rPr>
        <w:t>现金价值        </w:t>
      </w:r>
      <w:r>
        <w:rPr>
          <w:rFonts w:ascii="黑体" w:eastAsia="黑体" w:hint="eastAsia"/>
          <w:spacing w:val="-2"/>
          <w:sz w:val="21"/>
        </w:rPr>
        <w:t>本合同保单年度末的现金价值会在本合同上载明，保单年度内本合</w:t>
      </w:r>
      <w:r>
        <w:rPr>
          <w:rFonts w:ascii="黑体" w:eastAsia="黑体" w:hint="eastAsia"/>
          <w:spacing w:val="-4"/>
          <w:w w:val="95"/>
          <w:sz w:val="21"/>
        </w:rPr>
        <w:t>同的现金价值及本合同项下各被保险人对应的现金价值，投保人可  以向本公司咨询。</w:t>
      </w:r>
    </w:p>
    <w:p>
      <w:pPr>
        <w:pStyle w:val="BodyText"/>
        <w:spacing w:before="10"/>
        <w:rPr>
          <w:rFonts w:ascii="黑体"/>
          <w:sz w:val="29"/>
        </w:rPr>
      </w:pPr>
    </w:p>
    <w:p>
      <w:pPr>
        <w:pStyle w:val="ListParagraph"/>
        <w:numPr>
          <w:ilvl w:val="1"/>
          <w:numId w:val="8"/>
        </w:numPr>
        <w:tabs>
          <w:tab w:pos="966" w:val="left" w:leader="none"/>
          <w:tab w:pos="967" w:val="left" w:leader="none"/>
          <w:tab w:pos="2799" w:val="left" w:leader="none"/>
        </w:tabs>
        <w:spacing w:line="273" w:lineRule="exact" w:before="0" w:after="0"/>
        <w:ind w:left="2800" w:right="0" w:hanging="2580"/>
        <w:jc w:val="left"/>
        <w:rPr>
          <w:sz w:val="21"/>
        </w:rPr>
      </w:pPr>
      <w:r>
        <w:rPr>
          <w:b/>
          <w:sz w:val="21"/>
        </w:rPr>
        <w:t>减保</w:t>
        <w:tab/>
      </w:r>
      <w:r>
        <w:rPr>
          <w:w w:val="95"/>
          <w:sz w:val="21"/>
        </w:rPr>
        <w:t>被保险人未发生保险事故的前提下，投保人可在犹豫期后申请减</w:t>
      </w:r>
    </w:p>
    <w:p>
      <w:pPr>
        <w:spacing w:before="0"/>
        <w:ind w:left="2800" w:right="114" w:firstLine="0"/>
        <w:jc w:val="left"/>
        <w:rPr>
          <w:rFonts w:ascii="黑体" w:eastAsia="黑体" w:hint="eastAsia"/>
          <w:sz w:val="21"/>
        </w:rPr>
      </w:pPr>
      <w:r>
        <w:rPr>
          <w:spacing w:val="-5"/>
          <w:sz w:val="21"/>
        </w:rPr>
        <w:t>保，将该被保险人项下的基本保险金额和保险费按比例减少，并领取</w:t>
      </w:r>
      <w:r>
        <w:rPr>
          <w:b/>
          <w:spacing w:val="-5"/>
          <w:sz w:val="21"/>
        </w:rPr>
        <w:t>与基本保险金额减少部分相对应的现金价值</w:t>
      </w:r>
      <w:r>
        <w:rPr>
          <w:spacing w:val="-25"/>
          <w:sz w:val="21"/>
        </w:rPr>
        <w:t>(见 </w:t>
      </w:r>
      <w:r>
        <w:rPr>
          <w:sz w:val="21"/>
        </w:rPr>
        <w:t>11.21)</w:t>
      </w:r>
      <w:r>
        <w:rPr>
          <w:spacing w:val="-97"/>
          <w:sz w:val="21"/>
        </w:rPr>
        <w:t>。</w:t>
      </w:r>
      <w:r>
        <w:rPr>
          <w:rFonts w:ascii="黑体" w:eastAsia="黑体" w:hint="eastAsia"/>
          <w:sz w:val="21"/>
        </w:rPr>
        <w:t>减保后， </w:t>
      </w:r>
      <w:r>
        <w:rPr>
          <w:rFonts w:ascii="黑体" w:eastAsia="黑体" w:hint="eastAsia"/>
          <w:w w:val="95"/>
          <w:sz w:val="21"/>
        </w:rPr>
        <w:t>基本保险金额和保险费需符合本公司的规定。</w:t>
      </w:r>
    </w:p>
    <w:p>
      <w:pPr>
        <w:pStyle w:val="BodyText"/>
        <w:spacing w:line="237" w:lineRule="auto" w:before="61"/>
        <w:ind w:left="2800" w:right="281"/>
        <w:rPr>
          <w:rFonts w:ascii="黑体" w:eastAsia="黑体" w:hint="eastAsia"/>
        </w:rPr>
      </w:pPr>
      <w:r>
        <w:rPr>
          <w:rFonts w:ascii="黑体" w:eastAsia="黑体" w:hint="eastAsia"/>
        </w:rPr>
        <w:t>本合同第 2.4 条约定的保险责任根据减保后的基本保险金额和保</w:t>
      </w:r>
      <w:r>
        <w:rPr>
          <w:rFonts w:ascii="黑体" w:eastAsia="黑体" w:hint="eastAsia"/>
          <w:w w:val="95"/>
        </w:rPr>
        <w:t>险费进行计算。</w:t>
      </w:r>
    </w:p>
    <w:p>
      <w:pPr>
        <w:pStyle w:val="BodyText"/>
        <w:spacing w:before="12"/>
        <w:rPr>
          <w:rFonts w:ascii="黑体"/>
          <w:sz w:val="29"/>
        </w:rPr>
      </w:pPr>
    </w:p>
    <w:p>
      <w:pPr>
        <w:pStyle w:val="ListParagraph"/>
        <w:numPr>
          <w:ilvl w:val="1"/>
          <w:numId w:val="8"/>
        </w:numPr>
        <w:tabs>
          <w:tab w:pos="966" w:val="left" w:leader="none"/>
          <w:tab w:pos="967" w:val="left" w:leader="none"/>
          <w:tab w:pos="2799" w:val="left" w:leader="none"/>
        </w:tabs>
        <w:spacing w:line="273" w:lineRule="exact" w:before="0" w:after="0"/>
        <w:ind w:left="2800" w:right="0" w:hanging="2580"/>
        <w:jc w:val="left"/>
        <w:rPr>
          <w:sz w:val="21"/>
        </w:rPr>
      </w:pPr>
      <w:r>
        <w:rPr>
          <w:b/>
          <w:sz w:val="21"/>
        </w:rPr>
        <w:t>减额交清</w:t>
        <w:tab/>
      </w:r>
      <w:r>
        <w:rPr>
          <w:w w:val="95"/>
          <w:sz w:val="21"/>
        </w:rPr>
        <w:t>投保人可在犹豫期后且宽限期满前申请对本合同项下某一被保险</w:t>
      </w:r>
    </w:p>
    <w:p>
      <w:pPr>
        <w:pStyle w:val="BodyText"/>
        <w:spacing w:line="237" w:lineRule="auto" w:before="0"/>
        <w:ind w:left="2800" w:right="220"/>
      </w:pPr>
      <w:r>
        <w:rPr>
          <w:spacing w:val="-4"/>
          <w:w w:val="95"/>
        </w:rPr>
        <w:t>人进行减额交清。即如果投保人决定不再为该被保险人支付对应的  </w:t>
      </w:r>
      <w:r>
        <w:rPr>
          <w:spacing w:val="-7"/>
          <w:w w:val="95"/>
        </w:rPr>
        <w:t>续期保险费，本公司将以宽限期开始前一日本合同项下该被保险人 </w:t>
      </w:r>
      <w:r>
        <w:rPr>
          <w:spacing w:val="-7"/>
        </w:rPr>
        <w:t>对应的现金价值扣除其对应的尚未偿还的各项欠款之后的余额作</w:t>
      </w:r>
      <w:r>
        <w:rPr>
          <w:spacing w:val="-1"/>
          <w:w w:val="99"/>
        </w:rPr>
        <w:t>为其一次性交清的</w:t>
      </w:r>
      <w:r>
        <w:rPr>
          <w:b/>
          <w:spacing w:val="-10"/>
          <w:w w:val="99"/>
        </w:rPr>
        <w:t>净保险费</w:t>
      </w:r>
      <w:r>
        <w:rPr>
          <w:spacing w:val="-1"/>
          <w:w w:val="99"/>
        </w:rPr>
        <w:t>（</w:t>
      </w:r>
      <w:r>
        <w:rPr>
          <w:w w:val="99"/>
        </w:rPr>
        <w:t>见</w:t>
      </w:r>
      <w:r>
        <w:rPr/>
        <w:t> </w:t>
      </w:r>
      <w:r>
        <w:rPr>
          <w:spacing w:val="0"/>
          <w:w w:val="99"/>
        </w:rPr>
        <w:t>11.</w:t>
      </w:r>
      <w:r>
        <w:rPr>
          <w:spacing w:val="-2"/>
          <w:w w:val="99"/>
        </w:rPr>
        <w:t>2</w:t>
      </w:r>
      <w:r>
        <w:rPr>
          <w:spacing w:val="0"/>
          <w:w w:val="99"/>
        </w:rPr>
        <w:t>2</w:t>
      </w:r>
      <w:r>
        <w:rPr>
          <w:spacing w:val="-106"/>
          <w:w w:val="99"/>
        </w:rPr>
        <w:t>）</w:t>
      </w:r>
      <w:r>
        <w:rPr>
          <w:spacing w:val="-6"/>
          <w:w w:val="99"/>
        </w:rPr>
        <w:t>，重新计算该被保险人的基</w:t>
      </w:r>
      <w:r>
        <w:rPr>
          <w:spacing w:val="-6"/>
          <w:w w:val="95"/>
        </w:rPr>
        <w:t>本保险金额。</w:t>
      </w:r>
    </w:p>
    <w:p>
      <w:pPr>
        <w:pStyle w:val="BodyText"/>
        <w:spacing w:line="237" w:lineRule="auto" w:before="61"/>
        <w:ind w:left="2800" w:right="190"/>
        <w:jc w:val="both"/>
      </w:pPr>
      <w:r>
        <w:rPr>
          <w:w w:val="95"/>
        </w:rPr>
        <w:t>减额交清后，本合同项下该被保险人的基本保险金额会相应减少。  投保人不需要按减额交清前约定的数额为该被保险人支付保险费， </w:t>
      </w:r>
      <w:r>
        <w:rPr>
          <w:spacing w:val="-2"/>
        </w:rPr>
        <w:t>本公司按减额交清后约定的基本保险金额，继续承担对该被保险人</w:t>
      </w:r>
      <w:r>
        <w:rPr>
          <w:spacing w:val="-2"/>
          <w:w w:val="95"/>
        </w:rPr>
        <w:t>的保险责任。</w:t>
      </w:r>
    </w:p>
    <w:p>
      <w:pPr>
        <w:pStyle w:val="BodyText"/>
        <w:spacing w:before="6"/>
        <w:rPr>
          <w:sz w:val="29"/>
        </w:rPr>
      </w:pPr>
    </w:p>
    <w:p>
      <w:pPr>
        <w:pStyle w:val="Heading1"/>
        <w:numPr>
          <w:ilvl w:val="0"/>
          <w:numId w:val="8"/>
        </w:numPr>
        <w:tabs>
          <w:tab w:pos="966" w:val="left" w:leader="none"/>
          <w:tab w:pos="967" w:val="left" w:leader="none"/>
        </w:tabs>
        <w:spacing w:line="240" w:lineRule="auto" w:before="0" w:after="0"/>
        <w:ind w:left="966" w:right="0" w:hanging="746"/>
        <w:jc w:val="left"/>
      </w:pPr>
      <w:r>
        <w:rPr/>
        <w:pict>
          <v:line style="position:absolute;mso-position-horizontal-relative:page;mso-position-vertical-relative:paragraph;z-index:1120;mso-wrap-distance-left:0;mso-wrap-distance-right:0" from="84.599998pt,18.185614pt" to="527.399998pt,18.185614pt" stroked="true" strokeweight="1.44pt" strokecolor="#000000">
            <v:stroke dashstyle="solid"/>
            <w10:wrap type="topAndBottom"/>
          </v:line>
        </w:pict>
      </w:r>
      <w:r>
        <w:rPr>
          <w:w w:val="95"/>
        </w:rPr>
        <w:t>合同效力的中止及恢复</w:t>
      </w:r>
    </w:p>
    <w:p>
      <w:pPr>
        <w:pStyle w:val="BodyText"/>
        <w:spacing w:before="0"/>
        <w:rPr>
          <w:b/>
          <w:sz w:val="25"/>
        </w:rPr>
      </w:pPr>
    </w:p>
    <w:p>
      <w:pPr>
        <w:pStyle w:val="ListParagraph"/>
        <w:numPr>
          <w:ilvl w:val="1"/>
          <w:numId w:val="8"/>
        </w:numPr>
        <w:tabs>
          <w:tab w:pos="966" w:val="left" w:leader="none"/>
          <w:tab w:pos="967" w:val="left" w:leader="none"/>
          <w:tab w:pos="2799" w:val="left" w:leader="none"/>
        </w:tabs>
        <w:spacing w:line="240" w:lineRule="auto" w:before="1" w:after="0"/>
        <w:ind w:left="2800" w:right="0" w:hanging="2580"/>
        <w:jc w:val="left"/>
        <w:rPr>
          <w:rFonts w:ascii="黑体" w:eastAsia="黑体" w:hint="eastAsia"/>
          <w:sz w:val="21"/>
        </w:rPr>
      </w:pPr>
      <w:r>
        <w:rPr>
          <w:b/>
          <w:sz w:val="21"/>
        </w:rPr>
        <w:t>效力中止</w:t>
        <w:tab/>
      </w:r>
      <w:r>
        <w:rPr>
          <w:rFonts w:ascii="黑体" w:eastAsia="黑体" w:hint="eastAsia"/>
          <w:w w:val="95"/>
          <w:sz w:val="21"/>
        </w:rPr>
        <w:t>在本合同效力中止期间，本公司不承担保险责任。</w:t>
      </w:r>
    </w:p>
    <w:p>
      <w:pPr>
        <w:pStyle w:val="BodyText"/>
        <w:spacing w:before="0"/>
        <w:rPr>
          <w:rFonts w:ascii="黑体"/>
          <w:sz w:val="20"/>
        </w:rPr>
      </w:pPr>
    </w:p>
    <w:p>
      <w:pPr>
        <w:pStyle w:val="ListParagraph"/>
        <w:numPr>
          <w:ilvl w:val="1"/>
          <w:numId w:val="8"/>
        </w:numPr>
        <w:tabs>
          <w:tab w:pos="967" w:val="left" w:leader="none"/>
        </w:tabs>
        <w:spacing w:line="237" w:lineRule="auto" w:before="133" w:after="0"/>
        <w:ind w:left="2800" w:right="217" w:hanging="2580"/>
        <w:jc w:val="both"/>
        <w:rPr>
          <w:sz w:val="21"/>
        </w:rPr>
      </w:pPr>
      <w:r>
        <w:rPr>
          <w:b/>
          <w:spacing w:val="0"/>
          <w:sz w:val="21"/>
        </w:rPr>
        <w:t>效力恢复        </w:t>
      </w:r>
      <w:r>
        <w:rPr>
          <w:spacing w:val="-5"/>
          <w:sz w:val="21"/>
        </w:rPr>
        <w:t>本合同效力中止之日起 </w:t>
      </w:r>
      <w:r>
        <w:rPr>
          <w:sz w:val="21"/>
        </w:rPr>
        <w:t>2</w:t>
      </w:r>
      <w:r>
        <w:rPr>
          <w:spacing w:val="-10"/>
          <w:sz w:val="21"/>
        </w:rPr>
        <w:t> 年内，投保人可以申请恢复合同效力。经</w:t>
      </w:r>
      <w:r>
        <w:rPr>
          <w:spacing w:val="-12"/>
          <w:w w:val="95"/>
          <w:sz w:val="21"/>
        </w:rPr>
        <w:t>投保人与本公司协商并达成协议，自投保人补交保险费之日起，本  合同效力恢复。</w:t>
      </w:r>
    </w:p>
    <w:p>
      <w:pPr>
        <w:pStyle w:val="BodyText"/>
        <w:spacing w:line="237" w:lineRule="auto" w:before="61"/>
        <w:ind w:left="2800" w:right="220"/>
        <w:jc w:val="both"/>
      </w:pPr>
      <w:r>
        <w:rPr>
          <w:spacing w:val="-5"/>
        </w:rPr>
        <w:t>自本合同效力中止之日起满 </w:t>
      </w:r>
      <w:r>
        <w:rPr/>
        <w:t>2</w:t>
      </w:r>
      <w:r>
        <w:rPr>
          <w:spacing w:val="-10"/>
        </w:rPr>
        <w:t> 年投保人和本公司未达成协议的，本</w:t>
      </w:r>
      <w:r>
        <w:rPr>
          <w:spacing w:val="-11"/>
          <w:w w:val="95"/>
        </w:rPr>
        <w:t>公司有权解除本合同，本合同自解除之日起终止。本公司解除合同  的，本公司向投保人退还本合同中止时的现金价值。</w:t>
      </w:r>
    </w:p>
    <w:p>
      <w:pPr>
        <w:pStyle w:val="BodyText"/>
        <w:spacing w:before="6"/>
        <w:rPr>
          <w:sz w:val="29"/>
        </w:rPr>
      </w:pPr>
    </w:p>
    <w:p>
      <w:pPr>
        <w:pStyle w:val="Heading1"/>
        <w:numPr>
          <w:ilvl w:val="0"/>
          <w:numId w:val="8"/>
        </w:numPr>
        <w:tabs>
          <w:tab w:pos="966" w:val="left" w:leader="none"/>
          <w:tab w:pos="967" w:val="left" w:leader="none"/>
        </w:tabs>
        <w:spacing w:line="240" w:lineRule="auto" w:before="0" w:after="0"/>
        <w:ind w:left="966" w:right="0" w:hanging="746"/>
        <w:jc w:val="left"/>
      </w:pPr>
      <w:r>
        <w:rPr/>
        <w:pict>
          <v:line style="position:absolute;mso-position-horizontal-relative:page;mso-position-vertical-relative:paragraph;z-index:1144;mso-wrap-distance-left:0;mso-wrap-distance-right:0" from="84.599998pt,18.195623pt" to="527.399998pt,18.195623pt" stroked="true" strokeweight="1.44pt" strokecolor="#000000">
            <v:stroke dashstyle="solid"/>
            <w10:wrap type="topAndBottom"/>
          </v:line>
        </w:pict>
      </w:r>
      <w:r>
        <w:rPr>
          <w:w w:val="95"/>
        </w:rPr>
        <w:t>合同解除</w:t>
      </w:r>
    </w:p>
    <w:p>
      <w:pPr>
        <w:spacing w:after="0" w:line="240" w:lineRule="auto"/>
        <w:jc w:val="left"/>
        <w:sectPr>
          <w:pgSz w:w="12240" w:h="15840"/>
          <w:pgMar w:top="1400" w:bottom="280" w:left="1580" w:right="1580"/>
        </w:sectPr>
      </w:pPr>
    </w:p>
    <w:p>
      <w:pPr>
        <w:pStyle w:val="Heading2"/>
        <w:numPr>
          <w:ilvl w:val="1"/>
          <w:numId w:val="8"/>
        </w:numPr>
        <w:tabs>
          <w:tab w:pos="966" w:val="left" w:leader="none"/>
          <w:tab w:pos="967" w:val="left" w:leader="none"/>
        </w:tabs>
        <w:spacing w:line="274" w:lineRule="exact" w:before="64" w:after="0"/>
        <w:ind w:left="966" w:right="0" w:hanging="746"/>
        <w:jc w:val="left"/>
      </w:pPr>
      <w:r>
        <w:rPr>
          <w:w w:val="95"/>
        </w:rPr>
        <w:t>投保人解除合同</w:t>
      </w:r>
    </w:p>
    <w:p>
      <w:pPr>
        <w:spacing w:line="274" w:lineRule="exact" w:before="0"/>
        <w:ind w:left="966" w:right="0" w:firstLine="0"/>
        <w:jc w:val="left"/>
        <w:rPr>
          <w:b/>
          <w:sz w:val="21"/>
        </w:rPr>
      </w:pPr>
      <w:r>
        <w:rPr>
          <w:b/>
          <w:w w:val="95"/>
          <w:sz w:val="21"/>
        </w:rPr>
        <w:t>的手续及风险</w:t>
      </w:r>
    </w:p>
    <w:p>
      <w:pPr>
        <w:pStyle w:val="BodyText"/>
        <w:spacing w:before="4"/>
        <w:ind w:left="220" w:right="190"/>
      </w:pPr>
      <w:r>
        <w:rPr/>
        <w:br w:type="column"/>
      </w:r>
      <w:r>
        <w:rPr>
          <w:w w:val="95"/>
        </w:rPr>
        <w:t>如果投保人在犹豫期后要求解除本合同，且投保人不为自然人的，  需填写保单变更申请书并向本公司提供下列资料的原件：</w:t>
      </w:r>
    </w:p>
    <w:p>
      <w:pPr>
        <w:pStyle w:val="ListParagraph"/>
        <w:numPr>
          <w:ilvl w:val="0"/>
          <w:numId w:val="9"/>
        </w:numPr>
        <w:tabs>
          <w:tab w:pos="1059" w:val="left" w:leader="none"/>
          <w:tab w:pos="1060" w:val="left" w:leader="none"/>
        </w:tabs>
        <w:spacing w:line="271" w:lineRule="exact" w:before="0" w:after="0"/>
        <w:ind w:left="1060" w:right="0" w:hanging="840"/>
        <w:jc w:val="left"/>
        <w:rPr>
          <w:sz w:val="21"/>
        </w:rPr>
      </w:pPr>
      <w:r>
        <w:rPr>
          <w:w w:val="95"/>
          <w:sz w:val="21"/>
        </w:rPr>
        <w:t>本合同；</w:t>
      </w:r>
    </w:p>
    <w:p>
      <w:pPr>
        <w:pStyle w:val="ListParagraph"/>
        <w:numPr>
          <w:ilvl w:val="0"/>
          <w:numId w:val="9"/>
        </w:numPr>
        <w:tabs>
          <w:tab w:pos="1059" w:val="left" w:leader="none"/>
          <w:tab w:pos="1060" w:val="left" w:leader="none"/>
        </w:tabs>
        <w:spacing w:line="272" w:lineRule="exact" w:before="0" w:after="0"/>
        <w:ind w:left="1060" w:right="0" w:hanging="840"/>
        <w:jc w:val="left"/>
        <w:rPr>
          <w:sz w:val="21"/>
        </w:rPr>
      </w:pPr>
      <w:r>
        <w:rPr>
          <w:w w:val="95"/>
          <w:sz w:val="21"/>
        </w:rPr>
        <w:t>投保人出具的加盖投保人公章的投保人授权书；</w:t>
      </w:r>
    </w:p>
    <w:p>
      <w:pPr>
        <w:pStyle w:val="ListParagraph"/>
        <w:numPr>
          <w:ilvl w:val="0"/>
          <w:numId w:val="9"/>
        </w:numPr>
        <w:tabs>
          <w:tab w:pos="1059" w:val="left" w:leader="none"/>
          <w:tab w:pos="1060" w:val="left" w:leader="none"/>
        </w:tabs>
        <w:spacing w:line="273" w:lineRule="exact" w:before="0" w:after="0"/>
        <w:ind w:left="1060" w:right="0" w:hanging="840"/>
        <w:jc w:val="left"/>
        <w:rPr>
          <w:sz w:val="21"/>
        </w:rPr>
      </w:pPr>
      <w:r>
        <w:rPr>
          <w:w w:val="95"/>
          <w:sz w:val="21"/>
        </w:rPr>
        <w:t>经办人的有效身份证件。</w:t>
      </w:r>
    </w:p>
    <w:p>
      <w:pPr>
        <w:pStyle w:val="BodyText"/>
        <w:spacing w:line="237" w:lineRule="auto" w:before="62"/>
        <w:ind w:left="220" w:right="220"/>
      </w:pPr>
      <w:r>
        <w:rPr>
          <w:spacing w:val="-2"/>
          <w:w w:val="95"/>
        </w:rPr>
        <w:t>如果投保人在犹豫期后要求解除本合同，且投保人为自然人的，需  填写保单变更申请书并向本公司提供下列资料的原件：</w:t>
      </w:r>
    </w:p>
    <w:p>
      <w:pPr>
        <w:pStyle w:val="ListParagraph"/>
        <w:numPr>
          <w:ilvl w:val="0"/>
          <w:numId w:val="10"/>
        </w:numPr>
        <w:tabs>
          <w:tab w:pos="1059" w:val="left" w:leader="none"/>
          <w:tab w:pos="1060" w:val="left" w:leader="none"/>
        </w:tabs>
        <w:spacing w:line="272" w:lineRule="exact" w:before="0" w:after="0"/>
        <w:ind w:left="1060" w:right="0" w:hanging="840"/>
        <w:jc w:val="left"/>
        <w:rPr>
          <w:sz w:val="21"/>
        </w:rPr>
      </w:pPr>
      <w:r>
        <w:rPr>
          <w:w w:val="95"/>
          <w:sz w:val="21"/>
        </w:rPr>
        <w:t>本合同；</w:t>
      </w:r>
    </w:p>
    <w:p>
      <w:pPr>
        <w:pStyle w:val="ListParagraph"/>
        <w:numPr>
          <w:ilvl w:val="0"/>
          <w:numId w:val="10"/>
        </w:numPr>
        <w:tabs>
          <w:tab w:pos="1059" w:val="left" w:leader="none"/>
          <w:tab w:pos="1060" w:val="left" w:leader="none"/>
        </w:tabs>
        <w:spacing w:line="273" w:lineRule="exact" w:before="0" w:after="0"/>
        <w:ind w:left="1060" w:right="0" w:hanging="840"/>
        <w:jc w:val="left"/>
        <w:rPr>
          <w:sz w:val="21"/>
        </w:rPr>
      </w:pPr>
      <w:r>
        <w:rPr>
          <w:w w:val="95"/>
          <w:sz w:val="21"/>
        </w:rPr>
        <w:t>投保人的有效身份证件。</w:t>
      </w:r>
    </w:p>
    <w:p>
      <w:pPr>
        <w:pStyle w:val="BodyText"/>
        <w:spacing w:line="237" w:lineRule="auto" w:before="61"/>
        <w:ind w:left="220" w:right="220"/>
      </w:pPr>
      <w:r>
        <w:rPr>
          <w:spacing w:val="-2"/>
          <w:w w:val="95"/>
        </w:rPr>
        <w:t>自本公司收到保单变更申请书时起，本合同终止。本公司自收到保 </w:t>
      </w:r>
      <w:r>
        <w:rPr>
          <w:spacing w:val="-8"/>
        </w:rPr>
        <w:t>单变更申请书之日起 </w:t>
      </w:r>
      <w:r>
        <w:rPr/>
        <w:t>30</w:t>
      </w:r>
      <w:r>
        <w:rPr>
          <w:spacing w:val="-8"/>
        </w:rPr>
        <w:t> 日内按本合同约定向投保人退还合同终止</w:t>
      </w:r>
      <w:r>
        <w:rPr>
          <w:spacing w:val="-8"/>
          <w:w w:val="95"/>
        </w:rPr>
        <w:t>时的现金价值。</w:t>
      </w:r>
    </w:p>
    <w:p>
      <w:pPr>
        <w:pStyle w:val="BodyText"/>
        <w:spacing w:before="58"/>
        <w:ind w:left="220"/>
        <w:rPr>
          <w:rFonts w:ascii="黑体" w:eastAsia="黑体" w:hint="eastAsia"/>
        </w:rPr>
      </w:pPr>
      <w:r>
        <w:rPr>
          <w:rFonts w:ascii="黑体" w:eastAsia="黑体" w:hint="eastAsia"/>
          <w:w w:val="95"/>
        </w:rPr>
        <w:t>投保人在犹豫期后解除合同会遭受一定损失。</w:t>
      </w:r>
    </w:p>
    <w:p>
      <w:pPr>
        <w:spacing w:after="0"/>
        <w:rPr>
          <w:rFonts w:ascii="黑体" w:eastAsia="黑体" w:hint="eastAsia"/>
        </w:rPr>
        <w:sectPr>
          <w:pgSz w:w="12240" w:h="15840"/>
          <w:pgMar w:top="1400" w:bottom="280" w:left="1580" w:right="1580"/>
          <w:cols w:num="2" w:equalWidth="0">
            <w:col w:w="2441" w:space="139"/>
            <w:col w:w="6500"/>
          </w:cols>
        </w:sectPr>
      </w:pPr>
    </w:p>
    <w:p>
      <w:pPr>
        <w:pStyle w:val="BodyText"/>
        <w:spacing w:before="6"/>
        <w:rPr>
          <w:rFonts w:ascii="黑体"/>
          <w:sz w:val="27"/>
        </w:rPr>
      </w:pPr>
    </w:p>
    <w:p>
      <w:pPr>
        <w:pStyle w:val="Heading1"/>
        <w:numPr>
          <w:ilvl w:val="0"/>
          <w:numId w:val="8"/>
        </w:numPr>
        <w:tabs>
          <w:tab w:pos="966" w:val="left" w:leader="none"/>
          <w:tab w:pos="967" w:val="left" w:leader="none"/>
        </w:tabs>
        <w:spacing w:line="240" w:lineRule="auto" w:before="26" w:after="0"/>
        <w:ind w:left="966" w:right="0" w:hanging="746"/>
        <w:jc w:val="left"/>
      </w:pPr>
      <w:r>
        <w:rPr/>
        <w:pict>
          <v:line style="position:absolute;mso-position-horizontal-relative:page;mso-position-vertical-relative:paragraph;z-index:1168;mso-wrap-distance-left:0;mso-wrap-distance-right:0" from="84.599998pt,19.505613pt" to="527.399998pt,19.505613pt" stroked="true" strokeweight="1.44pt" strokecolor="#000000">
            <v:stroke dashstyle="solid"/>
            <w10:wrap type="topAndBottom"/>
          </v:line>
        </w:pict>
      </w:r>
      <w:r>
        <w:rPr>
          <w:w w:val="95"/>
        </w:rPr>
        <w:t>其他需要关注的事项</w:t>
      </w:r>
    </w:p>
    <w:p>
      <w:pPr>
        <w:pStyle w:val="BodyText"/>
        <w:spacing w:before="5"/>
        <w:rPr>
          <w:b/>
          <w:sz w:val="25"/>
        </w:rPr>
      </w:pPr>
    </w:p>
    <w:p>
      <w:pPr>
        <w:pStyle w:val="ListParagraph"/>
        <w:numPr>
          <w:ilvl w:val="1"/>
          <w:numId w:val="8"/>
        </w:numPr>
        <w:tabs>
          <w:tab w:pos="967" w:val="left" w:leader="none"/>
        </w:tabs>
        <w:spacing w:line="237" w:lineRule="auto" w:before="0" w:after="0"/>
        <w:ind w:left="2800" w:right="220" w:hanging="2580"/>
        <w:jc w:val="both"/>
        <w:rPr>
          <w:sz w:val="21"/>
        </w:rPr>
      </w:pPr>
      <w:r>
        <w:rPr>
          <w:b/>
          <w:spacing w:val="1"/>
          <w:sz w:val="21"/>
        </w:rPr>
        <w:t>说明与如实告知  </w:t>
      </w:r>
      <w:r>
        <w:rPr>
          <w:spacing w:val="-4"/>
          <w:sz w:val="21"/>
        </w:rPr>
        <w:t>订立本合同时，本公司应当说明本合同的内容，对保险条款中免除</w:t>
      </w:r>
      <w:r>
        <w:rPr>
          <w:spacing w:val="-7"/>
          <w:w w:val="95"/>
          <w:sz w:val="21"/>
        </w:rPr>
        <w:t>本公司责任的条款，本公司在订立合同时应当在投保单、保险单或  </w:t>
      </w:r>
      <w:r>
        <w:rPr>
          <w:spacing w:val="-8"/>
          <w:w w:val="95"/>
          <w:sz w:val="21"/>
        </w:rPr>
        <w:t>者其他保险凭证上作出足以引起投保人注意的提示，并对该条款的  </w:t>
      </w:r>
      <w:r>
        <w:rPr>
          <w:spacing w:val="-9"/>
          <w:w w:val="95"/>
          <w:sz w:val="21"/>
        </w:rPr>
        <w:t>内容以书面或者口头形式向投保人作出明确说明，未作提示或者明  确说明的，该条款不产生效力。</w:t>
      </w:r>
    </w:p>
    <w:p>
      <w:pPr>
        <w:pStyle w:val="BodyText"/>
        <w:spacing w:line="237" w:lineRule="auto" w:before="61"/>
        <w:ind w:left="2800" w:right="220"/>
      </w:pPr>
      <w:r>
        <w:rPr>
          <w:spacing w:val="-2"/>
          <w:w w:val="95"/>
        </w:rPr>
        <w:t>本公司会就投保人和被保险人的有关情况提出书面询问，投保人应  当如实告知。</w:t>
      </w:r>
    </w:p>
    <w:p>
      <w:pPr>
        <w:pStyle w:val="BodyText"/>
        <w:spacing w:line="237" w:lineRule="auto" w:before="61"/>
        <w:ind w:left="2800" w:right="190"/>
        <w:jc w:val="both"/>
      </w:pPr>
      <w:r>
        <w:rPr>
          <w:w w:val="95"/>
        </w:rPr>
        <w:t>如果投保人故意或者因重大过失未履行前款规定的如实告知义务， </w:t>
      </w:r>
      <w:r>
        <w:rPr>
          <w:spacing w:val="-2"/>
        </w:rPr>
        <w:t>足以影响本公司决定是否同意承保或者提高保险费率的，本公司有</w:t>
      </w:r>
      <w:r>
        <w:rPr>
          <w:spacing w:val="-2"/>
          <w:w w:val="95"/>
        </w:rPr>
        <w:t>权解除或者部分解除本合同。</w:t>
      </w:r>
    </w:p>
    <w:p>
      <w:pPr>
        <w:pStyle w:val="BodyText"/>
        <w:spacing w:line="237" w:lineRule="auto" w:before="58"/>
        <w:ind w:left="2800" w:right="220"/>
        <w:rPr>
          <w:rFonts w:ascii="黑体" w:eastAsia="黑体" w:hint="eastAsia"/>
        </w:rPr>
      </w:pPr>
      <w:r>
        <w:rPr>
          <w:rFonts w:ascii="黑体" w:eastAsia="黑体" w:hint="eastAsia"/>
          <w:spacing w:val="-2"/>
          <w:w w:val="95"/>
        </w:rPr>
        <w:t>如果投保人故意不履行如实告知义务，对于本合同解除或者部分解  除前发Th</w:t>
      </w:r>
      <w:r>
        <w:rPr>
          <w:rFonts w:ascii="黑体" w:eastAsia="黑体" w:hint="eastAsia"/>
          <w:spacing w:val="-6"/>
          <w:w w:val="95"/>
        </w:rPr>
        <w:t>的保险事故，本公司对本合同解除或者部分解除所涉及的 </w:t>
      </w:r>
      <w:r>
        <w:rPr>
          <w:rFonts w:ascii="黑体" w:eastAsia="黑体" w:hint="eastAsia"/>
          <w:spacing w:val="-6"/>
        </w:rPr>
        <w:t>全部或者部分被保险人不承担给付保险金的责任，并不退还保险</w:t>
      </w:r>
      <w:r>
        <w:rPr>
          <w:rFonts w:ascii="黑体" w:eastAsia="黑体" w:hint="eastAsia"/>
          <w:spacing w:val="-1"/>
          <w:w w:val="95"/>
        </w:rPr>
        <w:t>费。</w:t>
      </w:r>
    </w:p>
    <w:p>
      <w:pPr>
        <w:pStyle w:val="BodyText"/>
        <w:spacing w:line="237" w:lineRule="auto" w:before="58"/>
        <w:ind w:left="2800" w:right="220"/>
        <w:rPr>
          <w:rFonts w:ascii="黑体" w:eastAsia="黑体" w:hint="eastAsia"/>
        </w:rPr>
      </w:pPr>
      <w:r>
        <w:rPr>
          <w:rFonts w:ascii="黑体" w:eastAsia="黑体" w:hint="eastAsia"/>
          <w:spacing w:val="-2"/>
          <w:w w:val="95"/>
        </w:rPr>
        <w:t>如果投保人因重大过失未履行如实告知义务，对保险事故的发</w:t>
      </w:r>
      <w:r>
        <w:rPr>
          <w:rFonts w:ascii="黑体" w:eastAsia="黑体" w:hint="eastAsia"/>
          <w:w w:val="95"/>
        </w:rPr>
        <w:t>Th有  </w:t>
      </w:r>
      <w:r>
        <w:rPr>
          <w:rFonts w:ascii="黑体" w:eastAsia="黑体" w:hint="eastAsia"/>
          <w:spacing w:val="-3"/>
          <w:w w:val="95"/>
        </w:rPr>
        <w:t>严重影响的，对于本合同解除或者部分解除前发</w:t>
      </w:r>
      <w:r>
        <w:rPr>
          <w:rFonts w:ascii="黑体" w:eastAsia="黑体" w:hint="eastAsia"/>
          <w:w w:val="95"/>
        </w:rPr>
        <w:t>Th</w:t>
      </w:r>
      <w:r>
        <w:rPr>
          <w:rFonts w:ascii="黑体" w:eastAsia="黑体" w:hint="eastAsia"/>
          <w:spacing w:val="-3"/>
          <w:w w:val="95"/>
        </w:rPr>
        <w:t>的保险事故，本 </w:t>
      </w:r>
      <w:r>
        <w:rPr>
          <w:rFonts w:ascii="黑体" w:eastAsia="黑体" w:hint="eastAsia"/>
          <w:spacing w:val="-3"/>
        </w:rPr>
        <w:t>公司对本合同解除或者部分解除所涉及的本合同全部或者部分被</w:t>
      </w:r>
      <w:r>
        <w:rPr>
          <w:rFonts w:ascii="黑体" w:eastAsia="黑体" w:hint="eastAsia"/>
          <w:spacing w:val="-5"/>
          <w:w w:val="95"/>
        </w:rPr>
        <w:t>保险人不承担给付保险金的责任，但应当向投保人退还相应的保险  </w:t>
      </w:r>
      <w:r>
        <w:rPr>
          <w:rFonts w:ascii="黑体" w:eastAsia="黑体" w:hint="eastAsia"/>
          <w:spacing w:val="-1"/>
          <w:w w:val="95"/>
        </w:rPr>
        <w:t>费。</w:t>
      </w:r>
    </w:p>
    <w:p>
      <w:pPr>
        <w:pStyle w:val="BodyText"/>
        <w:spacing w:before="55"/>
        <w:ind w:left="2800" w:right="149"/>
      </w:pPr>
      <w:r>
        <w:rPr/>
        <w:t>本公司在合同订立时已经知道投保人未如实告知的情况的，本公司</w:t>
      </w:r>
      <w:r>
        <w:rPr>
          <w:w w:val="95"/>
        </w:rPr>
        <w:t>不得解除合同；发生保险事故的，本公司承担给付保险金的责任。</w:t>
      </w:r>
    </w:p>
    <w:p>
      <w:pPr>
        <w:pStyle w:val="BodyText"/>
        <w:spacing w:before="1"/>
        <w:rPr>
          <w:sz w:val="27"/>
        </w:rPr>
      </w:pPr>
    </w:p>
    <w:p>
      <w:pPr>
        <w:spacing w:after="0"/>
        <w:rPr>
          <w:sz w:val="27"/>
        </w:rPr>
        <w:sectPr>
          <w:type w:val="continuous"/>
          <w:pgSz w:w="12240" w:h="15840"/>
          <w:pgMar w:top="900" w:bottom="280" w:left="1580" w:right="1580"/>
        </w:sectPr>
      </w:pPr>
    </w:p>
    <w:p>
      <w:pPr>
        <w:pStyle w:val="Heading2"/>
        <w:numPr>
          <w:ilvl w:val="1"/>
          <w:numId w:val="8"/>
        </w:numPr>
        <w:tabs>
          <w:tab w:pos="966" w:val="left" w:leader="none"/>
          <w:tab w:pos="967" w:val="left" w:leader="none"/>
        </w:tabs>
        <w:spacing w:line="237" w:lineRule="auto" w:before="37" w:after="0"/>
        <w:ind w:left="966" w:right="0" w:hanging="746"/>
        <w:jc w:val="left"/>
      </w:pPr>
      <w:r>
        <w:rPr>
          <w:w w:val="95"/>
        </w:rPr>
        <w:t>本公司合同解除权的限制</w:t>
      </w:r>
    </w:p>
    <w:p>
      <w:pPr>
        <w:pStyle w:val="BodyText"/>
        <w:spacing w:line="273" w:lineRule="exact" w:before="35"/>
        <w:ind w:left="220"/>
      </w:pPr>
      <w:r>
        <w:rPr/>
        <w:br w:type="column"/>
      </w:r>
      <w:r>
        <w:rPr/>
        <w:t>前款规定的合同解除权，自本公司知道有解除事由之日起，超过 30</w:t>
      </w:r>
    </w:p>
    <w:p>
      <w:pPr>
        <w:pStyle w:val="BodyText"/>
        <w:spacing w:line="237" w:lineRule="auto" w:before="1"/>
        <w:ind w:left="220" w:right="220"/>
        <w:jc w:val="both"/>
      </w:pPr>
      <w:r>
        <w:rPr>
          <w:spacing w:val="-5"/>
        </w:rPr>
        <w:t>日不行使而消灭。自本合同成立之日起超过 </w:t>
      </w:r>
      <w:r>
        <w:rPr/>
        <w:t>2</w:t>
      </w:r>
      <w:r>
        <w:rPr>
          <w:spacing w:val="-9"/>
        </w:rPr>
        <w:t> 年的，本公司不得基</w:t>
      </w:r>
      <w:r>
        <w:rPr>
          <w:spacing w:val="-11"/>
          <w:w w:val="95"/>
        </w:rPr>
        <w:t>于前款约定解除合同；发生保险事故的，本公司按本合同约定承担  保险责任。</w:t>
      </w:r>
    </w:p>
    <w:p>
      <w:pPr>
        <w:spacing w:after="0" w:line="237" w:lineRule="auto"/>
        <w:jc w:val="both"/>
        <w:sectPr>
          <w:type w:val="continuous"/>
          <w:pgSz w:w="12240" w:h="15840"/>
          <w:pgMar w:top="900" w:bottom="280" w:left="1580" w:right="1580"/>
          <w:cols w:num="2" w:equalWidth="0">
            <w:col w:w="2441" w:space="139"/>
            <w:col w:w="6500"/>
          </w:cols>
        </w:sectPr>
      </w:pPr>
    </w:p>
    <w:p>
      <w:pPr>
        <w:pStyle w:val="ListParagraph"/>
        <w:numPr>
          <w:ilvl w:val="1"/>
          <w:numId w:val="8"/>
        </w:numPr>
        <w:tabs>
          <w:tab w:pos="847" w:val="left" w:leader="none"/>
        </w:tabs>
        <w:spacing w:line="240" w:lineRule="auto" w:before="4" w:after="0"/>
        <w:ind w:left="2680" w:right="110" w:hanging="2580"/>
        <w:jc w:val="both"/>
        <w:rPr>
          <w:sz w:val="21"/>
        </w:rPr>
      </w:pPr>
      <w:r>
        <w:rPr>
          <w:b/>
          <w:spacing w:val="1"/>
          <w:sz w:val="21"/>
        </w:rPr>
        <w:t>年龄性别错误    </w:t>
      </w:r>
      <w:r>
        <w:rPr>
          <w:spacing w:val="-3"/>
          <w:sz w:val="21"/>
        </w:rPr>
        <w:t>投保人在申请投保时，应提供与被保险人有效身份证件相符的被保</w:t>
      </w:r>
      <w:r>
        <w:rPr>
          <w:spacing w:val="-3"/>
          <w:w w:val="95"/>
          <w:sz w:val="21"/>
        </w:rPr>
        <w:t>险人的出生日期和性别的资料，如果发生错误按照下列方式办理：</w:t>
      </w:r>
    </w:p>
    <w:p>
      <w:pPr>
        <w:pStyle w:val="ListParagraph"/>
        <w:numPr>
          <w:ilvl w:val="2"/>
          <w:numId w:val="8"/>
        </w:numPr>
        <w:tabs>
          <w:tab w:pos="3415" w:val="left" w:leader="none"/>
        </w:tabs>
        <w:spacing w:line="237" w:lineRule="auto" w:before="58" w:after="0"/>
        <w:ind w:left="3414" w:right="214" w:hanging="734"/>
        <w:jc w:val="both"/>
        <w:rPr>
          <w:sz w:val="21"/>
        </w:rPr>
      </w:pPr>
      <w:r>
        <w:rPr>
          <w:rFonts w:ascii="黑体" w:hAnsi="黑体" w:eastAsia="黑体" w:hint="eastAsia"/>
          <w:w w:val="95"/>
          <w:sz w:val="21"/>
        </w:rPr>
        <w:t>投保人申报的被保险人年龄不真实，并且其真实年龄不符 合本合同约定投保年龄限制的，本公司有权终止对该被保 险人的保险责任，但向投保人退还保险责任终止时本合同 项下该被保险人名下的现金价值。对于该被保险人的保险 责任终止前发Th的保险事故，本公司不承担给付保险金的 责任。对前述被保险人的保险责任终止权适用“本公司合 同解除权的限制”的规定。</w:t>
      </w:r>
    </w:p>
    <w:p>
      <w:pPr>
        <w:pStyle w:val="ListParagraph"/>
        <w:numPr>
          <w:ilvl w:val="2"/>
          <w:numId w:val="8"/>
        </w:numPr>
        <w:tabs>
          <w:tab w:pos="3415" w:val="left" w:leader="none"/>
        </w:tabs>
        <w:spacing w:line="237" w:lineRule="auto" w:before="61" w:after="0"/>
        <w:ind w:left="3400" w:right="214" w:hanging="720"/>
        <w:jc w:val="both"/>
        <w:rPr>
          <w:sz w:val="21"/>
        </w:rPr>
      </w:pPr>
      <w:r>
        <w:rPr>
          <w:w w:val="95"/>
          <w:sz w:val="21"/>
        </w:rPr>
        <w:t>投保人申报的被保险人年龄或者性别不真实，致使投保人 </w:t>
      </w:r>
      <w:r>
        <w:rPr>
          <w:sz w:val="21"/>
        </w:rPr>
        <w:t>实交保险费少于应交保险费的，本公司有权更正并要求投保人补交本合同项下该被保险人名下的保险费。如果已经发生保险事故，在给付保险金时按实交保险费和应交保险</w:t>
      </w:r>
      <w:r>
        <w:rPr>
          <w:w w:val="95"/>
          <w:sz w:val="21"/>
        </w:rPr>
        <w:t>费的比例给付。</w:t>
      </w:r>
    </w:p>
    <w:p>
      <w:pPr>
        <w:pStyle w:val="ListParagraph"/>
        <w:numPr>
          <w:ilvl w:val="2"/>
          <w:numId w:val="8"/>
        </w:numPr>
        <w:tabs>
          <w:tab w:pos="3415" w:val="left" w:leader="none"/>
        </w:tabs>
        <w:spacing w:line="237" w:lineRule="auto" w:before="61" w:after="0"/>
        <w:ind w:left="3397" w:right="214" w:hanging="717"/>
        <w:jc w:val="both"/>
        <w:rPr>
          <w:sz w:val="21"/>
        </w:rPr>
      </w:pPr>
      <w:r>
        <w:rPr>
          <w:w w:val="95"/>
          <w:sz w:val="21"/>
        </w:rPr>
        <w:t>投保人申报的被保险人年龄或者性别不真实，致使投保人 </w:t>
      </w:r>
      <w:r>
        <w:rPr>
          <w:sz w:val="21"/>
        </w:rPr>
        <w:t>实交保险费多于应交保险费的，本公司向投保人无息退还</w:t>
      </w:r>
      <w:r>
        <w:rPr>
          <w:w w:val="95"/>
          <w:sz w:val="21"/>
        </w:rPr>
        <w:t>多收的本合同项下该被保险人名下的保险费。</w:t>
      </w:r>
    </w:p>
    <w:p>
      <w:pPr>
        <w:pStyle w:val="BodyText"/>
        <w:spacing w:before="12"/>
        <w:rPr>
          <w:sz w:val="29"/>
        </w:rPr>
      </w:pPr>
    </w:p>
    <w:p>
      <w:pPr>
        <w:pStyle w:val="ListParagraph"/>
        <w:numPr>
          <w:ilvl w:val="1"/>
          <w:numId w:val="8"/>
        </w:numPr>
        <w:tabs>
          <w:tab w:pos="847" w:val="left" w:leader="none"/>
        </w:tabs>
        <w:spacing w:line="237" w:lineRule="auto" w:before="0" w:after="0"/>
        <w:ind w:left="2680" w:right="137" w:hanging="2580"/>
        <w:jc w:val="both"/>
        <w:rPr>
          <w:sz w:val="21"/>
        </w:rPr>
      </w:pPr>
      <w:r>
        <w:rPr>
          <w:b/>
          <w:spacing w:val="1"/>
          <w:sz w:val="21"/>
        </w:rPr>
        <w:t>被保险人变动    </w:t>
      </w:r>
      <w:r>
        <w:rPr>
          <w:spacing w:val="-2"/>
          <w:sz w:val="21"/>
        </w:rPr>
        <w:t>投保人因团体成员变动需要增加被保险人的，应以保单变更申请书</w:t>
      </w:r>
      <w:r>
        <w:rPr>
          <w:spacing w:val="-6"/>
          <w:w w:val="95"/>
          <w:sz w:val="21"/>
        </w:rPr>
        <w:t>通知本公司。本公司审核同意并收取相应的保险费。本公司对该新  增加的被保险人承担的保险责任的起始时间在本合同上载明。</w:t>
      </w:r>
    </w:p>
    <w:p>
      <w:pPr>
        <w:pStyle w:val="BodyText"/>
        <w:spacing w:before="55"/>
        <w:ind w:left="2680" w:right="137"/>
        <w:jc w:val="both"/>
      </w:pPr>
      <w:r>
        <w:rPr>
          <w:spacing w:val="-3"/>
          <w:w w:val="95"/>
        </w:rPr>
        <w:t>投保人需要减少被保险人的，应以保单变更申请书通知本公司，本  公司对减少的被保险人分别按以下情况进行处理：</w:t>
      </w:r>
    </w:p>
    <w:p>
      <w:pPr>
        <w:pStyle w:val="ListParagraph"/>
        <w:numPr>
          <w:ilvl w:val="0"/>
          <w:numId w:val="11"/>
        </w:numPr>
        <w:tabs>
          <w:tab w:pos="3415" w:val="left" w:leader="none"/>
        </w:tabs>
        <w:spacing w:line="237" w:lineRule="auto" w:before="58" w:after="0"/>
        <w:ind w:left="3414" w:right="214" w:hanging="734"/>
        <w:jc w:val="both"/>
        <w:rPr>
          <w:rFonts w:ascii="黑体" w:eastAsia="黑体" w:hint="eastAsia"/>
          <w:sz w:val="21"/>
        </w:rPr>
      </w:pPr>
      <w:r>
        <w:rPr>
          <w:rFonts w:ascii="黑体" w:eastAsia="黑体" w:hint="eastAsia"/>
          <w:w w:val="95"/>
          <w:sz w:val="21"/>
        </w:rPr>
        <w:t>如投保人申请本公司依本合同的约定对减少的被保险人继 续履行保险责任并且被保险人同意，需由投保人提供本公 司要求的书面申请，并经本公司审核同意，本公司对该被 保险人的保险责任继续有效；</w:t>
      </w:r>
    </w:p>
    <w:p>
      <w:pPr>
        <w:pStyle w:val="ListParagraph"/>
        <w:numPr>
          <w:ilvl w:val="0"/>
          <w:numId w:val="11"/>
        </w:numPr>
        <w:tabs>
          <w:tab w:pos="3414" w:val="left" w:leader="none"/>
          <w:tab w:pos="3415" w:val="left" w:leader="none"/>
        </w:tabs>
        <w:spacing w:line="237" w:lineRule="auto" w:before="61" w:after="0"/>
        <w:ind w:left="3414" w:right="140" w:hanging="734"/>
        <w:jc w:val="left"/>
        <w:rPr>
          <w:rFonts w:ascii="黑体" w:eastAsia="黑体" w:hint="eastAsia"/>
          <w:sz w:val="21"/>
        </w:rPr>
      </w:pPr>
      <w:r>
        <w:rPr>
          <w:rFonts w:ascii="黑体" w:eastAsia="黑体" w:hint="eastAsia"/>
          <w:sz w:val="21"/>
        </w:rPr>
        <w:t>如投保人申请本公司终止对减少的被保险人的保险责任， 本公司对该被保险人的保险责任自投保人书面通知到达本</w:t>
      </w:r>
      <w:r>
        <w:rPr>
          <w:rFonts w:ascii="黑体" w:eastAsia="黑体" w:hint="eastAsia"/>
          <w:spacing w:val="-10"/>
          <w:sz w:val="21"/>
        </w:rPr>
        <w:t>公司之日的 </w:t>
      </w:r>
      <w:r>
        <w:rPr>
          <w:rFonts w:ascii="黑体" w:eastAsia="黑体" w:hint="eastAsia"/>
          <w:sz w:val="21"/>
        </w:rPr>
        <w:t>24</w:t>
      </w:r>
      <w:r>
        <w:rPr>
          <w:rFonts w:ascii="黑体" w:eastAsia="黑体" w:hint="eastAsia"/>
          <w:spacing w:val="-10"/>
          <w:sz w:val="21"/>
        </w:rPr>
        <w:t> 时起终止。投保人在通知书中载明的变更被保险人日期如果晚于通知书送达本公司的日期，则本公司对该被保险人的保险责任自通知书中载明的变更被保险人</w:t>
      </w:r>
      <w:r>
        <w:rPr>
          <w:rFonts w:ascii="黑体" w:eastAsia="黑体" w:hint="eastAsia"/>
          <w:spacing w:val="-10"/>
          <w:w w:val="95"/>
          <w:sz w:val="21"/>
        </w:rPr>
        <w:t>日期的零时起终止。</w:t>
      </w:r>
    </w:p>
    <w:p>
      <w:pPr>
        <w:pStyle w:val="BodyText"/>
        <w:spacing w:line="237" w:lineRule="auto" w:before="61"/>
        <w:ind w:left="2680" w:right="110"/>
        <w:jc w:val="both"/>
        <w:rPr>
          <w:rFonts w:ascii="黑体" w:eastAsia="黑体" w:hint="eastAsia"/>
        </w:rPr>
      </w:pPr>
      <w:r>
        <w:rPr>
          <w:rFonts w:ascii="黑体" w:eastAsia="黑体" w:hint="eastAsia"/>
          <w:spacing w:val="-2"/>
        </w:rPr>
        <w:t>对于本公司对减少的被保险人的保险责任终止情形的，本公司向投</w:t>
      </w:r>
      <w:r>
        <w:rPr>
          <w:rFonts w:ascii="黑体" w:eastAsia="黑体" w:hint="eastAsia"/>
          <w:spacing w:val="-2"/>
          <w:w w:val="95"/>
        </w:rPr>
        <w:t>保人退还保险责任终止时本合同项下该被保险人对应的现金价值。 </w:t>
      </w:r>
      <w:r>
        <w:rPr>
          <w:rFonts w:ascii="黑体" w:eastAsia="黑体" w:hint="eastAsia"/>
          <w:spacing w:val="5"/>
        </w:rPr>
        <w:t>若投保人与本公司有产品转换或者其它约定的，均按约定内容执</w:t>
      </w:r>
      <w:r>
        <w:rPr>
          <w:rFonts w:ascii="黑体" w:eastAsia="黑体" w:hint="eastAsia"/>
          <w:spacing w:val="-1"/>
          <w:w w:val="95"/>
        </w:rPr>
        <w:t>行。</w:t>
      </w:r>
    </w:p>
    <w:p>
      <w:pPr>
        <w:pStyle w:val="BodyText"/>
        <w:spacing w:before="0"/>
        <w:rPr>
          <w:rFonts w:ascii="黑体"/>
          <w:sz w:val="20"/>
        </w:rPr>
      </w:pPr>
    </w:p>
    <w:p>
      <w:pPr>
        <w:pStyle w:val="ListParagraph"/>
        <w:numPr>
          <w:ilvl w:val="1"/>
          <w:numId w:val="8"/>
        </w:numPr>
        <w:tabs>
          <w:tab w:pos="847" w:val="left" w:leader="none"/>
        </w:tabs>
        <w:spacing w:line="237" w:lineRule="auto" w:before="133" w:after="0"/>
        <w:ind w:left="2680" w:right="140" w:hanging="2580"/>
        <w:jc w:val="both"/>
        <w:rPr>
          <w:sz w:val="21"/>
        </w:rPr>
      </w:pPr>
      <w:r>
        <w:rPr>
          <w:b/>
          <w:spacing w:val="0"/>
          <w:sz w:val="21"/>
        </w:rPr>
        <w:t>未还款项        </w:t>
      </w:r>
      <w:r>
        <w:rPr>
          <w:spacing w:val="-3"/>
          <w:sz w:val="21"/>
        </w:rPr>
        <w:t>本公司在给付各项保险金、退还现金价值或者返还保险费时，如果</w:t>
      </w:r>
      <w:r>
        <w:rPr>
          <w:spacing w:val="-5"/>
          <w:w w:val="95"/>
          <w:sz w:val="21"/>
        </w:rPr>
        <w:t>投保人有欠交的保险费或者其他各项欠款，本公司在扣除上述各项  欠款及应付利息后给付。</w:t>
      </w:r>
    </w:p>
    <w:p>
      <w:pPr>
        <w:pStyle w:val="BodyText"/>
        <w:spacing w:before="10"/>
        <w:rPr>
          <w:sz w:val="29"/>
        </w:rPr>
      </w:pPr>
    </w:p>
    <w:p>
      <w:pPr>
        <w:pStyle w:val="ListParagraph"/>
        <w:numPr>
          <w:ilvl w:val="1"/>
          <w:numId w:val="8"/>
        </w:numPr>
        <w:tabs>
          <w:tab w:pos="847" w:val="left" w:leader="none"/>
        </w:tabs>
        <w:spacing w:line="240" w:lineRule="auto" w:before="0" w:after="0"/>
        <w:ind w:left="2680" w:right="140" w:hanging="2580"/>
        <w:jc w:val="both"/>
        <w:rPr>
          <w:sz w:val="21"/>
        </w:rPr>
      </w:pPr>
      <w:r>
        <w:rPr>
          <w:b/>
          <w:spacing w:val="0"/>
          <w:sz w:val="21"/>
        </w:rPr>
        <w:t>转账规定        </w:t>
      </w:r>
      <w:r>
        <w:rPr>
          <w:spacing w:val="-2"/>
          <w:sz w:val="21"/>
        </w:rPr>
        <w:t>本合同中涉及到本公司向投保人退还保险费、现金价值时，本公司</w:t>
      </w:r>
      <w:r>
        <w:rPr>
          <w:spacing w:val="-2"/>
          <w:w w:val="95"/>
          <w:sz w:val="21"/>
        </w:rPr>
        <w:t>均以银行转账方式将相应金额退至投保人投保本合同时交纳保险</w:t>
      </w:r>
    </w:p>
    <w:p>
      <w:pPr>
        <w:spacing w:after="0" w:line="240" w:lineRule="auto"/>
        <w:jc w:val="both"/>
        <w:rPr>
          <w:sz w:val="21"/>
        </w:rPr>
        <w:sectPr>
          <w:pgSz w:w="12240" w:h="15840"/>
          <w:pgMar w:top="1460" w:bottom="280" w:left="1700" w:right="1660"/>
        </w:sectPr>
      </w:pPr>
    </w:p>
    <w:p>
      <w:pPr>
        <w:pStyle w:val="BodyText"/>
        <w:spacing w:line="274" w:lineRule="exact" w:before="4"/>
        <w:ind w:left="2800"/>
        <w:rPr>
          <w:b/>
        </w:rPr>
      </w:pPr>
      <w:r>
        <w:rPr>
          <w:w w:val="95"/>
        </w:rPr>
        <w:t>费的账户，但符合国务院保险监督管理机构的规定，属于</w:t>
      </w:r>
      <w:r>
        <w:rPr>
          <w:b/>
          <w:w w:val="95"/>
        </w:rPr>
        <w:t>特殊情形</w:t>
      </w:r>
    </w:p>
    <w:p>
      <w:pPr>
        <w:pStyle w:val="BodyText"/>
        <w:spacing w:line="274" w:lineRule="exact" w:before="0"/>
        <w:ind w:left="2800"/>
      </w:pPr>
      <w:r>
        <w:rPr/>
        <w:t>（见 11.23）之一的除外。</w:t>
      </w:r>
    </w:p>
    <w:p>
      <w:pPr>
        <w:pStyle w:val="BodyText"/>
        <w:spacing w:before="0"/>
        <w:rPr>
          <w:sz w:val="20"/>
        </w:rPr>
      </w:pPr>
    </w:p>
    <w:p>
      <w:pPr>
        <w:pStyle w:val="ListParagraph"/>
        <w:numPr>
          <w:ilvl w:val="1"/>
          <w:numId w:val="8"/>
        </w:numPr>
        <w:tabs>
          <w:tab w:pos="967" w:val="left" w:leader="none"/>
        </w:tabs>
        <w:spacing w:line="237" w:lineRule="auto" w:before="131" w:after="0"/>
        <w:ind w:left="2800" w:right="220" w:hanging="2580"/>
        <w:jc w:val="both"/>
        <w:rPr>
          <w:sz w:val="21"/>
        </w:rPr>
      </w:pPr>
      <w:r>
        <w:rPr>
          <w:b/>
          <w:spacing w:val="1"/>
          <w:sz w:val="21"/>
        </w:rPr>
        <w:t>合同内容变更    </w:t>
      </w:r>
      <w:r>
        <w:rPr>
          <w:spacing w:val="-3"/>
          <w:sz w:val="21"/>
        </w:rPr>
        <w:t>在本合同有效期内，经投保人与本公司协商一致，可以变更本合同</w:t>
      </w:r>
      <w:r>
        <w:rPr>
          <w:spacing w:val="-6"/>
          <w:w w:val="95"/>
          <w:sz w:val="21"/>
        </w:rPr>
        <w:t>的有关内容。变更本合同的，应当由本公司在保险单或者其他保险  </w:t>
      </w:r>
      <w:r>
        <w:rPr>
          <w:spacing w:val="-8"/>
          <w:w w:val="95"/>
          <w:sz w:val="21"/>
        </w:rPr>
        <w:t>凭证上批注或者附贴批单，或者由投保人与本公司订立书面的变更  协议。</w:t>
      </w:r>
    </w:p>
    <w:p>
      <w:pPr>
        <w:pStyle w:val="BodyText"/>
        <w:spacing w:before="12"/>
        <w:rPr>
          <w:sz w:val="29"/>
        </w:rPr>
      </w:pPr>
    </w:p>
    <w:p>
      <w:pPr>
        <w:pStyle w:val="ListParagraph"/>
        <w:numPr>
          <w:ilvl w:val="1"/>
          <w:numId w:val="8"/>
        </w:numPr>
        <w:tabs>
          <w:tab w:pos="967" w:val="left" w:leader="none"/>
        </w:tabs>
        <w:spacing w:line="237" w:lineRule="auto" w:before="0" w:after="0"/>
        <w:ind w:left="2800" w:right="220" w:hanging="2580"/>
        <w:jc w:val="both"/>
        <w:rPr>
          <w:sz w:val="21"/>
        </w:rPr>
      </w:pPr>
      <w:r>
        <w:rPr>
          <w:b/>
          <w:spacing w:val="1"/>
          <w:sz w:val="21"/>
        </w:rPr>
        <w:t>联系方式变更    </w:t>
      </w:r>
      <w:r>
        <w:rPr>
          <w:spacing w:val="-3"/>
          <w:sz w:val="21"/>
        </w:rPr>
        <w:t>为了保障投保人的合法权益，投保人的住所、通讯地址或者电话等</w:t>
      </w:r>
      <w:r>
        <w:rPr>
          <w:spacing w:val="-7"/>
          <w:w w:val="95"/>
          <w:sz w:val="21"/>
        </w:rPr>
        <w:t>联系方式变更时，请及时以书面形式或者双方认可的其他形式通知  </w:t>
      </w:r>
      <w:r>
        <w:rPr>
          <w:spacing w:val="-8"/>
          <w:w w:val="95"/>
          <w:sz w:val="21"/>
        </w:rPr>
        <w:t>本公司。如果投保人未以书面形式或者双方认可的其他形式通知本  </w:t>
      </w:r>
      <w:r>
        <w:rPr>
          <w:spacing w:val="-7"/>
          <w:w w:val="95"/>
          <w:sz w:val="21"/>
        </w:rPr>
        <w:t>公司，本公司按本合同载明的最后住所或者通讯地址发送的有关通  知，均视为已送达给投保人。</w:t>
      </w:r>
    </w:p>
    <w:p>
      <w:pPr>
        <w:pStyle w:val="BodyText"/>
        <w:spacing w:before="4"/>
        <w:rPr>
          <w:sz w:val="25"/>
        </w:rPr>
      </w:pPr>
    </w:p>
    <w:p>
      <w:pPr>
        <w:pStyle w:val="ListParagraph"/>
        <w:numPr>
          <w:ilvl w:val="1"/>
          <w:numId w:val="8"/>
        </w:numPr>
        <w:tabs>
          <w:tab w:pos="967" w:val="left" w:leader="none"/>
        </w:tabs>
        <w:spacing w:line="237" w:lineRule="auto" w:before="1" w:after="0"/>
        <w:ind w:left="2800" w:right="220" w:hanging="2580"/>
        <w:jc w:val="both"/>
        <w:rPr>
          <w:sz w:val="21"/>
        </w:rPr>
      </w:pPr>
      <w:r>
        <w:rPr>
          <w:b/>
          <w:spacing w:val="0"/>
          <w:sz w:val="21"/>
        </w:rPr>
        <w:t>争议处理        </w:t>
      </w:r>
      <w:r>
        <w:rPr>
          <w:spacing w:val="-3"/>
          <w:sz w:val="21"/>
        </w:rPr>
        <w:t>本合同履行过程中，双方发生争议时，可以从下列两种方式中选择</w:t>
      </w:r>
      <w:r>
        <w:rPr>
          <w:spacing w:val="-3"/>
          <w:w w:val="95"/>
          <w:sz w:val="21"/>
        </w:rPr>
        <w:t>一种争议处理方式：</w:t>
      </w:r>
    </w:p>
    <w:p>
      <w:pPr>
        <w:pStyle w:val="ListParagraph"/>
        <w:numPr>
          <w:ilvl w:val="0"/>
          <w:numId w:val="12"/>
        </w:numPr>
        <w:tabs>
          <w:tab w:pos="3534" w:val="left" w:leader="none"/>
          <w:tab w:pos="3535" w:val="left" w:leader="none"/>
          <w:tab w:pos="4688" w:val="left" w:leader="none"/>
        </w:tabs>
        <w:spacing w:line="240" w:lineRule="auto" w:before="56" w:after="0"/>
        <w:ind w:left="3534" w:right="114" w:hanging="734"/>
        <w:jc w:val="left"/>
        <w:rPr>
          <w:sz w:val="21"/>
        </w:rPr>
      </w:pPr>
      <w:r>
        <w:rPr>
          <w:w w:val="95"/>
          <w:sz w:val="21"/>
        </w:rPr>
        <w:t>因履行本合同发生的争议</w:t>
      </w:r>
      <w:r>
        <w:rPr>
          <w:spacing w:val="-13"/>
          <w:w w:val="95"/>
          <w:sz w:val="21"/>
        </w:rPr>
        <w:t>，</w:t>
      </w:r>
      <w:r>
        <w:rPr>
          <w:w w:val="95"/>
          <w:sz w:val="21"/>
        </w:rPr>
        <w:t>由双方协商解决</w:t>
      </w:r>
      <w:r>
        <w:rPr>
          <w:spacing w:val="-13"/>
          <w:w w:val="95"/>
          <w:sz w:val="21"/>
        </w:rPr>
        <w:t>，</w:t>
      </w:r>
      <w:r>
        <w:rPr>
          <w:w w:val="95"/>
          <w:sz w:val="21"/>
        </w:rPr>
        <w:t>协商不成的， </w:t>
      </w:r>
      <w:r>
        <w:rPr>
          <w:sz w:val="21"/>
        </w:rPr>
        <w:t>提交</w:t>
      </w:r>
      <w:r>
        <w:rPr>
          <w:sz w:val="21"/>
          <w:u w:val="single"/>
        </w:rPr>
        <w:t> </w:t>
        <w:tab/>
      </w:r>
      <w:r>
        <w:rPr>
          <w:w w:val="95"/>
          <w:sz w:val="21"/>
        </w:rPr>
        <w:t>仲裁委员会仲裁；</w:t>
      </w:r>
    </w:p>
    <w:p>
      <w:pPr>
        <w:pStyle w:val="ListParagraph"/>
        <w:numPr>
          <w:ilvl w:val="0"/>
          <w:numId w:val="12"/>
        </w:numPr>
        <w:tabs>
          <w:tab w:pos="3534" w:val="left" w:leader="none"/>
          <w:tab w:pos="3535" w:val="left" w:leader="none"/>
        </w:tabs>
        <w:spacing w:line="237" w:lineRule="auto" w:before="61" w:after="0"/>
        <w:ind w:left="3534" w:right="114" w:hanging="734"/>
        <w:jc w:val="left"/>
        <w:rPr>
          <w:sz w:val="21"/>
        </w:rPr>
      </w:pPr>
      <w:r>
        <w:rPr>
          <w:spacing w:val="-3"/>
          <w:w w:val="95"/>
          <w:sz w:val="21"/>
        </w:rPr>
        <w:t>因履行本合同发生的争议，由双方协商解决，协商不成的， 依法向人民法院起诉。</w:t>
      </w:r>
    </w:p>
    <w:p>
      <w:pPr>
        <w:pStyle w:val="BodyText"/>
        <w:spacing w:before="0"/>
        <w:rPr>
          <w:sz w:val="20"/>
        </w:rPr>
      </w:pPr>
    </w:p>
    <w:p>
      <w:pPr>
        <w:pStyle w:val="ListParagraph"/>
        <w:numPr>
          <w:ilvl w:val="1"/>
          <w:numId w:val="8"/>
        </w:numPr>
        <w:tabs>
          <w:tab w:pos="967" w:val="left" w:leader="none"/>
        </w:tabs>
        <w:spacing w:line="237" w:lineRule="auto" w:before="131" w:after="0"/>
        <w:ind w:left="2800" w:right="220" w:hanging="2580"/>
        <w:jc w:val="both"/>
        <w:rPr>
          <w:sz w:val="21"/>
        </w:rPr>
      </w:pPr>
      <w:r>
        <w:rPr>
          <w:b/>
          <w:spacing w:val="1"/>
          <w:sz w:val="21"/>
        </w:rPr>
        <w:t>保险事故鉴定    </w:t>
      </w:r>
      <w:r>
        <w:rPr>
          <w:spacing w:val="-3"/>
          <w:sz w:val="21"/>
        </w:rPr>
        <w:t>如果被保险人发生保险事故，投保人和本公司均可以委托保险公估</w:t>
      </w:r>
      <w:r>
        <w:rPr>
          <w:spacing w:val="-4"/>
          <w:w w:val="95"/>
          <w:sz w:val="21"/>
        </w:rPr>
        <w:t>机构等依法设立的独立评估机构或者具有相关专业知识的人员，对  保险事故进行评估和鉴定。</w:t>
      </w:r>
    </w:p>
    <w:p>
      <w:pPr>
        <w:pStyle w:val="BodyText"/>
        <w:spacing w:before="6"/>
        <w:rPr>
          <w:sz w:val="29"/>
        </w:rPr>
      </w:pPr>
    </w:p>
    <w:p>
      <w:pPr>
        <w:pStyle w:val="Heading1"/>
        <w:numPr>
          <w:ilvl w:val="0"/>
          <w:numId w:val="8"/>
        </w:numPr>
        <w:tabs>
          <w:tab w:pos="966" w:val="left" w:leader="none"/>
          <w:tab w:pos="967" w:val="left" w:leader="none"/>
        </w:tabs>
        <w:spacing w:line="240" w:lineRule="auto" w:before="0" w:after="0"/>
        <w:ind w:left="966" w:right="0" w:hanging="746"/>
        <w:jc w:val="left"/>
      </w:pPr>
      <w:r>
        <w:rPr/>
        <w:pict>
          <v:line style="position:absolute;mso-position-horizontal-relative:page;mso-position-vertical-relative:paragraph;z-index:1192;mso-wrap-distance-left:0;mso-wrap-distance-right:0" from="84.599998pt,18.245634pt" to="527.399998pt,18.245634pt" stroked="true" strokeweight="1.44pt" strokecolor="#000000">
            <v:stroke dashstyle="solid"/>
            <w10:wrap type="topAndBottom"/>
          </v:line>
        </w:pict>
      </w:r>
      <w:r>
        <w:rPr>
          <w:w w:val="95"/>
        </w:rPr>
        <w:t>重大疾病定义</w:t>
      </w:r>
    </w:p>
    <w:p>
      <w:pPr>
        <w:pStyle w:val="BodyText"/>
        <w:spacing w:before="4"/>
        <w:rPr>
          <w:b/>
          <w:sz w:val="25"/>
        </w:rPr>
      </w:pPr>
    </w:p>
    <w:p>
      <w:pPr>
        <w:pStyle w:val="BodyText"/>
        <w:spacing w:line="237" w:lineRule="auto" w:before="1"/>
        <w:ind w:left="2800" w:right="190"/>
      </w:pPr>
      <w:r>
        <w:rPr>
          <w:spacing w:val="-4"/>
        </w:rPr>
        <w:t>本合同所定义的重大疾病共有 </w:t>
      </w:r>
      <w:r>
        <w:rPr/>
        <w:t>100</w:t>
      </w:r>
      <w:r>
        <w:rPr>
          <w:spacing w:val="-17"/>
        </w:rPr>
        <w:t> 种，其中第 </w:t>
      </w:r>
      <w:r>
        <w:rPr/>
        <w:t>1</w:t>
      </w:r>
      <w:r>
        <w:rPr>
          <w:spacing w:val="-37"/>
        </w:rPr>
        <w:t> 至 </w:t>
      </w:r>
      <w:r>
        <w:rPr/>
        <w:t>25</w:t>
      </w:r>
      <w:r>
        <w:rPr>
          <w:spacing w:val="-10"/>
        </w:rPr>
        <w:t> 种重大疾病</w:t>
      </w:r>
      <w:r>
        <w:rPr>
          <w:spacing w:val="-10"/>
          <w:w w:val="95"/>
        </w:rPr>
        <w:t>为中国保险行业协会颁布的《重大疾病保险的疾病定义使用规范》</w:t>
      </w:r>
    </w:p>
    <w:p>
      <w:pPr>
        <w:pStyle w:val="BodyText"/>
        <w:spacing w:line="237" w:lineRule="auto" w:before="1"/>
        <w:ind w:left="2800" w:right="220"/>
      </w:pPr>
      <w:r>
        <w:rPr>
          <w:w w:val="95"/>
        </w:rPr>
        <w:t>（</w:t>
      </w:r>
      <w:r>
        <w:rPr>
          <w:spacing w:val="-1"/>
          <w:w w:val="95"/>
        </w:rPr>
        <w:t>以下简称“规范”</w:t>
      </w:r>
      <w:r>
        <w:rPr>
          <w:spacing w:val="-8"/>
          <w:w w:val="95"/>
        </w:rPr>
        <w:t>）</w:t>
      </w:r>
      <w:r>
        <w:rPr>
          <w:spacing w:val="-3"/>
          <w:w w:val="95"/>
        </w:rPr>
        <w:t>规定的疾病，且疾病名称和疾病定义与“规 </w:t>
      </w:r>
      <w:r>
        <w:rPr>
          <w:spacing w:val="-11"/>
        </w:rPr>
        <w:t>范”一致，第 </w:t>
      </w:r>
      <w:r>
        <w:rPr/>
        <w:t>26</w:t>
      </w:r>
      <w:r>
        <w:rPr>
          <w:spacing w:val="-38"/>
        </w:rPr>
        <w:t> 至 </w:t>
      </w:r>
      <w:r>
        <w:rPr/>
        <w:t>100</w:t>
      </w:r>
      <w:r>
        <w:rPr>
          <w:spacing w:val="-8"/>
        </w:rPr>
        <w:t> 种重大疾病为“规范”规定范围之外的疾</w:t>
      </w:r>
      <w:r>
        <w:rPr>
          <w:spacing w:val="-1"/>
          <w:w w:val="95"/>
        </w:rPr>
        <w:t>病。</w:t>
      </w:r>
    </w:p>
    <w:p>
      <w:pPr>
        <w:pStyle w:val="BodyText"/>
        <w:spacing w:before="12"/>
        <w:rPr>
          <w:sz w:val="29"/>
        </w:rPr>
      </w:pPr>
    </w:p>
    <w:p>
      <w:pPr>
        <w:pStyle w:val="ListParagraph"/>
        <w:numPr>
          <w:ilvl w:val="1"/>
          <w:numId w:val="8"/>
        </w:numPr>
        <w:tabs>
          <w:tab w:pos="967" w:val="left" w:leader="none"/>
        </w:tabs>
        <w:spacing w:line="237" w:lineRule="auto" w:before="0" w:after="0"/>
        <w:ind w:left="2800" w:right="190" w:hanging="2580"/>
        <w:jc w:val="both"/>
        <w:rPr>
          <w:sz w:val="21"/>
        </w:rPr>
      </w:pPr>
      <w:r>
        <w:rPr>
          <w:b/>
          <w:spacing w:val="0"/>
          <w:sz w:val="21"/>
        </w:rPr>
        <w:t>恶性肿瘤        </w:t>
      </w:r>
      <w:r>
        <w:rPr>
          <w:spacing w:val="-2"/>
          <w:sz w:val="21"/>
        </w:rPr>
        <w:t>指恶性细胞不受控制的进行性增长和扩散，浸润和破坏周围正常组</w:t>
      </w:r>
      <w:r>
        <w:rPr>
          <w:spacing w:val="-2"/>
          <w:w w:val="95"/>
          <w:sz w:val="21"/>
        </w:rPr>
        <w:t>织，可以经血管、淋巴管和体腔扩散转移到身体其它部位的疾病。 </w:t>
      </w:r>
      <w:r>
        <w:rPr>
          <w:spacing w:val="-4"/>
          <w:sz w:val="21"/>
        </w:rPr>
        <w:t>经病理学检查结果明确诊断，临床诊断属于世界卫生组织《疾病和</w:t>
      </w:r>
      <w:r>
        <w:rPr>
          <w:spacing w:val="-12"/>
          <w:w w:val="95"/>
          <w:sz w:val="21"/>
        </w:rPr>
        <w:t>有关健康问题的国际统计分类》</w:t>
      </w:r>
      <w:r>
        <w:rPr>
          <w:w w:val="95"/>
          <w:sz w:val="21"/>
        </w:rPr>
        <w:t>（ICD-10）的恶性肿瘤范畴。</w:t>
      </w:r>
    </w:p>
    <w:p>
      <w:pPr>
        <w:pStyle w:val="BodyText"/>
        <w:spacing w:before="58"/>
        <w:ind w:left="2800"/>
        <w:rPr>
          <w:rFonts w:ascii="黑体" w:eastAsia="黑体" w:hint="eastAsia"/>
        </w:rPr>
      </w:pPr>
      <w:r>
        <w:rPr>
          <w:rFonts w:ascii="黑体" w:eastAsia="黑体" w:hint="eastAsia"/>
          <w:w w:val="95"/>
        </w:rPr>
        <w:t>下列疾病不在保障范围内：</w:t>
      </w:r>
    </w:p>
    <w:p>
      <w:pPr>
        <w:pStyle w:val="ListParagraph"/>
        <w:numPr>
          <w:ilvl w:val="0"/>
          <w:numId w:val="13"/>
        </w:numPr>
        <w:tabs>
          <w:tab w:pos="3534" w:val="left" w:leader="none"/>
          <w:tab w:pos="3535" w:val="left" w:leader="none"/>
        </w:tabs>
        <w:spacing w:line="240" w:lineRule="auto" w:before="56" w:after="0"/>
        <w:ind w:left="3534" w:right="0" w:hanging="734"/>
        <w:jc w:val="left"/>
        <w:rPr>
          <w:rFonts w:ascii="黑体" w:eastAsia="黑体" w:hint="eastAsia"/>
          <w:sz w:val="21"/>
        </w:rPr>
      </w:pPr>
      <w:r>
        <w:rPr>
          <w:rFonts w:ascii="黑体" w:eastAsia="黑体" w:hint="eastAsia"/>
          <w:w w:val="95"/>
          <w:sz w:val="21"/>
        </w:rPr>
        <w:t>原位癌；</w:t>
      </w:r>
    </w:p>
    <w:p>
      <w:pPr>
        <w:pStyle w:val="ListParagraph"/>
        <w:numPr>
          <w:ilvl w:val="0"/>
          <w:numId w:val="13"/>
        </w:numPr>
        <w:tabs>
          <w:tab w:pos="3534" w:val="left" w:leader="none"/>
          <w:tab w:pos="3535" w:val="left" w:leader="none"/>
        </w:tabs>
        <w:spacing w:line="240" w:lineRule="auto" w:before="58" w:after="0"/>
        <w:ind w:left="3534" w:right="0" w:hanging="734"/>
        <w:jc w:val="left"/>
        <w:rPr>
          <w:rFonts w:ascii="黑体" w:eastAsia="黑体" w:hint="eastAsia"/>
          <w:sz w:val="21"/>
        </w:rPr>
      </w:pPr>
      <w:r>
        <w:rPr>
          <w:rFonts w:ascii="黑体" w:eastAsia="黑体" w:hint="eastAsia"/>
          <w:spacing w:val="-15"/>
          <w:sz w:val="21"/>
        </w:rPr>
        <w:t>相当于 </w:t>
      </w:r>
      <w:r>
        <w:rPr>
          <w:rFonts w:ascii="黑体" w:eastAsia="黑体" w:hint="eastAsia"/>
          <w:sz w:val="21"/>
        </w:rPr>
        <w:t>Binet</w:t>
      </w:r>
      <w:r>
        <w:rPr>
          <w:rFonts w:ascii="黑体" w:eastAsia="黑体" w:hint="eastAsia"/>
          <w:spacing w:val="-20"/>
          <w:sz w:val="21"/>
        </w:rPr>
        <w:t> 分期方案 </w:t>
      </w:r>
      <w:r>
        <w:rPr>
          <w:rFonts w:ascii="黑体" w:eastAsia="黑体" w:hint="eastAsia"/>
          <w:sz w:val="21"/>
        </w:rPr>
        <w:t>A</w:t>
      </w:r>
      <w:r>
        <w:rPr>
          <w:rFonts w:ascii="黑体" w:eastAsia="黑体" w:hint="eastAsia"/>
          <w:spacing w:val="-8"/>
          <w:sz w:val="21"/>
        </w:rPr>
        <w:t> 期程度的慢性淋巴细胞白血病；</w:t>
      </w:r>
    </w:p>
    <w:p>
      <w:pPr>
        <w:pStyle w:val="ListParagraph"/>
        <w:numPr>
          <w:ilvl w:val="0"/>
          <w:numId w:val="13"/>
        </w:numPr>
        <w:tabs>
          <w:tab w:pos="3534" w:val="left" w:leader="none"/>
          <w:tab w:pos="3535" w:val="left" w:leader="none"/>
        </w:tabs>
        <w:spacing w:line="240" w:lineRule="auto" w:before="55" w:after="0"/>
        <w:ind w:left="3534" w:right="0" w:hanging="734"/>
        <w:jc w:val="left"/>
        <w:rPr>
          <w:rFonts w:ascii="黑体" w:eastAsia="黑体" w:hint="eastAsia"/>
          <w:sz w:val="21"/>
        </w:rPr>
      </w:pPr>
      <w:r>
        <w:rPr>
          <w:rFonts w:ascii="黑体" w:eastAsia="黑体" w:hint="eastAsia"/>
          <w:spacing w:val="-14"/>
          <w:sz w:val="21"/>
        </w:rPr>
        <w:t>相当于 </w:t>
      </w:r>
      <w:r>
        <w:rPr>
          <w:rFonts w:ascii="黑体" w:eastAsia="黑体" w:hint="eastAsia"/>
          <w:sz w:val="21"/>
        </w:rPr>
        <w:t>Ann</w:t>
      </w:r>
      <w:r>
        <w:rPr>
          <w:rFonts w:ascii="黑体" w:eastAsia="黑体" w:hint="eastAsia"/>
          <w:spacing w:val="-6"/>
          <w:sz w:val="21"/>
        </w:rPr>
        <w:t> </w:t>
      </w:r>
      <w:r>
        <w:rPr>
          <w:rFonts w:ascii="黑体" w:eastAsia="黑体" w:hint="eastAsia"/>
          <w:sz w:val="21"/>
        </w:rPr>
        <w:t>Arbor</w:t>
      </w:r>
      <w:r>
        <w:rPr>
          <w:rFonts w:ascii="黑体" w:eastAsia="黑体" w:hint="eastAsia"/>
          <w:spacing w:val="-20"/>
          <w:sz w:val="21"/>
        </w:rPr>
        <w:t> 分期方案 </w:t>
      </w:r>
      <w:r>
        <w:rPr>
          <w:rFonts w:ascii="黑体" w:eastAsia="黑体" w:hint="eastAsia"/>
          <w:sz w:val="21"/>
        </w:rPr>
        <w:t>I</w:t>
      </w:r>
      <w:r>
        <w:rPr>
          <w:rFonts w:ascii="黑体" w:eastAsia="黑体" w:hint="eastAsia"/>
          <w:spacing w:val="-8"/>
          <w:sz w:val="21"/>
        </w:rPr>
        <w:t> 期程度的何杰金氏病；</w:t>
      </w:r>
    </w:p>
    <w:p>
      <w:pPr>
        <w:pStyle w:val="ListParagraph"/>
        <w:numPr>
          <w:ilvl w:val="0"/>
          <w:numId w:val="13"/>
        </w:numPr>
        <w:tabs>
          <w:tab w:pos="3534" w:val="left" w:leader="none"/>
          <w:tab w:pos="3535" w:val="left" w:leader="none"/>
        </w:tabs>
        <w:spacing w:line="240" w:lineRule="auto" w:before="55" w:after="0"/>
        <w:ind w:left="3534" w:right="0" w:hanging="734"/>
        <w:jc w:val="left"/>
        <w:rPr>
          <w:rFonts w:ascii="黑体" w:eastAsia="黑体" w:hint="eastAsia"/>
          <w:sz w:val="21"/>
        </w:rPr>
      </w:pPr>
      <w:r>
        <w:rPr>
          <w:rFonts w:ascii="黑体" w:eastAsia="黑体" w:hint="eastAsia"/>
          <w:spacing w:val="-1"/>
          <w:w w:val="99"/>
          <w:sz w:val="21"/>
        </w:rPr>
        <w:t>皮肤癌</w:t>
      </w:r>
      <w:r>
        <w:rPr>
          <w:rFonts w:ascii="黑体" w:eastAsia="黑体" w:hint="eastAsia"/>
          <w:spacing w:val="1"/>
          <w:w w:val="99"/>
          <w:sz w:val="21"/>
        </w:rPr>
        <w:t>（</w:t>
      </w:r>
      <w:r>
        <w:rPr>
          <w:rFonts w:ascii="黑体" w:eastAsia="黑体" w:hint="eastAsia"/>
          <w:spacing w:val="-1"/>
          <w:w w:val="99"/>
          <w:sz w:val="21"/>
        </w:rPr>
        <w:t>不包括恶性黑色素瘤及已发</w:t>
      </w:r>
      <w:r>
        <w:rPr>
          <w:rFonts w:ascii="黑体" w:eastAsia="黑体" w:hint="eastAsia"/>
          <w:w w:val="99"/>
          <w:sz w:val="21"/>
        </w:rPr>
        <w:t>T</w:t>
      </w:r>
      <w:r>
        <w:rPr>
          <w:rFonts w:ascii="黑体" w:eastAsia="黑体" w:hint="eastAsia"/>
          <w:spacing w:val="-1"/>
          <w:w w:val="99"/>
          <w:sz w:val="21"/>
        </w:rPr>
        <w:t>h转移的皮肤癌</w:t>
      </w:r>
      <w:r>
        <w:rPr>
          <w:rFonts w:ascii="黑体" w:eastAsia="黑体" w:hint="eastAsia"/>
          <w:spacing w:val="-104"/>
          <w:w w:val="99"/>
          <w:sz w:val="21"/>
        </w:rPr>
        <w:t>）</w:t>
      </w:r>
      <w:r>
        <w:rPr>
          <w:rFonts w:ascii="黑体" w:eastAsia="黑体" w:hint="eastAsia"/>
          <w:w w:val="99"/>
          <w:sz w:val="21"/>
        </w:rPr>
        <w:t>；</w:t>
      </w:r>
    </w:p>
    <w:p>
      <w:pPr>
        <w:spacing w:after="0" w:line="240" w:lineRule="auto"/>
        <w:jc w:val="left"/>
        <w:rPr>
          <w:rFonts w:ascii="黑体" w:eastAsia="黑体" w:hint="eastAsia"/>
          <w:sz w:val="21"/>
        </w:rPr>
        <w:sectPr>
          <w:pgSz w:w="12240" w:h="15840"/>
          <w:pgMar w:top="1400" w:bottom="280" w:left="1580" w:right="1580"/>
        </w:sectPr>
      </w:pPr>
    </w:p>
    <w:p>
      <w:pPr>
        <w:pStyle w:val="ListParagraph"/>
        <w:numPr>
          <w:ilvl w:val="0"/>
          <w:numId w:val="13"/>
        </w:numPr>
        <w:tabs>
          <w:tab w:pos="3414" w:val="left" w:leader="none"/>
          <w:tab w:pos="3415" w:val="left" w:leader="none"/>
        </w:tabs>
        <w:spacing w:line="240" w:lineRule="auto" w:before="4" w:after="0"/>
        <w:ind w:left="3414" w:right="0" w:hanging="734"/>
        <w:jc w:val="left"/>
        <w:rPr>
          <w:rFonts w:ascii="黑体" w:eastAsia="黑体" w:hint="eastAsia"/>
          <w:sz w:val="21"/>
        </w:rPr>
      </w:pPr>
      <w:r>
        <w:rPr>
          <w:rFonts w:ascii="黑体" w:eastAsia="黑体" w:hint="eastAsia"/>
          <w:spacing w:val="0"/>
          <w:w w:val="99"/>
          <w:sz w:val="21"/>
        </w:rPr>
        <w:t>TN</w:t>
      </w:r>
      <w:r>
        <w:rPr>
          <w:rFonts w:ascii="黑体" w:eastAsia="黑体" w:hint="eastAsia"/>
          <w:w w:val="99"/>
          <w:sz w:val="21"/>
        </w:rPr>
        <w:t>M</w:t>
      </w:r>
      <w:r>
        <w:rPr>
          <w:rFonts w:ascii="黑体" w:eastAsia="黑体" w:hint="eastAsia"/>
          <w:spacing w:val="-54"/>
          <w:sz w:val="21"/>
        </w:rPr>
        <w:t> </w:t>
      </w:r>
      <w:r>
        <w:rPr>
          <w:rFonts w:ascii="黑体" w:eastAsia="黑体" w:hint="eastAsia"/>
          <w:w w:val="99"/>
          <w:sz w:val="21"/>
        </w:rPr>
        <w:t>分期为</w:t>
      </w:r>
      <w:r>
        <w:rPr>
          <w:rFonts w:ascii="黑体" w:eastAsia="黑体" w:hint="eastAsia"/>
          <w:spacing w:val="-53"/>
          <w:sz w:val="21"/>
        </w:rPr>
        <w:t> </w:t>
      </w:r>
      <w:r>
        <w:rPr>
          <w:rFonts w:ascii="黑体" w:eastAsia="黑体" w:hint="eastAsia"/>
          <w:spacing w:val="0"/>
          <w:w w:val="99"/>
          <w:sz w:val="21"/>
        </w:rPr>
        <w:t>T</w:t>
      </w:r>
      <w:r>
        <w:rPr>
          <w:rFonts w:ascii="黑体" w:eastAsia="黑体" w:hint="eastAsia"/>
          <w:spacing w:val="-1"/>
          <w:w w:val="105"/>
          <w:position w:val="-2"/>
          <w:sz w:val="10"/>
        </w:rPr>
        <w:t>1</w:t>
      </w:r>
      <w:r>
        <w:rPr>
          <w:rFonts w:ascii="黑体" w:eastAsia="黑体" w:hint="eastAsia"/>
          <w:spacing w:val="-2"/>
          <w:w w:val="99"/>
          <w:sz w:val="21"/>
        </w:rPr>
        <w:t>N</w:t>
      </w:r>
      <w:r>
        <w:rPr>
          <w:rFonts w:ascii="黑体" w:eastAsia="黑体" w:hint="eastAsia"/>
          <w:spacing w:val="1"/>
          <w:w w:val="105"/>
          <w:position w:val="-2"/>
          <w:sz w:val="10"/>
        </w:rPr>
        <w:t>0</w:t>
      </w:r>
      <w:r>
        <w:rPr>
          <w:rFonts w:ascii="黑体" w:eastAsia="黑体" w:hint="eastAsia"/>
          <w:spacing w:val="-2"/>
          <w:w w:val="99"/>
          <w:sz w:val="21"/>
        </w:rPr>
        <w:t>M</w:t>
      </w:r>
      <w:r>
        <w:rPr>
          <w:rFonts w:ascii="黑体" w:eastAsia="黑体" w:hint="eastAsia"/>
          <w:w w:val="105"/>
          <w:position w:val="-2"/>
          <w:sz w:val="10"/>
        </w:rPr>
        <w:t>0</w:t>
      </w:r>
      <w:r>
        <w:rPr>
          <w:rFonts w:ascii="黑体" w:eastAsia="黑体" w:hint="eastAsia"/>
          <w:spacing w:val="-24"/>
          <w:position w:val="-2"/>
          <w:sz w:val="10"/>
        </w:rPr>
        <w:t> </w:t>
      </w:r>
      <w:r>
        <w:rPr>
          <w:rFonts w:ascii="黑体" w:eastAsia="黑体" w:hint="eastAsia"/>
          <w:spacing w:val="-1"/>
          <w:w w:val="99"/>
          <w:sz w:val="21"/>
        </w:rPr>
        <w:t>期或更轻分期的前列腺癌；</w:t>
      </w:r>
    </w:p>
    <w:p>
      <w:pPr>
        <w:pStyle w:val="ListParagraph"/>
        <w:numPr>
          <w:ilvl w:val="0"/>
          <w:numId w:val="13"/>
        </w:numPr>
        <w:tabs>
          <w:tab w:pos="3414" w:val="left" w:leader="none"/>
          <w:tab w:pos="3415" w:val="left" w:leader="none"/>
        </w:tabs>
        <w:spacing w:line="240" w:lineRule="auto" w:before="43" w:after="0"/>
        <w:ind w:left="3414" w:right="0" w:hanging="734"/>
        <w:jc w:val="left"/>
        <w:rPr>
          <w:rFonts w:ascii="黑体" w:eastAsia="黑体" w:hint="eastAsia"/>
          <w:sz w:val="21"/>
        </w:rPr>
      </w:pPr>
      <w:r>
        <w:rPr>
          <w:rFonts w:ascii="黑体" w:eastAsia="黑体" w:hint="eastAsia"/>
          <w:w w:val="95"/>
          <w:sz w:val="21"/>
        </w:rPr>
        <w:t>感染艾滋病病毒或患艾滋病期间所患恶性肿瘤。</w:t>
      </w:r>
    </w:p>
    <w:p>
      <w:pPr>
        <w:pStyle w:val="BodyText"/>
        <w:spacing w:before="12"/>
        <w:rPr>
          <w:rFonts w:ascii="黑体"/>
          <w:sz w:val="29"/>
        </w:rPr>
      </w:pPr>
    </w:p>
    <w:p>
      <w:pPr>
        <w:pStyle w:val="ListParagraph"/>
        <w:numPr>
          <w:ilvl w:val="1"/>
          <w:numId w:val="8"/>
        </w:numPr>
        <w:tabs>
          <w:tab w:pos="846" w:val="left" w:leader="none"/>
          <w:tab w:pos="847" w:val="left" w:leader="none"/>
          <w:tab w:pos="2679" w:val="left" w:leader="none"/>
        </w:tabs>
        <w:spacing w:line="237" w:lineRule="auto" w:before="0" w:after="0"/>
        <w:ind w:left="2680" w:right="220" w:hanging="2580"/>
        <w:jc w:val="left"/>
        <w:rPr>
          <w:rFonts w:ascii="黑体" w:eastAsia="黑体" w:hint="eastAsia"/>
          <w:sz w:val="21"/>
        </w:rPr>
      </w:pPr>
      <w:r>
        <w:rPr>
          <w:b/>
          <w:sz w:val="21"/>
        </w:rPr>
        <w:t>急性心肌梗塞</w:t>
        <w:tab/>
      </w:r>
      <w:r>
        <w:rPr>
          <w:w w:val="95"/>
          <w:sz w:val="21"/>
        </w:rPr>
        <w:t>指因冠状动脉阻塞导致的相应区域供血不足造成部分心肌坏死</w:t>
      </w:r>
      <w:r>
        <w:rPr>
          <w:spacing w:val="-29"/>
          <w:w w:val="95"/>
          <w:sz w:val="21"/>
        </w:rPr>
        <w:t>。</w:t>
      </w:r>
      <w:r>
        <w:rPr>
          <w:rFonts w:ascii="黑体" w:eastAsia="黑体" w:hint="eastAsia"/>
          <w:w w:val="95"/>
          <w:sz w:val="21"/>
        </w:rPr>
        <w:t>须   满足下列至少三项条件：</w:t>
      </w:r>
    </w:p>
    <w:p>
      <w:pPr>
        <w:pStyle w:val="ListParagraph"/>
        <w:numPr>
          <w:ilvl w:val="0"/>
          <w:numId w:val="14"/>
        </w:numPr>
        <w:tabs>
          <w:tab w:pos="3414" w:val="left" w:leader="none"/>
          <w:tab w:pos="3415" w:val="left" w:leader="none"/>
        </w:tabs>
        <w:spacing w:line="240" w:lineRule="auto" w:before="58" w:after="0"/>
        <w:ind w:left="3400" w:right="0" w:hanging="720"/>
        <w:jc w:val="left"/>
        <w:rPr>
          <w:sz w:val="21"/>
        </w:rPr>
      </w:pPr>
      <w:r>
        <w:rPr>
          <w:w w:val="95"/>
          <w:sz w:val="21"/>
        </w:rPr>
        <w:t>典型临床表现，例如急性胸痛等；</w:t>
      </w:r>
    </w:p>
    <w:p>
      <w:pPr>
        <w:pStyle w:val="ListParagraph"/>
        <w:numPr>
          <w:ilvl w:val="0"/>
          <w:numId w:val="14"/>
        </w:numPr>
        <w:tabs>
          <w:tab w:pos="3414" w:val="left" w:leader="none"/>
          <w:tab w:pos="3415" w:val="left" w:leader="none"/>
        </w:tabs>
        <w:spacing w:line="240" w:lineRule="auto" w:before="56" w:after="0"/>
        <w:ind w:left="3400" w:right="0" w:hanging="720"/>
        <w:jc w:val="left"/>
        <w:rPr>
          <w:sz w:val="21"/>
        </w:rPr>
      </w:pPr>
      <w:r>
        <w:rPr>
          <w:w w:val="95"/>
          <w:sz w:val="21"/>
        </w:rPr>
        <w:t>新近的心电图改变提示急性心肌梗塞；</w:t>
      </w:r>
    </w:p>
    <w:p>
      <w:pPr>
        <w:pStyle w:val="ListParagraph"/>
        <w:numPr>
          <w:ilvl w:val="0"/>
          <w:numId w:val="14"/>
        </w:numPr>
        <w:tabs>
          <w:tab w:pos="3414" w:val="left" w:leader="none"/>
          <w:tab w:pos="3415" w:val="left" w:leader="none"/>
        </w:tabs>
        <w:spacing w:line="237" w:lineRule="auto" w:before="61" w:after="0"/>
        <w:ind w:left="3400" w:right="294" w:hanging="720"/>
        <w:jc w:val="left"/>
        <w:rPr>
          <w:sz w:val="21"/>
        </w:rPr>
      </w:pPr>
      <w:r>
        <w:rPr>
          <w:w w:val="95"/>
          <w:sz w:val="21"/>
        </w:rPr>
        <w:t>心肌酶或肌钙蛋白有诊断意义的升高，或呈符合急性心肌 梗塞的动态性变化；</w:t>
      </w:r>
    </w:p>
    <w:p>
      <w:pPr>
        <w:pStyle w:val="ListParagraph"/>
        <w:numPr>
          <w:ilvl w:val="0"/>
          <w:numId w:val="14"/>
        </w:numPr>
        <w:tabs>
          <w:tab w:pos="3404" w:val="left" w:leader="none"/>
          <w:tab w:pos="3405" w:val="left" w:leader="none"/>
        </w:tabs>
        <w:spacing w:line="237" w:lineRule="auto" w:before="61" w:after="0"/>
        <w:ind w:left="3400" w:right="220" w:hanging="720"/>
        <w:jc w:val="left"/>
        <w:rPr>
          <w:sz w:val="21"/>
        </w:rPr>
      </w:pPr>
      <w:r>
        <w:rPr>
          <w:spacing w:val="-21"/>
          <w:sz w:val="21"/>
        </w:rPr>
        <w:t>发病 </w:t>
      </w:r>
      <w:r>
        <w:rPr>
          <w:sz w:val="21"/>
        </w:rPr>
        <w:t>90</w:t>
      </w:r>
      <w:r>
        <w:rPr>
          <w:spacing w:val="-9"/>
          <w:sz w:val="21"/>
        </w:rPr>
        <w:t> 天后，经检查证实左心室功能降低，如左心室射血</w:t>
      </w:r>
      <w:r>
        <w:rPr>
          <w:spacing w:val="-20"/>
          <w:sz w:val="21"/>
        </w:rPr>
        <w:t>分数低于 </w:t>
      </w:r>
      <w:r>
        <w:rPr>
          <w:sz w:val="21"/>
        </w:rPr>
        <w:t>50%。</w:t>
      </w:r>
    </w:p>
    <w:p>
      <w:pPr>
        <w:pStyle w:val="BodyText"/>
        <w:spacing w:before="0"/>
        <w:rPr>
          <w:sz w:val="20"/>
        </w:rPr>
      </w:pPr>
    </w:p>
    <w:p>
      <w:pPr>
        <w:pStyle w:val="ListParagraph"/>
        <w:numPr>
          <w:ilvl w:val="1"/>
          <w:numId w:val="8"/>
        </w:numPr>
        <w:tabs>
          <w:tab w:pos="846" w:val="left" w:leader="none"/>
          <w:tab w:pos="847" w:val="left" w:leader="none"/>
          <w:tab w:pos="2679" w:val="left" w:leader="none"/>
        </w:tabs>
        <w:spacing w:line="237" w:lineRule="auto" w:before="131" w:after="0"/>
        <w:ind w:left="2680" w:right="220" w:hanging="2580"/>
        <w:jc w:val="left"/>
        <w:rPr>
          <w:sz w:val="21"/>
        </w:rPr>
      </w:pPr>
      <w:r>
        <w:rPr>
          <w:b/>
          <w:sz w:val="21"/>
        </w:rPr>
        <w:t>脑中风后遗症</w:t>
        <w:tab/>
      </w:r>
      <w:r>
        <w:rPr>
          <w:w w:val="95"/>
          <w:sz w:val="21"/>
        </w:rPr>
        <w:t>指因脑血管的突发病变引起脑血管出血</w:t>
      </w:r>
      <w:r>
        <w:rPr>
          <w:spacing w:val="-15"/>
          <w:w w:val="95"/>
          <w:sz w:val="21"/>
        </w:rPr>
        <w:t>、</w:t>
      </w:r>
      <w:r>
        <w:rPr>
          <w:w w:val="95"/>
          <w:sz w:val="21"/>
        </w:rPr>
        <w:t>栓塞或梗塞</w:t>
      </w:r>
      <w:r>
        <w:rPr>
          <w:spacing w:val="-15"/>
          <w:w w:val="95"/>
          <w:sz w:val="21"/>
        </w:rPr>
        <w:t>，</w:t>
      </w:r>
      <w:r>
        <w:rPr>
          <w:w w:val="95"/>
          <w:sz w:val="21"/>
        </w:rPr>
        <w:t>并导致神经   系统永久性的功能障碍</w:t>
      </w:r>
      <w:r>
        <w:rPr>
          <w:spacing w:val="-15"/>
          <w:w w:val="95"/>
          <w:sz w:val="21"/>
        </w:rPr>
        <w:t>。</w:t>
      </w:r>
      <w:r>
        <w:rPr>
          <w:w w:val="95"/>
          <w:sz w:val="21"/>
        </w:rPr>
        <w:t>神经系统永久性的功能障碍</w:t>
      </w:r>
      <w:r>
        <w:rPr>
          <w:spacing w:val="-15"/>
          <w:w w:val="95"/>
          <w:sz w:val="21"/>
        </w:rPr>
        <w:t>，</w:t>
      </w:r>
      <w:r>
        <w:rPr>
          <w:w w:val="95"/>
          <w:sz w:val="21"/>
        </w:rPr>
        <w:t>指疾病确诊</w:t>
      </w:r>
    </w:p>
    <w:p>
      <w:pPr>
        <w:pStyle w:val="BodyText"/>
        <w:spacing w:line="274" w:lineRule="exact" w:before="0"/>
        <w:ind w:left="2680"/>
      </w:pPr>
      <w:r>
        <w:rPr/>
        <w:t>180 天后，仍遗留下列一种或一种以上障碍：</w:t>
      </w:r>
    </w:p>
    <w:p>
      <w:pPr>
        <w:pStyle w:val="ListParagraph"/>
        <w:numPr>
          <w:ilvl w:val="0"/>
          <w:numId w:val="15"/>
        </w:numPr>
        <w:tabs>
          <w:tab w:pos="3414" w:val="left" w:leader="none"/>
          <w:tab w:pos="3415" w:val="left" w:leader="none"/>
        </w:tabs>
        <w:spacing w:line="240" w:lineRule="auto" w:before="58" w:after="0"/>
        <w:ind w:left="3400" w:right="0" w:hanging="720"/>
        <w:jc w:val="left"/>
        <w:rPr>
          <w:sz w:val="21"/>
        </w:rPr>
      </w:pPr>
      <w:r>
        <w:rPr>
          <w:spacing w:val="-1"/>
          <w:w w:val="99"/>
          <w:sz w:val="21"/>
        </w:rPr>
        <w:t>一肢或一肢以上</w:t>
      </w:r>
      <w:r>
        <w:rPr>
          <w:b/>
          <w:spacing w:val="0"/>
          <w:w w:val="99"/>
          <w:sz w:val="21"/>
        </w:rPr>
        <w:t>肢体机能完全丧失</w:t>
      </w:r>
      <w:r>
        <w:rPr>
          <w:spacing w:val="-1"/>
          <w:w w:val="99"/>
          <w:sz w:val="21"/>
        </w:rPr>
        <w:t>（</w:t>
      </w:r>
      <w:r>
        <w:rPr>
          <w:w w:val="99"/>
          <w:sz w:val="21"/>
        </w:rPr>
        <w:t>见</w:t>
      </w:r>
      <w:r>
        <w:rPr>
          <w:spacing w:val="-50"/>
          <w:sz w:val="21"/>
        </w:rPr>
        <w:t> </w:t>
      </w:r>
      <w:r>
        <w:rPr>
          <w:spacing w:val="0"/>
          <w:w w:val="99"/>
          <w:sz w:val="21"/>
        </w:rPr>
        <w:t>11</w:t>
      </w:r>
      <w:r>
        <w:rPr>
          <w:spacing w:val="-2"/>
          <w:w w:val="99"/>
          <w:sz w:val="21"/>
        </w:rPr>
        <w:t>.</w:t>
      </w:r>
      <w:r>
        <w:rPr>
          <w:spacing w:val="0"/>
          <w:w w:val="99"/>
          <w:sz w:val="21"/>
        </w:rPr>
        <w:t>24</w:t>
      </w:r>
      <w:r>
        <w:rPr>
          <w:spacing w:val="-106"/>
          <w:w w:val="99"/>
          <w:sz w:val="21"/>
        </w:rPr>
        <w:t>）</w:t>
      </w:r>
      <w:r>
        <w:rPr>
          <w:w w:val="99"/>
          <w:sz w:val="21"/>
        </w:rPr>
        <w:t>；</w:t>
      </w:r>
    </w:p>
    <w:p>
      <w:pPr>
        <w:pStyle w:val="ListParagraph"/>
        <w:numPr>
          <w:ilvl w:val="0"/>
          <w:numId w:val="15"/>
        </w:numPr>
        <w:tabs>
          <w:tab w:pos="3414" w:val="left" w:leader="none"/>
          <w:tab w:pos="3415" w:val="left" w:leader="none"/>
        </w:tabs>
        <w:spacing w:line="240" w:lineRule="auto" w:before="55" w:after="0"/>
        <w:ind w:left="3400" w:right="0" w:hanging="720"/>
        <w:jc w:val="left"/>
        <w:rPr>
          <w:sz w:val="21"/>
        </w:rPr>
      </w:pPr>
      <w:r>
        <w:rPr>
          <w:b/>
          <w:spacing w:val="-1"/>
          <w:w w:val="99"/>
          <w:sz w:val="21"/>
        </w:rPr>
        <w:t>语言能力或咀嚼吞咽能力完全丧失</w:t>
      </w:r>
      <w:r>
        <w:rPr>
          <w:spacing w:val="1"/>
          <w:w w:val="99"/>
          <w:sz w:val="21"/>
        </w:rPr>
        <w:t>（</w:t>
      </w:r>
      <w:r>
        <w:rPr>
          <w:w w:val="99"/>
          <w:sz w:val="21"/>
        </w:rPr>
        <w:t>见</w:t>
      </w:r>
      <w:r>
        <w:rPr>
          <w:spacing w:val="-53"/>
          <w:sz w:val="21"/>
        </w:rPr>
        <w:t> </w:t>
      </w:r>
      <w:r>
        <w:rPr>
          <w:spacing w:val="0"/>
          <w:w w:val="99"/>
          <w:sz w:val="21"/>
        </w:rPr>
        <w:t>11</w:t>
      </w:r>
      <w:r>
        <w:rPr>
          <w:spacing w:val="-2"/>
          <w:w w:val="99"/>
          <w:sz w:val="21"/>
        </w:rPr>
        <w:t>.</w:t>
      </w:r>
      <w:r>
        <w:rPr>
          <w:spacing w:val="0"/>
          <w:w w:val="99"/>
          <w:sz w:val="21"/>
        </w:rPr>
        <w:t>25</w:t>
      </w:r>
      <w:r>
        <w:rPr>
          <w:spacing w:val="-106"/>
          <w:w w:val="99"/>
          <w:sz w:val="21"/>
        </w:rPr>
        <w:t>）</w:t>
      </w:r>
      <w:r>
        <w:rPr>
          <w:w w:val="99"/>
          <w:sz w:val="21"/>
        </w:rPr>
        <w:t>；</w:t>
      </w:r>
    </w:p>
    <w:p>
      <w:pPr>
        <w:pStyle w:val="ListParagraph"/>
        <w:numPr>
          <w:ilvl w:val="0"/>
          <w:numId w:val="15"/>
        </w:numPr>
        <w:tabs>
          <w:tab w:pos="3414" w:val="left" w:leader="none"/>
          <w:tab w:pos="3415" w:val="left" w:leader="none"/>
        </w:tabs>
        <w:spacing w:line="240" w:lineRule="auto" w:before="56" w:after="0"/>
        <w:ind w:left="3400" w:right="289" w:hanging="720"/>
        <w:jc w:val="left"/>
        <w:rPr>
          <w:sz w:val="21"/>
        </w:rPr>
      </w:pPr>
      <w:r>
        <w:rPr>
          <w:w w:val="95"/>
          <w:sz w:val="21"/>
        </w:rPr>
        <w:t>自主生活能力完全丧失，无法独立完成</w:t>
      </w:r>
      <w:r>
        <w:rPr>
          <w:b/>
          <w:w w:val="95"/>
          <w:sz w:val="21"/>
        </w:rPr>
        <w:t>六项基本日常生活 </w:t>
      </w:r>
      <w:r>
        <w:rPr>
          <w:b/>
          <w:sz w:val="21"/>
        </w:rPr>
        <w:t>活动</w:t>
      </w:r>
      <w:r>
        <w:rPr>
          <w:sz w:val="21"/>
        </w:rPr>
        <w:t>（</w:t>
      </w:r>
      <w:r>
        <w:rPr>
          <w:spacing w:val="-33"/>
          <w:sz w:val="21"/>
        </w:rPr>
        <w:t>见 </w:t>
      </w:r>
      <w:r>
        <w:rPr>
          <w:sz w:val="21"/>
        </w:rPr>
        <w:t>11.26）中的三项或三项以上。</w:t>
      </w:r>
    </w:p>
    <w:p>
      <w:pPr>
        <w:pStyle w:val="BodyText"/>
        <w:spacing w:before="2"/>
        <w:rPr>
          <w:sz w:val="27"/>
        </w:rPr>
      </w:pPr>
    </w:p>
    <w:p>
      <w:pPr>
        <w:spacing w:after="0"/>
        <w:rPr>
          <w:sz w:val="27"/>
        </w:rPr>
        <w:sectPr>
          <w:pgSz w:w="12240" w:h="15840"/>
          <w:pgMar w:top="1460" w:bottom="280" w:left="1700" w:right="1580"/>
        </w:sectPr>
      </w:pPr>
    </w:p>
    <w:p>
      <w:pPr>
        <w:pStyle w:val="Heading2"/>
        <w:numPr>
          <w:ilvl w:val="1"/>
          <w:numId w:val="8"/>
        </w:numPr>
        <w:tabs>
          <w:tab w:pos="846" w:val="left" w:leader="none"/>
          <w:tab w:pos="847" w:val="left" w:leader="none"/>
        </w:tabs>
        <w:spacing w:line="273" w:lineRule="exact" w:before="35" w:after="0"/>
        <w:ind w:left="846" w:right="0" w:hanging="746"/>
        <w:jc w:val="left"/>
      </w:pPr>
      <w:r>
        <w:rPr>
          <w:w w:val="95"/>
        </w:rPr>
        <w:t>重大器官移植术</w:t>
      </w:r>
    </w:p>
    <w:p>
      <w:pPr>
        <w:spacing w:line="237" w:lineRule="auto" w:before="1"/>
        <w:ind w:left="846" w:right="0" w:firstLine="0"/>
        <w:jc w:val="left"/>
        <w:rPr>
          <w:b/>
          <w:sz w:val="21"/>
        </w:rPr>
      </w:pPr>
      <w:r>
        <w:rPr>
          <w:b/>
          <w:w w:val="95"/>
          <w:sz w:val="21"/>
        </w:rPr>
        <w:t>或造血干细胞移植术</w:t>
      </w:r>
    </w:p>
    <w:p>
      <w:pPr>
        <w:pStyle w:val="BodyText"/>
        <w:spacing w:line="237" w:lineRule="auto" w:before="37"/>
        <w:ind w:left="100" w:right="114"/>
      </w:pPr>
      <w:r>
        <w:rPr/>
        <w:br w:type="column"/>
      </w:r>
      <w:r>
        <w:rPr>
          <w:spacing w:val="-10"/>
          <w:w w:val="95"/>
        </w:rPr>
        <w:t>重大器官移植术，指因相应器官功能衰竭，已经实施了肾脏、肝脏、  心脏或肺脏的异体移植手术。</w:t>
      </w:r>
    </w:p>
    <w:p>
      <w:pPr>
        <w:pStyle w:val="BodyText"/>
        <w:spacing w:line="237" w:lineRule="auto" w:before="58"/>
        <w:ind w:left="100" w:right="220"/>
        <w:jc w:val="both"/>
      </w:pPr>
      <w:r>
        <w:rPr>
          <w:spacing w:val="-3"/>
          <w:w w:val="95"/>
        </w:rPr>
        <w:t>造血干细胞移植术，指因造血功能损害或造血系统恶性肿瘤，已经  </w:t>
      </w:r>
      <w:r>
        <w:rPr>
          <w:spacing w:val="-5"/>
          <w:w w:val="95"/>
        </w:rPr>
        <w:t>实施了造血干细胞</w:t>
      </w:r>
      <w:r>
        <w:rPr>
          <w:w w:val="95"/>
        </w:rPr>
        <w:t>（</w:t>
      </w:r>
      <w:r>
        <w:rPr>
          <w:spacing w:val="-2"/>
          <w:w w:val="95"/>
        </w:rPr>
        <w:t>包括骨髓造血干细胞、外周血造血干细胞和脐  血造血干细胞）的异体移植手术。</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1"/>
        <w:rPr>
          <w:sz w:val="27"/>
        </w:rPr>
      </w:pPr>
    </w:p>
    <w:p>
      <w:pPr>
        <w:spacing w:after="0"/>
        <w:rPr>
          <w:sz w:val="27"/>
        </w:rPr>
        <w:sectPr>
          <w:type w:val="continuous"/>
          <w:pgSz w:w="12240" w:h="15840"/>
          <w:pgMar w:top="900" w:bottom="280" w:left="1700" w:right="1580"/>
        </w:sectPr>
      </w:pPr>
    </w:p>
    <w:p>
      <w:pPr>
        <w:pStyle w:val="Heading2"/>
        <w:numPr>
          <w:ilvl w:val="1"/>
          <w:numId w:val="8"/>
        </w:numPr>
        <w:tabs>
          <w:tab w:pos="846" w:val="left" w:leader="none"/>
          <w:tab w:pos="847" w:val="left" w:leader="none"/>
        </w:tabs>
        <w:spacing w:line="274" w:lineRule="exact" w:before="35" w:after="0"/>
        <w:ind w:left="846" w:right="0" w:hanging="746"/>
        <w:jc w:val="left"/>
      </w:pPr>
      <w:r>
        <w:rPr>
          <w:w w:val="95"/>
        </w:rPr>
        <w:t>冠状动脉搭桥术</w:t>
      </w:r>
    </w:p>
    <w:p>
      <w:pPr>
        <w:spacing w:line="237" w:lineRule="auto" w:before="2"/>
        <w:ind w:left="846" w:right="0" w:firstLine="0"/>
        <w:jc w:val="left"/>
        <w:rPr>
          <w:b/>
          <w:sz w:val="21"/>
        </w:rPr>
      </w:pPr>
      <w:r>
        <w:rPr>
          <w:b/>
          <w:w w:val="95"/>
          <w:sz w:val="21"/>
        </w:rPr>
        <w:t>（或称冠状动脉旁路移植术）</w:t>
      </w:r>
    </w:p>
    <w:p>
      <w:pPr>
        <w:pStyle w:val="BodyText"/>
        <w:spacing w:before="35"/>
        <w:ind w:left="100" w:right="220"/>
      </w:pPr>
      <w:r>
        <w:rPr/>
        <w:br w:type="column"/>
      </w:r>
      <w:r>
        <w:rPr>
          <w:spacing w:val="-3"/>
          <w:w w:val="95"/>
        </w:rPr>
        <w:t>指为治疗严重的冠心病，实际实施了开胸进行的冠状动脉血管旁路  移植的手术。</w:t>
      </w:r>
    </w:p>
    <w:p>
      <w:pPr>
        <w:pStyle w:val="BodyText"/>
        <w:ind w:left="100" w:right="220"/>
      </w:pPr>
      <w:r>
        <w:rPr>
          <w:rFonts w:ascii="黑体" w:eastAsia="黑体" w:hint="eastAsia"/>
          <w:spacing w:val="-3"/>
          <w:w w:val="95"/>
        </w:rPr>
        <w:t>冠状动脉支架植入术、心导管球囊扩张术、激光射频技术及其它非  开胸的介入手术、腔镜手术不在保障范围内</w:t>
      </w:r>
      <w:r>
        <w:rPr>
          <w:spacing w:val="-3"/>
          <w:w w:val="95"/>
        </w:rPr>
        <w:t>。</w:t>
      </w:r>
    </w:p>
    <w:p>
      <w:pPr>
        <w:spacing w:after="0"/>
        <w:sectPr>
          <w:type w:val="continuous"/>
          <w:pgSz w:w="12240" w:h="15840"/>
          <w:pgMar w:top="900" w:bottom="280" w:left="1700" w:right="1580"/>
          <w:cols w:num="2" w:equalWidth="0">
            <w:col w:w="2321" w:space="259"/>
            <w:col w:w="6380"/>
          </w:cols>
        </w:sectPr>
      </w:pPr>
    </w:p>
    <w:p>
      <w:pPr>
        <w:pStyle w:val="BodyText"/>
        <w:spacing w:before="2"/>
        <w:rPr>
          <w:sz w:val="27"/>
        </w:rPr>
      </w:pPr>
    </w:p>
    <w:p>
      <w:pPr>
        <w:spacing w:after="0"/>
        <w:rPr>
          <w:sz w:val="27"/>
        </w:rPr>
        <w:sectPr>
          <w:type w:val="continuous"/>
          <w:pgSz w:w="12240" w:h="15840"/>
          <w:pgMar w:top="900" w:bottom="280" w:left="1700" w:right="1580"/>
        </w:sectPr>
      </w:pPr>
    </w:p>
    <w:p>
      <w:pPr>
        <w:pStyle w:val="Heading2"/>
        <w:numPr>
          <w:ilvl w:val="1"/>
          <w:numId w:val="8"/>
        </w:numPr>
        <w:tabs>
          <w:tab w:pos="846" w:val="left" w:leader="none"/>
          <w:tab w:pos="847" w:val="left" w:leader="none"/>
        </w:tabs>
        <w:spacing w:line="273" w:lineRule="exact" w:before="34" w:after="0"/>
        <w:ind w:left="846" w:right="0" w:hanging="746"/>
        <w:jc w:val="left"/>
      </w:pPr>
      <w:r>
        <w:rPr>
          <w:spacing w:val="-14"/>
          <w:w w:val="95"/>
        </w:rPr>
        <w:t>终末期肾病</w:t>
      </w:r>
      <w:r>
        <w:rPr>
          <w:w w:val="95"/>
        </w:rPr>
        <w:t>（或称</w:t>
      </w:r>
    </w:p>
    <w:p>
      <w:pPr>
        <w:spacing w:before="0"/>
        <w:ind w:left="846" w:right="139" w:firstLine="0"/>
        <w:jc w:val="left"/>
        <w:rPr>
          <w:b/>
          <w:sz w:val="21"/>
        </w:rPr>
      </w:pPr>
      <w:r>
        <w:rPr>
          <w:b/>
          <w:w w:val="95"/>
          <w:sz w:val="21"/>
        </w:rPr>
        <w:t>慢性肾功能衰竭尿毒症期）</w:t>
      </w:r>
    </w:p>
    <w:p>
      <w:pPr>
        <w:pStyle w:val="BodyText"/>
        <w:spacing w:line="237" w:lineRule="auto" w:before="37"/>
        <w:ind w:left="100" w:right="162"/>
      </w:pPr>
      <w:r>
        <w:rPr/>
        <w:br w:type="column"/>
      </w:r>
      <w:r>
        <w:rPr>
          <w:w w:val="95"/>
        </w:rPr>
        <w:t>指双肾功能慢性不可逆性衰竭，达到尿毒症期，经诊断后已经进行 </w:t>
      </w:r>
      <w:r>
        <w:rPr/>
        <w:t>了至少 90 天的规律性透析治疗或实施了肾脏移植手术。</w:t>
      </w:r>
    </w:p>
    <w:p>
      <w:pPr>
        <w:spacing w:after="0" w:line="237" w:lineRule="auto"/>
        <w:sectPr>
          <w:type w:val="continuous"/>
          <w:pgSz w:w="12240" w:h="15840"/>
          <w:pgMar w:top="900" w:bottom="280" w:left="1700" w:right="1580"/>
          <w:cols w:num="2" w:equalWidth="0">
            <w:col w:w="2462" w:space="118"/>
            <w:col w:w="6380"/>
          </w:cols>
        </w:sectPr>
      </w:pPr>
    </w:p>
    <w:p>
      <w:pPr>
        <w:pStyle w:val="BodyText"/>
        <w:spacing w:before="4"/>
        <w:rPr>
          <w:sz w:val="27"/>
        </w:rPr>
      </w:pPr>
    </w:p>
    <w:p>
      <w:pPr>
        <w:pStyle w:val="ListParagraph"/>
        <w:numPr>
          <w:ilvl w:val="1"/>
          <w:numId w:val="8"/>
        </w:numPr>
        <w:tabs>
          <w:tab w:pos="846" w:val="left" w:leader="none"/>
          <w:tab w:pos="847" w:val="left" w:leader="none"/>
          <w:tab w:pos="2679" w:val="left" w:leader="none"/>
        </w:tabs>
        <w:spacing w:line="273" w:lineRule="exact" w:before="35" w:after="0"/>
        <w:ind w:left="846" w:right="0" w:hanging="746"/>
        <w:jc w:val="left"/>
        <w:rPr>
          <w:sz w:val="21"/>
        </w:rPr>
      </w:pPr>
      <w:r>
        <w:rPr>
          <w:b/>
          <w:sz w:val="21"/>
        </w:rPr>
        <w:t>多个肢体缺失</w:t>
        <w:tab/>
      </w:r>
      <w:r>
        <w:rPr>
          <w:w w:val="95"/>
          <w:sz w:val="21"/>
        </w:rPr>
        <w:t>指因疾病或意外伤害导致两个或两个以上肢体自腕关节或踝关节</w:t>
      </w:r>
    </w:p>
    <w:p>
      <w:pPr>
        <w:pStyle w:val="BodyText"/>
        <w:spacing w:line="273" w:lineRule="exact" w:before="0"/>
        <w:ind w:left="2680"/>
      </w:pPr>
      <w:r>
        <w:rPr>
          <w:w w:val="95"/>
        </w:rPr>
        <w:t>近端（靠近躯干端）以上完全性断离。</w:t>
      </w:r>
    </w:p>
    <w:p>
      <w:pPr>
        <w:pStyle w:val="BodyText"/>
        <w:spacing w:before="4"/>
        <w:rPr>
          <w:sz w:val="27"/>
        </w:rPr>
      </w:pPr>
    </w:p>
    <w:p>
      <w:pPr>
        <w:spacing w:after="0"/>
        <w:rPr>
          <w:sz w:val="27"/>
        </w:rPr>
        <w:sectPr>
          <w:type w:val="continuous"/>
          <w:pgSz w:w="12240" w:h="15840"/>
          <w:pgMar w:top="900" w:bottom="280" w:left="1700" w:right="1580"/>
        </w:sectPr>
      </w:pPr>
    </w:p>
    <w:p>
      <w:pPr>
        <w:pStyle w:val="Heading2"/>
        <w:numPr>
          <w:ilvl w:val="1"/>
          <w:numId w:val="8"/>
        </w:numPr>
        <w:tabs>
          <w:tab w:pos="846" w:val="left" w:leader="none"/>
          <w:tab w:pos="847" w:val="left" w:leader="none"/>
        </w:tabs>
        <w:spacing w:line="237" w:lineRule="auto" w:before="37" w:after="0"/>
        <w:ind w:left="846" w:right="0" w:hanging="746"/>
        <w:jc w:val="left"/>
      </w:pPr>
      <w:r>
        <w:rPr>
          <w:w w:val="95"/>
        </w:rPr>
        <w:t>急性或亚急性重症肝炎</w:t>
      </w:r>
    </w:p>
    <w:p>
      <w:pPr>
        <w:pStyle w:val="BodyText"/>
        <w:spacing w:line="237" w:lineRule="auto" w:before="37"/>
        <w:ind w:left="100" w:right="400"/>
        <w:rPr>
          <w:rFonts w:ascii="黑体" w:eastAsia="黑体" w:hint="eastAsia"/>
        </w:rPr>
      </w:pPr>
      <w:r>
        <w:rPr/>
        <w:br w:type="column"/>
      </w:r>
      <w:r>
        <w:rPr>
          <w:w w:val="95"/>
        </w:rPr>
        <w:t>指因肝炎病毒感染引起肝脏组织弥漫性坏死，导致急性肝功能衰 竭，且经血清学或病毒学检查证实，</w:t>
      </w:r>
      <w:r>
        <w:rPr>
          <w:rFonts w:ascii="黑体" w:eastAsia="黑体" w:hint="eastAsia"/>
          <w:w w:val="95"/>
        </w:rPr>
        <w:t>并须满足下列全部条件：</w:t>
      </w:r>
    </w:p>
    <w:p>
      <w:pPr>
        <w:pStyle w:val="ListParagraph"/>
        <w:numPr>
          <w:ilvl w:val="0"/>
          <w:numId w:val="16"/>
        </w:numPr>
        <w:tabs>
          <w:tab w:pos="834" w:val="left" w:leader="none"/>
          <w:tab w:pos="835" w:val="left" w:leader="none"/>
        </w:tabs>
        <w:spacing w:line="240" w:lineRule="auto" w:before="55" w:after="0"/>
        <w:ind w:left="834" w:right="0" w:hanging="734"/>
        <w:jc w:val="left"/>
        <w:rPr>
          <w:sz w:val="21"/>
        </w:rPr>
      </w:pPr>
      <w:r>
        <w:rPr>
          <w:w w:val="95"/>
          <w:sz w:val="21"/>
        </w:rPr>
        <w:t>重度黄疸或黄疸迅速加重；</w:t>
      </w:r>
    </w:p>
    <w:p>
      <w:pPr>
        <w:spacing w:after="0" w:line="240" w:lineRule="auto"/>
        <w:jc w:val="left"/>
        <w:rPr>
          <w:sz w:val="21"/>
        </w:rPr>
        <w:sectPr>
          <w:type w:val="continuous"/>
          <w:pgSz w:w="12240" w:h="15840"/>
          <w:pgMar w:top="900" w:bottom="280" w:left="1700" w:right="1580"/>
          <w:cols w:num="2" w:equalWidth="0">
            <w:col w:w="2321" w:space="259"/>
            <w:col w:w="6380"/>
          </w:cols>
        </w:sectPr>
      </w:pPr>
    </w:p>
    <w:p>
      <w:pPr>
        <w:pStyle w:val="ListParagraph"/>
        <w:numPr>
          <w:ilvl w:val="1"/>
          <w:numId w:val="16"/>
        </w:numPr>
        <w:tabs>
          <w:tab w:pos="3474" w:val="left" w:leader="none"/>
          <w:tab w:pos="3475" w:val="left" w:leader="none"/>
        </w:tabs>
        <w:spacing w:line="240" w:lineRule="auto" w:before="4" w:after="0"/>
        <w:ind w:left="3474" w:right="0" w:hanging="734"/>
        <w:jc w:val="left"/>
        <w:rPr>
          <w:sz w:val="21"/>
        </w:rPr>
      </w:pPr>
      <w:r>
        <w:rPr>
          <w:w w:val="95"/>
          <w:sz w:val="21"/>
        </w:rPr>
        <w:t>肝性脑病；</w:t>
      </w:r>
    </w:p>
    <w:p>
      <w:pPr>
        <w:pStyle w:val="ListParagraph"/>
        <w:numPr>
          <w:ilvl w:val="1"/>
          <w:numId w:val="16"/>
        </w:numPr>
        <w:tabs>
          <w:tab w:pos="3474" w:val="left" w:leader="none"/>
          <w:tab w:pos="3475" w:val="left" w:leader="none"/>
        </w:tabs>
        <w:spacing w:line="240" w:lineRule="auto" w:before="58" w:after="0"/>
        <w:ind w:left="3474" w:right="0" w:hanging="734"/>
        <w:jc w:val="left"/>
        <w:rPr>
          <w:sz w:val="21"/>
        </w:rPr>
      </w:pPr>
      <w:r>
        <w:rPr>
          <w:sz w:val="21"/>
        </w:rPr>
        <w:t>B</w:t>
      </w:r>
      <w:r>
        <w:rPr>
          <w:spacing w:val="-9"/>
          <w:sz w:val="21"/>
        </w:rPr>
        <w:t> 超或其它影像学检查显示肝脏体积急速萎缩；</w:t>
      </w:r>
    </w:p>
    <w:p>
      <w:pPr>
        <w:pStyle w:val="ListParagraph"/>
        <w:numPr>
          <w:ilvl w:val="1"/>
          <w:numId w:val="16"/>
        </w:numPr>
        <w:tabs>
          <w:tab w:pos="3474" w:val="left" w:leader="none"/>
          <w:tab w:pos="3475" w:val="left" w:leader="none"/>
        </w:tabs>
        <w:spacing w:line="240" w:lineRule="auto" w:before="56" w:after="0"/>
        <w:ind w:left="3474" w:right="0" w:hanging="734"/>
        <w:jc w:val="left"/>
        <w:rPr>
          <w:sz w:val="21"/>
        </w:rPr>
      </w:pPr>
      <w:r>
        <w:rPr>
          <w:w w:val="95"/>
          <w:sz w:val="21"/>
        </w:rPr>
        <w:t>肝功能指标进行性恶化。</w:t>
      </w:r>
    </w:p>
    <w:p>
      <w:pPr>
        <w:pStyle w:val="BodyText"/>
        <w:spacing w:before="0"/>
        <w:rPr>
          <w:sz w:val="20"/>
        </w:rPr>
      </w:pPr>
    </w:p>
    <w:p>
      <w:pPr>
        <w:pStyle w:val="BodyText"/>
        <w:spacing w:before="10"/>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15"/>
        <w:gridCol w:w="6393"/>
      </w:tblGrid>
      <w:tr>
        <w:trPr>
          <w:trHeight w:val="241" w:hRule="atLeast"/>
        </w:trPr>
        <w:tc>
          <w:tcPr>
            <w:tcW w:w="635" w:type="dxa"/>
          </w:tcPr>
          <w:p>
            <w:pPr>
              <w:pStyle w:val="TableParagraph"/>
              <w:spacing w:line="209" w:lineRule="exact"/>
              <w:ind w:left="50"/>
              <w:rPr>
                <w:b/>
                <w:sz w:val="21"/>
              </w:rPr>
            </w:pPr>
            <w:r>
              <w:rPr>
                <w:b/>
                <w:sz w:val="21"/>
              </w:rPr>
              <w:t>9.9</w:t>
            </w:r>
          </w:p>
        </w:tc>
        <w:tc>
          <w:tcPr>
            <w:tcW w:w="1815" w:type="dxa"/>
          </w:tcPr>
          <w:p>
            <w:pPr>
              <w:pStyle w:val="TableParagraph"/>
              <w:spacing w:line="209" w:lineRule="exact"/>
              <w:ind w:left="161"/>
              <w:rPr>
                <w:b/>
                <w:sz w:val="21"/>
              </w:rPr>
            </w:pPr>
            <w:r>
              <w:rPr>
                <w:b/>
                <w:w w:val="95"/>
                <w:sz w:val="21"/>
              </w:rPr>
              <w:t>良性脑肿瘤</w:t>
            </w:r>
          </w:p>
        </w:tc>
        <w:tc>
          <w:tcPr>
            <w:tcW w:w="6393" w:type="dxa"/>
          </w:tcPr>
          <w:p>
            <w:pPr>
              <w:pStyle w:val="TableParagraph"/>
              <w:spacing w:line="209" w:lineRule="exact"/>
              <w:ind w:left="180"/>
              <w:rPr>
                <w:sz w:val="21"/>
              </w:rPr>
            </w:pPr>
            <w:r>
              <w:rPr>
                <w:w w:val="95"/>
                <w:sz w:val="21"/>
              </w:rPr>
              <w:t>指脑的良性肿瘤，已经引起颅内压增高，临床表现为视神经乳头水</w:t>
            </w:r>
          </w:p>
        </w:tc>
      </w:tr>
      <w:tr>
        <w:trPr>
          <w:trHeight w:val="272"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393" w:type="dxa"/>
          </w:tcPr>
          <w:p>
            <w:pPr>
              <w:pStyle w:val="TableParagraph"/>
              <w:spacing w:line="241" w:lineRule="exact"/>
              <w:ind w:left="180"/>
              <w:rPr>
                <w:sz w:val="21"/>
              </w:rPr>
            </w:pPr>
            <w:r>
              <w:rPr>
                <w:w w:val="95"/>
                <w:sz w:val="21"/>
              </w:rPr>
              <w:t>肿、精神症状、癫痫及运动感觉障碍等，并危及生命。须由头颅断</w:t>
            </w:r>
          </w:p>
        </w:tc>
      </w:tr>
      <w:tr>
        <w:trPr>
          <w:trHeight w:val="272"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393" w:type="dxa"/>
          </w:tcPr>
          <w:p>
            <w:pPr>
              <w:pStyle w:val="TableParagraph"/>
              <w:spacing w:line="240" w:lineRule="exact"/>
              <w:ind w:left="180"/>
              <w:rPr>
                <w:sz w:val="21"/>
              </w:rPr>
            </w:pPr>
            <w:r>
              <w:rPr>
                <w:spacing w:val="-2"/>
                <w:w w:val="99"/>
                <w:sz w:val="21"/>
              </w:rPr>
              <w:t>层扫描</w:t>
            </w:r>
            <w:r>
              <w:rPr>
                <w:spacing w:val="-1"/>
                <w:w w:val="99"/>
                <w:sz w:val="21"/>
              </w:rPr>
              <w:t>（</w:t>
            </w:r>
            <w:r>
              <w:rPr>
                <w:spacing w:val="0"/>
                <w:w w:val="99"/>
                <w:sz w:val="21"/>
              </w:rPr>
              <w:t>CT</w:t>
            </w:r>
            <w:r>
              <w:rPr>
                <w:spacing w:val="-106"/>
                <w:w w:val="99"/>
                <w:sz w:val="21"/>
              </w:rPr>
              <w:t>）</w:t>
            </w:r>
            <w:r>
              <w:rPr>
                <w:spacing w:val="-3"/>
                <w:w w:val="99"/>
                <w:sz w:val="21"/>
              </w:rPr>
              <w:t>、核磁共振检查</w:t>
            </w:r>
            <w:r>
              <w:rPr>
                <w:spacing w:val="-1"/>
                <w:w w:val="99"/>
                <w:sz w:val="21"/>
              </w:rPr>
              <w:t>（</w:t>
            </w:r>
            <w:r>
              <w:rPr>
                <w:spacing w:val="0"/>
                <w:w w:val="99"/>
                <w:sz w:val="21"/>
              </w:rPr>
              <w:t>MRI</w:t>
            </w:r>
            <w:r>
              <w:rPr>
                <w:spacing w:val="-5"/>
                <w:w w:val="99"/>
                <w:sz w:val="21"/>
              </w:rPr>
              <w:t>）</w:t>
            </w:r>
            <w:r>
              <w:rPr>
                <w:spacing w:val="-2"/>
                <w:w w:val="99"/>
                <w:sz w:val="21"/>
              </w:rPr>
              <w:t>或正电子发射断层扫描</w:t>
            </w:r>
            <w:r>
              <w:rPr>
                <w:spacing w:val="1"/>
                <w:w w:val="99"/>
                <w:sz w:val="21"/>
              </w:rPr>
              <w:t>（</w:t>
            </w:r>
            <w:r>
              <w:rPr>
                <w:spacing w:val="0"/>
                <w:w w:val="99"/>
                <w:sz w:val="21"/>
              </w:rPr>
              <w:t>PE</w:t>
            </w:r>
            <w:r>
              <w:rPr>
                <w:spacing w:val="-2"/>
                <w:w w:val="99"/>
                <w:sz w:val="21"/>
              </w:rPr>
              <w:t>T</w:t>
            </w:r>
            <w:r>
              <w:rPr>
                <w:w w:val="99"/>
                <w:sz w:val="21"/>
              </w:rPr>
              <w:t>）</w:t>
            </w:r>
          </w:p>
        </w:tc>
      </w:tr>
      <w:tr>
        <w:trPr>
          <w:trHeight w:val="1465"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393" w:type="dxa"/>
          </w:tcPr>
          <w:p>
            <w:pPr>
              <w:pStyle w:val="TableParagraph"/>
              <w:spacing w:line="241" w:lineRule="exact"/>
              <w:ind w:left="180"/>
              <w:rPr>
                <w:rFonts w:ascii="黑体" w:eastAsia="黑体" w:hint="eastAsia"/>
                <w:sz w:val="21"/>
              </w:rPr>
            </w:pPr>
            <w:r>
              <w:rPr>
                <w:w w:val="95"/>
                <w:sz w:val="21"/>
              </w:rPr>
              <w:t>等影像学检查证实，</w:t>
            </w:r>
            <w:r>
              <w:rPr>
                <w:rFonts w:ascii="黑体" w:eastAsia="黑体" w:hint="eastAsia"/>
                <w:w w:val="95"/>
                <w:sz w:val="21"/>
              </w:rPr>
              <w:t>并须满足下列至少一项条件：</w:t>
            </w:r>
          </w:p>
          <w:p>
            <w:pPr>
              <w:pStyle w:val="TableParagraph"/>
              <w:numPr>
                <w:ilvl w:val="0"/>
                <w:numId w:val="17"/>
              </w:numPr>
              <w:tabs>
                <w:tab w:pos="886" w:val="left" w:leader="none"/>
              </w:tabs>
              <w:spacing w:line="240" w:lineRule="auto" w:before="56" w:after="0"/>
              <w:ind w:left="885" w:right="0" w:hanging="705"/>
              <w:jc w:val="left"/>
              <w:rPr>
                <w:sz w:val="21"/>
              </w:rPr>
            </w:pPr>
            <w:r>
              <w:rPr>
                <w:w w:val="95"/>
                <w:sz w:val="21"/>
              </w:rPr>
              <w:t>实际实施了开颅进行的脑肿瘤完全切除或部分切除的手术；</w:t>
            </w:r>
          </w:p>
          <w:p>
            <w:pPr>
              <w:pStyle w:val="TableParagraph"/>
              <w:numPr>
                <w:ilvl w:val="0"/>
                <w:numId w:val="17"/>
              </w:numPr>
              <w:tabs>
                <w:tab w:pos="914" w:val="left" w:leader="none"/>
                <w:tab w:pos="915" w:val="left" w:leader="none"/>
              </w:tabs>
              <w:spacing w:line="240" w:lineRule="auto" w:before="56" w:after="0"/>
              <w:ind w:left="914" w:right="0" w:hanging="734"/>
              <w:jc w:val="left"/>
              <w:rPr>
                <w:sz w:val="21"/>
              </w:rPr>
            </w:pPr>
            <w:r>
              <w:rPr>
                <w:w w:val="95"/>
                <w:sz w:val="21"/>
              </w:rPr>
              <w:t>实际实施了对脑肿瘤进行的放射治疗。</w:t>
            </w:r>
          </w:p>
          <w:p>
            <w:pPr>
              <w:pStyle w:val="TableParagraph"/>
              <w:spacing w:before="59"/>
              <w:ind w:left="180"/>
              <w:rPr>
                <w:sz w:val="21"/>
              </w:rPr>
            </w:pPr>
            <w:r>
              <w:rPr>
                <w:rFonts w:ascii="黑体" w:eastAsia="黑体" w:hint="eastAsia"/>
                <w:w w:val="95"/>
                <w:sz w:val="21"/>
              </w:rPr>
              <w:t>脑垂体瘤、脑囊肿、脑血管性疾病不在保障范围内</w:t>
            </w:r>
            <w:r>
              <w:rPr>
                <w:w w:val="95"/>
                <w:sz w:val="21"/>
              </w:rPr>
              <w:t>。</w:t>
            </w:r>
          </w:p>
        </w:tc>
      </w:tr>
      <w:tr>
        <w:trPr>
          <w:trHeight w:val="436" w:hRule="atLeast"/>
        </w:trPr>
        <w:tc>
          <w:tcPr>
            <w:tcW w:w="635" w:type="dxa"/>
          </w:tcPr>
          <w:p>
            <w:pPr>
              <w:pStyle w:val="TableParagraph"/>
              <w:spacing w:line="255" w:lineRule="exact" w:before="162"/>
              <w:ind w:left="50"/>
              <w:rPr>
                <w:b/>
                <w:sz w:val="21"/>
              </w:rPr>
            </w:pPr>
            <w:r>
              <w:rPr>
                <w:b/>
                <w:sz w:val="21"/>
              </w:rPr>
              <w:t>9.10</w:t>
            </w:r>
          </w:p>
        </w:tc>
        <w:tc>
          <w:tcPr>
            <w:tcW w:w="1815" w:type="dxa"/>
          </w:tcPr>
          <w:p>
            <w:pPr>
              <w:pStyle w:val="TableParagraph"/>
              <w:spacing w:line="255" w:lineRule="exact" w:before="162"/>
              <w:ind w:left="161"/>
              <w:rPr>
                <w:b/>
                <w:sz w:val="21"/>
              </w:rPr>
            </w:pPr>
            <w:r>
              <w:rPr>
                <w:b/>
                <w:w w:val="95"/>
                <w:sz w:val="21"/>
              </w:rPr>
              <w:t>慢性肝功能衰竭</w:t>
            </w:r>
          </w:p>
        </w:tc>
        <w:tc>
          <w:tcPr>
            <w:tcW w:w="6393" w:type="dxa"/>
          </w:tcPr>
          <w:p>
            <w:pPr>
              <w:pStyle w:val="TableParagraph"/>
              <w:spacing w:line="255" w:lineRule="exact" w:before="162"/>
              <w:ind w:left="180"/>
              <w:rPr>
                <w:rFonts w:ascii="黑体" w:eastAsia="黑体" w:hint="eastAsia"/>
                <w:sz w:val="21"/>
              </w:rPr>
            </w:pPr>
            <w:r>
              <w:rPr>
                <w:w w:val="95"/>
                <w:sz w:val="21"/>
              </w:rPr>
              <w:t>指因慢性肝脏疾病导致肝功能衰竭。</w:t>
            </w:r>
            <w:r>
              <w:rPr>
                <w:rFonts w:ascii="黑体" w:eastAsia="黑体" w:hint="eastAsia"/>
                <w:w w:val="95"/>
                <w:sz w:val="21"/>
              </w:rPr>
              <w:t>须满足下列全部条件：</w:t>
            </w:r>
          </w:p>
        </w:tc>
      </w:tr>
    </w:tbl>
    <w:p>
      <w:pPr>
        <w:spacing w:after="0" w:line="255" w:lineRule="exact"/>
        <w:rPr>
          <w:rFonts w:ascii="黑体" w:eastAsia="黑体" w:hint="eastAsia"/>
          <w:sz w:val="21"/>
        </w:rPr>
        <w:sectPr>
          <w:pgSz w:w="12240" w:h="15840"/>
          <w:pgMar w:top="1460" w:bottom="280" w:left="1640" w:right="1540"/>
        </w:sectPr>
      </w:pPr>
    </w:p>
    <w:p>
      <w:pPr>
        <w:pStyle w:val="Heading2"/>
        <w:spacing w:line="271" w:lineRule="exact"/>
        <w:ind w:left="906"/>
      </w:pPr>
      <w:r>
        <w:rPr>
          <w:w w:val="95"/>
        </w:rPr>
        <w:t>失代偿期</w:t>
      </w:r>
    </w:p>
    <w:p>
      <w:pPr>
        <w:pStyle w:val="ListParagraph"/>
        <w:numPr>
          <w:ilvl w:val="0"/>
          <w:numId w:val="18"/>
        </w:numPr>
        <w:tabs>
          <w:tab w:pos="1640" w:val="left" w:leader="none"/>
          <w:tab w:pos="1641" w:val="left" w:leader="none"/>
        </w:tabs>
        <w:spacing w:line="240" w:lineRule="auto" w:before="56" w:after="0"/>
        <w:ind w:left="1640" w:right="0" w:hanging="734"/>
        <w:jc w:val="left"/>
        <w:rPr>
          <w:sz w:val="21"/>
        </w:rPr>
      </w:pPr>
      <w:r>
        <w:rPr>
          <w:spacing w:val="-1"/>
          <w:w w:val="99"/>
          <w:sz w:val="21"/>
        </w:rPr>
        <w:br w:type="column"/>
      </w:r>
      <w:r>
        <w:rPr>
          <w:w w:val="95"/>
          <w:sz w:val="21"/>
        </w:rPr>
        <w:t>持续性黄疸；</w:t>
      </w:r>
    </w:p>
    <w:p>
      <w:pPr>
        <w:pStyle w:val="ListParagraph"/>
        <w:numPr>
          <w:ilvl w:val="0"/>
          <w:numId w:val="18"/>
        </w:numPr>
        <w:tabs>
          <w:tab w:pos="1640" w:val="left" w:leader="none"/>
          <w:tab w:pos="1641" w:val="left" w:leader="none"/>
        </w:tabs>
        <w:spacing w:line="240" w:lineRule="auto" w:before="58" w:after="0"/>
        <w:ind w:left="1640" w:right="0" w:hanging="734"/>
        <w:jc w:val="left"/>
        <w:rPr>
          <w:sz w:val="21"/>
        </w:rPr>
      </w:pPr>
      <w:r>
        <w:rPr>
          <w:w w:val="95"/>
          <w:sz w:val="21"/>
        </w:rPr>
        <w:t>腹水；</w:t>
      </w:r>
    </w:p>
    <w:p>
      <w:pPr>
        <w:pStyle w:val="ListParagraph"/>
        <w:numPr>
          <w:ilvl w:val="0"/>
          <w:numId w:val="18"/>
        </w:numPr>
        <w:tabs>
          <w:tab w:pos="1640" w:val="left" w:leader="none"/>
          <w:tab w:pos="1641" w:val="left" w:leader="none"/>
        </w:tabs>
        <w:spacing w:line="240" w:lineRule="auto" w:before="58" w:after="0"/>
        <w:ind w:left="1640" w:right="0" w:hanging="734"/>
        <w:jc w:val="left"/>
        <w:rPr>
          <w:sz w:val="21"/>
        </w:rPr>
      </w:pPr>
      <w:r>
        <w:rPr>
          <w:w w:val="95"/>
          <w:sz w:val="21"/>
        </w:rPr>
        <w:t>肝性脑病；</w:t>
      </w:r>
    </w:p>
    <w:p>
      <w:pPr>
        <w:pStyle w:val="ListParagraph"/>
        <w:numPr>
          <w:ilvl w:val="0"/>
          <w:numId w:val="18"/>
        </w:numPr>
        <w:tabs>
          <w:tab w:pos="1640" w:val="left" w:leader="none"/>
          <w:tab w:pos="1641" w:val="left" w:leader="none"/>
        </w:tabs>
        <w:spacing w:line="240" w:lineRule="auto" w:before="55" w:after="0"/>
        <w:ind w:left="1640" w:right="0" w:hanging="734"/>
        <w:jc w:val="left"/>
        <w:rPr>
          <w:sz w:val="21"/>
        </w:rPr>
      </w:pPr>
      <w:r>
        <w:rPr>
          <w:w w:val="95"/>
          <w:sz w:val="21"/>
        </w:rPr>
        <w:t>充血性脾肿大伴脾功能亢进或食管胃底静脉曲张。</w:t>
      </w:r>
    </w:p>
    <w:p>
      <w:pPr>
        <w:pStyle w:val="BodyText"/>
        <w:spacing w:before="55"/>
        <w:ind w:left="906"/>
        <w:rPr>
          <w:rFonts w:ascii="黑体" w:eastAsia="黑体" w:hint="eastAsia"/>
        </w:rPr>
      </w:pPr>
      <w:r>
        <w:rPr>
          <w:rFonts w:ascii="黑体" w:eastAsia="黑体" w:hint="eastAsia"/>
          <w:w w:val="95"/>
        </w:rPr>
        <w:t>因酗酒或药物滥用导致的肝功能衰竭不在保障范围内。</w:t>
      </w:r>
    </w:p>
    <w:p>
      <w:pPr>
        <w:spacing w:after="0"/>
        <w:rPr>
          <w:rFonts w:ascii="黑体" w:eastAsia="黑体" w:hint="eastAsia"/>
        </w:rPr>
        <w:sectPr>
          <w:type w:val="continuous"/>
          <w:pgSz w:w="12240" w:h="15840"/>
          <w:pgMar w:top="900" w:bottom="280" w:left="1640" w:right="1540"/>
          <w:cols w:num="2" w:equalWidth="0">
            <w:col w:w="1749" w:space="84"/>
            <w:col w:w="7227"/>
          </w:cols>
        </w:sectPr>
      </w:pPr>
    </w:p>
    <w:p>
      <w:pPr>
        <w:pStyle w:val="BodyText"/>
        <w:spacing w:before="1"/>
        <w:rPr>
          <w:rFonts w:ascii="黑体"/>
          <w:sz w:val="27"/>
        </w:rPr>
      </w:pPr>
    </w:p>
    <w:p>
      <w:pPr>
        <w:spacing w:after="0"/>
        <w:rPr>
          <w:rFonts w:ascii="黑体"/>
          <w:sz w:val="27"/>
        </w:rPr>
        <w:sectPr>
          <w:type w:val="continuous"/>
          <w:pgSz w:w="12240" w:h="15840"/>
          <w:pgMar w:top="900" w:bottom="280" w:left="1640" w:right="1540"/>
        </w:sectPr>
      </w:pPr>
    </w:p>
    <w:p>
      <w:pPr>
        <w:pStyle w:val="Heading2"/>
        <w:numPr>
          <w:ilvl w:val="1"/>
          <w:numId w:val="19"/>
        </w:numPr>
        <w:tabs>
          <w:tab w:pos="906" w:val="left" w:leader="none"/>
          <w:tab w:pos="907" w:val="left" w:leader="none"/>
        </w:tabs>
        <w:spacing w:line="274" w:lineRule="exact" w:before="35" w:after="0"/>
        <w:ind w:left="2740" w:right="0" w:hanging="2580"/>
        <w:jc w:val="left"/>
      </w:pPr>
      <w:r>
        <w:rPr>
          <w:w w:val="95"/>
        </w:rPr>
        <w:t>脑炎后遗症或脑</w:t>
      </w:r>
    </w:p>
    <w:p>
      <w:pPr>
        <w:spacing w:line="274" w:lineRule="exact" w:before="0"/>
        <w:ind w:left="906" w:right="0" w:firstLine="0"/>
        <w:jc w:val="left"/>
        <w:rPr>
          <w:b/>
          <w:sz w:val="21"/>
        </w:rPr>
      </w:pPr>
      <w:r>
        <w:rPr>
          <w:b/>
          <w:w w:val="95"/>
          <w:sz w:val="21"/>
        </w:rPr>
        <w:t>膜炎后遗症</w:t>
      </w:r>
    </w:p>
    <w:p>
      <w:pPr>
        <w:pStyle w:val="BodyText"/>
        <w:spacing w:line="237" w:lineRule="auto" w:before="38"/>
        <w:ind w:left="160" w:right="260"/>
        <w:jc w:val="both"/>
      </w:pPr>
      <w:r>
        <w:rPr/>
        <w:br w:type="column"/>
      </w:r>
      <w:r>
        <w:rPr>
          <w:spacing w:val="-2"/>
          <w:w w:val="95"/>
        </w:rPr>
        <w:t>指因患脑炎或脑膜炎导致的神经系统永久性的功能障碍。神经系统 </w:t>
      </w:r>
      <w:r>
        <w:rPr>
          <w:spacing w:val="-11"/>
        </w:rPr>
        <w:t>永久性的功能障碍，指疾病确诊 </w:t>
      </w:r>
      <w:r>
        <w:rPr/>
        <w:t>180</w:t>
      </w:r>
      <w:r>
        <w:rPr>
          <w:spacing w:val="-8"/>
        </w:rPr>
        <w:t> 天后，仍遗留下列一种或一种</w:t>
      </w:r>
      <w:r>
        <w:rPr>
          <w:spacing w:val="-8"/>
          <w:w w:val="95"/>
        </w:rPr>
        <w:t>以上障碍：</w:t>
      </w:r>
    </w:p>
    <w:p>
      <w:pPr>
        <w:pStyle w:val="ListParagraph"/>
        <w:numPr>
          <w:ilvl w:val="0"/>
          <w:numId w:val="20"/>
        </w:numPr>
        <w:tabs>
          <w:tab w:pos="894" w:val="left" w:leader="none"/>
          <w:tab w:pos="895" w:val="left" w:leader="none"/>
        </w:tabs>
        <w:spacing w:line="240" w:lineRule="auto" w:before="59" w:after="0"/>
        <w:ind w:left="880" w:right="0" w:hanging="720"/>
        <w:jc w:val="left"/>
        <w:rPr>
          <w:sz w:val="21"/>
        </w:rPr>
      </w:pPr>
      <w:r>
        <w:rPr>
          <w:w w:val="95"/>
          <w:sz w:val="21"/>
        </w:rPr>
        <w:t>一肢或一肢以上肢体机能完全丧失；</w:t>
      </w:r>
    </w:p>
    <w:p>
      <w:pPr>
        <w:pStyle w:val="ListParagraph"/>
        <w:numPr>
          <w:ilvl w:val="0"/>
          <w:numId w:val="20"/>
        </w:numPr>
        <w:tabs>
          <w:tab w:pos="894" w:val="left" w:leader="none"/>
          <w:tab w:pos="895" w:val="left" w:leader="none"/>
        </w:tabs>
        <w:spacing w:line="240" w:lineRule="auto" w:before="56" w:after="0"/>
        <w:ind w:left="880" w:right="0" w:hanging="720"/>
        <w:jc w:val="left"/>
        <w:rPr>
          <w:sz w:val="21"/>
        </w:rPr>
      </w:pPr>
      <w:r>
        <w:rPr>
          <w:w w:val="95"/>
          <w:sz w:val="21"/>
        </w:rPr>
        <w:t>语言能力或咀嚼吞咽能力完全丧失；</w:t>
      </w:r>
    </w:p>
    <w:p>
      <w:pPr>
        <w:pStyle w:val="ListParagraph"/>
        <w:numPr>
          <w:ilvl w:val="0"/>
          <w:numId w:val="20"/>
        </w:numPr>
        <w:tabs>
          <w:tab w:pos="894" w:val="left" w:leader="none"/>
          <w:tab w:pos="895" w:val="left" w:leader="none"/>
        </w:tabs>
        <w:spacing w:line="240" w:lineRule="auto" w:before="56" w:after="0"/>
        <w:ind w:left="880" w:right="334" w:hanging="720"/>
        <w:jc w:val="left"/>
        <w:rPr>
          <w:sz w:val="21"/>
        </w:rPr>
      </w:pPr>
      <w:r>
        <w:rPr>
          <w:w w:val="95"/>
          <w:sz w:val="21"/>
        </w:rPr>
        <w:t>自主生活能力完全丧失，无法独立完成六项基本日常生活 活动中的三项或三项以上。</w:t>
      </w:r>
    </w:p>
    <w:p>
      <w:pPr>
        <w:spacing w:after="0" w:line="240" w:lineRule="auto"/>
        <w:jc w:val="left"/>
        <w:rPr>
          <w:sz w:val="21"/>
        </w:rPr>
        <w:sectPr>
          <w:type w:val="continuous"/>
          <w:pgSz w:w="12240" w:h="15840"/>
          <w:pgMar w:top="900" w:bottom="280" w:left="1640" w:right="1540"/>
          <w:cols w:num="2" w:equalWidth="0">
            <w:col w:w="2381" w:space="199"/>
            <w:col w:w="6480"/>
          </w:cols>
        </w:sectPr>
      </w:pPr>
    </w:p>
    <w:p>
      <w:pPr>
        <w:pStyle w:val="BodyText"/>
        <w:spacing w:before="2"/>
        <w:rPr>
          <w:sz w:val="27"/>
        </w:rPr>
      </w:pPr>
    </w:p>
    <w:p>
      <w:pPr>
        <w:pStyle w:val="ListParagraph"/>
        <w:numPr>
          <w:ilvl w:val="1"/>
          <w:numId w:val="19"/>
        </w:numPr>
        <w:tabs>
          <w:tab w:pos="906" w:val="left" w:leader="none"/>
          <w:tab w:pos="907" w:val="left" w:leader="none"/>
          <w:tab w:pos="2739" w:val="left" w:leader="none"/>
        </w:tabs>
        <w:spacing w:line="274" w:lineRule="exact" w:before="34" w:after="0"/>
        <w:ind w:left="2740" w:right="0" w:hanging="2580"/>
        <w:jc w:val="left"/>
        <w:rPr>
          <w:sz w:val="21"/>
        </w:rPr>
      </w:pPr>
      <w:r>
        <w:rPr>
          <w:b/>
          <w:sz w:val="21"/>
        </w:rPr>
        <w:t>深度昏迷</w:t>
        <w:tab/>
      </w:r>
      <w:r>
        <w:rPr>
          <w:w w:val="95"/>
          <w:sz w:val="21"/>
        </w:rPr>
        <w:t>指因疾病或意外伤害导致意识丧失,对外界刺激和体内需求均无反</w:t>
      </w:r>
    </w:p>
    <w:p>
      <w:pPr>
        <w:pStyle w:val="BodyText"/>
        <w:spacing w:line="237" w:lineRule="auto" w:before="1"/>
        <w:ind w:left="2740" w:right="259"/>
      </w:pPr>
      <w:r>
        <w:rPr/>
        <w:t>应,昏迷程度按照格拉斯哥昏迷分级（Glasgow</w:t>
      </w:r>
      <w:r>
        <w:rPr>
          <w:spacing w:val="-6"/>
        </w:rPr>
        <w:t> </w:t>
      </w:r>
      <w:r>
        <w:rPr/>
        <w:t>coma</w:t>
      </w:r>
      <w:r>
        <w:rPr>
          <w:spacing w:val="-6"/>
        </w:rPr>
        <w:t> </w:t>
      </w:r>
      <w:r>
        <w:rPr/>
        <w:t>scale）结果</w:t>
      </w:r>
      <w:r>
        <w:rPr>
          <w:spacing w:val="-28"/>
        </w:rPr>
        <w:t>为 </w:t>
      </w:r>
      <w:r>
        <w:rPr/>
        <w:t>5</w:t>
      </w:r>
      <w:r>
        <w:rPr>
          <w:spacing w:val="-29"/>
        </w:rPr>
        <w:t> 分或 </w:t>
      </w:r>
      <w:r>
        <w:rPr/>
        <w:t>5</w:t>
      </w:r>
      <w:r>
        <w:rPr>
          <w:spacing w:val="-15"/>
        </w:rPr>
        <w:t> 分以下，且已经持续使用呼吸机及其它生命维持系统 </w:t>
      </w:r>
      <w:r>
        <w:rPr/>
        <w:t>96 </w:t>
      </w:r>
      <w:r>
        <w:rPr>
          <w:w w:val="95"/>
        </w:rPr>
        <w:t>小时以上。</w:t>
      </w:r>
    </w:p>
    <w:p>
      <w:pPr>
        <w:pStyle w:val="BodyText"/>
        <w:ind w:left="2740"/>
        <w:rPr>
          <w:rFonts w:ascii="黑体" w:eastAsia="黑体" w:hint="eastAsia"/>
        </w:rPr>
      </w:pPr>
      <w:r>
        <w:rPr>
          <w:rFonts w:ascii="黑体" w:eastAsia="黑体" w:hint="eastAsia"/>
          <w:w w:val="95"/>
        </w:rPr>
        <w:t>因酗酒或药物滥用导致的深度昏迷不在保障范围内。</w:t>
      </w:r>
    </w:p>
    <w:p>
      <w:pPr>
        <w:pStyle w:val="BodyText"/>
        <w:spacing w:before="0"/>
        <w:rPr>
          <w:rFonts w:ascii="黑体"/>
          <w:sz w:val="20"/>
        </w:rPr>
      </w:pPr>
    </w:p>
    <w:p>
      <w:pPr>
        <w:pStyle w:val="ListParagraph"/>
        <w:numPr>
          <w:ilvl w:val="1"/>
          <w:numId w:val="19"/>
        </w:numPr>
        <w:tabs>
          <w:tab w:pos="906" w:val="left" w:leader="none"/>
          <w:tab w:pos="907" w:val="left" w:leader="none"/>
          <w:tab w:pos="2739" w:val="left" w:leader="none"/>
        </w:tabs>
        <w:spacing w:line="237" w:lineRule="auto" w:before="131" w:after="0"/>
        <w:ind w:left="2740" w:right="154" w:hanging="2580"/>
        <w:jc w:val="left"/>
        <w:rPr>
          <w:sz w:val="21"/>
        </w:rPr>
      </w:pPr>
      <w:r>
        <w:rPr>
          <w:b/>
          <w:sz w:val="21"/>
        </w:rPr>
        <w:t>双耳失聪</w:t>
        <w:tab/>
      </w:r>
      <w:r>
        <w:rPr>
          <w:sz w:val="21"/>
        </w:rPr>
        <w:t>指因疾病或意外伤害导致双耳听力</w:t>
      </w:r>
      <w:r>
        <w:rPr>
          <w:b/>
          <w:sz w:val="21"/>
        </w:rPr>
        <w:t>永久不可</w:t>
      </w:r>
      <w:r>
        <w:rPr>
          <w:b/>
          <w:spacing w:val="-39"/>
          <w:sz w:val="21"/>
        </w:rPr>
        <w:t>逆</w:t>
      </w:r>
      <w:r>
        <w:rPr>
          <w:sz w:val="21"/>
        </w:rPr>
        <w:t>（见</w:t>
      </w:r>
      <w:r>
        <w:rPr>
          <w:spacing w:val="-68"/>
          <w:sz w:val="21"/>
        </w:rPr>
        <w:t> </w:t>
      </w:r>
      <w:r>
        <w:rPr>
          <w:spacing w:val="-8"/>
          <w:sz w:val="21"/>
        </w:rPr>
        <w:t>11.27）</w:t>
      </w:r>
      <w:r>
        <w:rPr>
          <w:sz w:val="21"/>
        </w:rPr>
        <w:t>性丧失，在</w:t>
      </w:r>
      <w:r>
        <w:rPr>
          <w:spacing w:val="-55"/>
          <w:sz w:val="21"/>
        </w:rPr>
        <w:t> </w:t>
      </w:r>
      <w:r>
        <w:rPr>
          <w:sz w:val="21"/>
        </w:rPr>
        <w:t>500</w:t>
      </w:r>
      <w:r>
        <w:rPr>
          <w:spacing w:val="-56"/>
          <w:sz w:val="21"/>
        </w:rPr>
        <w:t> </w:t>
      </w:r>
      <w:r>
        <w:rPr>
          <w:sz w:val="21"/>
        </w:rPr>
        <w:t>赫兹</w:t>
      </w:r>
      <w:r>
        <w:rPr>
          <w:spacing w:val="-15"/>
          <w:sz w:val="21"/>
        </w:rPr>
        <w:t>、</w:t>
      </w:r>
      <w:r>
        <w:rPr>
          <w:sz w:val="21"/>
        </w:rPr>
        <w:t>1000</w:t>
      </w:r>
      <w:r>
        <w:rPr>
          <w:spacing w:val="-56"/>
          <w:sz w:val="21"/>
        </w:rPr>
        <w:t> </w:t>
      </w:r>
      <w:r>
        <w:rPr>
          <w:sz w:val="21"/>
        </w:rPr>
        <w:t>赫兹和</w:t>
      </w:r>
      <w:r>
        <w:rPr>
          <w:spacing w:val="-53"/>
          <w:sz w:val="21"/>
        </w:rPr>
        <w:t> </w:t>
      </w:r>
      <w:r>
        <w:rPr>
          <w:sz w:val="21"/>
        </w:rPr>
        <w:t>2000</w:t>
      </w:r>
      <w:r>
        <w:rPr>
          <w:spacing w:val="-54"/>
          <w:sz w:val="21"/>
        </w:rPr>
        <w:t> </w:t>
      </w:r>
      <w:r>
        <w:rPr>
          <w:sz w:val="21"/>
        </w:rPr>
        <w:t>赫兹语音频率下</w:t>
      </w:r>
      <w:r>
        <w:rPr>
          <w:spacing w:val="-15"/>
          <w:sz w:val="21"/>
        </w:rPr>
        <w:t>，</w:t>
      </w:r>
      <w:r>
        <w:rPr>
          <w:sz w:val="21"/>
        </w:rPr>
        <w:t>平均听阈大于</w:t>
      </w:r>
      <w:r>
        <w:rPr>
          <w:spacing w:val="-53"/>
          <w:sz w:val="21"/>
        </w:rPr>
        <w:t> </w:t>
      </w:r>
      <w:r>
        <w:rPr>
          <w:sz w:val="21"/>
        </w:rPr>
        <w:t>90 </w:t>
      </w:r>
      <w:r>
        <w:rPr>
          <w:w w:val="95"/>
          <w:sz w:val="21"/>
        </w:rPr>
        <w:t>分贝</w:t>
      </w:r>
      <w:r>
        <w:rPr>
          <w:spacing w:val="-68"/>
          <w:w w:val="95"/>
          <w:sz w:val="21"/>
        </w:rPr>
        <w:t>，</w:t>
      </w:r>
      <w:r>
        <w:rPr>
          <w:w w:val="95"/>
          <w:sz w:val="21"/>
        </w:rPr>
        <w:t>且经纯音听力测试</w:t>
      </w:r>
      <w:r>
        <w:rPr>
          <w:spacing w:val="-65"/>
          <w:w w:val="95"/>
          <w:sz w:val="21"/>
        </w:rPr>
        <w:t>、</w:t>
      </w:r>
      <w:r>
        <w:rPr>
          <w:w w:val="95"/>
          <w:sz w:val="21"/>
        </w:rPr>
        <w:t>声导抗检测或听觉诱发电位检测等证实。</w:t>
      </w:r>
    </w:p>
    <w:p>
      <w:pPr>
        <w:pStyle w:val="BodyText"/>
        <w:ind w:left="2740" w:right="260"/>
        <w:rPr>
          <w:rFonts w:ascii="黑体" w:eastAsia="黑体" w:hint="eastAsia"/>
        </w:rPr>
      </w:pPr>
      <w:r>
        <w:rPr>
          <w:rFonts w:ascii="黑体" w:eastAsia="黑体" w:hint="eastAsia"/>
          <w:spacing w:val="-11"/>
        </w:rPr>
        <w:t>被保险人在 </w:t>
      </w:r>
      <w:r>
        <w:rPr>
          <w:rFonts w:ascii="黑体" w:eastAsia="黑体" w:hint="eastAsia"/>
        </w:rPr>
        <w:t>3</w:t>
      </w:r>
      <w:r>
        <w:rPr>
          <w:rFonts w:ascii="黑体" w:eastAsia="黑体" w:hint="eastAsia"/>
          <w:spacing w:val="-10"/>
        </w:rPr>
        <w:t> 周岁之前因疾病导致双耳失聪，本公司不承担保险责</w:t>
      </w:r>
      <w:r>
        <w:rPr>
          <w:rFonts w:ascii="黑体" w:eastAsia="黑体" w:hint="eastAsia"/>
          <w:spacing w:val="-1"/>
          <w:w w:val="95"/>
        </w:rPr>
        <w:t>任。</w:t>
      </w:r>
    </w:p>
    <w:p>
      <w:pPr>
        <w:pStyle w:val="BodyText"/>
        <w:spacing w:before="12"/>
        <w:rPr>
          <w:rFonts w:ascii="黑体"/>
          <w:sz w:val="29"/>
        </w:rPr>
      </w:pPr>
    </w:p>
    <w:p>
      <w:pPr>
        <w:pStyle w:val="ListParagraph"/>
        <w:numPr>
          <w:ilvl w:val="1"/>
          <w:numId w:val="19"/>
        </w:numPr>
        <w:tabs>
          <w:tab w:pos="906" w:val="left" w:leader="none"/>
          <w:tab w:pos="907" w:val="left" w:leader="none"/>
          <w:tab w:pos="2739" w:val="left" w:leader="none"/>
        </w:tabs>
        <w:spacing w:line="237" w:lineRule="auto" w:before="1" w:after="0"/>
        <w:ind w:left="2740" w:right="260" w:hanging="2580"/>
        <w:jc w:val="left"/>
        <w:rPr>
          <w:sz w:val="21"/>
        </w:rPr>
      </w:pPr>
      <w:r>
        <w:rPr>
          <w:b/>
          <w:sz w:val="21"/>
        </w:rPr>
        <w:t>双目失明</w:t>
        <w:tab/>
      </w:r>
      <w:r>
        <w:rPr>
          <w:w w:val="95"/>
          <w:sz w:val="21"/>
        </w:rPr>
        <w:t>指因疾病或意外伤害导致双眼视力永久不可逆性丧失</w:t>
      </w:r>
      <w:r>
        <w:rPr>
          <w:spacing w:val="-29"/>
          <w:w w:val="95"/>
          <w:sz w:val="21"/>
        </w:rPr>
        <w:t>，</w:t>
      </w:r>
      <w:r>
        <w:rPr>
          <w:w w:val="95"/>
          <w:sz w:val="21"/>
        </w:rPr>
        <w:t>双眼中较好   眼须满足下列至少一项条件：</w:t>
      </w:r>
    </w:p>
    <w:p>
      <w:pPr>
        <w:spacing w:after="0" w:line="237" w:lineRule="auto"/>
        <w:jc w:val="left"/>
        <w:rPr>
          <w:sz w:val="21"/>
        </w:rPr>
        <w:sectPr>
          <w:type w:val="continuous"/>
          <w:pgSz w:w="12240" w:h="15840"/>
          <w:pgMar w:top="900" w:bottom="280" w:left="1640" w:right="1540"/>
        </w:sectPr>
      </w:pPr>
    </w:p>
    <w:p>
      <w:pPr>
        <w:pStyle w:val="ListParagraph"/>
        <w:numPr>
          <w:ilvl w:val="2"/>
          <w:numId w:val="19"/>
        </w:numPr>
        <w:tabs>
          <w:tab w:pos="3474" w:val="left" w:leader="none"/>
          <w:tab w:pos="3475" w:val="left" w:leader="none"/>
        </w:tabs>
        <w:spacing w:line="240" w:lineRule="auto" w:before="4" w:after="0"/>
        <w:ind w:left="3460" w:right="0" w:hanging="720"/>
        <w:jc w:val="left"/>
        <w:rPr>
          <w:sz w:val="21"/>
        </w:rPr>
      </w:pPr>
      <w:r>
        <w:rPr>
          <w:w w:val="95"/>
          <w:sz w:val="21"/>
        </w:rPr>
        <w:t>眼球缺失或摘除；</w:t>
      </w:r>
    </w:p>
    <w:p>
      <w:pPr>
        <w:pStyle w:val="ListParagraph"/>
        <w:numPr>
          <w:ilvl w:val="2"/>
          <w:numId w:val="19"/>
        </w:numPr>
        <w:tabs>
          <w:tab w:pos="3474" w:val="left" w:leader="none"/>
          <w:tab w:pos="3475" w:val="left" w:leader="none"/>
        </w:tabs>
        <w:spacing w:line="237" w:lineRule="auto" w:before="61" w:after="0"/>
        <w:ind w:left="3460" w:right="204" w:hanging="720"/>
        <w:jc w:val="left"/>
        <w:rPr>
          <w:sz w:val="21"/>
        </w:rPr>
      </w:pPr>
      <w:r>
        <w:rPr>
          <w:spacing w:val="-10"/>
          <w:sz w:val="21"/>
        </w:rPr>
        <w:t>矫正视力低于 </w:t>
      </w:r>
      <w:r>
        <w:rPr>
          <w:sz w:val="21"/>
        </w:rPr>
        <w:t>0.02（采用国际标准视力表，如果使用其它</w:t>
      </w:r>
      <w:r>
        <w:rPr>
          <w:spacing w:val="-1"/>
          <w:w w:val="99"/>
          <w:sz w:val="21"/>
        </w:rPr>
        <w:t>视力表应进行换算</w:t>
      </w:r>
      <w:r>
        <w:rPr>
          <w:spacing w:val="-106"/>
          <w:w w:val="99"/>
          <w:sz w:val="21"/>
        </w:rPr>
        <w:t>）</w:t>
      </w:r>
      <w:r>
        <w:rPr>
          <w:w w:val="99"/>
          <w:sz w:val="21"/>
        </w:rPr>
        <w:t>；</w:t>
      </w:r>
    </w:p>
    <w:p>
      <w:pPr>
        <w:pStyle w:val="ListParagraph"/>
        <w:numPr>
          <w:ilvl w:val="2"/>
          <w:numId w:val="19"/>
        </w:numPr>
        <w:tabs>
          <w:tab w:pos="3474" w:val="left" w:leader="none"/>
          <w:tab w:pos="3475" w:val="left" w:leader="none"/>
        </w:tabs>
        <w:spacing w:line="240" w:lineRule="auto" w:before="58" w:after="0"/>
        <w:ind w:left="3460" w:right="0" w:hanging="720"/>
        <w:jc w:val="left"/>
        <w:rPr>
          <w:sz w:val="21"/>
        </w:rPr>
      </w:pPr>
      <w:r>
        <w:rPr>
          <w:spacing w:val="-9"/>
          <w:sz w:val="21"/>
        </w:rPr>
        <w:t>视野半径小于 </w:t>
      </w:r>
      <w:r>
        <w:rPr>
          <w:sz w:val="21"/>
        </w:rPr>
        <w:t>5</w:t>
      </w:r>
      <w:r>
        <w:rPr>
          <w:spacing w:val="-20"/>
          <w:sz w:val="21"/>
        </w:rPr>
        <w:t> 度。</w:t>
      </w:r>
    </w:p>
    <w:p>
      <w:pPr>
        <w:pStyle w:val="BodyText"/>
        <w:spacing w:before="3"/>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15"/>
        <w:gridCol w:w="6319"/>
      </w:tblGrid>
      <w:tr>
        <w:trPr>
          <w:trHeight w:val="710"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319" w:type="dxa"/>
          </w:tcPr>
          <w:p>
            <w:pPr>
              <w:pStyle w:val="TableParagraph"/>
              <w:spacing w:line="209" w:lineRule="exact"/>
              <w:ind w:left="180"/>
              <w:rPr>
                <w:rFonts w:ascii="黑体" w:eastAsia="黑体" w:hint="eastAsia"/>
                <w:sz w:val="21"/>
              </w:rPr>
            </w:pPr>
            <w:r>
              <w:rPr>
                <w:rFonts w:ascii="黑体" w:eastAsia="黑体" w:hint="eastAsia"/>
                <w:spacing w:val="-11"/>
                <w:sz w:val="21"/>
              </w:rPr>
              <w:t>被保险人在 </w:t>
            </w:r>
            <w:r>
              <w:rPr>
                <w:rFonts w:ascii="黑体" w:eastAsia="黑体" w:hint="eastAsia"/>
                <w:sz w:val="21"/>
              </w:rPr>
              <w:t>3</w:t>
            </w:r>
            <w:r>
              <w:rPr>
                <w:rFonts w:ascii="黑体" w:eastAsia="黑体" w:hint="eastAsia"/>
                <w:spacing w:val="-10"/>
                <w:sz w:val="21"/>
              </w:rPr>
              <w:t> 周岁之前因疾病导致双目失明，本公司不承担保险责</w:t>
            </w:r>
          </w:p>
          <w:p>
            <w:pPr>
              <w:pStyle w:val="TableParagraph"/>
              <w:spacing w:line="274" w:lineRule="exact"/>
              <w:ind w:left="180"/>
              <w:rPr>
                <w:rFonts w:ascii="黑体" w:eastAsia="黑体" w:hint="eastAsia"/>
                <w:sz w:val="21"/>
              </w:rPr>
            </w:pPr>
            <w:r>
              <w:rPr>
                <w:rFonts w:ascii="黑体" w:eastAsia="黑体" w:hint="eastAsia"/>
                <w:w w:val="95"/>
                <w:sz w:val="21"/>
              </w:rPr>
              <w:t>任。</w:t>
            </w:r>
          </w:p>
        </w:tc>
      </w:tr>
      <w:tr>
        <w:trPr>
          <w:trHeight w:val="1480" w:hRule="atLeast"/>
        </w:trPr>
        <w:tc>
          <w:tcPr>
            <w:tcW w:w="635" w:type="dxa"/>
          </w:tcPr>
          <w:p>
            <w:pPr>
              <w:pStyle w:val="TableParagraph"/>
              <w:spacing w:before="162"/>
              <w:ind w:left="50"/>
              <w:rPr>
                <w:b/>
                <w:sz w:val="21"/>
              </w:rPr>
            </w:pPr>
            <w:r>
              <w:rPr>
                <w:b/>
                <w:sz w:val="21"/>
              </w:rPr>
              <w:t>9.15</w:t>
            </w:r>
          </w:p>
        </w:tc>
        <w:tc>
          <w:tcPr>
            <w:tcW w:w="1815" w:type="dxa"/>
          </w:tcPr>
          <w:p>
            <w:pPr>
              <w:pStyle w:val="TableParagraph"/>
              <w:spacing w:before="162"/>
              <w:ind w:left="161"/>
              <w:rPr>
                <w:b/>
                <w:sz w:val="21"/>
              </w:rPr>
            </w:pPr>
            <w:r>
              <w:rPr>
                <w:b/>
                <w:w w:val="95"/>
                <w:sz w:val="21"/>
              </w:rPr>
              <w:t>瘫痪</w:t>
            </w:r>
          </w:p>
        </w:tc>
        <w:tc>
          <w:tcPr>
            <w:tcW w:w="6319" w:type="dxa"/>
          </w:tcPr>
          <w:p>
            <w:pPr>
              <w:pStyle w:val="TableParagraph"/>
              <w:spacing w:line="237" w:lineRule="auto" w:before="165"/>
              <w:ind w:left="180" w:right="49"/>
              <w:jc w:val="both"/>
              <w:rPr>
                <w:sz w:val="21"/>
              </w:rPr>
            </w:pPr>
            <w:r>
              <w:rPr>
                <w:w w:val="95"/>
                <w:sz w:val="21"/>
              </w:rPr>
              <w:t>指因疾病或意外伤害导致两肢或两肢以上肢体机能永久完全丧失。 </w:t>
            </w:r>
            <w:r>
              <w:rPr>
                <w:spacing w:val="-4"/>
                <w:sz w:val="21"/>
              </w:rPr>
              <w:t>肢体机能永久完全丧失，指疾病确诊 </w:t>
            </w:r>
            <w:r>
              <w:rPr>
                <w:sz w:val="21"/>
              </w:rPr>
              <w:t>180</w:t>
            </w:r>
            <w:r>
              <w:rPr>
                <w:spacing w:val="-13"/>
                <w:sz w:val="21"/>
              </w:rPr>
              <w:t> 天后或意外伤害发生 </w:t>
            </w:r>
            <w:r>
              <w:rPr>
                <w:sz w:val="21"/>
              </w:rPr>
              <w:t>180 </w:t>
            </w:r>
            <w:r>
              <w:rPr>
                <w:spacing w:val="-5"/>
                <w:sz w:val="21"/>
              </w:rPr>
              <w:t>天后，每肢三大关节中的两大关节仍然完全僵硬，或不能随意识活</w:t>
            </w:r>
            <w:r>
              <w:rPr>
                <w:spacing w:val="-1"/>
                <w:w w:val="95"/>
                <w:sz w:val="21"/>
              </w:rPr>
              <w:t>动。</w:t>
            </w:r>
          </w:p>
        </w:tc>
      </w:tr>
      <w:tr>
        <w:trPr>
          <w:trHeight w:val="937" w:hRule="atLeast"/>
        </w:trPr>
        <w:tc>
          <w:tcPr>
            <w:tcW w:w="635" w:type="dxa"/>
          </w:tcPr>
          <w:p>
            <w:pPr>
              <w:pStyle w:val="TableParagraph"/>
              <w:spacing w:before="162"/>
              <w:ind w:left="50"/>
              <w:rPr>
                <w:b/>
                <w:sz w:val="21"/>
              </w:rPr>
            </w:pPr>
            <w:r>
              <w:rPr>
                <w:b/>
                <w:sz w:val="21"/>
              </w:rPr>
              <w:t>9.16</w:t>
            </w:r>
          </w:p>
        </w:tc>
        <w:tc>
          <w:tcPr>
            <w:tcW w:w="1815" w:type="dxa"/>
          </w:tcPr>
          <w:p>
            <w:pPr>
              <w:pStyle w:val="TableParagraph"/>
              <w:spacing w:before="162"/>
              <w:ind w:left="161"/>
              <w:rPr>
                <w:b/>
                <w:sz w:val="21"/>
              </w:rPr>
            </w:pPr>
            <w:r>
              <w:rPr>
                <w:b/>
                <w:w w:val="95"/>
                <w:sz w:val="21"/>
              </w:rPr>
              <w:t>心脏瓣膜手术</w:t>
            </w:r>
          </w:p>
        </w:tc>
        <w:tc>
          <w:tcPr>
            <w:tcW w:w="6319" w:type="dxa"/>
          </w:tcPr>
          <w:p>
            <w:pPr>
              <w:pStyle w:val="TableParagraph"/>
              <w:spacing w:line="237" w:lineRule="auto" w:before="165"/>
              <w:ind w:left="180" w:right="79"/>
              <w:rPr>
                <w:sz w:val="21"/>
              </w:rPr>
            </w:pPr>
            <w:r>
              <w:rPr>
                <w:spacing w:val="-3"/>
                <w:w w:val="95"/>
                <w:sz w:val="21"/>
              </w:rPr>
              <w:t>指为治疗心脏瓣膜疾病，实际实施了开胸进行的心脏瓣膜置换或修  复的手术。</w:t>
            </w:r>
          </w:p>
        </w:tc>
      </w:tr>
      <w:tr>
        <w:trPr>
          <w:trHeight w:val="2297" w:hRule="atLeast"/>
        </w:trPr>
        <w:tc>
          <w:tcPr>
            <w:tcW w:w="635" w:type="dxa"/>
          </w:tcPr>
          <w:p>
            <w:pPr>
              <w:pStyle w:val="TableParagraph"/>
              <w:spacing w:before="163"/>
              <w:ind w:left="50"/>
              <w:rPr>
                <w:b/>
                <w:sz w:val="21"/>
              </w:rPr>
            </w:pPr>
            <w:r>
              <w:rPr>
                <w:b/>
                <w:sz w:val="21"/>
              </w:rPr>
              <w:t>9.17</w:t>
            </w:r>
          </w:p>
        </w:tc>
        <w:tc>
          <w:tcPr>
            <w:tcW w:w="1815" w:type="dxa"/>
          </w:tcPr>
          <w:p>
            <w:pPr>
              <w:pStyle w:val="TableParagraph"/>
              <w:spacing w:line="237" w:lineRule="auto" w:before="166"/>
              <w:ind w:left="161" w:right="177"/>
              <w:rPr>
                <w:b/>
                <w:sz w:val="21"/>
              </w:rPr>
            </w:pPr>
            <w:r>
              <w:rPr>
                <w:b/>
                <w:w w:val="95"/>
                <w:sz w:val="21"/>
              </w:rPr>
              <w:t>严重阿尔茨海默</w:t>
            </w:r>
            <w:r>
              <w:rPr>
                <w:b/>
                <w:sz w:val="21"/>
              </w:rPr>
              <w:t>病</w:t>
            </w:r>
          </w:p>
        </w:tc>
        <w:tc>
          <w:tcPr>
            <w:tcW w:w="6319" w:type="dxa"/>
          </w:tcPr>
          <w:p>
            <w:pPr>
              <w:pStyle w:val="TableParagraph"/>
              <w:spacing w:line="237" w:lineRule="auto" w:before="166"/>
              <w:ind w:left="180" w:right="79"/>
              <w:jc w:val="both"/>
              <w:rPr>
                <w:sz w:val="21"/>
              </w:rPr>
            </w:pPr>
            <w:r>
              <w:rPr>
                <w:spacing w:val="-3"/>
                <w:w w:val="95"/>
                <w:sz w:val="21"/>
              </w:rPr>
              <w:t>指因大脑进行性、不可逆性改变导致智能严重衰退或丧失，临床表  </w:t>
            </w:r>
            <w:r>
              <w:rPr>
                <w:spacing w:val="-5"/>
                <w:w w:val="95"/>
                <w:sz w:val="21"/>
              </w:rPr>
              <w:t>现为明显的认知能力障碍、行为异常和社交能力减退，其日常生活</w:t>
            </w:r>
            <w:r>
              <w:rPr>
                <w:spacing w:val="-1"/>
                <w:w w:val="99"/>
                <w:sz w:val="21"/>
              </w:rPr>
              <w:t>必须持续受到他人监护。须由头颅断层扫描</w:t>
            </w:r>
            <w:r>
              <w:rPr>
                <w:spacing w:val="1"/>
                <w:w w:val="99"/>
                <w:sz w:val="21"/>
              </w:rPr>
              <w:t>（</w:t>
            </w:r>
            <w:r>
              <w:rPr>
                <w:spacing w:val="0"/>
                <w:w w:val="99"/>
                <w:sz w:val="21"/>
              </w:rPr>
              <w:t>C</w:t>
            </w:r>
            <w:r>
              <w:rPr>
                <w:spacing w:val="-2"/>
                <w:w w:val="99"/>
                <w:sz w:val="21"/>
              </w:rPr>
              <w:t>T</w:t>
            </w:r>
            <w:r>
              <w:rPr>
                <w:spacing w:val="-104"/>
                <w:w w:val="99"/>
                <w:sz w:val="21"/>
              </w:rPr>
              <w:t>）</w:t>
            </w:r>
            <w:r>
              <w:rPr>
                <w:spacing w:val="-1"/>
                <w:w w:val="99"/>
                <w:sz w:val="21"/>
              </w:rPr>
              <w:t>、核磁共振检查</w:t>
            </w:r>
          </w:p>
          <w:p>
            <w:pPr>
              <w:pStyle w:val="TableParagraph"/>
              <w:spacing w:line="237" w:lineRule="auto" w:before="1"/>
              <w:ind w:left="180" w:right="79"/>
              <w:jc w:val="both"/>
              <w:rPr>
                <w:sz w:val="21"/>
              </w:rPr>
            </w:pPr>
            <w:r>
              <w:rPr>
                <w:spacing w:val="-3"/>
                <w:w w:val="95"/>
                <w:sz w:val="21"/>
              </w:rPr>
              <w:t>（MRI）</w:t>
            </w:r>
            <w:r>
              <w:rPr>
                <w:spacing w:val="-1"/>
                <w:w w:val="95"/>
                <w:sz w:val="21"/>
              </w:rPr>
              <w:t>或正电子发射断层扫描</w:t>
            </w:r>
            <w:r>
              <w:rPr>
                <w:w w:val="95"/>
                <w:sz w:val="21"/>
              </w:rPr>
              <w:t>（PET）</w:t>
            </w:r>
            <w:r>
              <w:rPr>
                <w:spacing w:val="-1"/>
                <w:w w:val="95"/>
                <w:sz w:val="21"/>
              </w:rPr>
              <w:t>等影像学检查证实，且自主  </w:t>
            </w:r>
            <w:r>
              <w:rPr>
                <w:spacing w:val="-5"/>
                <w:w w:val="95"/>
                <w:sz w:val="21"/>
              </w:rPr>
              <w:t>生活能力完全丧失，无法独立完成六项基本日常生活活动中的三项  或三项以上。</w:t>
            </w:r>
          </w:p>
          <w:p>
            <w:pPr>
              <w:pStyle w:val="TableParagraph"/>
              <w:spacing w:line="271" w:lineRule="exact"/>
              <w:ind w:left="180"/>
              <w:jc w:val="both"/>
              <w:rPr>
                <w:rFonts w:ascii="黑体" w:eastAsia="黑体" w:hint="eastAsia"/>
                <w:sz w:val="21"/>
              </w:rPr>
            </w:pPr>
            <w:r>
              <w:rPr>
                <w:rFonts w:ascii="黑体" w:eastAsia="黑体" w:hint="eastAsia"/>
                <w:w w:val="95"/>
                <w:sz w:val="21"/>
              </w:rPr>
              <w:t>神经官能症和精神疾病不在保障范围内。</w:t>
            </w:r>
          </w:p>
        </w:tc>
      </w:tr>
      <w:tr>
        <w:trPr>
          <w:trHeight w:val="1526" w:hRule="atLeast"/>
        </w:trPr>
        <w:tc>
          <w:tcPr>
            <w:tcW w:w="635" w:type="dxa"/>
          </w:tcPr>
          <w:p>
            <w:pPr>
              <w:pStyle w:val="TableParagraph"/>
              <w:spacing w:before="162"/>
              <w:ind w:left="50"/>
              <w:rPr>
                <w:b/>
                <w:sz w:val="21"/>
              </w:rPr>
            </w:pPr>
            <w:r>
              <w:rPr>
                <w:b/>
                <w:sz w:val="21"/>
              </w:rPr>
              <w:t>9.18</w:t>
            </w:r>
          </w:p>
        </w:tc>
        <w:tc>
          <w:tcPr>
            <w:tcW w:w="1815" w:type="dxa"/>
          </w:tcPr>
          <w:p>
            <w:pPr>
              <w:pStyle w:val="TableParagraph"/>
              <w:spacing w:before="162"/>
              <w:ind w:left="161"/>
              <w:rPr>
                <w:b/>
                <w:sz w:val="21"/>
              </w:rPr>
            </w:pPr>
            <w:r>
              <w:rPr>
                <w:b/>
                <w:w w:val="95"/>
                <w:sz w:val="21"/>
              </w:rPr>
              <w:t>严重脑损伤</w:t>
            </w:r>
          </w:p>
        </w:tc>
        <w:tc>
          <w:tcPr>
            <w:tcW w:w="6319" w:type="dxa"/>
          </w:tcPr>
          <w:p>
            <w:pPr>
              <w:pStyle w:val="TableParagraph"/>
              <w:spacing w:line="237" w:lineRule="auto" w:before="165"/>
              <w:ind w:left="180" w:right="49"/>
              <w:rPr>
                <w:sz w:val="21"/>
              </w:rPr>
            </w:pPr>
            <w:r>
              <w:rPr>
                <w:spacing w:val="-3"/>
                <w:sz w:val="21"/>
              </w:rPr>
              <w:t>指因头部遭受机械性外力，引起脑重要部位损伤，导致神经系统永</w:t>
            </w:r>
            <w:r>
              <w:rPr>
                <w:spacing w:val="-1"/>
                <w:w w:val="99"/>
                <w:sz w:val="21"/>
              </w:rPr>
              <w:t>久性的功能障碍。须由头颅断层扫描（</w:t>
            </w:r>
            <w:r>
              <w:rPr>
                <w:spacing w:val="0"/>
                <w:w w:val="99"/>
                <w:sz w:val="21"/>
              </w:rPr>
              <w:t>CT</w:t>
            </w:r>
            <w:r>
              <w:rPr>
                <w:spacing w:val="-106"/>
                <w:w w:val="99"/>
                <w:sz w:val="21"/>
              </w:rPr>
              <w:t>）</w:t>
            </w:r>
            <w:r>
              <w:rPr>
                <w:spacing w:val="-1"/>
                <w:w w:val="99"/>
                <w:sz w:val="21"/>
              </w:rPr>
              <w:t>、核磁共振检查</w:t>
            </w:r>
            <w:r>
              <w:rPr>
                <w:spacing w:val="1"/>
                <w:w w:val="99"/>
                <w:sz w:val="21"/>
              </w:rPr>
              <w:t>（</w:t>
            </w:r>
            <w:r>
              <w:rPr>
                <w:spacing w:val="0"/>
                <w:w w:val="99"/>
                <w:sz w:val="21"/>
              </w:rPr>
              <w:t>MRI</w:t>
            </w:r>
            <w:r>
              <w:rPr>
                <w:w w:val="99"/>
                <w:sz w:val="21"/>
              </w:rPr>
              <w:t>）</w:t>
            </w:r>
            <w:r>
              <w:rPr>
                <w:sz w:val="21"/>
              </w:rPr>
              <w:t>或正电子发射断层扫描（PET）等影像学检查证实。神经系统永久</w:t>
            </w:r>
            <w:r>
              <w:rPr>
                <w:spacing w:val="-8"/>
                <w:sz w:val="21"/>
              </w:rPr>
              <w:t>性的功能障碍，指脑损伤 </w:t>
            </w:r>
            <w:r>
              <w:rPr>
                <w:sz w:val="21"/>
              </w:rPr>
              <w:t>180</w:t>
            </w:r>
            <w:r>
              <w:rPr>
                <w:spacing w:val="-10"/>
                <w:sz w:val="21"/>
              </w:rPr>
              <w:t> 天后，仍遗留下列一种或一种以上障</w:t>
            </w:r>
          </w:p>
          <w:p>
            <w:pPr>
              <w:pStyle w:val="TableParagraph"/>
              <w:spacing w:line="253" w:lineRule="exact"/>
              <w:ind w:left="180"/>
              <w:rPr>
                <w:sz w:val="21"/>
              </w:rPr>
            </w:pPr>
            <w:r>
              <w:rPr>
                <w:w w:val="95"/>
                <w:sz w:val="21"/>
              </w:rPr>
              <w:t>碍：</w:t>
            </w:r>
          </w:p>
        </w:tc>
      </w:tr>
    </w:tbl>
    <w:p>
      <w:pPr>
        <w:pStyle w:val="ListParagraph"/>
        <w:numPr>
          <w:ilvl w:val="0"/>
          <w:numId w:val="21"/>
        </w:numPr>
        <w:tabs>
          <w:tab w:pos="3474" w:val="left" w:leader="none"/>
          <w:tab w:pos="3475" w:val="left" w:leader="none"/>
        </w:tabs>
        <w:spacing w:line="240" w:lineRule="auto" w:before="56" w:after="0"/>
        <w:ind w:left="3460" w:right="0" w:hanging="720"/>
        <w:jc w:val="left"/>
        <w:rPr>
          <w:sz w:val="21"/>
        </w:rPr>
      </w:pPr>
      <w:r>
        <w:rPr>
          <w:w w:val="95"/>
          <w:sz w:val="21"/>
        </w:rPr>
        <w:t>一肢或一肢以上肢体机能完全丧失；</w:t>
      </w:r>
    </w:p>
    <w:p>
      <w:pPr>
        <w:pStyle w:val="ListParagraph"/>
        <w:numPr>
          <w:ilvl w:val="0"/>
          <w:numId w:val="21"/>
        </w:numPr>
        <w:tabs>
          <w:tab w:pos="3474" w:val="left" w:leader="none"/>
          <w:tab w:pos="3475" w:val="left" w:leader="none"/>
        </w:tabs>
        <w:spacing w:line="240" w:lineRule="auto" w:before="58" w:after="0"/>
        <w:ind w:left="3460" w:right="0" w:hanging="720"/>
        <w:jc w:val="left"/>
        <w:rPr>
          <w:sz w:val="21"/>
        </w:rPr>
      </w:pPr>
      <w:r>
        <w:rPr>
          <w:w w:val="95"/>
          <w:sz w:val="21"/>
        </w:rPr>
        <w:t>语言能力或咀嚼吞咽能力完全丧失；</w:t>
      </w:r>
    </w:p>
    <w:p>
      <w:pPr>
        <w:pStyle w:val="ListParagraph"/>
        <w:numPr>
          <w:ilvl w:val="0"/>
          <w:numId w:val="21"/>
        </w:numPr>
        <w:tabs>
          <w:tab w:pos="3474" w:val="left" w:leader="none"/>
          <w:tab w:pos="3475" w:val="left" w:leader="none"/>
        </w:tabs>
        <w:spacing w:line="240" w:lineRule="auto" w:before="56" w:after="0"/>
        <w:ind w:left="3460" w:right="254" w:hanging="720"/>
        <w:jc w:val="left"/>
        <w:rPr>
          <w:sz w:val="21"/>
        </w:rPr>
      </w:pPr>
      <w:r>
        <w:rPr>
          <w:w w:val="95"/>
          <w:sz w:val="21"/>
        </w:rPr>
        <w:t>自主生活能力完全丧失，无法独立完成六项基本日常生活 活动中的三项或三项以上。</w:t>
      </w:r>
    </w:p>
    <w:p>
      <w:pPr>
        <w:pStyle w:val="BodyText"/>
        <w:spacing w:before="13"/>
        <w:rPr>
          <w:sz w:val="29"/>
        </w:rPr>
      </w:pPr>
    </w:p>
    <w:p>
      <w:pPr>
        <w:pStyle w:val="ListParagraph"/>
        <w:numPr>
          <w:ilvl w:val="1"/>
          <w:numId w:val="22"/>
        </w:numPr>
        <w:tabs>
          <w:tab w:pos="906" w:val="left" w:leader="none"/>
          <w:tab w:pos="907" w:val="left" w:leader="none"/>
          <w:tab w:pos="2739" w:val="left" w:leader="none"/>
        </w:tabs>
        <w:spacing w:line="237" w:lineRule="auto" w:before="0" w:after="0"/>
        <w:ind w:left="2740" w:right="180" w:hanging="2580"/>
        <w:jc w:val="left"/>
        <w:rPr>
          <w:rFonts w:ascii="黑体" w:eastAsia="黑体" w:hint="eastAsia"/>
          <w:sz w:val="21"/>
        </w:rPr>
      </w:pPr>
      <w:r>
        <w:rPr>
          <w:b/>
          <w:sz w:val="21"/>
        </w:rPr>
        <w:t>严重帕金森病</w:t>
        <w:tab/>
      </w:r>
      <w:r>
        <w:rPr>
          <w:w w:val="95"/>
          <w:sz w:val="21"/>
        </w:rPr>
        <w:t>是一种中枢神经系统的退行性疾病</w:t>
      </w:r>
      <w:r>
        <w:rPr>
          <w:spacing w:val="-15"/>
          <w:w w:val="95"/>
          <w:sz w:val="21"/>
        </w:rPr>
        <w:t>，</w:t>
      </w:r>
      <w:r>
        <w:rPr>
          <w:w w:val="95"/>
          <w:sz w:val="21"/>
        </w:rPr>
        <w:t>临床表现为震颤麻痹</w:t>
      </w:r>
      <w:r>
        <w:rPr>
          <w:spacing w:val="-15"/>
          <w:w w:val="95"/>
          <w:sz w:val="21"/>
        </w:rPr>
        <w:t>、</w:t>
      </w:r>
      <w:r>
        <w:rPr>
          <w:w w:val="95"/>
          <w:sz w:val="21"/>
        </w:rPr>
        <w:t>共济失   调等。</w:t>
      </w:r>
      <w:r>
        <w:rPr>
          <w:rFonts w:ascii="黑体" w:eastAsia="黑体" w:hint="eastAsia"/>
          <w:w w:val="95"/>
          <w:sz w:val="21"/>
        </w:rPr>
        <w:t>须满足下列全部条件：</w:t>
      </w:r>
    </w:p>
    <w:p>
      <w:pPr>
        <w:pStyle w:val="ListParagraph"/>
        <w:numPr>
          <w:ilvl w:val="2"/>
          <w:numId w:val="22"/>
        </w:numPr>
        <w:tabs>
          <w:tab w:pos="3474" w:val="left" w:leader="none"/>
          <w:tab w:pos="3475" w:val="left" w:leader="none"/>
        </w:tabs>
        <w:spacing w:line="240" w:lineRule="auto" w:before="58" w:after="0"/>
        <w:ind w:left="3460" w:right="0" w:hanging="720"/>
        <w:jc w:val="left"/>
        <w:rPr>
          <w:sz w:val="21"/>
        </w:rPr>
      </w:pPr>
      <w:r>
        <w:rPr>
          <w:w w:val="95"/>
          <w:sz w:val="21"/>
        </w:rPr>
        <w:t>药物治疗无法控制病情；</w:t>
      </w:r>
    </w:p>
    <w:p>
      <w:pPr>
        <w:pStyle w:val="ListParagraph"/>
        <w:numPr>
          <w:ilvl w:val="2"/>
          <w:numId w:val="22"/>
        </w:numPr>
        <w:tabs>
          <w:tab w:pos="3474" w:val="left" w:leader="none"/>
          <w:tab w:pos="3475" w:val="left" w:leader="none"/>
        </w:tabs>
        <w:spacing w:line="240" w:lineRule="auto" w:before="55" w:after="0"/>
        <w:ind w:left="3460" w:right="254" w:hanging="720"/>
        <w:jc w:val="left"/>
        <w:rPr>
          <w:sz w:val="21"/>
        </w:rPr>
      </w:pPr>
      <w:r>
        <w:rPr>
          <w:w w:val="95"/>
          <w:sz w:val="21"/>
        </w:rPr>
        <w:t>自主生活能力完全丧失，无法独立完成六项基本日常生活 活动中的三项或三项以上。</w:t>
      </w:r>
    </w:p>
    <w:p>
      <w:pPr>
        <w:pStyle w:val="BodyText"/>
        <w:spacing w:before="55"/>
        <w:ind w:left="2740"/>
        <w:rPr>
          <w:rFonts w:ascii="黑体" w:eastAsia="黑体" w:hint="eastAsia"/>
        </w:rPr>
      </w:pPr>
      <w:r>
        <w:rPr>
          <w:rFonts w:ascii="黑体" w:eastAsia="黑体" w:hint="eastAsia"/>
          <w:w w:val="95"/>
        </w:rPr>
        <w:t>继发性帕金森综合征不在保障范围内。</w:t>
      </w:r>
    </w:p>
    <w:p>
      <w:pPr>
        <w:pStyle w:val="BodyText"/>
        <w:spacing w:before="9"/>
        <w:rPr>
          <w:rFonts w:ascii="黑体"/>
          <w:sz w:val="29"/>
        </w:rPr>
      </w:pPr>
    </w:p>
    <w:p>
      <w:pPr>
        <w:pStyle w:val="ListParagraph"/>
        <w:numPr>
          <w:ilvl w:val="1"/>
          <w:numId w:val="22"/>
        </w:numPr>
        <w:tabs>
          <w:tab w:pos="906" w:val="left" w:leader="none"/>
          <w:tab w:pos="907" w:val="left" w:leader="none"/>
          <w:tab w:pos="2739" w:val="left" w:leader="none"/>
        </w:tabs>
        <w:spacing w:line="274" w:lineRule="exact" w:before="0" w:after="0"/>
        <w:ind w:left="2740" w:right="0" w:hanging="2580"/>
        <w:jc w:val="left"/>
        <w:rPr>
          <w:sz w:val="21"/>
        </w:rPr>
      </w:pPr>
      <w:r>
        <w:rPr>
          <w:b/>
          <w:sz w:val="21"/>
        </w:rPr>
        <w:t>严重Ⅲ度烧伤</w:t>
        <w:tab/>
      </w:r>
      <w:r>
        <w:rPr>
          <w:sz w:val="21"/>
        </w:rPr>
        <w:t>指烧伤程度为Ⅲ度</w:t>
      </w:r>
      <w:r>
        <w:rPr>
          <w:spacing w:val="-82"/>
          <w:sz w:val="21"/>
        </w:rPr>
        <w:t>，</w:t>
      </w:r>
      <w:r>
        <w:rPr>
          <w:sz w:val="21"/>
        </w:rPr>
        <w:t>且Ⅲ度烧伤的面积达到全身体表面积的</w:t>
      </w:r>
      <w:r>
        <w:rPr>
          <w:spacing w:val="-70"/>
          <w:sz w:val="21"/>
        </w:rPr>
        <w:t> </w:t>
      </w:r>
      <w:r>
        <w:rPr>
          <w:sz w:val="21"/>
        </w:rPr>
        <w:t>20％或</w:t>
      </w:r>
    </w:p>
    <w:p>
      <w:pPr>
        <w:pStyle w:val="BodyText"/>
        <w:spacing w:line="274" w:lineRule="exact" w:before="0"/>
        <w:ind w:left="2740"/>
      </w:pPr>
      <w:r>
        <w:rPr>
          <w:w w:val="95"/>
        </w:rPr>
        <w:t>20％以上。体表面积根据《中国新九分法》计算。</w:t>
      </w:r>
    </w:p>
    <w:p>
      <w:pPr>
        <w:spacing w:after="0" w:line="274" w:lineRule="exact"/>
        <w:sectPr>
          <w:pgSz w:w="12240" w:h="15840"/>
          <w:pgMar w:top="1460" w:bottom="280" w:left="1640" w:right="1620"/>
        </w:sectPr>
      </w:pPr>
    </w:p>
    <w:p>
      <w:pPr>
        <w:pStyle w:val="BodyText"/>
        <w:spacing w:before="10"/>
        <w:rPr>
          <w:sz w:val="27"/>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15"/>
        <w:gridCol w:w="6289"/>
      </w:tblGrid>
      <w:tr>
        <w:trPr>
          <w:trHeight w:val="1252" w:hRule="atLeast"/>
        </w:trPr>
        <w:tc>
          <w:tcPr>
            <w:tcW w:w="635" w:type="dxa"/>
          </w:tcPr>
          <w:p>
            <w:pPr>
              <w:pStyle w:val="TableParagraph"/>
              <w:spacing w:line="209" w:lineRule="exact"/>
              <w:ind w:left="50"/>
              <w:rPr>
                <w:b/>
                <w:sz w:val="21"/>
              </w:rPr>
            </w:pPr>
            <w:r>
              <w:rPr>
                <w:b/>
                <w:sz w:val="21"/>
              </w:rPr>
              <w:t>9.21</w:t>
            </w:r>
          </w:p>
        </w:tc>
        <w:tc>
          <w:tcPr>
            <w:tcW w:w="1815" w:type="dxa"/>
          </w:tcPr>
          <w:p>
            <w:pPr>
              <w:pStyle w:val="TableParagraph"/>
              <w:spacing w:line="207" w:lineRule="exact"/>
              <w:ind w:left="161"/>
              <w:rPr>
                <w:b/>
                <w:sz w:val="21"/>
              </w:rPr>
            </w:pPr>
            <w:r>
              <w:rPr>
                <w:b/>
                <w:w w:val="95"/>
                <w:sz w:val="21"/>
              </w:rPr>
              <w:t>严重原发性肺动</w:t>
            </w:r>
          </w:p>
          <w:p>
            <w:pPr>
              <w:pStyle w:val="TableParagraph"/>
              <w:spacing w:line="273" w:lineRule="exact"/>
              <w:ind w:left="161"/>
              <w:rPr>
                <w:b/>
                <w:sz w:val="21"/>
              </w:rPr>
            </w:pPr>
            <w:r>
              <w:rPr>
                <w:b/>
                <w:w w:val="95"/>
                <w:sz w:val="21"/>
              </w:rPr>
              <w:t>脉高压</w:t>
            </w:r>
          </w:p>
        </w:tc>
        <w:tc>
          <w:tcPr>
            <w:tcW w:w="6289" w:type="dxa"/>
          </w:tcPr>
          <w:p>
            <w:pPr>
              <w:pStyle w:val="TableParagraph"/>
              <w:spacing w:line="207" w:lineRule="exact"/>
              <w:ind w:left="180"/>
              <w:rPr>
                <w:sz w:val="21"/>
              </w:rPr>
            </w:pPr>
            <w:r>
              <w:rPr>
                <w:w w:val="95"/>
                <w:sz w:val="21"/>
              </w:rPr>
              <w:t>指不明原因的肺动脉压力持续性增高，进行性发展而导致的慢性疾</w:t>
            </w:r>
          </w:p>
          <w:p>
            <w:pPr>
              <w:pStyle w:val="TableParagraph"/>
              <w:spacing w:line="237" w:lineRule="auto" w:before="1"/>
              <w:ind w:left="180" w:right="6"/>
              <w:rPr>
                <w:sz w:val="21"/>
              </w:rPr>
            </w:pPr>
            <w:r>
              <w:rPr>
                <w:w w:val="95"/>
                <w:sz w:val="21"/>
              </w:rPr>
              <w:t>病，已经造成永久不可逆性的体力活动能力受限，达到美国纽约心 </w:t>
            </w:r>
            <w:r>
              <w:rPr>
                <w:sz w:val="21"/>
              </w:rPr>
              <w:t>脏病学会心功能状态分级 IV 级，且静息状态下肺动脉平均压超过</w:t>
            </w:r>
          </w:p>
          <w:p>
            <w:pPr>
              <w:pStyle w:val="TableParagraph"/>
              <w:spacing w:line="274" w:lineRule="exact"/>
              <w:ind w:left="180"/>
              <w:rPr>
                <w:sz w:val="21"/>
              </w:rPr>
            </w:pPr>
            <w:r>
              <w:rPr>
                <w:w w:val="95"/>
                <w:sz w:val="21"/>
              </w:rPr>
              <w:t>30mmHg。</w:t>
            </w:r>
          </w:p>
        </w:tc>
      </w:tr>
      <w:tr>
        <w:trPr>
          <w:trHeight w:val="1482" w:hRule="atLeast"/>
        </w:trPr>
        <w:tc>
          <w:tcPr>
            <w:tcW w:w="635" w:type="dxa"/>
          </w:tcPr>
          <w:p>
            <w:pPr>
              <w:pStyle w:val="TableParagraph"/>
              <w:spacing w:before="162"/>
              <w:ind w:left="50"/>
              <w:rPr>
                <w:b/>
                <w:sz w:val="21"/>
              </w:rPr>
            </w:pPr>
            <w:r>
              <w:rPr>
                <w:b/>
                <w:sz w:val="21"/>
              </w:rPr>
              <w:t>9.22</w:t>
            </w:r>
          </w:p>
        </w:tc>
        <w:tc>
          <w:tcPr>
            <w:tcW w:w="1815" w:type="dxa"/>
          </w:tcPr>
          <w:p>
            <w:pPr>
              <w:pStyle w:val="TableParagraph"/>
              <w:spacing w:before="162"/>
              <w:ind w:left="161" w:right="177"/>
              <w:rPr>
                <w:b/>
                <w:sz w:val="21"/>
              </w:rPr>
            </w:pPr>
            <w:r>
              <w:rPr>
                <w:b/>
                <w:w w:val="95"/>
                <w:sz w:val="21"/>
              </w:rPr>
              <w:t>严重运动神经元</w:t>
            </w:r>
            <w:r>
              <w:rPr>
                <w:b/>
                <w:sz w:val="21"/>
              </w:rPr>
              <w:t>病</w:t>
            </w:r>
          </w:p>
        </w:tc>
        <w:tc>
          <w:tcPr>
            <w:tcW w:w="6289" w:type="dxa"/>
          </w:tcPr>
          <w:p>
            <w:pPr>
              <w:pStyle w:val="TableParagraph"/>
              <w:spacing w:line="237" w:lineRule="auto" w:before="165"/>
              <w:ind w:left="180" w:right="49"/>
              <w:jc w:val="both"/>
              <w:rPr>
                <w:sz w:val="21"/>
              </w:rPr>
            </w:pPr>
            <w:r>
              <w:rPr>
                <w:spacing w:val="-2"/>
                <w:w w:val="95"/>
                <w:sz w:val="21"/>
              </w:rPr>
              <w:t>是一组中枢神经系统运动神经元的进行性变性疾病，包括进行性脊  </w:t>
            </w:r>
            <w:r>
              <w:rPr>
                <w:spacing w:val="-6"/>
                <w:w w:val="95"/>
                <w:sz w:val="21"/>
              </w:rPr>
              <w:t>肌萎缩症、进行性延髓麻痹症、原发性侧索硬化症、肌萎缩性侧索  </w:t>
            </w:r>
            <w:r>
              <w:rPr>
                <w:spacing w:val="-7"/>
                <w:w w:val="95"/>
                <w:sz w:val="21"/>
              </w:rPr>
              <w:t>硬化症。须满足自主生活能力完全丧失，无法独立完成六项基本日  常生活活动中的三项或三项以上的条件。</w:t>
            </w:r>
          </w:p>
        </w:tc>
      </w:tr>
      <w:tr>
        <w:trPr>
          <w:trHeight w:val="1042" w:hRule="atLeast"/>
        </w:trPr>
        <w:tc>
          <w:tcPr>
            <w:tcW w:w="635" w:type="dxa"/>
          </w:tcPr>
          <w:p>
            <w:pPr>
              <w:pStyle w:val="TableParagraph"/>
              <w:spacing w:before="161"/>
              <w:ind w:left="50"/>
              <w:rPr>
                <w:b/>
                <w:sz w:val="21"/>
              </w:rPr>
            </w:pPr>
            <w:r>
              <w:rPr>
                <w:b/>
                <w:sz w:val="21"/>
              </w:rPr>
              <w:t>9.23</w:t>
            </w:r>
          </w:p>
        </w:tc>
        <w:tc>
          <w:tcPr>
            <w:tcW w:w="1815" w:type="dxa"/>
          </w:tcPr>
          <w:p>
            <w:pPr>
              <w:pStyle w:val="TableParagraph"/>
              <w:spacing w:before="161"/>
              <w:ind w:left="161"/>
              <w:rPr>
                <w:b/>
                <w:sz w:val="21"/>
              </w:rPr>
            </w:pPr>
            <w:r>
              <w:rPr>
                <w:b/>
                <w:w w:val="95"/>
                <w:sz w:val="21"/>
              </w:rPr>
              <w:t>语言能力丧失</w:t>
            </w:r>
          </w:p>
        </w:tc>
        <w:tc>
          <w:tcPr>
            <w:tcW w:w="6289" w:type="dxa"/>
          </w:tcPr>
          <w:p>
            <w:pPr>
              <w:pStyle w:val="TableParagraph"/>
              <w:spacing w:line="237" w:lineRule="auto" w:before="163"/>
              <w:ind w:left="180" w:right="48"/>
              <w:rPr>
                <w:sz w:val="21"/>
              </w:rPr>
            </w:pPr>
            <w:r>
              <w:rPr>
                <w:spacing w:val="-8"/>
                <w:sz w:val="21"/>
              </w:rPr>
              <w:t>指因疾病或意外伤害导致完全丧失语言能力，经过积极治疗至少 </w:t>
            </w:r>
            <w:r>
              <w:rPr>
                <w:sz w:val="21"/>
              </w:rPr>
              <w:t>12 </w:t>
            </w:r>
            <w:r>
              <w:rPr>
                <w:w w:val="99"/>
                <w:sz w:val="21"/>
              </w:rPr>
              <w:t>个月</w:t>
            </w:r>
            <w:r>
              <w:rPr>
                <w:spacing w:val="-1"/>
                <w:w w:val="99"/>
                <w:sz w:val="21"/>
              </w:rPr>
              <w:t>（声带完全切除不受此时间限制</w:t>
            </w:r>
            <w:r>
              <w:rPr>
                <w:spacing w:val="-106"/>
                <w:w w:val="99"/>
                <w:sz w:val="21"/>
              </w:rPr>
              <w:t>）</w:t>
            </w:r>
            <w:r>
              <w:rPr>
                <w:spacing w:val="-1"/>
                <w:w w:val="99"/>
                <w:sz w:val="21"/>
              </w:rPr>
              <w:t>，仍无法通过现有医疗手段</w:t>
            </w:r>
            <w:r>
              <w:rPr>
                <w:spacing w:val="-1"/>
                <w:w w:val="95"/>
                <w:sz w:val="21"/>
              </w:rPr>
              <w:t>恢复。</w:t>
            </w:r>
          </w:p>
        </w:tc>
      </w:tr>
      <w:tr>
        <w:trPr>
          <w:trHeight w:val="332"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89" w:type="dxa"/>
          </w:tcPr>
          <w:p>
            <w:pPr>
              <w:pStyle w:val="TableParagraph"/>
              <w:spacing w:line="271" w:lineRule="exact"/>
              <w:ind w:left="180"/>
              <w:rPr>
                <w:rFonts w:ascii="黑体" w:eastAsia="黑体" w:hint="eastAsia"/>
                <w:sz w:val="21"/>
              </w:rPr>
            </w:pPr>
            <w:r>
              <w:rPr>
                <w:rFonts w:ascii="黑体" w:eastAsia="黑体" w:hint="eastAsia"/>
                <w:w w:val="95"/>
                <w:sz w:val="21"/>
              </w:rPr>
              <w:t>精神心理因素所致的语言能力丧失不在保障范围内。</w:t>
            </w:r>
          </w:p>
        </w:tc>
      </w:tr>
      <w:tr>
        <w:trPr>
          <w:trHeight w:val="770"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89" w:type="dxa"/>
          </w:tcPr>
          <w:p>
            <w:pPr>
              <w:pStyle w:val="TableParagraph"/>
              <w:spacing w:line="237" w:lineRule="auto"/>
              <w:ind w:left="180" w:right="49"/>
              <w:rPr>
                <w:rFonts w:ascii="黑体" w:eastAsia="黑体" w:hint="eastAsia"/>
                <w:sz w:val="21"/>
              </w:rPr>
            </w:pPr>
            <w:r>
              <w:rPr>
                <w:rFonts w:ascii="黑体" w:eastAsia="黑体" w:hint="eastAsia"/>
                <w:spacing w:val="-11"/>
                <w:sz w:val="21"/>
              </w:rPr>
              <w:t>被保险人在 </w:t>
            </w:r>
            <w:r>
              <w:rPr>
                <w:rFonts w:ascii="黑体" w:eastAsia="黑体" w:hint="eastAsia"/>
                <w:sz w:val="21"/>
              </w:rPr>
              <w:t>3</w:t>
            </w:r>
            <w:r>
              <w:rPr>
                <w:rFonts w:ascii="黑体" w:eastAsia="黑体" w:hint="eastAsia"/>
                <w:spacing w:val="-10"/>
                <w:sz w:val="21"/>
              </w:rPr>
              <w:t> 周岁之前因疾病导致语言能力丧失，本公司不承担保</w:t>
            </w:r>
            <w:r>
              <w:rPr>
                <w:rFonts w:ascii="黑体" w:eastAsia="黑体" w:hint="eastAsia"/>
                <w:spacing w:val="-10"/>
                <w:w w:val="95"/>
                <w:sz w:val="21"/>
              </w:rPr>
              <w:t>险责任。</w:t>
            </w:r>
          </w:p>
        </w:tc>
      </w:tr>
      <w:tr>
        <w:trPr>
          <w:trHeight w:val="771" w:hRule="atLeast"/>
        </w:trPr>
        <w:tc>
          <w:tcPr>
            <w:tcW w:w="635" w:type="dxa"/>
          </w:tcPr>
          <w:p>
            <w:pPr>
              <w:pStyle w:val="TableParagraph"/>
              <w:spacing w:before="163"/>
              <w:ind w:left="50"/>
              <w:rPr>
                <w:b/>
                <w:sz w:val="21"/>
              </w:rPr>
            </w:pPr>
            <w:r>
              <w:rPr>
                <w:b/>
                <w:sz w:val="21"/>
              </w:rPr>
              <w:t>9.24</w:t>
            </w:r>
          </w:p>
        </w:tc>
        <w:tc>
          <w:tcPr>
            <w:tcW w:w="1815" w:type="dxa"/>
          </w:tcPr>
          <w:p>
            <w:pPr>
              <w:pStyle w:val="TableParagraph"/>
              <w:spacing w:line="237" w:lineRule="auto" w:before="166"/>
              <w:ind w:left="161" w:right="177"/>
              <w:rPr>
                <w:b/>
                <w:sz w:val="21"/>
              </w:rPr>
            </w:pPr>
            <w:r>
              <w:rPr>
                <w:b/>
                <w:w w:val="95"/>
                <w:sz w:val="21"/>
              </w:rPr>
              <w:t>重型再生障碍性贫血</w:t>
            </w:r>
          </w:p>
        </w:tc>
        <w:tc>
          <w:tcPr>
            <w:tcW w:w="6289" w:type="dxa"/>
          </w:tcPr>
          <w:p>
            <w:pPr>
              <w:pStyle w:val="TableParagraph"/>
              <w:spacing w:line="237" w:lineRule="auto" w:before="166"/>
              <w:ind w:left="180" w:right="49"/>
              <w:rPr>
                <w:rFonts w:ascii="黑体" w:eastAsia="黑体" w:hint="eastAsia"/>
                <w:sz w:val="21"/>
              </w:rPr>
            </w:pPr>
            <w:r>
              <w:rPr>
                <w:spacing w:val="-2"/>
                <w:w w:val="95"/>
                <w:sz w:val="21"/>
              </w:rPr>
              <w:t>指因骨髓造血功能慢性持续性衰竭导致的贫血、中性粒细胞减少及  血小板减少。</w:t>
            </w:r>
            <w:r>
              <w:rPr>
                <w:rFonts w:ascii="黑体" w:eastAsia="黑体" w:hint="eastAsia"/>
                <w:spacing w:val="-2"/>
                <w:w w:val="95"/>
                <w:sz w:val="21"/>
              </w:rPr>
              <w:t>须满足下列全部条件：</w:t>
            </w:r>
          </w:p>
        </w:tc>
      </w:tr>
      <w:tr>
        <w:trPr>
          <w:trHeight w:val="332"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89" w:type="dxa"/>
          </w:tcPr>
          <w:p>
            <w:pPr>
              <w:pStyle w:val="TableParagraph"/>
              <w:tabs>
                <w:tab w:pos="914" w:val="left" w:leader="none"/>
              </w:tabs>
              <w:spacing w:line="271" w:lineRule="exact"/>
              <w:ind w:left="180"/>
              <w:rPr>
                <w:sz w:val="21"/>
              </w:rPr>
            </w:pPr>
            <w:r>
              <w:rPr>
                <w:sz w:val="21"/>
              </w:rPr>
              <w:t>（1）</w:t>
              <w:tab/>
            </w:r>
            <w:r>
              <w:rPr>
                <w:w w:val="95"/>
                <w:sz w:val="21"/>
              </w:rPr>
              <w:t>骨髓穿刺检查或骨髓活检结果支持诊断；</w:t>
            </w:r>
          </w:p>
        </w:tc>
      </w:tr>
      <w:tr>
        <w:trPr>
          <w:trHeight w:val="270"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89" w:type="dxa"/>
          </w:tcPr>
          <w:p>
            <w:pPr>
              <w:pStyle w:val="TableParagraph"/>
              <w:tabs>
                <w:tab w:pos="914" w:val="left" w:leader="none"/>
              </w:tabs>
              <w:spacing w:line="250" w:lineRule="exact"/>
              <w:ind w:left="180"/>
              <w:rPr>
                <w:sz w:val="21"/>
              </w:rPr>
            </w:pPr>
            <w:r>
              <w:rPr>
                <w:sz w:val="21"/>
              </w:rPr>
              <w:t>（2）</w:t>
              <w:tab/>
            </w:r>
            <w:r>
              <w:rPr>
                <w:w w:val="95"/>
                <w:sz w:val="21"/>
              </w:rPr>
              <w:t>外周血象须具备以下三项条件：</w:t>
            </w:r>
          </w:p>
        </w:tc>
      </w:tr>
    </w:tbl>
    <w:p>
      <w:pPr>
        <w:pStyle w:val="ListParagraph"/>
        <w:numPr>
          <w:ilvl w:val="0"/>
          <w:numId w:val="23"/>
        </w:numPr>
        <w:tabs>
          <w:tab w:pos="3872" w:val="left" w:leader="none"/>
          <w:tab w:pos="3873" w:val="left" w:leader="none"/>
        </w:tabs>
        <w:spacing w:line="240" w:lineRule="auto" w:before="59" w:after="0"/>
        <w:ind w:left="3872" w:right="0" w:hanging="420"/>
        <w:jc w:val="left"/>
        <w:rPr>
          <w:sz w:val="21"/>
        </w:rPr>
      </w:pPr>
      <w:r>
        <w:rPr>
          <w:spacing w:val="-1"/>
          <w:w w:val="99"/>
          <w:sz w:val="21"/>
        </w:rPr>
        <w:t>中性粒细胞绝对值≤</w:t>
      </w:r>
      <w:r>
        <w:rPr>
          <w:spacing w:val="0"/>
          <w:w w:val="99"/>
          <w:sz w:val="21"/>
        </w:rPr>
        <w:t>0.</w:t>
      </w:r>
      <w:r>
        <w:rPr>
          <w:spacing w:val="-2"/>
          <w:w w:val="99"/>
          <w:sz w:val="21"/>
        </w:rPr>
        <w:t>5</w:t>
      </w:r>
      <w:r>
        <w:rPr>
          <w:spacing w:val="-1"/>
          <w:w w:val="99"/>
          <w:sz w:val="21"/>
        </w:rPr>
        <w:t>×</w:t>
      </w:r>
      <w:r>
        <w:rPr>
          <w:spacing w:val="0"/>
          <w:w w:val="99"/>
          <w:sz w:val="21"/>
        </w:rPr>
        <w:t>10</w:t>
      </w:r>
      <w:r>
        <w:rPr>
          <w:spacing w:val="-3"/>
          <w:w w:val="106"/>
          <w:position w:val="11"/>
          <w:sz w:val="10"/>
        </w:rPr>
        <w:t>9</w:t>
      </w:r>
      <w:r>
        <w:rPr>
          <w:spacing w:val="0"/>
          <w:w w:val="99"/>
          <w:sz w:val="21"/>
        </w:rPr>
        <w:t>/</w:t>
      </w:r>
      <w:r>
        <w:rPr>
          <w:w w:val="99"/>
          <w:sz w:val="21"/>
        </w:rPr>
        <w:t>L</w:t>
      </w:r>
      <w:r>
        <w:rPr>
          <w:spacing w:val="0"/>
          <w:sz w:val="21"/>
        </w:rPr>
        <w:t> </w:t>
      </w:r>
      <w:r>
        <w:rPr>
          <w:w w:val="99"/>
          <w:sz w:val="21"/>
        </w:rPr>
        <w:t>；</w:t>
      </w:r>
    </w:p>
    <w:p>
      <w:pPr>
        <w:pStyle w:val="ListParagraph"/>
        <w:numPr>
          <w:ilvl w:val="0"/>
          <w:numId w:val="23"/>
        </w:numPr>
        <w:tabs>
          <w:tab w:pos="3872" w:val="left" w:leader="none"/>
          <w:tab w:pos="3873" w:val="left" w:leader="none"/>
        </w:tabs>
        <w:spacing w:line="240" w:lineRule="auto" w:before="56" w:after="0"/>
        <w:ind w:left="3872" w:right="0" w:hanging="420"/>
        <w:jc w:val="left"/>
        <w:rPr>
          <w:rFonts w:ascii="楷体" w:eastAsia="楷体" w:hint="eastAsia"/>
          <w:sz w:val="21"/>
        </w:rPr>
      </w:pPr>
      <w:r>
        <w:rPr>
          <w:w w:val="95"/>
          <w:sz w:val="21"/>
        </w:rPr>
        <w:t>网织红细胞</w:t>
      </w:r>
      <w:r>
        <w:rPr>
          <w:rFonts w:ascii="楷体" w:eastAsia="楷体" w:hint="eastAsia"/>
          <w:w w:val="95"/>
          <w:sz w:val="21"/>
        </w:rPr>
        <w:t>＜</w:t>
      </w:r>
      <w:r>
        <w:rPr>
          <w:rFonts w:ascii="Times New Roman" w:eastAsia="Times New Roman"/>
          <w:w w:val="95"/>
          <w:sz w:val="21"/>
        </w:rPr>
        <w:t>1%</w:t>
      </w:r>
      <w:r>
        <w:rPr>
          <w:rFonts w:ascii="楷体" w:eastAsia="楷体" w:hint="eastAsia"/>
          <w:w w:val="95"/>
          <w:sz w:val="21"/>
        </w:rPr>
        <w:t>；</w:t>
      </w:r>
    </w:p>
    <w:p>
      <w:pPr>
        <w:pStyle w:val="ListParagraph"/>
        <w:numPr>
          <w:ilvl w:val="0"/>
          <w:numId w:val="23"/>
        </w:numPr>
        <w:tabs>
          <w:tab w:pos="3872" w:val="left" w:leader="none"/>
          <w:tab w:pos="3873" w:val="left" w:leader="none"/>
        </w:tabs>
        <w:spacing w:line="240" w:lineRule="auto" w:before="42" w:after="0"/>
        <w:ind w:left="3872" w:right="0" w:hanging="420"/>
        <w:jc w:val="left"/>
        <w:rPr>
          <w:sz w:val="21"/>
        </w:rPr>
      </w:pPr>
      <w:r>
        <w:rPr>
          <w:spacing w:val="-1"/>
          <w:w w:val="99"/>
          <w:sz w:val="21"/>
        </w:rPr>
        <w:t>血小板绝对值≤</w:t>
      </w:r>
      <w:r>
        <w:rPr>
          <w:spacing w:val="0"/>
          <w:w w:val="99"/>
          <w:sz w:val="21"/>
        </w:rPr>
        <w:t>2</w:t>
      </w:r>
      <w:r>
        <w:rPr>
          <w:spacing w:val="-2"/>
          <w:w w:val="99"/>
          <w:sz w:val="21"/>
        </w:rPr>
        <w:t>0</w:t>
      </w:r>
      <w:r>
        <w:rPr>
          <w:spacing w:val="1"/>
          <w:w w:val="99"/>
          <w:sz w:val="21"/>
        </w:rPr>
        <w:t>×</w:t>
      </w:r>
      <w:r>
        <w:rPr>
          <w:spacing w:val="0"/>
          <w:w w:val="99"/>
          <w:sz w:val="21"/>
        </w:rPr>
        <w:t>1</w:t>
      </w:r>
      <w:r>
        <w:rPr>
          <w:spacing w:val="-2"/>
          <w:w w:val="99"/>
          <w:sz w:val="21"/>
        </w:rPr>
        <w:t>0</w:t>
      </w:r>
      <w:r>
        <w:rPr>
          <w:spacing w:val="-1"/>
          <w:w w:val="105"/>
          <w:position w:val="11"/>
          <w:sz w:val="10"/>
        </w:rPr>
        <w:t>9</w:t>
      </w:r>
      <w:r>
        <w:rPr>
          <w:spacing w:val="0"/>
          <w:w w:val="99"/>
          <w:sz w:val="21"/>
        </w:rPr>
        <w:t>/</w:t>
      </w:r>
      <w:r>
        <w:rPr>
          <w:spacing w:val="-2"/>
          <w:w w:val="99"/>
          <w:sz w:val="21"/>
        </w:rPr>
        <w:t>L</w:t>
      </w:r>
      <w:r>
        <w:rPr>
          <w:w w:val="99"/>
          <w:sz w:val="21"/>
        </w:rPr>
        <w:t>。</w:t>
      </w:r>
    </w:p>
    <w:p>
      <w:pPr>
        <w:pStyle w:val="BodyText"/>
        <w:spacing w:before="10"/>
        <w:rPr>
          <w:sz w:val="29"/>
        </w:rPr>
      </w:pPr>
    </w:p>
    <w:p>
      <w:pPr>
        <w:pStyle w:val="ListParagraph"/>
        <w:numPr>
          <w:ilvl w:val="1"/>
          <w:numId w:val="24"/>
        </w:numPr>
        <w:tabs>
          <w:tab w:pos="907" w:val="left" w:leader="none"/>
        </w:tabs>
        <w:spacing w:line="237" w:lineRule="auto" w:before="0" w:after="0"/>
        <w:ind w:left="2740" w:right="190" w:hanging="2580"/>
        <w:jc w:val="both"/>
        <w:rPr>
          <w:sz w:val="21"/>
        </w:rPr>
      </w:pPr>
      <w:r>
        <w:rPr>
          <w:b/>
          <w:spacing w:val="0"/>
          <w:sz w:val="21"/>
        </w:rPr>
        <w:t>主动脉手术      </w:t>
      </w:r>
      <w:r>
        <w:rPr>
          <w:sz w:val="21"/>
        </w:rPr>
        <w:t>指为治疗主动脉疾病，实际实施了开胸或开腹进行的切除、置换、</w:t>
      </w:r>
      <w:r>
        <w:rPr>
          <w:spacing w:val="-3"/>
          <w:sz w:val="21"/>
        </w:rPr>
        <w:t>修补病损主动脉血管的手术。主动脉指胸主动脉和腹主动脉，不包</w:t>
      </w:r>
      <w:r>
        <w:rPr>
          <w:spacing w:val="-3"/>
          <w:w w:val="95"/>
          <w:sz w:val="21"/>
        </w:rPr>
        <w:t>括胸主动脉和腹主动脉的分支血管。</w:t>
      </w:r>
    </w:p>
    <w:p>
      <w:pPr>
        <w:pStyle w:val="BodyText"/>
        <w:spacing w:before="58"/>
        <w:ind w:left="2740"/>
        <w:rPr>
          <w:rFonts w:ascii="黑体" w:eastAsia="黑体" w:hint="eastAsia"/>
        </w:rPr>
      </w:pPr>
      <w:r>
        <w:rPr>
          <w:rFonts w:ascii="黑体" w:eastAsia="黑体" w:hint="eastAsia"/>
          <w:w w:val="95"/>
        </w:rPr>
        <w:t>动脉内血管成形术不在保障范围内。</w:t>
      </w:r>
    </w:p>
    <w:p>
      <w:pPr>
        <w:pStyle w:val="BodyText"/>
        <w:spacing w:before="0"/>
        <w:rPr>
          <w:rFonts w:ascii="黑体"/>
          <w:sz w:val="20"/>
        </w:rPr>
      </w:pPr>
    </w:p>
    <w:p>
      <w:pPr>
        <w:pStyle w:val="ListParagraph"/>
        <w:numPr>
          <w:ilvl w:val="1"/>
          <w:numId w:val="24"/>
        </w:numPr>
        <w:tabs>
          <w:tab w:pos="906" w:val="left" w:leader="none"/>
          <w:tab w:pos="907" w:val="left" w:leader="none"/>
          <w:tab w:pos="2739" w:val="left" w:leader="none"/>
        </w:tabs>
        <w:spacing w:line="230" w:lineRule="auto" w:before="139" w:after="0"/>
        <w:ind w:left="2740" w:right="114" w:hanging="2580"/>
        <w:jc w:val="left"/>
        <w:rPr>
          <w:sz w:val="21"/>
        </w:rPr>
      </w:pPr>
      <w:r>
        <w:rPr>
          <w:b/>
          <w:sz w:val="21"/>
        </w:rPr>
        <w:t>严重多发性硬化</w:t>
        <w:tab/>
      </w:r>
      <w:r>
        <w:rPr>
          <w:w w:val="95"/>
          <w:sz w:val="21"/>
        </w:rPr>
        <w:t>指被保险人因脑及脊髓内的脱髓鞘病变而出现神经系统多灶</w:t>
      </w:r>
      <w:r>
        <w:rPr>
          <w:spacing w:val="-27"/>
          <w:w w:val="95"/>
          <w:sz w:val="21"/>
        </w:rPr>
        <w:t>性</w:t>
      </w:r>
      <w:r>
        <w:rPr>
          <w:w w:val="95"/>
          <w:sz w:val="21"/>
        </w:rPr>
        <w:t>（多   </w:t>
      </w:r>
      <w:r>
        <w:rPr>
          <w:sz w:val="21"/>
        </w:rPr>
        <w:t>发性</w:t>
      </w:r>
      <w:r>
        <w:rPr>
          <w:spacing w:val="-34"/>
          <w:sz w:val="21"/>
        </w:rPr>
        <w:t>）</w:t>
      </w:r>
      <w:r>
        <w:rPr>
          <w:sz w:val="21"/>
        </w:rPr>
        <w:t>多时</w:t>
      </w:r>
      <w:r>
        <w:rPr>
          <w:spacing w:val="-32"/>
          <w:sz w:val="21"/>
        </w:rPr>
        <w:t>相</w:t>
      </w:r>
      <w:r>
        <w:rPr>
          <w:sz w:val="21"/>
        </w:rPr>
        <w:t>（至少</w:t>
      </w:r>
      <w:r>
        <w:rPr>
          <w:spacing w:val="-60"/>
          <w:sz w:val="21"/>
        </w:rPr>
        <w:t> </w:t>
      </w:r>
      <w:r>
        <w:rPr>
          <w:rFonts w:ascii="Times New Roman" w:eastAsia="Times New Roman"/>
          <w:sz w:val="21"/>
        </w:rPr>
        <w:t>6</w:t>
      </w:r>
      <w:r>
        <w:rPr>
          <w:rFonts w:ascii="Times New Roman" w:eastAsia="Times New Roman"/>
          <w:spacing w:val="-9"/>
          <w:sz w:val="21"/>
        </w:rPr>
        <w:t> </w:t>
      </w:r>
      <w:r>
        <w:rPr>
          <w:sz w:val="21"/>
        </w:rPr>
        <w:t>个月以内有一次以</w:t>
      </w:r>
      <w:r>
        <w:rPr>
          <w:spacing w:val="-34"/>
          <w:sz w:val="21"/>
        </w:rPr>
        <w:t>上</w:t>
      </w:r>
      <w:r>
        <w:rPr>
          <w:sz w:val="21"/>
        </w:rPr>
        <w:t>（不包含一次</w:t>
      </w:r>
      <w:r>
        <w:rPr>
          <w:spacing w:val="-32"/>
          <w:sz w:val="21"/>
        </w:rPr>
        <w:t>）</w:t>
      </w:r>
      <w:r>
        <w:rPr>
          <w:sz w:val="21"/>
        </w:rPr>
        <w:t>的发作） </w:t>
      </w:r>
      <w:r>
        <w:rPr>
          <w:spacing w:val="-1"/>
          <w:w w:val="99"/>
          <w:sz w:val="21"/>
        </w:rPr>
        <w:t>的</w:t>
      </w:r>
      <w:r>
        <w:rPr>
          <w:spacing w:val="1"/>
          <w:w w:val="99"/>
          <w:sz w:val="21"/>
        </w:rPr>
        <w:t>病</w:t>
      </w:r>
      <w:r>
        <w:rPr>
          <w:spacing w:val="-1"/>
          <w:w w:val="99"/>
          <w:sz w:val="21"/>
        </w:rPr>
        <w:t>变</w:t>
      </w:r>
      <w:r>
        <w:rPr>
          <w:spacing w:val="1"/>
          <w:w w:val="99"/>
          <w:sz w:val="21"/>
        </w:rPr>
        <w:t>，</w:t>
      </w:r>
      <w:r>
        <w:rPr>
          <w:spacing w:val="-1"/>
          <w:w w:val="99"/>
          <w:sz w:val="21"/>
        </w:rPr>
        <w:t>须</w:t>
      </w:r>
      <w:r>
        <w:rPr>
          <w:spacing w:val="1"/>
          <w:w w:val="99"/>
          <w:sz w:val="21"/>
        </w:rPr>
        <w:t>由</w:t>
      </w:r>
      <w:r>
        <w:rPr>
          <w:spacing w:val="-1"/>
          <w:w w:val="99"/>
          <w:sz w:val="21"/>
        </w:rPr>
        <w:t>计</w:t>
      </w:r>
      <w:r>
        <w:rPr>
          <w:spacing w:val="1"/>
          <w:w w:val="99"/>
          <w:sz w:val="21"/>
        </w:rPr>
        <w:t>算</w:t>
      </w:r>
      <w:r>
        <w:rPr>
          <w:spacing w:val="-1"/>
          <w:w w:val="99"/>
          <w:sz w:val="21"/>
        </w:rPr>
        <w:t>机</w:t>
      </w:r>
      <w:r>
        <w:rPr>
          <w:spacing w:val="1"/>
          <w:w w:val="99"/>
          <w:sz w:val="21"/>
        </w:rPr>
        <w:t>断</w:t>
      </w:r>
      <w:r>
        <w:rPr>
          <w:spacing w:val="-1"/>
          <w:w w:val="99"/>
          <w:sz w:val="21"/>
        </w:rPr>
        <w:t>层</w:t>
      </w:r>
      <w:r>
        <w:rPr>
          <w:spacing w:val="1"/>
          <w:w w:val="99"/>
          <w:sz w:val="21"/>
        </w:rPr>
        <w:t>扫</w:t>
      </w:r>
      <w:r>
        <w:rPr>
          <w:spacing w:val="-1"/>
          <w:w w:val="99"/>
          <w:sz w:val="21"/>
        </w:rPr>
        <w:t>描</w:t>
      </w:r>
      <w:r>
        <w:rPr>
          <w:spacing w:val="1"/>
          <w:w w:val="99"/>
          <w:sz w:val="21"/>
        </w:rPr>
        <w:t>（</w:t>
      </w:r>
      <w:r>
        <w:rPr>
          <w:rFonts w:ascii="Times New Roman" w:eastAsia="Times New Roman"/>
          <w:spacing w:val="-1"/>
          <w:w w:val="99"/>
          <w:sz w:val="21"/>
        </w:rPr>
        <w:t>CT</w:t>
      </w:r>
      <w:r>
        <w:rPr>
          <w:spacing w:val="-104"/>
          <w:w w:val="99"/>
          <w:sz w:val="21"/>
        </w:rPr>
        <w:t>）</w:t>
      </w:r>
      <w:r>
        <w:rPr>
          <w:spacing w:val="-1"/>
          <w:w w:val="99"/>
          <w:sz w:val="21"/>
        </w:rPr>
        <w:t>、</w:t>
      </w:r>
      <w:r>
        <w:rPr>
          <w:spacing w:val="1"/>
          <w:w w:val="99"/>
          <w:sz w:val="21"/>
        </w:rPr>
        <w:t>核</w:t>
      </w:r>
      <w:r>
        <w:rPr>
          <w:spacing w:val="-1"/>
          <w:w w:val="99"/>
          <w:sz w:val="21"/>
        </w:rPr>
        <w:t>磁</w:t>
      </w:r>
      <w:r>
        <w:rPr>
          <w:spacing w:val="1"/>
          <w:w w:val="99"/>
          <w:sz w:val="21"/>
        </w:rPr>
        <w:t>共</w:t>
      </w:r>
      <w:r>
        <w:rPr>
          <w:spacing w:val="-1"/>
          <w:w w:val="99"/>
          <w:sz w:val="21"/>
        </w:rPr>
        <w:t>振</w:t>
      </w:r>
      <w:r>
        <w:rPr>
          <w:spacing w:val="1"/>
          <w:w w:val="99"/>
          <w:sz w:val="21"/>
        </w:rPr>
        <w:t>检</w:t>
      </w:r>
      <w:r>
        <w:rPr>
          <w:spacing w:val="-1"/>
          <w:w w:val="99"/>
          <w:sz w:val="21"/>
        </w:rPr>
        <w:t>查</w:t>
      </w:r>
      <w:r>
        <w:rPr>
          <w:spacing w:val="1"/>
          <w:w w:val="99"/>
          <w:sz w:val="21"/>
        </w:rPr>
        <w:t>（</w:t>
      </w:r>
      <w:r>
        <w:rPr>
          <w:rFonts w:ascii="Times New Roman" w:eastAsia="Times New Roman"/>
          <w:spacing w:val="-2"/>
          <w:w w:val="99"/>
          <w:sz w:val="21"/>
        </w:rPr>
        <w:t>M</w:t>
      </w:r>
      <w:r>
        <w:rPr>
          <w:rFonts w:ascii="Times New Roman" w:eastAsia="Times New Roman"/>
          <w:spacing w:val="1"/>
          <w:w w:val="99"/>
          <w:sz w:val="21"/>
        </w:rPr>
        <w:t>R</w:t>
      </w:r>
      <w:r>
        <w:rPr>
          <w:rFonts w:ascii="Times New Roman" w:eastAsia="Times New Roman"/>
          <w:w w:val="99"/>
          <w:sz w:val="21"/>
        </w:rPr>
        <w:t>I</w:t>
      </w:r>
      <w:r>
        <w:rPr>
          <w:spacing w:val="-1"/>
          <w:w w:val="99"/>
          <w:sz w:val="21"/>
        </w:rPr>
        <w:t>）</w:t>
      </w:r>
      <w:r>
        <w:rPr>
          <w:spacing w:val="1"/>
          <w:w w:val="99"/>
          <w:sz w:val="21"/>
        </w:rPr>
        <w:t>或</w:t>
      </w:r>
      <w:r>
        <w:rPr>
          <w:w w:val="99"/>
          <w:sz w:val="21"/>
        </w:rPr>
        <w:t>正</w:t>
      </w:r>
      <w:r>
        <w:rPr>
          <w:sz w:val="21"/>
        </w:rPr>
        <w:t>电子发射断层扫描（</w:t>
      </w:r>
      <w:r>
        <w:rPr>
          <w:rFonts w:ascii="Times New Roman" w:eastAsia="Times New Roman"/>
          <w:sz w:val="21"/>
        </w:rPr>
        <w:t>PET</w:t>
      </w:r>
      <w:r>
        <w:rPr>
          <w:sz w:val="21"/>
        </w:rPr>
        <w:t>）等影像学检查证实，且已经造成自主生活能力完全丧失</w:t>
      </w:r>
      <w:r>
        <w:rPr>
          <w:spacing w:val="-29"/>
          <w:sz w:val="21"/>
        </w:rPr>
        <w:t>，</w:t>
      </w:r>
      <w:r>
        <w:rPr>
          <w:sz w:val="21"/>
        </w:rPr>
        <w:t>无法独立完成六项基本日常生活活动中的三项或三项以上，持续至少</w:t>
      </w:r>
      <w:r>
        <w:rPr>
          <w:spacing w:val="-57"/>
          <w:sz w:val="21"/>
        </w:rPr>
        <w:t> </w:t>
      </w:r>
      <w:r>
        <w:rPr>
          <w:rFonts w:ascii="Times New Roman" w:eastAsia="Times New Roman"/>
          <w:sz w:val="21"/>
        </w:rPr>
        <w:t>180</w:t>
      </w:r>
      <w:r>
        <w:rPr>
          <w:rFonts w:ascii="Times New Roman" w:eastAsia="Times New Roman"/>
          <w:spacing w:val="-5"/>
          <w:sz w:val="21"/>
        </w:rPr>
        <w:t> </w:t>
      </w:r>
      <w:r>
        <w:rPr>
          <w:sz w:val="21"/>
        </w:rPr>
        <w:t>天。</w:t>
      </w:r>
    </w:p>
    <w:p>
      <w:pPr>
        <w:pStyle w:val="BodyText"/>
        <w:spacing w:before="12"/>
        <w:rPr>
          <w:sz w:val="28"/>
        </w:rPr>
      </w:pPr>
    </w:p>
    <w:p>
      <w:pPr>
        <w:pStyle w:val="ListParagraph"/>
        <w:numPr>
          <w:ilvl w:val="1"/>
          <w:numId w:val="24"/>
        </w:numPr>
        <w:tabs>
          <w:tab w:pos="906" w:val="left" w:leader="none"/>
          <w:tab w:pos="907" w:val="left" w:leader="none"/>
          <w:tab w:pos="2739" w:val="left" w:leader="none"/>
        </w:tabs>
        <w:spacing w:line="237" w:lineRule="auto" w:before="1" w:after="0"/>
        <w:ind w:left="2740" w:right="220" w:hanging="2580"/>
        <w:jc w:val="left"/>
        <w:rPr>
          <w:rFonts w:ascii="黑体" w:eastAsia="黑体" w:hint="eastAsia"/>
          <w:sz w:val="21"/>
        </w:rPr>
      </w:pPr>
      <w:r>
        <w:rPr>
          <w:b/>
          <w:sz w:val="21"/>
        </w:rPr>
        <w:t>终末期肺病</w:t>
        <w:tab/>
      </w:r>
      <w:r>
        <w:rPr>
          <w:w w:val="95"/>
          <w:sz w:val="21"/>
        </w:rPr>
        <w:t>被保险人患有终末期肺病而出现慢性呼吸功能衰竭</w:t>
      </w:r>
      <w:r>
        <w:rPr>
          <w:spacing w:val="-29"/>
          <w:w w:val="95"/>
          <w:sz w:val="21"/>
        </w:rPr>
        <w:t>，</w:t>
      </w:r>
      <w:r>
        <w:rPr>
          <w:rFonts w:ascii="黑体" w:eastAsia="黑体" w:hint="eastAsia"/>
          <w:w w:val="95"/>
          <w:sz w:val="21"/>
        </w:rPr>
        <w:t>且满足下列全   部条件：</w:t>
      </w:r>
    </w:p>
    <w:p>
      <w:pPr>
        <w:pStyle w:val="ListParagraph"/>
        <w:numPr>
          <w:ilvl w:val="2"/>
          <w:numId w:val="24"/>
        </w:numPr>
        <w:tabs>
          <w:tab w:pos="3474" w:val="left" w:leader="none"/>
          <w:tab w:pos="3475" w:val="left" w:leader="none"/>
        </w:tabs>
        <w:spacing w:line="240" w:lineRule="auto" w:before="56" w:after="0"/>
        <w:ind w:left="3474" w:right="0" w:hanging="734"/>
        <w:jc w:val="left"/>
        <w:rPr>
          <w:sz w:val="21"/>
        </w:rPr>
      </w:pPr>
      <w:r>
        <w:rPr>
          <w:spacing w:val="-8"/>
          <w:sz w:val="21"/>
        </w:rPr>
        <w:t>肺功能测试其 </w:t>
      </w:r>
      <w:r>
        <w:rPr>
          <w:sz w:val="21"/>
        </w:rPr>
        <w:t>FEV1</w:t>
      </w:r>
      <w:r>
        <w:rPr>
          <w:spacing w:val="-20"/>
          <w:sz w:val="21"/>
        </w:rPr>
        <w:t> 持续低于 </w:t>
      </w:r>
      <w:r>
        <w:rPr>
          <w:sz w:val="21"/>
        </w:rPr>
        <w:t>0.75</w:t>
      </w:r>
      <w:r>
        <w:rPr>
          <w:spacing w:val="-20"/>
          <w:sz w:val="21"/>
        </w:rPr>
        <w:t> 升；</w:t>
      </w:r>
    </w:p>
    <w:p>
      <w:pPr>
        <w:pStyle w:val="ListParagraph"/>
        <w:numPr>
          <w:ilvl w:val="2"/>
          <w:numId w:val="24"/>
        </w:numPr>
        <w:tabs>
          <w:tab w:pos="3474" w:val="left" w:leader="none"/>
          <w:tab w:pos="3475" w:val="left" w:leader="none"/>
        </w:tabs>
        <w:spacing w:line="240" w:lineRule="auto" w:before="58" w:after="0"/>
        <w:ind w:left="3474" w:right="0" w:hanging="734"/>
        <w:jc w:val="left"/>
        <w:rPr>
          <w:sz w:val="21"/>
        </w:rPr>
      </w:pPr>
      <w:r>
        <w:rPr>
          <w:w w:val="95"/>
          <w:sz w:val="21"/>
        </w:rPr>
        <w:t>病人缺氧必须广泛而持续地进行输氧治疗；</w:t>
      </w:r>
    </w:p>
    <w:p>
      <w:pPr>
        <w:spacing w:after="0" w:line="240" w:lineRule="auto"/>
        <w:jc w:val="left"/>
        <w:rPr>
          <w:sz w:val="21"/>
        </w:rPr>
        <w:sectPr>
          <w:pgSz w:w="12240" w:h="15840"/>
          <w:pgMar w:top="1500" w:bottom="280" w:left="1640" w:right="1580"/>
        </w:sectPr>
      </w:pPr>
    </w:p>
    <w:p>
      <w:pPr>
        <w:pStyle w:val="ListParagraph"/>
        <w:numPr>
          <w:ilvl w:val="2"/>
          <w:numId w:val="24"/>
        </w:numPr>
        <w:tabs>
          <w:tab w:pos="3414" w:val="left" w:leader="none"/>
          <w:tab w:pos="3415" w:val="left" w:leader="none"/>
        </w:tabs>
        <w:spacing w:line="240" w:lineRule="auto" w:before="4" w:after="0"/>
        <w:ind w:left="3414" w:right="0" w:hanging="734"/>
        <w:jc w:val="left"/>
        <w:rPr>
          <w:sz w:val="21"/>
        </w:rPr>
      </w:pPr>
      <w:r>
        <w:rPr>
          <w:spacing w:val="-6"/>
          <w:sz w:val="21"/>
        </w:rPr>
        <w:t>动脉血气分析氧分压低于 </w:t>
      </w:r>
      <w:r>
        <w:rPr>
          <w:sz w:val="21"/>
        </w:rPr>
        <w:t>55mmHg。</w:t>
      </w:r>
    </w:p>
    <w:p>
      <w:pPr>
        <w:pStyle w:val="BodyText"/>
        <w:spacing w:before="12"/>
        <w:rPr>
          <w:sz w:val="29"/>
        </w:rPr>
      </w:pPr>
    </w:p>
    <w:p>
      <w:pPr>
        <w:pStyle w:val="ListParagraph"/>
        <w:numPr>
          <w:ilvl w:val="1"/>
          <w:numId w:val="24"/>
        </w:numPr>
        <w:tabs>
          <w:tab w:pos="847" w:val="left" w:leader="none"/>
        </w:tabs>
        <w:spacing w:line="237" w:lineRule="auto" w:before="0" w:after="0"/>
        <w:ind w:left="2680" w:right="140" w:hanging="2580"/>
        <w:jc w:val="both"/>
        <w:rPr>
          <w:sz w:val="21"/>
        </w:rPr>
      </w:pPr>
      <w:r>
        <w:rPr>
          <w:b/>
          <w:spacing w:val="0"/>
          <w:sz w:val="21"/>
        </w:rPr>
        <w:t>颅脑手术        </w:t>
      </w:r>
      <w:r>
        <w:rPr>
          <w:spacing w:val="-2"/>
          <w:sz w:val="21"/>
        </w:rPr>
        <w:t>被保险人确已实施全麻下的开颅手术</w:t>
      </w:r>
      <w:r>
        <w:rPr>
          <w:sz w:val="21"/>
        </w:rPr>
        <w:t>（不包括颅骨钻孔手术和经鼻</w:t>
      </w:r>
      <w:r>
        <w:rPr>
          <w:w w:val="95"/>
          <w:sz w:val="21"/>
        </w:rPr>
        <w:t>蝶窦入颅手术</w:t>
      </w:r>
      <w:r>
        <w:rPr>
          <w:spacing w:val="-106"/>
          <w:w w:val="95"/>
          <w:sz w:val="21"/>
        </w:rPr>
        <w:t>）</w:t>
      </w:r>
      <w:r>
        <w:rPr>
          <w:w w:val="95"/>
          <w:sz w:val="21"/>
        </w:rPr>
        <w:t>。</w:t>
      </w:r>
    </w:p>
    <w:p>
      <w:pPr>
        <w:pStyle w:val="BodyText"/>
        <w:spacing w:before="58"/>
        <w:ind w:left="2680"/>
        <w:rPr>
          <w:rFonts w:ascii="黑体" w:eastAsia="黑体" w:hint="eastAsia"/>
        </w:rPr>
      </w:pPr>
      <w:r>
        <w:rPr>
          <w:rFonts w:ascii="黑体" w:eastAsia="黑体" w:hint="eastAsia"/>
          <w:w w:val="95"/>
        </w:rPr>
        <w:t>因外伤而实施的脑外科手术不在保障范围之内。</w:t>
      </w:r>
    </w:p>
    <w:p>
      <w:pPr>
        <w:pStyle w:val="BodyText"/>
        <w:spacing w:before="0"/>
        <w:rPr>
          <w:rFonts w:ascii="黑体"/>
          <w:sz w:val="20"/>
        </w:rPr>
      </w:pPr>
    </w:p>
    <w:p>
      <w:pPr>
        <w:pStyle w:val="ListParagraph"/>
        <w:numPr>
          <w:ilvl w:val="1"/>
          <w:numId w:val="24"/>
        </w:numPr>
        <w:tabs>
          <w:tab w:pos="847" w:val="left" w:leader="none"/>
        </w:tabs>
        <w:spacing w:line="237" w:lineRule="auto" w:before="131" w:after="0"/>
        <w:ind w:left="2680" w:right="137" w:hanging="2580"/>
        <w:jc w:val="both"/>
        <w:rPr>
          <w:rFonts w:ascii="黑体" w:eastAsia="黑体" w:hint="eastAsia"/>
          <w:sz w:val="21"/>
        </w:rPr>
      </w:pPr>
      <w:r>
        <w:rPr>
          <w:b/>
          <w:spacing w:val="1"/>
          <w:sz w:val="21"/>
        </w:rPr>
        <w:t>严重Ｉ型糖尿病  </w:t>
      </w:r>
      <w:r>
        <w:rPr>
          <w:spacing w:val="-2"/>
          <w:sz w:val="21"/>
        </w:rPr>
        <w:t>指因严重的胰岛素缺乏导致的一组糖、脂肪、蛋白质代谢异常综合</w:t>
      </w:r>
      <w:r>
        <w:rPr>
          <w:spacing w:val="-5"/>
          <w:w w:val="95"/>
          <w:sz w:val="21"/>
        </w:rPr>
        <w:t>症，且须依赖外源性胰岛素进行机体的葡萄糖代谢和维持生命。本 </w:t>
      </w:r>
      <w:r>
        <w:rPr>
          <w:spacing w:val="-11"/>
          <w:sz w:val="21"/>
        </w:rPr>
        <w:t>病须经血胰岛素测定、血 </w:t>
      </w:r>
      <w:r>
        <w:rPr>
          <w:sz w:val="21"/>
        </w:rPr>
        <w:t>C</w:t>
      </w:r>
      <w:r>
        <w:rPr>
          <w:spacing w:val="-17"/>
          <w:sz w:val="21"/>
        </w:rPr>
        <w:t> 肽测定或尿 </w:t>
      </w:r>
      <w:r>
        <w:rPr>
          <w:sz w:val="21"/>
        </w:rPr>
        <w:t>C</w:t>
      </w:r>
      <w:r>
        <w:rPr>
          <w:spacing w:val="-9"/>
          <w:sz w:val="21"/>
        </w:rPr>
        <w:t> 肽测定检查证实，且被保</w:t>
      </w:r>
      <w:r>
        <w:rPr>
          <w:spacing w:val="-13"/>
          <w:sz w:val="21"/>
        </w:rPr>
        <w:t>险人已经接受了持续的胰岛素治疗 </w:t>
      </w:r>
      <w:r>
        <w:rPr>
          <w:sz w:val="21"/>
        </w:rPr>
        <w:t>180</w:t>
      </w:r>
      <w:r>
        <w:rPr>
          <w:spacing w:val="-18"/>
          <w:sz w:val="21"/>
        </w:rPr>
        <w:t> 天以上，</w:t>
      </w:r>
      <w:r>
        <w:rPr>
          <w:rFonts w:ascii="黑体" w:eastAsia="黑体" w:hint="eastAsia"/>
          <w:sz w:val="21"/>
        </w:rPr>
        <w:t>并须满足下列至少</w:t>
      </w:r>
      <w:r>
        <w:rPr>
          <w:rFonts w:ascii="黑体" w:eastAsia="黑体" w:hint="eastAsia"/>
          <w:w w:val="95"/>
          <w:sz w:val="21"/>
        </w:rPr>
        <w:t>一项条件：</w:t>
      </w:r>
    </w:p>
    <w:p>
      <w:pPr>
        <w:pStyle w:val="ListParagraph"/>
        <w:numPr>
          <w:ilvl w:val="0"/>
          <w:numId w:val="25"/>
        </w:numPr>
        <w:tabs>
          <w:tab w:pos="3414" w:val="left" w:leader="none"/>
          <w:tab w:pos="3415" w:val="left" w:leader="none"/>
        </w:tabs>
        <w:spacing w:line="240" w:lineRule="auto" w:before="56" w:after="0"/>
        <w:ind w:left="3414" w:right="0" w:hanging="734"/>
        <w:jc w:val="left"/>
        <w:rPr>
          <w:sz w:val="21"/>
        </w:rPr>
      </w:pPr>
      <w:r>
        <w:rPr>
          <w:w w:val="95"/>
          <w:sz w:val="21"/>
        </w:rPr>
        <w:t>并发增殖性视网膜病变；</w:t>
      </w:r>
    </w:p>
    <w:p>
      <w:pPr>
        <w:pStyle w:val="ListParagraph"/>
        <w:numPr>
          <w:ilvl w:val="0"/>
          <w:numId w:val="25"/>
        </w:numPr>
        <w:tabs>
          <w:tab w:pos="3414" w:val="left" w:leader="none"/>
          <w:tab w:pos="3415" w:val="left" w:leader="none"/>
        </w:tabs>
        <w:spacing w:line="240" w:lineRule="auto" w:before="58" w:after="0"/>
        <w:ind w:left="3414" w:right="0" w:hanging="734"/>
        <w:jc w:val="left"/>
        <w:rPr>
          <w:sz w:val="21"/>
        </w:rPr>
      </w:pPr>
      <w:r>
        <w:rPr>
          <w:w w:val="95"/>
          <w:sz w:val="21"/>
        </w:rPr>
        <w:t>并发心脏病变，并须植入心脏起搏器进行治疗；</w:t>
      </w:r>
    </w:p>
    <w:p>
      <w:pPr>
        <w:pStyle w:val="ListParagraph"/>
        <w:numPr>
          <w:ilvl w:val="0"/>
          <w:numId w:val="25"/>
        </w:numPr>
        <w:tabs>
          <w:tab w:pos="3414" w:val="left" w:leader="none"/>
          <w:tab w:pos="3415" w:val="left" w:leader="none"/>
        </w:tabs>
        <w:spacing w:line="240" w:lineRule="auto" w:before="56" w:after="0"/>
        <w:ind w:left="3414" w:right="0" w:hanging="734"/>
        <w:jc w:val="left"/>
        <w:rPr>
          <w:sz w:val="21"/>
        </w:rPr>
      </w:pPr>
      <w:r>
        <w:rPr>
          <w:w w:val="95"/>
          <w:sz w:val="21"/>
        </w:rPr>
        <w:t>至少一个脚趾发生坏疽并已实施手术切除。</w:t>
      </w:r>
    </w:p>
    <w:p>
      <w:pPr>
        <w:pStyle w:val="BodyText"/>
        <w:spacing w:before="4"/>
        <w:rPr>
          <w:sz w:val="27"/>
        </w:rPr>
      </w:pPr>
    </w:p>
    <w:p>
      <w:pPr>
        <w:spacing w:after="0"/>
        <w:rPr>
          <w:sz w:val="27"/>
        </w:rPr>
        <w:sectPr>
          <w:pgSz w:w="12240" w:h="15840"/>
          <w:pgMar w:top="1460" w:bottom="280" w:left="1700" w:right="1660"/>
        </w:sectPr>
      </w:pPr>
    </w:p>
    <w:p>
      <w:pPr>
        <w:pStyle w:val="Heading2"/>
        <w:numPr>
          <w:ilvl w:val="1"/>
          <w:numId w:val="24"/>
        </w:numPr>
        <w:tabs>
          <w:tab w:pos="846" w:val="left" w:leader="none"/>
          <w:tab w:pos="847" w:val="left" w:leader="none"/>
        </w:tabs>
        <w:spacing w:line="273" w:lineRule="exact" w:before="35" w:after="0"/>
        <w:ind w:left="846" w:right="0" w:hanging="746"/>
        <w:jc w:val="left"/>
      </w:pPr>
      <w:r>
        <w:rPr>
          <w:w w:val="95"/>
        </w:rPr>
        <w:t>严重类风湿性关</w:t>
      </w:r>
    </w:p>
    <w:p>
      <w:pPr>
        <w:spacing w:line="273" w:lineRule="exact" w:before="0"/>
        <w:ind w:left="837" w:right="1042" w:firstLine="0"/>
        <w:jc w:val="center"/>
        <w:rPr>
          <w:b/>
          <w:sz w:val="21"/>
        </w:rPr>
      </w:pPr>
      <w:r>
        <w:rPr>
          <w:b/>
          <w:w w:val="95"/>
          <w:sz w:val="21"/>
        </w:rPr>
        <w:t>节炎</w:t>
      </w:r>
    </w:p>
    <w:p>
      <w:pPr>
        <w:pStyle w:val="BodyText"/>
        <w:spacing w:line="237" w:lineRule="auto" w:before="37"/>
        <w:ind w:left="100" w:right="110"/>
        <w:jc w:val="both"/>
        <w:rPr>
          <w:rFonts w:ascii="黑体" w:eastAsia="黑体" w:hint="eastAsia"/>
        </w:rPr>
      </w:pPr>
      <w:r>
        <w:rPr/>
        <w:br w:type="column"/>
      </w:r>
      <w:r>
        <w:rPr>
          <w:spacing w:val="-2"/>
        </w:rPr>
        <w:t>指广泛分布的慢性进行性多关节病变，表现为关节严重变形，侵犯</w:t>
      </w:r>
      <w:r>
        <w:rPr>
          <w:spacing w:val="-2"/>
          <w:w w:val="95"/>
        </w:rPr>
        <w:t>至少三个主要关节（腕关节、肘关节、肩关节、踝关节、膝关节、  髋关节）或关节组（如手的多个指间、掌指关节，足的多个足趾、 </w:t>
      </w:r>
      <w:r>
        <w:rPr>
          <w:spacing w:val="-2"/>
        </w:rPr>
        <w:t>跖趾关节等</w:t>
      </w:r>
      <w:r>
        <w:rPr>
          <w:spacing w:val="-93"/>
        </w:rPr>
        <w:t>）</w:t>
      </w:r>
      <w:r>
        <w:rPr>
          <w:spacing w:val="-14"/>
        </w:rPr>
        <w:t>，并已达到类风湿性关节炎功能分类 </w:t>
      </w:r>
      <w:r>
        <w:rPr/>
        <w:t>IV</w:t>
      </w:r>
      <w:r>
        <w:rPr>
          <w:spacing w:val="-3"/>
        </w:rPr>
        <w:t> 级的永久不可</w:t>
      </w:r>
      <w:r>
        <w:rPr>
          <w:spacing w:val="-3"/>
          <w:w w:val="95"/>
        </w:rPr>
        <w:t>逆性关节功能障碍，</w:t>
      </w:r>
      <w:r>
        <w:rPr>
          <w:rFonts w:ascii="黑体" w:eastAsia="黑体" w:hint="eastAsia"/>
          <w:spacing w:val="-3"/>
          <w:w w:val="95"/>
        </w:rPr>
        <w:t>且满足下列全部条件：</w:t>
      </w:r>
    </w:p>
    <w:p>
      <w:pPr>
        <w:pStyle w:val="ListParagraph"/>
        <w:numPr>
          <w:ilvl w:val="0"/>
          <w:numId w:val="26"/>
        </w:numPr>
        <w:tabs>
          <w:tab w:pos="835" w:val="left" w:leader="none"/>
        </w:tabs>
        <w:spacing w:line="240" w:lineRule="auto" w:before="58" w:after="0"/>
        <w:ind w:left="834" w:right="0" w:hanging="734"/>
        <w:jc w:val="both"/>
        <w:rPr>
          <w:sz w:val="21"/>
        </w:rPr>
      </w:pPr>
      <w:r>
        <w:rPr>
          <w:w w:val="95"/>
          <w:sz w:val="21"/>
        </w:rPr>
        <w:t>晨僵；</w:t>
      </w:r>
    </w:p>
    <w:p>
      <w:pPr>
        <w:pStyle w:val="ListParagraph"/>
        <w:numPr>
          <w:ilvl w:val="0"/>
          <w:numId w:val="26"/>
        </w:numPr>
        <w:tabs>
          <w:tab w:pos="835" w:val="left" w:leader="none"/>
        </w:tabs>
        <w:spacing w:line="240" w:lineRule="auto" w:before="56" w:after="0"/>
        <w:ind w:left="834" w:right="0" w:hanging="734"/>
        <w:jc w:val="both"/>
        <w:rPr>
          <w:sz w:val="21"/>
        </w:rPr>
      </w:pPr>
      <w:r>
        <w:rPr>
          <w:w w:val="95"/>
          <w:sz w:val="21"/>
        </w:rPr>
        <w:t>对称性关节炎；</w:t>
      </w:r>
    </w:p>
    <w:p>
      <w:pPr>
        <w:pStyle w:val="ListParagraph"/>
        <w:numPr>
          <w:ilvl w:val="0"/>
          <w:numId w:val="26"/>
        </w:numPr>
        <w:tabs>
          <w:tab w:pos="835" w:val="left" w:leader="none"/>
        </w:tabs>
        <w:spacing w:line="240" w:lineRule="auto" w:before="58" w:after="0"/>
        <w:ind w:left="834" w:right="0" w:hanging="734"/>
        <w:jc w:val="both"/>
        <w:rPr>
          <w:sz w:val="21"/>
        </w:rPr>
      </w:pPr>
      <w:r>
        <w:rPr>
          <w:w w:val="95"/>
          <w:sz w:val="21"/>
        </w:rPr>
        <w:t>类风湿性皮下结节；</w:t>
      </w:r>
    </w:p>
    <w:p>
      <w:pPr>
        <w:pStyle w:val="ListParagraph"/>
        <w:numPr>
          <w:ilvl w:val="0"/>
          <w:numId w:val="26"/>
        </w:numPr>
        <w:tabs>
          <w:tab w:pos="835" w:val="left" w:leader="none"/>
        </w:tabs>
        <w:spacing w:line="240" w:lineRule="auto" w:before="56" w:after="0"/>
        <w:ind w:left="834" w:right="0" w:hanging="734"/>
        <w:jc w:val="both"/>
        <w:rPr>
          <w:sz w:val="21"/>
        </w:rPr>
      </w:pPr>
      <w:r>
        <w:rPr>
          <w:w w:val="95"/>
          <w:sz w:val="21"/>
        </w:rPr>
        <w:t>类风湿因子滴度升高；</w:t>
      </w:r>
    </w:p>
    <w:p>
      <w:pPr>
        <w:pStyle w:val="ListParagraph"/>
        <w:numPr>
          <w:ilvl w:val="0"/>
          <w:numId w:val="26"/>
        </w:numPr>
        <w:tabs>
          <w:tab w:pos="835" w:val="left" w:leader="none"/>
        </w:tabs>
        <w:spacing w:line="240" w:lineRule="auto" w:before="59" w:after="0"/>
        <w:ind w:left="834" w:right="0" w:hanging="734"/>
        <w:jc w:val="both"/>
        <w:rPr>
          <w:sz w:val="21"/>
        </w:rPr>
      </w:pPr>
      <w:r>
        <w:rPr>
          <w:sz w:val="21"/>
        </w:rPr>
        <w:t>X</w:t>
      </w:r>
      <w:r>
        <w:rPr>
          <w:spacing w:val="-4"/>
          <w:sz w:val="21"/>
        </w:rPr>
        <w:t> 线显示严重的关节</w:t>
      </w:r>
      <w:r>
        <w:rPr>
          <w:sz w:val="21"/>
        </w:rPr>
        <w:t>（软骨和骨）破坏和关节畸形。</w:t>
      </w:r>
    </w:p>
    <w:p>
      <w:pPr>
        <w:spacing w:after="0" w:line="240" w:lineRule="auto"/>
        <w:jc w:val="both"/>
        <w:rPr>
          <w:sz w:val="21"/>
        </w:rPr>
        <w:sectPr>
          <w:type w:val="continuous"/>
          <w:pgSz w:w="12240" w:h="15840"/>
          <w:pgMar w:top="900" w:bottom="280" w:left="1700" w:right="1660"/>
          <w:cols w:num="2" w:equalWidth="0">
            <w:col w:w="2321" w:space="259"/>
            <w:col w:w="6300"/>
          </w:cols>
        </w:sectPr>
      </w:pPr>
    </w:p>
    <w:p>
      <w:pPr>
        <w:pStyle w:val="BodyText"/>
        <w:spacing w:before="0"/>
        <w:rPr>
          <w:sz w:val="27"/>
        </w:rPr>
      </w:pPr>
    </w:p>
    <w:p>
      <w:pPr>
        <w:spacing w:after="0"/>
        <w:rPr>
          <w:sz w:val="27"/>
        </w:rPr>
        <w:sectPr>
          <w:type w:val="continuous"/>
          <w:pgSz w:w="12240" w:h="15840"/>
          <w:pgMar w:top="900" w:bottom="280" w:left="1700" w:right="1660"/>
        </w:sectPr>
      </w:pPr>
    </w:p>
    <w:p>
      <w:pPr>
        <w:pStyle w:val="Heading2"/>
        <w:numPr>
          <w:ilvl w:val="1"/>
          <w:numId w:val="24"/>
        </w:numPr>
        <w:tabs>
          <w:tab w:pos="846" w:val="left" w:leader="none"/>
          <w:tab w:pos="847" w:val="left" w:leader="none"/>
        </w:tabs>
        <w:spacing w:line="274" w:lineRule="exact" w:before="34" w:after="0"/>
        <w:ind w:left="846" w:right="0" w:hanging="746"/>
        <w:jc w:val="left"/>
      </w:pPr>
      <w:r>
        <w:rPr>
          <w:w w:val="95"/>
        </w:rPr>
        <w:t>急性出血坏死性</w:t>
      </w:r>
    </w:p>
    <w:p>
      <w:pPr>
        <w:spacing w:line="274" w:lineRule="exact" w:before="0"/>
        <w:ind w:left="846" w:right="0" w:firstLine="0"/>
        <w:jc w:val="left"/>
        <w:rPr>
          <w:b/>
          <w:sz w:val="21"/>
        </w:rPr>
      </w:pPr>
      <w:r>
        <w:rPr>
          <w:b/>
          <w:w w:val="95"/>
          <w:sz w:val="21"/>
        </w:rPr>
        <w:t>胰腺炎开腹手术</w:t>
      </w:r>
    </w:p>
    <w:p>
      <w:pPr>
        <w:pStyle w:val="BodyText"/>
        <w:spacing w:before="34"/>
        <w:ind w:left="100" w:right="320"/>
      </w:pPr>
      <w:r>
        <w:rPr/>
        <w:br w:type="column"/>
      </w:r>
      <w:r>
        <w:rPr>
          <w:w w:val="95"/>
        </w:rPr>
        <w:t>指被保险人因为急性出血坏死性胰腺炎已经接受了外科开腹手术 治疗，以进行坏死组织清除、坏死病灶切除或胰腺切除。</w:t>
      </w:r>
    </w:p>
    <w:p>
      <w:pPr>
        <w:pStyle w:val="BodyText"/>
        <w:ind w:left="100" w:right="320"/>
        <w:rPr>
          <w:rFonts w:ascii="黑体" w:eastAsia="黑体" w:hint="eastAsia"/>
        </w:rPr>
      </w:pPr>
      <w:r>
        <w:rPr>
          <w:rFonts w:ascii="黑体" w:eastAsia="黑体" w:hint="eastAsia"/>
          <w:w w:val="95"/>
        </w:rPr>
        <w:t>因饮酒所致的急性出血坏死性胰腺炎或经腹腔镜手术进行的治疗 不在保障范围内。</w:t>
      </w:r>
    </w:p>
    <w:p>
      <w:pPr>
        <w:spacing w:after="0"/>
        <w:rPr>
          <w:rFonts w:ascii="黑体" w:eastAsia="黑体" w:hint="eastAsia"/>
        </w:rPr>
        <w:sectPr>
          <w:type w:val="continuous"/>
          <w:pgSz w:w="12240" w:h="15840"/>
          <w:pgMar w:top="900" w:bottom="280" w:left="1700" w:right="1660"/>
          <w:cols w:num="2" w:equalWidth="0">
            <w:col w:w="2321" w:space="259"/>
            <w:col w:w="6300"/>
          </w:cols>
        </w:sectPr>
      </w:pPr>
    </w:p>
    <w:p>
      <w:pPr>
        <w:pStyle w:val="BodyText"/>
        <w:spacing w:before="2"/>
        <w:rPr>
          <w:rFonts w:ascii="黑体"/>
          <w:sz w:val="27"/>
        </w:rPr>
      </w:pPr>
    </w:p>
    <w:p>
      <w:pPr>
        <w:spacing w:after="0"/>
        <w:rPr>
          <w:rFonts w:ascii="黑体"/>
          <w:sz w:val="27"/>
        </w:rPr>
        <w:sectPr>
          <w:type w:val="continuous"/>
          <w:pgSz w:w="12240" w:h="15840"/>
          <w:pgMar w:top="900" w:bottom="280" w:left="1700" w:right="1660"/>
        </w:sectPr>
      </w:pPr>
    </w:p>
    <w:p>
      <w:pPr>
        <w:pStyle w:val="Heading2"/>
        <w:numPr>
          <w:ilvl w:val="1"/>
          <w:numId w:val="24"/>
        </w:numPr>
        <w:tabs>
          <w:tab w:pos="846" w:val="left" w:leader="none"/>
          <w:tab w:pos="847" w:val="left" w:leader="none"/>
        </w:tabs>
        <w:spacing w:line="273" w:lineRule="exact" w:before="34" w:after="0"/>
        <w:ind w:left="846" w:right="0" w:hanging="746"/>
        <w:jc w:val="left"/>
      </w:pPr>
      <w:r>
        <w:rPr>
          <w:spacing w:val="-12"/>
          <w:w w:val="95"/>
        </w:rPr>
        <w:t>侵蚀性葡萄胎</w:t>
      </w:r>
      <w:r>
        <w:rPr>
          <w:w w:val="95"/>
        </w:rPr>
        <w:t>（或</w:t>
      </w:r>
    </w:p>
    <w:p>
      <w:pPr>
        <w:spacing w:line="273" w:lineRule="exact" w:before="0"/>
        <w:ind w:left="846" w:right="0" w:firstLine="0"/>
        <w:jc w:val="left"/>
        <w:rPr>
          <w:b/>
          <w:sz w:val="21"/>
        </w:rPr>
      </w:pPr>
      <w:r>
        <w:rPr>
          <w:b/>
          <w:w w:val="95"/>
          <w:sz w:val="21"/>
        </w:rPr>
        <w:t>称恶性葡萄胎）</w:t>
      </w:r>
    </w:p>
    <w:p>
      <w:pPr>
        <w:pStyle w:val="BodyText"/>
        <w:spacing w:line="237" w:lineRule="auto" w:before="37"/>
        <w:ind w:left="100" w:right="320"/>
      </w:pPr>
      <w:r>
        <w:rPr/>
        <w:br w:type="column"/>
      </w:r>
      <w:r>
        <w:rPr>
          <w:w w:val="95"/>
        </w:rPr>
        <w:t>指异常增生的绒毛组织浸润性生长浸入子宫肌层或转移至其他器 官或组织的葡萄胎，并已经进行化疗或手术治疗的。</w:t>
      </w:r>
    </w:p>
    <w:p>
      <w:pPr>
        <w:spacing w:after="0" w:line="237" w:lineRule="auto"/>
        <w:sectPr>
          <w:type w:val="continuous"/>
          <w:pgSz w:w="12240" w:h="15840"/>
          <w:pgMar w:top="900" w:bottom="280" w:left="1700" w:right="1660"/>
          <w:cols w:num="2" w:equalWidth="0">
            <w:col w:w="2462" w:space="118"/>
            <w:col w:w="6300"/>
          </w:cols>
        </w:sectPr>
      </w:pPr>
    </w:p>
    <w:p>
      <w:pPr>
        <w:pStyle w:val="BodyText"/>
        <w:spacing w:before="1"/>
        <w:rPr>
          <w:sz w:val="27"/>
        </w:rPr>
      </w:pPr>
    </w:p>
    <w:p>
      <w:pPr>
        <w:spacing w:after="0"/>
        <w:rPr>
          <w:sz w:val="27"/>
        </w:rPr>
        <w:sectPr>
          <w:type w:val="continuous"/>
          <w:pgSz w:w="12240" w:h="15840"/>
          <w:pgMar w:top="900" w:bottom="280" w:left="1700" w:right="1660"/>
        </w:sectPr>
      </w:pPr>
    </w:p>
    <w:p>
      <w:pPr>
        <w:pStyle w:val="Heading2"/>
        <w:numPr>
          <w:ilvl w:val="1"/>
          <w:numId w:val="24"/>
        </w:numPr>
        <w:tabs>
          <w:tab w:pos="846" w:val="left" w:leader="none"/>
          <w:tab w:pos="847" w:val="left" w:leader="none"/>
        </w:tabs>
        <w:spacing w:line="274" w:lineRule="exact" w:before="35" w:after="0"/>
        <w:ind w:left="846" w:right="0" w:hanging="746"/>
        <w:jc w:val="left"/>
      </w:pPr>
      <w:r>
        <w:rPr>
          <w:w w:val="95"/>
        </w:rPr>
        <w:t>经输血导致的感</w:t>
      </w:r>
    </w:p>
    <w:p>
      <w:pPr>
        <w:spacing w:line="237" w:lineRule="auto" w:before="2"/>
        <w:ind w:left="846" w:right="0" w:firstLine="0"/>
        <w:jc w:val="left"/>
        <w:rPr>
          <w:b/>
          <w:sz w:val="21"/>
        </w:rPr>
      </w:pPr>
      <w:r>
        <w:rPr>
          <w:b/>
          <w:w w:val="95"/>
          <w:sz w:val="21"/>
        </w:rPr>
        <w:t>染艾滋病病毒或者患艾滋病</w:t>
      </w:r>
    </w:p>
    <w:p>
      <w:pPr>
        <w:pStyle w:val="BodyText"/>
        <w:spacing w:before="35"/>
        <w:ind w:left="100"/>
        <w:rPr>
          <w:rFonts w:ascii="黑体" w:eastAsia="黑体" w:hint="eastAsia"/>
        </w:rPr>
      </w:pPr>
      <w:r>
        <w:rPr/>
        <w:br w:type="column"/>
      </w:r>
      <w:r>
        <w:rPr>
          <w:w w:val="95"/>
        </w:rPr>
        <w:t>指被保险人感染艾滋病病毒或者患艾滋病，</w:t>
      </w:r>
      <w:r>
        <w:rPr>
          <w:rFonts w:ascii="黑体" w:eastAsia="黑体" w:hint="eastAsia"/>
          <w:w w:val="95"/>
        </w:rPr>
        <w:t>且满足下列全部条件：</w:t>
      </w:r>
    </w:p>
    <w:p>
      <w:pPr>
        <w:pStyle w:val="ListParagraph"/>
        <w:numPr>
          <w:ilvl w:val="0"/>
          <w:numId w:val="27"/>
        </w:numPr>
        <w:tabs>
          <w:tab w:pos="839" w:val="left" w:leader="none"/>
          <w:tab w:pos="840" w:val="left" w:leader="none"/>
        </w:tabs>
        <w:spacing w:line="240" w:lineRule="auto" w:before="58" w:after="0"/>
        <w:ind w:left="839" w:right="0" w:hanging="735"/>
        <w:jc w:val="left"/>
        <w:rPr>
          <w:sz w:val="21"/>
        </w:rPr>
      </w:pPr>
      <w:r>
        <w:rPr>
          <w:w w:val="95"/>
          <w:sz w:val="21"/>
        </w:rPr>
        <w:t>因输血而感染；</w:t>
      </w:r>
    </w:p>
    <w:p>
      <w:pPr>
        <w:pStyle w:val="ListParagraph"/>
        <w:numPr>
          <w:ilvl w:val="0"/>
          <w:numId w:val="27"/>
        </w:numPr>
        <w:tabs>
          <w:tab w:pos="839" w:val="left" w:leader="none"/>
          <w:tab w:pos="840" w:val="left" w:leader="none"/>
        </w:tabs>
        <w:spacing w:line="240" w:lineRule="auto" w:before="56" w:after="0"/>
        <w:ind w:left="839" w:right="214" w:hanging="735"/>
        <w:jc w:val="left"/>
        <w:rPr>
          <w:sz w:val="21"/>
        </w:rPr>
      </w:pPr>
      <w:r>
        <w:rPr>
          <w:w w:val="95"/>
          <w:sz w:val="21"/>
        </w:rPr>
        <w:t>提供输血治疗的输血中心或医院出具的该项输血感染属医 疗责任事故的报告，或法院终审判决为医疗责任；</w:t>
      </w:r>
    </w:p>
    <w:p>
      <w:pPr>
        <w:pStyle w:val="ListParagraph"/>
        <w:numPr>
          <w:ilvl w:val="0"/>
          <w:numId w:val="27"/>
        </w:numPr>
        <w:tabs>
          <w:tab w:pos="839" w:val="left" w:leader="none"/>
          <w:tab w:pos="840" w:val="left" w:leader="none"/>
        </w:tabs>
        <w:spacing w:line="240" w:lineRule="auto" w:before="56" w:after="0"/>
        <w:ind w:left="839" w:right="0" w:hanging="735"/>
        <w:jc w:val="left"/>
        <w:rPr>
          <w:sz w:val="21"/>
        </w:rPr>
      </w:pPr>
      <w:r>
        <w:rPr>
          <w:w w:val="95"/>
          <w:sz w:val="21"/>
        </w:rPr>
        <w:t>受感染的被保险人不是血友病患者。</w:t>
      </w:r>
    </w:p>
    <w:p>
      <w:pPr>
        <w:pStyle w:val="BodyText"/>
        <w:ind w:left="100" w:right="137"/>
      </w:pPr>
      <w:r>
        <w:rPr/>
        <w:t>本公司具有获得和使用被保险人的所有血液样本的权利以及能够</w:t>
      </w:r>
      <w:r>
        <w:rPr>
          <w:w w:val="95"/>
        </w:rPr>
        <w:t>对这些样本进行独立检验的权利。</w:t>
      </w:r>
    </w:p>
    <w:p>
      <w:pPr>
        <w:spacing w:after="0"/>
        <w:sectPr>
          <w:type w:val="continuous"/>
          <w:pgSz w:w="12240" w:h="15840"/>
          <w:pgMar w:top="900" w:bottom="280" w:left="1700" w:right="1660"/>
          <w:cols w:num="2" w:equalWidth="0">
            <w:col w:w="2321" w:space="255"/>
            <w:col w:w="6304"/>
          </w:cols>
        </w:sectPr>
      </w:pPr>
    </w:p>
    <w:p>
      <w:pPr>
        <w:pStyle w:val="BodyText"/>
        <w:spacing w:before="4"/>
        <w:ind w:left="2680" w:right="220"/>
        <w:rPr>
          <w:rFonts w:ascii="黑体" w:eastAsia="黑体" w:hint="eastAsia"/>
        </w:rPr>
      </w:pPr>
      <w:r>
        <w:rPr>
          <w:rFonts w:ascii="黑体" w:eastAsia="黑体" w:hint="eastAsia"/>
          <w:spacing w:val="-2"/>
          <w:w w:val="95"/>
        </w:rPr>
        <w:t>任何因其他传播方式</w:t>
      </w:r>
      <w:r>
        <w:rPr>
          <w:rFonts w:ascii="黑体" w:eastAsia="黑体" w:hint="eastAsia"/>
          <w:w w:val="95"/>
        </w:rPr>
        <w:t>（</w:t>
      </w:r>
      <w:r>
        <w:rPr>
          <w:rFonts w:ascii="黑体" w:eastAsia="黑体" w:hint="eastAsia"/>
          <w:spacing w:val="-3"/>
          <w:w w:val="95"/>
        </w:rPr>
        <w:t>包括：性传播或静脉注射毒品</w:t>
      </w:r>
      <w:r>
        <w:rPr>
          <w:rFonts w:ascii="黑体" w:eastAsia="黑体" w:hint="eastAsia"/>
          <w:spacing w:val="-10"/>
          <w:w w:val="95"/>
        </w:rPr>
        <w:t>）</w:t>
      </w:r>
      <w:r>
        <w:rPr>
          <w:rFonts w:ascii="黑体" w:eastAsia="黑体" w:hint="eastAsia"/>
          <w:w w:val="95"/>
        </w:rPr>
        <w:t>导致感染艾  滋病病毒或者患艾滋病不在保障范围内。</w:t>
      </w:r>
    </w:p>
    <w:p>
      <w:pPr>
        <w:pStyle w:val="BodyText"/>
        <w:spacing w:before="1"/>
        <w:rPr>
          <w:rFonts w:ascii="黑体"/>
          <w:sz w:val="27"/>
        </w:rPr>
      </w:pPr>
    </w:p>
    <w:p>
      <w:pPr>
        <w:spacing w:after="0"/>
        <w:rPr>
          <w:rFonts w:ascii="黑体"/>
          <w:sz w:val="27"/>
        </w:rPr>
        <w:sectPr>
          <w:pgSz w:w="12240" w:h="15840"/>
          <w:pgMar w:top="1460" w:bottom="280" w:left="1700" w:right="1580"/>
        </w:sectPr>
      </w:pPr>
    </w:p>
    <w:p>
      <w:pPr>
        <w:pStyle w:val="Heading2"/>
        <w:numPr>
          <w:ilvl w:val="1"/>
          <w:numId w:val="24"/>
        </w:numPr>
        <w:tabs>
          <w:tab w:pos="846" w:val="left" w:leader="none"/>
          <w:tab w:pos="847" w:val="left" w:leader="none"/>
        </w:tabs>
        <w:spacing w:line="273" w:lineRule="exact" w:before="35" w:after="0"/>
        <w:ind w:left="846" w:right="0" w:hanging="746"/>
        <w:jc w:val="left"/>
      </w:pPr>
      <w:r>
        <w:rPr>
          <w:w w:val="95"/>
        </w:rPr>
        <w:t>系统性红斑狼疮</w:t>
      </w:r>
    </w:p>
    <w:p>
      <w:pPr>
        <w:spacing w:before="0"/>
        <w:ind w:left="846" w:right="0" w:firstLine="0"/>
        <w:jc w:val="left"/>
        <w:rPr>
          <w:b/>
          <w:sz w:val="21"/>
        </w:rPr>
      </w:pPr>
      <w:r>
        <w:rPr>
          <w:b/>
          <w:w w:val="95"/>
          <w:sz w:val="21"/>
        </w:rPr>
        <w:t>并发重度的肾功能损害</w:t>
      </w:r>
    </w:p>
    <w:p>
      <w:pPr>
        <w:pStyle w:val="BodyText"/>
        <w:spacing w:line="237" w:lineRule="auto" w:before="38"/>
        <w:ind w:left="100" w:right="220"/>
        <w:rPr>
          <w:rFonts w:ascii="黑体" w:eastAsia="黑体" w:hint="eastAsia"/>
        </w:rPr>
      </w:pPr>
      <w:r>
        <w:rPr/>
        <w:br w:type="column"/>
      </w:r>
      <w:r>
        <w:rPr>
          <w:spacing w:val="-2"/>
          <w:w w:val="95"/>
        </w:rPr>
        <w:t>指系统性红斑狼疮患者并发狼疮性肾炎而影响和损害肾脏功能。</w:t>
      </w:r>
      <w:r>
        <w:rPr>
          <w:rFonts w:ascii="黑体" w:eastAsia="黑体" w:hint="eastAsia"/>
          <w:w w:val="95"/>
        </w:rPr>
        <w:t>且  满足下列全部条件：</w:t>
      </w:r>
    </w:p>
    <w:p>
      <w:pPr>
        <w:pStyle w:val="ListParagraph"/>
        <w:numPr>
          <w:ilvl w:val="0"/>
          <w:numId w:val="28"/>
        </w:numPr>
        <w:tabs>
          <w:tab w:pos="834" w:val="left" w:leader="none"/>
          <w:tab w:pos="835" w:val="left" w:leader="none"/>
        </w:tabs>
        <w:spacing w:line="240" w:lineRule="auto" w:before="59" w:after="0"/>
        <w:ind w:left="834" w:right="0" w:hanging="734"/>
        <w:jc w:val="left"/>
        <w:rPr>
          <w:sz w:val="21"/>
        </w:rPr>
      </w:pPr>
      <w:r>
        <w:rPr>
          <w:w w:val="95"/>
          <w:sz w:val="21"/>
        </w:rPr>
        <w:t>临床表现须具备以下至少四项条件：</w:t>
      </w:r>
    </w:p>
    <w:p>
      <w:pPr>
        <w:pStyle w:val="ListParagraph"/>
        <w:numPr>
          <w:ilvl w:val="1"/>
          <w:numId w:val="28"/>
        </w:numPr>
        <w:tabs>
          <w:tab w:pos="1232" w:val="left" w:leader="none"/>
          <w:tab w:pos="1233" w:val="left" w:leader="none"/>
        </w:tabs>
        <w:spacing w:line="240" w:lineRule="auto" w:before="56" w:after="0"/>
        <w:ind w:left="1232" w:right="0" w:hanging="420"/>
        <w:jc w:val="left"/>
        <w:rPr>
          <w:sz w:val="21"/>
        </w:rPr>
      </w:pPr>
      <w:r>
        <w:rPr>
          <w:w w:val="95"/>
          <w:sz w:val="21"/>
        </w:rPr>
        <w:t>蝶形红斑或盘形红斑；</w:t>
      </w:r>
    </w:p>
    <w:p>
      <w:pPr>
        <w:pStyle w:val="ListParagraph"/>
        <w:numPr>
          <w:ilvl w:val="1"/>
          <w:numId w:val="28"/>
        </w:numPr>
        <w:tabs>
          <w:tab w:pos="1232" w:val="left" w:leader="none"/>
          <w:tab w:pos="1233" w:val="left" w:leader="none"/>
        </w:tabs>
        <w:spacing w:line="240" w:lineRule="auto" w:before="58" w:after="0"/>
        <w:ind w:left="1232" w:right="0" w:hanging="420"/>
        <w:jc w:val="left"/>
        <w:rPr>
          <w:sz w:val="21"/>
        </w:rPr>
      </w:pPr>
      <w:r>
        <w:rPr>
          <w:w w:val="95"/>
          <w:sz w:val="21"/>
        </w:rPr>
        <w:t>光敏感；</w:t>
      </w:r>
    </w:p>
    <w:p>
      <w:pPr>
        <w:pStyle w:val="ListParagraph"/>
        <w:numPr>
          <w:ilvl w:val="1"/>
          <w:numId w:val="28"/>
        </w:numPr>
        <w:tabs>
          <w:tab w:pos="1232" w:val="left" w:leader="none"/>
          <w:tab w:pos="1233" w:val="left" w:leader="none"/>
        </w:tabs>
        <w:spacing w:line="240" w:lineRule="auto" w:before="56" w:after="0"/>
        <w:ind w:left="1232" w:right="0" w:hanging="420"/>
        <w:jc w:val="left"/>
        <w:rPr>
          <w:sz w:val="21"/>
        </w:rPr>
      </w:pPr>
      <w:r>
        <w:rPr>
          <w:w w:val="95"/>
          <w:sz w:val="21"/>
        </w:rPr>
        <w:t>口鼻腔黏膜溃疡；</w:t>
      </w:r>
    </w:p>
    <w:p>
      <w:pPr>
        <w:pStyle w:val="ListParagraph"/>
        <w:numPr>
          <w:ilvl w:val="1"/>
          <w:numId w:val="28"/>
        </w:numPr>
        <w:tabs>
          <w:tab w:pos="1232" w:val="left" w:leader="none"/>
          <w:tab w:pos="1233" w:val="left" w:leader="none"/>
        </w:tabs>
        <w:spacing w:line="240" w:lineRule="auto" w:before="58" w:after="0"/>
        <w:ind w:left="1232" w:right="0" w:hanging="420"/>
        <w:jc w:val="left"/>
        <w:rPr>
          <w:sz w:val="21"/>
        </w:rPr>
      </w:pPr>
      <w:r>
        <w:rPr>
          <w:w w:val="95"/>
          <w:sz w:val="21"/>
        </w:rPr>
        <w:t>非畸形性关节炎或多关节痛；</w:t>
      </w:r>
    </w:p>
    <w:p>
      <w:pPr>
        <w:pStyle w:val="ListParagraph"/>
        <w:numPr>
          <w:ilvl w:val="1"/>
          <w:numId w:val="28"/>
        </w:numPr>
        <w:tabs>
          <w:tab w:pos="1232" w:val="left" w:leader="none"/>
          <w:tab w:pos="1233" w:val="left" w:leader="none"/>
        </w:tabs>
        <w:spacing w:line="240" w:lineRule="auto" w:before="55" w:after="0"/>
        <w:ind w:left="1232" w:right="0" w:hanging="420"/>
        <w:jc w:val="left"/>
        <w:rPr>
          <w:sz w:val="21"/>
        </w:rPr>
      </w:pPr>
      <w:r>
        <w:rPr>
          <w:w w:val="95"/>
          <w:sz w:val="21"/>
        </w:rPr>
        <w:t>胸膜炎或心包炎；</w:t>
      </w:r>
    </w:p>
    <w:p>
      <w:pPr>
        <w:pStyle w:val="ListParagraph"/>
        <w:numPr>
          <w:ilvl w:val="1"/>
          <w:numId w:val="28"/>
        </w:numPr>
        <w:tabs>
          <w:tab w:pos="1232" w:val="left" w:leader="none"/>
          <w:tab w:pos="1233" w:val="left" w:leader="none"/>
        </w:tabs>
        <w:spacing w:line="240" w:lineRule="auto" w:before="55" w:after="0"/>
        <w:ind w:left="1232" w:right="0" w:hanging="420"/>
        <w:jc w:val="left"/>
        <w:rPr>
          <w:sz w:val="21"/>
        </w:rPr>
      </w:pPr>
      <w:r>
        <w:rPr>
          <w:spacing w:val="-1"/>
          <w:w w:val="99"/>
          <w:sz w:val="21"/>
        </w:rPr>
        <w:t>神经系统损伤（癫痫或精神症状</w:t>
      </w:r>
      <w:r>
        <w:rPr>
          <w:spacing w:val="-104"/>
          <w:w w:val="99"/>
          <w:sz w:val="21"/>
        </w:rPr>
        <w:t>）</w:t>
      </w:r>
      <w:r>
        <w:rPr>
          <w:w w:val="99"/>
          <w:sz w:val="21"/>
        </w:rPr>
        <w:t>；</w:t>
      </w:r>
    </w:p>
    <w:p>
      <w:pPr>
        <w:pStyle w:val="ListParagraph"/>
        <w:numPr>
          <w:ilvl w:val="1"/>
          <w:numId w:val="28"/>
        </w:numPr>
        <w:tabs>
          <w:tab w:pos="1232" w:val="left" w:leader="none"/>
          <w:tab w:pos="1233" w:val="left" w:leader="none"/>
        </w:tabs>
        <w:spacing w:line="273" w:lineRule="exact" w:before="58" w:after="0"/>
        <w:ind w:left="1232" w:right="0" w:hanging="420"/>
        <w:jc w:val="left"/>
        <w:rPr>
          <w:sz w:val="21"/>
        </w:rPr>
      </w:pPr>
      <w:r>
        <w:rPr>
          <w:spacing w:val="-26"/>
          <w:sz w:val="21"/>
        </w:rPr>
        <w:t>血象异常</w:t>
      </w:r>
      <w:r>
        <w:rPr>
          <w:sz w:val="21"/>
        </w:rPr>
        <w:t>（</w:t>
      </w:r>
      <w:r>
        <w:rPr>
          <w:spacing w:val="5"/>
          <w:sz w:val="21"/>
        </w:rPr>
        <w:t>白细胞小于</w:t>
      </w:r>
      <w:r>
        <w:rPr>
          <w:sz w:val="21"/>
        </w:rPr>
        <w:t>4000/μl</w:t>
      </w:r>
      <w:r>
        <w:rPr>
          <w:spacing w:val="-9"/>
          <w:sz w:val="21"/>
        </w:rPr>
        <w:t> 或血小板小于</w:t>
      </w:r>
      <w:r>
        <w:rPr>
          <w:sz w:val="21"/>
        </w:rPr>
        <w:t>100000/</w:t>
      </w:r>
    </w:p>
    <w:p>
      <w:pPr>
        <w:pStyle w:val="BodyText"/>
        <w:spacing w:line="273" w:lineRule="exact" w:before="0"/>
        <w:ind w:left="1218" w:right="3188"/>
        <w:jc w:val="center"/>
      </w:pPr>
      <w:r>
        <w:rPr/>
        <w:t>μl</w:t>
      </w:r>
      <w:r>
        <w:rPr>
          <w:spacing w:val="-9"/>
        </w:rPr>
        <w:t> 或溶血性贫血</w:t>
      </w:r>
      <w:r>
        <w:rPr>
          <w:spacing w:val="-104"/>
        </w:rPr>
        <w:t>）</w:t>
      </w:r>
      <w:r>
        <w:rPr/>
        <w:t>。</w:t>
      </w:r>
    </w:p>
    <w:p>
      <w:pPr>
        <w:pStyle w:val="ListParagraph"/>
        <w:numPr>
          <w:ilvl w:val="0"/>
          <w:numId w:val="28"/>
        </w:numPr>
        <w:tabs>
          <w:tab w:pos="834" w:val="left" w:leader="none"/>
          <w:tab w:pos="835" w:val="left" w:leader="none"/>
        </w:tabs>
        <w:spacing w:line="240" w:lineRule="auto" w:before="59" w:after="0"/>
        <w:ind w:left="834" w:right="0" w:hanging="734"/>
        <w:jc w:val="left"/>
        <w:rPr>
          <w:sz w:val="21"/>
        </w:rPr>
      </w:pPr>
      <w:r>
        <w:rPr>
          <w:w w:val="95"/>
          <w:sz w:val="21"/>
        </w:rPr>
        <w:t>检查结果须具备以下至少两项条件：</w:t>
      </w:r>
    </w:p>
    <w:p>
      <w:pPr>
        <w:pStyle w:val="ListParagraph"/>
        <w:numPr>
          <w:ilvl w:val="1"/>
          <w:numId w:val="28"/>
        </w:numPr>
        <w:tabs>
          <w:tab w:pos="1232" w:val="left" w:leader="none"/>
          <w:tab w:pos="1233" w:val="left" w:leader="none"/>
        </w:tabs>
        <w:spacing w:line="240" w:lineRule="auto" w:before="59" w:after="0"/>
        <w:ind w:left="1232" w:right="0" w:hanging="420"/>
        <w:jc w:val="left"/>
        <w:rPr>
          <w:sz w:val="21"/>
        </w:rPr>
      </w:pPr>
      <w:r>
        <w:rPr>
          <w:spacing w:val="-28"/>
          <w:sz w:val="21"/>
        </w:rPr>
        <w:t>抗 </w:t>
      </w:r>
      <w:r>
        <w:rPr>
          <w:sz w:val="21"/>
        </w:rPr>
        <w:t>dsDNA</w:t>
      </w:r>
      <w:r>
        <w:rPr>
          <w:spacing w:val="-10"/>
          <w:sz w:val="21"/>
        </w:rPr>
        <w:t> 抗体阳性；</w:t>
      </w:r>
    </w:p>
    <w:p>
      <w:pPr>
        <w:pStyle w:val="ListParagraph"/>
        <w:numPr>
          <w:ilvl w:val="1"/>
          <w:numId w:val="28"/>
        </w:numPr>
        <w:tabs>
          <w:tab w:pos="1232" w:val="left" w:leader="none"/>
          <w:tab w:pos="1233" w:val="left" w:leader="none"/>
        </w:tabs>
        <w:spacing w:line="240" w:lineRule="auto" w:before="56" w:after="0"/>
        <w:ind w:left="1232" w:right="0" w:hanging="420"/>
        <w:jc w:val="left"/>
        <w:rPr>
          <w:sz w:val="21"/>
        </w:rPr>
      </w:pPr>
      <w:r>
        <w:rPr>
          <w:spacing w:val="-28"/>
          <w:sz w:val="21"/>
        </w:rPr>
        <w:t>抗 </w:t>
      </w:r>
      <w:r>
        <w:rPr>
          <w:sz w:val="21"/>
        </w:rPr>
        <w:t>Sm</w:t>
      </w:r>
      <w:r>
        <w:rPr>
          <w:spacing w:val="-10"/>
          <w:sz w:val="21"/>
        </w:rPr>
        <w:t> 抗体阳性；</w:t>
      </w:r>
    </w:p>
    <w:p>
      <w:pPr>
        <w:pStyle w:val="ListParagraph"/>
        <w:numPr>
          <w:ilvl w:val="1"/>
          <w:numId w:val="28"/>
        </w:numPr>
        <w:tabs>
          <w:tab w:pos="1232" w:val="left" w:leader="none"/>
          <w:tab w:pos="1233" w:val="left" w:leader="none"/>
        </w:tabs>
        <w:spacing w:line="240" w:lineRule="auto" w:before="56" w:after="0"/>
        <w:ind w:left="1232" w:right="0" w:hanging="420"/>
        <w:jc w:val="left"/>
        <w:rPr>
          <w:sz w:val="21"/>
        </w:rPr>
      </w:pPr>
      <w:r>
        <w:rPr>
          <w:w w:val="95"/>
          <w:sz w:val="21"/>
        </w:rPr>
        <w:t>抗核抗体阳性；</w:t>
      </w:r>
    </w:p>
    <w:p>
      <w:pPr>
        <w:pStyle w:val="ListParagraph"/>
        <w:numPr>
          <w:ilvl w:val="1"/>
          <w:numId w:val="28"/>
        </w:numPr>
        <w:tabs>
          <w:tab w:pos="1232" w:val="left" w:leader="none"/>
          <w:tab w:pos="1233" w:val="left" w:leader="none"/>
        </w:tabs>
        <w:spacing w:line="240" w:lineRule="auto" w:before="58" w:after="0"/>
        <w:ind w:left="1232" w:right="0" w:hanging="420"/>
        <w:jc w:val="left"/>
        <w:rPr>
          <w:sz w:val="21"/>
        </w:rPr>
      </w:pPr>
      <w:r>
        <w:rPr>
          <w:w w:val="95"/>
          <w:sz w:val="21"/>
        </w:rPr>
        <w:t>皮肤狼疮带试验（非病损部位）或肾活检阳性；</w:t>
      </w:r>
    </w:p>
    <w:p>
      <w:pPr>
        <w:pStyle w:val="ListParagraph"/>
        <w:numPr>
          <w:ilvl w:val="1"/>
          <w:numId w:val="28"/>
        </w:numPr>
        <w:tabs>
          <w:tab w:pos="1232" w:val="left" w:leader="none"/>
          <w:tab w:pos="1233" w:val="left" w:leader="none"/>
        </w:tabs>
        <w:spacing w:line="240" w:lineRule="auto" w:before="55" w:after="0"/>
        <w:ind w:left="1232" w:right="0" w:hanging="420"/>
        <w:jc w:val="left"/>
        <w:rPr>
          <w:sz w:val="21"/>
        </w:rPr>
      </w:pPr>
      <w:r>
        <w:rPr>
          <w:sz w:val="21"/>
        </w:rPr>
        <w:t>C3</w:t>
      </w:r>
      <w:r>
        <w:rPr>
          <w:spacing w:val="-9"/>
          <w:sz w:val="21"/>
        </w:rPr>
        <w:t> 低于正常值。</w:t>
      </w:r>
    </w:p>
    <w:p>
      <w:pPr>
        <w:pStyle w:val="ListParagraph"/>
        <w:numPr>
          <w:ilvl w:val="0"/>
          <w:numId w:val="28"/>
        </w:numPr>
        <w:tabs>
          <w:tab w:pos="834" w:val="left" w:leader="none"/>
          <w:tab w:pos="835" w:val="left" w:leader="none"/>
        </w:tabs>
        <w:spacing w:line="273" w:lineRule="exact" w:before="58" w:after="0"/>
        <w:ind w:left="834" w:right="0" w:hanging="734"/>
        <w:jc w:val="left"/>
        <w:rPr>
          <w:sz w:val="21"/>
        </w:rPr>
      </w:pPr>
      <w:r>
        <w:rPr>
          <w:w w:val="95"/>
          <w:sz w:val="21"/>
        </w:rPr>
        <w:t>狼疮肾炎致使肾功能减弱，内生肌酐清除率低于每分钟</w:t>
      </w:r>
    </w:p>
    <w:p>
      <w:pPr>
        <w:pStyle w:val="BodyText"/>
        <w:spacing w:line="273" w:lineRule="exact" w:before="0"/>
        <w:ind w:left="834"/>
      </w:pPr>
      <w:r>
        <w:rPr>
          <w:w w:val="95"/>
        </w:rPr>
        <w:t>30ml。</w:t>
      </w:r>
    </w:p>
    <w:p>
      <w:pPr>
        <w:spacing w:after="0" w:line="273" w:lineRule="exact"/>
        <w:sectPr>
          <w:type w:val="continuous"/>
          <w:pgSz w:w="12240" w:h="15840"/>
          <w:pgMar w:top="900" w:bottom="280" w:left="1700" w:right="1580"/>
          <w:cols w:num="2" w:equalWidth="0">
            <w:col w:w="2321" w:space="259"/>
            <w:col w:w="6380"/>
          </w:cols>
        </w:sectPr>
      </w:pPr>
    </w:p>
    <w:p>
      <w:pPr>
        <w:pStyle w:val="BodyText"/>
        <w:spacing w:before="2"/>
        <w:rPr>
          <w:sz w:val="27"/>
        </w:rPr>
      </w:pPr>
    </w:p>
    <w:p>
      <w:pPr>
        <w:pStyle w:val="ListParagraph"/>
        <w:numPr>
          <w:ilvl w:val="1"/>
          <w:numId w:val="24"/>
        </w:numPr>
        <w:tabs>
          <w:tab w:pos="847" w:val="left" w:leader="none"/>
        </w:tabs>
        <w:spacing w:line="237" w:lineRule="auto" w:before="37" w:after="0"/>
        <w:ind w:left="2680" w:right="217" w:hanging="2580"/>
        <w:jc w:val="both"/>
        <w:rPr>
          <w:rFonts w:ascii="黑体" w:eastAsia="黑体" w:hint="eastAsia"/>
          <w:sz w:val="21"/>
        </w:rPr>
      </w:pPr>
      <w:r>
        <w:rPr>
          <w:b/>
          <w:spacing w:val="0"/>
          <w:sz w:val="21"/>
        </w:rPr>
        <w:t>重症肌无力      </w:t>
      </w:r>
      <w:r>
        <w:rPr>
          <w:spacing w:val="-2"/>
          <w:sz w:val="21"/>
        </w:rPr>
        <w:t>指一种神经与肌肉接头部位传递障碍的自身免疫性疾病，临床特征</w:t>
      </w:r>
      <w:r>
        <w:rPr>
          <w:spacing w:val="-4"/>
          <w:w w:val="95"/>
          <w:sz w:val="21"/>
        </w:rPr>
        <w:t>是局部或全身横纹肌于活动时易于疲劳无力，颅神经眼外肌最易累  </w:t>
      </w:r>
      <w:r>
        <w:rPr>
          <w:spacing w:val="-6"/>
          <w:w w:val="95"/>
          <w:sz w:val="21"/>
        </w:rPr>
        <w:t>及，也可涉及呼吸肌、下肢近端肌群以至全身肌肉。</w:t>
      </w:r>
      <w:r>
        <w:rPr>
          <w:rFonts w:ascii="黑体" w:eastAsia="黑体" w:hint="eastAsia"/>
          <w:w w:val="95"/>
          <w:sz w:val="21"/>
        </w:rPr>
        <w:t>且满足下列全  部条件：</w:t>
      </w:r>
    </w:p>
    <w:p>
      <w:pPr>
        <w:pStyle w:val="ListParagraph"/>
        <w:numPr>
          <w:ilvl w:val="0"/>
          <w:numId w:val="29"/>
        </w:numPr>
        <w:tabs>
          <w:tab w:pos="3414" w:val="left" w:leader="none"/>
          <w:tab w:pos="3415" w:val="left" w:leader="none"/>
        </w:tabs>
        <w:spacing w:line="240" w:lineRule="auto" w:before="58" w:after="0"/>
        <w:ind w:left="3414" w:right="0" w:hanging="734"/>
        <w:jc w:val="left"/>
        <w:rPr>
          <w:sz w:val="21"/>
        </w:rPr>
      </w:pPr>
      <w:r>
        <w:rPr>
          <w:w w:val="95"/>
          <w:sz w:val="21"/>
        </w:rPr>
        <w:t>经药物、胸腺手术治疗一年以上无法控制病情；</w:t>
      </w:r>
    </w:p>
    <w:p>
      <w:pPr>
        <w:pStyle w:val="ListParagraph"/>
        <w:numPr>
          <w:ilvl w:val="0"/>
          <w:numId w:val="29"/>
        </w:numPr>
        <w:tabs>
          <w:tab w:pos="3414" w:val="left" w:leader="none"/>
          <w:tab w:pos="3415" w:val="left" w:leader="none"/>
        </w:tabs>
        <w:spacing w:line="240" w:lineRule="auto" w:before="56" w:after="0"/>
        <w:ind w:left="3414" w:right="294" w:hanging="734"/>
        <w:jc w:val="left"/>
        <w:rPr>
          <w:sz w:val="21"/>
        </w:rPr>
      </w:pPr>
      <w:r>
        <w:rPr>
          <w:w w:val="95"/>
          <w:sz w:val="21"/>
        </w:rPr>
        <w:t>自主生活能力完全丧失，无法独立完成六项基本日常生活 活动中的三项或三项以上。</w:t>
      </w:r>
    </w:p>
    <w:p>
      <w:pPr>
        <w:pStyle w:val="BodyText"/>
        <w:spacing w:before="12"/>
        <w:rPr>
          <w:sz w:val="29"/>
        </w:rPr>
      </w:pPr>
    </w:p>
    <w:p>
      <w:pPr>
        <w:pStyle w:val="ListParagraph"/>
        <w:numPr>
          <w:ilvl w:val="1"/>
          <w:numId w:val="24"/>
        </w:numPr>
        <w:tabs>
          <w:tab w:pos="847" w:val="left" w:leader="none"/>
        </w:tabs>
        <w:spacing w:line="237" w:lineRule="auto" w:before="1" w:after="0"/>
        <w:ind w:left="2680" w:right="217" w:hanging="2580"/>
        <w:jc w:val="both"/>
        <w:rPr>
          <w:rFonts w:ascii="黑体" w:eastAsia="黑体" w:hint="eastAsia"/>
          <w:sz w:val="21"/>
        </w:rPr>
      </w:pPr>
      <w:r>
        <w:rPr>
          <w:b/>
          <w:spacing w:val="2"/>
          <w:sz w:val="21"/>
        </w:rPr>
        <w:t>持续植物人状态  </w:t>
      </w:r>
      <w:r>
        <w:rPr>
          <w:spacing w:val="5"/>
          <w:sz w:val="21"/>
        </w:rPr>
        <w:t>指因疾病或意外伤害导致被保险人躯体反射和自主反射全部丧失</w:t>
      </w:r>
      <w:r>
        <w:rPr>
          <w:spacing w:val="-2"/>
          <w:w w:val="95"/>
          <w:sz w:val="21"/>
        </w:rPr>
        <w:t>的深昏迷，但呼吸和心跳是正常的，此时完全依赖支持疗法</w:t>
      </w:r>
      <w:r>
        <w:rPr>
          <w:w w:val="95"/>
          <w:sz w:val="21"/>
        </w:rPr>
        <w:t>（如流  </w:t>
      </w:r>
      <w:r>
        <w:rPr>
          <w:spacing w:val="-3"/>
          <w:w w:val="95"/>
          <w:sz w:val="21"/>
        </w:rPr>
        <w:t>质食物、静脉注射营养液等</w:t>
      </w:r>
      <w:r>
        <w:rPr>
          <w:spacing w:val="-8"/>
          <w:w w:val="95"/>
          <w:sz w:val="21"/>
        </w:rPr>
        <w:t>）</w:t>
      </w:r>
      <w:r>
        <w:rPr>
          <w:spacing w:val="-1"/>
          <w:w w:val="95"/>
          <w:sz w:val="21"/>
        </w:rPr>
        <w:t>维持生命的临床状态。</w:t>
      </w:r>
      <w:r>
        <w:rPr>
          <w:rFonts w:ascii="黑体" w:eastAsia="黑体" w:hint="eastAsia"/>
          <w:w w:val="95"/>
          <w:sz w:val="21"/>
        </w:rPr>
        <w:t>且满足下列全  部条件：</w:t>
      </w:r>
    </w:p>
    <w:p>
      <w:pPr>
        <w:pStyle w:val="ListParagraph"/>
        <w:numPr>
          <w:ilvl w:val="0"/>
          <w:numId w:val="30"/>
        </w:numPr>
        <w:tabs>
          <w:tab w:pos="3414" w:val="left" w:leader="none"/>
          <w:tab w:pos="3415" w:val="left" w:leader="none"/>
        </w:tabs>
        <w:spacing w:line="240" w:lineRule="auto" w:before="59" w:after="0"/>
        <w:ind w:left="3414" w:right="0" w:hanging="734"/>
        <w:jc w:val="left"/>
        <w:rPr>
          <w:sz w:val="21"/>
        </w:rPr>
      </w:pPr>
      <w:r>
        <w:rPr>
          <w:spacing w:val="-4"/>
          <w:sz w:val="21"/>
        </w:rPr>
        <w:t>诊断为植物人状态后并继续维持治疗 </w:t>
      </w:r>
      <w:r>
        <w:rPr>
          <w:sz w:val="21"/>
        </w:rPr>
        <w:t>30</w:t>
      </w:r>
      <w:r>
        <w:rPr>
          <w:spacing w:val="-12"/>
          <w:sz w:val="21"/>
        </w:rPr>
        <w:t> 天以上；</w:t>
      </w:r>
    </w:p>
    <w:p>
      <w:pPr>
        <w:pStyle w:val="ListParagraph"/>
        <w:numPr>
          <w:ilvl w:val="0"/>
          <w:numId w:val="30"/>
        </w:numPr>
        <w:tabs>
          <w:tab w:pos="3414" w:val="left" w:leader="none"/>
          <w:tab w:pos="3415" w:val="left" w:leader="none"/>
        </w:tabs>
        <w:spacing w:line="240" w:lineRule="auto" w:before="56" w:after="0"/>
        <w:ind w:left="3414" w:right="0" w:hanging="734"/>
        <w:jc w:val="left"/>
        <w:rPr>
          <w:sz w:val="21"/>
        </w:rPr>
      </w:pPr>
      <w:r>
        <w:rPr>
          <w:spacing w:val="-20"/>
          <w:sz w:val="21"/>
        </w:rPr>
        <w:t>治疗 </w:t>
      </w:r>
      <w:r>
        <w:rPr>
          <w:sz w:val="21"/>
        </w:rPr>
        <w:t>30</w:t>
      </w:r>
      <w:r>
        <w:rPr>
          <w:spacing w:val="-8"/>
          <w:sz w:val="21"/>
        </w:rPr>
        <w:t> 天前后的脑电图检查均为等电位</w:t>
      </w:r>
      <w:r>
        <w:rPr>
          <w:sz w:val="21"/>
        </w:rPr>
        <w:t>（完全平坦</w:t>
      </w:r>
      <w:r>
        <w:rPr>
          <w:spacing w:val="-106"/>
          <w:sz w:val="21"/>
        </w:rPr>
        <w:t>）</w:t>
      </w:r>
      <w:r>
        <w:rPr>
          <w:sz w:val="21"/>
        </w:rPr>
        <w:t>。</w:t>
      </w:r>
    </w:p>
    <w:p>
      <w:pPr>
        <w:pStyle w:val="BodyText"/>
        <w:spacing w:before="0"/>
        <w:rPr>
          <w:sz w:val="20"/>
        </w:rPr>
      </w:pPr>
    </w:p>
    <w:p>
      <w:pPr>
        <w:pStyle w:val="ListParagraph"/>
        <w:numPr>
          <w:ilvl w:val="1"/>
          <w:numId w:val="24"/>
        </w:numPr>
        <w:tabs>
          <w:tab w:pos="846" w:val="left" w:leader="none"/>
          <w:tab w:pos="847" w:val="left" w:leader="none"/>
          <w:tab w:pos="2679" w:val="left" w:leader="none"/>
        </w:tabs>
        <w:spacing w:line="230" w:lineRule="auto" w:before="141" w:after="0"/>
        <w:ind w:left="2680" w:right="112" w:hanging="2580"/>
        <w:jc w:val="left"/>
        <w:rPr>
          <w:sz w:val="21"/>
        </w:rPr>
      </w:pPr>
      <w:r>
        <w:rPr>
          <w:b/>
          <w:sz w:val="21"/>
        </w:rPr>
        <w:t>严重心肌病</w:t>
        <w:tab/>
      </w:r>
      <w:r>
        <w:rPr>
          <w:w w:val="95"/>
          <w:sz w:val="21"/>
        </w:rPr>
        <w:t>指由任何病因引起的心肌机械</w:t>
      </w:r>
      <w:r>
        <w:rPr>
          <w:spacing w:val="-10"/>
          <w:w w:val="95"/>
          <w:sz w:val="21"/>
        </w:rPr>
        <w:t>和</w:t>
      </w:r>
      <w:r>
        <w:rPr>
          <w:w w:val="95"/>
          <w:sz w:val="21"/>
        </w:rPr>
        <w:t>（或</w:t>
      </w:r>
      <w:r>
        <w:rPr>
          <w:spacing w:val="-8"/>
          <w:w w:val="95"/>
          <w:sz w:val="21"/>
        </w:rPr>
        <w:t>）</w:t>
      </w:r>
      <w:r>
        <w:rPr>
          <w:w w:val="95"/>
          <w:sz w:val="21"/>
        </w:rPr>
        <w:t>心电功能障</w:t>
      </w:r>
      <w:r>
        <w:rPr>
          <w:spacing w:val="-10"/>
          <w:w w:val="95"/>
          <w:sz w:val="21"/>
        </w:rPr>
        <w:t>碍</w:t>
      </w:r>
      <w:r>
        <w:rPr>
          <w:w w:val="95"/>
          <w:sz w:val="21"/>
        </w:rPr>
        <w:t>（左室腔扩大   </w:t>
      </w:r>
      <w:r>
        <w:rPr>
          <w:spacing w:val="1"/>
          <w:w w:val="99"/>
          <w:sz w:val="21"/>
        </w:rPr>
        <w:t>至</w:t>
      </w:r>
      <w:r>
        <w:rPr>
          <w:spacing w:val="-1"/>
          <w:w w:val="99"/>
          <w:sz w:val="21"/>
        </w:rPr>
        <w:t>少</w:t>
      </w:r>
      <w:r>
        <w:rPr>
          <w:spacing w:val="1"/>
          <w:w w:val="99"/>
          <w:sz w:val="21"/>
        </w:rPr>
        <w:t>达</w:t>
      </w:r>
      <w:r>
        <w:rPr>
          <w:spacing w:val="-1"/>
          <w:w w:val="99"/>
          <w:sz w:val="21"/>
        </w:rPr>
        <w:t>到</w:t>
      </w:r>
      <w:r>
        <w:rPr>
          <w:spacing w:val="1"/>
          <w:w w:val="99"/>
          <w:sz w:val="21"/>
        </w:rPr>
        <w:t>正</w:t>
      </w:r>
      <w:r>
        <w:rPr>
          <w:spacing w:val="-1"/>
          <w:w w:val="99"/>
          <w:sz w:val="21"/>
        </w:rPr>
        <w:t>常</w:t>
      </w:r>
      <w:r>
        <w:rPr>
          <w:spacing w:val="1"/>
          <w:w w:val="99"/>
          <w:sz w:val="21"/>
        </w:rPr>
        <w:t>值</w:t>
      </w:r>
      <w:r>
        <w:rPr>
          <w:spacing w:val="-1"/>
          <w:w w:val="99"/>
          <w:sz w:val="21"/>
        </w:rPr>
        <w:t>上</w:t>
      </w:r>
      <w:r>
        <w:rPr>
          <w:spacing w:val="1"/>
          <w:w w:val="99"/>
          <w:sz w:val="21"/>
        </w:rPr>
        <w:t>限</w:t>
      </w:r>
      <w:r>
        <w:rPr>
          <w:w w:val="99"/>
          <w:sz w:val="21"/>
        </w:rPr>
        <w:t>的</w:t>
      </w:r>
      <w:r>
        <w:rPr>
          <w:spacing w:val="-55"/>
          <w:sz w:val="21"/>
        </w:rPr>
        <w:t> </w:t>
      </w:r>
      <w:r>
        <w:rPr>
          <w:rFonts w:ascii="Times New Roman" w:eastAsia="Times New Roman"/>
          <w:spacing w:val="0"/>
          <w:w w:val="99"/>
          <w:sz w:val="21"/>
        </w:rPr>
        <w:t>12</w:t>
      </w:r>
      <w:r>
        <w:rPr>
          <w:rFonts w:ascii="Times New Roman" w:eastAsia="Times New Roman"/>
          <w:spacing w:val="-2"/>
          <w:w w:val="99"/>
          <w:sz w:val="21"/>
        </w:rPr>
        <w:t>0</w:t>
      </w:r>
      <w:r>
        <w:rPr>
          <w:spacing w:val="1"/>
          <w:w w:val="99"/>
          <w:sz w:val="21"/>
        </w:rPr>
        <w:t>％</w:t>
      </w:r>
      <w:r>
        <w:rPr>
          <w:spacing w:val="-29"/>
          <w:w w:val="99"/>
          <w:sz w:val="21"/>
        </w:rPr>
        <w:t>，</w:t>
      </w:r>
      <w:r>
        <w:rPr>
          <w:spacing w:val="1"/>
          <w:w w:val="99"/>
          <w:sz w:val="21"/>
        </w:rPr>
        <w:t>且</w:t>
      </w:r>
      <w:r>
        <w:rPr>
          <w:spacing w:val="-1"/>
          <w:w w:val="99"/>
          <w:sz w:val="21"/>
        </w:rPr>
        <w:t>左</w:t>
      </w:r>
      <w:r>
        <w:rPr>
          <w:spacing w:val="1"/>
          <w:w w:val="99"/>
          <w:sz w:val="21"/>
        </w:rPr>
        <w:t>室</w:t>
      </w:r>
      <w:r>
        <w:rPr>
          <w:spacing w:val="-1"/>
          <w:w w:val="99"/>
          <w:sz w:val="21"/>
        </w:rPr>
        <w:t>射</w:t>
      </w:r>
      <w:r>
        <w:rPr>
          <w:spacing w:val="1"/>
          <w:w w:val="99"/>
          <w:sz w:val="21"/>
        </w:rPr>
        <w:t>血</w:t>
      </w:r>
      <w:r>
        <w:rPr>
          <w:spacing w:val="-1"/>
          <w:w w:val="99"/>
          <w:sz w:val="21"/>
        </w:rPr>
        <w:t>分</w:t>
      </w:r>
      <w:r>
        <w:rPr>
          <w:spacing w:val="1"/>
          <w:w w:val="99"/>
          <w:sz w:val="21"/>
        </w:rPr>
        <w:t>数</w:t>
      </w:r>
      <w:r>
        <w:rPr>
          <w:spacing w:val="-1"/>
          <w:w w:val="99"/>
          <w:sz w:val="21"/>
        </w:rPr>
        <w:t>持</w:t>
      </w:r>
      <w:r>
        <w:rPr>
          <w:spacing w:val="1"/>
          <w:w w:val="99"/>
          <w:sz w:val="21"/>
        </w:rPr>
        <w:t>续</w:t>
      </w:r>
      <w:r>
        <w:rPr>
          <w:spacing w:val="-1"/>
          <w:w w:val="99"/>
          <w:sz w:val="21"/>
        </w:rPr>
        <w:t>性</w:t>
      </w:r>
      <w:r>
        <w:rPr>
          <w:spacing w:val="1"/>
          <w:w w:val="99"/>
          <w:sz w:val="21"/>
        </w:rPr>
        <w:t>低</w:t>
      </w:r>
      <w:r>
        <w:rPr>
          <w:w w:val="99"/>
          <w:sz w:val="21"/>
        </w:rPr>
        <w:t>于</w:t>
      </w:r>
      <w:r>
        <w:rPr>
          <w:spacing w:val="-53"/>
          <w:sz w:val="21"/>
        </w:rPr>
        <w:t> </w:t>
      </w:r>
      <w:r>
        <w:rPr>
          <w:rFonts w:ascii="Times New Roman" w:eastAsia="Times New Roman"/>
          <w:spacing w:val="0"/>
          <w:w w:val="99"/>
          <w:sz w:val="21"/>
        </w:rPr>
        <w:t>40</w:t>
      </w:r>
      <w:r>
        <w:rPr>
          <w:spacing w:val="-1"/>
          <w:w w:val="99"/>
          <w:sz w:val="21"/>
        </w:rPr>
        <w:t>％</w:t>
      </w:r>
      <w:r>
        <w:rPr>
          <w:spacing w:val="-101"/>
          <w:w w:val="99"/>
          <w:sz w:val="21"/>
        </w:rPr>
        <w:t>）</w:t>
      </w:r>
      <w:r>
        <w:rPr>
          <w:w w:val="99"/>
          <w:sz w:val="21"/>
        </w:rPr>
        <w:t>，</w:t>
      </w:r>
      <w:r>
        <w:rPr>
          <w:w w:val="95"/>
          <w:sz w:val="21"/>
        </w:rPr>
        <w:t>导致被保险人身体永久不可逆性受损</w:t>
      </w:r>
      <w:r>
        <w:rPr>
          <w:spacing w:val="-29"/>
          <w:w w:val="95"/>
          <w:sz w:val="21"/>
        </w:rPr>
        <w:t>，</w:t>
      </w:r>
      <w:r>
        <w:rPr>
          <w:w w:val="95"/>
          <w:sz w:val="21"/>
        </w:rPr>
        <w:t>达到美国纽约心脏病学会心</w:t>
      </w:r>
    </w:p>
    <w:p>
      <w:pPr>
        <w:spacing w:after="0" w:line="230" w:lineRule="auto"/>
        <w:jc w:val="left"/>
        <w:rPr>
          <w:sz w:val="21"/>
        </w:rPr>
        <w:sectPr>
          <w:type w:val="continuous"/>
          <w:pgSz w:w="12240" w:h="15840"/>
          <w:pgMar w:top="900" w:bottom="280" w:left="1700" w:right="1580"/>
        </w:sectPr>
      </w:pPr>
    </w:p>
    <w:p>
      <w:pPr>
        <w:pStyle w:val="BodyText"/>
        <w:spacing w:before="4"/>
        <w:ind w:left="2740"/>
      </w:pPr>
      <w:r>
        <w:rPr/>
        <w:t>功能状态分级 IV 级，且经包括超声心动图在内的相关检查证实。</w:t>
      </w:r>
    </w:p>
    <w:p>
      <w:pPr>
        <w:pStyle w:val="BodyText"/>
        <w:spacing w:before="58"/>
        <w:ind w:left="2732"/>
        <w:rPr>
          <w:rFonts w:ascii="黑体" w:eastAsia="黑体" w:hint="eastAsia"/>
        </w:rPr>
      </w:pPr>
      <w:r>
        <w:rPr>
          <w:rFonts w:ascii="黑体" w:eastAsia="黑体" w:hint="eastAsia"/>
          <w:w w:val="95"/>
        </w:rPr>
        <w:t>酗酒或滥用药物引起的心肌病不在保障范围内。</w:t>
      </w:r>
    </w:p>
    <w:p>
      <w:pPr>
        <w:pStyle w:val="BodyText"/>
        <w:spacing w:before="2"/>
        <w:rPr>
          <w:rFonts w:ascii="黑体"/>
          <w:sz w:val="27"/>
        </w:rPr>
      </w:pPr>
    </w:p>
    <w:p>
      <w:pPr>
        <w:spacing w:after="0"/>
        <w:rPr>
          <w:rFonts w:ascii="黑体"/>
          <w:sz w:val="27"/>
        </w:rPr>
        <w:sectPr>
          <w:pgSz w:w="12240" w:h="15840"/>
          <w:pgMar w:top="1400" w:bottom="280" w:left="1640" w:right="1620"/>
        </w:sectPr>
      </w:pPr>
    </w:p>
    <w:p>
      <w:pPr>
        <w:pStyle w:val="Heading2"/>
        <w:numPr>
          <w:ilvl w:val="1"/>
          <w:numId w:val="24"/>
        </w:numPr>
        <w:tabs>
          <w:tab w:pos="906" w:val="left" w:leader="none"/>
          <w:tab w:pos="907" w:val="left" w:leader="none"/>
        </w:tabs>
        <w:spacing w:line="273" w:lineRule="exact" w:before="34" w:after="0"/>
        <w:ind w:left="2740" w:right="0" w:hanging="2580"/>
        <w:jc w:val="left"/>
      </w:pPr>
      <w:r>
        <w:rPr>
          <w:w w:val="95"/>
        </w:rPr>
        <w:t>严重溃疡性结肠</w:t>
      </w:r>
    </w:p>
    <w:p>
      <w:pPr>
        <w:spacing w:line="273" w:lineRule="exact" w:before="0"/>
        <w:ind w:left="0" w:right="356" w:firstLine="0"/>
        <w:jc w:val="center"/>
        <w:rPr>
          <w:b/>
          <w:sz w:val="21"/>
        </w:rPr>
      </w:pPr>
      <w:r>
        <w:rPr>
          <w:b/>
          <w:w w:val="99"/>
          <w:sz w:val="21"/>
        </w:rPr>
        <w:t>炎</w:t>
      </w:r>
    </w:p>
    <w:p>
      <w:pPr>
        <w:pStyle w:val="BodyText"/>
        <w:spacing w:line="237" w:lineRule="auto" w:before="37"/>
        <w:ind w:left="160" w:right="180"/>
        <w:jc w:val="both"/>
      </w:pPr>
      <w:r>
        <w:rPr/>
        <w:br w:type="column"/>
      </w:r>
      <w:r>
        <w:rPr>
          <w:spacing w:val="-2"/>
          <w:w w:val="95"/>
        </w:rPr>
        <w:t>指伴有致命性电解质紊乱的急性暴发性溃疡性结肠炎，病变累及全  </w:t>
      </w:r>
      <w:r>
        <w:rPr>
          <w:spacing w:val="-6"/>
          <w:w w:val="95"/>
        </w:rPr>
        <w:t>结肠，表现为严重的血便和系统性症状体征，须根据组织病理学特  点诊断，并且被保险人已经接受了全结肠切除和回肠造瘘术。</w:t>
      </w:r>
    </w:p>
    <w:p>
      <w:pPr>
        <w:spacing w:after="0" w:line="237" w:lineRule="auto"/>
        <w:jc w:val="both"/>
        <w:sectPr>
          <w:type w:val="continuous"/>
          <w:pgSz w:w="12240" w:h="15840"/>
          <w:pgMar w:top="900" w:bottom="280" w:left="1640" w:right="1620"/>
          <w:cols w:num="2" w:equalWidth="0">
            <w:col w:w="2381" w:space="199"/>
            <w:col w:w="6400"/>
          </w:cols>
        </w:sectPr>
      </w:pPr>
    </w:p>
    <w:p>
      <w:pPr>
        <w:pStyle w:val="BodyText"/>
        <w:spacing w:before="2"/>
        <w:rPr>
          <w:sz w:val="27"/>
        </w:rPr>
      </w:pPr>
    </w:p>
    <w:p>
      <w:pPr>
        <w:spacing w:after="0"/>
        <w:rPr>
          <w:sz w:val="27"/>
        </w:rPr>
        <w:sectPr>
          <w:type w:val="continuous"/>
          <w:pgSz w:w="12240" w:h="15840"/>
          <w:pgMar w:top="900" w:bottom="280" w:left="1640" w:right="1620"/>
        </w:sectPr>
      </w:pPr>
    </w:p>
    <w:p>
      <w:pPr>
        <w:pStyle w:val="Heading2"/>
        <w:numPr>
          <w:ilvl w:val="1"/>
          <w:numId w:val="24"/>
        </w:numPr>
        <w:tabs>
          <w:tab w:pos="906" w:val="left" w:leader="none"/>
          <w:tab w:pos="907" w:val="left" w:leader="none"/>
        </w:tabs>
        <w:spacing w:line="237" w:lineRule="auto" w:before="37" w:after="0"/>
        <w:ind w:left="906" w:right="0" w:hanging="746"/>
        <w:jc w:val="left"/>
      </w:pPr>
      <w:r>
        <w:rPr>
          <w:w w:val="95"/>
        </w:rPr>
        <w:t>溶血性链球菌引起的坏疽</w:t>
      </w:r>
    </w:p>
    <w:p>
      <w:pPr>
        <w:pStyle w:val="BodyText"/>
        <w:spacing w:line="237" w:lineRule="auto" w:before="37"/>
        <w:ind w:left="160" w:right="180"/>
        <w:jc w:val="both"/>
      </w:pPr>
      <w:r>
        <w:rPr/>
        <w:br w:type="column"/>
      </w:r>
      <w:r>
        <w:rPr>
          <w:spacing w:val="-2"/>
          <w:w w:val="95"/>
        </w:rPr>
        <w:t>指包围肢体或躯干的浅筋膜或深筋膜受到溶血性链球菌的感染，病  </w:t>
      </w:r>
      <w:r>
        <w:rPr>
          <w:spacing w:val="-5"/>
          <w:w w:val="95"/>
        </w:rPr>
        <w:t>情在短时间内急剧恶化，且已经立刻进行了手术及清创术。最后的  诊断必须由微生物或病理学专家进行相关检查后证实。</w:t>
      </w:r>
    </w:p>
    <w:p>
      <w:pPr>
        <w:spacing w:after="0" w:line="237" w:lineRule="auto"/>
        <w:jc w:val="both"/>
        <w:sectPr>
          <w:type w:val="continuous"/>
          <w:pgSz w:w="12240" w:h="15840"/>
          <w:pgMar w:top="900" w:bottom="280" w:left="1640" w:right="1620"/>
          <w:cols w:num="2" w:equalWidth="0">
            <w:col w:w="2381" w:space="199"/>
            <w:col w:w="6400"/>
          </w:cols>
        </w:sectPr>
      </w:pPr>
    </w:p>
    <w:p>
      <w:pPr>
        <w:pStyle w:val="BodyText"/>
        <w:spacing w:before="2"/>
        <w:rPr>
          <w:sz w:val="27"/>
        </w:rPr>
      </w:pPr>
    </w:p>
    <w:p>
      <w:pPr>
        <w:pStyle w:val="ListParagraph"/>
        <w:numPr>
          <w:ilvl w:val="1"/>
          <w:numId w:val="24"/>
        </w:numPr>
        <w:tabs>
          <w:tab w:pos="906" w:val="left" w:leader="none"/>
          <w:tab w:pos="907" w:val="left" w:leader="none"/>
          <w:tab w:pos="2739" w:val="left" w:leader="none"/>
        </w:tabs>
        <w:spacing w:line="240" w:lineRule="auto" w:before="34" w:after="0"/>
        <w:ind w:left="2740" w:right="0" w:hanging="2580"/>
        <w:jc w:val="left"/>
        <w:rPr>
          <w:rFonts w:ascii="黑体" w:eastAsia="黑体" w:hint="eastAsia"/>
          <w:sz w:val="21"/>
        </w:rPr>
      </w:pPr>
      <w:r>
        <w:rPr>
          <w:b/>
          <w:sz w:val="21"/>
        </w:rPr>
        <w:t>坏死性筋膜炎</w:t>
        <w:tab/>
      </w:r>
      <w:r>
        <w:rPr>
          <w:w w:val="95"/>
          <w:sz w:val="21"/>
        </w:rPr>
        <w:t>坏死性筋膜炎的诊断</w:t>
      </w:r>
      <w:r>
        <w:rPr>
          <w:rFonts w:ascii="黑体" w:eastAsia="黑体" w:hint="eastAsia"/>
          <w:w w:val="95"/>
          <w:sz w:val="21"/>
        </w:rPr>
        <w:t>须满足下列全部条件：</w:t>
      </w:r>
    </w:p>
    <w:p>
      <w:pPr>
        <w:pStyle w:val="ListParagraph"/>
        <w:numPr>
          <w:ilvl w:val="0"/>
          <w:numId w:val="31"/>
        </w:numPr>
        <w:tabs>
          <w:tab w:pos="3474" w:val="left" w:leader="none"/>
          <w:tab w:pos="3475" w:val="left" w:leader="none"/>
        </w:tabs>
        <w:spacing w:line="240" w:lineRule="auto" w:before="58" w:after="0"/>
        <w:ind w:left="3474" w:right="0" w:hanging="734"/>
        <w:jc w:val="left"/>
        <w:rPr>
          <w:sz w:val="21"/>
        </w:rPr>
      </w:pPr>
      <w:r>
        <w:rPr>
          <w:w w:val="95"/>
          <w:sz w:val="21"/>
        </w:rPr>
        <w:t>符合坏死性筋膜炎的一般临床表现；</w:t>
      </w:r>
    </w:p>
    <w:p>
      <w:pPr>
        <w:pStyle w:val="ListParagraph"/>
        <w:numPr>
          <w:ilvl w:val="0"/>
          <w:numId w:val="31"/>
        </w:numPr>
        <w:tabs>
          <w:tab w:pos="3474" w:val="left" w:leader="none"/>
          <w:tab w:pos="3475" w:val="left" w:leader="none"/>
        </w:tabs>
        <w:spacing w:line="240" w:lineRule="auto" w:before="56" w:after="0"/>
        <w:ind w:left="3474" w:right="0" w:hanging="734"/>
        <w:jc w:val="left"/>
        <w:rPr>
          <w:sz w:val="21"/>
        </w:rPr>
      </w:pPr>
      <w:r>
        <w:rPr>
          <w:w w:val="95"/>
          <w:sz w:val="21"/>
        </w:rPr>
        <w:t>细菌培养检出致病菌；</w:t>
      </w:r>
    </w:p>
    <w:p>
      <w:pPr>
        <w:pStyle w:val="ListParagraph"/>
        <w:numPr>
          <w:ilvl w:val="0"/>
          <w:numId w:val="31"/>
        </w:numPr>
        <w:tabs>
          <w:tab w:pos="3474" w:val="left" w:leader="none"/>
          <w:tab w:pos="3475" w:val="left" w:leader="none"/>
        </w:tabs>
        <w:spacing w:line="237" w:lineRule="auto" w:before="61" w:after="0"/>
        <w:ind w:left="3474" w:right="254" w:hanging="734"/>
        <w:jc w:val="left"/>
        <w:rPr>
          <w:sz w:val="21"/>
        </w:rPr>
      </w:pPr>
      <w:r>
        <w:rPr>
          <w:w w:val="95"/>
          <w:sz w:val="21"/>
        </w:rPr>
        <w:t>出现广泛性肌肉及软组织坏死，并导致身体受影响部位功 能永久不可逆性丧失。</w:t>
      </w:r>
    </w:p>
    <w:p>
      <w:pPr>
        <w:pStyle w:val="BodyText"/>
        <w:spacing w:before="12"/>
        <w:rPr>
          <w:sz w:val="29"/>
        </w:rPr>
      </w:pPr>
    </w:p>
    <w:p>
      <w:pPr>
        <w:pStyle w:val="ListParagraph"/>
        <w:numPr>
          <w:ilvl w:val="1"/>
          <w:numId w:val="24"/>
        </w:numPr>
        <w:tabs>
          <w:tab w:pos="907" w:val="left" w:leader="none"/>
        </w:tabs>
        <w:spacing w:line="237" w:lineRule="auto" w:before="0" w:after="0"/>
        <w:ind w:left="2740" w:right="177" w:hanging="2580"/>
        <w:jc w:val="both"/>
        <w:rPr>
          <w:rFonts w:ascii="黑体" w:eastAsia="黑体" w:hint="eastAsia"/>
          <w:sz w:val="21"/>
        </w:rPr>
      </w:pPr>
      <w:r>
        <w:rPr>
          <w:b/>
          <w:w w:val="99"/>
          <w:sz w:val="21"/>
        </w:rPr>
        <w:t>系统性硬皮病</w:t>
      </w:r>
      <w:r>
        <w:rPr>
          <w:b/>
          <w:spacing w:val="7"/>
          <w:sz w:val="21"/>
        </w:rPr>
        <w:t>     </w:t>
      </w:r>
      <w:r>
        <w:rPr>
          <w:spacing w:val="1"/>
          <w:w w:val="99"/>
          <w:sz w:val="21"/>
        </w:rPr>
        <w:t>系统性硬皮病（须累及内脏器官</w:t>
      </w:r>
      <w:r>
        <w:rPr>
          <w:spacing w:val="-101"/>
          <w:w w:val="99"/>
          <w:sz w:val="21"/>
        </w:rPr>
        <w:t>）</w:t>
      </w:r>
      <w:r>
        <w:rPr>
          <w:spacing w:val="0"/>
          <w:w w:val="99"/>
          <w:sz w:val="21"/>
        </w:rPr>
        <w:t>，指一种以局限性或弥漫性皮肤</w:t>
      </w:r>
      <w:r>
        <w:rPr>
          <w:spacing w:val="-4"/>
          <w:w w:val="95"/>
          <w:sz w:val="21"/>
        </w:rPr>
        <w:t>增厚和皮肤、血管、内脏器官异常纤维化为特征的结缔组织病。</w:t>
      </w:r>
      <w:r>
        <w:rPr>
          <w:rFonts w:ascii="黑体" w:eastAsia="黑体" w:hint="eastAsia"/>
          <w:w w:val="95"/>
          <w:sz w:val="21"/>
        </w:rPr>
        <w:t>须  满足下列至少一项条件：</w:t>
      </w:r>
    </w:p>
    <w:p>
      <w:pPr>
        <w:pStyle w:val="ListParagraph"/>
        <w:numPr>
          <w:ilvl w:val="0"/>
          <w:numId w:val="32"/>
        </w:numPr>
        <w:tabs>
          <w:tab w:pos="3474" w:val="left" w:leader="none"/>
          <w:tab w:pos="3475" w:val="left" w:leader="none"/>
        </w:tabs>
        <w:spacing w:line="240" w:lineRule="auto" w:before="58" w:after="0"/>
        <w:ind w:left="3474" w:right="0" w:hanging="734"/>
        <w:jc w:val="left"/>
        <w:rPr>
          <w:sz w:val="21"/>
        </w:rPr>
      </w:pPr>
      <w:r>
        <w:rPr>
          <w:w w:val="95"/>
          <w:sz w:val="21"/>
        </w:rPr>
        <w:t>肺脏：肺部病变进而发展为肺间质纤维化和肺动脉高压；</w:t>
      </w:r>
    </w:p>
    <w:p>
      <w:pPr>
        <w:pStyle w:val="ListParagraph"/>
        <w:numPr>
          <w:ilvl w:val="0"/>
          <w:numId w:val="32"/>
        </w:numPr>
        <w:tabs>
          <w:tab w:pos="3474" w:val="left" w:leader="none"/>
          <w:tab w:pos="3475" w:val="left" w:leader="none"/>
        </w:tabs>
        <w:spacing w:line="237" w:lineRule="auto" w:before="59" w:after="0"/>
        <w:ind w:left="3474" w:right="180" w:hanging="734"/>
        <w:jc w:val="left"/>
        <w:rPr>
          <w:sz w:val="21"/>
        </w:rPr>
      </w:pPr>
      <w:r>
        <w:rPr>
          <w:spacing w:val="-11"/>
          <w:sz w:val="21"/>
        </w:rPr>
        <w:t>心脏：左室腔扩大至少达到正常值上限的 </w:t>
      </w:r>
      <w:r>
        <w:rPr>
          <w:spacing w:val="-8"/>
          <w:sz w:val="21"/>
        </w:rPr>
        <w:t>120</w:t>
      </w:r>
      <w:r>
        <w:rPr>
          <w:spacing w:val="-4"/>
          <w:sz w:val="21"/>
        </w:rPr>
        <w:t>％，且左室射</w:t>
      </w:r>
      <w:r>
        <w:rPr>
          <w:spacing w:val="-11"/>
          <w:sz w:val="21"/>
        </w:rPr>
        <w:t>血分数持续性低于 </w:t>
      </w:r>
      <w:r>
        <w:rPr>
          <w:sz w:val="21"/>
        </w:rPr>
        <w:t>40％；</w:t>
      </w:r>
    </w:p>
    <w:p>
      <w:pPr>
        <w:pStyle w:val="ListParagraph"/>
        <w:numPr>
          <w:ilvl w:val="0"/>
          <w:numId w:val="32"/>
        </w:numPr>
        <w:tabs>
          <w:tab w:pos="3474" w:val="left" w:leader="none"/>
          <w:tab w:pos="3475" w:val="left" w:leader="none"/>
        </w:tabs>
        <w:spacing w:line="237" w:lineRule="auto" w:before="61" w:after="0"/>
        <w:ind w:left="3474" w:right="254" w:hanging="734"/>
        <w:jc w:val="left"/>
        <w:rPr>
          <w:sz w:val="21"/>
        </w:rPr>
      </w:pPr>
      <w:r>
        <w:rPr>
          <w:w w:val="95"/>
          <w:sz w:val="21"/>
        </w:rPr>
        <w:t>肾脏：肾脏受损导致双肾功能慢性不可逆衰竭，达到尿毒 症期。</w:t>
      </w:r>
    </w:p>
    <w:p>
      <w:pPr>
        <w:pStyle w:val="BodyText"/>
        <w:spacing w:before="0"/>
        <w:rPr>
          <w:sz w:val="20"/>
        </w:rPr>
      </w:pPr>
    </w:p>
    <w:p>
      <w:pPr>
        <w:pStyle w:val="BodyText"/>
        <w:spacing w:before="10"/>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15"/>
        <w:gridCol w:w="6319"/>
      </w:tblGrid>
      <w:tr>
        <w:trPr>
          <w:trHeight w:val="982" w:hRule="atLeast"/>
        </w:trPr>
        <w:tc>
          <w:tcPr>
            <w:tcW w:w="635" w:type="dxa"/>
          </w:tcPr>
          <w:p>
            <w:pPr>
              <w:pStyle w:val="TableParagraph"/>
              <w:spacing w:line="209" w:lineRule="exact"/>
              <w:ind w:left="50"/>
              <w:rPr>
                <w:b/>
                <w:sz w:val="21"/>
              </w:rPr>
            </w:pPr>
            <w:r>
              <w:rPr>
                <w:b/>
                <w:sz w:val="21"/>
              </w:rPr>
              <w:t>9.42</w:t>
            </w:r>
          </w:p>
        </w:tc>
        <w:tc>
          <w:tcPr>
            <w:tcW w:w="1815" w:type="dxa"/>
          </w:tcPr>
          <w:p>
            <w:pPr>
              <w:pStyle w:val="TableParagraph"/>
              <w:spacing w:line="209" w:lineRule="exact"/>
              <w:ind w:left="161"/>
              <w:rPr>
                <w:b/>
                <w:sz w:val="21"/>
              </w:rPr>
            </w:pPr>
            <w:r>
              <w:rPr>
                <w:b/>
                <w:w w:val="95"/>
                <w:sz w:val="21"/>
              </w:rPr>
              <w:t>严重克隆病</w:t>
            </w:r>
          </w:p>
        </w:tc>
        <w:tc>
          <w:tcPr>
            <w:tcW w:w="6319" w:type="dxa"/>
          </w:tcPr>
          <w:p>
            <w:pPr>
              <w:pStyle w:val="TableParagraph"/>
              <w:spacing w:line="209" w:lineRule="exact"/>
              <w:ind w:left="180"/>
              <w:rPr>
                <w:sz w:val="21"/>
              </w:rPr>
            </w:pPr>
            <w:r>
              <w:rPr>
                <w:w w:val="95"/>
                <w:sz w:val="21"/>
              </w:rPr>
              <w:t>指一种慢性肉芽肿性肠炎，具有特征性的克隆病病理组织学变化，</w:t>
            </w:r>
          </w:p>
          <w:p>
            <w:pPr>
              <w:pStyle w:val="TableParagraph"/>
              <w:spacing w:line="237" w:lineRule="auto" w:before="2"/>
              <w:ind w:left="180" w:right="79"/>
              <w:rPr>
                <w:sz w:val="21"/>
              </w:rPr>
            </w:pPr>
            <w:r>
              <w:rPr>
                <w:spacing w:val="-3"/>
                <w:w w:val="95"/>
                <w:sz w:val="21"/>
              </w:rPr>
              <w:t>须由病理学检查结果证实，且已经造成瘘管形成并伴有肠梗阻或肠  穿孔。</w:t>
            </w:r>
          </w:p>
        </w:tc>
      </w:tr>
      <w:tr>
        <w:trPr>
          <w:trHeight w:val="709" w:hRule="atLeast"/>
        </w:trPr>
        <w:tc>
          <w:tcPr>
            <w:tcW w:w="635" w:type="dxa"/>
          </w:tcPr>
          <w:p>
            <w:pPr>
              <w:pStyle w:val="TableParagraph"/>
              <w:spacing w:before="163"/>
              <w:ind w:left="50"/>
              <w:rPr>
                <w:b/>
                <w:sz w:val="21"/>
              </w:rPr>
            </w:pPr>
            <w:r>
              <w:rPr>
                <w:b/>
                <w:sz w:val="21"/>
              </w:rPr>
              <w:t>9.43</w:t>
            </w:r>
          </w:p>
        </w:tc>
        <w:tc>
          <w:tcPr>
            <w:tcW w:w="1815" w:type="dxa"/>
          </w:tcPr>
          <w:p>
            <w:pPr>
              <w:pStyle w:val="TableParagraph"/>
              <w:spacing w:before="7"/>
              <w:rPr>
                <w:sz w:val="14"/>
              </w:rPr>
            </w:pPr>
          </w:p>
          <w:p>
            <w:pPr>
              <w:pStyle w:val="TableParagraph"/>
              <w:spacing w:line="272" w:lineRule="exact" w:before="1"/>
              <w:ind w:left="161" w:right="177"/>
              <w:rPr>
                <w:b/>
                <w:sz w:val="21"/>
              </w:rPr>
            </w:pPr>
            <w:r>
              <w:rPr>
                <w:b/>
                <w:w w:val="95"/>
                <w:sz w:val="21"/>
              </w:rPr>
              <w:t>进行性核上性麻</w:t>
            </w:r>
            <w:r>
              <w:rPr>
                <w:b/>
                <w:sz w:val="21"/>
              </w:rPr>
              <w:t>痹</w:t>
            </w:r>
          </w:p>
        </w:tc>
        <w:tc>
          <w:tcPr>
            <w:tcW w:w="6319" w:type="dxa"/>
          </w:tcPr>
          <w:p>
            <w:pPr>
              <w:pStyle w:val="TableParagraph"/>
              <w:spacing w:before="7"/>
              <w:rPr>
                <w:sz w:val="14"/>
              </w:rPr>
            </w:pPr>
          </w:p>
          <w:p>
            <w:pPr>
              <w:pStyle w:val="TableParagraph"/>
              <w:spacing w:line="272" w:lineRule="exact" w:before="1"/>
              <w:ind w:left="180" w:right="79"/>
              <w:rPr>
                <w:sz w:val="21"/>
              </w:rPr>
            </w:pPr>
            <w:r>
              <w:rPr>
                <w:spacing w:val="-3"/>
                <w:w w:val="95"/>
                <w:sz w:val="21"/>
              </w:rPr>
              <w:t>指一种隐袭起病、逐渐加重的神经系统变性疾病，且满足如下临床  特征：</w:t>
            </w:r>
          </w:p>
        </w:tc>
      </w:tr>
    </w:tbl>
    <w:p>
      <w:pPr>
        <w:pStyle w:val="ListParagraph"/>
        <w:numPr>
          <w:ilvl w:val="0"/>
          <w:numId w:val="33"/>
        </w:numPr>
        <w:tabs>
          <w:tab w:pos="3474" w:val="left" w:leader="none"/>
          <w:tab w:pos="3475" w:val="left" w:leader="none"/>
        </w:tabs>
        <w:spacing w:line="240" w:lineRule="auto" w:before="56" w:after="0"/>
        <w:ind w:left="3474" w:right="0" w:hanging="734"/>
        <w:jc w:val="left"/>
        <w:rPr>
          <w:sz w:val="21"/>
        </w:rPr>
      </w:pPr>
      <w:r>
        <w:rPr>
          <w:w w:val="95"/>
          <w:sz w:val="21"/>
        </w:rPr>
        <w:t>步态共济失调；</w:t>
      </w:r>
    </w:p>
    <w:p>
      <w:pPr>
        <w:pStyle w:val="ListParagraph"/>
        <w:numPr>
          <w:ilvl w:val="0"/>
          <w:numId w:val="33"/>
        </w:numPr>
        <w:tabs>
          <w:tab w:pos="3474" w:val="left" w:leader="none"/>
          <w:tab w:pos="3475" w:val="left" w:leader="none"/>
        </w:tabs>
        <w:spacing w:line="240" w:lineRule="auto" w:before="58" w:after="0"/>
        <w:ind w:left="3474" w:right="0" w:hanging="734"/>
        <w:jc w:val="left"/>
        <w:rPr>
          <w:sz w:val="21"/>
        </w:rPr>
      </w:pPr>
      <w:r>
        <w:rPr>
          <w:w w:val="95"/>
          <w:sz w:val="21"/>
        </w:rPr>
        <w:t>对称性眼球垂直运动障碍；</w:t>
      </w:r>
    </w:p>
    <w:p>
      <w:pPr>
        <w:pStyle w:val="ListParagraph"/>
        <w:numPr>
          <w:ilvl w:val="0"/>
          <w:numId w:val="33"/>
        </w:numPr>
        <w:tabs>
          <w:tab w:pos="3474" w:val="left" w:leader="none"/>
          <w:tab w:pos="3475" w:val="left" w:leader="none"/>
        </w:tabs>
        <w:spacing w:line="240" w:lineRule="auto" w:before="56" w:after="0"/>
        <w:ind w:left="3474" w:right="0" w:hanging="734"/>
        <w:jc w:val="left"/>
        <w:rPr>
          <w:sz w:val="21"/>
        </w:rPr>
      </w:pPr>
      <w:r>
        <w:rPr>
          <w:w w:val="95"/>
          <w:sz w:val="21"/>
        </w:rPr>
        <w:t>假性球麻痹（构音障碍和吞咽困难</w:t>
      </w:r>
      <w:r>
        <w:rPr>
          <w:spacing w:val="-104"/>
          <w:w w:val="95"/>
          <w:sz w:val="21"/>
        </w:rPr>
        <w:t>）</w:t>
      </w:r>
      <w:r>
        <w:rPr>
          <w:w w:val="95"/>
          <w:sz w:val="21"/>
        </w:rPr>
        <w:t>。</w:t>
      </w:r>
    </w:p>
    <w:p>
      <w:pPr>
        <w:pStyle w:val="BodyText"/>
        <w:spacing w:before="2"/>
        <w:rPr>
          <w:sz w:val="27"/>
        </w:rPr>
      </w:pPr>
    </w:p>
    <w:p>
      <w:pPr>
        <w:spacing w:after="0"/>
        <w:rPr>
          <w:sz w:val="27"/>
        </w:rPr>
        <w:sectPr>
          <w:type w:val="continuous"/>
          <w:pgSz w:w="12240" w:h="15840"/>
          <w:pgMar w:top="900" w:bottom="280" w:left="1640" w:right="1620"/>
        </w:sectPr>
      </w:pPr>
    </w:p>
    <w:p>
      <w:pPr>
        <w:pStyle w:val="Heading2"/>
        <w:numPr>
          <w:ilvl w:val="1"/>
          <w:numId w:val="34"/>
        </w:numPr>
        <w:tabs>
          <w:tab w:pos="906" w:val="left" w:leader="none"/>
          <w:tab w:pos="907" w:val="left" w:leader="none"/>
        </w:tabs>
        <w:spacing w:line="274" w:lineRule="exact" w:before="34" w:after="0"/>
        <w:ind w:left="906" w:right="0" w:hanging="746"/>
        <w:jc w:val="left"/>
      </w:pPr>
      <w:r>
        <w:rPr>
          <w:w w:val="95"/>
        </w:rPr>
        <w:t>非阿尔茨海默病</w:t>
      </w:r>
    </w:p>
    <w:p>
      <w:pPr>
        <w:spacing w:line="274" w:lineRule="exact" w:before="0"/>
        <w:ind w:left="906" w:right="0" w:firstLine="0"/>
        <w:jc w:val="left"/>
        <w:rPr>
          <w:b/>
          <w:sz w:val="21"/>
        </w:rPr>
      </w:pPr>
      <w:r>
        <w:rPr>
          <w:b/>
          <w:w w:val="95"/>
          <w:sz w:val="21"/>
        </w:rPr>
        <w:t>所致严重痴呆</w:t>
      </w:r>
    </w:p>
    <w:p>
      <w:pPr>
        <w:pStyle w:val="BodyText"/>
        <w:spacing w:line="237" w:lineRule="auto" w:before="37"/>
        <w:ind w:left="160" w:right="150"/>
        <w:jc w:val="both"/>
      </w:pPr>
      <w:r>
        <w:rPr/>
        <w:br w:type="column"/>
      </w:r>
      <w:r>
        <w:rPr>
          <w:spacing w:val="5"/>
        </w:rPr>
        <w:t>指因阿尔茨海默病以外的脑的器质性疾病造成脑功能衰竭导致永</w:t>
      </w:r>
      <w:r>
        <w:rPr>
          <w:spacing w:val="-1"/>
        </w:rPr>
        <w:t>久不可逆性严重痴呆，临床表现为明显的认知能力障碍、行为异常</w:t>
      </w:r>
      <w:r>
        <w:rPr>
          <w:spacing w:val="-4"/>
        </w:rPr>
        <w:t>和社交能力减退。被保险人自主生活能力完全丧失，无法独立完成</w:t>
      </w:r>
      <w:r>
        <w:rPr>
          <w:spacing w:val="-6"/>
        </w:rPr>
        <w:t>六项基本日常生活活动中的三项或三项以上，日常生活必须持续受</w:t>
      </w:r>
      <w:r>
        <w:rPr>
          <w:spacing w:val="-6"/>
          <w:w w:val="95"/>
        </w:rPr>
        <w:t>到他人监护。导致痴呆的疾病必须明确诊断，并且由完整的临床、  实验室和影像学检查结果证实。</w:t>
      </w:r>
    </w:p>
    <w:p>
      <w:pPr>
        <w:spacing w:after="0" w:line="237" w:lineRule="auto"/>
        <w:jc w:val="both"/>
        <w:sectPr>
          <w:type w:val="continuous"/>
          <w:pgSz w:w="12240" w:h="15840"/>
          <w:pgMar w:top="900" w:bottom="280" w:left="1640" w:right="1620"/>
          <w:cols w:num="2" w:equalWidth="0">
            <w:col w:w="2381" w:space="199"/>
            <w:col w:w="6400"/>
          </w:cols>
        </w:sectPr>
      </w:pPr>
    </w:p>
    <w:p>
      <w:pPr>
        <w:pStyle w:val="BodyText"/>
        <w:spacing w:before="4"/>
        <w:rPr>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15"/>
        <w:gridCol w:w="6290"/>
      </w:tblGrid>
      <w:tr>
        <w:trPr>
          <w:trHeight w:val="436"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90" w:type="dxa"/>
          </w:tcPr>
          <w:p>
            <w:pPr>
              <w:pStyle w:val="TableParagraph"/>
              <w:spacing w:line="209" w:lineRule="exact"/>
              <w:ind w:left="180"/>
              <w:rPr>
                <w:rFonts w:ascii="黑体" w:eastAsia="黑体" w:hint="eastAsia"/>
                <w:sz w:val="21"/>
              </w:rPr>
            </w:pPr>
            <w:r>
              <w:rPr>
                <w:rFonts w:ascii="黑体" w:eastAsia="黑体" w:hint="eastAsia"/>
                <w:w w:val="95"/>
                <w:sz w:val="21"/>
              </w:rPr>
              <w:t>神经官能症，精神疾病及酒精中毒所致脑损害不在保障范围内。</w:t>
            </w:r>
          </w:p>
        </w:tc>
      </w:tr>
      <w:tr>
        <w:trPr>
          <w:trHeight w:val="1209" w:hRule="atLeast"/>
        </w:trPr>
        <w:tc>
          <w:tcPr>
            <w:tcW w:w="635" w:type="dxa"/>
          </w:tcPr>
          <w:p>
            <w:pPr>
              <w:pStyle w:val="TableParagraph"/>
              <w:spacing w:before="162"/>
              <w:ind w:left="50"/>
              <w:rPr>
                <w:b/>
                <w:sz w:val="21"/>
              </w:rPr>
            </w:pPr>
            <w:r>
              <w:rPr>
                <w:b/>
                <w:sz w:val="21"/>
              </w:rPr>
              <w:t>9.45</w:t>
            </w:r>
          </w:p>
        </w:tc>
        <w:tc>
          <w:tcPr>
            <w:tcW w:w="1815" w:type="dxa"/>
          </w:tcPr>
          <w:p>
            <w:pPr>
              <w:pStyle w:val="TableParagraph"/>
              <w:spacing w:line="237" w:lineRule="auto" w:before="165"/>
              <w:ind w:left="161" w:right="177"/>
              <w:rPr>
                <w:b/>
                <w:sz w:val="21"/>
              </w:rPr>
            </w:pPr>
            <w:r>
              <w:rPr>
                <w:b/>
                <w:w w:val="95"/>
                <w:sz w:val="21"/>
              </w:rPr>
              <w:t>肺泡蛋白质沉积</w:t>
            </w:r>
            <w:r>
              <w:rPr>
                <w:b/>
                <w:sz w:val="21"/>
              </w:rPr>
              <w:t>症</w:t>
            </w:r>
          </w:p>
        </w:tc>
        <w:tc>
          <w:tcPr>
            <w:tcW w:w="6290" w:type="dxa"/>
          </w:tcPr>
          <w:p>
            <w:pPr>
              <w:pStyle w:val="TableParagraph"/>
              <w:spacing w:line="237" w:lineRule="auto" w:before="165"/>
              <w:ind w:left="180" w:right="50"/>
              <w:rPr>
                <w:sz w:val="21"/>
              </w:rPr>
            </w:pPr>
            <w:r>
              <w:rPr>
                <w:spacing w:val="-4"/>
                <w:sz w:val="21"/>
              </w:rPr>
              <w:t>指肺泡和细支气管腔内充满不可溶性富磷脂蛋白的疾病，胸部 </w:t>
            </w:r>
            <w:r>
              <w:rPr>
                <w:sz w:val="21"/>
              </w:rPr>
              <w:t>X</w:t>
            </w:r>
            <w:r>
              <w:rPr>
                <w:spacing w:val="-31"/>
                <w:sz w:val="21"/>
              </w:rPr>
              <w:t> 线</w:t>
            </w:r>
            <w:r>
              <w:rPr>
                <w:spacing w:val="-21"/>
                <w:w w:val="95"/>
                <w:sz w:val="21"/>
              </w:rPr>
              <w:t>呈双肺弥漫性肺部磨玻璃影，病理学检查肺泡内充满有过碘酸雪夫</w:t>
            </w:r>
          </w:p>
          <w:p>
            <w:pPr>
              <w:pStyle w:val="TableParagraph"/>
              <w:spacing w:line="274" w:lineRule="exact"/>
              <w:ind w:left="180"/>
              <w:rPr>
                <w:sz w:val="21"/>
              </w:rPr>
            </w:pPr>
            <w:r>
              <w:rPr>
                <w:w w:val="95"/>
                <w:sz w:val="21"/>
              </w:rPr>
              <w:t>（PAS）染色阳性的蛋白样物质，并且接受了肺灌洗治疗。</w:t>
            </w:r>
          </w:p>
        </w:tc>
      </w:tr>
      <w:tr>
        <w:trPr>
          <w:trHeight w:val="1316" w:hRule="atLeast"/>
        </w:trPr>
        <w:tc>
          <w:tcPr>
            <w:tcW w:w="635" w:type="dxa"/>
          </w:tcPr>
          <w:p>
            <w:pPr>
              <w:pStyle w:val="TableParagraph"/>
              <w:spacing w:before="162"/>
              <w:ind w:left="50"/>
              <w:rPr>
                <w:b/>
                <w:sz w:val="21"/>
              </w:rPr>
            </w:pPr>
            <w:r>
              <w:rPr>
                <w:b/>
                <w:sz w:val="21"/>
              </w:rPr>
              <w:t>9.46</w:t>
            </w:r>
          </w:p>
        </w:tc>
        <w:tc>
          <w:tcPr>
            <w:tcW w:w="1815" w:type="dxa"/>
          </w:tcPr>
          <w:p>
            <w:pPr>
              <w:pStyle w:val="TableParagraph"/>
              <w:spacing w:before="162"/>
              <w:ind w:left="161" w:right="177"/>
              <w:rPr>
                <w:b/>
                <w:sz w:val="21"/>
              </w:rPr>
            </w:pPr>
            <w:r>
              <w:rPr>
                <w:b/>
                <w:w w:val="95"/>
                <w:sz w:val="21"/>
              </w:rPr>
              <w:t>严重慢性复发性胰腺炎</w:t>
            </w:r>
          </w:p>
        </w:tc>
        <w:tc>
          <w:tcPr>
            <w:tcW w:w="6290" w:type="dxa"/>
          </w:tcPr>
          <w:p>
            <w:pPr>
              <w:pStyle w:val="TableParagraph"/>
              <w:spacing w:line="237" w:lineRule="auto" w:before="165"/>
              <w:ind w:left="180" w:right="47"/>
              <w:jc w:val="both"/>
              <w:rPr>
                <w:sz w:val="21"/>
              </w:rPr>
            </w:pPr>
            <w:r>
              <w:rPr>
                <w:spacing w:val="-2"/>
                <w:w w:val="95"/>
                <w:sz w:val="21"/>
              </w:rPr>
              <w:t>指有腹痛等典型症状的胰腺炎反复发作，导致胰腺进行性破坏，并 </w:t>
            </w:r>
            <w:r>
              <w:rPr>
                <w:spacing w:val="-8"/>
                <w:sz w:val="21"/>
              </w:rPr>
              <w:t>导致胰腺功能紊乱而导致严重糖尿病以及营养不良、恶液质。</w:t>
            </w:r>
            <w:r>
              <w:rPr>
                <w:sz w:val="21"/>
              </w:rPr>
              <w:t>CT</w:t>
            </w:r>
            <w:r>
              <w:rPr>
                <w:spacing w:val="-7"/>
                <w:sz w:val="21"/>
              </w:rPr>
              <w:t> 检</w:t>
            </w:r>
            <w:r>
              <w:rPr>
                <w:spacing w:val="-9"/>
                <w:w w:val="95"/>
                <w:sz w:val="21"/>
              </w:rPr>
              <w:t>查证实胰腺存在广泛钙化，且必须接受酶替代以及胰岛素替代治疗</w:t>
            </w:r>
          </w:p>
          <w:p>
            <w:pPr>
              <w:pStyle w:val="TableParagraph"/>
              <w:spacing w:line="274" w:lineRule="exact"/>
              <w:ind w:left="180"/>
              <w:jc w:val="both"/>
              <w:rPr>
                <w:sz w:val="21"/>
              </w:rPr>
            </w:pPr>
            <w:r>
              <w:rPr>
                <w:sz w:val="21"/>
              </w:rPr>
              <w:t>6 个月以上。诊断必须由消化科专科医生确诊。</w:t>
            </w:r>
          </w:p>
        </w:tc>
      </w:tr>
      <w:tr>
        <w:trPr>
          <w:trHeight w:val="497" w:hRule="atLeast"/>
        </w:trPr>
        <w:tc>
          <w:tcPr>
            <w:tcW w:w="635" w:type="dxa"/>
          </w:tcPr>
          <w:p>
            <w:pPr>
              <w:pStyle w:val="TableParagraph"/>
              <w:rPr>
                <w:rFonts w:ascii="Times New Roman"/>
                <w:sz w:val="20"/>
              </w:rPr>
            </w:pPr>
          </w:p>
        </w:tc>
        <w:tc>
          <w:tcPr>
            <w:tcW w:w="1815" w:type="dxa"/>
          </w:tcPr>
          <w:p>
            <w:pPr>
              <w:pStyle w:val="TableParagraph"/>
              <w:rPr>
                <w:rFonts w:ascii="Times New Roman"/>
                <w:sz w:val="20"/>
              </w:rPr>
            </w:pPr>
          </w:p>
        </w:tc>
        <w:tc>
          <w:tcPr>
            <w:tcW w:w="6290" w:type="dxa"/>
          </w:tcPr>
          <w:p>
            <w:pPr>
              <w:pStyle w:val="TableParagraph"/>
              <w:spacing w:line="270" w:lineRule="exact"/>
              <w:ind w:left="180"/>
              <w:rPr>
                <w:rFonts w:ascii="黑体" w:eastAsia="黑体" w:hint="eastAsia"/>
                <w:sz w:val="21"/>
              </w:rPr>
            </w:pPr>
            <w:r>
              <w:rPr>
                <w:rFonts w:ascii="黑体" w:eastAsia="黑体" w:hint="eastAsia"/>
                <w:w w:val="95"/>
                <w:sz w:val="21"/>
              </w:rPr>
              <w:t>酒精导致的慢性复发性胰腺炎不在保障范围内。</w:t>
            </w:r>
          </w:p>
        </w:tc>
      </w:tr>
      <w:tr>
        <w:trPr>
          <w:trHeight w:val="937" w:hRule="atLeast"/>
        </w:trPr>
        <w:tc>
          <w:tcPr>
            <w:tcW w:w="635" w:type="dxa"/>
          </w:tcPr>
          <w:p>
            <w:pPr>
              <w:pStyle w:val="TableParagraph"/>
              <w:spacing w:before="162"/>
              <w:ind w:left="50"/>
              <w:rPr>
                <w:b/>
                <w:sz w:val="21"/>
              </w:rPr>
            </w:pPr>
            <w:r>
              <w:rPr>
                <w:b/>
                <w:sz w:val="21"/>
              </w:rPr>
              <w:t>9.47</w:t>
            </w:r>
          </w:p>
        </w:tc>
        <w:tc>
          <w:tcPr>
            <w:tcW w:w="1815" w:type="dxa"/>
          </w:tcPr>
          <w:p>
            <w:pPr>
              <w:pStyle w:val="TableParagraph"/>
              <w:spacing w:before="162"/>
              <w:ind w:left="161"/>
              <w:rPr>
                <w:b/>
                <w:sz w:val="21"/>
              </w:rPr>
            </w:pPr>
            <w:r>
              <w:rPr>
                <w:b/>
                <w:w w:val="95"/>
                <w:sz w:val="21"/>
              </w:rPr>
              <w:t>严重面部烧伤</w:t>
            </w:r>
          </w:p>
        </w:tc>
        <w:tc>
          <w:tcPr>
            <w:tcW w:w="6290" w:type="dxa"/>
          </w:tcPr>
          <w:p>
            <w:pPr>
              <w:pStyle w:val="TableParagraph"/>
              <w:spacing w:line="273" w:lineRule="exact" w:before="162"/>
              <w:ind w:left="180"/>
              <w:rPr>
                <w:sz w:val="21"/>
              </w:rPr>
            </w:pPr>
            <w:r>
              <w:rPr>
                <w:sz w:val="21"/>
              </w:rPr>
              <w:t>指烧伤程度为Ⅲ度，且Ⅲ度烧伤的面积达到面部表面积的 80％或</w:t>
            </w:r>
          </w:p>
          <w:p>
            <w:pPr>
              <w:pStyle w:val="TableParagraph"/>
              <w:spacing w:line="273" w:lineRule="exact"/>
              <w:ind w:left="180"/>
              <w:rPr>
                <w:sz w:val="21"/>
              </w:rPr>
            </w:pPr>
            <w:r>
              <w:rPr>
                <w:w w:val="95"/>
                <w:sz w:val="21"/>
              </w:rPr>
              <w:t>80％以上。</w:t>
            </w:r>
          </w:p>
        </w:tc>
      </w:tr>
      <w:tr>
        <w:trPr>
          <w:trHeight w:val="980" w:hRule="atLeast"/>
        </w:trPr>
        <w:tc>
          <w:tcPr>
            <w:tcW w:w="635" w:type="dxa"/>
          </w:tcPr>
          <w:p>
            <w:pPr>
              <w:pStyle w:val="TableParagraph"/>
              <w:spacing w:before="163"/>
              <w:ind w:left="50"/>
              <w:rPr>
                <w:b/>
                <w:sz w:val="21"/>
              </w:rPr>
            </w:pPr>
            <w:r>
              <w:rPr>
                <w:b/>
                <w:sz w:val="21"/>
              </w:rPr>
              <w:t>9.48</w:t>
            </w:r>
          </w:p>
        </w:tc>
        <w:tc>
          <w:tcPr>
            <w:tcW w:w="1815" w:type="dxa"/>
          </w:tcPr>
          <w:p>
            <w:pPr>
              <w:pStyle w:val="TableParagraph"/>
              <w:spacing w:before="7"/>
              <w:rPr>
                <w:sz w:val="14"/>
              </w:rPr>
            </w:pPr>
          </w:p>
          <w:p>
            <w:pPr>
              <w:pStyle w:val="TableParagraph"/>
              <w:spacing w:line="272" w:lineRule="exact" w:before="1"/>
              <w:ind w:left="161" w:right="177"/>
              <w:jc w:val="both"/>
              <w:rPr>
                <w:b/>
                <w:sz w:val="21"/>
              </w:rPr>
            </w:pPr>
            <w:r>
              <w:rPr>
                <w:b/>
                <w:w w:val="95"/>
                <w:sz w:val="21"/>
              </w:rPr>
              <w:t>因职业关系导致的感染艾滋病病毒或者患艾滋病</w:t>
            </w:r>
          </w:p>
        </w:tc>
        <w:tc>
          <w:tcPr>
            <w:tcW w:w="6290" w:type="dxa"/>
          </w:tcPr>
          <w:p>
            <w:pPr>
              <w:pStyle w:val="TableParagraph"/>
              <w:spacing w:before="7"/>
              <w:rPr>
                <w:sz w:val="14"/>
              </w:rPr>
            </w:pPr>
          </w:p>
          <w:p>
            <w:pPr>
              <w:pStyle w:val="TableParagraph"/>
              <w:spacing w:line="272" w:lineRule="exact" w:before="1"/>
              <w:ind w:left="180" w:right="50"/>
              <w:jc w:val="both"/>
              <w:rPr>
                <w:rFonts w:ascii="黑体" w:eastAsia="黑体" w:hint="eastAsia"/>
                <w:sz w:val="21"/>
              </w:rPr>
            </w:pPr>
            <w:r>
              <w:rPr>
                <w:spacing w:val="-2"/>
                <w:w w:val="95"/>
                <w:sz w:val="21"/>
              </w:rPr>
              <w:t>被保险人在其常规职业工作过程中遭遇外伤，或职业需要处理血液  </w:t>
            </w:r>
            <w:r>
              <w:rPr>
                <w:spacing w:val="-4"/>
                <w:w w:val="95"/>
                <w:sz w:val="21"/>
              </w:rPr>
              <w:t>或其他体液时感染上艾滋病病毒或者患上艾滋病。</w:t>
            </w:r>
            <w:r>
              <w:rPr>
                <w:rFonts w:ascii="黑体" w:eastAsia="黑体" w:hint="eastAsia"/>
                <w:w w:val="95"/>
                <w:sz w:val="21"/>
              </w:rPr>
              <w:t>且满足下列全部  条件：</w:t>
            </w:r>
          </w:p>
        </w:tc>
      </w:tr>
    </w:tbl>
    <w:p>
      <w:pPr>
        <w:pStyle w:val="ListParagraph"/>
        <w:numPr>
          <w:ilvl w:val="2"/>
          <w:numId w:val="34"/>
        </w:numPr>
        <w:tabs>
          <w:tab w:pos="3475" w:val="left" w:leader="none"/>
        </w:tabs>
        <w:spacing w:line="237" w:lineRule="auto" w:before="61" w:after="0"/>
        <w:ind w:left="3474" w:right="157" w:hanging="734"/>
        <w:jc w:val="both"/>
        <w:rPr>
          <w:rFonts w:ascii="黑体" w:eastAsia="黑体" w:hint="eastAsia"/>
          <w:sz w:val="21"/>
        </w:rPr>
      </w:pPr>
      <w:r>
        <w:rPr>
          <w:sz w:val="21"/>
        </w:rPr>
        <w:t>感染必须是在被保险人正在从事其职业工作中发生，该职</w:t>
      </w:r>
      <w:r>
        <w:rPr>
          <w:spacing w:val="-2"/>
          <w:w w:val="95"/>
          <w:sz w:val="21"/>
        </w:rPr>
        <w:t>业必须属于下列职业之一:医生和牙科医生、护士、实验室 </w:t>
      </w:r>
      <w:r>
        <w:rPr>
          <w:sz w:val="21"/>
        </w:rPr>
        <w:t>工作人员、医院护工、医生助理和牙医助理、救护车工作</w:t>
      </w:r>
      <w:r>
        <w:rPr>
          <w:w w:val="95"/>
          <w:sz w:val="21"/>
        </w:rPr>
        <w:t>人员、助产士。</w:t>
      </w:r>
      <w:r>
        <w:rPr>
          <w:rFonts w:ascii="黑体" w:eastAsia="黑体" w:hint="eastAsia"/>
          <w:w w:val="95"/>
          <w:sz w:val="21"/>
        </w:rPr>
        <w:t>其他职业不在保障范围内。</w:t>
      </w:r>
    </w:p>
    <w:p>
      <w:pPr>
        <w:pStyle w:val="ListParagraph"/>
        <w:numPr>
          <w:ilvl w:val="2"/>
          <w:numId w:val="34"/>
        </w:numPr>
        <w:tabs>
          <w:tab w:pos="3475" w:val="left" w:leader="none"/>
        </w:tabs>
        <w:spacing w:line="237" w:lineRule="auto" w:before="61" w:after="0"/>
        <w:ind w:left="3474" w:right="160" w:hanging="734"/>
        <w:jc w:val="both"/>
        <w:rPr>
          <w:sz w:val="21"/>
        </w:rPr>
      </w:pPr>
      <w:r>
        <w:rPr>
          <w:spacing w:val="5"/>
          <w:sz w:val="21"/>
        </w:rPr>
        <w:t>必须提供被保险人在所报事故发生后的 </w:t>
      </w:r>
      <w:r>
        <w:rPr>
          <w:sz w:val="21"/>
        </w:rPr>
        <w:t>5</w:t>
      </w:r>
      <w:r>
        <w:rPr>
          <w:spacing w:val="5"/>
          <w:sz w:val="21"/>
        </w:rPr>
        <w:t> 天以内进行的</w:t>
      </w:r>
      <w:r>
        <w:rPr>
          <w:spacing w:val="-3"/>
          <w:sz w:val="21"/>
        </w:rPr>
        <w:t>检查报告，该报告必须显示被保险人血液 </w:t>
      </w:r>
      <w:r>
        <w:rPr>
          <w:sz w:val="21"/>
        </w:rPr>
        <w:t>HIV</w:t>
      </w:r>
      <w:r>
        <w:rPr>
          <w:spacing w:val="-3"/>
          <w:sz w:val="21"/>
        </w:rPr>
        <w:t> 病毒阴性和</w:t>
      </w:r>
    </w:p>
    <w:p>
      <w:pPr>
        <w:pStyle w:val="BodyText"/>
        <w:spacing w:line="274" w:lineRule="exact" w:before="0"/>
        <w:ind w:left="3474"/>
      </w:pPr>
      <w:r>
        <w:rPr/>
        <w:t>/或 HIV 抗体阴性；</w:t>
      </w:r>
    </w:p>
    <w:p>
      <w:pPr>
        <w:pStyle w:val="ListParagraph"/>
        <w:numPr>
          <w:ilvl w:val="2"/>
          <w:numId w:val="34"/>
        </w:numPr>
        <w:tabs>
          <w:tab w:pos="3474" w:val="left" w:leader="none"/>
          <w:tab w:pos="3475" w:val="left" w:leader="none"/>
        </w:tabs>
        <w:spacing w:line="273" w:lineRule="exact" w:before="56" w:after="0"/>
        <w:ind w:left="3474" w:right="0" w:hanging="734"/>
        <w:jc w:val="left"/>
        <w:rPr>
          <w:sz w:val="21"/>
        </w:rPr>
      </w:pPr>
      <w:r>
        <w:rPr>
          <w:spacing w:val="13"/>
          <w:sz w:val="21"/>
        </w:rPr>
        <w:t>必须在事故发生后的 </w:t>
      </w:r>
      <w:r>
        <w:rPr>
          <w:sz w:val="21"/>
        </w:rPr>
        <w:t>6</w:t>
      </w:r>
      <w:r>
        <w:rPr>
          <w:spacing w:val="12"/>
          <w:sz w:val="21"/>
        </w:rPr>
        <w:t> 个月内证实被保险人体内存在</w:t>
      </w:r>
    </w:p>
    <w:p>
      <w:pPr>
        <w:pStyle w:val="BodyText"/>
        <w:spacing w:before="0"/>
        <w:ind w:left="3474" w:right="102"/>
      </w:pPr>
      <w:r>
        <w:rPr/>
        <w:t>HIV 病毒或者 HIV 抗体，即血液 HIV 病毒阳性和/或 HIV </w:t>
      </w:r>
      <w:r>
        <w:rPr>
          <w:w w:val="95"/>
        </w:rPr>
        <w:t>抗体阳性。</w:t>
      </w:r>
    </w:p>
    <w:p>
      <w:pPr>
        <w:pStyle w:val="BodyText"/>
        <w:spacing w:before="4"/>
        <w:rPr>
          <w:sz w:val="27"/>
        </w:rPr>
      </w:pPr>
    </w:p>
    <w:p>
      <w:pPr>
        <w:spacing w:after="0"/>
        <w:rPr>
          <w:sz w:val="27"/>
        </w:rPr>
        <w:sectPr>
          <w:pgSz w:w="12240" w:h="15840"/>
          <w:pgMar w:top="1500" w:bottom="280" w:left="1640" w:right="1640"/>
        </w:sectPr>
      </w:pPr>
    </w:p>
    <w:p>
      <w:pPr>
        <w:pStyle w:val="Heading2"/>
        <w:numPr>
          <w:ilvl w:val="1"/>
          <w:numId w:val="35"/>
        </w:numPr>
        <w:tabs>
          <w:tab w:pos="906" w:val="left" w:leader="none"/>
          <w:tab w:pos="907" w:val="left" w:leader="none"/>
        </w:tabs>
        <w:spacing w:line="273" w:lineRule="exact" w:before="34" w:after="0"/>
        <w:ind w:left="2740" w:right="0" w:hanging="2580"/>
        <w:jc w:val="left"/>
      </w:pPr>
      <w:r>
        <w:rPr>
          <w:w w:val="95"/>
        </w:rPr>
        <w:t>原发性硬化性胆</w:t>
      </w:r>
    </w:p>
    <w:p>
      <w:pPr>
        <w:spacing w:line="273" w:lineRule="exact" w:before="0"/>
        <w:ind w:left="897" w:right="1042" w:firstLine="0"/>
        <w:jc w:val="center"/>
        <w:rPr>
          <w:b/>
          <w:sz w:val="21"/>
        </w:rPr>
      </w:pPr>
      <w:r>
        <w:rPr>
          <w:b/>
          <w:w w:val="95"/>
          <w:sz w:val="21"/>
        </w:rPr>
        <w:t>管炎</w:t>
      </w:r>
    </w:p>
    <w:p>
      <w:pPr>
        <w:pStyle w:val="BodyText"/>
        <w:spacing w:line="237" w:lineRule="auto" w:before="37"/>
        <w:ind w:left="160" w:right="160"/>
        <w:jc w:val="both"/>
        <w:rPr>
          <w:rFonts w:ascii="黑体" w:eastAsia="黑体" w:hint="eastAsia"/>
        </w:rPr>
      </w:pPr>
      <w:r>
        <w:rPr/>
        <w:br w:type="column"/>
      </w:r>
      <w:r>
        <w:rPr>
          <w:spacing w:val="-3"/>
          <w:w w:val="95"/>
        </w:rPr>
        <w:t>指一种胆汁淤积综合征，其特征是肝内、肝外胆道因纤维化性炎症  </w:t>
      </w:r>
      <w:r>
        <w:rPr>
          <w:spacing w:val="-6"/>
          <w:w w:val="95"/>
        </w:rPr>
        <w:t>逐渐狭窄，并最终导致完全阻塞而发展为肝硬化。本病须经内镜逆  行胰胆管造影等影像学检查证实，</w:t>
      </w:r>
      <w:r>
        <w:rPr>
          <w:rFonts w:ascii="黑体" w:eastAsia="黑体" w:hint="eastAsia"/>
          <w:spacing w:val="-6"/>
          <w:w w:val="95"/>
        </w:rPr>
        <w:t>且满足下列全部条件：</w:t>
      </w:r>
    </w:p>
    <w:p>
      <w:pPr>
        <w:pStyle w:val="ListParagraph"/>
        <w:numPr>
          <w:ilvl w:val="0"/>
          <w:numId w:val="36"/>
        </w:numPr>
        <w:tabs>
          <w:tab w:pos="895" w:val="left" w:leader="none"/>
        </w:tabs>
        <w:spacing w:line="240" w:lineRule="auto" w:before="56" w:after="0"/>
        <w:ind w:left="894" w:right="0" w:hanging="734"/>
        <w:jc w:val="both"/>
        <w:rPr>
          <w:sz w:val="21"/>
        </w:rPr>
      </w:pPr>
      <w:r>
        <w:rPr>
          <w:spacing w:val="-4"/>
          <w:sz w:val="21"/>
        </w:rPr>
        <w:t>总胆红素和直接胆红素同时升高，血清 </w:t>
      </w:r>
      <w:r>
        <w:rPr>
          <w:sz w:val="21"/>
        </w:rPr>
        <w:t>ALP&gt;200U/L；</w:t>
      </w:r>
    </w:p>
    <w:p>
      <w:pPr>
        <w:pStyle w:val="ListParagraph"/>
        <w:numPr>
          <w:ilvl w:val="0"/>
          <w:numId w:val="36"/>
        </w:numPr>
        <w:tabs>
          <w:tab w:pos="895" w:val="left" w:leader="none"/>
        </w:tabs>
        <w:spacing w:line="240" w:lineRule="auto" w:before="59" w:after="0"/>
        <w:ind w:left="894" w:right="0" w:hanging="734"/>
        <w:jc w:val="both"/>
        <w:rPr>
          <w:sz w:val="21"/>
        </w:rPr>
      </w:pPr>
      <w:r>
        <w:rPr>
          <w:w w:val="95"/>
          <w:sz w:val="21"/>
        </w:rPr>
        <w:t>持续性黄疸病史；</w:t>
      </w:r>
    </w:p>
    <w:p>
      <w:pPr>
        <w:pStyle w:val="ListParagraph"/>
        <w:numPr>
          <w:ilvl w:val="0"/>
          <w:numId w:val="36"/>
        </w:numPr>
        <w:tabs>
          <w:tab w:pos="895" w:val="left" w:leader="none"/>
        </w:tabs>
        <w:spacing w:line="240" w:lineRule="auto" w:before="56" w:after="0"/>
        <w:ind w:left="894" w:right="0" w:hanging="734"/>
        <w:jc w:val="both"/>
        <w:rPr>
          <w:sz w:val="21"/>
        </w:rPr>
      </w:pPr>
      <w:r>
        <w:rPr>
          <w:w w:val="95"/>
          <w:sz w:val="21"/>
        </w:rPr>
        <w:t>出现胆汁性肝硬化或门脉高压。</w:t>
      </w:r>
    </w:p>
    <w:p>
      <w:pPr>
        <w:pStyle w:val="BodyText"/>
        <w:spacing w:before="58"/>
        <w:ind w:left="160"/>
        <w:jc w:val="both"/>
        <w:rPr>
          <w:rFonts w:ascii="黑体" w:eastAsia="黑体" w:hint="eastAsia"/>
        </w:rPr>
      </w:pPr>
      <w:r>
        <w:rPr>
          <w:rFonts w:ascii="黑体" w:eastAsia="黑体" w:hint="eastAsia"/>
          <w:w w:val="95"/>
        </w:rPr>
        <w:t>因肿瘤或胆管损伤等继发性的硬化性胆管炎不在保障范围内。</w:t>
      </w:r>
    </w:p>
    <w:p>
      <w:pPr>
        <w:spacing w:after="0"/>
        <w:jc w:val="both"/>
        <w:rPr>
          <w:rFonts w:ascii="黑体" w:eastAsia="黑体" w:hint="eastAsia"/>
        </w:rPr>
        <w:sectPr>
          <w:type w:val="continuous"/>
          <w:pgSz w:w="12240" w:h="15840"/>
          <w:pgMar w:top="900" w:bottom="280" w:left="1640" w:right="1640"/>
          <w:cols w:num="2" w:equalWidth="0">
            <w:col w:w="2381" w:space="199"/>
            <w:col w:w="6380"/>
          </w:cols>
        </w:sectPr>
      </w:pPr>
    </w:p>
    <w:p>
      <w:pPr>
        <w:pStyle w:val="BodyText"/>
        <w:spacing w:before="2"/>
        <w:rPr>
          <w:rFonts w:ascii="黑体"/>
          <w:sz w:val="27"/>
        </w:rPr>
      </w:pPr>
    </w:p>
    <w:p>
      <w:pPr>
        <w:pStyle w:val="ListParagraph"/>
        <w:numPr>
          <w:ilvl w:val="1"/>
          <w:numId w:val="35"/>
        </w:numPr>
        <w:tabs>
          <w:tab w:pos="907" w:val="left" w:leader="none"/>
        </w:tabs>
        <w:spacing w:line="237" w:lineRule="auto" w:before="37" w:after="0"/>
        <w:ind w:left="2740" w:right="130" w:hanging="2580"/>
        <w:jc w:val="both"/>
        <w:rPr>
          <w:rFonts w:ascii="黑体" w:eastAsia="黑体" w:hint="eastAsia"/>
          <w:sz w:val="21"/>
        </w:rPr>
      </w:pPr>
      <w:r>
        <w:rPr>
          <w:b/>
          <w:spacing w:val="1"/>
          <w:sz w:val="21"/>
        </w:rPr>
        <w:t>肺淋巴管肌瘤病  </w:t>
      </w:r>
      <w:r>
        <w:rPr>
          <w:sz w:val="21"/>
        </w:rPr>
        <w:t>肺淋巴管肌瘤病是一种弥漫性肺部疾病，主要病理改变为肺间质、</w:t>
      </w:r>
      <w:r>
        <w:rPr>
          <w:spacing w:val="-5"/>
          <w:sz w:val="21"/>
        </w:rPr>
        <w:t>支气管、血管和淋巴管内出现未成熟的平滑肌异常增生，</w:t>
      </w:r>
      <w:r>
        <w:rPr>
          <w:rFonts w:ascii="黑体" w:eastAsia="黑体" w:hint="eastAsia"/>
          <w:sz w:val="21"/>
        </w:rPr>
        <w:t>且满足下</w:t>
      </w:r>
      <w:r>
        <w:rPr>
          <w:rFonts w:ascii="黑体" w:eastAsia="黑体" w:hint="eastAsia"/>
          <w:w w:val="95"/>
          <w:sz w:val="21"/>
        </w:rPr>
        <w:t>列全部条件：</w:t>
      </w:r>
    </w:p>
    <w:p>
      <w:pPr>
        <w:pStyle w:val="ListParagraph"/>
        <w:numPr>
          <w:ilvl w:val="2"/>
          <w:numId w:val="35"/>
        </w:numPr>
        <w:tabs>
          <w:tab w:pos="3474" w:val="left" w:leader="none"/>
          <w:tab w:pos="3475" w:val="left" w:leader="none"/>
        </w:tabs>
        <w:spacing w:line="240" w:lineRule="auto" w:before="58" w:after="0"/>
        <w:ind w:left="3474" w:right="0" w:hanging="734"/>
        <w:jc w:val="left"/>
        <w:rPr>
          <w:sz w:val="21"/>
        </w:rPr>
      </w:pPr>
      <w:r>
        <w:rPr>
          <w:w w:val="95"/>
          <w:sz w:val="21"/>
        </w:rPr>
        <w:t>经组织病理学诊断；</w:t>
      </w:r>
    </w:p>
    <w:p>
      <w:pPr>
        <w:pStyle w:val="ListParagraph"/>
        <w:numPr>
          <w:ilvl w:val="2"/>
          <w:numId w:val="35"/>
        </w:numPr>
        <w:tabs>
          <w:tab w:pos="3474" w:val="left" w:leader="none"/>
          <w:tab w:pos="3475" w:val="left" w:leader="none"/>
        </w:tabs>
        <w:spacing w:line="240" w:lineRule="auto" w:before="58" w:after="0"/>
        <w:ind w:left="3474" w:right="0" w:hanging="734"/>
        <w:jc w:val="left"/>
        <w:rPr>
          <w:sz w:val="21"/>
        </w:rPr>
      </w:pPr>
      <w:r>
        <w:rPr>
          <w:sz w:val="21"/>
        </w:rPr>
        <w:t>CT</w:t>
      </w:r>
      <w:r>
        <w:rPr>
          <w:spacing w:val="-9"/>
          <w:sz w:val="21"/>
        </w:rPr>
        <w:t> 显示双肺弥漫性囊性改变；</w:t>
      </w:r>
    </w:p>
    <w:p>
      <w:pPr>
        <w:spacing w:after="0" w:line="240" w:lineRule="auto"/>
        <w:jc w:val="left"/>
        <w:rPr>
          <w:sz w:val="21"/>
        </w:rPr>
        <w:sectPr>
          <w:type w:val="continuous"/>
          <w:pgSz w:w="12240" w:h="15840"/>
          <w:pgMar w:top="900" w:bottom="280" w:left="1640" w:right="1640"/>
        </w:sectPr>
      </w:pPr>
    </w:p>
    <w:p>
      <w:pPr>
        <w:pStyle w:val="ListParagraph"/>
        <w:numPr>
          <w:ilvl w:val="2"/>
          <w:numId w:val="35"/>
        </w:numPr>
        <w:tabs>
          <w:tab w:pos="3414" w:val="left" w:leader="none"/>
          <w:tab w:pos="3415" w:val="left" w:leader="none"/>
        </w:tabs>
        <w:spacing w:line="240" w:lineRule="auto" w:before="4" w:after="0"/>
        <w:ind w:left="3414" w:right="0" w:hanging="734"/>
        <w:jc w:val="left"/>
        <w:rPr>
          <w:sz w:val="21"/>
        </w:rPr>
      </w:pPr>
      <w:r>
        <w:rPr>
          <w:w w:val="95"/>
          <w:sz w:val="21"/>
        </w:rPr>
        <w:t>血气提示低氧血症。</w:t>
      </w:r>
    </w:p>
    <w:p>
      <w:pPr>
        <w:pStyle w:val="BodyText"/>
        <w:spacing w:before="12"/>
        <w:rPr>
          <w:sz w:val="29"/>
        </w:rPr>
      </w:pPr>
    </w:p>
    <w:p>
      <w:pPr>
        <w:pStyle w:val="ListParagraph"/>
        <w:numPr>
          <w:ilvl w:val="1"/>
          <w:numId w:val="35"/>
        </w:numPr>
        <w:tabs>
          <w:tab w:pos="847" w:val="left" w:leader="none"/>
          <w:tab w:pos="2679" w:val="left" w:leader="none"/>
        </w:tabs>
        <w:spacing w:line="237" w:lineRule="auto" w:before="0" w:after="0"/>
        <w:ind w:left="2680" w:right="120" w:hanging="2580"/>
        <w:jc w:val="both"/>
        <w:rPr>
          <w:sz w:val="21"/>
        </w:rPr>
      </w:pPr>
      <w:r>
        <w:rPr>
          <w:b/>
          <w:sz w:val="21"/>
        </w:rPr>
        <w:t>象皮病</w:t>
        <w:tab/>
      </w:r>
      <w:r>
        <w:rPr>
          <w:w w:val="95"/>
          <w:sz w:val="21"/>
        </w:rPr>
        <w:t>指末期丝虫病</w:t>
      </w:r>
      <w:r>
        <w:rPr>
          <w:spacing w:val="-15"/>
          <w:w w:val="95"/>
          <w:sz w:val="21"/>
        </w:rPr>
        <w:t>，</w:t>
      </w:r>
      <w:r>
        <w:rPr>
          <w:w w:val="95"/>
          <w:sz w:val="21"/>
        </w:rPr>
        <w:t>按国际淋巴学会分级为三度淋巴液肿</w:t>
      </w:r>
      <w:r>
        <w:rPr>
          <w:spacing w:val="-15"/>
          <w:w w:val="95"/>
          <w:sz w:val="21"/>
        </w:rPr>
        <w:t>，</w:t>
      </w:r>
      <w:r>
        <w:rPr>
          <w:w w:val="95"/>
          <w:sz w:val="21"/>
        </w:rPr>
        <w:t>其临床表现   为肢体非凹陷性水肿伴畸形增大</w:t>
      </w:r>
      <w:r>
        <w:rPr>
          <w:spacing w:val="-15"/>
          <w:w w:val="95"/>
          <w:sz w:val="21"/>
        </w:rPr>
        <w:t>、</w:t>
      </w:r>
      <w:r>
        <w:rPr>
          <w:w w:val="95"/>
          <w:sz w:val="21"/>
        </w:rPr>
        <w:t>硬皮症和疣状增生</w:t>
      </w:r>
      <w:r>
        <w:rPr>
          <w:spacing w:val="-15"/>
          <w:w w:val="95"/>
          <w:sz w:val="21"/>
        </w:rPr>
        <w:t>。</w:t>
      </w:r>
      <w:r>
        <w:rPr>
          <w:w w:val="95"/>
          <w:sz w:val="21"/>
        </w:rPr>
        <w:t>此病症须经  相关专科医生根据临床表现和微丝蚴的化验结果确诊。</w:t>
      </w:r>
    </w:p>
    <w:p>
      <w:pPr>
        <w:pStyle w:val="BodyText"/>
        <w:spacing w:before="9"/>
        <w:rPr>
          <w:sz w:val="29"/>
        </w:rPr>
      </w:pPr>
    </w:p>
    <w:p>
      <w:pPr>
        <w:pStyle w:val="ListParagraph"/>
        <w:numPr>
          <w:ilvl w:val="1"/>
          <w:numId w:val="35"/>
        </w:numPr>
        <w:tabs>
          <w:tab w:pos="847" w:val="left" w:leader="none"/>
        </w:tabs>
        <w:spacing w:line="240" w:lineRule="auto" w:before="0" w:after="0"/>
        <w:ind w:left="2680" w:right="120" w:hanging="2580"/>
        <w:jc w:val="both"/>
        <w:rPr>
          <w:sz w:val="21"/>
        </w:rPr>
      </w:pPr>
      <w:r>
        <w:rPr>
          <w:b/>
          <w:spacing w:val="0"/>
          <w:sz w:val="21"/>
        </w:rPr>
        <w:t>胰腺移植        </w:t>
      </w:r>
      <w:r>
        <w:rPr>
          <w:spacing w:val="-4"/>
          <w:sz w:val="21"/>
        </w:rPr>
        <w:t>指因胰腺功能衰竭，已经实施了在全身麻醉下进行的胰腺的异体器</w:t>
      </w:r>
      <w:r>
        <w:rPr>
          <w:spacing w:val="-4"/>
          <w:w w:val="95"/>
          <w:sz w:val="21"/>
        </w:rPr>
        <w:t>官移植手术（供体必须是人体器官</w:t>
      </w:r>
      <w:r>
        <w:rPr>
          <w:spacing w:val="-104"/>
          <w:w w:val="95"/>
          <w:sz w:val="21"/>
        </w:rPr>
        <w:t>）</w:t>
      </w:r>
      <w:r>
        <w:rPr>
          <w:w w:val="95"/>
          <w:sz w:val="21"/>
        </w:rPr>
        <w:t>。</w:t>
      </w:r>
    </w:p>
    <w:p>
      <w:pPr>
        <w:pStyle w:val="BodyText"/>
        <w:spacing w:before="55"/>
        <w:ind w:left="2680"/>
        <w:rPr>
          <w:rFonts w:ascii="黑体" w:eastAsia="黑体" w:hint="eastAsia"/>
        </w:rPr>
      </w:pPr>
      <w:r>
        <w:rPr>
          <w:rFonts w:ascii="黑体" w:eastAsia="黑体" w:hint="eastAsia"/>
          <w:w w:val="95"/>
        </w:rPr>
        <w:t>单纯胰岛移植、部分胰腺组织或细胞的移植不在保障范围内。</w:t>
      </w:r>
    </w:p>
    <w:p>
      <w:pPr>
        <w:pStyle w:val="BodyText"/>
        <w:spacing w:before="12"/>
        <w:rPr>
          <w:rFonts w:ascii="黑体"/>
          <w:sz w:val="29"/>
        </w:rPr>
      </w:pPr>
    </w:p>
    <w:p>
      <w:pPr>
        <w:pStyle w:val="ListParagraph"/>
        <w:numPr>
          <w:ilvl w:val="1"/>
          <w:numId w:val="35"/>
        </w:numPr>
        <w:tabs>
          <w:tab w:pos="847" w:val="left" w:leader="none"/>
        </w:tabs>
        <w:spacing w:line="237" w:lineRule="auto" w:before="0" w:after="0"/>
        <w:ind w:left="2680" w:right="117" w:hanging="2580"/>
        <w:jc w:val="both"/>
        <w:rPr>
          <w:rFonts w:ascii="黑体" w:eastAsia="黑体" w:hint="eastAsia"/>
          <w:sz w:val="21"/>
        </w:rPr>
      </w:pPr>
      <w:r>
        <w:rPr>
          <w:b/>
          <w:spacing w:val="0"/>
          <w:sz w:val="21"/>
        </w:rPr>
        <w:t>严重川崎病      </w:t>
      </w:r>
      <w:r>
        <w:rPr>
          <w:spacing w:val="-3"/>
          <w:sz w:val="21"/>
        </w:rPr>
        <w:t>是一种血管炎综合征，临床表现为急性发热，皮肤粘膜病损和淋巴</w:t>
      </w:r>
      <w:r>
        <w:rPr>
          <w:spacing w:val="-6"/>
          <w:w w:val="95"/>
          <w:sz w:val="21"/>
        </w:rPr>
        <w:t>结肿大。本病须经专科医生明确诊断，同时须由血管造影或超声心  动图检查证实，</w:t>
      </w:r>
      <w:r>
        <w:rPr>
          <w:rFonts w:ascii="黑体" w:eastAsia="黑体" w:hint="eastAsia"/>
          <w:spacing w:val="-6"/>
          <w:w w:val="95"/>
          <w:sz w:val="21"/>
        </w:rPr>
        <w:t>满足下列至少一项条件：</w:t>
      </w:r>
    </w:p>
    <w:p>
      <w:pPr>
        <w:pStyle w:val="ListParagraph"/>
        <w:numPr>
          <w:ilvl w:val="0"/>
          <w:numId w:val="37"/>
        </w:numPr>
        <w:tabs>
          <w:tab w:pos="3414" w:val="left" w:leader="none"/>
          <w:tab w:pos="3415" w:val="left" w:leader="none"/>
        </w:tabs>
        <w:spacing w:line="240" w:lineRule="auto" w:before="55" w:after="0"/>
        <w:ind w:left="3414" w:right="117" w:hanging="734"/>
        <w:jc w:val="left"/>
        <w:rPr>
          <w:sz w:val="21"/>
        </w:rPr>
      </w:pPr>
      <w:r>
        <w:rPr>
          <w:sz w:val="21"/>
        </w:rPr>
        <w:t>伴有冠状动脉瘤，且冠状动脉瘤于最初急性发病后持续至</w:t>
      </w:r>
      <w:r>
        <w:rPr>
          <w:spacing w:val="-28"/>
          <w:sz w:val="21"/>
        </w:rPr>
        <w:t>少 </w:t>
      </w:r>
      <w:r>
        <w:rPr>
          <w:sz w:val="21"/>
        </w:rPr>
        <w:t>180</w:t>
      </w:r>
      <w:r>
        <w:rPr>
          <w:spacing w:val="-19"/>
          <w:sz w:val="21"/>
        </w:rPr>
        <w:t> 天；</w:t>
      </w:r>
    </w:p>
    <w:p>
      <w:pPr>
        <w:pStyle w:val="ListParagraph"/>
        <w:numPr>
          <w:ilvl w:val="0"/>
          <w:numId w:val="37"/>
        </w:numPr>
        <w:tabs>
          <w:tab w:pos="3414" w:val="left" w:leader="none"/>
          <w:tab w:pos="3415" w:val="left" w:leader="none"/>
        </w:tabs>
        <w:spacing w:line="240" w:lineRule="auto" w:before="55" w:after="0"/>
        <w:ind w:left="3400" w:right="194" w:hanging="720"/>
        <w:jc w:val="left"/>
        <w:rPr>
          <w:sz w:val="21"/>
        </w:rPr>
      </w:pPr>
      <w:r>
        <w:rPr>
          <w:w w:val="95"/>
          <w:sz w:val="21"/>
        </w:rPr>
        <w:t>伴有冠状动脉瘤，且实际接受了对冠状动脉瘤进行的手术 治疗。</w:t>
      </w:r>
    </w:p>
    <w:p>
      <w:pPr>
        <w:pStyle w:val="BodyText"/>
        <w:spacing w:before="9"/>
        <w:rPr>
          <w:sz w:val="29"/>
        </w:rPr>
      </w:pPr>
    </w:p>
    <w:p>
      <w:pPr>
        <w:pStyle w:val="ListParagraph"/>
        <w:numPr>
          <w:ilvl w:val="1"/>
          <w:numId w:val="35"/>
        </w:numPr>
        <w:tabs>
          <w:tab w:pos="846" w:val="left" w:leader="none"/>
          <w:tab w:pos="847" w:val="left" w:leader="none"/>
          <w:tab w:pos="2679" w:val="left" w:leader="none"/>
        </w:tabs>
        <w:spacing w:line="240" w:lineRule="auto" w:before="1" w:after="0"/>
        <w:ind w:left="846" w:right="0" w:hanging="746"/>
        <w:jc w:val="left"/>
        <w:rPr>
          <w:rFonts w:ascii="黑体" w:eastAsia="黑体" w:hint="eastAsia"/>
          <w:sz w:val="21"/>
        </w:rPr>
      </w:pPr>
      <w:r>
        <w:rPr>
          <w:b/>
          <w:sz w:val="21"/>
        </w:rPr>
        <w:t>肾髓质囊性病</w:t>
        <w:tab/>
      </w:r>
      <w:r>
        <w:rPr>
          <w:w w:val="95"/>
          <w:sz w:val="21"/>
        </w:rPr>
        <w:t>肾髓质囊性病的诊断</w:t>
      </w:r>
      <w:r>
        <w:rPr>
          <w:rFonts w:ascii="黑体" w:eastAsia="黑体" w:hint="eastAsia"/>
          <w:w w:val="95"/>
          <w:sz w:val="21"/>
        </w:rPr>
        <w:t>须满足下列全部条件：</w:t>
      </w:r>
    </w:p>
    <w:p>
      <w:pPr>
        <w:pStyle w:val="ListParagraph"/>
        <w:numPr>
          <w:ilvl w:val="0"/>
          <w:numId w:val="38"/>
        </w:numPr>
        <w:tabs>
          <w:tab w:pos="3414" w:val="left" w:leader="none"/>
          <w:tab w:pos="3415" w:val="left" w:leader="none"/>
        </w:tabs>
        <w:spacing w:line="240" w:lineRule="auto" w:before="56" w:after="0"/>
        <w:ind w:left="3414" w:right="0" w:hanging="734"/>
        <w:jc w:val="left"/>
        <w:rPr>
          <w:sz w:val="21"/>
        </w:rPr>
      </w:pPr>
      <w:r>
        <w:rPr>
          <w:w w:val="95"/>
          <w:sz w:val="21"/>
        </w:rPr>
        <w:t>肾髓质有囊肿、肾小管萎缩及间质纤维化等病理改变；</w:t>
      </w:r>
    </w:p>
    <w:p>
      <w:pPr>
        <w:pStyle w:val="ListParagraph"/>
        <w:numPr>
          <w:ilvl w:val="0"/>
          <w:numId w:val="38"/>
        </w:numPr>
        <w:tabs>
          <w:tab w:pos="3414" w:val="left" w:leader="none"/>
          <w:tab w:pos="3415" w:val="left" w:leader="none"/>
        </w:tabs>
        <w:spacing w:line="240" w:lineRule="auto" w:before="58" w:after="0"/>
        <w:ind w:left="3414" w:right="0" w:hanging="734"/>
        <w:jc w:val="left"/>
        <w:rPr>
          <w:sz w:val="21"/>
        </w:rPr>
      </w:pPr>
      <w:r>
        <w:rPr>
          <w:w w:val="95"/>
          <w:sz w:val="21"/>
        </w:rPr>
        <w:t>贫血、多尿及肾功能衰竭等临床表现；</w:t>
      </w:r>
    </w:p>
    <w:p>
      <w:pPr>
        <w:pStyle w:val="ListParagraph"/>
        <w:numPr>
          <w:ilvl w:val="0"/>
          <w:numId w:val="38"/>
        </w:numPr>
        <w:tabs>
          <w:tab w:pos="3414" w:val="left" w:leader="none"/>
          <w:tab w:pos="3415" w:val="left" w:leader="none"/>
        </w:tabs>
        <w:spacing w:line="240" w:lineRule="auto" w:before="56" w:after="0"/>
        <w:ind w:left="3414" w:right="0" w:hanging="734"/>
        <w:jc w:val="left"/>
        <w:rPr>
          <w:sz w:val="21"/>
        </w:rPr>
      </w:pPr>
      <w:r>
        <w:rPr>
          <w:w w:val="95"/>
          <w:sz w:val="21"/>
        </w:rPr>
        <w:t>诊断须由肾组织活检确定。</w:t>
      </w:r>
    </w:p>
    <w:p>
      <w:pPr>
        <w:pStyle w:val="BodyText"/>
        <w:spacing w:before="58"/>
        <w:ind w:left="2680"/>
        <w:rPr>
          <w:rFonts w:ascii="黑体" w:eastAsia="黑体" w:hint="eastAsia"/>
        </w:rPr>
      </w:pPr>
      <w:r>
        <w:rPr>
          <w:rFonts w:ascii="黑体" w:eastAsia="黑体" w:hint="eastAsia"/>
          <w:w w:val="95"/>
        </w:rPr>
        <w:t>单独或良性肾囊肿则不在保障范围内。</w:t>
      </w:r>
    </w:p>
    <w:p>
      <w:pPr>
        <w:pStyle w:val="BodyText"/>
        <w:spacing w:before="12"/>
        <w:rPr>
          <w:rFonts w:ascii="黑体"/>
          <w:sz w:val="29"/>
        </w:rPr>
      </w:pPr>
    </w:p>
    <w:p>
      <w:pPr>
        <w:pStyle w:val="ListParagraph"/>
        <w:numPr>
          <w:ilvl w:val="1"/>
          <w:numId w:val="35"/>
        </w:numPr>
        <w:tabs>
          <w:tab w:pos="847" w:val="left" w:leader="none"/>
        </w:tabs>
        <w:spacing w:line="237" w:lineRule="auto" w:before="0" w:after="0"/>
        <w:ind w:left="2680" w:right="120" w:hanging="2580"/>
        <w:jc w:val="both"/>
        <w:rPr>
          <w:sz w:val="21"/>
        </w:rPr>
      </w:pPr>
      <w:r>
        <w:rPr>
          <w:b/>
          <w:spacing w:val="0"/>
          <w:sz w:val="21"/>
        </w:rPr>
        <w:t>克雅氏病        </w:t>
      </w:r>
      <w:r>
        <w:rPr>
          <w:spacing w:val="-2"/>
          <w:sz w:val="21"/>
        </w:rPr>
        <w:t>是一种由动物传染而来的中枢神经系统变性性疾病，大脑呈海绵状</w:t>
      </w:r>
      <w:r>
        <w:rPr>
          <w:spacing w:val="-4"/>
          <w:w w:val="95"/>
          <w:sz w:val="21"/>
        </w:rPr>
        <w:t>改变伴神经元缺失和胶质化。临床表现为进行性痴呆、不随意运动  </w:t>
      </w:r>
      <w:r>
        <w:rPr>
          <w:spacing w:val="-6"/>
          <w:w w:val="95"/>
          <w:sz w:val="21"/>
        </w:rPr>
        <w:t>及抽搐、行动困难等等。克雅氏病必须由权威医疗机构根据致病蛋  白的发现而明确诊断。</w:t>
      </w:r>
    </w:p>
    <w:p>
      <w:pPr>
        <w:pStyle w:val="BodyText"/>
        <w:spacing w:before="10"/>
        <w:rPr>
          <w:sz w:val="29"/>
        </w:rPr>
      </w:pPr>
    </w:p>
    <w:p>
      <w:pPr>
        <w:pStyle w:val="ListParagraph"/>
        <w:numPr>
          <w:ilvl w:val="1"/>
          <w:numId w:val="35"/>
        </w:numPr>
        <w:tabs>
          <w:tab w:pos="846" w:val="left" w:leader="none"/>
          <w:tab w:pos="847" w:val="left" w:leader="none"/>
          <w:tab w:pos="2679" w:val="left" w:leader="none"/>
        </w:tabs>
        <w:spacing w:line="240" w:lineRule="auto" w:before="0" w:after="0"/>
        <w:ind w:left="846" w:right="0" w:hanging="746"/>
        <w:jc w:val="left"/>
        <w:rPr>
          <w:rFonts w:ascii="黑体" w:eastAsia="黑体" w:hint="eastAsia"/>
          <w:sz w:val="21"/>
        </w:rPr>
      </w:pPr>
      <w:r>
        <w:rPr>
          <w:b/>
          <w:sz w:val="21"/>
        </w:rPr>
        <w:t>埃博拉病毒感染</w:t>
        <w:tab/>
      </w:r>
      <w:r>
        <w:rPr>
          <w:w w:val="95"/>
          <w:sz w:val="21"/>
        </w:rPr>
        <w:t>指埃博拉病毒感染导致的烈性传染病，</w:t>
      </w:r>
      <w:r>
        <w:rPr>
          <w:rFonts w:ascii="黑体" w:eastAsia="黑体" w:hint="eastAsia"/>
          <w:w w:val="95"/>
          <w:sz w:val="21"/>
        </w:rPr>
        <w:t>且满足下列全部条件：</w:t>
      </w:r>
    </w:p>
    <w:p>
      <w:pPr>
        <w:pStyle w:val="ListParagraph"/>
        <w:numPr>
          <w:ilvl w:val="0"/>
          <w:numId w:val="39"/>
        </w:numPr>
        <w:tabs>
          <w:tab w:pos="3414" w:val="left" w:leader="none"/>
          <w:tab w:pos="3415" w:val="left" w:leader="none"/>
        </w:tabs>
        <w:spacing w:line="240" w:lineRule="auto" w:before="56" w:after="0"/>
        <w:ind w:left="3414" w:right="0" w:hanging="734"/>
        <w:jc w:val="left"/>
        <w:rPr>
          <w:sz w:val="21"/>
        </w:rPr>
      </w:pPr>
      <w:r>
        <w:rPr>
          <w:w w:val="95"/>
          <w:sz w:val="21"/>
        </w:rPr>
        <w:t>实验室检查证实埃博拉病毒的存在；</w:t>
      </w:r>
    </w:p>
    <w:p>
      <w:pPr>
        <w:pStyle w:val="ListParagraph"/>
        <w:numPr>
          <w:ilvl w:val="0"/>
          <w:numId w:val="39"/>
        </w:numPr>
        <w:tabs>
          <w:tab w:pos="3414" w:val="left" w:leader="none"/>
          <w:tab w:pos="3415" w:val="left" w:leader="none"/>
        </w:tabs>
        <w:spacing w:line="240" w:lineRule="auto" w:before="58" w:after="0"/>
        <w:ind w:left="3414" w:right="0" w:hanging="734"/>
        <w:jc w:val="left"/>
        <w:rPr>
          <w:sz w:val="21"/>
        </w:rPr>
      </w:pPr>
      <w:r>
        <w:rPr>
          <w:spacing w:val="-1"/>
          <w:sz w:val="21"/>
        </w:rPr>
        <w:t>从发病开始有超过 </w:t>
      </w:r>
      <w:r>
        <w:rPr>
          <w:sz w:val="21"/>
        </w:rPr>
        <w:t>30</w:t>
      </w:r>
      <w:r>
        <w:rPr>
          <w:spacing w:val="-3"/>
          <w:sz w:val="21"/>
        </w:rPr>
        <w:t> 天的进行性感染症状。</w:t>
      </w:r>
    </w:p>
    <w:p>
      <w:pPr>
        <w:pStyle w:val="BodyText"/>
        <w:spacing w:before="12"/>
        <w:rPr>
          <w:sz w:val="29"/>
        </w:rPr>
      </w:pPr>
    </w:p>
    <w:p>
      <w:pPr>
        <w:pStyle w:val="ListParagraph"/>
        <w:numPr>
          <w:ilvl w:val="1"/>
          <w:numId w:val="35"/>
        </w:numPr>
        <w:tabs>
          <w:tab w:pos="847" w:val="left" w:leader="none"/>
        </w:tabs>
        <w:spacing w:line="237" w:lineRule="auto" w:before="1" w:after="0"/>
        <w:ind w:left="2680" w:right="117" w:hanging="2580"/>
        <w:jc w:val="both"/>
        <w:rPr>
          <w:sz w:val="21"/>
        </w:rPr>
      </w:pPr>
      <w:r>
        <w:rPr>
          <w:b/>
          <w:spacing w:val="3"/>
          <w:sz w:val="21"/>
        </w:rPr>
        <w:t>失去一肢及一眼  </w:t>
      </w:r>
      <w:r>
        <w:rPr>
          <w:spacing w:val="5"/>
          <w:sz w:val="21"/>
        </w:rPr>
        <w:t>因疾病或意外伤害导致单眼视力丧失及任何一肢自腕关节或踝关</w:t>
      </w:r>
      <w:r>
        <w:rPr>
          <w:spacing w:val="5"/>
          <w:w w:val="95"/>
          <w:sz w:val="21"/>
        </w:rPr>
        <w:t>节近端（靠近躯干端）以上完全性断离。</w:t>
      </w:r>
    </w:p>
    <w:p>
      <w:pPr>
        <w:pStyle w:val="BodyText"/>
        <w:spacing w:line="237" w:lineRule="auto" w:before="61"/>
        <w:ind w:left="2680" w:right="120"/>
        <w:rPr>
          <w:rFonts w:ascii="黑体" w:eastAsia="黑体" w:hint="eastAsia"/>
        </w:rPr>
      </w:pPr>
      <w:r>
        <w:rPr>
          <w:spacing w:val="-2"/>
          <w:w w:val="95"/>
        </w:rPr>
        <w:t>单眼视力丧失指单眼视力永久不可逆性丧失，患眼</w:t>
      </w:r>
      <w:r>
        <w:rPr>
          <w:rFonts w:ascii="黑体" w:eastAsia="黑体" w:hint="eastAsia"/>
          <w:w w:val="95"/>
        </w:rPr>
        <w:t>须满足下列至少  一项条件：</w:t>
      </w:r>
    </w:p>
    <w:p>
      <w:pPr>
        <w:pStyle w:val="ListParagraph"/>
        <w:numPr>
          <w:ilvl w:val="0"/>
          <w:numId w:val="40"/>
        </w:numPr>
        <w:tabs>
          <w:tab w:pos="3414" w:val="left" w:leader="none"/>
          <w:tab w:pos="3415" w:val="left" w:leader="none"/>
        </w:tabs>
        <w:spacing w:line="240" w:lineRule="auto" w:before="58" w:after="0"/>
        <w:ind w:left="3414" w:right="0" w:hanging="734"/>
        <w:jc w:val="left"/>
        <w:rPr>
          <w:sz w:val="21"/>
        </w:rPr>
      </w:pPr>
      <w:r>
        <w:rPr>
          <w:w w:val="95"/>
          <w:sz w:val="21"/>
        </w:rPr>
        <w:t>眼球缺失或摘除；</w:t>
      </w:r>
    </w:p>
    <w:p>
      <w:pPr>
        <w:pStyle w:val="ListParagraph"/>
        <w:numPr>
          <w:ilvl w:val="0"/>
          <w:numId w:val="40"/>
        </w:numPr>
        <w:tabs>
          <w:tab w:pos="3414" w:val="left" w:leader="none"/>
          <w:tab w:pos="3415" w:val="left" w:leader="none"/>
        </w:tabs>
        <w:spacing w:line="240" w:lineRule="auto" w:before="56" w:after="0"/>
        <w:ind w:left="3414" w:right="120" w:hanging="734"/>
        <w:jc w:val="left"/>
        <w:rPr>
          <w:sz w:val="21"/>
        </w:rPr>
      </w:pPr>
      <w:r>
        <w:rPr>
          <w:spacing w:val="-6"/>
          <w:sz w:val="21"/>
        </w:rPr>
        <w:t>矫正视力低于 </w:t>
      </w:r>
      <w:r>
        <w:rPr>
          <w:sz w:val="21"/>
        </w:rPr>
        <w:t>0.02（采用国际标准视力表，如果使用其它</w:t>
      </w:r>
      <w:r>
        <w:rPr>
          <w:spacing w:val="-1"/>
          <w:w w:val="99"/>
          <w:sz w:val="21"/>
        </w:rPr>
        <w:t>视力表应进行换算</w:t>
      </w:r>
      <w:r>
        <w:rPr>
          <w:spacing w:val="-104"/>
          <w:w w:val="99"/>
          <w:sz w:val="21"/>
        </w:rPr>
        <w:t>）</w:t>
      </w:r>
      <w:r>
        <w:rPr>
          <w:w w:val="99"/>
          <w:sz w:val="21"/>
        </w:rPr>
        <w:t>；</w:t>
      </w:r>
    </w:p>
    <w:p>
      <w:pPr>
        <w:pStyle w:val="ListParagraph"/>
        <w:numPr>
          <w:ilvl w:val="0"/>
          <w:numId w:val="40"/>
        </w:numPr>
        <w:tabs>
          <w:tab w:pos="3414" w:val="left" w:leader="none"/>
          <w:tab w:pos="3415" w:val="left" w:leader="none"/>
        </w:tabs>
        <w:spacing w:line="240" w:lineRule="auto" w:before="56" w:after="0"/>
        <w:ind w:left="3414" w:right="0" w:hanging="734"/>
        <w:jc w:val="left"/>
        <w:rPr>
          <w:sz w:val="21"/>
        </w:rPr>
      </w:pPr>
      <w:r>
        <w:rPr>
          <w:spacing w:val="-8"/>
          <w:sz w:val="21"/>
        </w:rPr>
        <w:t>视野半径小于 </w:t>
      </w:r>
      <w:r>
        <w:rPr>
          <w:sz w:val="21"/>
        </w:rPr>
        <w:t>5</w:t>
      </w:r>
      <w:r>
        <w:rPr>
          <w:spacing w:val="-2"/>
          <w:sz w:val="21"/>
        </w:rPr>
        <w:t> 度。</w:t>
      </w:r>
    </w:p>
    <w:p>
      <w:pPr>
        <w:spacing w:after="0" w:line="240" w:lineRule="auto"/>
        <w:jc w:val="left"/>
        <w:rPr>
          <w:sz w:val="21"/>
        </w:rPr>
        <w:sectPr>
          <w:pgSz w:w="12240" w:h="15840"/>
          <w:pgMar w:top="1460" w:bottom="280" w:left="1700" w:right="1680"/>
        </w:sectPr>
      </w:pPr>
    </w:p>
    <w:p>
      <w:pPr>
        <w:pStyle w:val="BodyText"/>
        <w:spacing w:before="4"/>
        <w:ind w:left="2680"/>
        <w:rPr>
          <w:rFonts w:ascii="黑体" w:eastAsia="黑体" w:hint="eastAsia"/>
        </w:rPr>
      </w:pPr>
      <w:r>
        <w:rPr>
          <w:rFonts w:ascii="黑体" w:eastAsia="黑体" w:hint="eastAsia"/>
        </w:rPr>
        <w:t>被保险人在 3 周岁之前因疾病导致单眼视力丧失不在保障范围内。</w:t>
      </w:r>
    </w:p>
    <w:p>
      <w:pPr>
        <w:pStyle w:val="BodyText"/>
        <w:spacing w:before="1"/>
        <w:rPr>
          <w:rFonts w:ascii="黑体"/>
          <w:sz w:val="27"/>
        </w:rPr>
      </w:pPr>
    </w:p>
    <w:p>
      <w:pPr>
        <w:spacing w:after="0"/>
        <w:rPr>
          <w:rFonts w:ascii="黑体"/>
          <w:sz w:val="27"/>
        </w:rPr>
        <w:sectPr>
          <w:pgSz w:w="12240" w:h="15840"/>
          <w:pgMar w:top="1460" w:bottom="280" w:left="1700" w:right="1580"/>
        </w:sectPr>
      </w:pPr>
    </w:p>
    <w:p>
      <w:pPr>
        <w:pStyle w:val="Heading2"/>
        <w:numPr>
          <w:ilvl w:val="1"/>
          <w:numId w:val="35"/>
        </w:numPr>
        <w:tabs>
          <w:tab w:pos="846" w:val="left" w:leader="none"/>
          <w:tab w:pos="847" w:val="left" w:leader="none"/>
        </w:tabs>
        <w:spacing w:line="273" w:lineRule="exact" w:before="35" w:after="0"/>
        <w:ind w:left="846" w:right="0" w:hanging="746"/>
        <w:jc w:val="left"/>
      </w:pPr>
      <w:r>
        <w:rPr>
          <w:w w:val="95"/>
        </w:rPr>
        <w:t>特发性慢性肾上</w:t>
      </w:r>
    </w:p>
    <w:p>
      <w:pPr>
        <w:spacing w:line="273" w:lineRule="exact" w:before="0"/>
        <w:ind w:left="846" w:right="0" w:firstLine="0"/>
        <w:jc w:val="left"/>
        <w:rPr>
          <w:b/>
          <w:sz w:val="21"/>
        </w:rPr>
      </w:pPr>
      <w:r>
        <w:rPr>
          <w:b/>
          <w:w w:val="95"/>
          <w:sz w:val="21"/>
        </w:rPr>
        <w:t>腺皮质功能减退</w:t>
      </w:r>
    </w:p>
    <w:p>
      <w:pPr>
        <w:pStyle w:val="BodyText"/>
        <w:spacing w:line="237" w:lineRule="auto" w:before="38"/>
        <w:ind w:left="100" w:right="220"/>
        <w:rPr>
          <w:rFonts w:ascii="黑体" w:eastAsia="黑体" w:hint="eastAsia"/>
        </w:rPr>
      </w:pPr>
      <w:r>
        <w:rPr/>
        <w:br w:type="column"/>
      </w:r>
      <w:r>
        <w:rPr>
          <w:spacing w:val="-1"/>
          <w:w w:val="95"/>
        </w:rPr>
        <w:t>指自身免疫性肾上腺炎</w:t>
      </w:r>
      <w:r>
        <w:rPr>
          <w:w w:val="95"/>
        </w:rPr>
        <w:t>（</w:t>
      </w:r>
      <w:r>
        <w:rPr>
          <w:spacing w:val="-2"/>
          <w:w w:val="95"/>
        </w:rPr>
        <w:t>既往称：特发性肾上腺皮质萎缩</w:t>
      </w:r>
      <w:r>
        <w:rPr>
          <w:spacing w:val="-10"/>
          <w:w w:val="95"/>
        </w:rPr>
        <w:t>）</w:t>
      </w:r>
      <w:r>
        <w:rPr>
          <w:w w:val="95"/>
        </w:rPr>
        <w:t>导致肾  上腺萎缩和慢性肾上腺皮质功能减退。</w:t>
      </w:r>
      <w:r>
        <w:rPr>
          <w:rFonts w:ascii="黑体" w:eastAsia="黑体" w:hint="eastAsia"/>
          <w:w w:val="95"/>
        </w:rPr>
        <w:t>且满足下列全部条件：</w:t>
      </w:r>
    </w:p>
    <w:p>
      <w:pPr>
        <w:pStyle w:val="ListParagraph"/>
        <w:numPr>
          <w:ilvl w:val="0"/>
          <w:numId w:val="41"/>
        </w:numPr>
        <w:tabs>
          <w:tab w:pos="834" w:val="left" w:leader="none"/>
          <w:tab w:pos="835" w:val="left" w:leader="none"/>
        </w:tabs>
        <w:spacing w:line="240" w:lineRule="auto" w:before="59" w:after="0"/>
        <w:ind w:left="834" w:right="0" w:hanging="734"/>
        <w:jc w:val="left"/>
        <w:rPr>
          <w:sz w:val="21"/>
        </w:rPr>
      </w:pPr>
      <w:r>
        <w:rPr>
          <w:w w:val="95"/>
          <w:sz w:val="21"/>
        </w:rPr>
        <w:t>明确诊断，符合所有以下诊断标准；</w:t>
      </w:r>
    </w:p>
    <w:p>
      <w:pPr>
        <w:pStyle w:val="ListParagraph"/>
        <w:numPr>
          <w:ilvl w:val="1"/>
          <w:numId w:val="41"/>
        </w:numPr>
        <w:tabs>
          <w:tab w:pos="1180" w:val="left" w:leader="none"/>
        </w:tabs>
        <w:spacing w:line="235" w:lineRule="auto" w:before="62" w:after="0"/>
        <w:ind w:left="1180" w:right="217" w:hanging="360"/>
        <w:jc w:val="both"/>
        <w:rPr>
          <w:sz w:val="21"/>
        </w:rPr>
      </w:pPr>
      <w:r>
        <w:rPr>
          <w:spacing w:val="-27"/>
          <w:sz w:val="21"/>
        </w:rPr>
        <w:t>血 浆 促 肾 上 腺 皮 质 激 素 (</w:t>
      </w:r>
      <w:r>
        <w:rPr>
          <w:sz w:val="21"/>
        </w:rPr>
        <w:t>ACTH</w:t>
      </w:r>
      <w:r>
        <w:rPr>
          <w:spacing w:val="-24"/>
          <w:sz w:val="21"/>
        </w:rPr>
        <w:t>) 水 平 测 定 大 于100pg/ml；</w:t>
      </w:r>
    </w:p>
    <w:p>
      <w:pPr>
        <w:pStyle w:val="ListParagraph"/>
        <w:numPr>
          <w:ilvl w:val="1"/>
          <w:numId w:val="41"/>
        </w:numPr>
        <w:tabs>
          <w:tab w:pos="1180" w:val="left" w:leader="none"/>
        </w:tabs>
        <w:spacing w:line="237" w:lineRule="auto" w:before="59" w:after="0"/>
        <w:ind w:left="1180" w:right="220" w:hanging="360"/>
        <w:jc w:val="both"/>
        <w:rPr>
          <w:sz w:val="21"/>
        </w:rPr>
      </w:pPr>
      <w:r>
        <w:rPr>
          <w:sz w:val="21"/>
        </w:rPr>
        <w:t>血浆和尿游离皮质醇及尿 17 羟皮质类固醇、17 酮皮</w:t>
      </w:r>
      <w:r>
        <w:rPr>
          <w:spacing w:val="-7"/>
          <w:sz w:val="21"/>
        </w:rPr>
        <w:t>质类固醇测定、血浆肾素活性、血管紧张素 </w:t>
      </w:r>
      <w:r>
        <w:rPr>
          <w:sz w:val="21"/>
        </w:rPr>
        <w:t>II</w:t>
      </w:r>
      <w:r>
        <w:rPr>
          <w:spacing w:val="-3"/>
          <w:sz w:val="21"/>
        </w:rPr>
        <w:t> 和醛固</w:t>
      </w:r>
      <w:r>
        <w:rPr>
          <w:spacing w:val="-3"/>
          <w:w w:val="95"/>
          <w:sz w:val="21"/>
        </w:rPr>
        <w:t>酮测定，显示为原发性肾上腺皮质功能减退症；</w:t>
      </w:r>
    </w:p>
    <w:p>
      <w:pPr>
        <w:pStyle w:val="ListParagraph"/>
        <w:numPr>
          <w:ilvl w:val="1"/>
          <w:numId w:val="41"/>
        </w:numPr>
        <w:tabs>
          <w:tab w:pos="1180" w:val="left" w:leader="none"/>
        </w:tabs>
        <w:spacing w:line="235" w:lineRule="auto" w:before="62" w:after="0"/>
        <w:ind w:left="1180" w:right="220" w:hanging="360"/>
        <w:jc w:val="both"/>
        <w:rPr>
          <w:sz w:val="21"/>
        </w:rPr>
      </w:pPr>
      <w:r>
        <w:rPr>
          <w:spacing w:val="5"/>
          <w:sz w:val="21"/>
        </w:rPr>
        <w:t>促肾上腺皮质激素(</w:t>
      </w:r>
      <w:r>
        <w:rPr>
          <w:sz w:val="21"/>
        </w:rPr>
        <w:t>ACTH</w:t>
      </w:r>
      <w:r>
        <w:rPr>
          <w:spacing w:val="2"/>
          <w:sz w:val="21"/>
        </w:rPr>
        <w:t>)刺激试验显示为原发性肾上</w:t>
      </w:r>
      <w:r>
        <w:rPr>
          <w:spacing w:val="2"/>
          <w:w w:val="95"/>
          <w:sz w:val="21"/>
        </w:rPr>
        <w:t>腺皮质功能减退症。</w:t>
      </w:r>
    </w:p>
    <w:p>
      <w:pPr>
        <w:pStyle w:val="ListParagraph"/>
        <w:numPr>
          <w:ilvl w:val="0"/>
          <w:numId w:val="41"/>
        </w:numPr>
        <w:tabs>
          <w:tab w:pos="834" w:val="left" w:leader="none"/>
          <w:tab w:pos="835" w:val="left" w:leader="none"/>
        </w:tabs>
        <w:spacing w:line="240" w:lineRule="auto" w:before="56" w:after="0"/>
        <w:ind w:left="834" w:right="0" w:hanging="734"/>
        <w:jc w:val="left"/>
        <w:rPr>
          <w:sz w:val="21"/>
        </w:rPr>
      </w:pPr>
      <w:r>
        <w:rPr>
          <w:spacing w:val="-1"/>
          <w:sz w:val="21"/>
        </w:rPr>
        <w:t>已经采用皮质类固醇替代治疗 </w:t>
      </w:r>
      <w:r>
        <w:rPr>
          <w:sz w:val="21"/>
        </w:rPr>
        <w:t>180</w:t>
      </w:r>
      <w:r>
        <w:rPr>
          <w:spacing w:val="-3"/>
          <w:sz w:val="21"/>
        </w:rPr>
        <w:t> 天以上。</w:t>
      </w:r>
    </w:p>
    <w:p>
      <w:pPr>
        <w:pStyle w:val="BodyText"/>
        <w:spacing w:line="237" w:lineRule="auto" w:before="61"/>
        <w:ind w:left="100" w:right="164"/>
        <w:rPr>
          <w:rFonts w:ascii="黑体" w:eastAsia="黑体" w:hint="eastAsia"/>
        </w:rPr>
      </w:pPr>
      <w:r>
        <w:rPr>
          <w:rFonts w:ascii="黑体" w:eastAsia="黑体" w:hint="eastAsia"/>
        </w:rPr>
        <w:t>肾上腺结核、HIV 感染或艾滋病、感染、肿瘤所致的原发性肾上腺</w:t>
      </w:r>
      <w:r>
        <w:rPr>
          <w:rFonts w:ascii="黑体" w:eastAsia="黑体" w:hint="eastAsia"/>
          <w:w w:val="95"/>
        </w:rPr>
        <w:t>皮质功能减退和继发性肾上腺皮质功能减退不在保障范围内。</w:t>
      </w:r>
    </w:p>
    <w:p>
      <w:pPr>
        <w:spacing w:after="0" w:line="237" w:lineRule="auto"/>
        <w:rPr>
          <w:rFonts w:ascii="黑体" w:eastAsia="黑体" w:hint="eastAsia"/>
        </w:rPr>
        <w:sectPr>
          <w:type w:val="continuous"/>
          <w:pgSz w:w="12240" w:h="15840"/>
          <w:pgMar w:top="900" w:bottom="280" w:left="1700" w:right="1580"/>
          <w:cols w:num="2" w:equalWidth="0">
            <w:col w:w="2321" w:space="259"/>
            <w:col w:w="6380"/>
          </w:cols>
        </w:sectPr>
      </w:pPr>
    </w:p>
    <w:p>
      <w:pPr>
        <w:pStyle w:val="BodyText"/>
        <w:spacing w:before="1"/>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35"/>
        </w:numPr>
        <w:tabs>
          <w:tab w:pos="846" w:val="left" w:leader="none"/>
          <w:tab w:pos="847" w:val="left" w:leader="none"/>
        </w:tabs>
        <w:spacing w:line="274" w:lineRule="exact" w:before="35" w:after="0"/>
        <w:ind w:left="846" w:right="0" w:hanging="746"/>
        <w:jc w:val="left"/>
      </w:pPr>
      <w:r>
        <w:rPr>
          <w:w w:val="95"/>
        </w:rPr>
        <w:t>严重感染性心内</w:t>
      </w:r>
    </w:p>
    <w:p>
      <w:pPr>
        <w:spacing w:line="274" w:lineRule="exact" w:before="0"/>
        <w:ind w:left="837" w:right="1042" w:firstLine="0"/>
        <w:jc w:val="center"/>
        <w:rPr>
          <w:b/>
          <w:sz w:val="21"/>
        </w:rPr>
      </w:pPr>
      <w:r>
        <w:rPr>
          <w:b/>
          <w:w w:val="95"/>
          <w:sz w:val="21"/>
        </w:rPr>
        <w:t>膜炎</w:t>
      </w:r>
    </w:p>
    <w:p>
      <w:pPr>
        <w:pStyle w:val="BodyText"/>
        <w:spacing w:before="35"/>
        <w:ind w:left="100"/>
        <w:rPr>
          <w:rFonts w:ascii="黑体" w:eastAsia="黑体" w:hint="eastAsia"/>
        </w:rPr>
      </w:pPr>
      <w:r>
        <w:rPr/>
        <w:br w:type="column"/>
      </w:r>
      <w:r>
        <w:rPr>
          <w:w w:val="95"/>
        </w:rPr>
        <w:t>是指由感染性微生物引致的心脏内膜炎症，</w:t>
      </w:r>
      <w:r>
        <w:rPr>
          <w:rFonts w:ascii="黑体" w:eastAsia="黑体" w:hint="eastAsia"/>
          <w:w w:val="95"/>
        </w:rPr>
        <w:t>且满足下列全部条件：</w:t>
      </w:r>
    </w:p>
    <w:p>
      <w:pPr>
        <w:pStyle w:val="ListParagraph"/>
        <w:numPr>
          <w:ilvl w:val="0"/>
          <w:numId w:val="42"/>
        </w:numPr>
        <w:tabs>
          <w:tab w:pos="834" w:val="left" w:leader="none"/>
          <w:tab w:pos="835" w:val="left" w:leader="none"/>
        </w:tabs>
        <w:spacing w:line="240" w:lineRule="auto" w:before="58" w:after="0"/>
        <w:ind w:left="834" w:right="0" w:hanging="734"/>
        <w:jc w:val="left"/>
        <w:rPr>
          <w:sz w:val="21"/>
        </w:rPr>
      </w:pPr>
      <w:r>
        <w:rPr>
          <w:w w:val="95"/>
          <w:sz w:val="21"/>
        </w:rPr>
        <w:t>血液培植结果呈阳性反应，证明感染性微生物的存在；</w:t>
      </w:r>
    </w:p>
    <w:p>
      <w:pPr>
        <w:pStyle w:val="ListParagraph"/>
        <w:numPr>
          <w:ilvl w:val="0"/>
          <w:numId w:val="42"/>
        </w:numPr>
        <w:tabs>
          <w:tab w:pos="835" w:val="left" w:leader="none"/>
        </w:tabs>
        <w:spacing w:line="232" w:lineRule="auto" w:before="64" w:after="0"/>
        <w:ind w:left="834" w:right="217" w:hanging="734"/>
        <w:jc w:val="both"/>
        <w:rPr>
          <w:sz w:val="21"/>
        </w:rPr>
      </w:pPr>
      <w:r>
        <w:rPr>
          <w:sz w:val="21"/>
        </w:rPr>
        <w:t>出现最少中度之心脏瓣膜功能</w:t>
      </w:r>
      <w:r>
        <w:rPr>
          <w:rFonts w:ascii="Arial" w:eastAsia="Arial"/>
          <w:spacing w:val="2"/>
          <w:sz w:val="21"/>
        </w:rPr>
        <w:t>不</w:t>
      </w:r>
      <w:r>
        <w:rPr>
          <w:spacing w:val="2"/>
          <w:sz w:val="21"/>
        </w:rPr>
        <w:t>全（</w:t>
      </w:r>
      <w:r>
        <w:rPr>
          <w:spacing w:val="-7"/>
          <w:sz w:val="21"/>
        </w:rPr>
        <w:t>即返流部份达百分之</w:t>
      </w:r>
      <w:r>
        <w:rPr>
          <w:spacing w:val="0"/>
          <w:sz w:val="21"/>
        </w:rPr>
        <w:t>二十或以上</w:t>
      </w:r>
      <w:r>
        <w:rPr>
          <w:spacing w:val="2"/>
          <w:sz w:val="21"/>
        </w:rPr>
        <w:t>）</w:t>
      </w:r>
      <w:r>
        <w:rPr>
          <w:sz w:val="21"/>
        </w:rPr>
        <w:t>或中度之心脏瓣膜狭窄</w:t>
      </w:r>
      <w:r>
        <w:rPr>
          <w:spacing w:val="2"/>
          <w:sz w:val="21"/>
        </w:rPr>
        <w:t>（</w:t>
      </w:r>
      <w:r>
        <w:rPr>
          <w:sz w:val="21"/>
        </w:rPr>
        <w:t>即心脏瓣面积为正</w:t>
      </w:r>
      <w:r>
        <w:rPr>
          <w:spacing w:val="-1"/>
          <w:w w:val="99"/>
          <w:sz w:val="21"/>
        </w:rPr>
        <w:t>常值的百分之三十或以下</w:t>
      </w:r>
      <w:r>
        <w:rPr>
          <w:spacing w:val="-104"/>
          <w:w w:val="99"/>
          <w:sz w:val="21"/>
        </w:rPr>
        <w:t>）</w:t>
      </w:r>
      <w:r>
        <w:rPr>
          <w:spacing w:val="-1"/>
          <w:w w:val="99"/>
          <w:sz w:val="21"/>
        </w:rPr>
        <w:t>，导致感染性心内膜炎；</w:t>
      </w:r>
    </w:p>
    <w:p>
      <w:pPr>
        <w:pStyle w:val="ListParagraph"/>
        <w:numPr>
          <w:ilvl w:val="0"/>
          <w:numId w:val="42"/>
        </w:numPr>
        <w:tabs>
          <w:tab w:pos="834" w:val="left" w:leader="none"/>
          <w:tab w:pos="835" w:val="left" w:leader="none"/>
        </w:tabs>
        <w:spacing w:line="237" w:lineRule="auto" w:before="0" w:after="0"/>
        <w:ind w:left="834" w:right="294" w:hanging="734"/>
        <w:jc w:val="left"/>
        <w:rPr>
          <w:sz w:val="21"/>
        </w:rPr>
      </w:pPr>
      <w:r>
        <w:rPr>
          <w:w w:val="95"/>
          <w:sz w:val="21"/>
        </w:rPr>
        <w:t>感染性心内膜炎的诊断及瓣膜受损的严重程度必须由心脏 病专科医生确定。</w:t>
      </w:r>
    </w:p>
    <w:p>
      <w:pPr>
        <w:spacing w:after="0" w:line="237" w:lineRule="auto"/>
        <w:jc w:val="left"/>
        <w:rPr>
          <w:sz w:val="21"/>
        </w:rPr>
        <w:sectPr>
          <w:type w:val="continuous"/>
          <w:pgSz w:w="12240" w:h="15840"/>
          <w:pgMar w:top="900" w:bottom="280" w:left="1700" w:right="1580"/>
          <w:cols w:num="2" w:equalWidth="0">
            <w:col w:w="2321" w:space="259"/>
            <w:col w:w="6380"/>
          </w:cols>
        </w:sectPr>
      </w:pPr>
    </w:p>
    <w:p>
      <w:pPr>
        <w:pStyle w:val="BodyText"/>
        <w:spacing w:before="6"/>
        <w:rPr>
          <w:sz w:val="27"/>
        </w:rPr>
      </w:pPr>
    </w:p>
    <w:p>
      <w:pPr>
        <w:pStyle w:val="ListParagraph"/>
        <w:numPr>
          <w:ilvl w:val="1"/>
          <w:numId w:val="35"/>
        </w:numPr>
        <w:tabs>
          <w:tab w:pos="846" w:val="left" w:leader="none"/>
          <w:tab w:pos="847" w:val="left" w:leader="none"/>
          <w:tab w:pos="2679" w:val="left" w:leader="none"/>
        </w:tabs>
        <w:spacing w:line="237" w:lineRule="auto" w:before="37" w:after="0"/>
        <w:ind w:left="2680" w:right="190" w:hanging="2580"/>
        <w:jc w:val="left"/>
        <w:rPr>
          <w:sz w:val="21"/>
        </w:rPr>
      </w:pPr>
      <w:r>
        <w:rPr>
          <w:b/>
          <w:sz w:val="21"/>
        </w:rPr>
        <w:t>嗜铬细胞瘤</w:t>
        <w:tab/>
      </w:r>
      <w:r>
        <w:rPr>
          <w:w w:val="95"/>
          <w:sz w:val="21"/>
        </w:rPr>
        <w:t>源于肾上腺髓质、交感神经节或其他部位的嗜铬组织发生的肿瘤，   </w:t>
      </w:r>
      <w:r>
        <w:rPr>
          <w:sz w:val="21"/>
        </w:rPr>
        <w:t>分泌过多的儿茶酚胺，需要确实进</w:t>
      </w:r>
      <w:r>
        <w:rPr>
          <w:rFonts w:ascii="Times New Roman" w:eastAsia="Times New Roman"/>
          <w:w w:val="110"/>
          <w:sz w:val="21"/>
        </w:rPr>
        <w:t>行</w:t>
      </w:r>
      <w:r>
        <w:rPr>
          <w:sz w:val="21"/>
        </w:rPr>
        <w:t>手术以切除肿瘤。</w:t>
      </w:r>
    </w:p>
    <w:p>
      <w:pPr>
        <w:pStyle w:val="BodyText"/>
        <w:spacing w:before="1"/>
        <w:rPr>
          <w:sz w:val="26"/>
        </w:rPr>
      </w:pPr>
    </w:p>
    <w:p>
      <w:pPr>
        <w:spacing w:after="0"/>
        <w:rPr>
          <w:sz w:val="26"/>
        </w:rPr>
        <w:sectPr>
          <w:type w:val="continuous"/>
          <w:pgSz w:w="12240" w:h="15840"/>
          <w:pgMar w:top="900" w:bottom="280" w:left="1700" w:right="1580"/>
        </w:sectPr>
      </w:pPr>
    </w:p>
    <w:p>
      <w:pPr>
        <w:pStyle w:val="Heading2"/>
        <w:numPr>
          <w:ilvl w:val="1"/>
          <w:numId w:val="35"/>
        </w:numPr>
        <w:tabs>
          <w:tab w:pos="846" w:val="left" w:leader="none"/>
          <w:tab w:pos="847" w:val="left" w:leader="none"/>
        </w:tabs>
        <w:spacing w:line="273" w:lineRule="exact" w:before="35" w:after="0"/>
        <w:ind w:left="846" w:right="0" w:hanging="746"/>
        <w:jc w:val="left"/>
      </w:pPr>
      <w:r>
        <w:rPr>
          <w:spacing w:val="20"/>
          <w:w w:val="95"/>
        </w:rPr>
        <w:t>严重的自身免疫</w:t>
      </w:r>
    </w:p>
    <w:p>
      <w:pPr>
        <w:spacing w:line="273" w:lineRule="exact" w:before="0"/>
        <w:ind w:left="837" w:right="977" w:firstLine="0"/>
        <w:jc w:val="center"/>
        <w:rPr>
          <w:b/>
          <w:sz w:val="21"/>
        </w:rPr>
      </w:pPr>
      <w:r>
        <w:rPr>
          <w:b/>
          <w:w w:val="95"/>
          <w:sz w:val="21"/>
        </w:rPr>
        <w:t>性肝炎</w:t>
      </w:r>
    </w:p>
    <w:p>
      <w:pPr>
        <w:pStyle w:val="BodyText"/>
        <w:spacing w:line="237" w:lineRule="auto" w:before="38"/>
        <w:ind w:left="100" w:right="220"/>
        <w:jc w:val="both"/>
        <w:rPr>
          <w:rFonts w:ascii="黑体" w:eastAsia="黑体" w:hint="eastAsia"/>
        </w:rPr>
      </w:pPr>
      <w:r>
        <w:rPr/>
        <w:br w:type="column"/>
      </w:r>
      <w:r>
        <w:rPr>
          <w:spacing w:val="-2"/>
          <w:w w:val="95"/>
        </w:rPr>
        <w:t>自身免疫性肝炎指一种原因不明的慢性肝脏的坏死性炎性疾病，机  </w:t>
      </w:r>
      <w:r>
        <w:rPr>
          <w:spacing w:val="-5"/>
          <w:w w:val="95"/>
        </w:rPr>
        <w:t>体免疫机制被破坏，产生针对肝脏自身抗原的抗体导致自身免疫反  </w:t>
      </w:r>
      <w:r>
        <w:rPr>
          <w:spacing w:val="-6"/>
          <w:w w:val="95"/>
        </w:rPr>
        <w:t>应，从而破坏肝细胞造成肝脏炎症坏死。严重的自身免疫性肝炎指  诊断为自身免疫性肝炎，</w:t>
      </w:r>
      <w:r>
        <w:rPr>
          <w:rFonts w:ascii="黑体" w:eastAsia="黑体" w:hint="eastAsia"/>
          <w:spacing w:val="-6"/>
          <w:w w:val="95"/>
        </w:rPr>
        <w:t>且满足下列全部条件：</w:t>
      </w:r>
    </w:p>
    <w:p>
      <w:pPr>
        <w:pStyle w:val="ListParagraph"/>
        <w:numPr>
          <w:ilvl w:val="0"/>
          <w:numId w:val="43"/>
        </w:numPr>
        <w:tabs>
          <w:tab w:pos="835" w:val="left" w:leader="none"/>
        </w:tabs>
        <w:spacing w:line="240" w:lineRule="auto" w:before="56" w:after="0"/>
        <w:ind w:left="834" w:right="0" w:hanging="734"/>
        <w:jc w:val="both"/>
        <w:rPr>
          <w:sz w:val="21"/>
        </w:rPr>
      </w:pPr>
      <w:r>
        <w:rPr>
          <w:w w:val="95"/>
          <w:sz w:val="21"/>
        </w:rPr>
        <w:t>高γ球蛋白血症；</w:t>
      </w:r>
    </w:p>
    <w:p>
      <w:pPr>
        <w:pStyle w:val="ListParagraph"/>
        <w:numPr>
          <w:ilvl w:val="0"/>
          <w:numId w:val="43"/>
        </w:numPr>
        <w:tabs>
          <w:tab w:pos="835" w:val="left" w:leader="none"/>
        </w:tabs>
        <w:spacing w:line="273" w:lineRule="exact" w:before="58" w:after="0"/>
        <w:ind w:left="834" w:right="0" w:hanging="734"/>
        <w:jc w:val="both"/>
        <w:rPr>
          <w:sz w:val="21"/>
        </w:rPr>
      </w:pPr>
      <w:r>
        <w:rPr>
          <w:spacing w:val="-3"/>
          <w:sz w:val="21"/>
        </w:rPr>
        <w:t>血液中存在高水平的自身免疫抗体，如 </w:t>
      </w:r>
      <w:r>
        <w:rPr>
          <w:sz w:val="21"/>
        </w:rPr>
        <w:t>ANA（抗核抗体</w:t>
      </w:r>
      <w:r>
        <w:rPr>
          <w:spacing w:val="-104"/>
          <w:sz w:val="21"/>
        </w:rPr>
        <w:t>）</w:t>
      </w:r>
      <w:r>
        <w:rPr>
          <w:sz w:val="21"/>
        </w:rPr>
        <w:t>、</w:t>
      </w:r>
    </w:p>
    <w:p>
      <w:pPr>
        <w:pStyle w:val="BodyText"/>
        <w:spacing w:line="273" w:lineRule="exact" w:before="0"/>
        <w:ind w:left="834"/>
      </w:pPr>
      <w:r>
        <w:rPr/>
        <w:t>SMA（抗平滑肌抗体</w:t>
      </w:r>
      <w:r>
        <w:rPr>
          <w:spacing w:val="-106"/>
        </w:rPr>
        <w:t>）</w:t>
      </w:r>
      <w:r>
        <w:rPr/>
        <w:t>、抗-LKM1</w:t>
      </w:r>
      <w:r>
        <w:rPr>
          <w:spacing w:val="-12"/>
        </w:rPr>
        <w:t> 抗体或抗</w:t>
      </w:r>
      <w:r>
        <w:rPr/>
        <w:t>-SLA/LP</w:t>
      </w:r>
      <w:r>
        <w:rPr>
          <w:spacing w:val="-15"/>
        </w:rPr>
        <w:t> 抗体；</w:t>
      </w:r>
    </w:p>
    <w:p>
      <w:pPr>
        <w:pStyle w:val="ListParagraph"/>
        <w:numPr>
          <w:ilvl w:val="0"/>
          <w:numId w:val="43"/>
        </w:numPr>
        <w:tabs>
          <w:tab w:pos="835" w:val="left" w:leader="none"/>
        </w:tabs>
        <w:spacing w:line="240" w:lineRule="auto" w:before="59" w:after="0"/>
        <w:ind w:left="834" w:right="0" w:hanging="734"/>
        <w:jc w:val="both"/>
        <w:rPr>
          <w:sz w:val="21"/>
        </w:rPr>
      </w:pPr>
      <w:r>
        <w:rPr>
          <w:w w:val="95"/>
          <w:sz w:val="21"/>
        </w:rPr>
        <w:t>肝脏活检证实免疫性肝炎；</w:t>
      </w:r>
    </w:p>
    <w:p>
      <w:pPr>
        <w:pStyle w:val="ListParagraph"/>
        <w:numPr>
          <w:ilvl w:val="0"/>
          <w:numId w:val="43"/>
        </w:numPr>
        <w:tabs>
          <w:tab w:pos="835" w:val="left" w:leader="none"/>
        </w:tabs>
        <w:spacing w:line="240" w:lineRule="auto" w:before="56" w:after="0"/>
        <w:ind w:left="834" w:right="0" w:hanging="734"/>
        <w:jc w:val="both"/>
        <w:rPr>
          <w:sz w:val="21"/>
        </w:rPr>
      </w:pPr>
      <w:r>
        <w:rPr>
          <w:spacing w:val="-4"/>
          <w:w w:val="95"/>
          <w:sz w:val="21"/>
        </w:rPr>
        <w:t>临床已经出现腹水、食道静脉曲张和脾肿大等肝硬化表现。</w:t>
      </w:r>
    </w:p>
    <w:p>
      <w:pPr>
        <w:spacing w:after="0" w:line="240" w:lineRule="auto"/>
        <w:jc w:val="both"/>
        <w:rPr>
          <w:sz w:val="21"/>
        </w:rPr>
        <w:sectPr>
          <w:type w:val="continuous"/>
          <w:pgSz w:w="12240" w:h="15840"/>
          <w:pgMar w:top="900" w:bottom="280" w:left="1700" w:right="1580"/>
          <w:cols w:num="2" w:equalWidth="0">
            <w:col w:w="2467" w:space="113"/>
            <w:col w:w="6380"/>
          </w:cols>
        </w:sectPr>
      </w:pPr>
    </w:p>
    <w:p>
      <w:pPr>
        <w:pStyle w:val="BodyText"/>
        <w:spacing w:before="2"/>
        <w:rPr>
          <w:sz w:val="27"/>
        </w:rPr>
      </w:pPr>
    </w:p>
    <w:p>
      <w:pPr>
        <w:spacing w:after="0"/>
        <w:rPr>
          <w:sz w:val="27"/>
        </w:rPr>
        <w:sectPr>
          <w:type w:val="continuous"/>
          <w:pgSz w:w="12240" w:h="15840"/>
          <w:pgMar w:top="900" w:bottom="280" w:left="1700" w:right="1580"/>
        </w:sectPr>
      </w:pPr>
    </w:p>
    <w:p>
      <w:pPr>
        <w:pStyle w:val="Heading2"/>
        <w:numPr>
          <w:ilvl w:val="1"/>
          <w:numId w:val="35"/>
        </w:numPr>
        <w:tabs>
          <w:tab w:pos="846" w:val="left" w:leader="none"/>
          <w:tab w:pos="847" w:val="left" w:leader="none"/>
        </w:tabs>
        <w:spacing w:line="273" w:lineRule="exact" w:before="34" w:after="0"/>
        <w:ind w:left="846" w:right="0" w:hanging="746"/>
        <w:jc w:val="left"/>
      </w:pPr>
      <w:r>
        <w:rPr>
          <w:spacing w:val="20"/>
          <w:w w:val="95"/>
        </w:rPr>
        <w:t>特定的自体造血</w:t>
      </w:r>
    </w:p>
    <w:p>
      <w:pPr>
        <w:spacing w:line="273" w:lineRule="exact" w:before="0"/>
        <w:ind w:left="846" w:right="0" w:firstLine="0"/>
        <w:jc w:val="left"/>
        <w:rPr>
          <w:b/>
          <w:sz w:val="21"/>
        </w:rPr>
      </w:pPr>
      <w:r>
        <w:rPr>
          <w:b/>
          <w:w w:val="95"/>
          <w:sz w:val="21"/>
        </w:rPr>
        <w:t>干细胞移植术</w:t>
      </w:r>
    </w:p>
    <w:p>
      <w:pPr>
        <w:pStyle w:val="BodyText"/>
        <w:spacing w:line="237" w:lineRule="auto" w:before="37"/>
        <w:ind w:left="100" w:right="190"/>
        <w:jc w:val="both"/>
        <w:rPr>
          <w:rFonts w:ascii="黑体" w:eastAsia="黑体" w:hint="eastAsia"/>
        </w:rPr>
      </w:pPr>
      <w:r>
        <w:rPr/>
        <w:br w:type="column"/>
      </w:r>
      <w:r>
        <w:rPr>
          <w:spacing w:val="-2"/>
        </w:rPr>
        <w:t>指为治疗造血功能损害或造血系统恶性肿瘤，已经实施了造血干细</w:t>
      </w:r>
      <w:r>
        <w:rPr>
          <w:spacing w:val="-2"/>
          <w:w w:val="95"/>
        </w:rPr>
        <w:t>胞（包括骨髓造血干细胞、外周血造血干细胞和脐血造血干细胞）  的自体移植手术。</w:t>
      </w:r>
      <w:r>
        <w:rPr>
          <w:rFonts w:ascii="黑体" w:eastAsia="黑体" w:hint="eastAsia"/>
          <w:spacing w:val="-2"/>
          <w:w w:val="95"/>
        </w:rPr>
        <w:t>该治疗须由专科医Th认为是医学必需的。</w:t>
      </w:r>
    </w:p>
    <w:p>
      <w:pPr>
        <w:spacing w:after="0" w:line="237" w:lineRule="auto"/>
        <w:jc w:val="both"/>
        <w:rPr>
          <w:rFonts w:ascii="黑体" w:eastAsia="黑体" w:hint="eastAsia"/>
        </w:rPr>
        <w:sectPr>
          <w:type w:val="continuous"/>
          <w:pgSz w:w="12240" w:h="15840"/>
          <w:pgMar w:top="900" w:bottom="280" w:left="1700" w:right="1580"/>
          <w:cols w:num="2" w:equalWidth="0">
            <w:col w:w="2467" w:space="113"/>
            <w:col w:w="6380"/>
          </w:cols>
        </w:sectPr>
      </w:pPr>
    </w:p>
    <w:p>
      <w:pPr>
        <w:pStyle w:val="Heading2"/>
        <w:numPr>
          <w:ilvl w:val="1"/>
          <w:numId w:val="35"/>
        </w:numPr>
        <w:tabs>
          <w:tab w:pos="906" w:val="left" w:leader="none"/>
          <w:tab w:pos="907" w:val="left" w:leader="none"/>
        </w:tabs>
        <w:spacing w:line="274" w:lineRule="exact" w:before="4" w:after="0"/>
        <w:ind w:left="2740" w:right="0" w:hanging="2580"/>
        <w:jc w:val="left"/>
      </w:pPr>
      <w:r>
        <w:rPr>
          <w:spacing w:val="20"/>
          <w:w w:val="95"/>
        </w:rPr>
        <w:t>严重的瑞氏综合</w:t>
      </w:r>
    </w:p>
    <w:p>
      <w:pPr>
        <w:spacing w:line="274" w:lineRule="exact" w:before="0"/>
        <w:ind w:left="0" w:right="502" w:firstLine="0"/>
        <w:jc w:val="center"/>
        <w:rPr>
          <w:b/>
          <w:sz w:val="21"/>
        </w:rPr>
      </w:pPr>
      <w:r>
        <w:rPr>
          <w:b/>
          <w:w w:val="99"/>
          <w:sz w:val="21"/>
        </w:rPr>
        <w:t>征</w:t>
      </w:r>
    </w:p>
    <w:p>
      <w:pPr>
        <w:pStyle w:val="BodyText"/>
        <w:spacing w:line="237" w:lineRule="auto" w:before="7"/>
        <w:ind w:left="160" w:right="217"/>
        <w:jc w:val="both"/>
        <w:rPr>
          <w:rFonts w:ascii="黑体" w:eastAsia="黑体" w:hint="eastAsia"/>
        </w:rPr>
      </w:pPr>
      <w:r>
        <w:rPr/>
        <w:br w:type="column"/>
      </w:r>
      <w:r>
        <w:rPr>
          <w:spacing w:val="-2"/>
          <w:w w:val="95"/>
        </w:rPr>
        <w:t>瑞氏综合征指线粒体功能障碍性疾病。导致脂肪代谢障碍，引起短  </w:t>
      </w:r>
      <w:r>
        <w:rPr>
          <w:spacing w:val="-7"/>
          <w:w w:val="95"/>
        </w:rPr>
        <w:t>链脂肪酸、血氨升高，造成脑水肿。主要临床表现为急性发热、反  复呕吐、惊厥及意识障碍等。严重的瑞氏综合征指诊断为瑞氏综合  征，</w:t>
      </w:r>
      <w:r>
        <w:rPr>
          <w:rFonts w:ascii="黑体" w:eastAsia="黑体" w:hint="eastAsia"/>
          <w:spacing w:val="-7"/>
          <w:w w:val="95"/>
        </w:rPr>
        <w:t>且满足下列全部条件：</w:t>
      </w:r>
    </w:p>
    <w:p>
      <w:pPr>
        <w:pStyle w:val="ListParagraph"/>
        <w:numPr>
          <w:ilvl w:val="0"/>
          <w:numId w:val="44"/>
        </w:numPr>
        <w:tabs>
          <w:tab w:pos="895" w:val="left" w:leader="none"/>
        </w:tabs>
        <w:spacing w:line="240" w:lineRule="auto" w:before="56" w:after="0"/>
        <w:ind w:left="894" w:right="0" w:hanging="734"/>
        <w:jc w:val="both"/>
        <w:rPr>
          <w:sz w:val="21"/>
        </w:rPr>
      </w:pPr>
      <w:r>
        <w:rPr>
          <w:w w:val="95"/>
          <w:sz w:val="21"/>
        </w:rPr>
        <w:t>有脑水肿和颅内压升高的脑脊液检查和影像学检查证据；</w:t>
      </w:r>
    </w:p>
    <w:p>
      <w:pPr>
        <w:pStyle w:val="ListParagraph"/>
        <w:numPr>
          <w:ilvl w:val="0"/>
          <w:numId w:val="44"/>
        </w:numPr>
        <w:tabs>
          <w:tab w:pos="895" w:val="left" w:leader="none"/>
        </w:tabs>
        <w:spacing w:line="240" w:lineRule="auto" w:before="58" w:after="0"/>
        <w:ind w:left="894" w:right="0" w:hanging="734"/>
        <w:jc w:val="both"/>
        <w:rPr>
          <w:sz w:val="21"/>
        </w:rPr>
      </w:pPr>
      <w:r>
        <w:rPr>
          <w:spacing w:val="-7"/>
          <w:sz w:val="21"/>
        </w:rPr>
        <w:t>血氨超过正常值的 </w:t>
      </w:r>
      <w:r>
        <w:rPr>
          <w:sz w:val="21"/>
        </w:rPr>
        <w:t>3</w:t>
      </w:r>
      <w:r>
        <w:rPr>
          <w:spacing w:val="-20"/>
          <w:sz w:val="21"/>
        </w:rPr>
        <w:t> 倍；</w:t>
      </w:r>
    </w:p>
    <w:p>
      <w:pPr>
        <w:pStyle w:val="ListParagraph"/>
        <w:numPr>
          <w:ilvl w:val="0"/>
          <w:numId w:val="44"/>
        </w:numPr>
        <w:tabs>
          <w:tab w:pos="895" w:val="left" w:leader="none"/>
        </w:tabs>
        <w:spacing w:line="240" w:lineRule="auto" w:before="55" w:after="0"/>
        <w:ind w:left="894" w:right="0" w:hanging="734"/>
        <w:jc w:val="both"/>
        <w:rPr>
          <w:sz w:val="21"/>
        </w:rPr>
      </w:pPr>
      <w:r>
        <w:rPr>
          <w:w w:val="95"/>
          <w:sz w:val="21"/>
        </w:rPr>
        <w:t>临床出现昏迷，病程至少达到疾病分期第Ⅲ期。</w:t>
      </w:r>
    </w:p>
    <w:p>
      <w:pPr>
        <w:spacing w:after="0" w:line="240" w:lineRule="auto"/>
        <w:jc w:val="both"/>
        <w:rPr>
          <w:sz w:val="21"/>
        </w:rPr>
        <w:sectPr>
          <w:pgSz w:w="12240" w:h="15840"/>
          <w:pgMar w:top="1460" w:bottom="280" w:left="1640" w:right="1580"/>
          <w:cols w:num="2" w:equalWidth="0">
            <w:col w:w="2527" w:space="53"/>
            <w:col w:w="6440"/>
          </w:cols>
        </w:sectPr>
      </w:pPr>
    </w:p>
    <w:p>
      <w:pPr>
        <w:pStyle w:val="BodyText"/>
        <w:spacing w:before="0"/>
        <w:rPr>
          <w:sz w:val="20"/>
        </w:rPr>
      </w:pPr>
    </w:p>
    <w:p>
      <w:pPr>
        <w:pStyle w:val="BodyText"/>
        <w:spacing w:before="10"/>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88"/>
        <w:gridCol w:w="6217"/>
      </w:tblGrid>
      <w:tr>
        <w:trPr>
          <w:trHeight w:val="542" w:hRule="atLeast"/>
        </w:trPr>
        <w:tc>
          <w:tcPr>
            <w:tcW w:w="635" w:type="dxa"/>
          </w:tcPr>
          <w:p>
            <w:pPr>
              <w:pStyle w:val="TableParagraph"/>
              <w:spacing w:line="209" w:lineRule="exact"/>
              <w:ind w:left="50"/>
              <w:rPr>
                <w:b/>
                <w:sz w:val="21"/>
              </w:rPr>
            </w:pPr>
            <w:r>
              <w:rPr>
                <w:b/>
                <w:sz w:val="21"/>
              </w:rPr>
              <w:t>9.64</w:t>
            </w:r>
          </w:p>
        </w:tc>
        <w:tc>
          <w:tcPr>
            <w:tcW w:w="1888" w:type="dxa"/>
          </w:tcPr>
          <w:p>
            <w:pPr>
              <w:pStyle w:val="TableParagraph"/>
              <w:spacing w:line="207" w:lineRule="exact"/>
              <w:ind w:left="161"/>
              <w:rPr>
                <w:b/>
                <w:sz w:val="21"/>
              </w:rPr>
            </w:pPr>
            <w:r>
              <w:rPr>
                <w:b/>
                <w:w w:val="95"/>
                <w:sz w:val="21"/>
              </w:rPr>
              <w:t>特定的肠道疾病</w:t>
            </w:r>
          </w:p>
          <w:p>
            <w:pPr>
              <w:pStyle w:val="TableParagraph"/>
              <w:spacing w:line="273" w:lineRule="exact"/>
              <w:ind w:left="161"/>
              <w:rPr>
                <w:b/>
                <w:sz w:val="21"/>
              </w:rPr>
            </w:pPr>
            <w:r>
              <w:rPr>
                <w:b/>
                <w:w w:val="95"/>
                <w:sz w:val="21"/>
              </w:rPr>
              <w:t>并发症</w:t>
            </w:r>
          </w:p>
        </w:tc>
        <w:tc>
          <w:tcPr>
            <w:tcW w:w="6217" w:type="dxa"/>
          </w:tcPr>
          <w:p>
            <w:pPr>
              <w:pStyle w:val="TableParagraph"/>
              <w:spacing w:line="207" w:lineRule="exact"/>
              <w:ind w:left="106"/>
              <w:rPr>
                <w:rFonts w:ascii="黑体" w:eastAsia="黑体" w:hint="eastAsia"/>
                <w:sz w:val="21"/>
              </w:rPr>
            </w:pPr>
            <w:r>
              <w:rPr>
                <w:w w:val="95"/>
                <w:sz w:val="21"/>
              </w:rPr>
              <w:t>指严重的肠道疾病或外伤而导致的小肠损害并发症，</w:t>
            </w:r>
            <w:r>
              <w:rPr>
                <w:rFonts w:ascii="黑体" w:eastAsia="黑体" w:hint="eastAsia"/>
                <w:w w:val="95"/>
                <w:sz w:val="21"/>
              </w:rPr>
              <w:t>且满足下列全</w:t>
            </w:r>
          </w:p>
          <w:p>
            <w:pPr>
              <w:pStyle w:val="TableParagraph"/>
              <w:spacing w:line="273" w:lineRule="exact"/>
              <w:ind w:left="106"/>
              <w:rPr>
                <w:rFonts w:ascii="黑体" w:eastAsia="黑体" w:hint="eastAsia"/>
                <w:sz w:val="21"/>
              </w:rPr>
            </w:pPr>
            <w:r>
              <w:rPr>
                <w:rFonts w:ascii="黑体" w:eastAsia="黑体" w:hint="eastAsia"/>
                <w:w w:val="95"/>
                <w:sz w:val="21"/>
              </w:rPr>
              <w:t>部条件：</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z w:val="21"/>
              </w:rPr>
              <w:t>（1）</w:t>
              <w:tab/>
            </w:r>
            <w:r>
              <w:rPr>
                <w:w w:val="95"/>
                <w:sz w:val="21"/>
              </w:rPr>
              <w:t>至少切除了三分之二小肠；</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0" w:lineRule="exact"/>
              <w:ind w:left="106"/>
              <w:rPr>
                <w:sz w:val="21"/>
              </w:rPr>
            </w:pPr>
            <w:r>
              <w:rPr>
                <w:sz w:val="21"/>
              </w:rPr>
              <w:t>（2）</w:t>
              <w:tab/>
            </w:r>
            <w:r>
              <w:rPr>
                <w:w w:val="95"/>
                <w:sz w:val="21"/>
              </w:rPr>
              <w:t>完全肠外营养支持三个月以上。</w:t>
            </w:r>
          </w:p>
        </w:tc>
      </w:tr>
      <w:tr>
        <w:trPr>
          <w:trHeight w:val="499"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spacing w:line="271" w:lineRule="exact"/>
              <w:ind w:left="106"/>
              <w:rPr>
                <w:rFonts w:ascii="黑体" w:eastAsia="黑体" w:hint="eastAsia"/>
                <w:sz w:val="21"/>
              </w:rPr>
            </w:pPr>
            <w:r>
              <w:rPr>
                <w:rFonts w:ascii="黑体" w:eastAsia="黑体" w:hint="eastAsia"/>
                <w:sz w:val="21"/>
              </w:rPr>
              <w:t>被保险人 18 周岁及之后罹患本疾病的，本公司不承担保险责任。</w:t>
            </w:r>
          </w:p>
        </w:tc>
      </w:tr>
      <w:tr>
        <w:trPr>
          <w:trHeight w:val="1315" w:hRule="atLeast"/>
        </w:trPr>
        <w:tc>
          <w:tcPr>
            <w:tcW w:w="635" w:type="dxa"/>
          </w:tcPr>
          <w:p>
            <w:pPr>
              <w:pStyle w:val="TableParagraph"/>
              <w:spacing w:before="162"/>
              <w:ind w:left="50"/>
              <w:rPr>
                <w:b/>
                <w:sz w:val="21"/>
              </w:rPr>
            </w:pPr>
            <w:r>
              <w:rPr>
                <w:b/>
                <w:sz w:val="21"/>
              </w:rPr>
              <w:t>9.65</w:t>
            </w:r>
          </w:p>
        </w:tc>
        <w:tc>
          <w:tcPr>
            <w:tcW w:w="1888" w:type="dxa"/>
          </w:tcPr>
          <w:p>
            <w:pPr>
              <w:pStyle w:val="TableParagraph"/>
              <w:spacing w:line="237" w:lineRule="auto" w:before="165"/>
              <w:ind w:left="161" w:right="104"/>
              <w:rPr>
                <w:b/>
                <w:sz w:val="21"/>
              </w:rPr>
            </w:pPr>
            <w:r>
              <w:rPr>
                <w:b/>
                <w:w w:val="95"/>
                <w:sz w:val="21"/>
              </w:rPr>
              <w:t>严重的骨髓增生异常综合征</w:t>
            </w:r>
          </w:p>
        </w:tc>
        <w:tc>
          <w:tcPr>
            <w:tcW w:w="6217" w:type="dxa"/>
          </w:tcPr>
          <w:p>
            <w:pPr>
              <w:pStyle w:val="TableParagraph"/>
              <w:spacing w:line="237" w:lineRule="auto" w:before="165"/>
              <w:ind w:left="106" w:right="47"/>
              <w:jc w:val="both"/>
              <w:rPr>
                <w:rFonts w:ascii="黑体" w:eastAsia="黑体" w:hint="eastAsia"/>
                <w:sz w:val="21"/>
              </w:rPr>
            </w:pPr>
            <w:r>
              <w:rPr>
                <w:spacing w:val="5"/>
                <w:sz w:val="21"/>
              </w:rPr>
              <w:t>骨髓增生异常综合征指起源于造血干细胞的一组骨髓克隆增生异</w:t>
            </w:r>
            <w:r>
              <w:rPr>
                <w:spacing w:val="-2"/>
                <w:w w:val="95"/>
                <w:sz w:val="21"/>
              </w:rPr>
              <w:t>常的疾病，表现为无效造血、难治性血细胞减少，有转化为急性髓  </w:t>
            </w:r>
            <w:r>
              <w:rPr>
                <w:spacing w:val="-6"/>
                <w:w w:val="95"/>
                <w:sz w:val="21"/>
              </w:rPr>
              <w:t>系白血病的风险。严重的骨髓增生异常综合征指根据外周血和骨髓  活检诊断为骨髓增生异常综合征，</w:t>
            </w:r>
            <w:r>
              <w:rPr>
                <w:rFonts w:ascii="黑体" w:eastAsia="黑体" w:hint="eastAsia"/>
                <w:spacing w:val="-6"/>
                <w:w w:val="95"/>
                <w:sz w:val="21"/>
              </w:rPr>
              <w:t>且满足下列全部条件：</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pacing w:val="-1"/>
                <w:w w:val="99"/>
                <w:sz w:val="21"/>
              </w:rPr>
              <w:t>（</w:t>
            </w:r>
            <w:r>
              <w:rPr>
                <w:spacing w:val="0"/>
                <w:w w:val="99"/>
                <w:sz w:val="21"/>
              </w:rPr>
              <w:t>1</w:t>
            </w:r>
            <w:r>
              <w:rPr>
                <w:w w:val="99"/>
                <w:sz w:val="21"/>
              </w:rPr>
              <w:t>）</w:t>
            </w:r>
            <w:r>
              <w:rPr>
                <w:sz w:val="21"/>
              </w:rPr>
              <w:tab/>
            </w:r>
            <w:r>
              <w:rPr>
                <w:spacing w:val="0"/>
                <w:w w:val="99"/>
                <w:sz w:val="21"/>
              </w:rPr>
              <w:t>FA</w:t>
            </w:r>
            <w:r>
              <w:rPr>
                <w:w w:val="99"/>
                <w:sz w:val="21"/>
              </w:rPr>
              <w:t>B</w:t>
            </w:r>
            <w:r>
              <w:rPr>
                <w:spacing w:val="-54"/>
                <w:sz w:val="21"/>
              </w:rPr>
              <w:t> </w:t>
            </w:r>
            <w:r>
              <w:rPr>
                <w:spacing w:val="-1"/>
                <w:w w:val="99"/>
                <w:sz w:val="21"/>
              </w:rPr>
              <w:t>分类为难治性贫血伴原始细胞增多</w:t>
            </w:r>
            <w:r>
              <w:rPr>
                <w:spacing w:val="1"/>
                <w:w w:val="99"/>
                <w:sz w:val="21"/>
              </w:rPr>
              <w:t>（</w:t>
            </w:r>
            <w:r>
              <w:rPr>
                <w:spacing w:val="0"/>
                <w:w w:val="99"/>
                <w:sz w:val="21"/>
              </w:rPr>
              <w:t>RA</w:t>
            </w:r>
            <w:r>
              <w:rPr>
                <w:spacing w:val="-2"/>
                <w:w w:val="99"/>
                <w:sz w:val="21"/>
              </w:rPr>
              <w:t>E</w:t>
            </w:r>
            <w:r>
              <w:rPr>
                <w:spacing w:val="0"/>
                <w:w w:val="99"/>
                <w:sz w:val="21"/>
              </w:rPr>
              <w:t>B</w:t>
            </w:r>
            <w:r>
              <w:rPr>
                <w:spacing w:val="-106"/>
                <w:w w:val="99"/>
                <w:sz w:val="21"/>
              </w:rPr>
              <w:t>）</w:t>
            </w:r>
            <w:r>
              <w:rPr>
                <w:w w:val="99"/>
                <w:sz w:val="21"/>
              </w:rPr>
              <w:t>；</w:t>
            </w:r>
          </w:p>
        </w:tc>
      </w:tr>
      <w:tr>
        <w:trPr>
          <w:trHeight w:val="270"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50" w:lineRule="exact"/>
              <w:ind w:left="106"/>
              <w:rPr>
                <w:sz w:val="21"/>
              </w:rPr>
            </w:pPr>
            <w:r>
              <w:rPr>
                <w:sz w:val="21"/>
              </w:rPr>
              <w:t>（2）</w:t>
              <w:tab/>
            </w:r>
            <w:r>
              <w:rPr>
                <w:spacing w:val="17"/>
                <w:sz w:val="21"/>
              </w:rPr>
              <w:t>根据“ 骨髓增生异常综合征修订国际预后积分系统</w:t>
            </w:r>
          </w:p>
        </w:tc>
      </w:tr>
    </w:tbl>
    <w:p>
      <w:pPr>
        <w:pStyle w:val="BodyText"/>
        <w:spacing w:line="274" w:lineRule="exact" w:before="0"/>
        <w:ind w:left="3474"/>
      </w:pPr>
      <w:r>
        <w:rPr>
          <w:spacing w:val="-1"/>
          <w:w w:val="99"/>
        </w:rPr>
        <w:t>（</w:t>
      </w:r>
      <w:r>
        <w:rPr>
          <w:spacing w:val="0"/>
          <w:w w:val="99"/>
        </w:rPr>
        <w:t>IPS</w:t>
      </w:r>
      <w:r>
        <w:rPr>
          <w:spacing w:val="-2"/>
          <w:w w:val="99"/>
        </w:rPr>
        <w:t>S</w:t>
      </w:r>
      <w:r>
        <w:rPr>
          <w:spacing w:val="0"/>
          <w:w w:val="99"/>
        </w:rPr>
        <w:t>-R</w:t>
      </w:r>
      <w:r>
        <w:rPr>
          <w:spacing w:val="-92"/>
          <w:sz w:val="18"/>
        </w:rPr>
        <w:t>）</w:t>
      </w:r>
      <w:r>
        <w:rPr>
          <w:spacing w:val="-1"/>
          <w:w w:val="99"/>
        </w:rPr>
        <w:t>”积分≥</w:t>
      </w:r>
      <w:r>
        <w:rPr>
          <w:spacing w:val="0"/>
          <w:w w:val="99"/>
        </w:rPr>
        <w:t>3</w:t>
      </w:r>
      <w:r>
        <w:rPr>
          <w:spacing w:val="-1"/>
          <w:w w:val="99"/>
        </w:rPr>
        <w:t>，属于中危及以上组。</w:t>
      </w:r>
    </w:p>
    <w:p>
      <w:pPr>
        <w:pStyle w:val="BodyText"/>
        <w:spacing w:before="2"/>
        <w:rPr>
          <w:sz w:val="27"/>
        </w:rPr>
      </w:pPr>
    </w:p>
    <w:p>
      <w:pPr>
        <w:spacing w:after="0"/>
        <w:rPr>
          <w:sz w:val="27"/>
        </w:rPr>
        <w:sectPr>
          <w:type w:val="continuous"/>
          <w:pgSz w:w="12240" w:h="15840"/>
          <w:pgMar w:top="900" w:bottom="280" w:left="1640" w:right="1580"/>
        </w:sectPr>
      </w:pPr>
    </w:p>
    <w:p>
      <w:pPr>
        <w:pStyle w:val="Heading2"/>
        <w:numPr>
          <w:ilvl w:val="1"/>
          <w:numId w:val="45"/>
        </w:numPr>
        <w:tabs>
          <w:tab w:pos="906" w:val="left" w:leader="none"/>
          <w:tab w:pos="907" w:val="left" w:leader="none"/>
        </w:tabs>
        <w:spacing w:line="237" w:lineRule="auto" w:before="37" w:after="0"/>
        <w:ind w:left="906" w:right="0" w:hanging="746"/>
        <w:jc w:val="left"/>
      </w:pPr>
      <w:r>
        <w:rPr>
          <w:spacing w:val="20"/>
          <w:w w:val="95"/>
        </w:rPr>
        <w:t>严重的慢性缩窄型心包炎</w:t>
      </w:r>
    </w:p>
    <w:p>
      <w:pPr>
        <w:pStyle w:val="BodyText"/>
        <w:spacing w:line="237" w:lineRule="auto" w:before="37"/>
        <w:ind w:left="160" w:right="217"/>
        <w:jc w:val="both"/>
        <w:rPr>
          <w:rFonts w:ascii="黑体" w:eastAsia="黑体" w:hint="eastAsia"/>
        </w:rPr>
      </w:pPr>
      <w:r>
        <w:rPr/>
        <w:br w:type="column"/>
      </w:r>
      <w:r>
        <w:rPr>
          <w:spacing w:val="5"/>
        </w:rPr>
        <w:t>慢性缩窄型心包炎指由于慢性心包炎症导致心包脏层和壁层广泛</w:t>
      </w:r>
      <w:r>
        <w:rPr>
          <w:spacing w:val="-3"/>
          <w:w w:val="95"/>
        </w:rPr>
        <w:t>瘢痕粘连、增厚和钙化，心包腔闭塞，形成一个纤维瘢痕外壳，使  </w:t>
      </w:r>
      <w:r>
        <w:rPr>
          <w:spacing w:val="-6"/>
          <w:w w:val="95"/>
        </w:rPr>
        <w:t>心脏和大血管根部受压，阻碍心脏的舒张。严重的慢性缩窄型心包  炎指诊断为慢性缩窄型心包炎，</w:t>
      </w:r>
      <w:r>
        <w:rPr>
          <w:rFonts w:ascii="黑体" w:eastAsia="黑体" w:hint="eastAsia"/>
          <w:spacing w:val="-6"/>
          <w:w w:val="95"/>
        </w:rPr>
        <w:t>且满足下列全部条件：</w:t>
      </w:r>
    </w:p>
    <w:p>
      <w:pPr>
        <w:pStyle w:val="ListParagraph"/>
        <w:numPr>
          <w:ilvl w:val="0"/>
          <w:numId w:val="46"/>
        </w:numPr>
        <w:tabs>
          <w:tab w:pos="895" w:val="left" w:leader="none"/>
        </w:tabs>
        <w:spacing w:line="240" w:lineRule="auto" w:before="56" w:after="0"/>
        <w:ind w:left="894" w:right="220" w:hanging="734"/>
        <w:jc w:val="both"/>
        <w:rPr>
          <w:sz w:val="21"/>
        </w:rPr>
      </w:pPr>
      <w:r>
        <w:rPr>
          <w:spacing w:val="8"/>
          <w:sz w:val="21"/>
        </w:rPr>
        <w:t>心功能衰竭达到美国纽约心脏病学会心功能状态分级Ⅳ </w:t>
      </w:r>
      <w:r>
        <w:rPr>
          <w:spacing w:val="-3"/>
          <w:sz w:val="21"/>
        </w:rPr>
        <w:t>级，并持续 </w:t>
      </w:r>
      <w:r>
        <w:rPr>
          <w:sz w:val="21"/>
        </w:rPr>
        <w:t>180</w:t>
      </w:r>
      <w:r>
        <w:rPr>
          <w:spacing w:val="-12"/>
          <w:sz w:val="21"/>
        </w:rPr>
        <w:t> 天以上；</w:t>
      </w:r>
    </w:p>
    <w:p>
      <w:pPr>
        <w:pStyle w:val="ListParagraph"/>
        <w:numPr>
          <w:ilvl w:val="0"/>
          <w:numId w:val="46"/>
        </w:numPr>
        <w:tabs>
          <w:tab w:pos="895" w:val="left" w:leader="none"/>
        </w:tabs>
        <w:spacing w:line="237" w:lineRule="auto" w:before="61" w:after="0"/>
        <w:ind w:left="894" w:right="217" w:hanging="734"/>
        <w:jc w:val="both"/>
        <w:rPr>
          <w:rFonts w:ascii="黑体" w:eastAsia="黑体" w:hint="eastAsia"/>
          <w:sz w:val="21"/>
        </w:rPr>
      </w:pPr>
      <w:r>
        <w:rPr>
          <w:sz w:val="21"/>
        </w:rPr>
        <w:t>已经实施了开胸进行的心包剥脱或心包切除手术。</w:t>
      </w:r>
      <w:r>
        <w:rPr>
          <w:rFonts w:ascii="黑体" w:eastAsia="黑体" w:hint="eastAsia"/>
          <w:spacing w:val="0"/>
          <w:sz w:val="21"/>
        </w:rPr>
        <w:t>经胸腔</w:t>
      </w:r>
      <w:r>
        <w:rPr>
          <w:rFonts w:ascii="黑体" w:eastAsia="黑体" w:hint="eastAsia"/>
          <w:sz w:val="21"/>
        </w:rPr>
        <w:t>镜、胸壁打孔进行的手术、心包粘连松解手术不在保障范</w:t>
      </w:r>
      <w:r>
        <w:rPr>
          <w:rFonts w:ascii="黑体" w:eastAsia="黑体" w:hint="eastAsia"/>
          <w:w w:val="95"/>
          <w:sz w:val="21"/>
        </w:rPr>
        <w:t>围内。</w:t>
      </w:r>
    </w:p>
    <w:p>
      <w:pPr>
        <w:spacing w:after="0" w:line="237" w:lineRule="auto"/>
        <w:jc w:val="both"/>
        <w:rPr>
          <w:rFonts w:ascii="黑体" w:eastAsia="黑体" w:hint="eastAsia"/>
          <w:sz w:val="21"/>
        </w:rPr>
        <w:sectPr>
          <w:type w:val="continuous"/>
          <w:pgSz w:w="12240" w:h="15840"/>
          <w:pgMar w:top="900" w:bottom="280" w:left="1640" w:right="1580"/>
          <w:cols w:num="2" w:equalWidth="0">
            <w:col w:w="2527" w:space="53"/>
            <w:col w:w="6440"/>
          </w:cols>
        </w:sectPr>
      </w:pPr>
    </w:p>
    <w:p>
      <w:pPr>
        <w:pStyle w:val="BodyText"/>
        <w:spacing w:before="4"/>
        <w:rPr>
          <w:rFonts w:ascii="黑体"/>
          <w:sz w:val="27"/>
        </w:rPr>
      </w:pPr>
    </w:p>
    <w:p>
      <w:pPr>
        <w:pStyle w:val="ListParagraph"/>
        <w:numPr>
          <w:ilvl w:val="1"/>
          <w:numId w:val="45"/>
        </w:numPr>
        <w:tabs>
          <w:tab w:pos="906" w:val="left" w:leader="none"/>
          <w:tab w:pos="907" w:val="left" w:leader="none"/>
          <w:tab w:pos="2739" w:val="left" w:leader="none"/>
        </w:tabs>
        <w:spacing w:line="237" w:lineRule="auto" w:before="37" w:after="0"/>
        <w:ind w:left="2740" w:right="114" w:hanging="2580"/>
        <w:jc w:val="left"/>
        <w:rPr>
          <w:rFonts w:ascii="黑体" w:eastAsia="黑体" w:hint="eastAsia"/>
          <w:sz w:val="21"/>
        </w:rPr>
      </w:pPr>
      <w:r>
        <w:rPr>
          <w:b/>
          <w:sz w:val="21"/>
        </w:rPr>
        <w:t>特定的手足口病</w:t>
        <w:tab/>
      </w:r>
      <w:r>
        <w:rPr>
          <w:w w:val="95"/>
          <w:sz w:val="21"/>
        </w:rPr>
        <w:t>手足口病指由肠道病毒引起的急性传染病</w:t>
      </w:r>
      <w:r>
        <w:rPr>
          <w:spacing w:val="-68"/>
          <w:w w:val="95"/>
          <w:sz w:val="21"/>
        </w:rPr>
        <w:t>，</w:t>
      </w:r>
      <w:r>
        <w:rPr>
          <w:w w:val="95"/>
          <w:sz w:val="21"/>
        </w:rPr>
        <w:t>主要症状表现为手</w:t>
      </w:r>
      <w:r>
        <w:rPr>
          <w:spacing w:val="-65"/>
          <w:w w:val="95"/>
          <w:sz w:val="21"/>
        </w:rPr>
        <w:t>、</w:t>
      </w:r>
      <w:r>
        <w:rPr>
          <w:w w:val="95"/>
          <w:sz w:val="21"/>
        </w:rPr>
        <w:t>足、   </w:t>
      </w:r>
      <w:r>
        <w:rPr>
          <w:sz w:val="21"/>
        </w:rPr>
        <w:t>口腔等部位的斑丘疹、疱疹。特定的手足口病指诊断为手足口病， </w:t>
      </w:r>
      <w:r>
        <w:rPr>
          <w:rFonts w:ascii="黑体" w:eastAsia="黑体" w:hint="eastAsia"/>
          <w:w w:val="95"/>
          <w:sz w:val="21"/>
        </w:rPr>
        <w:t>且伴有下列三项中的任意一项并发症：</w:t>
      </w:r>
    </w:p>
    <w:p>
      <w:pPr>
        <w:pStyle w:val="ListParagraph"/>
        <w:numPr>
          <w:ilvl w:val="2"/>
          <w:numId w:val="45"/>
        </w:numPr>
        <w:tabs>
          <w:tab w:pos="3474" w:val="left" w:leader="none"/>
          <w:tab w:pos="3475" w:val="left" w:leader="none"/>
        </w:tabs>
        <w:spacing w:line="237" w:lineRule="auto" w:before="61" w:after="0"/>
        <w:ind w:left="3474" w:right="217" w:hanging="734"/>
        <w:jc w:val="left"/>
        <w:rPr>
          <w:sz w:val="21"/>
        </w:rPr>
      </w:pPr>
      <w:r>
        <w:rPr>
          <w:sz w:val="21"/>
        </w:rPr>
        <w:t>有脑膜炎或脑炎并发症，且导致意识障碍或瘫痪的临床表</w:t>
      </w:r>
      <w:r>
        <w:rPr>
          <w:w w:val="95"/>
          <w:sz w:val="21"/>
        </w:rPr>
        <w:t>现及实验室检查证据；</w:t>
      </w:r>
    </w:p>
    <w:p>
      <w:pPr>
        <w:pStyle w:val="ListParagraph"/>
        <w:numPr>
          <w:ilvl w:val="2"/>
          <w:numId w:val="45"/>
        </w:numPr>
        <w:tabs>
          <w:tab w:pos="3474" w:val="left" w:leader="none"/>
          <w:tab w:pos="3475" w:val="left" w:leader="none"/>
        </w:tabs>
        <w:spacing w:line="240" w:lineRule="auto" w:before="58" w:after="0"/>
        <w:ind w:left="3474" w:right="217" w:hanging="734"/>
        <w:jc w:val="left"/>
        <w:rPr>
          <w:sz w:val="21"/>
        </w:rPr>
      </w:pPr>
      <w:r>
        <w:rPr>
          <w:sz w:val="21"/>
        </w:rPr>
        <w:t>有肺炎或肺水肿并发症，且导致呼吸衰竭的临床表现及实</w:t>
      </w:r>
      <w:r>
        <w:rPr>
          <w:w w:val="95"/>
          <w:sz w:val="21"/>
        </w:rPr>
        <w:t>验室检查证据；</w:t>
      </w:r>
    </w:p>
    <w:p>
      <w:pPr>
        <w:pStyle w:val="ListParagraph"/>
        <w:numPr>
          <w:ilvl w:val="2"/>
          <w:numId w:val="45"/>
        </w:numPr>
        <w:tabs>
          <w:tab w:pos="3474" w:val="left" w:leader="none"/>
          <w:tab w:pos="3475" w:val="left" w:leader="none"/>
        </w:tabs>
        <w:spacing w:line="237" w:lineRule="auto" w:before="58" w:after="0"/>
        <w:ind w:left="3474" w:right="217" w:hanging="734"/>
        <w:jc w:val="left"/>
        <w:rPr>
          <w:sz w:val="21"/>
        </w:rPr>
      </w:pPr>
      <w:r>
        <w:rPr>
          <w:sz w:val="21"/>
        </w:rPr>
        <w:t>有心肌炎并发症，且导致心脏扩大或心力衰竭的临床表现</w:t>
      </w:r>
      <w:r>
        <w:rPr>
          <w:w w:val="95"/>
          <w:sz w:val="21"/>
        </w:rPr>
        <w:t>及实验室检查证据。</w:t>
      </w:r>
    </w:p>
    <w:p>
      <w:pPr>
        <w:spacing w:after="0" w:line="237" w:lineRule="auto"/>
        <w:jc w:val="left"/>
        <w:rPr>
          <w:sz w:val="21"/>
        </w:rPr>
        <w:sectPr>
          <w:type w:val="continuous"/>
          <w:pgSz w:w="12240" w:h="15840"/>
          <w:pgMar w:top="900" w:bottom="280" w:left="1640" w:right="1580"/>
        </w:sectPr>
      </w:pPr>
    </w:p>
    <w:p>
      <w:pPr>
        <w:pStyle w:val="Heading2"/>
        <w:numPr>
          <w:ilvl w:val="1"/>
          <w:numId w:val="45"/>
        </w:numPr>
        <w:tabs>
          <w:tab w:pos="906" w:val="left" w:leader="none"/>
          <w:tab w:pos="907" w:val="left" w:leader="none"/>
        </w:tabs>
        <w:spacing w:line="274" w:lineRule="exact" w:before="4" w:after="0"/>
        <w:ind w:left="906" w:right="0" w:hanging="746"/>
        <w:jc w:val="left"/>
      </w:pPr>
      <w:r>
        <w:rPr>
          <w:spacing w:val="20"/>
          <w:w w:val="95"/>
        </w:rPr>
        <w:t>幼年型类风湿性</w:t>
      </w:r>
    </w:p>
    <w:p>
      <w:pPr>
        <w:spacing w:line="237" w:lineRule="auto" w:before="1"/>
        <w:ind w:left="906" w:right="0" w:firstLine="0"/>
        <w:jc w:val="left"/>
        <w:rPr>
          <w:b/>
          <w:sz w:val="21"/>
        </w:rPr>
      </w:pPr>
      <w:r>
        <w:rPr>
          <w:b/>
          <w:w w:val="95"/>
          <w:sz w:val="21"/>
        </w:rPr>
        <w:t>关节炎导致的膝关节或髋关节置</w:t>
      </w:r>
    </w:p>
    <w:p>
      <w:pPr>
        <w:pStyle w:val="BodyText"/>
        <w:spacing w:before="4"/>
        <w:ind w:left="160" w:right="260"/>
      </w:pPr>
      <w:r>
        <w:rPr/>
        <w:br w:type="column"/>
      </w:r>
      <w:r>
        <w:rPr>
          <w:spacing w:val="-2"/>
          <w:w w:val="95"/>
        </w:rPr>
        <w:t>指为了治疗幼年型类风湿性关节炎，实际实施了膝关节或髋关节置  换手术。</w:t>
      </w:r>
    </w:p>
    <w:p>
      <w:pPr>
        <w:pStyle w:val="BodyText"/>
        <w:ind w:left="160"/>
      </w:pPr>
      <w:r>
        <w:rPr>
          <w:w w:val="95"/>
        </w:rPr>
        <w:t>幼年型类风湿关节炎指一种儿童期发病的慢性关节炎，其特点为在</w:t>
      </w:r>
    </w:p>
    <w:p>
      <w:pPr>
        <w:spacing w:after="0"/>
        <w:sectPr>
          <w:pgSz w:w="12240" w:h="15840"/>
          <w:pgMar w:top="1460" w:bottom="280" w:left="1640" w:right="1540"/>
          <w:cols w:num="2" w:equalWidth="0">
            <w:col w:w="2527" w:space="53"/>
            <w:col w:w="6480"/>
          </w:cols>
        </w:sectPr>
      </w:pPr>
    </w:p>
    <w:p>
      <w:pPr>
        <w:pStyle w:val="BodyText"/>
        <w:spacing w:before="12"/>
        <w:rPr>
          <w:sz w:val="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88"/>
        <w:gridCol w:w="6322"/>
      </w:tblGrid>
      <w:tr>
        <w:trPr>
          <w:trHeight w:val="436" w:hRule="atLeast"/>
        </w:trPr>
        <w:tc>
          <w:tcPr>
            <w:tcW w:w="635" w:type="dxa"/>
          </w:tcPr>
          <w:p>
            <w:pPr>
              <w:pStyle w:val="TableParagraph"/>
              <w:rPr>
                <w:rFonts w:ascii="Times New Roman"/>
                <w:sz w:val="20"/>
              </w:rPr>
            </w:pPr>
          </w:p>
        </w:tc>
        <w:tc>
          <w:tcPr>
            <w:tcW w:w="1888" w:type="dxa"/>
          </w:tcPr>
          <w:p>
            <w:pPr>
              <w:pStyle w:val="TableParagraph"/>
              <w:spacing w:line="149" w:lineRule="exact"/>
              <w:ind w:left="161"/>
              <w:rPr>
                <w:b/>
                <w:sz w:val="21"/>
              </w:rPr>
            </w:pPr>
            <w:r>
              <w:rPr>
                <w:b/>
                <w:w w:val="95"/>
                <w:sz w:val="21"/>
              </w:rPr>
              <w:t>换手术</w:t>
            </w:r>
          </w:p>
        </w:tc>
        <w:tc>
          <w:tcPr>
            <w:tcW w:w="6322" w:type="dxa"/>
          </w:tcPr>
          <w:p>
            <w:pPr>
              <w:pStyle w:val="TableParagraph"/>
              <w:spacing w:line="209" w:lineRule="exact"/>
              <w:ind w:left="106"/>
              <w:rPr>
                <w:sz w:val="21"/>
              </w:rPr>
            </w:pPr>
            <w:r>
              <w:rPr>
                <w:w w:val="95"/>
                <w:sz w:val="21"/>
              </w:rPr>
              <w:t>高热和系统性病征出现数月后发生关节炎。</w:t>
            </w:r>
          </w:p>
        </w:tc>
      </w:tr>
      <w:tr>
        <w:trPr>
          <w:trHeight w:val="769" w:hRule="atLeast"/>
        </w:trPr>
        <w:tc>
          <w:tcPr>
            <w:tcW w:w="635" w:type="dxa"/>
          </w:tcPr>
          <w:p>
            <w:pPr>
              <w:pStyle w:val="TableParagraph"/>
              <w:spacing w:before="162"/>
              <w:ind w:left="50"/>
              <w:rPr>
                <w:b/>
                <w:sz w:val="21"/>
              </w:rPr>
            </w:pPr>
            <w:r>
              <w:rPr>
                <w:b/>
                <w:sz w:val="21"/>
              </w:rPr>
              <w:t>9.69</w:t>
            </w:r>
          </w:p>
        </w:tc>
        <w:tc>
          <w:tcPr>
            <w:tcW w:w="1888" w:type="dxa"/>
          </w:tcPr>
          <w:p>
            <w:pPr>
              <w:pStyle w:val="TableParagraph"/>
              <w:spacing w:line="237" w:lineRule="auto" w:before="165"/>
              <w:ind w:left="161" w:right="104"/>
              <w:rPr>
                <w:b/>
                <w:sz w:val="21"/>
              </w:rPr>
            </w:pPr>
            <w:r>
              <w:rPr>
                <w:b/>
                <w:w w:val="95"/>
                <w:sz w:val="21"/>
              </w:rPr>
              <w:t>脑动脉瘤破裂夹闭手术</w:t>
            </w:r>
          </w:p>
        </w:tc>
        <w:tc>
          <w:tcPr>
            <w:tcW w:w="6322" w:type="dxa"/>
          </w:tcPr>
          <w:p>
            <w:pPr>
              <w:pStyle w:val="TableParagraph"/>
              <w:spacing w:line="237" w:lineRule="auto" w:before="165"/>
              <w:ind w:left="106" w:right="155"/>
              <w:rPr>
                <w:sz w:val="21"/>
              </w:rPr>
            </w:pPr>
            <w:r>
              <w:rPr>
                <w:spacing w:val="-2"/>
                <w:w w:val="95"/>
                <w:sz w:val="21"/>
              </w:rPr>
              <w:t>指因脑动脉瘤破裂造成蛛网膜下腔出血，实际实施了在全麻下进行  的开颅动脉瘤夹闭手术。</w:t>
            </w:r>
          </w:p>
        </w:tc>
      </w:tr>
      <w:tr>
        <w:trPr>
          <w:trHeight w:val="771"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322" w:type="dxa"/>
          </w:tcPr>
          <w:p>
            <w:pPr>
              <w:pStyle w:val="TableParagraph"/>
              <w:ind w:left="106" w:right="47"/>
              <w:rPr>
                <w:rFonts w:ascii="黑体" w:eastAsia="黑体" w:hint="eastAsia"/>
                <w:sz w:val="21"/>
              </w:rPr>
            </w:pPr>
            <w:r>
              <w:rPr>
                <w:rFonts w:ascii="黑体" w:eastAsia="黑体" w:hint="eastAsia"/>
                <w:spacing w:val="-9"/>
                <w:w w:val="95"/>
                <w:sz w:val="21"/>
              </w:rPr>
              <w:t>脑动脉瘤</w:t>
            </w:r>
            <w:r>
              <w:rPr>
                <w:rFonts w:ascii="黑体" w:eastAsia="黑体" w:hint="eastAsia"/>
                <w:w w:val="95"/>
                <w:sz w:val="21"/>
              </w:rPr>
              <w:t>（未破裂</w:t>
            </w:r>
            <w:r>
              <w:rPr>
                <w:rFonts w:ascii="黑体" w:eastAsia="黑体" w:hint="eastAsia"/>
                <w:spacing w:val="-34"/>
                <w:w w:val="95"/>
                <w:sz w:val="21"/>
              </w:rPr>
              <w:t>）</w:t>
            </w:r>
            <w:r>
              <w:rPr>
                <w:rFonts w:ascii="黑体" w:eastAsia="黑体" w:hint="eastAsia"/>
                <w:spacing w:val="-8"/>
                <w:w w:val="95"/>
                <w:sz w:val="21"/>
              </w:rPr>
              <w:t>预防性手术、颅骨打孔手术、动脉瘤栓塞手术、  血管内手术及其他颅脑手术不在保障范围内。</w:t>
            </w:r>
          </w:p>
        </w:tc>
      </w:tr>
      <w:tr>
        <w:trPr>
          <w:trHeight w:val="708" w:hRule="atLeast"/>
        </w:trPr>
        <w:tc>
          <w:tcPr>
            <w:tcW w:w="635" w:type="dxa"/>
          </w:tcPr>
          <w:p>
            <w:pPr>
              <w:pStyle w:val="TableParagraph"/>
              <w:spacing w:before="162"/>
              <w:ind w:left="50"/>
              <w:rPr>
                <w:b/>
                <w:sz w:val="21"/>
              </w:rPr>
            </w:pPr>
            <w:r>
              <w:rPr>
                <w:b/>
                <w:sz w:val="21"/>
              </w:rPr>
              <w:t>9.70</w:t>
            </w:r>
          </w:p>
        </w:tc>
        <w:tc>
          <w:tcPr>
            <w:tcW w:w="1888" w:type="dxa"/>
          </w:tcPr>
          <w:p>
            <w:pPr>
              <w:pStyle w:val="TableParagraph"/>
              <w:spacing w:before="6"/>
              <w:rPr>
                <w:sz w:val="14"/>
              </w:rPr>
            </w:pPr>
          </w:p>
          <w:p>
            <w:pPr>
              <w:pStyle w:val="TableParagraph"/>
              <w:spacing w:line="272" w:lineRule="exact"/>
              <w:ind w:left="161" w:right="104"/>
              <w:rPr>
                <w:b/>
                <w:sz w:val="21"/>
              </w:rPr>
            </w:pPr>
            <w:r>
              <w:rPr>
                <w:b/>
                <w:w w:val="95"/>
                <w:sz w:val="21"/>
              </w:rPr>
              <w:t>慢性呼吸功能衰</w:t>
            </w:r>
            <w:r>
              <w:rPr>
                <w:b/>
                <w:sz w:val="21"/>
              </w:rPr>
              <w:t>竭</w:t>
            </w:r>
          </w:p>
        </w:tc>
        <w:tc>
          <w:tcPr>
            <w:tcW w:w="6322" w:type="dxa"/>
          </w:tcPr>
          <w:p>
            <w:pPr>
              <w:pStyle w:val="TableParagraph"/>
              <w:spacing w:before="6"/>
              <w:rPr>
                <w:sz w:val="14"/>
              </w:rPr>
            </w:pPr>
          </w:p>
          <w:p>
            <w:pPr>
              <w:pStyle w:val="TableParagraph"/>
              <w:spacing w:line="272" w:lineRule="exact"/>
              <w:ind w:left="106" w:right="155"/>
              <w:rPr>
                <w:rFonts w:ascii="黑体" w:eastAsia="黑体" w:hint="eastAsia"/>
                <w:sz w:val="21"/>
              </w:rPr>
            </w:pPr>
            <w:r>
              <w:rPr>
                <w:spacing w:val="-2"/>
                <w:w w:val="95"/>
                <w:sz w:val="21"/>
              </w:rPr>
              <w:t>指慢性肺部疾病导致永久不可逆的慢性呼吸功能衰竭，</w:t>
            </w:r>
            <w:r>
              <w:rPr>
                <w:rFonts w:ascii="黑体" w:eastAsia="黑体" w:hint="eastAsia"/>
                <w:w w:val="95"/>
                <w:sz w:val="21"/>
              </w:rPr>
              <w:t>且满足下列  全部条件：</w:t>
            </w:r>
          </w:p>
        </w:tc>
      </w:tr>
    </w:tbl>
    <w:p>
      <w:pPr>
        <w:pStyle w:val="ListParagraph"/>
        <w:numPr>
          <w:ilvl w:val="0"/>
          <w:numId w:val="47"/>
        </w:numPr>
        <w:tabs>
          <w:tab w:pos="3474" w:val="left" w:leader="none"/>
          <w:tab w:pos="3475" w:val="left" w:leader="none"/>
        </w:tabs>
        <w:spacing w:line="240" w:lineRule="auto" w:before="59" w:after="0"/>
        <w:ind w:left="3474" w:right="0" w:hanging="734"/>
        <w:jc w:val="left"/>
        <w:rPr>
          <w:sz w:val="21"/>
        </w:rPr>
      </w:pPr>
      <w:r>
        <w:rPr>
          <w:w w:val="95"/>
          <w:sz w:val="21"/>
        </w:rPr>
        <w:t>休息时出现呼吸困难；</w:t>
      </w:r>
    </w:p>
    <w:p>
      <w:pPr>
        <w:pStyle w:val="ListParagraph"/>
        <w:numPr>
          <w:ilvl w:val="0"/>
          <w:numId w:val="47"/>
        </w:numPr>
        <w:tabs>
          <w:tab w:pos="3474" w:val="left" w:leader="none"/>
          <w:tab w:pos="3475" w:val="left" w:leader="none"/>
        </w:tabs>
        <w:spacing w:line="240" w:lineRule="auto" w:before="56" w:after="0"/>
        <w:ind w:left="3474" w:right="0" w:hanging="734"/>
        <w:jc w:val="left"/>
        <w:rPr>
          <w:sz w:val="21"/>
        </w:rPr>
      </w:pPr>
      <w:r>
        <w:rPr>
          <w:spacing w:val="-1"/>
          <w:w w:val="99"/>
          <w:sz w:val="21"/>
        </w:rPr>
        <w:t>动脉血氧分压（</w:t>
      </w:r>
      <w:r>
        <w:rPr>
          <w:spacing w:val="0"/>
          <w:w w:val="99"/>
          <w:sz w:val="21"/>
        </w:rPr>
        <w:t>PaO</w:t>
      </w:r>
      <w:r>
        <w:rPr>
          <w:spacing w:val="-3"/>
          <w:w w:val="105"/>
          <w:position w:val="-2"/>
          <w:sz w:val="10"/>
        </w:rPr>
        <w:t>2</w:t>
      </w:r>
      <w:r>
        <w:rPr>
          <w:spacing w:val="1"/>
          <w:w w:val="99"/>
          <w:sz w:val="21"/>
        </w:rPr>
        <w:t>）</w:t>
      </w:r>
      <w:r>
        <w:rPr>
          <w:spacing w:val="0"/>
          <w:w w:val="99"/>
          <w:sz w:val="21"/>
        </w:rPr>
        <w:t>&lt;5</w:t>
      </w:r>
      <w:r>
        <w:rPr>
          <w:spacing w:val="-2"/>
          <w:w w:val="99"/>
          <w:sz w:val="21"/>
        </w:rPr>
        <w:t>0</w:t>
      </w:r>
      <w:r>
        <w:rPr>
          <w:spacing w:val="0"/>
          <w:w w:val="99"/>
          <w:sz w:val="21"/>
        </w:rPr>
        <w:t>mmH</w:t>
      </w:r>
      <w:r>
        <w:rPr>
          <w:spacing w:val="-2"/>
          <w:w w:val="99"/>
          <w:sz w:val="21"/>
        </w:rPr>
        <w:t>g</w:t>
      </w:r>
      <w:r>
        <w:rPr>
          <w:w w:val="99"/>
          <w:sz w:val="21"/>
        </w:rPr>
        <w:t>；</w:t>
      </w:r>
    </w:p>
    <w:p>
      <w:pPr>
        <w:pStyle w:val="ListParagraph"/>
        <w:numPr>
          <w:ilvl w:val="0"/>
          <w:numId w:val="47"/>
        </w:numPr>
        <w:tabs>
          <w:tab w:pos="3474" w:val="left" w:leader="none"/>
          <w:tab w:pos="3475" w:val="left" w:leader="none"/>
        </w:tabs>
        <w:spacing w:line="240" w:lineRule="auto" w:before="44" w:after="0"/>
        <w:ind w:left="3474" w:right="0" w:hanging="734"/>
        <w:jc w:val="left"/>
        <w:rPr>
          <w:sz w:val="21"/>
        </w:rPr>
      </w:pPr>
      <w:r>
        <w:rPr>
          <w:spacing w:val="-1"/>
          <w:w w:val="99"/>
          <w:sz w:val="21"/>
        </w:rPr>
        <w:t>动脉血氧饱和度</w:t>
      </w:r>
      <w:r>
        <w:rPr>
          <w:spacing w:val="1"/>
          <w:w w:val="99"/>
          <w:sz w:val="21"/>
        </w:rPr>
        <w:t>（</w:t>
      </w:r>
      <w:r>
        <w:rPr>
          <w:spacing w:val="0"/>
          <w:w w:val="99"/>
          <w:sz w:val="21"/>
        </w:rPr>
        <w:t>Sa</w:t>
      </w:r>
      <w:r>
        <w:rPr>
          <w:spacing w:val="-2"/>
          <w:w w:val="99"/>
          <w:sz w:val="21"/>
        </w:rPr>
        <w:t>O</w:t>
      </w:r>
      <w:r>
        <w:rPr>
          <w:spacing w:val="-1"/>
          <w:w w:val="106"/>
          <w:position w:val="-2"/>
          <w:sz w:val="10"/>
        </w:rPr>
        <w:t>2</w:t>
      </w:r>
      <w:r>
        <w:rPr>
          <w:spacing w:val="-1"/>
          <w:w w:val="99"/>
          <w:sz w:val="21"/>
        </w:rPr>
        <w:t>）</w:t>
      </w:r>
      <w:r>
        <w:rPr>
          <w:spacing w:val="0"/>
          <w:w w:val="99"/>
          <w:sz w:val="21"/>
        </w:rPr>
        <w:t>&lt;80</w:t>
      </w:r>
      <w:r>
        <w:rPr>
          <w:spacing w:val="-1"/>
          <w:w w:val="99"/>
          <w:sz w:val="21"/>
        </w:rPr>
        <w:t>%；</w:t>
      </w:r>
    </w:p>
    <w:p>
      <w:pPr>
        <w:pStyle w:val="ListParagraph"/>
        <w:numPr>
          <w:ilvl w:val="0"/>
          <w:numId w:val="47"/>
        </w:numPr>
        <w:tabs>
          <w:tab w:pos="3474" w:val="left" w:leader="none"/>
          <w:tab w:pos="3475" w:val="left" w:leader="none"/>
        </w:tabs>
        <w:spacing w:line="240" w:lineRule="auto" w:before="44" w:after="0"/>
        <w:ind w:left="3474" w:right="0" w:hanging="734"/>
        <w:jc w:val="left"/>
        <w:rPr>
          <w:sz w:val="18"/>
        </w:rPr>
      </w:pPr>
      <w:r>
        <w:rPr>
          <w:w w:val="95"/>
          <w:sz w:val="21"/>
        </w:rPr>
        <w:t>因缺氧必须接受持续的输氧治疗。</w:t>
      </w:r>
    </w:p>
    <w:p>
      <w:pPr>
        <w:pStyle w:val="BodyText"/>
        <w:spacing w:before="0"/>
        <w:rPr>
          <w:sz w:val="20"/>
        </w:rPr>
      </w:pPr>
    </w:p>
    <w:p>
      <w:pPr>
        <w:pStyle w:val="BodyText"/>
        <w:spacing w:before="8"/>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88"/>
        <w:gridCol w:w="6219"/>
      </w:tblGrid>
      <w:tr>
        <w:trPr>
          <w:trHeight w:val="1088" w:hRule="atLeast"/>
        </w:trPr>
        <w:tc>
          <w:tcPr>
            <w:tcW w:w="635" w:type="dxa"/>
          </w:tcPr>
          <w:p>
            <w:pPr>
              <w:pStyle w:val="TableParagraph"/>
              <w:spacing w:line="209" w:lineRule="exact"/>
              <w:ind w:left="50"/>
              <w:rPr>
                <w:b/>
                <w:sz w:val="21"/>
              </w:rPr>
            </w:pPr>
            <w:r>
              <w:rPr>
                <w:b/>
                <w:sz w:val="21"/>
              </w:rPr>
              <w:t>9.71</w:t>
            </w:r>
          </w:p>
        </w:tc>
        <w:tc>
          <w:tcPr>
            <w:tcW w:w="1888" w:type="dxa"/>
          </w:tcPr>
          <w:p>
            <w:pPr>
              <w:pStyle w:val="TableParagraph"/>
              <w:spacing w:line="209" w:lineRule="exact"/>
              <w:ind w:left="161"/>
              <w:rPr>
                <w:b/>
                <w:sz w:val="21"/>
              </w:rPr>
            </w:pPr>
            <w:r>
              <w:rPr>
                <w:b/>
                <w:w w:val="95"/>
                <w:sz w:val="21"/>
              </w:rPr>
              <w:t>严重的冠心病</w:t>
            </w:r>
          </w:p>
        </w:tc>
        <w:tc>
          <w:tcPr>
            <w:tcW w:w="6219" w:type="dxa"/>
          </w:tcPr>
          <w:p>
            <w:pPr>
              <w:pStyle w:val="TableParagraph"/>
              <w:spacing w:line="209" w:lineRule="exact"/>
              <w:ind w:left="106"/>
              <w:rPr>
                <w:sz w:val="21"/>
              </w:rPr>
            </w:pPr>
            <w:r>
              <w:rPr>
                <w:w w:val="95"/>
                <w:sz w:val="21"/>
              </w:rPr>
              <w:t>指诊断为冠心病，并经冠状动脉造影检查结果明确诊断为三支主要</w:t>
            </w:r>
          </w:p>
          <w:p>
            <w:pPr>
              <w:pStyle w:val="TableParagraph"/>
              <w:spacing w:line="237" w:lineRule="auto" w:before="2"/>
              <w:ind w:left="106" w:right="47"/>
              <w:jc w:val="both"/>
              <w:rPr>
                <w:sz w:val="21"/>
              </w:rPr>
            </w:pPr>
            <w:r>
              <w:rPr>
                <w:spacing w:val="-4"/>
                <w:w w:val="95"/>
                <w:sz w:val="21"/>
              </w:rPr>
              <w:t>血管</w:t>
            </w:r>
            <w:r>
              <w:rPr>
                <w:w w:val="95"/>
                <w:sz w:val="21"/>
              </w:rPr>
              <w:t>（</w:t>
            </w:r>
            <w:r>
              <w:rPr>
                <w:spacing w:val="-2"/>
                <w:w w:val="95"/>
                <w:sz w:val="21"/>
              </w:rPr>
              <w:t>前降支、左旋支和右冠状动脉</w:t>
            </w:r>
            <w:r>
              <w:rPr>
                <w:spacing w:val="-5"/>
                <w:w w:val="95"/>
                <w:sz w:val="21"/>
              </w:rPr>
              <w:t>）</w:t>
            </w:r>
            <w:r>
              <w:rPr>
                <w:spacing w:val="-2"/>
                <w:w w:val="95"/>
                <w:sz w:val="21"/>
              </w:rPr>
              <w:t>严重狭窄性病变</w:t>
            </w:r>
            <w:r>
              <w:rPr>
                <w:w w:val="95"/>
                <w:sz w:val="21"/>
              </w:rPr>
              <w:t>（至少一支 </w:t>
            </w:r>
            <w:r>
              <w:rPr>
                <w:spacing w:val="5"/>
                <w:sz w:val="21"/>
              </w:rPr>
              <w:t>血管管腔直径减少</w:t>
            </w:r>
            <w:r>
              <w:rPr>
                <w:spacing w:val="2"/>
                <w:sz w:val="21"/>
              </w:rPr>
              <w:t>75</w:t>
            </w:r>
            <w:r>
              <w:rPr>
                <w:spacing w:val="5"/>
                <w:sz w:val="21"/>
              </w:rPr>
              <w:t>％以上和其他两支血管管腔直径减少</w:t>
            </w:r>
            <w:r>
              <w:rPr>
                <w:spacing w:val="2"/>
                <w:sz w:val="21"/>
              </w:rPr>
              <w:t>60</w:t>
            </w:r>
            <w:r>
              <w:rPr>
                <w:spacing w:val="0"/>
                <w:sz w:val="21"/>
              </w:rPr>
              <w:t>％以</w:t>
            </w:r>
            <w:r>
              <w:rPr>
                <w:spacing w:val="0"/>
                <w:w w:val="95"/>
                <w:sz w:val="21"/>
              </w:rPr>
              <w:t>上）。</w:t>
            </w:r>
          </w:p>
        </w:tc>
      </w:tr>
      <w:tr>
        <w:trPr>
          <w:trHeight w:val="770"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9" w:type="dxa"/>
          </w:tcPr>
          <w:p>
            <w:pPr>
              <w:pStyle w:val="TableParagraph"/>
              <w:spacing w:line="237" w:lineRule="auto"/>
              <w:ind w:left="106" w:right="52"/>
              <w:rPr>
                <w:rFonts w:ascii="黑体" w:eastAsia="黑体" w:hint="eastAsia"/>
                <w:sz w:val="21"/>
              </w:rPr>
            </w:pPr>
            <w:r>
              <w:rPr>
                <w:rFonts w:ascii="黑体" w:eastAsia="黑体" w:hint="eastAsia"/>
                <w:spacing w:val="-6"/>
                <w:w w:val="95"/>
                <w:sz w:val="21"/>
              </w:rPr>
              <w:t>前降支、左旋支及右冠状动脉的分支血管的狭窄不作为本保障的衡  量指标。</w:t>
            </w:r>
          </w:p>
        </w:tc>
      </w:tr>
      <w:tr>
        <w:trPr>
          <w:trHeight w:val="1209" w:hRule="atLeast"/>
        </w:trPr>
        <w:tc>
          <w:tcPr>
            <w:tcW w:w="635" w:type="dxa"/>
          </w:tcPr>
          <w:p>
            <w:pPr>
              <w:pStyle w:val="TableParagraph"/>
              <w:spacing w:before="163"/>
              <w:ind w:left="50"/>
              <w:rPr>
                <w:b/>
                <w:sz w:val="21"/>
              </w:rPr>
            </w:pPr>
            <w:r>
              <w:rPr>
                <w:b/>
                <w:sz w:val="21"/>
              </w:rPr>
              <w:t>9.72</w:t>
            </w:r>
          </w:p>
        </w:tc>
        <w:tc>
          <w:tcPr>
            <w:tcW w:w="1888" w:type="dxa"/>
          </w:tcPr>
          <w:p>
            <w:pPr>
              <w:pStyle w:val="TableParagraph"/>
              <w:spacing w:line="237" w:lineRule="auto" w:before="166"/>
              <w:ind w:left="161" w:right="104"/>
              <w:rPr>
                <w:b/>
                <w:sz w:val="21"/>
              </w:rPr>
            </w:pPr>
            <w:r>
              <w:rPr>
                <w:b/>
                <w:w w:val="95"/>
                <w:sz w:val="21"/>
              </w:rPr>
              <w:t>激光心肌血运重建术</w:t>
            </w:r>
          </w:p>
        </w:tc>
        <w:tc>
          <w:tcPr>
            <w:tcW w:w="6219" w:type="dxa"/>
          </w:tcPr>
          <w:p>
            <w:pPr>
              <w:pStyle w:val="TableParagraph"/>
              <w:spacing w:line="237" w:lineRule="auto" w:before="166"/>
              <w:ind w:left="106" w:right="52"/>
              <w:jc w:val="both"/>
              <w:rPr>
                <w:sz w:val="21"/>
              </w:rPr>
            </w:pPr>
            <w:r>
              <w:rPr>
                <w:spacing w:val="-3"/>
                <w:w w:val="95"/>
                <w:sz w:val="21"/>
              </w:rPr>
              <w:t>指患有顽固性心绞痛，经持续药物治疗后无改善，冠状动脉搭桥手  </w:t>
            </w:r>
            <w:r>
              <w:rPr>
                <w:spacing w:val="-5"/>
                <w:w w:val="95"/>
                <w:sz w:val="21"/>
              </w:rPr>
              <w:t>术已失败或者被认为不适合。在医院内实际实施了开胸手术下或者  胸腔镜下的激光心肌血运重建术。</w:t>
            </w:r>
          </w:p>
        </w:tc>
      </w:tr>
      <w:tr>
        <w:trPr>
          <w:trHeight w:val="438" w:hRule="atLeast"/>
        </w:trPr>
        <w:tc>
          <w:tcPr>
            <w:tcW w:w="635" w:type="dxa"/>
          </w:tcPr>
          <w:p>
            <w:pPr>
              <w:pStyle w:val="TableParagraph"/>
              <w:spacing w:line="255" w:lineRule="exact" w:before="163"/>
              <w:ind w:left="50"/>
              <w:rPr>
                <w:b/>
                <w:sz w:val="21"/>
              </w:rPr>
            </w:pPr>
            <w:r>
              <w:rPr>
                <w:b/>
                <w:sz w:val="21"/>
              </w:rPr>
              <w:t>9.73</w:t>
            </w:r>
          </w:p>
        </w:tc>
        <w:tc>
          <w:tcPr>
            <w:tcW w:w="1888" w:type="dxa"/>
          </w:tcPr>
          <w:p>
            <w:pPr>
              <w:pStyle w:val="TableParagraph"/>
              <w:spacing w:line="255" w:lineRule="exact" w:before="163"/>
              <w:ind w:left="161"/>
              <w:rPr>
                <w:b/>
                <w:sz w:val="21"/>
              </w:rPr>
            </w:pPr>
            <w:r>
              <w:rPr>
                <w:b/>
                <w:w w:val="95"/>
                <w:sz w:val="21"/>
              </w:rPr>
              <w:t>严重的哮喘</w:t>
            </w:r>
          </w:p>
        </w:tc>
        <w:tc>
          <w:tcPr>
            <w:tcW w:w="6219" w:type="dxa"/>
          </w:tcPr>
          <w:p>
            <w:pPr>
              <w:pStyle w:val="TableParagraph"/>
              <w:spacing w:line="255" w:lineRule="exact" w:before="163"/>
              <w:ind w:left="106"/>
              <w:rPr>
                <w:rFonts w:ascii="黑体" w:eastAsia="黑体" w:hint="eastAsia"/>
                <w:sz w:val="21"/>
              </w:rPr>
            </w:pPr>
            <w:r>
              <w:rPr>
                <w:w w:val="95"/>
                <w:sz w:val="21"/>
              </w:rPr>
              <w:t>指诊断为哮喘，</w:t>
            </w:r>
            <w:r>
              <w:rPr>
                <w:rFonts w:ascii="黑体" w:eastAsia="黑体" w:hint="eastAsia"/>
                <w:w w:val="95"/>
                <w:sz w:val="21"/>
              </w:rPr>
              <w:t>且满足下列全部条件：</w:t>
            </w:r>
          </w:p>
        </w:tc>
      </w:tr>
    </w:tbl>
    <w:p>
      <w:pPr>
        <w:pStyle w:val="ListParagraph"/>
        <w:numPr>
          <w:ilvl w:val="0"/>
          <w:numId w:val="48"/>
        </w:numPr>
        <w:tabs>
          <w:tab w:pos="3474" w:val="left" w:leader="none"/>
          <w:tab w:pos="3475" w:val="left" w:leader="none"/>
        </w:tabs>
        <w:spacing w:line="237" w:lineRule="auto" w:before="59" w:after="0"/>
        <w:ind w:left="3474" w:right="257" w:hanging="734"/>
        <w:jc w:val="left"/>
        <w:rPr>
          <w:sz w:val="21"/>
        </w:rPr>
      </w:pPr>
      <w:r>
        <w:rPr>
          <w:sz w:val="21"/>
        </w:rPr>
        <w:t>过去两年中曾因哮喘持续状态住院治疗，并提供完整住院</w:t>
      </w:r>
      <w:r>
        <w:rPr>
          <w:w w:val="95"/>
          <w:sz w:val="21"/>
        </w:rPr>
        <w:t>记录；</w:t>
      </w:r>
    </w:p>
    <w:p>
      <w:pPr>
        <w:pStyle w:val="ListParagraph"/>
        <w:numPr>
          <w:ilvl w:val="0"/>
          <w:numId w:val="48"/>
        </w:numPr>
        <w:tabs>
          <w:tab w:pos="3474" w:val="left" w:leader="none"/>
          <w:tab w:pos="3475" w:val="left" w:leader="none"/>
        </w:tabs>
        <w:spacing w:line="240" w:lineRule="auto" w:before="58" w:after="0"/>
        <w:ind w:left="3474" w:right="0" w:hanging="734"/>
        <w:jc w:val="left"/>
        <w:rPr>
          <w:sz w:val="21"/>
        </w:rPr>
      </w:pPr>
      <w:r>
        <w:rPr>
          <w:w w:val="95"/>
          <w:sz w:val="21"/>
        </w:rPr>
        <w:t>因慢性过度换气导致胸廓畸形；</w:t>
      </w:r>
    </w:p>
    <w:p>
      <w:pPr>
        <w:pStyle w:val="ListParagraph"/>
        <w:numPr>
          <w:ilvl w:val="0"/>
          <w:numId w:val="48"/>
        </w:numPr>
        <w:tabs>
          <w:tab w:pos="3474" w:val="left" w:leader="none"/>
          <w:tab w:pos="3475" w:val="left" w:leader="none"/>
        </w:tabs>
        <w:spacing w:line="240" w:lineRule="auto" w:before="56" w:after="0"/>
        <w:ind w:left="3474" w:right="0" w:hanging="734"/>
        <w:jc w:val="left"/>
        <w:rPr>
          <w:sz w:val="21"/>
        </w:rPr>
      </w:pPr>
      <w:r>
        <w:rPr>
          <w:w w:val="95"/>
          <w:sz w:val="21"/>
        </w:rPr>
        <w:t>在家中需要医生处方的氧气治疗法；</w:t>
      </w:r>
    </w:p>
    <w:p>
      <w:pPr>
        <w:pStyle w:val="ListParagraph"/>
        <w:numPr>
          <w:ilvl w:val="0"/>
          <w:numId w:val="48"/>
        </w:numPr>
        <w:tabs>
          <w:tab w:pos="3474" w:val="left" w:leader="none"/>
          <w:tab w:pos="3475" w:val="left" w:leader="none"/>
        </w:tabs>
        <w:spacing w:line="240" w:lineRule="auto" w:before="59" w:after="0"/>
        <w:ind w:left="3474" w:right="0" w:hanging="734"/>
        <w:jc w:val="left"/>
        <w:rPr>
          <w:sz w:val="21"/>
        </w:rPr>
      </w:pPr>
      <w:r>
        <w:rPr>
          <w:w w:val="95"/>
          <w:sz w:val="21"/>
        </w:rPr>
        <w:t>日常服用口服类固醇激素治疗持续至少六个月。</w:t>
      </w:r>
    </w:p>
    <w:p>
      <w:pPr>
        <w:pStyle w:val="BodyText"/>
        <w:spacing w:before="0"/>
        <w:rPr>
          <w:sz w:val="20"/>
        </w:rPr>
      </w:pPr>
    </w:p>
    <w:p>
      <w:pPr>
        <w:pStyle w:val="ListParagraph"/>
        <w:numPr>
          <w:ilvl w:val="1"/>
          <w:numId w:val="49"/>
        </w:numPr>
        <w:tabs>
          <w:tab w:pos="906" w:val="left" w:leader="none"/>
          <w:tab w:pos="907" w:val="left" w:leader="none"/>
          <w:tab w:pos="2739" w:val="left" w:leader="none"/>
        </w:tabs>
        <w:spacing w:line="237" w:lineRule="auto" w:before="131" w:after="0"/>
        <w:ind w:left="2740" w:right="257" w:hanging="2580"/>
        <w:jc w:val="left"/>
        <w:rPr>
          <w:rFonts w:ascii="黑体" w:eastAsia="黑体" w:hint="eastAsia"/>
          <w:sz w:val="21"/>
        </w:rPr>
      </w:pPr>
      <w:r>
        <w:rPr>
          <w:b/>
          <w:sz w:val="21"/>
        </w:rPr>
        <w:t>严重的心肌炎</w:t>
        <w:tab/>
      </w:r>
      <w:r>
        <w:rPr>
          <w:spacing w:val="5"/>
          <w:w w:val="95"/>
          <w:sz w:val="21"/>
        </w:rPr>
        <w:t>指</w:t>
      </w:r>
      <w:r>
        <w:rPr>
          <w:spacing w:val="7"/>
          <w:w w:val="95"/>
          <w:sz w:val="21"/>
        </w:rPr>
        <w:t>因</w:t>
      </w:r>
      <w:r>
        <w:rPr>
          <w:spacing w:val="5"/>
          <w:w w:val="95"/>
          <w:sz w:val="21"/>
        </w:rPr>
        <w:t>心肌的</w:t>
      </w:r>
      <w:r>
        <w:rPr>
          <w:spacing w:val="7"/>
          <w:w w:val="95"/>
          <w:sz w:val="21"/>
        </w:rPr>
        <w:t>炎</w:t>
      </w:r>
      <w:r>
        <w:rPr>
          <w:spacing w:val="5"/>
          <w:w w:val="95"/>
          <w:sz w:val="21"/>
        </w:rPr>
        <w:t>症性</w:t>
      </w:r>
      <w:r>
        <w:rPr>
          <w:spacing w:val="7"/>
          <w:w w:val="95"/>
          <w:sz w:val="21"/>
        </w:rPr>
        <w:t>疾</w:t>
      </w:r>
      <w:r>
        <w:rPr>
          <w:spacing w:val="5"/>
          <w:w w:val="95"/>
          <w:sz w:val="21"/>
        </w:rPr>
        <w:t>病导</w:t>
      </w:r>
      <w:r>
        <w:rPr>
          <w:spacing w:val="7"/>
          <w:w w:val="95"/>
          <w:sz w:val="21"/>
        </w:rPr>
        <w:t>致</w:t>
      </w:r>
      <w:r>
        <w:rPr>
          <w:spacing w:val="5"/>
          <w:w w:val="95"/>
          <w:sz w:val="21"/>
        </w:rPr>
        <w:t>心功能</w:t>
      </w:r>
      <w:r>
        <w:rPr>
          <w:spacing w:val="7"/>
          <w:w w:val="95"/>
          <w:sz w:val="21"/>
        </w:rPr>
        <w:t>损</w:t>
      </w:r>
      <w:r>
        <w:rPr>
          <w:spacing w:val="5"/>
          <w:w w:val="95"/>
          <w:sz w:val="21"/>
        </w:rPr>
        <w:t>害造</w:t>
      </w:r>
      <w:r>
        <w:rPr>
          <w:spacing w:val="7"/>
          <w:w w:val="95"/>
          <w:sz w:val="21"/>
        </w:rPr>
        <w:t>成</w:t>
      </w:r>
      <w:r>
        <w:rPr>
          <w:spacing w:val="5"/>
          <w:w w:val="95"/>
          <w:sz w:val="21"/>
        </w:rPr>
        <w:t>持续的</w:t>
      </w:r>
      <w:r>
        <w:rPr>
          <w:spacing w:val="7"/>
          <w:w w:val="95"/>
          <w:sz w:val="21"/>
        </w:rPr>
        <w:t>永</w:t>
      </w:r>
      <w:r>
        <w:rPr>
          <w:spacing w:val="5"/>
          <w:w w:val="95"/>
          <w:sz w:val="21"/>
        </w:rPr>
        <w:t>久不</w:t>
      </w:r>
      <w:r>
        <w:rPr>
          <w:spacing w:val="7"/>
          <w:w w:val="95"/>
          <w:sz w:val="21"/>
        </w:rPr>
        <w:t>可</w:t>
      </w:r>
      <w:r>
        <w:rPr>
          <w:spacing w:val="5"/>
          <w:w w:val="95"/>
          <w:sz w:val="21"/>
        </w:rPr>
        <w:t>逆</w:t>
      </w:r>
      <w:r>
        <w:rPr>
          <w:w w:val="95"/>
          <w:sz w:val="21"/>
        </w:rPr>
        <w:t>的   心功能衰竭，</w:t>
      </w:r>
      <w:r>
        <w:rPr>
          <w:rFonts w:ascii="黑体" w:eastAsia="黑体" w:hint="eastAsia"/>
          <w:w w:val="95"/>
          <w:sz w:val="21"/>
        </w:rPr>
        <w:t>且满足下列全部条件：</w:t>
      </w:r>
    </w:p>
    <w:p>
      <w:pPr>
        <w:pStyle w:val="ListParagraph"/>
        <w:numPr>
          <w:ilvl w:val="2"/>
          <w:numId w:val="49"/>
        </w:numPr>
        <w:tabs>
          <w:tab w:pos="3475" w:val="left" w:leader="none"/>
        </w:tabs>
        <w:spacing w:line="237" w:lineRule="auto" w:before="61" w:after="0"/>
        <w:ind w:left="3474" w:right="257" w:hanging="734"/>
        <w:jc w:val="both"/>
        <w:rPr>
          <w:sz w:val="21"/>
        </w:rPr>
      </w:pPr>
      <w:r>
        <w:rPr>
          <w:sz w:val="21"/>
        </w:rPr>
        <w:t>心功能衰竭程度达到美国纽约心脏病学会心功能分级标准</w:t>
      </w:r>
      <w:r>
        <w:rPr>
          <w:spacing w:val="5"/>
          <w:sz w:val="21"/>
        </w:rPr>
        <w:t>之心功能Ⅳ级，左室射血分数</w:t>
      </w:r>
      <w:r>
        <w:rPr>
          <w:spacing w:val="1"/>
          <w:sz w:val="21"/>
        </w:rPr>
        <w:t>（LVEF）&lt;30</w:t>
      </w:r>
      <w:r>
        <w:rPr>
          <w:spacing w:val="-6"/>
          <w:sz w:val="21"/>
        </w:rPr>
        <w:t>%，并持续 </w:t>
      </w:r>
      <w:r>
        <w:rPr>
          <w:sz w:val="21"/>
        </w:rPr>
        <w:t>180 </w:t>
      </w:r>
      <w:r>
        <w:rPr>
          <w:w w:val="95"/>
          <w:sz w:val="21"/>
        </w:rPr>
        <w:t>天以上；</w:t>
      </w:r>
    </w:p>
    <w:p>
      <w:pPr>
        <w:pStyle w:val="ListParagraph"/>
        <w:numPr>
          <w:ilvl w:val="2"/>
          <w:numId w:val="49"/>
        </w:numPr>
        <w:tabs>
          <w:tab w:pos="3474" w:val="left" w:leader="none"/>
          <w:tab w:pos="3475" w:val="left" w:leader="none"/>
        </w:tabs>
        <w:spacing w:line="240" w:lineRule="auto" w:before="56" w:after="0"/>
        <w:ind w:left="3474" w:right="0" w:hanging="734"/>
        <w:jc w:val="left"/>
        <w:rPr>
          <w:sz w:val="21"/>
        </w:rPr>
      </w:pPr>
      <w:r>
        <w:rPr>
          <w:spacing w:val="-2"/>
          <w:w w:val="95"/>
          <w:sz w:val="21"/>
        </w:rPr>
        <w:t>永久不可逆的体力活动能力受限，不能从事任何体力活动。</w:t>
      </w:r>
    </w:p>
    <w:p>
      <w:pPr>
        <w:spacing w:after="0" w:line="240" w:lineRule="auto"/>
        <w:jc w:val="left"/>
        <w:rPr>
          <w:sz w:val="21"/>
        </w:rPr>
        <w:sectPr>
          <w:type w:val="continuous"/>
          <w:pgSz w:w="12240" w:h="15840"/>
          <w:pgMar w:top="900" w:bottom="280" w:left="1640" w:right="1540"/>
        </w:sectPr>
      </w:pPr>
    </w:p>
    <w:p>
      <w:pPr>
        <w:pStyle w:val="BodyText"/>
        <w:spacing w:before="2"/>
        <w:rPr>
          <w:sz w:val="20"/>
        </w:rPr>
      </w:pPr>
    </w:p>
    <w:p>
      <w:pPr>
        <w:pStyle w:val="ListParagraph"/>
        <w:numPr>
          <w:ilvl w:val="1"/>
          <w:numId w:val="49"/>
        </w:numPr>
        <w:tabs>
          <w:tab w:pos="907" w:val="left" w:leader="none"/>
        </w:tabs>
        <w:spacing w:line="237" w:lineRule="auto" w:before="37" w:after="0"/>
        <w:ind w:left="2740" w:right="177" w:hanging="2580"/>
        <w:jc w:val="both"/>
        <w:rPr>
          <w:rFonts w:ascii="黑体" w:eastAsia="黑体" w:hint="eastAsia"/>
          <w:sz w:val="21"/>
        </w:rPr>
      </w:pPr>
      <w:r>
        <w:rPr>
          <w:b/>
          <w:spacing w:val="2"/>
          <w:sz w:val="21"/>
        </w:rPr>
        <w:t>严重的癫痫      </w:t>
      </w:r>
      <w:r>
        <w:rPr>
          <w:spacing w:val="5"/>
          <w:sz w:val="21"/>
        </w:rPr>
        <w:t>本疾病的诊断须由神经科或儿科专科医生根据典型临床症状和脑</w:t>
      </w:r>
      <w:r>
        <w:rPr>
          <w:sz w:val="21"/>
        </w:rPr>
        <w:t>电图及计算机断层扫描（CT）、核磁共振检查（MRI）或正电子发</w:t>
      </w:r>
      <w:r>
        <w:rPr>
          <w:spacing w:val="-2"/>
          <w:sz w:val="21"/>
        </w:rPr>
        <w:t>射断层扫描</w:t>
      </w:r>
      <w:r>
        <w:rPr>
          <w:spacing w:val="-3"/>
          <w:sz w:val="21"/>
        </w:rPr>
        <w:t>（PET）</w:t>
      </w:r>
      <w:r>
        <w:rPr>
          <w:spacing w:val="-1"/>
          <w:sz w:val="21"/>
        </w:rPr>
        <w:t>等影像学检查做出。</w:t>
      </w:r>
      <w:r>
        <w:rPr>
          <w:rFonts w:ascii="黑体" w:eastAsia="黑体" w:hint="eastAsia"/>
          <w:sz w:val="21"/>
        </w:rPr>
        <w:t>理赔时必须提供6个月以上</w:t>
      </w:r>
      <w:r>
        <w:rPr>
          <w:rFonts w:ascii="黑体" w:eastAsia="黑体" w:hint="eastAsia"/>
          <w:spacing w:val="5"/>
          <w:sz w:val="21"/>
        </w:rPr>
        <w:t>的相关病历记录证明被保险人存在经抗癫痫药物治疗无效而反复</w:t>
      </w:r>
      <w:r>
        <w:rPr>
          <w:rFonts w:ascii="黑体" w:eastAsia="黑体" w:hint="eastAsia"/>
          <w:w w:val="95"/>
          <w:sz w:val="21"/>
        </w:rPr>
        <w:t>发作的强直阵挛性发作或癫痫大发作，且已经实施了神经外科手术  以治疗反复发作的癫痫。</w:t>
      </w:r>
    </w:p>
    <w:p>
      <w:pPr>
        <w:pStyle w:val="BodyText"/>
        <w:spacing w:line="237" w:lineRule="auto" w:before="61"/>
        <w:ind w:left="2740" w:right="180"/>
        <w:rPr>
          <w:rFonts w:ascii="黑体" w:eastAsia="黑体" w:hint="eastAsia"/>
        </w:rPr>
      </w:pPr>
      <w:r>
        <w:rPr>
          <w:rFonts w:ascii="黑体" w:eastAsia="黑体" w:hint="eastAsia"/>
          <w:spacing w:val="-1"/>
          <w:w w:val="95"/>
        </w:rPr>
        <w:t>发热性惊厥以及没有全身性发作的失神发作</w:t>
      </w:r>
      <w:r>
        <w:rPr>
          <w:rFonts w:ascii="黑体" w:eastAsia="黑体" w:hint="eastAsia"/>
          <w:w w:val="95"/>
        </w:rPr>
        <w:t>（癫痫小发作</w:t>
      </w:r>
      <w:r>
        <w:rPr>
          <w:rFonts w:ascii="黑体" w:eastAsia="黑体" w:hint="eastAsia"/>
          <w:spacing w:val="-15"/>
          <w:w w:val="95"/>
        </w:rPr>
        <w:t>）</w:t>
      </w:r>
      <w:r>
        <w:rPr>
          <w:rFonts w:ascii="黑体" w:eastAsia="黑体" w:hint="eastAsia"/>
          <w:w w:val="95"/>
        </w:rPr>
        <w:t>不在保  障范围内。</w:t>
      </w:r>
    </w:p>
    <w:p>
      <w:pPr>
        <w:pStyle w:val="BodyText"/>
        <w:spacing w:before="1"/>
        <w:rPr>
          <w:rFonts w:ascii="黑体"/>
          <w:sz w:val="27"/>
        </w:rPr>
      </w:pPr>
    </w:p>
    <w:p>
      <w:pPr>
        <w:spacing w:after="0"/>
        <w:rPr>
          <w:rFonts w:ascii="黑体"/>
          <w:sz w:val="27"/>
        </w:rPr>
        <w:sectPr>
          <w:pgSz w:w="12240" w:h="15840"/>
          <w:pgMar w:top="1500" w:bottom="280" w:left="1640" w:right="1620"/>
        </w:sectPr>
      </w:pPr>
    </w:p>
    <w:p>
      <w:pPr>
        <w:pStyle w:val="Heading2"/>
        <w:numPr>
          <w:ilvl w:val="1"/>
          <w:numId w:val="49"/>
        </w:numPr>
        <w:tabs>
          <w:tab w:pos="906" w:val="left" w:leader="none"/>
          <w:tab w:pos="907" w:val="left" w:leader="none"/>
        </w:tabs>
        <w:spacing w:line="273" w:lineRule="exact" w:before="35" w:after="0"/>
        <w:ind w:left="2740" w:right="0" w:hanging="2580"/>
        <w:jc w:val="left"/>
      </w:pPr>
      <w:r>
        <w:rPr>
          <w:spacing w:val="20"/>
          <w:w w:val="95"/>
        </w:rPr>
        <w:t>小肠异体移植手</w:t>
      </w:r>
    </w:p>
    <w:p>
      <w:pPr>
        <w:spacing w:line="273" w:lineRule="exact" w:before="0"/>
        <w:ind w:left="0" w:right="502" w:firstLine="0"/>
        <w:jc w:val="center"/>
        <w:rPr>
          <w:b/>
          <w:sz w:val="21"/>
        </w:rPr>
      </w:pPr>
      <w:r>
        <w:rPr>
          <w:b/>
          <w:w w:val="99"/>
          <w:sz w:val="21"/>
        </w:rPr>
        <w:t>术</w:t>
      </w:r>
    </w:p>
    <w:p>
      <w:pPr>
        <w:pStyle w:val="BodyText"/>
        <w:spacing w:line="237" w:lineRule="auto" w:before="38"/>
        <w:ind w:left="160" w:right="180"/>
        <w:rPr>
          <w:rFonts w:ascii="黑体" w:eastAsia="黑体" w:hint="eastAsia"/>
        </w:rPr>
      </w:pPr>
      <w:r>
        <w:rPr/>
        <w:br w:type="column"/>
      </w:r>
      <w:r>
        <w:rPr>
          <w:spacing w:val="-3"/>
          <w:w w:val="95"/>
        </w:rPr>
        <w:t>指因肠道疾病或外伤，已经实施了在全麻下进行的小肠异体移植手  术。</w:t>
      </w:r>
      <w:r>
        <w:rPr>
          <w:rFonts w:ascii="黑体" w:eastAsia="黑体" w:hint="eastAsia"/>
          <w:spacing w:val="-3"/>
          <w:w w:val="95"/>
        </w:rPr>
        <w:t>该治疗须由专科医Th认为是医学必需的。</w:t>
      </w:r>
    </w:p>
    <w:p>
      <w:pPr>
        <w:spacing w:after="0" w:line="237" w:lineRule="auto"/>
        <w:rPr>
          <w:rFonts w:ascii="黑体" w:eastAsia="黑体" w:hint="eastAsia"/>
        </w:rPr>
        <w:sectPr>
          <w:type w:val="continuous"/>
          <w:pgSz w:w="12240" w:h="15840"/>
          <w:pgMar w:top="900" w:bottom="280" w:left="1640" w:right="1620"/>
          <w:cols w:num="2" w:equalWidth="0">
            <w:col w:w="2527" w:space="53"/>
            <w:col w:w="6400"/>
          </w:cols>
        </w:sectPr>
      </w:pPr>
    </w:p>
    <w:p>
      <w:pPr>
        <w:pStyle w:val="BodyText"/>
        <w:spacing w:before="2"/>
        <w:rPr>
          <w:rFonts w:ascii="黑体"/>
          <w:sz w:val="27"/>
        </w:rPr>
      </w:pPr>
    </w:p>
    <w:p>
      <w:pPr>
        <w:spacing w:after="0"/>
        <w:rPr>
          <w:rFonts w:ascii="黑体"/>
          <w:sz w:val="27"/>
        </w:rPr>
        <w:sectPr>
          <w:type w:val="continuous"/>
          <w:pgSz w:w="12240" w:h="15840"/>
          <w:pgMar w:top="900" w:bottom="280" w:left="1640" w:right="1620"/>
        </w:sectPr>
      </w:pPr>
    </w:p>
    <w:p>
      <w:pPr>
        <w:pStyle w:val="Heading2"/>
        <w:numPr>
          <w:ilvl w:val="1"/>
          <w:numId w:val="49"/>
        </w:numPr>
        <w:tabs>
          <w:tab w:pos="906" w:val="left" w:leader="none"/>
          <w:tab w:pos="907" w:val="left" w:leader="none"/>
        </w:tabs>
        <w:spacing w:line="240" w:lineRule="auto" w:before="34" w:after="0"/>
        <w:ind w:left="906" w:right="0" w:hanging="746"/>
        <w:jc w:val="left"/>
      </w:pPr>
      <w:r>
        <w:rPr>
          <w:spacing w:val="20"/>
          <w:w w:val="95"/>
        </w:rPr>
        <w:t>特定的细菌性脑脊髓膜炎</w:t>
      </w:r>
    </w:p>
    <w:p>
      <w:pPr>
        <w:pStyle w:val="BodyText"/>
        <w:spacing w:before="34"/>
        <w:ind w:left="160" w:right="180"/>
        <w:jc w:val="both"/>
      </w:pPr>
      <w:r>
        <w:rPr/>
        <w:br w:type="column"/>
      </w:r>
      <w:r>
        <w:rPr>
          <w:spacing w:val="-2"/>
          <w:w w:val="95"/>
        </w:rPr>
        <w:t>指因脑膜炎双球菌感染引起脑脊髓膜化脓性病变，且导致永久性神  经损害，并且脑脊液检查显示脑膜炎双球菌阳性。</w:t>
      </w:r>
    </w:p>
    <w:p>
      <w:pPr>
        <w:pStyle w:val="BodyText"/>
        <w:spacing w:line="237" w:lineRule="auto" w:before="58"/>
        <w:ind w:left="160" w:right="175"/>
        <w:jc w:val="both"/>
      </w:pPr>
      <w:r>
        <w:rPr>
          <w:spacing w:val="-2"/>
          <w:w w:val="95"/>
        </w:rPr>
        <w:t>永久性神经损害是指由细菌性脑脊髓膜炎引起的耳聋、失明、动眼  </w:t>
      </w:r>
      <w:r>
        <w:rPr>
          <w:spacing w:val="-6"/>
          <w:w w:val="95"/>
        </w:rPr>
        <w:t>神经麻痹、瘫痪、脑积水、智力或精神障碍中度以上的损害，且上  述症状持续90天以上仍无改善迹象。</w:t>
      </w:r>
    </w:p>
    <w:p>
      <w:pPr>
        <w:spacing w:after="0" w:line="237" w:lineRule="auto"/>
        <w:jc w:val="both"/>
        <w:sectPr>
          <w:type w:val="continuous"/>
          <w:pgSz w:w="12240" w:h="15840"/>
          <w:pgMar w:top="900" w:bottom="280" w:left="1640" w:right="1620"/>
          <w:cols w:num="2" w:equalWidth="0">
            <w:col w:w="2527" w:space="53"/>
            <w:col w:w="6400"/>
          </w:cols>
        </w:sectPr>
      </w:pPr>
    </w:p>
    <w:p>
      <w:pPr>
        <w:pStyle w:val="BodyText"/>
        <w:spacing w:before="1"/>
        <w:rPr>
          <w:sz w:val="27"/>
        </w:rPr>
      </w:pPr>
    </w:p>
    <w:p>
      <w:pPr>
        <w:spacing w:after="0"/>
        <w:rPr>
          <w:sz w:val="27"/>
        </w:rPr>
        <w:sectPr>
          <w:type w:val="continuous"/>
          <w:pgSz w:w="12240" w:h="15840"/>
          <w:pgMar w:top="900" w:bottom="280" w:left="1640" w:right="1620"/>
        </w:sectPr>
      </w:pPr>
    </w:p>
    <w:p>
      <w:pPr>
        <w:pStyle w:val="Heading2"/>
        <w:numPr>
          <w:ilvl w:val="1"/>
          <w:numId w:val="49"/>
        </w:numPr>
        <w:tabs>
          <w:tab w:pos="906" w:val="left" w:leader="none"/>
          <w:tab w:pos="907" w:val="left" w:leader="none"/>
        </w:tabs>
        <w:spacing w:line="274" w:lineRule="exact" w:before="35" w:after="0"/>
        <w:ind w:left="2740" w:right="0" w:hanging="2580"/>
        <w:jc w:val="left"/>
      </w:pPr>
      <w:r>
        <w:rPr>
          <w:spacing w:val="20"/>
          <w:w w:val="95"/>
        </w:rPr>
        <w:t>器官移植导致的</w:t>
      </w:r>
    </w:p>
    <w:p>
      <w:pPr>
        <w:spacing w:line="274" w:lineRule="exact" w:before="0"/>
        <w:ind w:left="906" w:right="0" w:firstLine="0"/>
        <w:jc w:val="left"/>
        <w:rPr>
          <w:b/>
          <w:sz w:val="21"/>
        </w:rPr>
      </w:pPr>
      <w:r>
        <w:rPr>
          <w:b/>
          <w:sz w:val="21"/>
        </w:rPr>
        <w:t>HIV 感染</w:t>
      </w:r>
    </w:p>
    <w:p>
      <w:pPr>
        <w:pStyle w:val="BodyText"/>
        <w:spacing w:before="35"/>
        <w:ind w:left="160" w:right="177"/>
        <w:rPr>
          <w:rFonts w:ascii="黑体" w:eastAsia="黑体" w:hint="eastAsia"/>
        </w:rPr>
      </w:pPr>
      <w:r>
        <w:rPr/>
        <w:br w:type="column"/>
      </w:r>
      <w:r>
        <w:rPr>
          <w:spacing w:val="-2"/>
          <w:w w:val="99"/>
        </w:rPr>
        <w:t>指因进行器官移植而感染上人类免疫缺陷病毒</w:t>
      </w:r>
      <w:r>
        <w:rPr>
          <w:spacing w:val="-1"/>
          <w:w w:val="99"/>
        </w:rPr>
        <w:t>（</w:t>
      </w:r>
      <w:r>
        <w:rPr>
          <w:spacing w:val="0"/>
          <w:w w:val="99"/>
        </w:rPr>
        <w:t>HI</w:t>
      </w:r>
      <w:r>
        <w:rPr>
          <w:spacing w:val="-2"/>
          <w:w w:val="99"/>
        </w:rPr>
        <w:t>V</w:t>
      </w:r>
      <w:r>
        <w:rPr>
          <w:spacing w:val="-104"/>
          <w:w w:val="99"/>
        </w:rPr>
        <w:t>）</w:t>
      </w:r>
      <w:r>
        <w:rPr>
          <w:spacing w:val="-15"/>
          <w:w w:val="99"/>
        </w:rPr>
        <w:t>，</w:t>
      </w:r>
      <w:r>
        <w:rPr>
          <w:rFonts w:ascii="黑体" w:eastAsia="黑体" w:hint="eastAsia"/>
          <w:w w:val="99"/>
        </w:rPr>
        <w:t>且满足下列</w:t>
      </w:r>
      <w:r>
        <w:rPr>
          <w:rFonts w:ascii="黑体" w:eastAsia="黑体" w:hint="eastAsia"/>
          <w:w w:val="95"/>
        </w:rPr>
        <w:t>全部条件：</w:t>
      </w:r>
    </w:p>
    <w:p>
      <w:pPr>
        <w:pStyle w:val="ListParagraph"/>
        <w:numPr>
          <w:ilvl w:val="0"/>
          <w:numId w:val="50"/>
        </w:numPr>
        <w:tabs>
          <w:tab w:pos="895" w:val="left" w:leader="none"/>
        </w:tabs>
        <w:spacing w:line="240" w:lineRule="auto" w:before="56" w:after="0"/>
        <w:ind w:left="894" w:right="177" w:hanging="734"/>
        <w:jc w:val="both"/>
        <w:rPr>
          <w:sz w:val="21"/>
        </w:rPr>
      </w:pPr>
      <w:r>
        <w:rPr>
          <w:sz w:val="21"/>
        </w:rPr>
        <w:t>被保险人因治疗必需而实施器官移植，并且因器官移植而</w:t>
      </w:r>
      <w:r>
        <w:rPr>
          <w:w w:val="95"/>
          <w:sz w:val="21"/>
        </w:rPr>
        <w:t>感染人类免疫缺陷病毒；</w:t>
      </w:r>
    </w:p>
    <w:p>
      <w:pPr>
        <w:pStyle w:val="ListParagraph"/>
        <w:numPr>
          <w:ilvl w:val="0"/>
          <w:numId w:val="50"/>
        </w:numPr>
        <w:tabs>
          <w:tab w:pos="895" w:val="left" w:leader="none"/>
        </w:tabs>
        <w:spacing w:line="237" w:lineRule="auto" w:before="59" w:after="0"/>
        <w:ind w:left="894" w:right="177" w:hanging="734"/>
        <w:jc w:val="both"/>
        <w:rPr>
          <w:sz w:val="21"/>
        </w:rPr>
      </w:pPr>
      <w:r>
        <w:rPr>
          <w:sz w:val="21"/>
        </w:rPr>
        <w:t>提供器官移植治疗的器官移植中心或医院出具该项器官移植感染，属于医疗责任事故的报告，或者法院终审裁定为</w:t>
      </w:r>
      <w:r>
        <w:rPr>
          <w:w w:val="95"/>
          <w:sz w:val="21"/>
        </w:rPr>
        <w:t>医疗责任并且不准上诉；</w:t>
      </w:r>
    </w:p>
    <w:p>
      <w:pPr>
        <w:pStyle w:val="ListParagraph"/>
        <w:numPr>
          <w:ilvl w:val="0"/>
          <w:numId w:val="50"/>
        </w:numPr>
        <w:tabs>
          <w:tab w:pos="895" w:val="left" w:leader="none"/>
        </w:tabs>
        <w:spacing w:line="240" w:lineRule="auto" w:before="56" w:after="0"/>
        <w:ind w:left="894" w:right="177" w:hanging="734"/>
        <w:jc w:val="both"/>
        <w:rPr>
          <w:sz w:val="21"/>
        </w:rPr>
      </w:pPr>
      <w:r>
        <w:rPr>
          <w:sz w:val="21"/>
        </w:rPr>
        <w:t>提供器官移植治疗的器官移植中心或医院必须拥有合法经</w:t>
      </w:r>
      <w:r>
        <w:rPr>
          <w:w w:val="95"/>
          <w:sz w:val="21"/>
        </w:rPr>
        <w:t>营执照。</w:t>
      </w:r>
    </w:p>
    <w:p>
      <w:pPr>
        <w:spacing w:after="0" w:line="240" w:lineRule="auto"/>
        <w:jc w:val="both"/>
        <w:rPr>
          <w:sz w:val="21"/>
        </w:rPr>
        <w:sectPr>
          <w:type w:val="continuous"/>
          <w:pgSz w:w="12240" w:h="15840"/>
          <w:pgMar w:top="900" w:bottom="280" w:left="1640" w:right="1620"/>
          <w:cols w:num="2" w:equalWidth="0">
            <w:col w:w="2527" w:space="53"/>
            <w:col w:w="6400"/>
          </w:cols>
        </w:sectPr>
      </w:pPr>
    </w:p>
    <w:p>
      <w:pPr>
        <w:pStyle w:val="BodyText"/>
        <w:spacing w:before="6"/>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709"/>
        <w:gridCol w:w="6424"/>
      </w:tblGrid>
      <w:tr>
        <w:trPr>
          <w:trHeight w:val="708" w:hRule="atLeast"/>
        </w:trPr>
        <w:tc>
          <w:tcPr>
            <w:tcW w:w="635" w:type="dxa"/>
          </w:tcPr>
          <w:p>
            <w:pPr>
              <w:pStyle w:val="TableParagraph"/>
              <w:rPr>
                <w:rFonts w:ascii="Times New Roman"/>
                <w:sz w:val="20"/>
              </w:rPr>
            </w:pPr>
          </w:p>
        </w:tc>
        <w:tc>
          <w:tcPr>
            <w:tcW w:w="1709" w:type="dxa"/>
          </w:tcPr>
          <w:p>
            <w:pPr>
              <w:pStyle w:val="TableParagraph"/>
              <w:rPr>
                <w:rFonts w:ascii="Times New Roman"/>
                <w:sz w:val="20"/>
              </w:rPr>
            </w:pPr>
          </w:p>
        </w:tc>
        <w:tc>
          <w:tcPr>
            <w:tcW w:w="6424" w:type="dxa"/>
          </w:tcPr>
          <w:p>
            <w:pPr>
              <w:pStyle w:val="TableParagraph"/>
              <w:spacing w:line="207" w:lineRule="exact"/>
              <w:ind w:left="286"/>
              <w:rPr>
                <w:rFonts w:ascii="黑体" w:eastAsia="黑体" w:hint="eastAsia"/>
                <w:sz w:val="21"/>
              </w:rPr>
            </w:pPr>
            <w:r>
              <w:rPr>
                <w:rFonts w:ascii="黑体" w:eastAsia="黑体" w:hint="eastAsia"/>
                <w:sz w:val="21"/>
              </w:rPr>
              <w:t>任何因其他传播方式（包括性传播或静脉注射毒品）导致的HIV感</w:t>
            </w:r>
          </w:p>
          <w:p>
            <w:pPr>
              <w:pStyle w:val="TableParagraph"/>
              <w:spacing w:line="273" w:lineRule="exact"/>
              <w:ind w:left="286"/>
              <w:rPr>
                <w:rFonts w:ascii="黑体" w:eastAsia="黑体" w:hint="eastAsia"/>
                <w:sz w:val="21"/>
              </w:rPr>
            </w:pPr>
            <w:r>
              <w:rPr>
                <w:rFonts w:ascii="黑体" w:eastAsia="黑体" w:hint="eastAsia"/>
                <w:w w:val="95"/>
                <w:sz w:val="21"/>
              </w:rPr>
              <w:t>染不在保障范围内。</w:t>
            </w:r>
          </w:p>
        </w:tc>
      </w:tr>
      <w:tr>
        <w:trPr>
          <w:trHeight w:val="1042" w:hRule="atLeast"/>
        </w:trPr>
        <w:tc>
          <w:tcPr>
            <w:tcW w:w="635" w:type="dxa"/>
          </w:tcPr>
          <w:p>
            <w:pPr>
              <w:pStyle w:val="TableParagraph"/>
              <w:spacing w:before="162"/>
              <w:ind w:left="50"/>
              <w:rPr>
                <w:b/>
                <w:sz w:val="21"/>
              </w:rPr>
            </w:pPr>
            <w:r>
              <w:rPr>
                <w:b/>
                <w:sz w:val="21"/>
              </w:rPr>
              <w:t>9.79</w:t>
            </w:r>
          </w:p>
        </w:tc>
        <w:tc>
          <w:tcPr>
            <w:tcW w:w="1709" w:type="dxa"/>
          </w:tcPr>
          <w:p>
            <w:pPr>
              <w:pStyle w:val="TableParagraph"/>
              <w:spacing w:before="162"/>
              <w:ind w:left="161"/>
              <w:rPr>
                <w:b/>
                <w:sz w:val="21"/>
              </w:rPr>
            </w:pPr>
            <w:r>
              <w:rPr>
                <w:b/>
                <w:w w:val="95"/>
                <w:sz w:val="21"/>
              </w:rPr>
              <w:t>主动脉夹层瘤</w:t>
            </w:r>
          </w:p>
        </w:tc>
        <w:tc>
          <w:tcPr>
            <w:tcW w:w="6424" w:type="dxa"/>
          </w:tcPr>
          <w:p>
            <w:pPr>
              <w:pStyle w:val="TableParagraph"/>
              <w:spacing w:line="237" w:lineRule="auto" w:before="165"/>
              <w:ind w:left="286" w:right="78"/>
              <w:jc w:val="both"/>
              <w:rPr>
                <w:sz w:val="21"/>
              </w:rPr>
            </w:pPr>
            <w:r>
              <w:rPr>
                <w:spacing w:val="-2"/>
                <w:w w:val="95"/>
                <w:sz w:val="21"/>
              </w:rPr>
              <w:t>指主动脉壁在受到某些病理因素的破坏后，高速、高压的主动脉血  </w:t>
            </w:r>
            <w:r>
              <w:rPr>
                <w:spacing w:val="-6"/>
                <w:w w:val="95"/>
                <w:sz w:val="21"/>
              </w:rPr>
              <w:t>流将其内膜撕裂，以致主动脉腔内的血流通过主动脉内膜的破裂口  进入主动脉内壁而形成血肿。</w:t>
            </w:r>
          </w:p>
        </w:tc>
      </w:tr>
      <w:tr>
        <w:trPr>
          <w:trHeight w:val="771" w:hRule="atLeast"/>
        </w:trPr>
        <w:tc>
          <w:tcPr>
            <w:tcW w:w="635" w:type="dxa"/>
          </w:tcPr>
          <w:p>
            <w:pPr>
              <w:pStyle w:val="TableParagraph"/>
              <w:rPr>
                <w:rFonts w:ascii="Times New Roman"/>
                <w:sz w:val="20"/>
              </w:rPr>
            </w:pPr>
          </w:p>
        </w:tc>
        <w:tc>
          <w:tcPr>
            <w:tcW w:w="1709" w:type="dxa"/>
          </w:tcPr>
          <w:p>
            <w:pPr>
              <w:pStyle w:val="TableParagraph"/>
              <w:rPr>
                <w:rFonts w:ascii="Times New Roman"/>
                <w:sz w:val="20"/>
              </w:rPr>
            </w:pPr>
          </w:p>
        </w:tc>
        <w:tc>
          <w:tcPr>
            <w:tcW w:w="6424" w:type="dxa"/>
          </w:tcPr>
          <w:p>
            <w:pPr>
              <w:pStyle w:val="TableParagraph"/>
              <w:ind w:left="286" w:right="155"/>
              <w:rPr>
                <w:rFonts w:ascii="黑体" w:eastAsia="黑体" w:hint="eastAsia"/>
                <w:sz w:val="21"/>
              </w:rPr>
            </w:pPr>
            <w:r>
              <w:rPr>
                <w:rFonts w:ascii="黑体" w:eastAsia="黑体" w:hint="eastAsia"/>
                <w:spacing w:val="-1"/>
                <w:w w:val="99"/>
                <w:sz w:val="21"/>
              </w:rPr>
              <w:t>需通过计算机断层扫描（</w:t>
            </w:r>
            <w:r>
              <w:rPr>
                <w:rFonts w:ascii="黑体" w:eastAsia="黑体" w:hint="eastAsia"/>
                <w:spacing w:val="0"/>
                <w:w w:val="99"/>
                <w:sz w:val="21"/>
              </w:rPr>
              <w:t>CT</w:t>
            </w:r>
            <w:r>
              <w:rPr>
                <w:rFonts w:ascii="黑体" w:eastAsia="黑体" w:hint="eastAsia"/>
                <w:spacing w:val="-106"/>
                <w:w w:val="99"/>
                <w:sz w:val="21"/>
              </w:rPr>
              <w:t>）</w:t>
            </w:r>
            <w:r>
              <w:rPr>
                <w:rFonts w:ascii="黑体" w:eastAsia="黑体" w:hint="eastAsia"/>
                <w:spacing w:val="-1"/>
                <w:w w:val="99"/>
                <w:sz w:val="21"/>
              </w:rPr>
              <w:t>、核磁共振扫描</w:t>
            </w:r>
            <w:r>
              <w:rPr>
                <w:rFonts w:ascii="黑体" w:eastAsia="黑体" w:hint="eastAsia"/>
                <w:spacing w:val="1"/>
                <w:w w:val="99"/>
                <w:sz w:val="21"/>
              </w:rPr>
              <w:t>（</w:t>
            </w:r>
            <w:r>
              <w:rPr>
                <w:rFonts w:ascii="黑体" w:eastAsia="黑体" w:hint="eastAsia"/>
                <w:spacing w:val="0"/>
                <w:w w:val="99"/>
                <w:sz w:val="21"/>
              </w:rPr>
              <w:t>MRI</w:t>
            </w:r>
            <w:r>
              <w:rPr>
                <w:rFonts w:ascii="黑体" w:eastAsia="黑体" w:hint="eastAsia"/>
                <w:spacing w:val="-106"/>
                <w:w w:val="99"/>
                <w:sz w:val="21"/>
              </w:rPr>
              <w:t>）</w:t>
            </w:r>
            <w:r>
              <w:rPr>
                <w:rFonts w:ascii="黑体" w:eastAsia="黑体" w:hint="eastAsia"/>
                <w:spacing w:val="-1"/>
                <w:w w:val="99"/>
                <w:sz w:val="21"/>
              </w:rPr>
              <w:t>、磁共振血管</w:t>
            </w:r>
            <w:r>
              <w:rPr>
                <w:rFonts w:ascii="黑体" w:eastAsia="黑体" w:hint="eastAsia"/>
                <w:spacing w:val="-1"/>
                <w:w w:val="95"/>
                <w:sz w:val="21"/>
              </w:rPr>
              <w:t>造影（MRA）或血管扫描等检查诊断。</w:t>
            </w:r>
          </w:p>
        </w:tc>
      </w:tr>
      <w:tr>
        <w:trPr>
          <w:trHeight w:val="436" w:hRule="atLeast"/>
        </w:trPr>
        <w:tc>
          <w:tcPr>
            <w:tcW w:w="635" w:type="dxa"/>
          </w:tcPr>
          <w:p>
            <w:pPr>
              <w:pStyle w:val="TableParagraph"/>
              <w:spacing w:line="255" w:lineRule="exact" w:before="162"/>
              <w:ind w:left="50"/>
              <w:rPr>
                <w:b/>
                <w:sz w:val="21"/>
              </w:rPr>
            </w:pPr>
            <w:r>
              <w:rPr>
                <w:b/>
                <w:sz w:val="21"/>
              </w:rPr>
              <w:t>9.80</w:t>
            </w:r>
          </w:p>
        </w:tc>
        <w:tc>
          <w:tcPr>
            <w:tcW w:w="1709" w:type="dxa"/>
          </w:tcPr>
          <w:p>
            <w:pPr>
              <w:pStyle w:val="TableParagraph"/>
              <w:spacing w:line="255" w:lineRule="exact" w:before="162"/>
              <w:ind w:left="161"/>
              <w:rPr>
                <w:b/>
                <w:sz w:val="21"/>
              </w:rPr>
            </w:pPr>
            <w:r>
              <w:rPr>
                <w:b/>
                <w:w w:val="95"/>
                <w:sz w:val="21"/>
              </w:rPr>
              <w:t>肺孢子菌肺炎</w:t>
            </w:r>
          </w:p>
        </w:tc>
        <w:tc>
          <w:tcPr>
            <w:tcW w:w="6424" w:type="dxa"/>
          </w:tcPr>
          <w:p>
            <w:pPr>
              <w:pStyle w:val="TableParagraph"/>
              <w:spacing w:line="255" w:lineRule="exact" w:before="162"/>
              <w:ind w:left="286"/>
              <w:rPr>
                <w:rFonts w:ascii="黑体" w:eastAsia="黑体" w:hint="eastAsia"/>
                <w:sz w:val="21"/>
              </w:rPr>
            </w:pPr>
            <w:r>
              <w:rPr>
                <w:w w:val="95"/>
                <w:sz w:val="21"/>
              </w:rPr>
              <w:t>指由肺孢子菌引起的间质性浆细胞性肺炎，</w:t>
            </w:r>
            <w:r>
              <w:rPr>
                <w:rFonts w:ascii="黑体" w:eastAsia="黑体" w:hint="eastAsia"/>
                <w:w w:val="95"/>
                <w:sz w:val="21"/>
              </w:rPr>
              <w:t>且满足下列全部条件：</w:t>
            </w:r>
          </w:p>
        </w:tc>
      </w:tr>
    </w:tbl>
    <w:p>
      <w:pPr>
        <w:pStyle w:val="ListParagraph"/>
        <w:numPr>
          <w:ilvl w:val="1"/>
          <w:numId w:val="50"/>
        </w:numPr>
        <w:tabs>
          <w:tab w:pos="3474" w:val="left" w:leader="none"/>
          <w:tab w:pos="3475" w:val="left" w:leader="none"/>
        </w:tabs>
        <w:spacing w:line="240" w:lineRule="auto" w:before="56" w:after="0"/>
        <w:ind w:left="3474" w:right="0" w:hanging="734"/>
        <w:jc w:val="left"/>
        <w:rPr>
          <w:sz w:val="21"/>
        </w:rPr>
      </w:pPr>
      <w:r>
        <w:rPr>
          <w:sz w:val="21"/>
        </w:rPr>
        <w:t>第一秒末用力呼气量（FEV1%）</w:t>
      </w:r>
      <w:r>
        <w:rPr>
          <w:spacing w:val="-20"/>
          <w:sz w:val="21"/>
        </w:rPr>
        <w:t>小于 </w:t>
      </w:r>
      <w:r>
        <w:rPr>
          <w:sz w:val="21"/>
        </w:rPr>
        <w:t>1</w:t>
      </w:r>
      <w:r>
        <w:rPr>
          <w:spacing w:val="-20"/>
          <w:sz w:val="21"/>
        </w:rPr>
        <w:t> 升；</w:t>
      </w:r>
    </w:p>
    <w:p>
      <w:pPr>
        <w:pStyle w:val="ListParagraph"/>
        <w:numPr>
          <w:ilvl w:val="1"/>
          <w:numId w:val="50"/>
        </w:numPr>
        <w:tabs>
          <w:tab w:pos="3474" w:val="left" w:leader="none"/>
          <w:tab w:pos="3475" w:val="left" w:leader="none"/>
        </w:tabs>
        <w:spacing w:line="240" w:lineRule="auto" w:before="56" w:after="0"/>
        <w:ind w:left="3474" w:right="0" w:hanging="734"/>
        <w:jc w:val="left"/>
        <w:rPr>
          <w:sz w:val="21"/>
        </w:rPr>
      </w:pPr>
      <w:r>
        <w:rPr>
          <w:spacing w:val="-5"/>
          <w:sz w:val="21"/>
        </w:rPr>
        <w:t>气道内阻力增加，至少达到 </w:t>
      </w:r>
      <w:r>
        <w:rPr>
          <w:sz w:val="21"/>
        </w:rPr>
        <w:t>0.5kPa/L/s；</w:t>
      </w:r>
    </w:p>
    <w:p>
      <w:pPr>
        <w:pStyle w:val="ListParagraph"/>
        <w:numPr>
          <w:ilvl w:val="1"/>
          <w:numId w:val="50"/>
        </w:numPr>
        <w:tabs>
          <w:tab w:pos="3474" w:val="left" w:leader="none"/>
          <w:tab w:pos="3475" w:val="left" w:leader="none"/>
        </w:tabs>
        <w:spacing w:line="240" w:lineRule="auto" w:before="59" w:after="0"/>
        <w:ind w:left="3474" w:right="0" w:hanging="734"/>
        <w:jc w:val="left"/>
        <w:rPr>
          <w:sz w:val="21"/>
        </w:rPr>
      </w:pPr>
      <w:r>
        <w:rPr>
          <w:sz w:val="21"/>
        </w:rPr>
        <w:t>残气容积占肺总量（TLC）</w:t>
      </w:r>
      <w:r>
        <w:rPr>
          <w:spacing w:val="-33"/>
          <w:sz w:val="21"/>
        </w:rPr>
        <w:t>的 </w:t>
      </w:r>
      <w:r>
        <w:rPr>
          <w:sz w:val="21"/>
        </w:rPr>
        <w:t>60%以上；</w:t>
      </w:r>
    </w:p>
    <w:p>
      <w:pPr>
        <w:pStyle w:val="ListParagraph"/>
        <w:numPr>
          <w:ilvl w:val="1"/>
          <w:numId w:val="50"/>
        </w:numPr>
        <w:tabs>
          <w:tab w:pos="3474" w:val="left" w:leader="none"/>
          <w:tab w:pos="3475" w:val="left" w:leader="none"/>
        </w:tabs>
        <w:spacing w:line="240" w:lineRule="auto" w:before="59" w:after="0"/>
        <w:ind w:left="3474" w:right="0" w:hanging="734"/>
        <w:jc w:val="left"/>
        <w:rPr>
          <w:sz w:val="21"/>
        </w:rPr>
      </w:pPr>
      <w:r>
        <w:rPr>
          <w:spacing w:val="-5"/>
          <w:sz w:val="21"/>
        </w:rPr>
        <w:t>胸内气体容积升高，超过基值的 </w:t>
      </w:r>
      <w:r>
        <w:rPr>
          <w:sz w:val="21"/>
        </w:rPr>
        <w:t>170%；</w:t>
      </w:r>
    </w:p>
    <w:p>
      <w:pPr>
        <w:spacing w:after="0" w:line="240" w:lineRule="auto"/>
        <w:jc w:val="left"/>
        <w:rPr>
          <w:sz w:val="21"/>
        </w:rPr>
        <w:sectPr>
          <w:type w:val="continuous"/>
          <w:pgSz w:w="12240" w:h="15840"/>
          <w:pgMar w:top="900" w:bottom="280" w:left="1640" w:right="1620"/>
        </w:sectPr>
      </w:pPr>
    </w:p>
    <w:p>
      <w:pPr>
        <w:pStyle w:val="ListParagraph"/>
        <w:numPr>
          <w:ilvl w:val="1"/>
          <w:numId w:val="50"/>
        </w:numPr>
        <w:tabs>
          <w:tab w:pos="3414" w:val="left" w:leader="none"/>
          <w:tab w:pos="3415" w:val="left" w:leader="none"/>
        </w:tabs>
        <w:spacing w:line="240" w:lineRule="auto" w:before="4" w:after="0"/>
        <w:ind w:left="3414" w:right="0" w:hanging="734"/>
        <w:jc w:val="left"/>
        <w:rPr>
          <w:sz w:val="21"/>
        </w:rPr>
      </w:pPr>
      <w:r>
        <w:rPr>
          <w:spacing w:val="0"/>
          <w:w w:val="99"/>
          <w:sz w:val="21"/>
        </w:rPr>
        <w:t>Pa</w:t>
      </w:r>
      <w:r>
        <w:rPr>
          <w:spacing w:val="-2"/>
          <w:w w:val="99"/>
          <w:sz w:val="21"/>
        </w:rPr>
        <w:t>O</w:t>
      </w:r>
      <w:r>
        <w:rPr>
          <w:spacing w:val="-1"/>
          <w:w w:val="105"/>
          <w:position w:val="-2"/>
          <w:sz w:val="10"/>
        </w:rPr>
        <w:t>2</w:t>
      </w:r>
      <w:r>
        <w:rPr>
          <w:spacing w:val="0"/>
          <w:w w:val="99"/>
          <w:sz w:val="21"/>
        </w:rPr>
        <w:t>&lt;6</w:t>
      </w:r>
      <w:r>
        <w:rPr>
          <w:spacing w:val="-2"/>
          <w:w w:val="99"/>
          <w:sz w:val="21"/>
        </w:rPr>
        <w:t>0</w:t>
      </w:r>
      <w:r>
        <w:rPr>
          <w:spacing w:val="0"/>
          <w:w w:val="99"/>
          <w:sz w:val="21"/>
        </w:rPr>
        <w:t>mmH</w:t>
      </w:r>
      <w:r>
        <w:rPr>
          <w:spacing w:val="-2"/>
          <w:w w:val="99"/>
          <w:sz w:val="21"/>
        </w:rPr>
        <w:t>g</w:t>
      </w:r>
      <w:r>
        <w:rPr>
          <w:spacing w:val="-1"/>
          <w:w w:val="99"/>
          <w:sz w:val="21"/>
        </w:rPr>
        <w:t>，</w:t>
      </w:r>
      <w:r>
        <w:rPr>
          <w:spacing w:val="0"/>
          <w:w w:val="99"/>
          <w:sz w:val="21"/>
        </w:rPr>
        <w:t>PaC</w:t>
      </w:r>
      <w:r>
        <w:rPr>
          <w:spacing w:val="-2"/>
          <w:w w:val="99"/>
          <w:sz w:val="21"/>
        </w:rPr>
        <w:t>O</w:t>
      </w:r>
      <w:r>
        <w:rPr>
          <w:spacing w:val="1"/>
          <w:w w:val="105"/>
          <w:position w:val="-2"/>
          <w:sz w:val="10"/>
        </w:rPr>
        <w:t>2</w:t>
      </w:r>
      <w:r>
        <w:rPr>
          <w:spacing w:val="0"/>
          <w:w w:val="99"/>
          <w:sz w:val="21"/>
        </w:rPr>
        <w:t>&gt;5</w:t>
      </w:r>
      <w:r>
        <w:rPr>
          <w:spacing w:val="-2"/>
          <w:w w:val="99"/>
          <w:sz w:val="21"/>
        </w:rPr>
        <w:t>0</w:t>
      </w:r>
      <w:r>
        <w:rPr>
          <w:spacing w:val="0"/>
          <w:w w:val="99"/>
          <w:sz w:val="21"/>
        </w:rPr>
        <w:t>mmH</w:t>
      </w:r>
      <w:r>
        <w:rPr>
          <w:spacing w:val="-2"/>
          <w:w w:val="99"/>
          <w:sz w:val="21"/>
        </w:rPr>
        <w:t>g</w:t>
      </w:r>
      <w:r>
        <w:rPr>
          <w:w w:val="99"/>
          <w:sz w:val="21"/>
        </w:rPr>
        <w:t>。</w:t>
      </w:r>
    </w:p>
    <w:p>
      <w:pPr>
        <w:pStyle w:val="BodyText"/>
        <w:spacing w:before="0"/>
        <w:rPr>
          <w:sz w:val="26"/>
        </w:rPr>
      </w:pPr>
    </w:p>
    <w:p>
      <w:pPr>
        <w:spacing w:after="0"/>
        <w:rPr>
          <w:sz w:val="26"/>
        </w:rPr>
        <w:sectPr>
          <w:pgSz w:w="12240" w:h="15840"/>
          <w:pgMar w:top="1460" w:bottom="280" w:left="1700" w:right="1580"/>
        </w:sectPr>
      </w:pPr>
    </w:p>
    <w:p>
      <w:pPr>
        <w:pStyle w:val="Heading2"/>
        <w:numPr>
          <w:ilvl w:val="1"/>
          <w:numId w:val="51"/>
        </w:numPr>
        <w:tabs>
          <w:tab w:pos="846" w:val="left" w:leader="none"/>
          <w:tab w:pos="847" w:val="left" w:leader="none"/>
        </w:tabs>
        <w:spacing w:line="273" w:lineRule="exact" w:before="34" w:after="0"/>
        <w:ind w:left="846" w:right="0" w:hanging="746"/>
        <w:jc w:val="left"/>
      </w:pPr>
      <w:r>
        <w:rPr>
          <w:spacing w:val="20"/>
          <w:w w:val="95"/>
        </w:rPr>
        <w:t>严重的原发性骨</w:t>
      </w:r>
    </w:p>
    <w:p>
      <w:pPr>
        <w:spacing w:line="273" w:lineRule="exact" w:before="0"/>
        <w:ind w:left="846" w:right="0" w:firstLine="0"/>
        <w:jc w:val="left"/>
        <w:rPr>
          <w:b/>
          <w:sz w:val="21"/>
        </w:rPr>
      </w:pPr>
      <w:r>
        <w:rPr>
          <w:b/>
          <w:w w:val="95"/>
          <w:sz w:val="21"/>
        </w:rPr>
        <w:t>髓纤维化（PMF）</w:t>
      </w:r>
    </w:p>
    <w:p>
      <w:pPr>
        <w:pStyle w:val="BodyText"/>
        <w:spacing w:line="237" w:lineRule="auto" w:before="37"/>
        <w:ind w:left="100" w:right="220"/>
      </w:pPr>
      <w:r>
        <w:rPr/>
        <w:br w:type="column"/>
      </w:r>
      <w:r>
        <w:rPr>
          <w:spacing w:val="-2"/>
          <w:w w:val="95"/>
        </w:rPr>
        <w:t>原发性骨髓纤维化以骨髓纤维增生和髓外造血为特点，表现为进行  性贫血、脾肿大、外周血幼稚细胞等。</w:t>
      </w:r>
    </w:p>
    <w:p>
      <w:pPr>
        <w:pStyle w:val="BodyText"/>
        <w:spacing w:line="274" w:lineRule="exact" w:before="58"/>
        <w:ind w:left="100"/>
      </w:pPr>
      <w:r>
        <w:rPr>
          <w:w w:val="95"/>
        </w:rPr>
        <w:t>严重的原发性骨髓纤维化指经骨髓活检诊断为原发性骨髓纤维化，</w:t>
      </w:r>
    </w:p>
    <w:p>
      <w:pPr>
        <w:pStyle w:val="BodyText"/>
        <w:spacing w:line="274" w:lineRule="exact" w:before="0"/>
        <w:ind w:left="100"/>
        <w:rPr>
          <w:rFonts w:ascii="黑体" w:eastAsia="黑体" w:hint="eastAsia"/>
        </w:rPr>
      </w:pPr>
      <w:r>
        <w:rPr>
          <w:rFonts w:ascii="黑体" w:eastAsia="黑体" w:hint="eastAsia"/>
          <w:w w:val="95"/>
        </w:rPr>
        <w:t>且满足下列全部条件并持续180天：</w:t>
      </w:r>
    </w:p>
    <w:p>
      <w:pPr>
        <w:pStyle w:val="BodyText"/>
        <w:tabs>
          <w:tab w:pos="834" w:val="left" w:leader="none"/>
        </w:tabs>
        <w:ind w:left="100"/>
      </w:pPr>
      <w:r>
        <w:rPr/>
        <w:t>（1）</w:t>
        <w:tab/>
      </w:r>
      <w:r>
        <w:rPr>
          <w:w w:val="95"/>
        </w:rPr>
        <w:t>血红蛋白&lt;100g/L；</w:t>
      </w:r>
    </w:p>
    <w:p>
      <w:pPr>
        <w:pStyle w:val="BodyText"/>
        <w:tabs>
          <w:tab w:pos="834" w:val="left" w:leader="none"/>
        </w:tabs>
        <w:spacing w:before="55"/>
        <w:ind w:left="100"/>
      </w:pPr>
      <w:r>
        <w:rPr>
          <w:spacing w:val="-1"/>
          <w:w w:val="99"/>
        </w:rPr>
        <w:t>（</w:t>
      </w:r>
      <w:r>
        <w:rPr>
          <w:spacing w:val="0"/>
          <w:w w:val="99"/>
        </w:rPr>
        <w:t>2</w:t>
      </w:r>
      <w:r>
        <w:rPr>
          <w:w w:val="99"/>
        </w:rPr>
        <w:t>）</w:t>
      </w:r>
      <w:r>
        <w:rPr/>
        <w:tab/>
      </w:r>
      <w:r>
        <w:rPr>
          <w:spacing w:val="-1"/>
          <w:w w:val="99"/>
        </w:rPr>
        <w:t>白细胞计数</w:t>
      </w:r>
      <w:r>
        <w:rPr>
          <w:spacing w:val="0"/>
          <w:w w:val="99"/>
        </w:rPr>
        <w:t>&gt;25</w:t>
      </w:r>
      <w:r>
        <w:rPr>
          <w:spacing w:val="-1"/>
          <w:w w:val="99"/>
        </w:rPr>
        <w:t>×</w:t>
      </w:r>
      <w:r>
        <w:rPr>
          <w:spacing w:val="0"/>
          <w:w w:val="99"/>
        </w:rPr>
        <w:t>10</w:t>
      </w:r>
      <w:r>
        <w:rPr>
          <w:spacing w:val="-3"/>
          <w:w w:val="105"/>
          <w:position w:val="11"/>
          <w:sz w:val="10"/>
        </w:rPr>
        <w:t>9</w:t>
      </w:r>
      <w:r>
        <w:rPr>
          <w:spacing w:val="0"/>
          <w:w w:val="99"/>
        </w:rPr>
        <w:t>/L</w:t>
      </w:r>
      <w:r>
        <w:rPr>
          <w:w w:val="99"/>
        </w:rPr>
        <w:t>；</w:t>
      </w:r>
    </w:p>
    <w:p>
      <w:pPr>
        <w:pStyle w:val="BodyText"/>
        <w:tabs>
          <w:tab w:pos="834" w:val="left" w:leader="none"/>
        </w:tabs>
        <w:spacing w:before="58"/>
        <w:ind w:left="100"/>
      </w:pPr>
      <w:r>
        <w:rPr/>
        <w:t>（3）</w:t>
        <w:tab/>
      </w:r>
      <w:r>
        <w:rPr>
          <w:w w:val="95"/>
        </w:rPr>
        <w:t>外周血原始细胞≥1%；</w:t>
      </w:r>
    </w:p>
    <w:p>
      <w:pPr>
        <w:pStyle w:val="BodyText"/>
        <w:tabs>
          <w:tab w:pos="834" w:val="left" w:leader="none"/>
        </w:tabs>
        <w:ind w:left="100"/>
      </w:pPr>
      <w:r>
        <w:rPr>
          <w:spacing w:val="-1"/>
          <w:w w:val="99"/>
        </w:rPr>
        <w:t>（</w:t>
      </w:r>
      <w:r>
        <w:rPr>
          <w:spacing w:val="0"/>
          <w:w w:val="99"/>
        </w:rPr>
        <w:t>4</w:t>
      </w:r>
      <w:r>
        <w:rPr>
          <w:w w:val="99"/>
        </w:rPr>
        <w:t>）</w:t>
      </w:r>
      <w:r>
        <w:rPr/>
        <w:tab/>
      </w:r>
      <w:r>
        <w:rPr>
          <w:spacing w:val="-1"/>
          <w:w w:val="99"/>
        </w:rPr>
        <w:t>血小板计数</w:t>
      </w:r>
      <w:r>
        <w:rPr>
          <w:spacing w:val="0"/>
          <w:w w:val="99"/>
        </w:rPr>
        <w:t>&lt;10</w:t>
      </w:r>
      <w:r>
        <w:rPr>
          <w:spacing w:val="-2"/>
          <w:w w:val="99"/>
        </w:rPr>
        <w:t>0</w:t>
      </w:r>
      <w:r>
        <w:rPr>
          <w:spacing w:val="1"/>
          <w:w w:val="99"/>
        </w:rPr>
        <w:t>×</w:t>
      </w:r>
      <w:r>
        <w:rPr>
          <w:spacing w:val="0"/>
          <w:w w:val="99"/>
        </w:rPr>
        <w:t>1</w:t>
      </w:r>
      <w:r>
        <w:rPr>
          <w:spacing w:val="-2"/>
          <w:w w:val="99"/>
        </w:rPr>
        <w:t>0</w:t>
      </w:r>
      <w:r>
        <w:rPr>
          <w:spacing w:val="-1"/>
          <w:w w:val="105"/>
          <w:position w:val="10"/>
          <w:sz w:val="10"/>
        </w:rPr>
        <w:t>9</w:t>
      </w:r>
      <w:r>
        <w:rPr>
          <w:spacing w:val="0"/>
          <w:w w:val="99"/>
        </w:rPr>
        <w:t>/</w:t>
      </w:r>
      <w:r>
        <w:rPr>
          <w:spacing w:val="-2"/>
          <w:w w:val="99"/>
        </w:rPr>
        <w:t>L</w:t>
      </w:r>
      <w:r>
        <w:rPr>
          <w:w w:val="99"/>
        </w:rPr>
        <w:t>。</w:t>
      </w:r>
    </w:p>
    <w:p>
      <w:pPr>
        <w:pStyle w:val="BodyText"/>
        <w:spacing w:line="237" w:lineRule="auto" w:before="61"/>
        <w:ind w:left="100" w:right="220"/>
        <w:rPr>
          <w:rFonts w:ascii="黑体" w:eastAsia="黑体" w:hint="eastAsia"/>
        </w:rPr>
      </w:pPr>
      <w:r>
        <w:rPr>
          <w:rFonts w:ascii="黑体" w:eastAsia="黑体" w:hint="eastAsia"/>
          <w:spacing w:val="-5"/>
          <w:w w:val="95"/>
        </w:rPr>
        <w:t>恶性肿瘤、中毒、放射线和感染所致的继发性骨髓纤维化不在保障  范围内。</w:t>
      </w:r>
    </w:p>
    <w:p>
      <w:pPr>
        <w:spacing w:after="0" w:line="237" w:lineRule="auto"/>
        <w:rPr>
          <w:rFonts w:ascii="黑体" w:eastAsia="黑体" w:hint="eastAsia"/>
        </w:rPr>
        <w:sectPr>
          <w:type w:val="continuous"/>
          <w:pgSz w:w="12240" w:h="15840"/>
          <w:pgMar w:top="900" w:bottom="280" w:left="1700" w:right="1580"/>
          <w:cols w:num="2" w:equalWidth="0">
            <w:col w:w="2467" w:space="113"/>
            <w:col w:w="6380"/>
          </w:cols>
        </w:sectPr>
      </w:pPr>
    </w:p>
    <w:p>
      <w:pPr>
        <w:pStyle w:val="BodyText"/>
        <w:spacing w:before="2"/>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51"/>
        </w:numPr>
        <w:tabs>
          <w:tab w:pos="846" w:val="left" w:leader="none"/>
          <w:tab w:pos="847" w:val="left" w:leader="none"/>
        </w:tabs>
        <w:spacing w:line="240" w:lineRule="auto" w:before="34" w:after="0"/>
        <w:ind w:left="846" w:right="0" w:hanging="746"/>
        <w:jc w:val="left"/>
      </w:pPr>
      <w:r>
        <w:rPr>
          <w:spacing w:val="20"/>
          <w:w w:val="95"/>
        </w:rPr>
        <w:t>特定的亚急性硬化性全脑炎</w:t>
      </w:r>
    </w:p>
    <w:p>
      <w:pPr>
        <w:pStyle w:val="BodyText"/>
        <w:spacing w:line="237" w:lineRule="auto" w:before="37"/>
        <w:ind w:left="100" w:right="220"/>
        <w:jc w:val="both"/>
        <w:rPr>
          <w:rFonts w:ascii="黑体" w:eastAsia="黑体" w:hint="eastAsia"/>
        </w:rPr>
      </w:pPr>
      <w:r>
        <w:rPr/>
        <w:br w:type="column"/>
      </w:r>
      <w:r>
        <w:rPr>
          <w:spacing w:val="-2"/>
          <w:w w:val="95"/>
        </w:rPr>
        <w:t>指麻疹或麻疹样病毒所致的一种中枢神经系统感染。中枢神经系统  </w:t>
      </w:r>
      <w:r>
        <w:rPr>
          <w:spacing w:val="-4"/>
          <w:w w:val="95"/>
        </w:rPr>
        <w:t>呈现灰质和白质破坏为特征的慢性和急性混合存在的炎症，</w:t>
      </w:r>
      <w:r>
        <w:rPr>
          <w:rFonts w:ascii="黑体" w:eastAsia="黑体" w:hint="eastAsia"/>
          <w:w w:val="95"/>
        </w:rPr>
        <w:t>且满足  下列全部条件：</w:t>
      </w:r>
    </w:p>
    <w:p>
      <w:pPr>
        <w:pStyle w:val="ListParagraph"/>
        <w:numPr>
          <w:ilvl w:val="0"/>
          <w:numId w:val="52"/>
        </w:numPr>
        <w:tabs>
          <w:tab w:pos="834" w:val="left" w:leader="none"/>
          <w:tab w:pos="835" w:val="left" w:leader="none"/>
        </w:tabs>
        <w:spacing w:line="232" w:lineRule="auto" w:before="67" w:after="0"/>
        <w:ind w:left="834" w:right="114" w:hanging="734"/>
        <w:jc w:val="left"/>
        <w:rPr>
          <w:sz w:val="21"/>
        </w:rPr>
      </w:pPr>
      <w:r>
        <w:rPr>
          <w:spacing w:val="-4"/>
          <w:w w:val="95"/>
          <w:sz w:val="21"/>
        </w:rPr>
        <w:t>必须由医院诊断，临床检查证实脑电图存在周期性复合波、 </w:t>
      </w:r>
      <w:r>
        <w:rPr>
          <w:spacing w:val="-4"/>
          <w:sz w:val="21"/>
        </w:rPr>
        <w:t>脑脊液</w:t>
      </w:r>
      <w:r>
        <w:rPr>
          <w:rFonts w:ascii="Arial" w:hAnsi="Arial" w:eastAsia="Arial"/>
          <w:spacing w:val="-4"/>
          <w:sz w:val="21"/>
        </w:rPr>
        <w:t>Ƴ</w:t>
      </w:r>
      <w:r>
        <w:rPr>
          <w:spacing w:val="-4"/>
          <w:sz w:val="21"/>
        </w:rPr>
        <w:t>-球蛋白升高、脑脊液和血清中麻疹抗体滴定度升</w:t>
      </w:r>
      <w:r>
        <w:rPr>
          <w:spacing w:val="-1"/>
          <w:w w:val="95"/>
          <w:sz w:val="21"/>
        </w:rPr>
        <w:t>高；</w:t>
      </w:r>
    </w:p>
    <w:p>
      <w:pPr>
        <w:pStyle w:val="ListParagraph"/>
        <w:numPr>
          <w:ilvl w:val="0"/>
          <w:numId w:val="52"/>
        </w:numPr>
        <w:tabs>
          <w:tab w:pos="834" w:val="left" w:leader="none"/>
          <w:tab w:pos="835" w:val="left" w:leader="none"/>
        </w:tabs>
        <w:spacing w:line="240" w:lineRule="auto" w:before="56" w:after="0"/>
        <w:ind w:left="834" w:right="217" w:hanging="734"/>
        <w:jc w:val="left"/>
        <w:rPr>
          <w:sz w:val="21"/>
        </w:rPr>
      </w:pPr>
      <w:r>
        <w:rPr>
          <w:sz w:val="21"/>
        </w:rPr>
        <w:t>出现运动障碍，永久不可逆丧失自主生活能力，无法独立</w:t>
      </w:r>
      <w:r>
        <w:rPr>
          <w:w w:val="95"/>
          <w:sz w:val="21"/>
        </w:rPr>
        <w:t>完成六项基本日常生活活动中的三项或三项以上。</w:t>
      </w:r>
    </w:p>
    <w:p>
      <w:pPr>
        <w:spacing w:after="0" w:line="240" w:lineRule="auto"/>
        <w:jc w:val="left"/>
        <w:rPr>
          <w:sz w:val="21"/>
        </w:rPr>
        <w:sectPr>
          <w:type w:val="continuous"/>
          <w:pgSz w:w="12240" w:h="15840"/>
          <w:pgMar w:top="900" w:bottom="280" w:left="1700" w:right="1580"/>
          <w:cols w:num="2" w:equalWidth="0">
            <w:col w:w="2467" w:space="113"/>
            <w:col w:w="6380"/>
          </w:cols>
        </w:sectPr>
      </w:pPr>
    </w:p>
    <w:p>
      <w:pPr>
        <w:pStyle w:val="BodyText"/>
        <w:spacing w:before="1"/>
        <w:rPr>
          <w:sz w:val="27"/>
        </w:rPr>
      </w:pPr>
    </w:p>
    <w:p>
      <w:pPr>
        <w:spacing w:after="0"/>
        <w:rPr>
          <w:sz w:val="27"/>
        </w:rPr>
        <w:sectPr>
          <w:type w:val="continuous"/>
          <w:pgSz w:w="12240" w:h="15840"/>
          <w:pgMar w:top="900" w:bottom="280" w:left="1700" w:right="1580"/>
        </w:sectPr>
      </w:pPr>
    </w:p>
    <w:p>
      <w:pPr>
        <w:pStyle w:val="Heading2"/>
        <w:numPr>
          <w:ilvl w:val="1"/>
          <w:numId w:val="51"/>
        </w:numPr>
        <w:tabs>
          <w:tab w:pos="846" w:val="left" w:leader="none"/>
          <w:tab w:pos="847" w:val="left" w:leader="none"/>
        </w:tabs>
        <w:spacing w:line="273" w:lineRule="exact" w:before="35" w:after="0"/>
        <w:ind w:left="846" w:right="0" w:hanging="746"/>
        <w:jc w:val="left"/>
      </w:pPr>
      <w:r>
        <w:rPr>
          <w:spacing w:val="20"/>
          <w:w w:val="95"/>
        </w:rPr>
        <w:t>急性呼吸窘迫综</w:t>
      </w:r>
    </w:p>
    <w:p>
      <w:pPr>
        <w:spacing w:line="273" w:lineRule="exact" w:before="0"/>
        <w:ind w:left="846" w:right="0" w:firstLine="0"/>
        <w:jc w:val="left"/>
        <w:rPr>
          <w:b/>
          <w:sz w:val="21"/>
        </w:rPr>
      </w:pPr>
      <w:r>
        <w:rPr>
          <w:b/>
          <w:w w:val="95"/>
          <w:sz w:val="21"/>
        </w:rPr>
        <w:t>合征（ARDS）</w:t>
      </w:r>
    </w:p>
    <w:p>
      <w:pPr>
        <w:pStyle w:val="BodyText"/>
        <w:spacing w:before="35"/>
        <w:ind w:left="100"/>
        <w:rPr>
          <w:rFonts w:ascii="黑体" w:eastAsia="黑体" w:hint="eastAsia"/>
        </w:rPr>
      </w:pPr>
      <w:r>
        <w:rPr/>
        <w:br w:type="column"/>
      </w:r>
      <w:r>
        <w:rPr>
          <w:w w:val="95"/>
        </w:rPr>
        <w:t>指由呼吸系统专科医师诊断，</w:t>
      </w:r>
      <w:r>
        <w:rPr>
          <w:rFonts w:ascii="黑体" w:eastAsia="黑体" w:hint="eastAsia"/>
          <w:w w:val="95"/>
        </w:rPr>
        <w:t>且满足下列全部条件：</w:t>
      </w:r>
    </w:p>
    <w:p>
      <w:pPr>
        <w:pStyle w:val="ListParagraph"/>
        <w:numPr>
          <w:ilvl w:val="0"/>
          <w:numId w:val="53"/>
        </w:numPr>
        <w:tabs>
          <w:tab w:pos="820" w:val="left" w:leader="none"/>
        </w:tabs>
        <w:spacing w:line="240" w:lineRule="auto" w:before="56" w:after="0"/>
        <w:ind w:left="820" w:right="0" w:hanging="720"/>
        <w:jc w:val="left"/>
        <w:rPr>
          <w:sz w:val="21"/>
        </w:rPr>
      </w:pPr>
      <w:r>
        <w:rPr>
          <w:w w:val="95"/>
          <w:sz w:val="21"/>
        </w:rPr>
        <w:t>急性发作（原发疾病起病后6至72小时）；</w:t>
      </w:r>
    </w:p>
    <w:p>
      <w:pPr>
        <w:pStyle w:val="ListParagraph"/>
        <w:numPr>
          <w:ilvl w:val="0"/>
          <w:numId w:val="53"/>
        </w:numPr>
        <w:tabs>
          <w:tab w:pos="820" w:val="left" w:leader="none"/>
        </w:tabs>
        <w:spacing w:line="237" w:lineRule="auto" w:before="59" w:after="0"/>
        <w:ind w:left="820" w:right="309" w:hanging="720"/>
        <w:jc w:val="both"/>
        <w:rPr>
          <w:sz w:val="21"/>
        </w:rPr>
      </w:pPr>
      <w:r>
        <w:rPr>
          <w:w w:val="95"/>
          <w:sz w:val="21"/>
        </w:rPr>
        <w:t>急性发作的临床症状体征，包括呼吸急促、呼吸困难、心 动过速、大汗、面色苍白及辅助呼吸肌活动加强（点头呼 吸、提肩呼吸）；</w:t>
      </w:r>
    </w:p>
    <w:p>
      <w:pPr>
        <w:pStyle w:val="ListParagraph"/>
        <w:numPr>
          <w:ilvl w:val="0"/>
          <w:numId w:val="53"/>
        </w:numPr>
        <w:tabs>
          <w:tab w:pos="820" w:val="left" w:leader="none"/>
        </w:tabs>
        <w:spacing w:line="240" w:lineRule="auto" w:before="59" w:after="0"/>
        <w:ind w:left="820" w:right="0" w:hanging="720"/>
        <w:jc w:val="left"/>
        <w:rPr>
          <w:sz w:val="21"/>
        </w:rPr>
      </w:pPr>
      <w:r>
        <w:rPr>
          <w:w w:val="95"/>
          <w:sz w:val="21"/>
        </w:rPr>
        <w:t>双肺浸润影；</w:t>
      </w:r>
    </w:p>
    <w:p>
      <w:pPr>
        <w:pStyle w:val="ListParagraph"/>
        <w:numPr>
          <w:ilvl w:val="0"/>
          <w:numId w:val="53"/>
        </w:numPr>
        <w:tabs>
          <w:tab w:pos="820" w:val="left" w:leader="none"/>
        </w:tabs>
        <w:spacing w:line="240" w:lineRule="auto" w:before="52" w:after="0"/>
        <w:ind w:left="820" w:right="0" w:hanging="720"/>
        <w:jc w:val="left"/>
        <w:rPr>
          <w:sz w:val="21"/>
        </w:rPr>
      </w:pPr>
      <w:r>
        <w:rPr>
          <w:spacing w:val="0"/>
          <w:w w:val="99"/>
          <w:sz w:val="21"/>
        </w:rPr>
        <w:t>Pa</w:t>
      </w:r>
      <w:r>
        <w:rPr>
          <w:spacing w:val="-2"/>
          <w:w w:val="99"/>
          <w:sz w:val="21"/>
        </w:rPr>
        <w:t>O</w:t>
      </w:r>
      <w:r>
        <w:rPr>
          <w:spacing w:val="-3"/>
          <w:w w:val="106"/>
          <w:position w:val="-2"/>
          <w:sz w:val="10"/>
        </w:rPr>
        <w:t>2</w:t>
      </w:r>
      <w:r>
        <w:rPr>
          <w:sz w:val="24"/>
        </w:rPr>
        <w:t>/</w:t>
      </w:r>
      <w:r>
        <w:rPr>
          <w:spacing w:val="0"/>
          <w:w w:val="99"/>
          <w:sz w:val="21"/>
        </w:rPr>
        <w:t>FiO</w:t>
      </w:r>
      <w:r>
        <w:rPr>
          <w:spacing w:val="-1"/>
          <w:w w:val="106"/>
          <w:position w:val="-2"/>
          <w:sz w:val="10"/>
        </w:rPr>
        <w:t>2</w:t>
      </w:r>
      <w:r>
        <w:rPr>
          <w:spacing w:val="-1"/>
          <w:w w:val="99"/>
          <w:sz w:val="21"/>
        </w:rPr>
        <w:t>(动脉血压分压</w:t>
      </w:r>
      <w:r>
        <w:rPr>
          <w:spacing w:val="-2"/>
          <w:w w:val="99"/>
          <w:sz w:val="21"/>
        </w:rPr>
        <w:t>/</w:t>
      </w:r>
      <w:r>
        <w:rPr>
          <w:spacing w:val="-1"/>
          <w:w w:val="99"/>
          <w:sz w:val="21"/>
        </w:rPr>
        <w:t>吸入气氧分压)低于</w:t>
      </w:r>
      <w:r>
        <w:rPr>
          <w:spacing w:val="0"/>
          <w:w w:val="99"/>
          <w:sz w:val="21"/>
        </w:rPr>
        <w:t>200</w:t>
      </w:r>
      <w:r>
        <w:rPr>
          <w:spacing w:val="-2"/>
          <w:w w:val="99"/>
          <w:sz w:val="21"/>
        </w:rPr>
        <w:t>m</w:t>
      </w:r>
      <w:r>
        <w:rPr>
          <w:spacing w:val="0"/>
          <w:w w:val="99"/>
          <w:sz w:val="21"/>
        </w:rPr>
        <w:t>mH</w:t>
      </w:r>
      <w:r>
        <w:rPr>
          <w:spacing w:val="-2"/>
          <w:w w:val="99"/>
          <w:sz w:val="21"/>
        </w:rPr>
        <w:t>g</w:t>
      </w:r>
      <w:r>
        <w:rPr>
          <w:w w:val="99"/>
          <w:sz w:val="21"/>
        </w:rPr>
        <w:t>；</w:t>
      </w:r>
    </w:p>
    <w:p>
      <w:pPr>
        <w:pStyle w:val="ListParagraph"/>
        <w:numPr>
          <w:ilvl w:val="0"/>
          <w:numId w:val="53"/>
        </w:numPr>
        <w:tabs>
          <w:tab w:pos="820" w:val="left" w:leader="none"/>
        </w:tabs>
        <w:spacing w:line="240" w:lineRule="auto" w:before="50" w:after="0"/>
        <w:ind w:left="820" w:right="0" w:hanging="720"/>
        <w:jc w:val="left"/>
        <w:rPr>
          <w:sz w:val="21"/>
        </w:rPr>
      </w:pPr>
      <w:r>
        <w:rPr>
          <w:w w:val="95"/>
          <w:sz w:val="21"/>
        </w:rPr>
        <w:t>肺动脉嵌入压低于18mmHg；</w:t>
      </w:r>
    </w:p>
    <w:p>
      <w:pPr>
        <w:pStyle w:val="ListParagraph"/>
        <w:numPr>
          <w:ilvl w:val="0"/>
          <w:numId w:val="53"/>
        </w:numPr>
        <w:tabs>
          <w:tab w:pos="820" w:val="left" w:leader="none"/>
        </w:tabs>
        <w:spacing w:line="240" w:lineRule="auto" w:before="55" w:after="0"/>
        <w:ind w:left="820" w:right="0" w:hanging="720"/>
        <w:jc w:val="left"/>
        <w:rPr>
          <w:sz w:val="21"/>
        </w:rPr>
      </w:pPr>
      <w:r>
        <w:rPr>
          <w:w w:val="95"/>
          <w:sz w:val="21"/>
        </w:rPr>
        <w:t>临床无左房高压表现。</w:t>
      </w:r>
    </w:p>
    <w:p>
      <w:pPr>
        <w:spacing w:after="0" w:line="240" w:lineRule="auto"/>
        <w:jc w:val="left"/>
        <w:rPr>
          <w:sz w:val="21"/>
        </w:rPr>
        <w:sectPr>
          <w:type w:val="continuous"/>
          <w:pgSz w:w="12240" w:h="15840"/>
          <w:pgMar w:top="900" w:bottom="280" w:left="1700" w:right="1580"/>
          <w:cols w:num="2" w:equalWidth="0">
            <w:col w:w="2467" w:space="113"/>
            <w:col w:w="6380"/>
          </w:cols>
        </w:sectPr>
      </w:pPr>
    </w:p>
    <w:p>
      <w:pPr>
        <w:pStyle w:val="BodyText"/>
        <w:spacing w:before="4"/>
        <w:rPr>
          <w:sz w:val="27"/>
        </w:rPr>
      </w:pPr>
    </w:p>
    <w:p>
      <w:pPr>
        <w:spacing w:after="0"/>
        <w:rPr>
          <w:sz w:val="27"/>
        </w:rPr>
        <w:sectPr>
          <w:type w:val="continuous"/>
          <w:pgSz w:w="12240" w:h="15840"/>
          <w:pgMar w:top="900" w:bottom="280" w:left="1700" w:right="1580"/>
        </w:sectPr>
      </w:pPr>
    </w:p>
    <w:p>
      <w:pPr>
        <w:pStyle w:val="Heading2"/>
        <w:numPr>
          <w:ilvl w:val="1"/>
          <w:numId w:val="51"/>
        </w:numPr>
        <w:tabs>
          <w:tab w:pos="846" w:val="left" w:leader="none"/>
          <w:tab w:pos="847" w:val="left" w:leader="none"/>
        </w:tabs>
        <w:spacing w:line="273" w:lineRule="exact" w:before="34" w:after="0"/>
        <w:ind w:left="846" w:right="0" w:hanging="746"/>
        <w:jc w:val="left"/>
      </w:pPr>
      <w:r>
        <w:rPr>
          <w:spacing w:val="20"/>
          <w:w w:val="95"/>
        </w:rPr>
        <w:t>多处臂丛神经根</w:t>
      </w:r>
    </w:p>
    <w:p>
      <w:pPr>
        <w:spacing w:line="273" w:lineRule="exact" w:before="0"/>
        <w:ind w:left="837" w:right="977" w:firstLine="0"/>
        <w:jc w:val="center"/>
        <w:rPr>
          <w:b/>
          <w:sz w:val="21"/>
        </w:rPr>
      </w:pPr>
      <w:r>
        <w:rPr>
          <w:b/>
          <w:w w:val="95"/>
          <w:sz w:val="21"/>
        </w:rPr>
        <w:t>性撕脱</w:t>
      </w:r>
    </w:p>
    <w:p>
      <w:pPr>
        <w:pStyle w:val="BodyText"/>
        <w:spacing w:line="237" w:lineRule="auto" w:before="37"/>
        <w:ind w:left="100" w:right="220"/>
      </w:pPr>
      <w:r>
        <w:rPr/>
        <w:br w:type="column"/>
      </w:r>
      <w:r>
        <w:rPr>
          <w:spacing w:val="-2"/>
          <w:w w:val="95"/>
        </w:rPr>
        <w:t>由于疾病或意外导致至少两根臂丛神经根性撕脱，所造成的手臂感  觉功能与运动功能完全永久性丧失，经手术治疗后无法恢复。</w:t>
      </w:r>
    </w:p>
    <w:p>
      <w:pPr>
        <w:pStyle w:val="BodyText"/>
        <w:ind w:left="100"/>
        <w:rPr>
          <w:rFonts w:ascii="黑体" w:eastAsia="黑体" w:hint="eastAsia"/>
        </w:rPr>
      </w:pPr>
      <w:r>
        <w:rPr>
          <w:rFonts w:ascii="黑体" w:eastAsia="黑体" w:hint="eastAsia"/>
          <w:w w:val="95"/>
        </w:rPr>
        <w:t>本疾病必须有电Th理检查结果和手术证实。</w:t>
      </w:r>
    </w:p>
    <w:p>
      <w:pPr>
        <w:spacing w:after="0"/>
        <w:rPr>
          <w:rFonts w:ascii="黑体" w:eastAsia="黑体" w:hint="eastAsia"/>
        </w:rPr>
        <w:sectPr>
          <w:type w:val="continuous"/>
          <w:pgSz w:w="12240" w:h="15840"/>
          <w:pgMar w:top="900" w:bottom="280" w:left="1700" w:right="1580"/>
          <w:cols w:num="2" w:equalWidth="0">
            <w:col w:w="2467" w:space="113"/>
            <w:col w:w="6380"/>
          </w:cols>
        </w:sectPr>
      </w:pPr>
    </w:p>
    <w:p>
      <w:pPr>
        <w:pStyle w:val="BodyText"/>
        <w:spacing w:before="4"/>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51"/>
        </w:numPr>
        <w:tabs>
          <w:tab w:pos="846" w:val="left" w:leader="none"/>
          <w:tab w:pos="847" w:val="left" w:leader="none"/>
        </w:tabs>
        <w:spacing w:line="273" w:lineRule="exact" w:before="35" w:after="0"/>
        <w:ind w:left="846" w:right="0" w:hanging="746"/>
        <w:jc w:val="left"/>
      </w:pPr>
      <w:r>
        <w:rPr>
          <w:spacing w:val="20"/>
          <w:w w:val="95"/>
        </w:rPr>
        <w:t>严重的席汉氏综</w:t>
      </w:r>
    </w:p>
    <w:p>
      <w:pPr>
        <w:spacing w:line="273" w:lineRule="exact" w:before="0"/>
        <w:ind w:left="632" w:right="983" w:firstLine="0"/>
        <w:jc w:val="center"/>
        <w:rPr>
          <w:b/>
          <w:sz w:val="21"/>
        </w:rPr>
      </w:pPr>
      <w:r>
        <w:rPr>
          <w:b/>
          <w:w w:val="95"/>
          <w:sz w:val="21"/>
        </w:rPr>
        <w:t>合征</w:t>
      </w:r>
    </w:p>
    <w:p>
      <w:pPr>
        <w:pStyle w:val="BodyText"/>
        <w:spacing w:line="237" w:lineRule="auto" w:before="37"/>
        <w:ind w:left="100" w:right="217"/>
        <w:jc w:val="both"/>
        <w:rPr>
          <w:rFonts w:ascii="黑体" w:eastAsia="黑体" w:hint="eastAsia"/>
        </w:rPr>
      </w:pPr>
      <w:r>
        <w:rPr/>
        <w:br w:type="column"/>
      </w:r>
      <w:r>
        <w:rPr>
          <w:spacing w:val="-2"/>
          <w:w w:val="95"/>
        </w:rPr>
        <w:t>席汉氏综合征指因产后大出血并发休克、全身循环衰竭、弥漫性血  </w:t>
      </w:r>
      <w:r>
        <w:rPr>
          <w:spacing w:val="-4"/>
          <w:w w:val="95"/>
        </w:rPr>
        <w:t>管内凝血导致脑垂体缺血坏死和垂体分泌激素不足，造成性腺、甲  </w:t>
      </w:r>
      <w:r>
        <w:rPr>
          <w:spacing w:val="-6"/>
          <w:w w:val="95"/>
        </w:rPr>
        <w:t>状腺、肾上腺皮质功能减退。严重的席汉氏综合征指诊断为席汉氏  综合征，</w:t>
      </w:r>
      <w:r>
        <w:rPr>
          <w:rFonts w:ascii="黑体" w:eastAsia="黑体" w:hint="eastAsia"/>
          <w:spacing w:val="-6"/>
          <w:w w:val="95"/>
        </w:rPr>
        <w:t>且满足下列全部条件：</w:t>
      </w:r>
    </w:p>
    <w:p>
      <w:pPr>
        <w:pStyle w:val="ListParagraph"/>
        <w:numPr>
          <w:ilvl w:val="0"/>
          <w:numId w:val="54"/>
        </w:numPr>
        <w:tabs>
          <w:tab w:pos="835" w:val="left" w:leader="none"/>
        </w:tabs>
        <w:spacing w:line="240" w:lineRule="auto" w:before="56" w:after="0"/>
        <w:ind w:left="834" w:right="0" w:hanging="734"/>
        <w:jc w:val="both"/>
        <w:rPr>
          <w:sz w:val="21"/>
        </w:rPr>
      </w:pPr>
      <w:r>
        <w:rPr>
          <w:w w:val="95"/>
          <w:sz w:val="21"/>
        </w:rPr>
        <w:t>产后大出血休克；</w:t>
      </w:r>
    </w:p>
    <w:p>
      <w:pPr>
        <w:spacing w:after="0" w:line="240" w:lineRule="auto"/>
        <w:jc w:val="both"/>
        <w:rPr>
          <w:sz w:val="21"/>
        </w:rPr>
        <w:sectPr>
          <w:type w:val="continuous"/>
          <w:pgSz w:w="12240" w:h="15840"/>
          <w:pgMar w:top="900" w:bottom="280" w:left="1700" w:right="1580"/>
          <w:cols w:num="2" w:equalWidth="0">
            <w:col w:w="2467" w:space="113"/>
            <w:col w:w="6380"/>
          </w:cols>
        </w:sectPr>
      </w:pPr>
    </w:p>
    <w:p>
      <w:pPr>
        <w:pStyle w:val="ListParagraph"/>
        <w:numPr>
          <w:ilvl w:val="1"/>
          <w:numId w:val="54"/>
        </w:numPr>
        <w:tabs>
          <w:tab w:pos="3474" w:val="left" w:leader="none"/>
          <w:tab w:pos="3475" w:val="left" w:leader="none"/>
        </w:tabs>
        <w:spacing w:line="240" w:lineRule="auto" w:before="4" w:after="0"/>
        <w:ind w:left="3474" w:right="0" w:hanging="734"/>
        <w:jc w:val="left"/>
        <w:rPr>
          <w:sz w:val="21"/>
        </w:rPr>
      </w:pPr>
      <w:r>
        <w:rPr>
          <w:w w:val="95"/>
          <w:sz w:val="21"/>
        </w:rPr>
        <w:t>严重腺垂体功能破坏，破坏程度&gt;95%；</w:t>
      </w:r>
    </w:p>
    <w:p>
      <w:pPr>
        <w:pStyle w:val="ListParagraph"/>
        <w:numPr>
          <w:ilvl w:val="1"/>
          <w:numId w:val="54"/>
        </w:numPr>
        <w:tabs>
          <w:tab w:pos="3474" w:val="left" w:leader="none"/>
          <w:tab w:pos="3475" w:val="left" w:leader="none"/>
        </w:tabs>
        <w:spacing w:line="240" w:lineRule="auto" w:before="58" w:after="0"/>
        <w:ind w:left="3474" w:right="0" w:hanging="734"/>
        <w:jc w:val="left"/>
        <w:rPr>
          <w:sz w:val="21"/>
        </w:rPr>
      </w:pPr>
      <w:r>
        <w:rPr>
          <w:w w:val="95"/>
          <w:sz w:val="21"/>
        </w:rPr>
        <w:t>影像学检查显示脑垂体严重萎缩或消失；</w:t>
      </w:r>
    </w:p>
    <w:p>
      <w:pPr>
        <w:pStyle w:val="ListParagraph"/>
        <w:numPr>
          <w:ilvl w:val="1"/>
          <w:numId w:val="54"/>
        </w:numPr>
        <w:tabs>
          <w:tab w:pos="3474" w:val="left" w:leader="none"/>
          <w:tab w:pos="3475" w:val="left" w:leader="none"/>
        </w:tabs>
        <w:spacing w:line="240" w:lineRule="auto" w:before="56" w:after="0"/>
        <w:ind w:left="3474" w:right="0" w:hanging="734"/>
        <w:jc w:val="left"/>
        <w:rPr>
          <w:sz w:val="21"/>
        </w:rPr>
      </w:pPr>
      <w:r>
        <w:rPr>
          <w:w w:val="95"/>
          <w:sz w:val="21"/>
        </w:rPr>
        <w:t>实验室检查显示：</w:t>
      </w:r>
    </w:p>
    <w:p>
      <w:pPr>
        <w:pStyle w:val="ListParagraph"/>
        <w:numPr>
          <w:ilvl w:val="2"/>
          <w:numId w:val="54"/>
        </w:numPr>
        <w:tabs>
          <w:tab w:pos="3579" w:val="left" w:leader="none"/>
          <w:tab w:pos="3580" w:val="left" w:leader="none"/>
        </w:tabs>
        <w:spacing w:line="237" w:lineRule="auto" w:before="61" w:after="0"/>
        <w:ind w:left="3580" w:right="160" w:hanging="420"/>
        <w:jc w:val="left"/>
        <w:rPr>
          <w:sz w:val="21"/>
        </w:rPr>
      </w:pPr>
      <w:r>
        <w:rPr>
          <w:spacing w:val="-1"/>
          <w:w w:val="95"/>
          <w:sz w:val="21"/>
        </w:rPr>
        <w:t>垂体前叶激素全面低下</w:t>
      </w:r>
      <w:r>
        <w:rPr>
          <w:w w:val="95"/>
          <w:sz w:val="21"/>
        </w:rPr>
        <w:t>（</w:t>
      </w:r>
      <w:r>
        <w:rPr>
          <w:spacing w:val="-3"/>
          <w:w w:val="95"/>
          <w:sz w:val="21"/>
        </w:rPr>
        <w:t>包括生长激素、促甲状腺素、促 肾上腺皮质激素、卵泡刺激素和黄体生成素）；和</w:t>
      </w:r>
    </w:p>
    <w:p>
      <w:pPr>
        <w:pStyle w:val="ListParagraph"/>
        <w:numPr>
          <w:ilvl w:val="2"/>
          <w:numId w:val="54"/>
        </w:numPr>
        <w:tabs>
          <w:tab w:pos="3579" w:val="left" w:leader="none"/>
          <w:tab w:pos="3580" w:val="left" w:leader="none"/>
        </w:tabs>
        <w:spacing w:line="240" w:lineRule="auto" w:before="58" w:after="0"/>
        <w:ind w:left="3580" w:right="0" w:hanging="420"/>
        <w:jc w:val="left"/>
        <w:rPr>
          <w:sz w:val="21"/>
        </w:rPr>
      </w:pPr>
      <w:r>
        <w:rPr>
          <w:w w:val="95"/>
          <w:sz w:val="21"/>
        </w:rPr>
        <w:t>性激素、甲状腺素、肾上腺皮质激素全面低下；</w:t>
      </w:r>
    </w:p>
    <w:p>
      <w:pPr>
        <w:pStyle w:val="ListParagraph"/>
        <w:numPr>
          <w:ilvl w:val="1"/>
          <w:numId w:val="54"/>
        </w:numPr>
        <w:tabs>
          <w:tab w:pos="3474" w:val="left" w:leader="none"/>
          <w:tab w:pos="3475" w:val="left" w:leader="none"/>
        </w:tabs>
        <w:spacing w:line="240" w:lineRule="auto" w:before="56" w:after="0"/>
        <w:ind w:left="3474" w:right="157" w:hanging="734"/>
        <w:jc w:val="left"/>
        <w:rPr>
          <w:sz w:val="21"/>
        </w:rPr>
      </w:pPr>
      <w:r>
        <w:rPr>
          <w:sz w:val="21"/>
        </w:rPr>
        <w:t>需要终身激素替代治疗以维持身体功能，持续服用各种替</w:t>
      </w:r>
      <w:r>
        <w:rPr>
          <w:w w:val="95"/>
          <w:sz w:val="21"/>
        </w:rPr>
        <w:t>代激素超过一年。</w:t>
      </w:r>
    </w:p>
    <w:p>
      <w:pPr>
        <w:pStyle w:val="BodyText"/>
        <w:spacing w:before="2"/>
        <w:rPr>
          <w:sz w:val="27"/>
        </w:rPr>
      </w:pPr>
    </w:p>
    <w:p>
      <w:pPr>
        <w:spacing w:after="0"/>
        <w:rPr>
          <w:sz w:val="27"/>
        </w:rPr>
        <w:sectPr>
          <w:pgSz w:w="12240" w:h="15840"/>
          <w:pgMar w:top="1460" w:bottom="280" w:left="1640" w:right="1640"/>
        </w:sectPr>
      </w:pPr>
    </w:p>
    <w:p>
      <w:pPr>
        <w:pStyle w:val="Heading2"/>
        <w:numPr>
          <w:ilvl w:val="1"/>
          <w:numId w:val="51"/>
        </w:numPr>
        <w:tabs>
          <w:tab w:pos="906" w:val="left" w:leader="none"/>
          <w:tab w:pos="907" w:val="left" w:leader="none"/>
        </w:tabs>
        <w:spacing w:line="273" w:lineRule="exact" w:before="34" w:after="0"/>
        <w:ind w:left="906" w:right="0" w:hanging="746"/>
        <w:jc w:val="left"/>
      </w:pPr>
      <w:r>
        <w:rPr>
          <w:spacing w:val="-20"/>
        </w:rPr>
        <w:t>夜 间 呼 吸 骤 停</w:t>
      </w:r>
    </w:p>
    <w:p>
      <w:pPr>
        <w:spacing w:line="223" w:lineRule="auto" w:before="18"/>
        <w:ind w:left="906" w:right="0" w:firstLine="0"/>
        <w:jc w:val="left"/>
        <w:rPr>
          <w:b/>
          <w:sz w:val="21"/>
        </w:rPr>
      </w:pPr>
      <w:r>
        <w:rPr>
          <w:b/>
          <w:w w:val="95"/>
          <w:sz w:val="21"/>
        </w:rPr>
        <w:t>（</w:t>
      </w:r>
      <w:r>
        <w:rPr>
          <w:rFonts w:ascii="Times New Roman" w:eastAsia="Times New Roman"/>
          <w:b/>
          <w:w w:val="95"/>
          <w:sz w:val="21"/>
        </w:rPr>
        <w:t>Brugada</w:t>
      </w:r>
      <w:r>
        <w:rPr>
          <w:b/>
          <w:w w:val="95"/>
          <w:sz w:val="21"/>
        </w:rPr>
        <w:t>）综合</w:t>
      </w:r>
      <w:r>
        <w:rPr>
          <w:b/>
          <w:sz w:val="21"/>
        </w:rPr>
        <w:t>征</w:t>
      </w:r>
    </w:p>
    <w:p>
      <w:pPr>
        <w:pStyle w:val="BodyText"/>
        <w:spacing w:line="237" w:lineRule="auto" w:before="37"/>
        <w:ind w:left="160" w:right="160"/>
        <w:rPr>
          <w:rFonts w:ascii="黑体" w:eastAsia="黑体" w:hint="eastAsia"/>
        </w:rPr>
      </w:pPr>
      <w:r>
        <w:rPr/>
        <w:br w:type="column"/>
      </w:r>
      <w:r>
        <w:rPr/>
        <w:t>指由心脏专科医生诊断为夜间呼吸骤停（Brugada）综合征，</w:t>
      </w:r>
      <w:r>
        <w:rPr>
          <w:rFonts w:ascii="黑体" w:eastAsia="黑体" w:hint="eastAsia"/>
        </w:rPr>
        <w:t>且满</w:t>
      </w:r>
      <w:r>
        <w:rPr>
          <w:rFonts w:ascii="黑体" w:eastAsia="黑体" w:hint="eastAsia"/>
          <w:w w:val="95"/>
        </w:rPr>
        <w:t>足下列全部条件：</w:t>
      </w:r>
    </w:p>
    <w:p>
      <w:pPr>
        <w:pStyle w:val="ListParagraph"/>
        <w:numPr>
          <w:ilvl w:val="0"/>
          <w:numId w:val="55"/>
        </w:numPr>
        <w:tabs>
          <w:tab w:pos="894" w:val="left" w:leader="none"/>
          <w:tab w:pos="895" w:val="left" w:leader="none"/>
        </w:tabs>
        <w:spacing w:line="240" w:lineRule="auto" w:before="56" w:after="0"/>
        <w:ind w:left="894" w:right="0" w:hanging="734"/>
        <w:jc w:val="left"/>
        <w:rPr>
          <w:sz w:val="21"/>
        </w:rPr>
      </w:pPr>
      <w:r>
        <w:rPr>
          <w:w w:val="95"/>
          <w:sz w:val="21"/>
        </w:rPr>
        <w:t>有晕厥或心脏骤停病史，并提供完整的诊疗记录；</w:t>
      </w:r>
    </w:p>
    <w:p>
      <w:pPr>
        <w:pStyle w:val="ListParagraph"/>
        <w:numPr>
          <w:ilvl w:val="0"/>
          <w:numId w:val="55"/>
        </w:numPr>
        <w:tabs>
          <w:tab w:pos="894" w:val="left" w:leader="none"/>
          <w:tab w:pos="895" w:val="left" w:leader="none"/>
        </w:tabs>
        <w:spacing w:line="240" w:lineRule="auto" w:before="59" w:after="0"/>
        <w:ind w:left="894" w:right="0" w:hanging="734"/>
        <w:jc w:val="left"/>
        <w:rPr>
          <w:sz w:val="21"/>
        </w:rPr>
      </w:pPr>
      <w:r>
        <w:rPr>
          <w:spacing w:val="-7"/>
          <w:sz w:val="21"/>
        </w:rPr>
        <w:t>心电图有典型的 </w:t>
      </w:r>
      <w:r>
        <w:rPr>
          <w:sz w:val="21"/>
        </w:rPr>
        <w:t>I</w:t>
      </w:r>
      <w:r>
        <w:rPr>
          <w:spacing w:val="-38"/>
          <w:sz w:val="21"/>
        </w:rPr>
        <w:t> 型 </w:t>
      </w:r>
      <w:r>
        <w:rPr>
          <w:sz w:val="21"/>
        </w:rPr>
        <w:t>Brugada</w:t>
      </w:r>
      <w:r>
        <w:rPr>
          <w:spacing w:val="-20"/>
          <w:sz w:val="21"/>
        </w:rPr>
        <w:t> 波；</w:t>
      </w:r>
    </w:p>
    <w:p>
      <w:pPr>
        <w:pStyle w:val="ListParagraph"/>
        <w:numPr>
          <w:ilvl w:val="0"/>
          <w:numId w:val="55"/>
        </w:numPr>
        <w:tabs>
          <w:tab w:pos="894" w:val="left" w:leader="none"/>
          <w:tab w:pos="895" w:val="left" w:leader="none"/>
        </w:tabs>
        <w:spacing w:line="240" w:lineRule="auto" w:before="56" w:after="0"/>
        <w:ind w:left="894" w:right="0" w:hanging="734"/>
        <w:jc w:val="left"/>
        <w:rPr>
          <w:sz w:val="21"/>
        </w:rPr>
      </w:pPr>
      <w:r>
        <w:rPr>
          <w:w w:val="95"/>
          <w:sz w:val="21"/>
        </w:rPr>
        <w:t>已经安装了永久性心脏起搏器。</w:t>
      </w:r>
    </w:p>
    <w:p>
      <w:pPr>
        <w:spacing w:after="0" w:line="240" w:lineRule="auto"/>
        <w:jc w:val="left"/>
        <w:rPr>
          <w:sz w:val="21"/>
        </w:rPr>
        <w:sectPr>
          <w:type w:val="continuous"/>
          <w:pgSz w:w="12240" w:h="15840"/>
          <w:pgMar w:top="900" w:bottom="280" w:left="1640" w:right="1640"/>
          <w:cols w:num="2" w:equalWidth="0">
            <w:col w:w="2527" w:space="53"/>
            <w:col w:w="6380"/>
          </w:cols>
        </w:sectPr>
      </w:pPr>
    </w:p>
    <w:p>
      <w:pPr>
        <w:pStyle w:val="BodyText"/>
        <w:spacing w:before="0"/>
        <w:rPr>
          <w:sz w:val="20"/>
        </w:rPr>
      </w:pPr>
    </w:p>
    <w:p>
      <w:pPr>
        <w:pStyle w:val="BodyText"/>
        <w:spacing w:before="12"/>
        <w:rPr>
          <w:sz w:val="1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88"/>
        <w:gridCol w:w="6217"/>
      </w:tblGrid>
      <w:tr>
        <w:trPr>
          <w:trHeight w:val="708" w:hRule="atLeast"/>
        </w:trPr>
        <w:tc>
          <w:tcPr>
            <w:tcW w:w="635" w:type="dxa"/>
          </w:tcPr>
          <w:p>
            <w:pPr>
              <w:pStyle w:val="TableParagraph"/>
              <w:spacing w:line="209" w:lineRule="exact"/>
              <w:ind w:left="50"/>
              <w:rPr>
                <w:b/>
                <w:sz w:val="21"/>
              </w:rPr>
            </w:pPr>
            <w:r>
              <w:rPr>
                <w:b/>
                <w:sz w:val="21"/>
              </w:rPr>
              <w:t>9.87</w:t>
            </w:r>
          </w:p>
        </w:tc>
        <w:tc>
          <w:tcPr>
            <w:tcW w:w="1888" w:type="dxa"/>
          </w:tcPr>
          <w:p>
            <w:pPr>
              <w:pStyle w:val="TableParagraph"/>
              <w:spacing w:line="207" w:lineRule="exact"/>
              <w:ind w:left="161"/>
              <w:rPr>
                <w:b/>
                <w:sz w:val="21"/>
              </w:rPr>
            </w:pPr>
            <w:r>
              <w:rPr>
                <w:b/>
                <w:w w:val="95"/>
                <w:sz w:val="21"/>
              </w:rPr>
              <w:t>心脏粘液瘤切除</w:t>
            </w:r>
          </w:p>
          <w:p>
            <w:pPr>
              <w:pStyle w:val="TableParagraph"/>
              <w:spacing w:line="273" w:lineRule="exact"/>
              <w:ind w:left="161"/>
              <w:rPr>
                <w:b/>
                <w:sz w:val="21"/>
              </w:rPr>
            </w:pPr>
            <w:r>
              <w:rPr>
                <w:b/>
                <w:w w:val="95"/>
                <w:sz w:val="21"/>
              </w:rPr>
              <w:t>手术</w:t>
            </w:r>
          </w:p>
        </w:tc>
        <w:tc>
          <w:tcPr>
            <w:tcW w:w="6217" w:type="dxa"/>
          </w:tcPr>
          <w:p>
            <w:pPr>
              <w:pStyle w:val="TableParagraph"/>
              <w:spacing w:line="207" w:lineRule="exact"/>
              <w:ind w:left="106"/>
              <w:rPr>
                <w:sz w:val="21"/>
              </w:rPr>
            </w:pPr>
            <w:r>
              <w:rPr>
                <w:w w:val="95"/>
                <w:sz w:val="21"/>
              </w:rPr>
              <w:t>指为了治疗心脏粘液瘤，实际实施了开胸心脏粘液瘤摘除手术。</w:t>
            </w:r>
          </w:p>
          <w:p>
            <w:pPr>
              <w:pStyle w:val="TableParagraph"/>
              <w:spacing w:line="273" w:lineRule="exact"/>
              <w:ind w:left="106"/>
              <w:rPr>
                <w:rFonts w:ascii="黑体" w:eastAsia="黑体" w:hint="eastAsia"/>
                <w:sz w:val="21"/>
              </w:rPr>
            </w:pPr>
            <w:r>
              <w:rPr>
                <w:rFonts w:ascii="黑体" w:eastAsia="黑体" w:hint="eastAsia"/>
                <w:w w:val="95"/>
                <w:sz w:val="21"/>
              </w:rPr>
              <w:t>经导管介入手术治疗不在保障范围内。</w:t>
            </w:r>
          </w:p>
        </w:tc>
      </w:tr>
      <w:tr>
        <w:trPr>
          <w:trHeight w:val="936" w:hRule="atLeast"/>
        </w:trPr>
        <w:tc>
          <w:tcPr>
            <w:tcW w:w="635" w:type="dxa"/>
          </w:tcPr>
          <w:p>
            <w:pPr>
              <w:pStyle w:val="TableParagraph"/>
              <w:spacing w:before="162"/>
              <w:ind w:left="50"/>
              <w:rPr>
                <w:b/>
                <w:sz w:val="21"/>
              </w:rPr>
            </w:pPr>
            <w:r>
              <w:rPr>
                <w:b/>
                <w:sz w:val="21"/>
              </w:rPr>
              <w:t>9.88</w:t>
            </w:r>
          </w:p>
        </w:tc>
        <w:tc>
          <w:tcPr>
            <w:tcW w:w="1888" w:type="dxa"/>
          </w:tcPr>
          <w:p>
            <w:pPr>
              <w:pStyle w:val="TableParagraph"/>
              <w:spacing w:before="162"/>
              <w:ind w:left="161"/>
              <w:rPr>
                <w:b/>
                <w:sz w:val="21"/>
              </w:rPr>
            </w:pPr>
            <w:r>
              <w:rPr>
                <w:b/>
                <w:w w:val="95"/>
                <w:sz w:val="21"/>
              </w:rPr>
              <w:t>室壁瘤切除手术</w:t>
            </w:r>
          </w:p>
        </w:tc>
        <w:tc>
          <w:tcPr>
            <w:tcW w:w="6217" w:type="dxa"/>
          </w:tcPr>
          <w:p>
            <w:pPr>
              <w:pStyle w:val="TableParagraph"/>
              <w:spacing w:line="273" w:lineRule="exact" w:before="162"/>
              <w:ind w:left="106"/>
              <w:rPr>
                <w:sz w:val="21"/>
              </w:rPr>
            </w:pPr>
            <w:r>
              <w:rPr>
                <w:w w:val="95"/>
                <w:sz w:val="21"/>
              </w:rPr>
              <w:t>指为了治疗室壁瘤，实际实施了开胸室壁瘤切除手术。</w:t>
            </w:r>
          </w:p>
          <w:p>
            <w:pPr>
              <w:pStyle w:val="TableParagraph"/>
              <w:spacing w:line="273" w:lineRule="exact"/>
              <w:ind w:left="106"/>
              <w:rPr>
                <w:rFonts w:ascii="黑体" w:eastAsia="黑体" w:hint="eastAsia"/>
                <w:sz w:val="21"/>
              </w:rPr>
            </w:pPr>
            <w:r>
              <w:rPr>
                <w:rFonts w:ascii="黑体" w:eastAsia="黑体" w:hint="eastAsia"/>
                <w:w w:val="95"/>
                <w:sz w:val="21"/>
              </w:rPr>
              <w:t>经导管介入手术治疗不在保障范围内。</w:t>
            </w:r>
          </w:p>
        </w:tc>
      </w:tr>
      <w:tr>
        <w:trPr>
          <w:trHeight w:val="981" w:hRule="atLeast"/>
        </w:trPr>
        <w:tc>
          <w:tcPr>
            <w:tcW w:w="635" w:type="dxa"/>
          </w:tcPr>
          <w:p>
            <w:pPr>
              <w:pStyle w:val="TableParagraph"/>
              <w:spacing w:before="162"/>
              <w:ind w:left="50"/>
              <w:rPr>
                <w:b/>
                <w:sz w:val="21"/>
              </w:rPr>
            </w:pPr>
            <w:r>
              <w:rPr>
                <w:b/>
                <w:sz w:val="21"/>
              </w:rPr>
              <w:t>9.89</w:t>
            </w:r>
          </w:p>
        </w:tc>
        <w:tc>
          <w:tcPr>
            <w:tcW w:w="1888" w:type="dxa"/>
          </w:tcPr>
          <w:p>
            <w:pPr>
              <w:pStyle w:val="TableParagraph"/>
              <w:spacing w:before="162"/>
              <w:ind w:left="161" w:right="104"/>
              <w:rPr>
                <w:b/>
                <w:sz w:val="21"/>
              </w:rPr>
            </w:pPr>
            <w:r>
              <w:rPr>
                <w:b/>
                <w:w w:val="95"/>
                <w:sz w:val="21"/>
              </w:rPr>
              <w:t>严重的结核性脑膜炎</w:t>
            </w:r>
          </w:p>
        </w:tc>
        <w:tc>
          <w:tcPr>
            <w:tcW w:w="6217" w:type="dxa"/>
          </w:tcPr>
          <w:p>
            <w:pPr>
              <w:pStyle w:val="TableParagraph"/>
              <w:spacing w:line="274" w:lineRule="exact" w:before="162"/>
              <w:ind w:left="106"/>
              <w:rPr>
                <w:sz w:val="21"/>
              </w:rPr>
            </w:pPr>
            <w:r>
              <w:rPr>
                <w:w w:val="95"/>
                <w:sz w:val="21"/>
              </w:rPr>
              <w:t>结核性脑膜炎指由结核杆菌引起的脑膜和脊膜的非化脓性炎症性</w:t>
            </w:r>
          </w:p>
          <w:p>
            <w:pPr>
              <w:pStyle w:val="TableParagraph"/>
              <w:spacing w:line="272" w:lineRule="exact" w:before="27"/>
              <w:ind w:left="106" w:right="47"/>
              <w:rPr>
                <w:rFonts w:ascii="黑体" w:eastAsia="黑体" w:hint="eastAsia"/>
                <w:sz w:val="21"/>
              </w:rPr>
            </w:pPr>
            <w:r>
              <w:rPr>
                <w:spacing w:val="-5"/>
                <w:w w:val="95"/>
                <w:sz w:val="21"/>
              </w:rPr>
              <w:t>疾病。严重的结核性脑膜炎指诊断为结核性脑膜炎，</w:t>
            </w:r>
            <w:r>
              <w:rPr>
                <w:rFonts w:ascii="黑体" w:eastAsia="黑体" w:hint="eastAsia"/>
                <w:w w:val="95"/>
                <w:sz w:val="21"/>
              </w:rPr>
              <w:t>且满足下列全  部条件：</w:t>
            </w:r>
          </w:p>
        </w:tc>
      </w:tr>
    </w:tbl>
    <w:p>
      <w:pPr>
        <w:pStyle w:val="ListParagraph"/>
        <w:numPr>
          <w:ilvl w:val="1"/>
          <w:numId w:val="55"/>
        </w:numPr>
        <w:tabs>
          <w:tab w:pos="3474" w:val="left" w:leader="none"/>
          <w:tab w:pos="3475" w:val="left" w:leader="none"/>
        </w:tabs>
        <w:spacing w:line="240" w:lineRule="auto" w:before="59" w:after="0"/>
        <w:ind w:left="3474" w:right="0" w:hanging="734"/>
        <w:jc w:val="left"/>
        <w:rPr>
          <w:sz w:val="21"/>
        </w:rPr>
      </w:pPr>
      <w:r>
        <w:rPr>
          <w:w w:val="95"/>
          <w:sz w:val="21"/>
        </w:rPr>
        <w:t>出现颅内压明显增高，表现头痛、呕吐和视乳头水肿；</w:t>
      </w:r>
    </w:p>
    <w:p>
      <w:pPr>
        <w:pStyle w:val="ListParagraph"/>
        <w:numPr>
          <w:ilvl w:val="1"/>
          <w:numId w:val="55"/>
        </w:numPr>
        <w:tabs>
          <w:tab w:pos="3474" w:val="left" w:leader="none"/>
          <w:tab w:pos="3475" w:val="left" w:leader="none"/>
        </w:tabs>
        <w:spacing w:line="240" w:lineRule="auto" w:before="56" w:after="0"/>
        <w:ind w:left="3474" w:right="0" w:hanging="734"/>
        <w:jc w:val="left"/>
        <w:rPr>
          <w:sz w:val="21"/>
        </w:rPr>
      </w:pPr>
      <w:r>
        <w:rPr>
          <w:w w:val="95"/>
          <w:sz w:val="21"/>
        </w:rPr>
        <w:t>出现部分性、全身性癫痫发作或癫痫持续状态；</w:t>
      </w:r>
    </w:p>
    <w:p>
      <w:pPr>
        <w:pStyle w:val="ListParagraph"/>
        <w:numPr>
          <w:ilvl w:val="1"/>
          <w:numId w:val="55"/>
        </w:numPr>
        <w:tabs>
          <w:tab w:pos="3474" w:val="left" w:leader="none"/>
          <w:tab w:pos="3475" w:val="left" w:leader="none"/>
        </w:tabs>
        <w:spacing w:line="240" w:lineRule="auto" w:before="56" w:after="0"/>
        <w:ind w:left="3474" w:right="0" w:hanging="734"/>
        <w:jc w:val="left"/>
        <w:rPr>
          <w:sz w:val="21"/>
        </w:rPr>
      </w:pPr>
      <w:r>
        <w:rPr>
          <w:w w:val="95"/>
          <w:sz w:val="21"/>
        </w:rPr>
        <w:t>视力减退、复视和面神经麻痹；</w:t>
      </w:r>
    </w:p>
    <w:p>
      <w:pPr>
        <w:pStyle w:val="ListParagraph"/>
        <w:numPr>
          <w:ilvl w:val="1"/>
          <w:numId w:val="55"/>
        </w:numPr>
        <w:tabs>
          <w:tab w:pos="3474" w:val="left" w:leader="none"/>
          <w:tab w:pos="3475" w:val="left" w:leader="none"/>
        </w:tabs>
        <w:spacing w:line="240" w:lineRule="auto" w:before="59" w:after="0"/>
        <w:ind w:left="3474" w:right="0" w:hanging="734"/>
        <w:jc w:val="left"/>
        <w:rPr>
          <w:sz w:val="21"/>
        </w:rPr>
      </w:pPr>
      <w:r>
        <w:rPr>
          <w:w w:val="95"/>
          <w:sz w:val="21"/>
        </w:rPr>
        <w:t>昏睡或意识模糊。</w:t>
      </w:r>
    </w:p>
    <w:p>
      <w:pPr>
        <w:pStyle w:val="BodyText"/>
        <w:spacing w:before="2"/>
        <w:rPr>
          <w:sz w:val="27"/>
        </w:rPr>
      </w:pPr>
    </w:p>
    <w:p>
      <w:pPr>
        <w:spacing w:after="0"/>
        <w:rPr>
          <w:sz w:val="27"/>
        </w:rPr>
        <w:sectPr>
          <w:type w:val="continuous"/>
          <w:pgSz w:w="12240" w:h="15840"/>
          <w:pgMar w:top="900" w:bottom="280" w:left="1640" w:right="1640"/>
        </w:sectPr>
      </w:pPr>
    </w:p>
    <w:p>
      <w:pPr>
        <w:pStyle w:val="Heading2"/>
        <w:numPr>
          <w:ilvl w:val="1"/>
          <w:numId w:val="56"/>
        </w:numPr>
        <w:tabs>
          <w:tab w:pos="906" w:val="left" w:leader="none"/>
          <w:tab w:pos="907" w:val="left" w:leader="none"/>
        </w:tabs>
        <w:spacing w:line="273" w:lineRule="exact" w:before="34" w:after="0"/>
        <w:ind w:left="906" w:right="0" w:hanging="746"/>
        <w:jc w:val="left"/>
      </w:pPr>
      <w:r>
        <w:rPr>
          <w:spacing w:val="20"/>
          <w:w w:val="95"/>
        </w:rPr>
        <w:t>头臂动脉型多发</w:t>
      </w:r>
    </w:p>
    <w:p>
      <w:pPr>
        <w:spacing w:before="0"/>
        <w:ind w:left="906" w:right="0" w:firstLine="0"/>
        <w:jc w:val="left"/>
        <w:rPr>
          <w:b/>
          <w:sz w:val="21"/>
        </w:rPr>
      </w:pPr>
      <w:r>
        <w:rPr>
          <w:b/>
          <w:w w:val="95"/>
          <w:sz w:val="21"/>
        </w:rPr>
        <w:t>性大动脉炎导致的旁路移植手术</w:t>
      </w:r>
    </w:p>
    <w:p>
      <w:pPr>
        <w:pStyle w:val="BodyText"/>
        <w:spacing w:line="237" w:lineRule="auto" w:before="37"/>
        <w:ind w:left="160" w:right="160"/>
      </w:pPr>
      <w:r>
        <w:rPr/>
        <w:br w:type="column"/>
      </w:r>
      <w:r>
        <w:rPr>
          <w:spacing w:val="-3"/>
          <w:w w:val="95"/>
        </w:rPr>
        <w:t>多发性大动脉炎</w:t>
      </w:r>
      <w:r>
        <w:rPr>
          <w:w w:val="95"/>
        </w:rPr>
        <w:t>（高安氏动脉炎</w:t>
      </w:r>
      <w:r>
        <w:rPr>
          <w:spacing w:val="-13"/>
          <w:w w:val="95"/>
        </w:rPr>
        <w:t>）</w:t>
      </w:r>
      <w:r>
        <w:rPr>
          <w:w w:val="95"/>
        </w:rPr>
        <w:t>指一种发生在主动脉和其主要分  支的慢性炎症性动脉疾病，表现为受累动脉狭窄或闭塞。</w:t>
      </w:r>
    </w:p>
    <w:p>
      <w:pPr>
        <w:pStyle w:val="BodyText"/>
        <w:spacing w:line="237" w:lineRule="auto" w:before="61"/>
        <w:ind w:left="160" w:right="160"/>
      </w:pPr>
      <w:r>
        <w:rPr/>
        <w:t>头臂动脉型多发性大动脉炎导致的旁路移植手术指诊断为头臂动</w:t>
      </w:r>
      <w:r>
        <w:rPr>
          <w:spacing w:val="-2"/>
          <w:w w:val="95"/>
        </w:rPr>
        <w:t>脉型多发性大动脉炎且实际实施了经胸部切开进行的无名动脉</w:t>
      </w:r>
      <w:r>
        <w:rPr>
          <w:w w:val="95"/>
        </w:rPr>
        <w:t>（头  臂干）、颈总动脉、锁骨下动脉旁路移植手术。</w:t>
      </w:r>
    </w:p>
    <w:p>
      <w:pPr>
        <w:pStyle w:val="BodyText"/>
        <w:spacing w:line="237" w:lineRule="auto" w:before="0"/>
        <w:ind w:left="160" w:right="130"/>
        <w:jc w:val="both"/>
        <w:rPr>
          <w:rFonts w:ascii="黑体" w:eastAsia="黑体" w:hint="eastAsia"/>
        </w:rPr>
      </w:pPr>
      <w:r>
        <w:rPr>
          <w:rFonts w:ascii="黑体" w:eastAsia="黑体" w:hint="eastAsia"/>
          <w:w w:val="95"/>
        </w:rPr>
        <w:t>非开胸的血管旁路移植手术、因其他病因而进行的旁路移植手术， </w:t>
      </w:r>
      <w:r>
        <w:rPr>
          <w:rFonts w:ascii="黑体" w:eastAsia="黑体" w:hint="eastAsia"/>
          <w:spacing w:val="-2"/>
        </w:rPr>
        <w:t>对其他动脉进行的旁路移植手术，经皮经导管进行的血管内手术不</w:t>
      </w:r>
      <w:r>
        <w:rPr>
          <w:rFonts w:ascii="黑体" w:eastAsia="黑体" w:hint="eastAsia"/>
          <w:spacing w:val="-2"/>
          <w:w w:val="95"/>
        </w:rPr>
        <w:t>在保障范围内。</w:t>
      </w:r>
    </w:p>
    <w:p>
      <w:pPr>
        <w:spacing w:after="0" w:line="237" w:lineRule="auto"/>
        <w:jc w:val="both"/>
        <w:rPr>
          <w:rFonts w:ascii="黑体" w:eastAsia="黑体" w:hint="eastAsia"/>
        </w:rPr>
        <w:sectPr>
          <w:type w:val="continuous"/>
          <w:pgSz w:w="12240" w:h="15840"/>
          <w:pgMar w:top="900" w:bottom="280" w:left="1640" w:right="1640"/>
          <w:cols w:num="2" w:equalWidth="0">
            <w:col w:w="2527" w:space="53"/>
            <w:col w:w="6380"/>
          </w:cols>
        </w:sectPr>
      </w:pPr>
    </w:p>
    <w:p>
      <w:pPr>
        <w:pStyle w:val="BodyText"/>
        <w:spacing w:before="5"/>
        <w:rPr>
          <w:rFonts w:ascii="黑体"/>
          <w:sz w:val="27"/>
        </w:rPr>
      </w:pPr>
    </w:p>
    <w:p>
      <w:pPr>
        <w:spacing w:after="0"/>
        <w:rPr>
          <w:rFonts w:ascii="黑体"/>
          <w:sz w:val="27"/>
        </w:rPr>
        <w:sectPr>
          <w:type w:val="continuous"/>
          <w:pgSz w:w="12240" w:h="15840"/>
          <w:pgMar w:top="900" w:bottom="280" w:left="1640" w:right="1640"/>
        </w:sectPr>
      </w:pPr>
    </w:p>
    <w:p>
      <w:pPr>
        <w:pStyle w:val="Heading2"/>
        <w:numPr>
          <w:ilvl w:val="1"/>
          <w:numId w:val="56"/>
        </w:numPr>
        <w:tabs>
          <w:tab w:pos="906" w:val="left" w:leader="none"/>
          <w:tab w:pos="907" w:val="left" w:leader="none"/>
        </w:tabs>
        <w:spacing w:line="273" w:lineRule="exact" w:before="35" w:after="0"/>
        <w:ind w:left="906" w:right="0" w:hanging="746"/>
        <w:jc w:val="left"/>
      </w:pPr>
      <w:r>
        <w:rPr>
          <w:spacing w:val="20"/>
          <w:w w:val="95"/>
        </w:rPr>
        <w:t>严重的脊髓空洞</w:t>
      </w:r>
    </w:p>
    <w:p>
      <w:pPr>
        <w:spacing w:line="237" w:lineRule="auto" w:before="1"/>
        <w:ind w:left="906" w:right="0" w:firstLine="0"/>
        <w:jc w:val="left"/>
        <w:rPr>
          <w:b/>
          <w:sz w:val="21"/>
        </w:rPr>
      </w:pPr>
      <w:r>
        <w:rPr>
          <w:b/>
          <w:w w:val="95"/>
          <w:sz w:val="21"/>
        </w:rPr>
        <w:t>症或严重的延髓空洞症</w:t>
      </w:r>
    </w:p>
    <w:p>
      <w:pPr>
        <w:pStyle w:val="BodyText"/>
        <w:spacing w:line="237" w:lineRule="auto" w:before="37"/>
        <w:ind w:left="160" w:right="160"/>
        <w:jc w:val="both"/>
      </w:pPr>
      <w:r>
        <w:rPr/>
        <w:br w:type="column"/>
      </w:r>
      <w:r>
        <w:rPr>
          <w:spacing w:val="-2"/>
          <w:w w:val="95"/>
        </w:rPr>
        <w:t>脊髓空洞症指慢性进行性的脊髓变性性疾病，其特征为脊髓内空洞  </w:t>
      </w:r>
      <w:r>
        <w:rPr>
          <w:spacing w:val="-6"/>
          <w:w w:val="95"/>
        </w:rPr>
        <w:t>形成。表现为感觉异常、肌萎缩及神经营养障碍。脊髓空洞症累及  延髓称为延髓空洞症，表现为延髓麻痹。</w:t>
      </w:r>
    </w:p>
    <w:p>
      <w:pPr>
        <w:spacing w:after="0" w:line="237" w:lineRule="auto"/>
        <w:jc w:val="both"/>
        <w:sectPr>
          <w:type w:val="continuous"/>
          <w:pgSz w:w="12240" w:h="15840"/>
          <w:pgMar w:top="900" w:bottom="280" w:left="1640" w:right="1640"/>
          <w:cols w:num="2" w:equalWidth="0">
            <w:col w:w="2527" w:space="53"/>
            <w:col w:w="6380"/>
          </w:cols>
        </w:sectPr>
      </w:pPr>
    </w:p>
    <w:p>
      <w:pPr>
        <w:pStyle w:val="BodyText"/>
        <w:spacing w:before="4"/>
        <w:rPr>
          <w:sz w:val="2"/>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888"/>
        <w:gridCol w:w="6217"/>
      </w:tblGrid>
      <w:tr>
        <w:trPr>
          <w:trHeight w:val="543"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spacing w:line="209" w:lineRule="exact"/>
              <w:ind w:left="106"/>
              <w:rPr>
                <w:sz w:val="21"/>
              </w:rPr>
            </w:pPr>
            <w:r>
              <w:rPr>
                <w:w w:val="95"/>
                <w:sz w:val="21"/>
              </w:rPr>
              <w:t>严重的脊髓空洞症或严重的延髓空洞症必须明确诊断，造成永久不</w:t>
            </w:r>
          </w:p>
          <w:p>
            <w:pPr>
              <w:pStyle w:val="TableParagraph"/>
              <w:spacing w:line="274" w:lineRule="exact"/>
              <w:ind w:left="106"/>
              <w:rPr>
                <w:rFonts w:ascii="黑体" w:eastAsia="黑体" w:hint="eastAsia"/>
                <w:sz w:val="21"/>
              </w:rPr>
            </w:pPr>
            <w:r>
              <w:rPr>
                <w:w w:val="95"/>
                <w:sz w:val="21"/>
              </w:rPr>
              <w:t>可逆的神经系统功能障碍，</w:t>
            </w:r>
            <w:r>
              <w:rPr>
                <w:rFonts w:ascii="黑体" w:eastAsia="黑体" w:hint="eastAsia"/>
                <w:w w:val="95"/>
                <w:sz w:val="21"/>
              </w:rPr>
              <w:t>且满足下列任一条件：</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0" w:lineRule="exact"/>
              <w:ind w:left="106"/>
              <w:rPr>
                <w:sz w:val="21"/>
              </w:rPr>
            </w:pPr>
            <w:r>
              <w:rPr>
                <w:sz w:val="21"/>
              </w:rPr>
              <w:t>（1）</w:t>
              <w:tab/>
            </w:r>
            <w:r>
              <w:rPr>
                <w:w w:val="95"/>
                <w:sz w:val="21"/>
              </w:rPr>
              <w:t>显著的舌肌萎缩、构音困难和吞咽困难；</w:t>
            </w:r>
          </w:p>
        </w:tc>
      </w:tr>
      <w:tr>
        <w:trPr>
          <w:trHeight w:val="499"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z w:val="21"/>
              </w:rPr>
              <w:t>（2）</w:t>
              <w:tab/>
            </w:r>
            <w:r>
              <w:rPr>
                <w:spacing w:val="-5"/>
                <w:sz w:val="21"/>
              </w:rPr>
              <w:t>双手萎缩呈“爪形手”，肌力 </w:t>
            </w:r>
            <w:r>
              <w:rPr>
                <w:sz w:val="21"/>
              </w:rPr>
              <w:t>2</w:t>
            </w:r>
            <w:r>
              <w:rPr>
                <w:spacing w:val="-10"/>
                <w:sz w:val="21"/>
              </w:rPr>
              <w:t> 级或以下。</w:t>
            </w:r>
          </w:p>
        </w:tc>
      </w:tr>
      <w:tr>
        <w:trPr>
          <w:trHeight w:val="769" w:hRule="atLeast"/>
        </w:trPr>
        <w:tc>
          <w:tcPr>
            <w:tcW w:w="635" w:type="dxa"/>
          </w:tcPr>
          <w:p>
            <w:pPr>
              <w:pStyle w:val="TableParagraph"/>
              <w:spacing w:before="162"/>
              <w:ind w:left="50"/>
              <w:rPr>
                <w:b/>
                <w:sz w:val="21"/>
              </w:rPr>
            </w:pPr>
            <w:r>
              <w:rPr>
                <w:b/>
                <w:sz w:val="21"/>
              </w:rPr>
              <w:t>9.92</w:t>
            </w:r>
          </w:p>
        </w:tc>
        <w:tc>
          <w:tcPr>
            <w:tcW w:w="1888" w:type="dxa"/>
          </w:tcPr>
          <w:p>
            <w:pPr>
              <w:pStyle w:val="TableParagraph"/>
              <w:spacing w:line="237" w:lineRule="auto" w:before="165"/>
              <w:ind w:left="161" w:right="104"/>
              <w:rPr>
                <w:b/>
                <w:sz w:val="21"/>
              </w:rPr>
            </w:pPr>
            <w:r>
              <w:rPr>
                <w:b/>
                <w:w w:val="95"/>
                <w:sz w:val="21"/>
              </w:rPr>
              <w:t>特定的横贯性脊髓炎后遗症</w:t>
            </w:r>
          </w:p>
        </w:tc>
        <w:tc>
          <w:tcPr>
            <w:tcW w:w="6217" w:type="dxa"/>
          </w:tcPr>
          <w:p>
            <w:pPr>
              <w:pStyle w:val="TableParagraph"/>
              <w:spacing w:line="237" w:lineRule="auto" w:before="165"/>
              <w:ind w:left="106" w:right="50"/>
              <w:rPr>
                <w:sz w:val="21"/>
              </w:rPr>
            </w:pPr>
            <w:r>
              <w:rPr>
                <w:spacing w:val="-3"/>
                <w:w w:val="95"/>
                <w:sz w:val="21"/>
              </w:rPr>
              <w:t>脊髓炎是一种炎症性脊髓疾病。横贯性脊髓炎是指炎症扩展横贯整  个脊髓，表现为运动障碍、感觉障碍和自主神经功能障碍。</w:t>
            </w:r>
          </w:p>
        </w:tc>
      </w:tr>
      <w:tr>
        <w:trPr>
          <w:trHeight w:val="877"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spacing w:line="237" w:lineRule="auto"/>
              <w:ind w:left="106" w:right="50"/>
              <w:rPr>
                <w:sz w:val="21"/>
              </w:rPr>
            </w:pPr>
            <w:r>
              <w:rPr>
                <w:sz w:val="21"/>
              </w:rPr>
              <w:t>特定的横贯性脊髓炎后遗症指诊断为横贯性脊髓炎且已经造成永</w:t>
            </w:r>
            <w:r>
              <w:rPr>
                <w:spacing w:val="-3"/>
                <w:w w:val="95"/>
                <w:sz w:val="21"/>
              </w:rPr>
              <w:t>久不可逆的神经系统功能障碍，无法独立完成下列基本日常生活活  动之一：</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z w:val="21"/>
              </w:rPr>
              <w:t>（1）</w:t>
              <w:tab/>
            </w:r>
            <w:r>
              <w:rPr>
                <w:w w:val="95"/>
                <w:sz w:val="21"/>
              </w:rPr>
              <w:t>移动：自己从一个房间到另一个房间；</w:t>
            </w:r>
          </w:p>
        </w:tc>
      </w:tr>
      <w:tr>
        <w:trPr>
          <w:trHeight w:val="497"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0" w:lineRule="exact"/>
              <w:ind w:left="106"/>
              <w:rPr>
                <w:sz w:val="21"/>
              </w:rPr>
            </w:pPr>
            <w:r>
              <w:rPr>
                <w:sz w:val="21"/>
              </w:rPr>
              <w:t>（2）</w:t>
              <w:tab/>
            </w:r>
            <w:r>
              <w:rPr>
                <w:w w:val="95"/>
                <w:sz w:val="21"/>
              </w:rPr>
              <w:t>进食：自己从已准备好的碗或碟中取食物放入口中。</w:t>
            </w:r>
          </w:p>
        </w:tc>
      </w:tr>
      <w:tr>
        <w:trPr>
          <w:trHeight w:val="1043" w:hRule="atLeast"/>
        </w:trPr>
        <w:tc>
          <w:tcPr>
            <w:tcW w:w="635" w:type="dxa"/>
          </w:tcPr>
          <w:p>
            <w:pPr>
              <w:pStyle w:val="TableParagraph"/>
              <w:spacing w:before="162"/>
              <w:ind w:left="50"/>
              <w:rPr>
                <w:b/>
                <w:sz w:val="21"/>
              </w:rPr>
            </w:pPr>
            <w:r>
              <w:rPr>
                <w:b/>
                <w:sz w:val="21"/>
              </w:rPr>
              <w:t>9.93</w:t>
            </w:r>
          </w:p>
        </w:tc>
        <w:tc>
          <w:tcPr>
            <w:tcW w:w="1888" w:type="dxa"/>
          </w:tcPr>
          <w:p>
            <w:pPr>
              <w:pStyle w:val="TableParagraph"/>
              <w:spacing w:before="162"/>
              <w:ind w:left="161" w:right="104"/>
              <w:rPr>
                <w:b/>
                <w:sz w:val="21"/>
              </w:rPr>
            </w:pPr>
            <w:r>
              <w:rPr>
                <w:b/>
                <w:w w:val="95"/>
                <w:sz w:val="21"/>
              </w:rPr>
              <w:t>特定的脊髓血管病后遗症</w:t>
            </w:r>
          </w:p>
        </w:tc>
        <w:tc>
          <w:tcPr>
            <w:tcW w:w="6217" w:type="dxa"/>
          </w:tcPr>
          <w:p>
            <w:pPr>
              <w:pStyle w:val="TableParagraph"/>
              <w:spacing w:line="237" w:lineRule="auto" w:before="165"/>
              <w:ind w:left="106" w:right="50"/>
              <w:jc w:val="both"/>
              <w:rPr>
                <w:sz w:val="21"/>
              </w:rPr>
            </w:pPr>
            <w:r>
              <w:rPr>
                <w:spacing w:val="-2"/>
                <w:w w:val="95"/>
                <w:sz w:val="21"/>
              </w:rPr>
              <w:t>指脊髓血管的突发病变引起脊髓梗塞或脊髓出血，导致永久不可逆  </w:t>
            </w:r>
            <w:r>
              <w:rPr>
                <w:spacing w:val="-5"/>
                <w:w w:val="95"/>
                <w:sz w:val="21"/>
              </w:rPr>
              <w:t>的神经系统功能障碍，表现为截瘫或四肢瘫，无法独立完成下列基  本日常生活活动之一：</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z w:val="21"/>
              </w:rPr>
              <w:t>（1）</w:t>
              <w:tab/>
            </w:r>
            <w:r>
              <w:rPr>
                <w:w w:val="95"/>
                <w:sz w:val="21"/>
              </w:rPr>
              <w:t>移动：自己从一个房间到另一个房间；</w:t>
            </w:r>
          </w:p>
        </w:tc>
      </w:tr>
      <w:tr>
        <w:trPr>
          <w:trHeight w:val="498"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0" w:lineRule="exact"/>
              <w:ind w:left="106"/>
              <w:rPr>
                <w:sz w:val="21"/>
              </w:rPr>
            </w:pPr>
            <w:r>
              <w:rPr>
                <w:sz w:val="21"/>
              </w:rPr>
              <w:t>（2）</w:t>
              <w:tab/>
            </w:r>
            <w:r>
              <w:rPr>
                <w:w w:val="95"/>
                <w:sz w:val="21"/>
              </w:rPr>
              <w:t>进食：自己从已准备好的碗或碟中取食物放入口中。</w:t>
            </w:r>
          </w:p>
        </w:tc>
      </w:tr>
      <w:tr>
        <w:trPr>
          <w:trHeight w:val="1483" w:hRule="atLeast"/>
        </w:trPr>
        <w:tc>
          <w:tcPr>
            <w:tcW w:w="635" w:type="dxa"/>
          </w:tcPr>
          <w:p>
            <w:pPr>
              <w:pStyle w:val="TableParagraph"/>
              <w:spacing w:before="162"/>
              <w:ind w:left="50"/>
              <w:rPr>
                <w:b/>
                <w:sz w:val="21"/>
              </w:rPr>
            </w:pPr>
            <w:r>
              <w:rPr>
                <w:b/>
                <w:sz w:val="21"/>
              </w:rPr>
              <w:t>9.94</w:t>
            </w:r>
          </w:p>
        </w:tc>
        <w:tc>
          <w:tcPr>
            <w:tcW w:w="1888" w:type="dxa"/>
          </w:tcPr>
          <w:p>
            <w:pPr>
              <w:pStyle w:val="TableParagraph"/>
              <w:spacing w:before="162"/>
              <w:ind w:left="161" w:right="104"/>
              <w:rPr>
                <w:b/>
                <w:sz w:val="21"/>
              </w:rPr>
            </w:pPr>
            <w:r>
              <w:rPr>
                <w:b/>
                <w:w w:val="95"/>
                <w:sz w:val="21"/>
              </w:rPr>
              <w:t>严重的肺源性心脏病</w:t>
            </w:r>
          </w:p>
        </w:tc>
        <w:tc>
          <w:tcPr>
            <w:tcW w:w="6217" w:type="dxa"/>
          </w:tcPr>
          <w:p>
            <w:pPr>
              <w:pStyle w:val="TableParagraph"/>
              <w:spacing w:line="237" w:lineRule="auto" w:before="165"/>
              <w:ind w:left="106" w:right="50"/>
              <w:rPr>
                <w:sz w:val="21"/>
              </w:rPr>
            </w:pPr>
            <w:r>
              <w:rPr>
                <w:sz w:val="21"/>
              </w:rPr>
              <w:t>指因慢性肺部疾病导致慢性心功能损害造成永久不可逆的心功能</w:t>
            </w:r>
            <w:r>
              <w:rPr>
                <w:spacing w:val="-6"/>
                <w:w w:val="95"/>
                <w:sz w:val="21"/>
              </w:rPr>
              <w:t>衰竭。心功能衰竭程度达到美国纽约心脏病学会心功能分级标准之  </w:t>
            </w:r>
            <w:r>
              <w:rPr>
                <w:spacing w:val="-8"/>
                <w:w w:val="95"/>
                <w:sz w:val="21"/>
              </w:rPr>
              <w:t>心功能Ⅳ级。永久不可逆的体力活动能力受限，不能从事任何体力  活动。</w:t>
            </w:r>
          </w:p>
        </w:tc>
      </w:tr>
      <w:tr>
        <w:trPr>
          <w:trHeight w:val="769" w:hRule="atLeast"/>
        </w:trPr>
        <w:tc>
          <w:tcPr>
            <w:tcW w:w="635" w:type="dxa"/>
          </w:tcPr>
          <w:p>
            <w:pPr>
              <w:pStyle w:val="TableParagraph"/>
              <w:spacing w:before="162"/>
              <w:ind w:left="50"/>
              <w:rPr>
                <w:b/>
                <w:sz w:val="21"/>
              </w:rPr>
            </w:pPr>
            <w:r>
              <w:rPr>
                <w:b/>
                <w:sz w:val="21"/>
              </w:rPr>
              <w:t>9.95</w:t>
            </w:r>
          </w:p>
        </w:tc>
        <w:tc>
          <w:tcPr>
            <w:tcW w:w="1888" w:type="dxa"/>
          </w:tcPr>
          <w:p>
            <w:pPr>
              <w:pStyle w:val="TableParagraph"/>
              <w:spacing w:before="162"/>
              <w:ind w:left="161"/>
              <w:rPr>
                <w:b/>
                <w:sz w:val="21"/>
              </w:rPr>
            </w:pPr>
            <w:r>
              <w:rPr>
                <w:b/>
                <w:w w:val="95"/>
                <w:sz w:val="21"/>
              </w:rPr>
              <w:t>严重的肺结节病</w:t>
            </w:r>
          </w:p>
        </w:tc>
        <w:tc>
          <w:tcPr>
            <w:tcW w:w="6217" w:type="dxa"/>
          </w:tcPr>
          <w:p>
            <w:pPr>
              <w:pStyle w:val="TableParagraph"/>
              <w:spacing w:line="237" w:lineRule="auto" w:before="165"/>
              <w:ind w:left="106" w:right="47"/>
              <w:rPr>
                <w:sz w:val="21"/>
              </w:rPr>
            </w:pPr>
            <w:r>
              <w:rPr>
                <w:spacing w:val="-2"/>
                <w:w w:val="95"/>
                <w:sz w:val="21"/>
              </w:rPr>
              <w:t>结节病是一种原因未明的慢性肉芽肿病，可侵犯全身多个器官，以  肺和淋巴结受累最为常见。</w:t>
            </w:r>
          </w:p>
        </w:tc>
      </w:tr>
      <w:tr>
        <w:trPr>
          <w:trHeight w:val="605"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ind w:left="106" w:right="50"/>
              <w:rPr>
                <w:rFonts w:ascii="黑体" w:eastAsia="黑体" w:hint="eastAsia"/>
                <w:sz w:val="21"/>
              </w:rPr>
            </w:pPr>
            <w:r>
              <w:rPr>
                <w:spacing w:val="-2"/>
                <w:w w:val="95"/>
                <w:sz w:val="21"/>
              </w:rPr>
              <w:t>严重的肺结节病表现为肺的广泛纤维化导致慢性呼吸功能衰竭，</w:t>
            </w:r>
            <w:r>
              <w:rPr>
                <w:rFonts w:ascii="黑体" w:eastAsia="黑体" w:hint="eastAsia"/>
                <w:w w:val="95"/>
                <w:sz w:val="21"/>
              </w:rPr>
              <w:t>且  满足下列全部条件：</w:t>
            </w:r>
          </w:p>
        </w:tc>
      </w:tr>
      <w:tr>
        <w:trPr>
          <w:trHeight w:val="332"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spacing w:line="271" w:lineRule="exact"/>
              <w:ind w:left="106"/>
              <w:rPr>
                <w:sz w:val="21"/>
              </w:rPr>
            </w:pPr>
            <w:r>
              <w:rPr>
                <w:sz w:val="21"/>
              </w:rPr>
              <w:t>（1）</w:t>
              <w:tab/>
            </w:r>
            <w:r>
              <w:rPr>
                <w:spacing w:val="-11"/>
                <w:sz w:val="21"/>
              </w:rPr>
              <w:t>肺结节病的 </w:t>
            </w:r>
            <w:r>
              <w:rPr>
                <w:sz w:val="21"/>
              </w:rPr>
              <w:t>X</w:t>
            </w:r>
            <w:r>
              <w:rPr>
                <w:spacing w:val="-8"/>
                <w:sz w:val="21"/>
              </w:rPr>
              <w:t> 线分期为Ⅳ期，即广泛肺纤维化；</w:t>
            </w:r>
          </w:p>
        </w:tc>
      </w:tr>
      <w:tr>
        <w:trPr>
          <w:trHeight w:val="778" w:hRule="atLeast"/>
        </w:trPr>
        <w:tc>
          <w:tcPr>
            <w:tcW w:w="635" w:type="dxa"/>
          </w:tcPr>
          <w:p>
            <w:pPr>
              <w:pStyle w:val="TableParagraph"/>
              <w:rPr>
                <w:rFonts w:ascii="Times New Roman"/>
                <w:sz w:val="20"/>
              </w:rPr>
            </w:pPr>
          </w:p>
        </w:tc>
        <w:tc>
          <w:tcPr>
            <w:tcW w:w="1888" w:type="dxa"/>
          </w:tcPr>
          <w:p>
            <w:pPr>
              <w:pStyle w:val="TableParagraph"/>
              <w:rPr>
                <w:rFonts w:ascii="Times New Roman"/>
                <w:sz w:val="20"/>
              </w:rPr>
            </w:pPr>
          </w:p>
        </w:tc>
        <w:tc>
          <w:tcPr>
            <w:tcW w:w="6217" w:type="dxa"/>
          </w:tcPr>
          <w:p>
            <w:pPr>
              <w:pStyle w:val="TableParagraph"/>
              <w:tabs>
                <w:tab w:pos="841" w:val="left" w:leader="none"/>
              </w:tabs>
              <w:ind w:left="841" w:right="47" w:hanging="735"/>
              <w:rPr>
                <w:sz w:val="21"/>
              </w:rPr>
            </w:pPr>
            <w:r>
              <w:rPr>
                <w:sz w:val="21"/>
              </w:rPr>
              <w:t>（2）</w:t>
              <w:tab/>
            </w:r>
            <w:r>
              <w:rPr>
                <w:spacing w:val="-3"/>
                <w:sz w:val="21"/>
              </w:rPr>
              <w:t>永久不可逆的慢性呼吸功能衰竭，临床持续 </w:t>
            </w:r>
            <w:r>
              <w:rPr>
                <w:sz w:val="21"/>
              </w:rPr>
              <w:t>180</w:t>
            </w:r>
            <w:r>
              <w:rPr>
                <w:spacing w:val="-10"/>
                <w:sz w:val="21"/>
              </w:rPr>
              <w:t> 天动脉血</w:t>
            </w:r>
            <w:r>
              <w:rPr>
                <w:spacing w:val="-1"/>
                <w:w w:val="99"/>
                <w:sz w:val="21"/>
              </w:rPr>
              <w:t>氧分压</w:t>
            </w:r>
            <w:r>
              <w:rPr>
                <w:spacing w:val="1"/>
                <w:w w:val="99"/>
                <w:sz w:val="21"/>
              </w:rPr>
              <w:t>（</w:t>
            </w:r>
            <w:r>
              <w:rPr>
                <w:spacing w:val="0"/>
                <w:w w:val="99"/>
                <w:sz w:val="21"/>
              </w:rPr>
              <w:t>Pa</w:t>
            </w:r>
            <w:r>
              <w:rPr>
                <w:spacing w:val="-2"/>
                <w:w w:val="99"/>
                <w:sz w:val="21"/>
              </w:rPr>
              <w:t>O</w:t>
            </w:r>
            <w:r>
              <w:rPr>
                <w:spacing w:val="-1"/>
                <w:w w:val="105"/>
                <w:position w:val="-2"/>
                <w:sz w:val="10"/>
              </w:rPr>
              <w:t>2</w:t>
            </w:r>
            <w:r>
              <w:rPr>
                <w:spacing w:val="-1"/>
                <w:w w:val="99"/>
                <w:sz w:val="21"/>
              </w:rPr>
              <w:t>）</w:t>
            </w:r>
            <w:r>
              <w:rPr>
                <w:spacing w:val="0"/>
                <w:w w:val="99"/>
                <w:sz w:val="21"/>
              </w:rPr>
              <w:t>&lt;50</w:t>
            </w:r>
            <w:r>
              <w:rPr>
                <w:spacing w:val="-2"/>
                <w:w w:val="99"/>
                <w:sz w:val="21"/>
              </w:rPr>
              <w:t>m</w:t>
            </w:r>
            <w:r>
              <w:rPr>
                <w:spacing w:val="0"/>
                <w:w w:val="99"/>
                <w:sz w:val="21"/>
              </w:rPr>
              <w:t>mH</w:t>
            </w:r>
            <w:r>
              <w:rPr>
                <w:w w:val="99"/>
                <w:sz w:val="21"/>
              </w:rPr>
              <w:t>g</w:t>
            </w:r>
            <w:r>
              <w:rPr>
                <w:spacing w:val="-52"/>
                <w:sz w:val="21"/>
              </w:rPr>
              <w:t> </w:t>
            </w:r>
            <w:r>
              <w:rPr>
                <w:spacing w:val="-1"/>
                <w:w w:val="99"/>
                <w:sz w:val="21"/>
              </w:rPr>
              <w:t>和动脉血氧饱和度（</w:t>
            </w:r>
            <w:r>
              <w:rPr>
                <w:spacing w:val="0"/>
                <w:w w:val="99"/>
                <w:sz w:val="21"/>
              </w:rPr>
              <w:t>Sa</w:t>
            </w:r>
            <w:r>
              <w:rPr>
                <w:spacing w:val="-2"/>
                <w:w w:val="99"/>
                <w:sz w:val="21"/>
              </w:rPr>
              <w:t>O</w:t>
            </w:r>
            <w:r>
              <w:rPr>
                <w:spacing w:val="-1"/>
                <w:w w:val="105"/>
                <w:position w:val="-2"/>
                <w:sz w:val="10"/>
              </w:rPr>
              <w:t>2</w:t>
            </w:r>
            <w:r>
              <w:rPr>
                <w:spacing w:val="-1"/>
                <w:w w:val="99"/>
                <w:sz w:val="21"/>
              </w:rPr>
              <w:t>）</w:t>
            </w:r>
            <w:r>
              <w:rPr>
                <w:spacing w:val="0"/>
                <w:w w:val="99"/>
                <w:sz w:val="21"/>
              </w:rPr>
              <w:t>&lt;80</w:t>
            </w:r>
            <w:r>
              <w:rPr>
                <w:spacing w:val="-1"/>
                <w:w w:val="99"/>
                <w:sz w:val="21"/>
              </w:rPr>
              <w:t>%。</w:t>
            </w:r>
          </w:p>
        </w:tc>
      </w:tr>
      <w:tr>
        <w:trPr>
          <w:trHeight w:val="716" w:hRule="atLeast"/>
        </w:trPr>
        <w:tc>
          <w:tcPr>
            <w:tcW w:w="635" w:type="dxa"/>
          </w:tcPr>
          <w:p>
            <w:pPr>
              <w:pStyle w:val="TableParagraph"/>
              <w:spacing w:before="155"/>
              <w:ind w:left="50"/>
              <w:rPr>
                <w:b/>
                <w:sz w:val="21"/>
              </w:rPr>
            </w:pPr>
            <w:r>
              <w:rPr>
                <w:b/>
                <w:sz w:val="21"/>
              </w:rPr>
              <w:t>9.96</w:t>
            </w:r>
          </w:p>
        </w:tc>
        <w:tc>
          <w:tcPr>
            <w:tcW w:w="1888" w:type="dxa"/>
          </w:tcPr>
          <w:p>
            <w:pPr>
              <w:pStyle w:val="TableParagraph"/>
              <w:spacing w:line="272" w:lineRule="exact" w:before="182"/>
              <w:ind w:left="161" w:right="46"/>
              <w:rPr>
                <w:b/>
                <w:sz w:val="21"/>
              </w:rPr>
            </w:pPr>
            <w:r>
              <w:rPr>
                <w:b/>
                <w:w w:val="95"/>
                <w:sz w:val="21"/>
              </w:rPr>
              <w:t>严重的心脏衰竭</w:t>
            </w:r>
            <w:r>
              <w:rPr>
                <w:b/>
                <w:sz w:val="21"/>
              </w:rPr>
              <w:t>导致的 </w:t>
            </w:r>
            <w:r>
              <w:rPr>
                <w:rFonts w:ascii="Times New Roman" w:eastAsia="Times New Roman"/>
                <w:b/>
                <w:sz w:val="21"/>
              </w:rPr>
              <w:t>CRT </w:t>
            </w:r>
            <w:r>
              <w:rPr>
                <w:b/>
                <w:sz w:val="21"/>
              </w:rPr>
              <w:t>心脏</w:t>
            </w:r>
          </w:p>
        </w:tc>
        <w:tc>
          <w:tcPr>
            <w:tcW w:w="6217" w:type="dxa"/>
          </w:tcPr>
          <w:p>
            <w:pPr>
              <w:pStyle w:val="TableParagraph"/>
              <w:spacing w:before="12"/>
              <w:rPr>
                <w:sz w:val="13"/>
              </w:rPr>
            </w:pPr>
          </w:p>
          <w:p>
            <w:pPr>
              <w:pStyle w:val="TableParagraph"/>
              <w:spacing w:line="272" w:lineRule="exact"/>
              <w:ind w:left="106" w:right="47"/>
              <w:rPr>
                <w:rFonts w:ascii="黑体" w:eastAsia="黑体" w:hint="eastAsia"/>
                <w:sz w:val="21"/>
              </w:rPr>
            </w:pPr>
            <w:r>
              <w:rPr>
                <w:sz w:val="21"/>
              </w:rPr>
              <w:t>严重心脏衰竭指因缺血性心脏病或扩张性心肌病导致慢性严重心</w:t>
            </w:r>
            <w:r>
              <w:rPr>
                <w:w w:val="95"/>
                <w:sz w:val="21"/>
              </w:rPr>
              <w:t>脏衰竭，</w:t>
            </w:r>
            <w:r>
              <w:rPr>
                <w:rFonts w:ascii="黑体" w:eastAsia="黑体" w:hint="eastAsia"/>
                <w:w w:val="95"/>
                <w:sz w:val="21"/>
              </w:rPr>
              <w:t>且满足下列全部条件：</w:t>
            </w:r>
          </w:p>
        </w:tc>
      </w:tr>
    </w:tbl>
    <w:p>
      <w:pPr>
        <w:spacing w:after="0" w:line="272" w:lineRule="exact"/>
        <w:rPr>
          <w:rFonts w:ascii="黑体" w:eastAsia="黑体" w:hint="eastAsia"/>
          <w:sz w:val="21"/>
        </w:rPr>
        <w:sectPr>
          <w:pgSz w:w="12240" w:h="15840"/>
          <w:pgMar w:top="1500" w:bottom="280" w:left="1640" w:right="1640"/>
        </w:sectPr>
      </w:pPr>
    </w:p>
    <w:p>
      <w:pPr>
        <w:pStyle w:val="Heading2"/>
        <w:spacing w:line="256" w:lineRule="exact"/>
        <w:ind w:left="906"/>
      </w:pPr>
      <w:r>
        <w:rPr>
          <w:w w:val="95"/>
        </w:rPr>
        <w:t>再同步治疗</w:t>
      </w:r>
    </w:p>
    <w:p>
      <w:pPr>
        <w:pStyle w:val="ListParagraph"/>
        <w:numPr>
          <w:ilvl w:val="2"/>
          <w:numId w:val="56"/>
        </w:numPr>
        <w:tabs>
          <w:tab w:pos="1476" w:val="left" w:leader="none"/>
          <w:tab w:pos="1477" w:val="left" w:leader="none"/>
        </w:tabs>
        <w:spacing w:line="240" w:lineRule="auto" w:before="40" w:after="0"/>
        <w:ind w:left="1476" w:right="157" w:hanging="734"/>
        <w:jc w:val="left"/>
        <w:rPr>
          <w:sz w:val="21"/>
        </w:rPr>
      </w:pPr>
      <w:r>
        <w:rPr>
          <w:spacing w:val="3"/>
          <w:w w:val="99"/>
          <w:sz w:val="21"/>
        </w:rPr>
        <w:br w:type="column"/>
      </w:r>
      <w:r>
        <w:rPr>
          <w:sz w:val="21"/>
        </w:rPr>
        <w:t>心功能衰竭程度达到美国纽约心脏病学会的心功能分级标</w:t>
      </w:r>
      <w:r>
        <w:rPr>
          <w:w w:val="95"/>
          <w:sz w:val="21"/>
        </w:rPr>
        <w:t>准之心功能Ⅲ级或Ⅳ级；</w:t>
      </w:r>
    </w:p>
    <w:p>
      <w:pPr>
        <w:pStyle w:val="ListParagraph"/>
        <w:numPr>
          <w:ilvl w:val="2"/>
          <w:numId w:val="56"/>
        </w:numPr>
        <w:tabs>
          <w:tab w:pos="1476" w:val="left" w:leader="none"/>
          <w:tab w:pos="1477" w:val="left" w:leader="none"/>
        </w:tabs>
        <w:spacing w:line="240" w:lineRule="auto" w:before="55" w:after="0"/>
        <w:ind w:left="1476" w:right="0" w:hanging="734"/>
        <w:jc w:val="left"/>
        <w:rPr>
          <w:sz w:val="21"/>
        </w:rPr>
      </w:pPr>
      <w:r>
        <w:rPr>
          <w:w w:val="95"/>
          <w:sz w:val="21"/>
        </w:rPr>
        <w:t>左室射血分数（LVEF）≤30%；</w:t>
      </w:r>
    </w:p>
    <w:p>
      <w:pPr>
        <w:pStyle w:val="ListParagraph"/>
        <w:numPr>
          <w:ilvl w:val="2"/>
          <w:numId w:val="56"/>
        </w:numPr>
        <w:tabs>
          <w:tab w:pos="1476" w:val="left" w:leader="none"/>
          <w:tab w:pos="1477" w:val="left" w:leader="none"/>
        </w:tabs>
        <w:spacing w:line="240" w:lineRule="auto" w:before="58" w:after="0"/>
        <w:ind w:left="1476" w:right="0" w:hanging="734"/>
        <w:jc w:val="left"/>
        <w:rPr>
          <w:sz w:val="21"/>
        </w:rPr>
      </w:pPr>
      <w:r>
        <w:rPr>
          <w:w w:val="95"/>
          <w:sz w:val="21"/>
        </w:rPr>
        <w:t>左室舒张末期内径≥55mm；</w:t>
      </w:r>
    </w:p>
    <w:p>
      <w:pPr>
        <w:pStyle w:val="ListParagraph"/>
        <w:numPr>
          <w:ilvl w:val="2"/>
          <w:numId w:val="56"/>
        </w:numPr>
        <w:tabs>
          <w:tab w:pos="1476" w:val="left" w:leader="none"/>
          <w:tab w:pos="1477" w:val="left" w:leader="none"/>
        </w:tabs>
        <w:spacing w:line="240" w:lineRule="auto" w:before="58" w:after="0"/>
        <w:ind w:left="1476" w:right="0" w:hanging="734"/>
        <w:jc w:val="left"/>
        <w:rPr>
          <w:sz w:val="21"/>
        </w:rPr>
      </w:pPr>
      <w:r>
        <w:rPr>
          <w:sz w:val="21"/>
        </w:rPr>
        <w:t>QRS</w:t>
      </w:r>
      <w:r>
        <w:rPr>
          <w:spacing w:val="-16"/>
          <w:sz w:val="21"/>
        </w:rPr>
        <w:t> 时间≥</w:t>
      </w:r>
      <w:r>
        <w:rPr>
          <w:sz w:val="21"/>
        </w:rPr>
        <w:t>130msec。</w:t>
      </w:r>
    </w:p>
    <w:p>
      <w:pPr>
        <w:pStyle w:val="BodyText"/>
        <w:spacing w:line="237" w:lineRule="auto" w:before="58"/>
        <w:ind w:left="742" w:right="160"/>
      </w:pPr>
      <w:r>
        <w:rPr>
          <w:spacing w:val="-8"/>
        </w:rPr>
        <w:t>严重心脏衰竭导致的 </w:t>
      </w:r>
      <w:r>
        <w:rPr/>
        <w:t>CRT</w:t>
      </w:r>
      <w:r>
        <w:rPr>
          <w:spacing w:val="-9"/>
        </w:rPr>
        <w:t> 心脏再同步治疗指诊断为严重心脏衰竭且</w:t>
      </w:r>
      <w:r>
        <w:rPr>
          <w:spacing w:val="-18"/>
        </w:rPr>
        <w:t>实际实施了 </w:t>
      </w:r>
      <w:r>
        <w:rPr/>
        <w:t>CRT</w:t>
      </w:r>
      <w:r>
        <w:rPr>
          <w:spacing w:val="-8"/>
        </w:rPr>
        <w:t> 治疗，以矫正心室收缩不协调和改善心脏功能。</w:t>
      </w:r>
    </w:p>
    <w:p>
      <w:pPr>
        <w:spacing w:after="0" w:line="237" w:lineRule="auto"/>
        <w:sectPr>
          <w:type w:val="continuous"/>
          <w:pgSz w:w="12240" w:h="15840"/>
          <w:pgMar w:top="900" w:bottom="280" w:left="1640" w:right="1640"/>
          <w:cols w:num="2" w:equalWidth="0">
            <w:col w:w="1958" w:space="40"/>
            <w:col w:w="6962"/>
          </w:cols>
        </w:sectPr>
      </w:pPr>
    </w:p>
    <w:p>
      <w:pPr>
        <w:pStyle w:val="BodyText"/>
        <w:spacing w:before="2"/>
        <w:rPr>
          <w:sz w:val="20"/>
        </w:rPr>
      </w:pPr>
    </w:p>
    <w:p>
      <w:pPr>
        <w:spacing w:after="0"/>
        <w:rPr>
          <w:sz w:val="20"/>
        </w:rPr>
        <w:sectPr>
          <w:pgSz w:w="12240" w:h="15840"/>
          <w:pgMar w:top="1500" w:bottom="280" w:left="1580" w:right="1580"/>
        </w:sectPr>
      </w:pPr>
    </w:p>
    <w:p>
      <w:pPr>
        <w:pStyle w:val="Heading2"/>
        <w:numPr>
          <w:ilvl w:val="1"/>
          <w:numId w:val="57"/>
        </w:numPr>
        <w:tabs>
          <w:tab w:pos="966" w:val="left" w:leader="none"/>
          <w:tab w:pos="967" w:val="left" w:leader="none"/>
        </w:tabs>
        <w:spacing w:line="273" w:lineRule="exact" w:before="34" w:after="0"/>
        <w:ind w:left="2800" w:right="0" w:hanging="2580"/>
        <w:jc w:val="left"/>
      </w:pPr>
      <w:r>
        <w:rPr>
          <w:spacing w:val="20"/>
          <w:w w:val="95"/>
        </w:rPr>
        <w:t>严重的结核性脊</w:t>
      </w:r>
    </w:p>
    <w:p>
      <w:pPr>
        <w:spacing w:line="273" w:lineRule="exact" w:before="0"/>
        <w:ind w:left="752" w:right="983" w:firstLine="0"/>
        <w:jc w:val="center"/>
        <w:rPr>
          <w:b/>
          <w:sz w:val="21"/>
        </w:rPr>
      </w:pPr>
      <w:r>
        <w:rPr>
          <w:b/>
          <w:w w:val="95"/>
          <w:sz w:val="21"/>
        </w:rPr>
        <w:t>髓炎</w:t>
      </w:r>
    </w:p>
    <w:p>
      <w:pPr>
        <w:pStyle w:val="BodyText"/>
        <w:spacing w:line="237" w:lineRule="auto" w:before="37"/>
        <w:ind w:left="173" w:right="217"/>
      </w:pPr>
      <w:r>
        <w:rPr/>
        <w:br w:type="column"/>
      </w:r>
      <w:r>
        <w:rPr/>
        <w:t>指因结核杆菌引起的脊髓炎，导致永久不可逆的神经系统功能障碍。疾病初次确诊 180 天后但遗留下列一种或一种以上障碍：</w:t>
      </w:r>
    </w:p>
    <w:p>
      <w:pPr>
        <w:pStyle w:val="ListParagraph"/>
        <w:numPr>
          <w:ilvl w:val="0"/>
          <w:numId w:val="58"/>
        </w:numPr>
        <w:tabs>
          <w:tab w:pos="894" w:val="left" w:leader="none"/>
        </w:tabs>
        <w:spacing w:line="240" w:lineRule="auto" w:before="56" w:after="0"/>
        <w:ind w:left="893" w:right="217" w:hanging="720"/>
        <w:jc w:val="left"/>
        <w:rPr>
          <w:sz w:val="21"/>
        </w:rPr>
      </w:pPr>
      <w:r>
        <w:rPr>
          <w:spacing w:val="10"/>
          <w:sz w:val="21"/>
        </w:rPr>
        <w:t>两肢或两肢以上肢体肌力Ⅱ级或Ⅱ级以下的运动功能障</w:t>
      </w:r>
      <w:r>
        <w:rPr>
          <w:spacing w:val="-1"/>
          <w:w w:val="95"/>
          <w:sz w:val="21"/>
        </w:rPr>
        <w:t>碍；</w:t>
      </w:r>
    </w:p>
    <w:p>
      <w:pPr>
        <w:pStyle w:val="ListParagraph"/>
        <w:numPr>
          <w:ilvl w:val="0"/>
          <w:numId w:val="58"/>
        </w:numPr>
        <w:tabs>
          <w:tab w:pos="894" w:val="left" w:leader="none"/>
        </w:tabs>
        <w:spacing w:line="237" w:lineRule="auto" w:before="61" w:after="0"/>
        <w:ind w:left="893" w:right="217" w:hanging="720"/>
        <w:jc w:val="left"/>
        <w:rPr>
          <w:sz w:val="21"/>
        </w:rPr>
      </w:pPr>
      <w:r>
        <w:rPr>
          <w:spacing w:val="1"/>
          <w:sz w:val="21"/>
        </w:rPr>
        <w:t>自主生活能力部分丧失，无法独立完成六项基本日常生活</w:t>
      </w:r>
      <w:r>
        <w:rPr>
          <w:spacing w:val="1"/>
          <w:w w:val="95"/>
          <w:sz w:val="21"/>
        </w:rPr>
        <w:t>活动中的四项或四项以上。</w:t>
      </w:r>
    </w:p>
    <w:p>
      <w:pPr>
        <w:pStyle w:val="BodyText"/>
        <w:spacing w:line="237" w:lineRule="auto" w:before="61"/>
        <w:ind w:left="173" w:right="220"/>
      </w:pPr>
      <w:r>
        <w:rPr>
          <w:spacing w:val="-2"/>
          <w:w w:val="95"/>
        </w:rPr>
        <w:t>该诊断必须由医院的神经专科医生证实，并必须经医学检查证明为  结核性脊髓炎。</w:t>
      </w:r>
    </w:p>
    <w:p>
      <w:pPr>
        <w:spacing w:after="0" w:line="237" w:lineRule="auto"/>
        <w:sectPr>
          <w:type w:val="continuous"/>
          <w:pgSz w:w="12240" w:h="15840"/>
          <w:pgMar w:top="900" w:bottom="280" w:left="1580" w:right="1580"/>
          <w:cols w:num="2" w:equalWidth="0">
            <w:col w:w="2587" w:space="40"/>
            <w:col w:w="6453"/>
          </w:cols>
        </w:sectPr>
      </w:pPr>
    </w:p>
    <w:p>
      <w:pPr>
        <w:pStyle w:val="BodyText"/>
        <w:spacing w:before="2"/>
        <w:rPr>
          <w:sz w:val="27"/>
        </w:rPr>
      </w:pPr>
    </w:p>
    <w:p>
      <w:pPr>
        <w:spacing w:after="0"/>
        <w:rPr>
          <w:sz w:val="27"/>
        </w:rPr>
        <w:sectPr>
          <w:type w:val="continuous"/>
          <w:pgSz w:w="12240" w:h="15840"/>
          <w:pgMar w:top="900" w:bottom="280" w:left="1580" w:right="1580"/>
        </w:sectPr>
      </w:pPr>
    </w:p>
    <w:p>
      <w:pPr>
        <w:pStyle w:val="Heading2"/>
        <w:numPr>
          <w:ilvl w:val="1"/>
          <w:numId w:val="57"/>
        </w:numPr>
        <w:tabs>
          <w:tab w:pos="966" w:val="left" w:leader="none"/>
          <w:tab w:pos="967" w:val="left" w:leader="none"/>
        </w:tabs>
        <w:spacing w:line="273" w:lineRule="exact" w:before="34" w:after="0"/>
        <w:ind w:left="2800" w:right="0" w:hanging="2580"/>
        <w:jc w:val="left"/>
      </w:pPr>
      <w:r>
        <w:rPr>
          <w:spacing w:val="20"/>
          <w:w w:val="95"/>
        </w:rPr>
        <w:t>严重的脊髓小脑</w:t>
      </w:r>
    </w:p>
    <w:p>
      <w:pPr>
        <w:spacing w:line="273" w:lineRule="exact" w:before="0"/>
        <w:ind w:left="957" w:right="977" w:firstLine="0"/>
        <w:jc w:val="center"/>
        <w:rPr>
          <w:b/>
          <w:sz w:val="21"/>
        </w:rPr>
      </w:pPr>
      <w:r>
        <w:rPr>
          <w:b/>
          <w:w w:val="95"/>
          <w:sz w:val="21"/>
        </w:rPr>
        <w:t>变性症</w:t>
      </w:r>
    </w:p>
    <w:p>
      <w:pPr>
        <w:pStyle w:val="BodyText"/>
        <w:spacing w:line="237" w:lineRule="auto" w:before="37"/>
        <w:ind w:left="173" w:right="220"/>
        <w:rPr>
          <w:rFonts w:ascii="黑体" w:eastAsia="黑体" w:hint="eastAsia"/>
        </w:rPr>
      </w:pPr>
      <w:r>
        <w:rPr/>
        <w:br w:type="column"/>
      </w:r>
      <w:r>
        <w:rPr>
          <w:spacing w:val="-2"/>
          <w:w w:val="95"/>
        </w:rPr>
        <w:t>指一组以小脑萎缩和共济失调为主要临床特点的疾病，</w:t>
      </w:r>
      <w:r>
        <w:rPr>
          <w:rFonts w:ascii="黑体" w:eastAsia="黑体" w:hint="eastAsia"/>
          <w:w w:val="95"/>
        </w:rPr>
        <w:t>且满足下列  全部条件：</w:t>
      </w:r>
    </w:p>
    <w:p>
      <w:pPr>
        <w:pStyle w:val="ListParagraph"/>
        <w:numPr>
          <w:ilvl w:val="0"/>
          <w:numId w:val="59"/>
        </w:numPr>
        <w:tabs>
          <w:tab w:pos="894" w:val="left" w:leader="none"/>
        </w:tabs>
        <w:spacing w:line="240" w:lineRule="auto" w:before="58" w:after="0"/>
        <w:ind w:left="893" w:right="0" w:hanging="720"/>
        <w:jc w:val="left"/>
        <w:rPr>
          <w:sz w:val="21"/>
        </w:rPr>
      </w:pPr>
      <w:r>
        <w:rPr>
          <w:spacing w:val="-1"/>
          <w:w w:val="95"/>
          <w:sz w:val="21"/>
        </w:rPr>
        <w:t>脊髓小脑变性症必须由医院诊断，并有以下所有证据支持：</w:t>
      </w:r>
    </w:p>
    <w:p>
      <w:pPr>
        <w:pStyle w:val="ListParagraph"/>
        <w:numPr>
          <w:ilvl w:val="1"/>
          <w:numId w:val="59"/>
        </w:numPr>
        <w:tabs>
          <w:tab w:pos="1313" w:val="left" w:leader="none"/>
          <w:tab w:pos="1314" w:val="left" w:leader="none"/>
        </w:tabs>
        <w:spacing w:line="240" w:lineRule="auto" w:before="55" w:after="0"/>
        <w:ind w:left="1313" w:right="0" w:hanging="420"/>
        <w:jc w:val="left"/>
        <w:rPr>
          <w:sz w:val="21"/>
        </w:rPr>
      </w:pPr>
      <w:r>
        <w:rPr>
          <w:w w:val="95"/>
          <w:sz w:val="21"/>
        </w:rPr>
        <w:t>影像学检查证实存在小脑萎缩；</w:t>
      </w:r>
    </w:p>
    <w:p>
      <w:pPr>
        <w:pStyle w:val="ListParagraph"/>
        <w:numPr>
          <w:ilvl w:val="1"/>
          <w:numId w:val="59"/>
        </w:numPr>
        <w:tabs>
          <w:tab w:pos="1313" w:val="left" w:leader="none"/>
          <w:tab w:pos="1314" w:val="left" w:leader="none"/>
        </w:tabs>
        <w:spacing w:line="240" w:lineRule="auto" w:before="58" w:after="0"/>
        <w:ind w:left="1313" w:right="0" w:hanging="420"/>
        <w:jc w:val="left"/>
        <w:rPr>
          <w:sz w:val="21"/>
        </w:rPr>
      </w:pPr>
      <w:r>
        <w:rPr>
          <w:w w:val="95"/>
          <w:sz w:val="21"/>
        </w:rPr>
        <w:t>临床表现存在共济失调、语言障碍和肌张力异常。</w:t>
      </w:r>
    </w:p>
    <w:p>
      <w:pPr>
        <w:pStyle w:val="ListParagraph"/>
        <w:numPr>
          <w:ilvl w:val="0"/>
          <w:numId w:val="59"/>
        </w:numPr>
        <w:tabs>
          <w:tab w:pos="894" w:val="left" w:leader="none"/>
        </w:tabs>
        <w:spacing w:line="240" w:lineRule="auto" w:before="56" w:after="0"/>
        <w:ind w:left="893" w:right="217" w:hanging="720"/>
        <w:jc w:val="left"/>
        <w:rPr>
          <w:sz w:val="21"/>
        </w:rPr>
      </w:pPr>
      <w:r>
        <w:rPr>
          <w:spacing w:val="1"/>
          <w:sz w:val="21"/>
        </w:rPr>
        <w:t>运动功能严重障碍，自主生活能力完全丧失，无法独立完</w:t>
      </w:r>
      <w:r>
        <w:rPr>
          <w:spacing w:val="1"/>
          <w:w w:val="95"/>
          <w:sz w:val="21"/>
        </w:rPr>
        <w:t>成六项</w:t>
      </w:r>
    </w:p>
    <w:p>
      <w:pPr>
        <w:pStyle w:val="BodyText"/>
        <w:spacing w:line="271" w:lineRule="exact" w:before="0"/>
        <w:ind w:left="893"/>
      </w:pPr>
      <w:r>
        <w:rPr>
          <w:w w:val="95"/>
        </w:rPr>
        <w:t>基本日常生活活动中的三项或三项以上。</w:t>
      </w:r>
    </w:p>
    <w:p>
      <w:pPr>
        <w:spacing w:after="0" w:line="271" w:lineRule="exact"/>
        <w:sectPr>
          <w:type w:val="continuous"/>
          <w:pgSz w:w="12240" w:h="15840"/>
          <w:pgMar w:top="900" w:bottom="280" w:left="1580" w:right="1580"/>
          <w:cols w:num="2" w:equalWidth="0">
            <w:col w:w="2587" w:space="40"/>
            <w:col w:w="6453"/>
          </w:cols>
        </w:sectPr>
      </w:pPr>
    </w:p>
    <w:p>
      <w:pPr>
        <w:pStyle w:val="BodyText"/>
        <w:spacing w:before="2"/>
        <w:rPr>
          <w:sz w:val="27"/>
        </w:rPr>
      </w:pPr>
    </w:p>
    <w:p>
      <w:pPr>
        <w:spacing w:after="0"/>
        <w:rPr>
          <w:sz w:val="27"/>
        </w:rPr>
        <w:sectPr>
          <w:type w:val="continuous"/>
          <w:pgSz w:w="12240" w:h="15840"/>
          <w:pgMar w:top="900" w:bottom="280" w:left="1580" w:right="1580"/>
        </w:sectPr>
      </w:pPr>
    </w:p>
    <w:p>
      <w:pPr>
        <w:pStyle w:val="Heading2"/>
        <w:numPr>
          <w:ilvl w:val="1"/>
          <w:numId w:val="57"/>
        </w:numPr>
        <w:tabs>
          <w:tab w:pos="966" w:val="left" w:leader="none"/>
          <w:tab w:pos="967" w:val="left" w:leader="none"/>
        </w:tabs>
        <w:spacing w:line="240" w:lineRule="auto" w:before="35" w:after="0"/>
        <w:ind w:left="2800" w:right="0" w:hanging="2580"/>
        <w:jc w:val="left"/>
      </w:pPr>
      <w:r>
        <w:rPr>
          <w:w w:val="95"/>
        </w:rPr>
        <w:t>湿性年龄相</w:t>
      </w:r>
    </w:p>
    <w:p>
      <w:pPr>
        <w:spacing w:line="290" w:lineRule="auto" w:before="58"/>
        <w:ind w:left="966" w:right="0" w:firstLine="0"/>
        <w:jc w:val="left"/>
        <w:rPr>
          <w:b/>
          <w:sz w:val="21"/>
        </w:rPr>
      </w:pPr>
      <w:r>
        <w:rPr>
          <w:b/>
          <w:w w:val="95"/>
          <w:sz w:val="21"/>
        </w:rPr>
        <w:t>关性黄斑变</w:t>
      </w:r>
      <w:r>
        <w:rPr>
          <w:b/>
          <w:sz w:val="21"/>
        </w:rPr>
        <w:t>性</w:t>
      </w:r>
    </w:p>
    <w:p>
      <w:pPr>
        <w:pStyle w:val="BodyText"/>
        <w:spacing w:line="237" w:lineRule="auto" w:before="38"/>
        <w:ind w:left="220" w:right="217"/>
        <w:jc w:val="both"/>
      </w:pPr>
      <w:r>
        <w:rPr/>
        <w:br w:type="column"/>
      </w:r>
      <w:r>
        <w:rPr/>
        <w:t>又称为新生血管性年龄相关性黄斑变性或渗出性年龄相关性黄斑变性，发生脉络膜新生血管（CNV）异常生长穿透玻璃膜进入视网</w:t>
      </w:r>
      <w:r>
        <w:rPr>
          <w:w w:val="95"/>
        </w:rPr>
        <w:t>膜，新生血管渗漏，渗出及出血。</w:t>
      </w:r>
    </w:p>
    <w:p>
      <w:pPr>
        <w:pStyle w:val="BodyText"/>
        <w:spacing w:before="59"/>
        <w:ind w:left="220"/>
      </w:pPr>
      <w:r>
        <w:rPr>
          <w:w w:val="95"/>
        </w:rPr>
        <w:t>该疾病必须由荧光素眼底血管造影检查提示黄斑区新生血管形成。</w:t>
      </w:r>
    </w:p>
    <w:p>
      <w:pPr>
        <w:pStyle w:val="BodyText"/>
        <w:spacing w:line="237" w:lineRule="auto" w:before="59"/>
        <w:ind w:left="220" w:right="220"/>
        <w:jc w:val="both"/>
      </w:pPr>
      <w:r>
        <w:rPr>
          <w:spacing w:val="-8"/>
        </w:rPr>
        <w:t>申请理赔时须提供近 </w:t>
      </w:r>
      <w:r>
        <w:rPr/>
        <w:t>3</w:t>
      </w:r>
      <w:r>
        <w:rPr>
          <w:spacing w:val="-9"/>
        </w:rPr>
        <w:t> 个月内视力改变显示病情恶化的相关检查报</w:t>
      </w:r>
      <w:r>
        <w:rPr>
          <w:spacing w:val="-9"/>
          <w:w w:val="95"/>
        </w:rPr>
        <w:t>告、诊断证明及病历报告。</w:t>
      </w:r>
    </w:p>
    <w:p>
      <w:pPr>
        <w:spacing w:after="0" w:line="237" w:lineRule="auto"/>
        <w:jc w:val="both"/>
        <w:sectPr>
          <w:type w:val="continuous"/>
          <w:pgSz w:w="12240" w:h="15840"/>
          <w:pgMar w:top="900" w:bottom="280" w:left="1580" w:right="1580"/>
          <w:cols w:num="2" w:equalWidth="0">
            <w:col w:w="2018" w:space="562"/>
            <w:col w:w="6500"/>
          </w:cols>
        </w:sectPr>
      </w:pPr>
    </w:p>
    <w:p>
      <w:pPr>
        <w:pStyle w:val="BodyText"/>
        <w:spacing w:before="2"/>
        <w:rPr>
          <w:sz w:val="27"/>
        </w:rPr>
      </w:pPr>
    </w:p>
    <w:p>
      <w:pPr>
        <w:pStyle w:val="ListParagraph"/>
        <w:numPr>
          <w:ilvl w:val="1"/>
          <w:numId w:val="57"/>
        </w:numPr>
        <w:tabs>
          <w:tab w:pos="966" w:val="left" w:leader="none"/>
          <w:tab w:pos="967" w:val="left" w:leader="none"/>
          <w:tab w:pos="2799" w:val="left" w:leader="none"/>
        </w:tabs>
        <w:spacing w:line="240" w:lineRule="auto" w:before="34" w:after="0"/>
        <w:ind w:left="2800" w:right="220" w:hanging="2580"/>
        <w:jc w:val="left"/>
        <w:rPr>
          <w:rFonts w:ascii="黑体" w:eastAsia="黑体" w:hint="eastAsia"/>
          <w:sz w:val="21"/>
        </w:rPr>
      </w:pPr>
      <w:r>
        <w:rPr>
          <w:b/>
          <w:sz w:val="21"/>
        </w:rPr>
        <w:t>严重的大动脉炎</w:t>
        <w:tab/>
      </w:r>
      <w:r>
        <w:rPr>
          <w:w w:val="95"/>
          <w:sz w:val="21"/>
        </w:rPr>
        <w:t>指经医院心脏或血管外科专科医生确诊的大动脉炎</w:t>
      </w:r>
      <w:r>
        <w:rPr>
          <w:spacing w:val="-29"/>
          <w:w w:val="95"/>
          <w:sz w:val="21"/>
        </w:rPr>
        <w:t>，</w:t>
      </w:r>
      <w:r>
        <w:rPr>
          <w:rFonts w:ascii="黑体" w:eastAsia="黑体" w:hint="eastAsia"/>
          <w:w w:val="95"/>
          <w:sz w:val="21"/>
        </w:rPr>
        <w:t>且满足下列全   部条件：</w:t>
      </w:r>
    </w:p>
    <w:p>
      <w:pPr>
        <w:pStyle w:val="ListParagraph"/>
        <w:numPr>
          <w:ilvl w:val="2"/>
          <w:numId w:val="57"/>
        </w:numPr>
        <w:tabs>
          <w:tab w:pos="3520" w:val="left" w:leader="none"/>
        </w:tabs>
        <w:spacing w:line="240" w:lineRule="auto" w:before="56" w:after="0"/>
        <w:ind w:left="3520" w:right="0" w:hanging="720"/>
        <w:jc w:val="left"/>
        <w:rPr>
          <w:sz w:val="21"/>
        </w:rPr>
      </w:pPr>
      <w:r>
        <w:rPr>
          <w:spacing w:val="-8"/>
          <w:sz w:val="21"/>
        </w:rPr>
        <w:t>红细胞沉降率及 </w:t>
      </w:r>
      <w:r>
        <w:rPr>
          <w:sz w:val="21"/>
        </w:rPr>
        <w:t>C</w:t>
      </w:r>
      <w:r>
        <w:rPr>
          <w:spacing w:val="-8"/>
          <w:sz w:val="21"/>
        </w:rPr>
        <w:t> 反应蛋白高于正常值；</w:t>
      </w:r>
    </w:p>
    <w:p>
      <w:pPr>
        <w:pStyle w:val="ListParagraph"/>
        <w:numPr>
          <w:ilvl w:val="2"/>
          <w:numId w:val="57"/>
        </w:numPr>
        <w:tabs>
          <w:tab w:pos="3520" w:val="left" w:leader="none"/>
        </w:tabs>
        <w:spacing w:line="237" w:lineRule="auto" w:before="61" w:after="0"/>
        <w:ind w:left="3520" w:right="220" w:hanging="720"/>
        <w:jc w:val="left"/>
        <w:rPr>
          <w:sz w:val="21"/>
        </w:rPr>
      </w:pPr>
      <w:r>
        <w:rPr>
          <w:spacing w:val="-14"/>
          <w:sz w:val="21"/>
        </w:rPr>
        <w:t>超声检查、</w:t>
      </w:r>
      <w:r>
        <w:rPr>
          <w:sz w:val="21"/>
        </w:rPr>
        <w:t>CTA</w:t>
      </w:r>
      <w:r>
        <w:rPr>
          <w:spacing w:val="-9"/>
          <w:sz w:val="21"/>
        </w:rPr>
        <w:t> 检查或血管造影检查证实主动脉及其主要分</w:t>
      </w:r>
      <w:r>
        <w:rPr>
          <w:spacing w:val="-9"/>
          <w:w w:val="95"/>
          <w:sz w:val="21"/>
        </w:rPr>
        <w:t>支存在狭窄。</w:t>
      </w:r>
    </w:p>
    <w:p>
      <w:pPr>
        <w:pStyle w:val="BodyText"/>
        <w:spacing w:before="8"/>
        <w:rPr>
          <w:sz w:val="29"/>
        </w:rPr>
      </w:pPr>
    </w:p>
    <w:p>
      <w:pPr>
        <w:pStyle w:val="Heading1"/>
        <w:numPr>
          <w:ilvl w:val="0"/>
          <w:numId w:val="8"/>
        </w:numPr>
        <w:tabs>
          <w:tab w:pos="966" w:val="left" w:leader="none"/>
          <w:tab w:pos="967" w:val="left" w:leader="none"/>
        </w:tabs>
        <w:spacing w:line="240" w:lineRule="auto" w:before="0" w:after="0"/>
        <w:ind w:left="966" w:right="0" w:hanging="746"/>
        <w:jc w:val="left"/>
      </w:pPr>
      <w:r>
        <w:rPr/>
        <w:pict>
          <v:line style="position:absolute;mso-position-horizontal-relative:page;mso-position-vertical-relative:paragraph;z-index:1216;mso-wrap-distance-left:0;mso-wrap-distance-right:0" from="84.599998pt,18.145626pt" to="527.399998pt,18.145626pt" stroked="true" strokeweight="1.44pt" strokecolor="#000000">
            <v:stroke dashstyle="solid"/>
            <w10:wrap type="topAndBottom"/>
          </v:line>
        </w:pict>
      </w:r>
      <w:r>
        <w:rPr>
          <w:w w:val="95"/>
        </w:rPr>
        <w:t>轻症疾病定义</w:t>
      </w:r>
    </w:p>
    <w:p>
      <w:pPr>
        <w:pStyle w:val="BodyText"/>
        <w:spacing w:before="7"/>
        <w:rPr>
          <w:b/>
          <w:sz w:val="20"/>
        </w:rPr>
      </w:pPr>
    </w:p>
    <w:p>
      <w:pPr>
        <w:pStyle w:val="BodyText"/>
        <w:spacing w:before="0"/>
        <w:ind w:left="2800"/>
      </w:pPr>
      <w:r>
        <w:rPr/>
        <w:t>本合同所定义的轻症疾病共有 60 种。</w:t>
      </w:r>
    </w:p>
    <w:p>
      <w:pPr>
        <w:pStyle w:val="BodyText"/>
        <w:spacing w:before="2"/>
        <w:rPr>
          <w:sz w:val="27"/>
        </w:rPr>
      </w:pPr>
    </w:p>
    <w:p>
      <w:pPr>
        <w:spacing w:after="0"/>
        <w:rPr>
          <w:sz w:val="27"/>
        </w:rPr>
        <w:sectPr>
          <w:type w:val="continuous"/>
          <w:pgSz w:w="12240" w:h="15840"/>
          <w:pgMar w:top="900" w:bottom="280" w:left="1580" w:right="1580"/>
        </w:sectPr>
      </w:pPr>
    </w:p>
    <w:p>
      <w:pPr>
        <w:pStyle w:val="Heading2"/>
        <w:numPr>
          <w:ilvl w:val="1"/>
          <w:numId w:val="8"/>
        </w:numPr>
        <w:tabs>
          <w:tab w:pos="966" w:val="left" w:leader="none"/>
          <w:tab w:pos="967" w:val="left" w:leader="none"/>
        </w:tabs>
        <w:spacing w:line="274" w:lineRule="exact" w:before="34" w:after="0"/>
        <w:ind w:left="846" w:right="0" w:hanging="626"/>
        <w:jc w:val="left"/>
      </w:pPr>
      <w:r>
        <w:rPr>
          <w:w w:val="95"/>
        </w:rPr>
        <w:t>极早期恶性肿瘤</w:t>
      </w:r>
    </w:p>
    <w:p>
      <w:pPr>
        <w:spacing w:line="274" w:lineRule="exact" w:before="0"/>
        <w:ind w:left="966" w:right="0" w:firstLine="0"/>
        <w:jc w:val="left"/>
        <w:rPr>
          <w:b/>
          <w:sz w:val="21"/>
        </w:rPr>
      </w:pPr>
      <w:r>
        <w:rPr>
          <w:b/>
          <w:w w:val="95"/>
          <w:sz w:val="21"/>
        </w:rPr>
        <w:t>或者恶性病变</w:t>
      </w:r>
    </w:p>
    <w:p>
      <w:pPr>
        <w:pStyle w:val="BodyText"/>
        <w:spacing w:before="34"/>
        <w:ind w:left="220" w:right="220"/>
      </w:pPr>
      <w:r>
        <w:rPr/>
        <w:br w:type="column"/>
      </w:r>
      <w:r>
        <w:rPr>
          <w:spacing w:val="-2"/>
          <w:w w:val="95"/>
        </w:rPr>
        <w:t>指经组织病理学检查被明确诊断为下列恶性病变，并且接受了相应  的治疗。</w:t>
      </w:r>
    </w:p>
    <w:p>
      <w:pPr>
        <w:pStyle w:val="ListParagraph"/>
        <w:numPr>
          <w:ilvl w:val="0"/>
          <w:numId w:val="60"/>
        </w:numPr>
        <w:tabs>
          <w:tab w:pos="940" w:val="left" w:leader="none"/>
        </w:tabs>
        <w:spacing w:line="240" w:lineRule="auto" w:before="56" w:after="0"/>
        <w:ind w:left="940" w:right="0" w:hanging="720"/>
        <w:jc w:val="left"/>
        <w:rPr>
          <w:sz w:val="21"/>
        </w:rPr>
      </w:pPr>
      <w:r>
        <w:rPr>
          <w:w w:val="95"/>
          <w:sz w:val="21"/>
        </w:rPr>
        <w:t>原位癌；</w:t>
      </w:r>
    </w:p>
    <w:p>
      <w:pPr>
        <w:pStyle w:val="ListParagraph"/>
        <w:numPr>
          <w:ilvl w:val="0"/>
          <w:numId w:val="60"/>
        </w:numPr>
        <w:tabs>
          <w:tab w:pos="940" w:val="left" w:leader="none"/>
        </w:tabs>
        <w:spacing w:line="240" w:lineRule="auto" w:before="59" w:after="0"/>
        <w:ind w:left="940" w:right="0" w:hanging="720"/>
        <w:jc w:val="left"/>
        <w:rPr>
          <w:sz w:val="21"/>
        </w:rPr>
      </w:pPr>
      <w:r>
        <w:rPr>
          <w:spacing w:val="-15"/>
          <w:sz w:val="21"/>
        </w:rPr>
        <w:t>相当于 </w:t>
      </w:r>
      <w:r>
        <w:rPr>
          <w:sz w:val="21"/>
        </w:rPr>
        <w:t>Binet</w:t>
      </w:r>
      <w:r>
        <w:rPr>
          <w:spacing w:val="-20"/>
          <w:sz w:val="21"/>
        </w:rPr>
        <w:t> 分期方案 </w:t>
      </w:r>
      <w:r>
        <w:rPr>
          <w:sz w:val="21"/>
        </w:rPr>
        <w:t>A</w:t>
      </w:r>
      <w:r>
        <w:rPr>
          <w:spacing w:val="-8"/>
          <w:sz w:val="21"/>
        </w:rPr>
        <w:t> 期程度的慢性淋巴细胞白血病；</w:t>
      </w:r>
    </w:p>
    <w:p>
      <w:pPr>
        <w:pStyle w:val="ListParagraph"/>
        <w:numPr>
          <w:ilvl w:val="0"/>
          <w:numId w:val="60"/>
        </w:numPr>
        <w:tabs>
          <w:tab w:pos="940" w:val="left" w:leader="none"/>
        </w:tabs>
        <w:spacing w:line="240" w:lineRule="auto" w:before="56" w:after="0"/>
        <w:ind w:left="940" w:right="0" w:hanging="720"/>
        <w:jc w:val="left"/>
        <w:rPr>
          <w:sz w:val="21"/>
        </w:rPr>
      </w:pPr>
      <w:r>
        <w:rPr>
          <w:spacing w:val="-14"/>
          <w:sz w:val="21"/>
        </w:rPr>
        <w:t>相当于 </w:t>
      </w:r>
      <w:r>
        <w:rPr>
          <w:sz w:val="21"/>
        </w:rPr>
        <w:t>Ann</w:t>
      </w:r>
      <w:r>
        <w:rPr>
          <w:spacing w:val="-6"/>
          <w:sz w:val="21"/>
        </w:rPr>
        <w:t> </w:t>
      </w:r>
      <w:r>
        <w:rPr>
          <w:sz w:val="21"/>
        </w:rPr>
        <w:t>Arbor</w:t>
      </w:r>
      <w:r>
        <w:rPr>
          <w:spacing w:val="-20"/>
          <w:sz w:val="21"/>
        </w:rPr>
        <w:t> 分期方案 </w:t>
      </w:r>
      <w:r>
        <w:rPr>
          <w:sz w:val="21"/>
        </w:rPr>
        <w:t>I</w:t>
      </w:r>
      <w:r>
        <w:rPr>
          <w:spacing w:val="-8"/>
          <w:sz w:val="21"/>
        </w:rPr>
        <w:t> 期程度的何杰金氏病；</w:t>
      </w:r>
    </w:p>
    <w:p>
      <w:pPr>
        <w:spacing w:after="0" w:line="240" w:lineRule="auto"/>
        <w:jc w:val="left"/>
        <w:rPr>
          <w:sz w:val="21"/>
        </w:rPr>
        <w:sectPr>
          <w:type w:val="continuous"/>
          <w:pgSz w:w="12240" w:h="15840"/>
          <w:pgMar w:top="900" w:bottom="280" w:left="1580" w:right="1580"/>
          <w:cols w:num="2" w:equalWidth="0">
            <w:col w:w="2441" w:space="139"/>
            <w:col w:w="6500"/>
          </w:cols>
        </w:sectPr>
      </w:pPr>
    </w:p>
    <w:p>
      <w:pPr>
        <w:pStyle w:val="ListParagraph"/>
        <w:numPr>
          <w:ilvl w:val="0"/>
          <w:numId w:val="60"/>
        </w:numPr>
        <w:tabs>
          <w:tab w:pos="3400" w:val="left" w:leader="none"/>
        </w:tabs>
        <w:spacing w:line="240" w:lineRule="auto" w:before="4" w:after="0"/>
        <w:ind w:left="3400" w:right="0" w:hanging="720"/>
        <w:jc w:val="left"/>
        <w:rPr>
          <w:sz w:val="21"/>
        </w:rPr>
      </w:pPr>
      <w:r>
        <w:rPr>
          <w:spacing w:val="-1"/>
          <w:w w:val="99"/>
          <w:sz w:val="21"/>
        </w:rPr>
        <w:t>皮肤癌</w:t>
      </w:r>
      <w:r>
        <w:rPr>
          <w:spacing w:val="1"/>
          <w:w w:val="99"/>
          <w:sz w:val="21"/>
        </w:rPr>
        <w:t>（</w:t>
      </w:r>
      <w:r>
        <w:rPr>
          <w:spacing w:val="-1"/>
          <w:w w:val="99"/>
          <w:sz w:val="21"/>
        </w:rPr>
        <w:t>不包括恶性黑色素瘤及已发生转移的皮肤癌</w:t>
      </w:r>
      <w:r>
        <w:rPr>
          <w:spacing w:val="-104"/>
          <w:w w:val="99"/>
          <w:sz w:val="21"/>
        </w:rPr>
        <w:t>）</w:t>
      </w:r>
      <w:r>
        <w:rPr>
          <w:w w:val="99"/>
          <w:sz w:val="21"/>
        </w:rPr>
        <w:t>；</w:t>
      </w:r>
    </w:p>
    <w:p>
      <w:pPr>
        <w:pStyle w:val="ListParagraph"/>
        <w:numPr>
          <w:ilvl w:val="0"/>
          <w:numId w:val="60"/>
        </w:numPr>
        <w:tabs>
          <w:tab w:pos="3400" w:val="left" w:leader="none"/>
        </w:tabs>
        <w:spacing w:line="240" w:lineRule="auto" w:before="58" w:after="0"/>
        <w:ind w:left="3400" w:right="0" w:hanging="720"/>
        <w:jc w:val="left"/>
        <w:rPr>
          <w:sz w:val="21"/>
        </w:rPr>
      </w:pPr>
      <w:r>
        <w:rPr>
          <w:spacing w:val="0"/>
          <w:w w:val="99"/>
          <w:sz w:val="21"/>
        </w:rPr>
        <w:t>TN</w:t>
      </w:r>
      <w:r>
        <w:rPr>
          <w:w w:val="99"/>
          <w:sz w:val="21"/>
        </w:rPr>
        <w:t>M</w:t>
      </w:r>
      <w:r>
        <w:rPr>
          <w:spacing w:val="-56"/>
          <w:sz w:val="21"/>
        </w:rPr>
        <w:t> </w:t>
      </w:r>
      <w:r>
        <w:rPr>
          <w:w w:val="99"/>
          <w:sz w:val="21"/>
        </w:rPr>
        <w:t>分期为</w:t>
      </w:r>
      <w:r>
        <w:rPr>
          <w:spacing w:val="-50"/>
          <w:sz w:val="21"/>
        </w:rPr>
        <w:t> </w:t>
      </w:r>
      <w:r>
        <w:rPr>
          <w:spacing w:val="0"/>
          <w:w w:val="99"/>
          <w:sz w:val="21"/>
        </w:rPr>
        <w:t>T</w:t>
      </w:r>
      <w:r>
        <w:rPr>
          <w:spacing w:val="-3"/>
          <w:w w:val="106"/>
          <w:position w:val="-2"/>
          <w:sz w:val="10"/>
        </w:rPr>
        <w:t>1</w:t>
      </w:r>
      <w:r>
        <w:rPr>
          <w:spacing w:val="0"/>
          <w:w w:val="99"/>
          <w:sz w:val="21"/>
        </w:rPr>
        <w:t>N</w:t>
      </w:r>
      <w:r>
        <w:rPr>
          <w:spacing w:val="-1"/>
          <w:w w:val="106"/>
          <w:position w:val="-2"/>
          <w:sz w:val="10"/>
        </w:rPr>
        <w:t>0</w:t>
      </w:r>
      <w:r>
        <w:rPr>
          <w:spacing w:val="0"/>
          <w:w w:val="99"/>
          <w:sz w:val="21"/>
        </w:rPr>
        <w:t>M</w:t>
      </w:r>
      <w:r>
        <w:rPr>
          <w:w w:val="106"/>
          <w:position w:val="-2"/>
          <w:sz w:val="10"/>
        </w:rPr>
        <w:t>0</w:t>
      </w:r>
      <w:r>
        <w:rPr>
          <w:spacing w:val="-24"/>
          <w:position w:val="-2"/>
          <w:sz w:val="10"/>
        </w:rPr>
        <w:t> </w:t>
      </w:r>
      <w:r>
        <w:rPr>
          <w:spacing w:val="-1"/>
          <w:w w:val="99"/>
          <w:sz w:val="21"/>
        </w:rPr>
        <w:t>期或者更轻分期的前列腺癌。</w:t>
      </w:r>
    </w:p>
    <w:p>
      <w:pPr>
        <w:pStyle w:val="BodyText"/>
        <w:spacing w:before="0"/>
        <w:rPr>
          <w:sz w:val="26"/>
        </w:rPr>
      </w:pPr>
    </w:p>
    <w:p>
      <w:pPr>
        <w:spacing w:after="0"/>
        <w:rPr>
          <w:sz w:val="26"/>
        </w:rPr>
        <w:sectPr>
          <w:pgSz w:w="12240" w:h="15840"/>
          <w:pgMar w:top="1460" w:bottom="280" w:left="1700" w:right="1680"/>
        </w:sectPr>
      </w:pPr>
    </w:p>
    <w:p>
      <w:pPr>
        <w:pStyle w:val="Heading2"/>
        <w:numPr>
          <w:ilvl w:val="1"/>
          <w:numId w:val="8"/>
        </w:numPr>
        <w:tabs>
          <w:tab w:pos="846" w:val="left" w:leader="none"/>
          <w:tab w:pos="847" w:val="left" w:leader="none"/>
        </w:tabs>
        <w:spacing w:line="273" w:lineRule="exact" w:before="35" w:after="0"/>
        <w:ind w:left="846" w:right="0" w:hanging="746"/>
        <w:jc w:val="left"/>
      </w:pPr>
      <w:r>
        <w:rPr>
          <w:w w:val="95"/>
        </w:rPr>
        <w:t>脑垂体瘤、脑囊</w:t>
      </w:r>
    </w:p>
    <w:p>
      <w:pPr>
        <w:spacing w:before="0"/>
        <w:ind w:left="846" w:right="0" w:firstLine="0"/>
        <w:jc w:val="left"/>
        <w:rPr>
          <w:b/>
          <w:sz w:val="21"/>
        </w:rPr>
      </w:pPr>
      <w:r>
        <w:rPr>
          <w:b/>
          <w:w w:val="95"/>
          <w:sz w:val="21"/>
        </w:rPr>
        <w:t>肿、脑动脉瘤及脑血管瘤</w:t>
      </w:r>
    </w:p>
    <w:p>
      <w:pPr>
        <w:pStyle w:val="BodyText"/>
        <w:spacing w:line="237" w:lineRule="auto" w:before="37"/>
        <w:ind w:left="100" w:right="115"/>
      </w:pPr>
      <w:r>
        <w:rPr/>
        <w:br w:type="column"/>
      </w:r>
      <w:r>
        <w:rPr>
          <w:spacing w:val="-2"/>
          <w:w w:val="99"/>
        </w:rPr>
        <w:t>指经头颅断层扫描</w:t>
      </w:r>
      <w:r>
        <w:rPr>
          <w:spacing w:val="-1"/>
          <w:w w:val="99"/>
        </w:rPr>
        <w:t>（</w:t>
      </w:r>
      <w:r>
        <w:rPr>
          <w:spacing w:val="0"/>
          <w:w w:val="99"/>
        </w:rPr>
        <w:t>CT</w:t>
      </w:r>
      <w:r>
        <w:rPr>
          <w:spacing w:val="-106"/>
          <w:w w:val="99"/>
        </w:rPr>
        <w:t>）</w:t>
      </w:r>
      <w:r>
        <w:rPr>
          <w:spacing w:val="-2"/>
          <w:w w:val="99"/>
        </w:rPr>
        <w:t>、核磁共振检查</w:t>
      </w:r>
      <w:r>
        <w:rPr>
          <w:spacing w:val="1"/>
          <w:w w:val="99"/>
        </w:rPr>
        <w:t>（</w:t>
      </w:r>
      <w:r>
        <w:rPr>
          <w:spacing w:val="0"/>
          <w:w w:val="99"/>
        </w:rPr>
        <w:t>MR</w:t>
      </w:r>
      <w:r>
        <w:rPr>
          <w:spacing w:val="-2"/>
          <w:w w:val="99"/>
        </w:rPr>
        <w:t>I</w:t>
      </w:r>
      <w:r>
        <w:rPr>
          <w:spacing w:val="-5"/>
          <w:w w:val="99"/>
        </w:rPr>
        <w:t>）</w:t>
      </w:r>
      <w:r>
        <w:rPr>
          <w:spacing w:val="-1"/>
          <w:w w:val="99"/>
        </w:rPr>
        <w:t>或者其他影像学检</w:t>
      </w:r>
      <w:r>
        <w:rPr>
          <w:spacing w:val="-1"/>
          <w:w w:val="95"/>
        </w:rPr>
        <w:t>查被确诊为下列病变，并实际接受了手术或者放射治疗。</w:t>
      </w:r>
    </w:p>
    <w:p>
      <w:pPr>
        <w:pStyle w:val="ListParagraph"/>
        <w:numPr>
          <w:ilvl w:val="0"/>
          <w:numId w:val="61"/>
        </w:numPr>
        <w:tabs>
          <w:tab w:pos="820" w:val="left" w:leader="none"/>
        </w:tabs>
        <w:spacing w:line="240" w:lineRule="auto" w:before="58" w:after="0"/>
        <w:ind w:left="820" w:right="0" w:hanging="720"/>
        <w:jc w:val="left"/>
        <w:rPr>
          <w:sz w:val="21"/>
        </w:rPr>
      </w:pPr>
      <w:r>
        <w:rPr>
          <w:w w:val="95"/>
          <w:sz w:val="21"/>
        </w:rPr>
        <w:t>脑垂体瘤；</w:t>
      </w:r>
    </w:p>
    <w:p>
      <w:pPr>
        <w:pStyle w:val="ListParagraph"/>
        <w:numPr>
          <w:ilvl w:val="0"/>
          <w:numId w:val="61"/>
        </w:numPr>
        <w:tabs>
          <w:tab w:pos="820" w:val="left" w:leader="none"/>
        </w:tabs>
        <w:spacing w:line="240" w:lineRule="auto" w:before="56" w:after="0"/>
        <w:ind w:left="820" w:right="0" w:hanging="720"/>
        <w:jc w:val="left"/>
        <w:rPr>
          <w:sz w:val="21"/>
        </w:rPr>
      </w:pPr>
      <w:r>
        <w:rPr>
          <w:w w:val="95"/>
          <w:sz w:val="21"/>
        </w:rPr>
        <w:t>脑囊肿；</w:t>
      </w:r>
    </w:p>
    <w:p>
      <w:pPr>
        <w:pStyle w:val="ListParagraph"/>
        <w:numPr>
          <w:ilvl w:val="0"/>
          <w:numId w:val="61"/>
        </w:numPr>
        <w:tabs>
          <w:tab w:pos="820" w:val="left" w:leader="none"/>
        </w:tabs>
        <w:spacing w:line="240" w:lineRule="auto" w:before="58" w:after="0"/>
        <w:ind w:left="820" w:right="0" w:hanging="720"/>
        <w:jc w:val="left"/>
        <w:rPr>
          <w:sz w:val="21"/>
        </w:rPr>
      </w:pPr>
      <w:r>
        <w:rPr>
          <w:w w:val="95"/>
          <w:sz w:val="21"/>
        </w:rPr>
        <w:t>脑动脉瘤、脑血管瘤。</w:t>
      </w:r>
    </w:p>
    <w:p>
      <w:pPr>
        <w:spacing w:after="0" w:line="240" w:lineRule="auto"/>
        <w:jc w:val="left"/>
        <w:rPr>
          <w:sz w:val="21"/>
        </w:rPr>
        <w:sectPr>
          <w:type w:val="continuous"/>
          <w:pgSz w:w="12240" w:h="15840"/>
          <w:pgMar w:top="900" w:bottom="280" w:left="1700" w:right="1680"/>
          <w:cols w:num="2" w:equalWidth="0">
            <w:col w:w="2460" w:space="120"/>
            <w:col w:w="6280"/>
          </w:cols>
        </w:sectPr>
      </w:pPr>
    </w:p>
    <w:p>
      <w:pPr>
        <w:pStyle w:val="BodyText"/>
        <w:spacing w:before="1"/>
        <w:rPr>
          <w:sz w:val="27"/>
        </w:rPr>
      </w:pPr>
    </w:p>
    <w:p>
      <w:pPr>
        <w:spacing w:after="0"/>
        <w:rPr>
          <w:sz w:val="27"/>
        </w:rPr>
        <w:sectPr>
          <w:type w:val="continuous"/>
          <w:pgSz w:w="12240" w:h="15840"/>
          <w:pgMar w:top="900" w:bottom="280" w:left="1700" w:right="1680"/>
        </w:sectPr>
      </w:pPr>
    </w:p>
    <w:p>
      <w:pPr>
        <w:pStyle w:val="Heading2"/>
        <w:numPr>
          <w:ilvl w:val="1"/>
          <w:numId w:val="8"/>
        </w:numPr>
        <w:tabs>
          <w:tab w:pos="846" w:val="left" w:leader="none"/>
          <w:tab w:pos="847" w:val="left" w:leader="none"/>
        </w:tabs>
        <w:spacing w:line="237" w:lineRule="auto" w:before="38" w:after="0"/>
        <w:ind w:left="846" w:right="0" w:hanging="746"/>
        <w:jc w:val="left"/>
      </w:pPr>
      <w:r>
        <w:rPr>
          <w:w w:val="95"/>
        </w:rPr>
        <w:t>不典型的急性心肌梗塞</w:t>
      </w:r>
    </w:p>
    <w:p>
      <w:pPr>
        <w:pStyle w:val="BodyText"/>
        <w:spacing w:line="237" w:lineRule="auto" w:before="38"/>
        <w:ind w:left="100" w:right="120"/>
        <w:jc w:val="both"/>
        <w:rPr>
          <w:rFonts w:ascii="黑体" w:hAnsi="黑体" w:eastAsia="黑体" w:hint="eastAsia"/>
        </w:rPr>
      </w:pPr>
      <w:r>
        <w:rPr/>
        <w:br w:type="column"/>
      </w:r>
      <w:r>
        <w:rPr>
          <w:spacing w:val="-2"/>
          <w:w w:val="95"/>
        </w:rPr>
        <w:t>指被临床诊断为急性心肌梗塞并接受了急性心肌梗塞治疗，虽然未  </w:t>
      </w:r>
      <w:r>
        <w:rPr>
          <w:spacing w:val="-5"/>
          <w:w w:val="95"/>
        </w:rPr>
        <w:t>达到本合同重大疾病“急性心肌梗塞”的给付标准，但</w:t>
      </w:r>
      <w:r>
        <w:rPr>
          <w:rFonts w:ascii="黑体" w:hAnsi="黑体" w:eastAsia="黑体" w:hint="eastAsia"/>
          <w:w w:val="95"/>
        </w:rPr>
        <w:t>必须满足下  列全部条件：</w:t>
      </w:r>
    </w:p>
    <w:p>
      <w:pPr>
        <w:pStyle w:val="ListParagraph"/>
        <w:numPr>
          <w:ilvl w:val="0"/>
          <w:numId w:val="62"/>
        </w:numPr>
        <w:tabs>
          <w:tab w:pos="820" w:val="left" w:leader="none"/>
        </w:tabs>
        <w:spacing w:line="240" w:lineRule="auto" w:before="59" w:after="0"/>
        <w:ind w:left="820" w:right="0" w:hanging="720"/>
        <w:jc w:val="both"/>
        <w:rPr>
          <w:sz w:val="21"/>
        </w:rPr>
      </w:pPr>
      <w:r>
        <w:rPr>
          <w:w w:val="95"/>
          <w:sz w:val="21"/>
        </w:rPr>
        <w:t>肌钙蛋白有诊断意义的升高；</w:t>
      </w:r>
    </w:p>
    <w:p>
      <w:pPr>
        <w:pStyle w:val="ListParagraph"/>
        <w:numPr>
          <w:ilvl w:val="0"/>
          <w:numId w:val="62"/>
        </w:numPr>
        <w:tabs>
          <w:tab w:pos="820" w:val="left" w:leader="none"/>
        </w:tabs>
        <w:spacing w:line="240" w:lineRule="auto" w:before="56" w:after="0"/>
        <w:ind w:left="820" w:right="0" w:hanging="720"/>
        <w:jc w:val="both"/>
        <w:rPr>
          <w:sz w:val="21"/>
        </w:rPr>
      </w:pPr>
      <w:r>
        <w:rPr>
          <w:spacing w:val="-7"/>
          <w:sz w:val="21"/>
        </w:rPr>
        <w:t>心电图有损伤性的 </w:t>
      </w:r>
      <w:r>
        <w:rPr>
          <w:sz w:val="21"/>
        </w:rPr>
        <w:t>ST</w:t>
      </w:r>
      <w:r>
        <w:rPr>
          <w:spacing w:val="-13"/>
          <w:sz w:val="21"/>
        </w:rPr>
        <w:t> 段改变但未出现病理 </w:t>
      </w:r>
      <w:r>
        <w:rPr>
          <w:sz w:val="21"/>
        </w:rPr>
        <w:t>Q</w:t>
      </w:r>
      <w:r>
        <w:rPr>
          <w:spacing w:val="-19"/>
          <w:sz w:val="21"/>
        </w:rPr>
        <w:t> 波。</w:t>
      </w:r>
    </w:p>
    <w:p>
      <w:pPr>
        <w:spacing w:after="0" w:line="240" w:lineRule="auto"/>
        <w:jc w:val="both"/>
        <w:rPr>
          <w:sz w:val="21"/>
        </w:rPr>
        <w:sectPr>
          <w:type w:val="continuous"/>
          <w:pgSz w:w="12240" w:h="15840"/>
          <w:pgMar w:top="900" w:bottom="280" w:left="1700" w:right="1680"/>
          <w:cols w:num="2" w:equalWidth="0">
            <w:col w:w="2321" w:space="259"/>
            <w:col w:w="6280"/>
          </w:cols>
        </w:sectPr>
      </w:pPr>
    </w:p>
    <w:p>
      <w:pPr>
        <w:pStyle w:val="BodyText"/>
        <w:spacing w:before="4"/>
        <w:rPr>
          <w:sz w:val="27"/>
        </w:rPr>
      </w:pPr>
    </w:p>
    <w:p>
      <w:pPr>
        <w:spacing w:after="0"/>
        <w:rPr>
          <w:sz w:val="27"/>
        </w:rPr>
        <w:sectPr>
          <w:type w:val="continuous"/>
          <w:pgSz w:w="12240" w:h="15840"/>
          <w:pgMar w:top="900" w:bottom="280" w:left="1700" w:right="1680"/>
        </w:sectPr>
      </w:pPr>
    </w:p>
    <w:p>
      <w:pPr>
        <w:pStyle w:val="Heading2"/>
        <w:numPr>
          <w:ilvl w:val="1"/>
          <w:numId w:val="8"/>
        </w:numPr>
        <w:tabs>
          <w:tab w:pos="846" w:val="left" w:leader="none"/>
          <w:tab w:pos="847" w:val="left" w:leader="none"/>
        </w:tabs>
        <w:spacing w:line="273" w:lineRule="exact" w:before="34" w:after="0"/>
        <w:ind w:left="846" w:right="0" w:hanging="746"/>
        <w:jc w:val="left"/>
      </w:pPr>
      <w:r>
        <w:rPr>
          <w:w w:val="95"/>
        </w:rPr>
        <w:t>冠状动脉介入手</w:t>
      </w:r>
    </w:p>
    <w:p>
      <w:pPr>
        <w:spacing w:line="273" w:lineRule="exact" w:before="0"/>
        <w:ind w:left="846" w:right="0" w:firstLine="0"/>
        <w:jc w:val="left"/>
        <w:rPr>
          <w:b/>
          <w:sz w:val="21"/>
        </w:rPr>
      </w:pPr>
      <w:r>
        <w:rPr>
          <w:b/>
          <w:w w:val="95"/>
          <w:sz w:val="21"/>
        </w:rPr>
        <w:t>术（非开胸手术）</w:t>
      </w:r>
    </w:p>
    <w:p>
      <w:pPr>
        <w:pStyle w:val="BodyText"/>
        <w:spacing w:line="237" w:lineRule="auto" w:before="37"/>
        <w:ind w:left="100" w:right="117"/>
        <w:jc w:val="both"/>
      </w:pPr>
      <w:r>
        <w:rPr/>
        <w:br w:type="column"/>
      </w:r>
      <w:r>
        <w:rPr>
          <w:spacing w:val="-2"/>
          <w:w w:val="95"/>
        </w:rPr>
        <w:t>为了治疗明显的冠状动脉狭窄性疾病，首次实际实施了冠状动脉球  </w:t>
      </w:r>
      <w:r>
        <w:rPr>
          <w:spacing w:val="-5"/>
          <w:w w:val="95"/>
        </w:rPr>
        <w:t>囊扩张成形术、冠状动脉支架植入术、冠状动脉粥肿斑块切除术或  者激光冠状动脉成形术。</w:t>
      </w:r>
    </w:p>
    <w:p>
      <w:pPr>
        <w:spacing w:after="0" w:line="237" w:lineRule="auto"/>
        <w:jc w:val="both"/>
        <w:sectPr>
          <w:type w:val="continuous"/>
          <w:pgSz w:w="12240" w:h="15840"/>
          <w:pgMar w:top="900" w:bottom="280" w:left="1700" w:right="1680"/>
          <w:cols w:num="2" w:equalWidth="0">
            <w:col w:w="2530" w:space="50"/>
            <w:col w:w="6280"/>
          </w:cols>
        </w:sectPr>
      </w:pPr>
    </w:p>
    <w:p>
      <w:pPr>
        <w:pStyle w:val="BodyText"/>
        <w:spacing w:before="1"/>
        <w:rPr>
          <w:sz w:val="27"/>
        </w:rPr>
      </w:pPr>
    </w:p>
    <w:p>
      <w:pPr>
        <w:spacing w:after="0"/>
        <w:rPr>
          <w:sz w:val="27"/>
        </w:rPr>
        <w:sectPr>
          <w:type w:val="continuous"/>
          <w:pgSz w:w="12240" w:h="15840"/>
          <w:pgMar w:top="900" w:bottom="280" w:left="1700" w:right="1680"/>
        </w:sectPr>
      </w:pPr>
    </w:p>
    <w:p>
      <w:pPr>
        <w:pStyle w:val="Heading2"/>
        <w:numPr>
          <w:ilvl w:val="1"/>
          <w:numId w:val="8"/>
        </w:numPr>
        <w:tabs>
          <w:tab w:pos="846" w:val="left" w:leader="none"/>
          <w:tab w:pos="847" w:val="left" w:leader="none"/>
        </w:tabs>
        <w:spacing w:line="274" w:lineRule="exact" w:before="35" w:after="0"/>
        <w:ind w:left="846" w:right="0" w:hanging="746"/>
        <w:jc w:val="left"/>
      </w:pPr>
      <w:r>
        <w:rPr>
          <w:w w:val="95"/>
        </w:rPr>
        <w:t>心脏瓣膜介入手</w:t>
      </w:r>
    </w:p>
    <w:p>
      <w:pPr>
        <w:spacing w:line="274" w:lineRule="exact" w:before="0"/>
        <w:ind w:left="846" w:right="0" w:firstLine="0"/>
        <w:jc w:val="left"/>
        <w:rPr>
          <w:b/>
          <w:sz w:val="21"/>
        </w:rPr>
      </w:pPr>
      <w:r>
        <w:rPr>
          <w:b/>
          <w:w w:val="95"/>
          <w:sz w:val="21"/>
        </w:rPr>
        <w:t>术（非开胸手术）</w:t>
      </w:r>
    </w:p>
    <w:p>
      <w:pPr>
        <w:pStyle w:val="BodyText"/>
        <w:spacing w:before="35"/>
        <w:ind w:left="100" w:right="120"/>
      </w:pPr>
      <w:r>
        <w:rPr/>
        <w:br w:type="column"/>
      </w:r>
      <w:r>
        <w:rPr>
          <w:spacing w:val="-3"/>
          <w:w w:val="95"/>
        </w:rPr>
        <w:t>为了治疗心脏瓣膜疾病，实际实施了非开胸的经胸壁打孔内镜手术  或者经皮经导管介入手术进行的心脏瓣膜置换或者修复手术。</w:t>
      </w:r>
    </w:p>
    <w:p>
      <w:pPr>
        <w:spacing w:after="0"/>
        <w:sectPr>
          <w:type w:val="continuous"/>
          <w:pgSz w:w="12240" w:h="15840"/>
          <w:pgMar w:top="900" w:bottom="280" w:left="1700" w:right="1680"/>
          <w:cols w:num="2" w:equalWidth="0">
            <w:col w:w="2530" w:space="50"/>
            <w:col w:w="6280"/>
          </w:cols>
        </w:sectPr>
      </w:pPr>
    </w:p>
    <w:p>
      <w:pPr>
        <w:pStyle w:val="BodyText"/>
        <w:spacing w:before="2"/>
        <w:rPr>
          <w:sz w:val="27"/>
        </w:rPr>
      </w:pPr>
    </w:p>
    <w:p>
      <w:pPr>
        <w:spacing w:after="0"/>
        <w:rPr>
          <w:sz w:val="27"/>
        </w:rPr>
        <w:sectPr>
          <w:type w:val="continuous"/>
          <w:pgSz w:w="12240" w:h="15840"/>
          <w:pgMar w:top="900" w:bottom="280" w:left="1700" w:right="1680"/>
        </w:sectPr>
      </w:pPr>
    </w:p>
    <w:p>
      <w:pPr>
        <w:pStyle w:val="Heading2"/>
        <w:numPr>
          <w:ilvl w:val="1"/>
          <w:numId w:val="8"/>
        </w:numPr>
        <w:tabs>
          <w:tab w:pos="846" w:val="left" w:leader="none"/>
          <w:tab w:pos="847" w:val="left" w:leader="none"/>
        </w:tabs>
        <w:spacing w:line="237" w:lineRule="auto" w:before="37" w:after="0"/>
        <w:ind w:left="846" w:right="0" w:hanging="746"/>
        <w:jc w:val="left"/>
      </w:pPr>
      <w:r>
        <w:rPr>
          <w:spacing w:val="-12"/>
          <w:w w:val="95"/>
        </w:rPr>
        <w:t>主动脉内手术</w:t>
      </w:r>
      <w:r>
        <w:rPr>
          <w:w w:val="95"/>
        </w:rPr>
        <w:t>（非开胸手术）</w:t>
      </w:r>
    </w:p>
    <w:p>
      <w:pPr>
        <w:pStyle w:val="BodyText"/>
        <w:spacing w:line="237" w:lineRule="auto" w:before="37"/>
        <w:ind w:left="100" w:right="120"/>
        <w:jc w:val="both"/>
      </w:pPr>
      <w:r>
        <w:rPr/>
        <w:br w:type="column"/>
      </w:r>
      <w:r>
        <w:rPr>
          <w:spacing w:val="-2"/>
          <w:w w:val="95"/>
        </w:rPr>
        <w:t>为了治疗主动脉疾病实际实施了经皮经导管进行的动脉内手术。主  </w:t>
      </w:r>
      <w:r>
        <w:rPr>
          <w:spacing w:val="-5"/>
          <w:w w:val="95"/>
        </w:rPr>
        <w:t>动脉指胸主动脉和腹主动脉，不包括胸主动脉和腹主动脉的分支血  </w:t>
      </w:r>
      <w:r>
        <w:rPr>
          <w:spacing w:val="-1"/>
          <w:w w:val="95"/>
        </w:rPr>
        <w:t>管。</w:t>
      </w:r>
    </w:p>
    <w:p>
      <w:pPr>
        <w:spacing w:after="0" w:line="237" w:lineRule="auto"/>
        <w:jc w:val="both"/>
        <w:sectPr>
          <w:type w:val="continuous"/>
          <w:pgSz w:w="12240" w:h="15840"/>
          <w:pgMar w:top="900" w:bottom="280" w:left="1700" w:right="1680"/>
          <w:cols w:num="2" w:equalWidth="0">
            <w:col w:w="2462" w:space="118"/>
            <w:col w:w="6280"/>
          </w:cols>
        </w:sectPr>
      </w:pPr>
    </w:p>
    <w:p>
      <w:pPr>
        <w:pStyle w:val="BodyText"/>
        <w:spacing w:before="2"/>
        <w:rPr>
          <w:sz w:val="27"/>
        </w:rPr>
      </w:pPr>
    </w:p>
    <w:p>
      <w:pPr>
        <w:spacing w:after="0"/>
        <w:rPr>
          <w:sz w:val="27"/>
        </w:rPr>
        <w:sectPr>
          <w:type w:val="continuous"/>
          <w:pgSz w:w="12240" w:h="15840"/>
          <w:pgMar w:top="900" w:bottom="280" w:left="1700" w:right="1680"/>
        </w:sectPr>
      </w:pPr>
    </w:p>
    <w:p>
      <w:pPr>
        <w:pStyle w:val="Heading2"/>
        <w:numPr>
          <w:ilvl w:val="1"/>
          <w:numId w:val="8"/>
        </w:numPr>
        <w:tabs>
          <w:tab w:pos="846" w:val="left" w:leader="none"/>
          <w:tab w:pos="847" w:val="left" w:leader="none"/>
        </w:tabs>
        <w:spacing w:line="274" w:lineRule="exact" w:before="34" w:after="0"/>
        <w:ind w:left="846" w:right="0" w:hanging="746"/>
        <w:jc w:val="left"/>
      </w:pPr>
      <w:r>
        <w:rPr>
          <w:w w:val="95"/>
        </w:rPr>
        <w:t>特定周围动脉疾</w:t>
      </w:r>
    </w:p>
    <w:p>
      <w:pPr>
        <w:spacing w:line="237" w:lineRule="auto" w:before="1"/>
        <w:ind w:left="846" w:right="0" w:firstLine="0"/>
        <w:jc w:val="left"/>
        <w:rPr>
          <w:b/>
          <w:sz w:val="21"/>
        </w:rPr>
      </w:pPr>
      <w:r>
        <w:rPr>
          <w:b/>
          <w:w w:val="95"/>
          <w:sz w:val="21"/>
        </w:rPr>
        <w:t>病的血管介入治</w:t>
      </w:r>
      <w:r>
        <w:rPr>
          <w:b/>
          <w:sz w:val="21"/>
        </w:rPr>
        <w:t>疗</w:t>
      </w:r>
    </w:p>
    <w:p>
      <w:pPr>
        <w:pStyle w:val="BodyText"/>
        <w:spacing w:line="225" w:lineRule="auto" w:before="52"/>
        <w:ind w:left="100" w:right="117"/>
      </w:pPr>
      <w:r>
        <w:rPr/>
        <w:br w:type="column"/>
      </w:r>
      <w:r>
        <w:rPr/>
        <w:t>指为治疗一条或者一条以上的下</w:t>
      </w:r>
      <w:r>
        <w:rPr>
          <w:rFonts w:ascii="Arial" w:eastAsia="Arial"/>
          <w:w w:val="115"/>
        </w:rPr>
        <w:t>列</w:t>
      </w:r>
      <w:r>
        <w:rPr/>
        <w:t>动脉狭窄而实施的血管介入治</w:t>
      </w:r>
      <w:r>
        <w:rPr>
          <w:w w:val="95"/>
        </w:rPr>
        <w:t>疗：</w:t>
      </w:r>
    </w:p>
    <w:p>
      <w:pPr>
        <w:pStyle w:val="ListParagraph"/>
        <w:numPr>
          <w:ilvl w:val="0"/>
          <w:numId w:val="63"/>
        </w:numPr>
        <w:tabs>
          <w:tab w:pos="820" w:val="left" w:leader="none"/>
        </w:tabs>
        <w:spacing w:line="240" w:lineRule="auto" w:before="59" w:after="0"/>
        <w:ind w:left="820" w:right="0" w:hanging="720"/>
        <w:jc w:val="left"/>
        <w:rPr>
          <w:sz w:val="21"/>
        </w:rPr>
      </w:pPr>
      <w:r>
        <w:rPr>
          <w:w w:val="95"/>
          <w:sz w:val="21"/>
        </w:rPr>
        <w:t>为下肢或者上肢供血的动脉；</w:t>
      </w:r>
    </w:p>
    <w:p>
      <w:pPr>
        <w:pStyle w:val="ListParagraph"/>
        <w:numPr>
          <w:ilvl w:val="0"/>
          <w:numId w:val="63"/>
        </w:numPr>
        <w:tabs>
          <w:tab w:pos="820" w:val="left" w:leader="none"/>
        </w:tabs>
        <w:spacing w:line="240" w:lineRule="auto" w:before="56" w:after="0"/>
        <w:ind w:left="820" w:right="0" w:hanging="720"/>
        <w:jc w:val="left"/>
        <w:rPr>
          <w:sz w:val="21"/>
        </w:rPr>
      </w:pPr>
      <w:r>
        <w:rPr>
          <w:w w:val="95"/>
          <w:sz w:val="21"/>
        </w:rPr>
        <w:t>肾动脉；</w:t>
      </w:r>
    </w:p>
    <w:p>
      <w:pPr>
        <w:pStyle w:val="ListParagraph"/>
        <w:numPr>
          <w:ilvl w:val="0"/>
          <w:numId w:val="63"/>
        </w:numPr>
        <w:tabs>
          <w:tab w:pos="820" w:val="left" w:leader="none"/>
        </w:tabs>
        <w:spacing w:line="240" w:lineRule="auto" w:before="58" w:after="0"/>
        <w:ind w:left="820" w:right="0" w:hanging="720"/>
        <w:jc w:val="left"/>
        <w:rPr>
          <w:sz w:val="21"/>
        </w:rPr>
      </w:pPr>
      <w:r>
        <w:rPr>
          <w:w w:val="95"/>
          <w:sz w:val="21"/>
        </w:rPr>
        <w:t>肠系膜动脉。</w:t>
      </w:r>
    </w:p>
    <w:p>
      <w:pPr>
        <w:pStyle w:val="BodyText"/>
        <w:ind w:left="100"/>
        <w:rPr>
          <w:rFonts w:ascii="黑体" w:eastAsia="黑体" w:hint="eastAsia"/>
        </w:rPr>
      </w:pPr>
      <w:r>
        <w:rPr>
          <w:rFonts w:ascii="黑体" w:eastAsia="黑体" w:hint="eastAsia"/>
          <w:w w:val="95"/>
        </w:rPr>
        <w:t>必须满足下列全部条件：</w:t>
      </w:r>
    </w:p>
    <w:p>
      <w:pPr>
        <w:pStyle w:val="ListParagraph"/>
        <w:numPr>
          <w:ilvl w:val="0"/>
          <w:numId w:val="64"/>
        </w:numPr>
        <w:tabs>
          <w:tab w:pos="820" w:val="left" w:leader="none"/>
        </w:tabs>
        <w:spacing w:line="274" w:lineRule="exact" w:before="56" w:after="0"/>
        <w:ind w:left="820" w:right="0" w:hanging="720"/>
        <w:jc w:val="left"/>
        <w:rPr>
          <w:sz w:val="21"/>
        </w:rPr>
      </w:pPr>
      <w:r>
        <w:rPr>
          <w:spacing w:val="0"/>
          <w:w w:val="95"/>
          <w:sz w:val="21"/>
        </w:rPr>
        <w:t>经血管造影术证实一条或者一条以上的上述动脉狭窄达到</w:t>
      </w:r>
    </w:p>
    <w:p>
      <w:pPr>
        <w:pStyle w:val="BodyText"/>
        <w:spacing w:line="274" w:lineRule="exact" w:before="0"/>
        <w:ind w:left="820"/>
      </w:pPr>
      <w:r>
        <w:rPr>
          <w:w w:val="95"/>
        </w:rPr>
        <w:t>50%或者以上；</w:t>
      </w:r>
    </w:p>
    <w:p>
      <w:pPr>
        <w:pStyle w:val="ListParagraph"/>
        <w:numPr>
          <w:ilvl w:val="0"/>
          <w:numId w:val="64"/>
        </w:numPr>
        <w:tabs>
          <w:tab w:pos="820" w:val="left" w:leader="none"/>
        </w:tabs>
        <w:spacing w:line="237" w:lineRule="auto" w:before="59" w:after="0"/>
        <w:ind w:left="820" w:right="117" w:hanging="720"/>
        <w:jc w:val="both"/>
        <w:rPr>
          <w:sz w:val="21"/>
        </w:rPr>
      </w:pPr>
      <w:r>
        <w:rPr>
          <w:spacing w:val="1"/>
          <w:sz w:val="21"/>
        </w:rPr>
        <w:t>对一条或者一条以上的上述动脉施行了血管介入治疗，如</w:t>
      </w:r>
      <w:r>
        <w:rPr>
          <w:spacing w:val="6"/>
          <w:sz w:val="21"/>
        </w:rPr>
        <w:t>血管成形术及/</w:t>
      </w:r>
      <w:r>
        <w:rPr>
          <w:spacing w:val="5"/>
          <w:sz w:val="21"/>
        </w:rPr>
        <w:t>或者进行植入支架或者动脉粥样瘤清除手</w:t>
      </w:r>
      <w:r>
        <w:rPr>
          <w:spacing w:val="-1"/>
          <w:w w:val="95"/>
          <w:sz w:val="21"/>
        </w:rPr>
        <w:t>术。</w:t>
      </w:r>
    </w:p>
    <w:p>
      <w:pPr>
        <w:pStyle w:val="BodyText"/>
        <w:spacing w:line="237" w:lineRule="auto" w:before="61"/>
        <w:ind w:left="100" w:right="117"/>
      </w:pPr>
      <w:r>
        <w:rPr/>
        <w:t>上述动脉疾病的诊断以及相关治疗的必要性必须由血管疾病的专</w:t>
      </w:r>
      <w:r>
        <w:rPr>
          <w:w w:val="95"/>
        </w:rPr>
        <w:t>科医生确定。</w:t>
      </w:r>
    </w:p>
    <w:p>
      <w:pPr>
        <w:spacing w:after="0" w:line="237" w:lineRule="auto"/>
        <w:sectPr>
          <w:type w:val="continuous"/>
          <w:pgSz w:w="12240" w:h="15840"/>
          <w:pgMar w:top="900" w:bottom="280" w:left="1700" w:right="1680"/>
          <w:cols w:num="2" w:equalWidth="0">
            <w:col w:w="2321" w:space="259"/>
            <w:col w:w="6280"/>
          </w:cols>
        </w:sectPr>
      </w:pPr>
    </w:p>
    <w:p>
      <w:pPr>
        <w:pStyle w:val="BodyText"/>
        <w:spacing w:before="4"/>
        <w:rPr>
          <w:sz w:val="27"/>
        </w:rPr>
      </w:pPr>
    </w:p>
    <w:p>
      <w:pPr>
        <w:pStyle w:val="ListParagraph"/>
        <w:numPr>
          <w:ilvl w:val="1"/>
          <w:numId w:val="8"/>
        </w:numPr>
        <w:tabs>
          <w:tab w:pos="846" w:val="left" w:leader="none"/>
          <w:tab w:pos="847" w:val="left" w:leader="none"/>
          <w:tab w:pos="2679" w:val="left" w:leader="none"/>
        </w:tabs>
        <w:spacing w:line="240" w:lineRule="auto" w:before="35" w:after="0"/>
        <w:ind w:left="846" w:right="0" w:hanging="746"/>
        <w:jc w:val="left"/>
        <w:rPr>
          <w:sz w:val="21"/>
        </w:rPr>
      </w:pPr>
      <w:r>
        <w:rPr>
          <w:b/>
          <w:sz w:val="21"/>
        </w:rPr>
        <w:t>原发性肺动脉高</w:t>
        <w:tab/>
      </w:r>
      <w:r>
        <w:rPr>
          <w:w w:val="95"/>
          <w:sz w:val="21"/>
        </w:rPr>
        <w:t>指由于原发性肺动脉高压进行性发展而导致右心室肥厚</w:t>
      </w:r>
      <w:r>
        <w:rPr>
          <w:spacing w:val="-29"/>
          <w:w w:val="95"/>
          <w:sz w:val="21"/>
        </w:rPr>
        <w:t>，</w:t>
      </w:r>
      <w:r>
        <w:rPr>
          <w:w w:val="95"/>
          <w:sz w:val="21"/>
        </w:rPr>
        <w:t>已经造成</w:t>
      </w:r>
    </w:p>
    <w:p>
      <w:pPr>
        <w:spacing w:after="0" w:line="240" w:lineRule="auto"/>
        <w:jc w:val="left"/>
        <w:rPr>
          <w:sz w:val="21"/>
        </w:rPr>
        <w:sectPr>
          <w:type w:val="continuous"/>
          <w:pgSz w:w="12240" w:h="15840"/>
          <w:pgMar w:top="900" w:bottom="280" w:left="1700" w:right="1680"/>
        </w:sectPr>
      </w:pPr>
    </w:p>
    <w:p>
      <w:pPr>
        <w:pStyle w:val="BodyText"/>
        <w:tabs>
          <w:tab w:pos="2679" w:val="left" w:leader="none"/>
        </w:tabs>
        <w:spacing w:line="237" w:lineRule="auto" w:before="7"/>
        <w:ind w:left="2680" w:right="217" w:hanging="1834"/>
        <w:jc w:val="both"/>
      </w:pPr>
      <w:r>
        <w:rPr>
          <w:b/>
        </w:rPr>
        <w:t>压</w:t>
        <w:tab/>
      </w:r>
      <w:r>
        <w:rPr>
          <w:w w:val="95"/>
        </w:rPr>
        <w:t>永久不可逆性的体力活动能力受限</w:t>
      </w:r>
      <w:r>
        <w:rPr>
          <w:spacing w:val="-29"/>
          <w:w w:val="95"/>
        </w:rPr>
        <w:t>，</w:t>
      </w:r>
      <w:r>
        <w:rPr>
          <w:w w:val="95"/>
        </w:rPr>
        <w:t>达到美国纽约心脏病学会心功   能状态分级Ⅲ级及以上</w:t>
      </w:r>
      <w:r>
        <w:rPr>
          <w:spacing w:val="-15"/>
          <w:w w:val="95"/>
        </w:rPr>
        <w:t>，</w:t>
      </w:r>
      <w:r>
        <w:rPr>
          <w:w w:val="95"/>
        </w:rPr>
        <w:t>但尚未达到Ⅳ级</w:t>
      </w:r>
      <w:r>
        <w:rPr>
          <w:spacing w:val="-15"/>
          <w:w w:val="95"/>
        </w:rPr>
        <w:t>，</w:t>
      </w:r>
      <w:r>
        <w:rPr>
          <w:w w:val="95"/>
        </w:rPr>
        <w:t>且静息状态下肺动脉平 </w:t>
      </w:r>
      <w:r>
        <w:rPr/>
        <w:t>均压超过</w:t>
      </w:r>
      <w:r>
        <w:rPr>
          <w:spacing w:val="-60"/>
        </w:rPr>
        <w:t> </w:t>
      </w:r>
      <w:r>
        <w:rPr/>
        <w:t>25mmHg，但尚未超过</w:t>
      </w:r>
      <w:r>
        <w:rPr>
          <w:spacing w:val="-57"/>
        </w:rPr>
        <w:t> </w:t>
      </w:r>
      <w:r>
        <w:rPr/>
        <w:t>30mmHg。</w:t>
      </w:r>
    </w:p>
    <w:p>
      <w:pPr>
        <w:pStyle w:val="BodyText"/>
        <w:spacing w:before="12"/>
        <w:rPr>
          <w:sz w:val="29"/>
        </w:rPr>
      </w:pPr>
    </w:p>
    <w:p>
      <w:pPr>
        <w:pStyle w:val="ListParagraph"/>
        <w:numPr>
          <w:ilvl w:val="1"/>
          <w:numId w:val="8"/>
        </w:numPr>
        <w:tabs>
          <w:tab w:pos="847" w:val="left" w:leader="none"/>
        </w:tabs>
        <w:spacing w:line="237" w:lineRule="auto" w:before="1" w:after="0"/>
        <w:ind w:left="2680" w:right="190" w:hanging="2580"/>
        <w:jc w:val="both"/>
        <w:rPr>
          <w:sz w:val="21"/>
        </w:rPr>
      </w:pPr>
      <w:r>
        <w:rPr>
          <w:b/>
          <w:spacing w:val="0"/>
          <w:sz w:val="21"/>
        </w:rPr>
        <w:t>轻度瘫痪        </w:t>
      </w:r>
      <w:r>
        <w:rPr>
          <w:spacing w:val="-2"/>
          <w:sz w:val="21"/>
        </w:rPr>
        <w:t>指因疾病或者意外伤害导致一肢肢体机能永久完全丧失。肢体机能</w:t>
      </w:r>
      <w:r>
        <w:rPr>
          <w:spacing w:val="-7"/>
          <w:sz w:val="21"/>
        </w:rPr>
        <w:t>永久完全丧失，指疾病确诊 </w:t>
      </w:r>
      <w:r>
        <w:rPr>
          <w:sz w:val="21"/>
        </w:rPr>
        <w:t>180</w:t>
      </w:r>
      <w:r>
        <w:rPr>
          <w:spacing w:val="-12"/>
          <w:sz w:val="21"/>
        </w:rPr>
        <w:t> 天后或者意外伤害发生 </w:t>
      </w:r>
      <w:r>
        <w:rPr>
          <w:sz w:val="21"/>
        </w:rPr>
        <w:t>180</w:t>
      </w:r>
      <w:r>
        <w:rPr>
          <w:spacing w:val="-15"/>
          <w:sz w:val="21"/>
        </w:rPr>
        <w:t> 天后， </w:t>
      </w:r>
      <w:r>
        <w:rPr>
          <w:spacing w:val="-15"/>
          <w:w w:val="95"/>
          <w:sz w:val="21"/>
        </w:rPr>
        <w:t>每肢三大关节中的两大关节仍然完全僵硬，或者不能随意识活动。</w:t>
      </w:r>
    </w:p>
    <w:p>
      <w:pPr>
        <w:pStyle w:val="BodyText"/>
        <w:spacing w:before="7"/>
        <w:rPr>
          <w:sz w:val="29"/>
        </w:rPr>
      </w:pPr>
    </w:p>
    <w:p>
      <w:pPr>
        <w:pStyle w:val="ListParagraph"/>
        <w:numPr>
          <w:ilvl w:val="1"/>
          <w:numId w:val="8"/>
        </w:numPr>
        <w:tabs>
          <w:tab w:pos="847" w:val="left" w:leader="none"/>
        </w:tabs>
        <w:spacing w:line="240" w:lineRule="auto" w:before="0" w:after="0"/>
        <w:ind w:left="2680" w:right="220" w:hanging="2580"/>
        <w:jc w:val="both"/>
        <w:rPr>
          <w:rFonts w:ascii="黑体" w:eastAsia="黑体" w:hint="eastAsia"/>
          <w:sz w:val="21"/>
        </w:rPr>
      </w:pPr>
      <w:r>
        <w:rPr>
          <w:b/>
          <w:spacing w:val="1"/>
          <w:position w:val="2"/>
          <w:sz w:val="21"/>
        </w:rPr>
        <w:t>胆道重建手术    </w:t>
      </w:r>
      <w:r>
        <w:rPr>
          <w:spacing w:val="-2"/>
          <w:sz w:val="21"/>
        </w:rPr>
        <w:t>因胆道创伤导致接受涉及胆总管小肠吻合术的胆道重建手术。</w:t>
      </w:r>
      <w:r>
        <w:rPr>
          <w:rFonts w:ascii="黑体" w:eastAsia="黑体" w:hint="eastAsia"/>
          <w:sz w:val="21"/>
        </w:rPr>
        <w:t>该手</w:t>
      </w:r>
      <w:r>
        <w:rPr>
          <w:rFonts w:ascii="黑体" w:eastAsia="黑体" w:hint="eastAsia"/>
          <w:w w:val="95"/>
          <w:sz w:val="21"/>
        </w:rPr>
        <w:t>术须由专科医Th认为是医学必需的。胆道闭锁不在保障范围内。</w:t>
      </w:r>
    </w:p>
    <w:p>
      <w:pPr>
        <w:pStyle w:val="BodyText"/>
        <w:spacing w:before="12"/>
        <w:rPr>
          <w:rFonts w:ascii="黑体"/>
          <w:sz w:val="29"/>
        </w:rPr>
      </w:pPr>
    </w:p>
    <w:p>
      <w:pPr>
        <w:pStyle w:val="ListParagraph"/>
        <w:numPr>
          <w:ilvl w:val="1"/>
          <w:numId w:val="8"/>
        </w:numPr>
        <w:tabs>
          <w:tab w:pos="847" w:val="left" w:leader="none"/>
        </w:tabs>
        <w:spacing w:line="237" w:lineRule="auto" w:before="1" w:after="0"/>
        <w:ind w:left="2680" w:right="114" w:hanging="2580"/>
        <w:jc w:val="both"/>
        <w:rPr>
          <w:sz w:val="21"/>
        </w:rPr>
      </w:pPr>
      <w:r>
        <w:rPr>
          <w:b/>
          <w:spacing w:val="1"/>
          <w:sz w:val="21"/>
        </w:rPr>
        <w:t>视力严重受损     </w:t>
      </w:r>
      <w:r>
        <w:rPr>
          <w:spacing w:val="-2"/>
          <w:sz w:val="21"/>
        </w:rPr>
        <w:t>指因疾病或者意外伤害导致双眼视力永久不可逆性丧失，虽然未达</w:t>
      </w:r>
      <w:r>
        <w:rPr>
          <w:spacing w:val="-13"/>
          <w:w w:val="95"/>
          <w:sz w:val="21"/>
        </w:rPr>
        <w:t>到本合同重大疾病“双目失明”的给付标准，但满足下列条件之一：</w:t>
      </w:r>
    </w:p>
    <w:p>
      <w:pPr>
        <w:pStyle w:val="ListParagraph"/>
        <w:numPr>
          <w:ilvl w:val="0"/>
          <w:numId w:val="65"/>
        </w:numPr>
        <w:tabs>
          <w:tab w:pos="3400" w:val="left" w:leader="none"/>
        </w:tabs>
        <w:spacing w:line="237" w:lineRule="auto" w:before="61" w:after="0"/>
        <w:ind w:left="3400" w:right="217" w:hanging="720"/>
        <w:jc w:val="left"/>
        <w:rPr>
          <w:sz w:val="21"/>
        </w:rPr>
      </w:pPr>
      <w:r>
        <w:rPr>
          <w:spacing w:val="-5"/>
          <w:sz w:val="21"/>
        </w:rPr>
        <w:t>双眼中较好眼矫正视力低于 </w:t>
      </w:r>
      <w:r>
        <w:rPr>
          <w:spacing w:val="-9"/>
          <w:sz w:val="21"/>
        </w:rPr>
        <w:t>0.1（</w:t>
      </w:r>
      <w:r>
        <w:rPr>
          <w:spacing w:val="-4"/>
          <w:sz w:val="21"/>
        </w:rPr>
        <w:t>采用国际标准视力表，如</w:t>
      </w:r>
      <w:r>
        <w:rPr>
          <w:spacing w:val="-1"/>
          <w:w w:val="99"/>
          <w:sz w:val="21"/>
        </w:rPr>
        <w:t>果使用其他视力表应进行换算</w:t>
      </w:r>
      <w:r>
        <w:rPr>
          <w:spacing w:val="-104"/>
          <w:w w:val="99"/>
          <w:sz w:val="21"/>
        </w:rPr>
        <w:t>）</w:t>
      </w:r>
      <w:r>
        <w:rPr>
          <w:w w:val="99"/>
          <w:sz w:val="21"/>
        </w:rPr>
        <w:t>；</w:t>
      </w:r>
    </w:p>
    <w:p>
      <w:pPr>
        <w:pStyle w:val="ListParagraph"/>
        <w:numPr>
          <w:ilvl w:val="0"/>
          <w:numId w:val="65"/>
        </w:numPr>
        <w:tabs>
          <w:tab w:pos="3400" w:val="left" w:leader="none"/>
        </w:tabs>
        <w:spacing w:line="240" w:lineRule="auto" w:before="58" w:after="0"/>
        <w:ind w:left="3400" w:right="0" w:hanging="720"/>
        <w:jc w:val="left"/>
        <w:rPr>
          <w:sz w:val="21"/>
        </w:rPr>
      </w:pPr>
      <w:r>
        <w:rPr>
          <w:spacing w:val="-5"/>
          <w:sz w:val="21"/>
        </w:rPr>
        <w:t>双眼中较好眼视野半径小于 </w:t>
      </w:r>
      <w:r>
        <w:rPr>
          <w:sz w:val="21"/>
        </w:rPr>
        <w:t>20</w:t>
      </w:r>
      <w:r>
        <w:rPr>
          <w:spacing w:val="-20"/>
          <w:sz w:val="21"/>
        </w:rPr>
        <w:t> 度。</w:t>
      </w:r>
    </w:p>
    <w:p>
      <w:pPr>
        <w:pStyle w:val="BodyText"/>
        <w:ind w:left="2680" w:right="220"/>
        <w:rPr>
          <w:rFonts w:ascii="黑体" w:eastAsia="黑体" w:hint="eastAsia"/>
        </w:rPr>
      </w:pPr>
      <w:r>
        <w:rPr>
          <w:rFonts w:ascii="黑体" w:eastAsia="黑体" w:hint="eastAsia"/>
          <w:spacing w:val="-11"/>
        </w:rPr>
        <w:t>被保险人在 </w:t>
      </w:r>
      <w:r>
        <w:rPr>
          <w:rFonts w:ascii="黑体" w:eastAsia="黑体" w:hint="eastAsia"/>
        </w:rPr>
        <w:t>3</w:t>
      </w:r>
      <w:r>
        <w:rPr>
          <w:rFonts w:ascii="黑体" w:eastAsia="黑体" w:hint="eastAsia"/>
          <w:spacing w:val="-10"/>
        </w:rPr>
        <w:t> 周岁之前因疾病导致视力严重受损，本公司不承担保</w:t>
      </w:r>
      <w:r>
        <w:rPr>
          <w:rFonts w:ascii="黑体" w:eastAsia="黑体" w:hint="eastAsia"/>
          <w:spacing w:val="-10"/>
          <w:w w:val="95"/>
        </w:rPr>
        <w:t>险责任。</w:t>
      </w:r>
    </w:p>
    <w:p>
      <w:pPr>
        <w:pStyle w:val="BodyText"/>
        <w:spacing w:before="12"/>
        <w:rPr>
          <w:rFonts w:ascii="黑体"/>
          <w:sz w:val="29"/>
        </w:rPr>
      </w:pPr>
    </w:p>
    <w:p>
      <w:pPr>
        <w:pStyle w:val="ListParagraph"/>
        <w:numPr>
          <w:ilvl w:val="1"/>
          <w:numId w:val="8"/>
        </w:numPr>
        <w:tabs>
          <w:tab w:pos="847" w:val="left" w:leader="none"/>
        </w:tabs>
        <w:spacing w:line="237" w:lineRule="auto" w:before="1" w:after="0"/>
        <w:ind w:left="2680" w:right="220" w:hanging="2580"/>
        <w:jc w:val="both"/>
        <w:rPr>
          <w:sz w:val="21"/>
        </w:rPr>
      </w:pPr>
      <w:r>
        <w:rPr>
          <w:b/>
          <w:spacing w:val="1"/>
          <w:sz w:val="21"/>
        </w:rPr>
        <w:t>单眼视力丧失    </w:t>
      </w:r>
      <w:r>
        <w:rPr>
          <w:spacing w:val="-2"/>
          <w:sz w:val="21"/>
        </w:rPr>
        <w:t>指因疾病或者意外伤害导致单眼视力永久不可逆性丧失，虽然未达</w:t>
      </w:r>
      <w:r>
        <w:rPr>
          <w:spacing w:val="-5"/>
          <w:w w:val="95"/>
          <w:sz w:val="21"/>
        </w:rPr>
        <w:t>到本合同重大疾病“双目失明”的标准，但患眼须满足下列至少一  项条件：</w:t>
      </w:r>
    </w:p>
    <w:p>
      <w:pPr>
        <w:pStyle w:val="ListParagraph"/>
        <w:numPr>
          <w:ilvl w:val="0"/>
          <w:numId w:val="66"/>
        </w:numPr>
        <w:tabs>
          <w:tab w:pos="3400" w:val="left" w:leader="none"/>
        </w:tabs>
        <w:spacing w:line="240" w:lineRule="auto" w:before="58" w:after="0"/>
        <w:ind w:left="3400" w:right="0" w:hanging="720"/>
        <w:jc w:val="left"/>
        <w:rPr>
          <w:sz w:val="21"/>
        </w:rPr>
      </w:pPr>
      <w:r>
        <w:rPr>
          <w:w w:val="95"/>
          <w:sz w:val="21"/>
        </w:rPr>
        <w:t>眼球缺失或者摘除；</w:t>
      </w:r>
    </w:p>
    <w:p>
      <w:pPr>
        <w:pStyle w:val="ListParagraph"/>
        <w:numPr>
          <w:ilvl w:val="0"/>
          <w:numId w:val="66"/>
        </w:numPr>
        <w:tabs>
          <w:tab w:pos="3400" w:val="left" w:leader="none"/>
        </w:tabs>
        <w:spacing w:line="237" w:lineRule="auto" w:before="60" w:after="0"/>
        <w:ind w:left="3400" w:right="220" w:hanging="720"/>
        <w:jc w:val="left"/>
        <w:rPr>
          <w:sz w:val="21"/>
        </w:rPr>
      </w:pPr>
      <w:r>
        <w:rPr>
          <w:spacing w:val="-6"/>
          <w:sz w:val="21"/>
        </w:rPr>
        <w:t>矫正视力低于 </w:t>
      </w:r>
      <w:r>
        <w:rPr>
          <w:sz w:val="21"/>
        </w:rPr>
        <w:t>0.02（采用国际标准视力表，如果使用其它</w:t>
      </w:r>
      <w:r>
        <w:rPr>
          <w:spacing w:val="-1"/>
          <w:w w:val="99"/>
          <w:sz w:val="21"/>
        </w:rPr>
        <w:t>视力表应进行换算</w:t>
      </w:r>
      <w:r>
        <w:rPr>
          <w:spacing w:val="-106"/>
          <w:w w:val="99"/>
          <w:sz w:val="21"/>
        </w:rPr>
        <w:t>）</w:t>
      </w:r>
      <w:r>
        <w:rPr>
          <w:w w:val="99"/>
          <w:sz w:val="21"/>
        </w:rPr>
        <w:t>；</w:t>
      </w:r>
    </w:p>
    <w:p>
      <w:pPr>
        <w:pStyle w:val="ListParagraph"/>
        <w:numPr>
          <w:ilvl w:val="0"/>
          <w:numId w:val="66"/>
        </w:numPr>
        <w:tabs>
          <w:tab w:pos="3400" w:val="left" w:leader="none"/>
        </w:tabs>
        <w:spacing w:line="240" w:lineRule="auto" w:before="58" w:after="0"/>
        <w:ind w:left="3400" w:right="0" w:hanging="720"/>
        <w:jc w:val="left"/>
        <w:rPr>
          <w:sz w:val="21"/>
        </w:rPr>
      </w:pPr>
      <w:r>
        <w:rPr>
          <w:spacing w:val="-9"/>
          <w:sz w:val="21"/>
        </w:rPr>
        <w:t>视野半径小于 </w:t>
      </w:r>
      <w:r>
        <w:rPr>
          <w:sz w:val="21"/>
        </w:rPr>
        <w:t>5</w:t>
      </w:r>
      <w:r>
        <w:rPr>
          <w:spacing w:val="-20"/>
          <w:sz w:val="21"/>
        </w:rPr>
        <w:t> 度。</w:t>
      </w:r>
    </w:p>
    <w:p>
      <w:pPr>
        <w:pStyle w:val="BodyText"/>
        <w:spacing w:line="237" w:lineRule="auto" w:before="59"/>
        <w:ind w:left="2680" w:right="220"/>
        <w:rPr>
          <w:rFonts w:ascii="黑体" w:eastAsia="黑体" w:hint="eastAsia"/>
        </w:rPr>
      </w:pPr>
      <w:r>
        <w:rPr>
          <w:rFonts w:ascii="黑体" w:eastAsia="黑体" w:hint="eastAsia"/>
          <w:spacing w:val="-11"/>
        </w:rPr>
        <w:t>被保险人在 </w:t>
      </w:r>
      <w:r>
        <w:rPr>
          <w:rFonts w:ascii="黑体" w:eastAsia="黑体" w:hint="eastAsia"/>
        </w:rPr>
        <w:t>3</w:t>
      </w:r>
      <w:r>
        <w:rPr>
          <w:rFonts w:ascii="黑体" w:eastAsia="黑体" w:hint="eastAsia"/>
          <w:spacing w:val="-10"/>
        </w:rPr>
        <w:t> 周岁之前因疾病导致单眼视力丧失，本公司不承担保</w:t>
      </w:r>
      <w:r>
        <w:rPr>
          <w:rFonts w:ascii="黑体" w:eastAsia="黑体" w:hint="eastAsia"/>
          <w:spacing w:val="-10"/>
          <w:w w:val="95"/>
        </w:rPr>
        <w:t>险责任。</w:t>
      </w:r>
    </w:p>
    <w:p>
      <w:pPr>
        <w:pStyle w:val="BodyText"/>
        <w:spacing w:before="0"/>
        <w:rPr>
          <w:rFonts w:ascii="黑体"/>
          <w:sz w:val="20"/>
        </w:rPr>
      </w:pPr>
    </w:p>
    <w:p>
      <w:pPr>
        <w:pStyle w:val="ListParagraph"/>
        <w:numPr>
          <w:ilvl w:val="1"/>
          <w:numId w:val="8"/>
        </w:numPr>
        <w:tabs>
          <w:tab w:pos="847" w:val="left" w:leader="none"/>
        </w:tabs>
        <w:spacing w:line="237" w:lineRule="auto" w:before="131" w:after="0"/>
        <w:ind w:left="2680" w:right="217" w:hanging="2580"/>
        <w:jc w:val="both"/>
        <w:rPr>
          <w:sz w:val="21"/>
        </w:rPr>
      </w:pPr>
      <w:r>
        <w:rPr>
          <w:b/>
          <w:spacing w:val="1"/>
          <w:sz w:val="21"/>
        </w:rPr>
        <w:t>运动神经元病    </w:t>
      </w:r>
      <w:r>
        <w:rPr>
          <w:spacing w:val="-2"/>
          <w:sz w:val="21"/>
        </w:rPr>
        <w:t>指一组中枢神经系统运动神经元的进行性变性疾病，包括进行性脊</w:t>
      </w:r>
      <w:r>
        <w:rPr>
          <w:spacing w:val="-6"/>
          <w:w w:val="95"/>
          <w:sz w:val="21"/>
        </w:rPr>
        <w:t>肌萎缩症、进行性延髓麻痹症、原发性侧索硬化症、肌萎缩性侧索  </w:t>
      </w:r>
      <w:r>
        <w:rPr>
          <w:spacing w:val="-7"/>
          <w:w w:val="95"/>
          <w:sz w:val="21"/>
        </w:rPr>
        <w:t>硬化症。须满足自主生活能力部分丧失，无法独立完成六项基本日  常生活活动中的两项或者两项以上的条件。</w:t>
      </w:r>
    </w:p>
    <w:p>
      <w:pPr>
        <w:pStyle w:val="BodyText"/>
        <w:spacing w:before="2"/>
        <w:rPr>
          <w:sz w:val="27"/>
        </w:rPr>
      </w:pPr>
    </w:p>
    <w:p>
      <w:pPr>
        <w:spacing w:after="0"/>
        <w:rPr>
          <w:sz w:val="27"/>
        </w:rPr>
        <w:sectPr>
          <w:pgSz w:w="12240" w:h="15840"/>
          <w:pgMar w:top="1400" w:bottom="280" w:left="1700" w:right="1580"/>
        </w:sectPr>
      </w:pPr>
    </w:p>
    <w:p>
      <w:pPr>
        <w:pStyle w:val="Heading2"/>
        <w:numPr>
          <w:ilvl w:val="1"/>
          <w:numId w:val="8"/>
        </w:numPr>
        <w:tabs>
          <w:tab w:pos="846" w:val="left" w:leader="none"/>
          <w:tab w:pos="847" w:val="left" w:leader="none"/>
        </w:tabs>
        <w:spacing w:line="273" w:lineRule="exact" w:before="34" w:after="0"/>
        <w:ind w:left="846" w:right="0" w:hanging="746"/>
        <w:jc w:val="left"/>
      </w:pPr>
      <w:r>
        <w:rPr>
          <w:w w:val="95"/>
        </w:rPr>
        <w:t>轻微脑中风后遗</w:t>
      </w:r>
    </w:p>
    <w:p>
      <w:pPr>
        <w:spacing w:line="273" w:lineRule="exact" w:before="0"/>
        <w:ind w:left="0" w:right="416" w:firstLine="0"/>
        <w:jc w:val="center"/>
        <w:rPr>
          <w:b/>
          <w:sz w:val="21"/>
        </w:rPr>
      </w:pPr>
      <w:r>
        <w:rPr>
          <w:b/>
          <w:w w:val="99"/>
          <w:sz w:val="21"/>
        </w:rPr>
        <w:t>症</w:t>
      </w:r>
    </w:p>
    <w:p>
      <w:pPr>
        <w:pStyle w:val="BodyText"/>
        <w:spacing w:line="237" w:lineRule="auto" w:before="37"/>
        <w:ind w:left="100" w:right="216"/>
        <w:jc w:val="both"/>
      </w:pPr>
      <w:r>
        <w:rPr/>
        <w:br w:type="column"/>
      </w:r>
      <w:r>
        <w:rPr>
          <w:spacing w:val="5"/>
        </w:rPr>
        <w:t>指被保险人实际发生了脑血管的突发病变并出现神经系统功能障</w:t>
      </w:r>
      <w:r>
        <w:rPr>
          <w:spacing w:val="-3"/>
          <w:w w:val="99"/>
        </w:rPr>
        <w:t>碍表现，头颅断层扫描</w:t>
      </w:r>
      <w:r>
        <w:rPr>
          <w:spacing w:val="-1"/>
          <w:w w:val="99"/>
        </w:rPr>
        <w:t>（</w:t>
      </w:r>
      <w:r>
        <w:rPr>
          <w:spacing w:val="0"/>
          <w:w w:val="99"/>
        </w:rPr>
        <w:t>CT</w:t>
      </w:r>
      <w:r>
        <w:rPr>
          <w:spacing w:val="-106"/>
          <w:w w:val="99"/>
        </w:rPr>
        <w:t>）</w:t>
      </w:r>
      <w:r>
        <w:rPr>
          <w:spacing w:val="-2"/>
          <w:w w:val="99"/>
        </w:rPr>
        <w:t>、核磁共振检查</w:t>
      </w:r>
      <w:r>
        <w:rPr>
          <w:spacing w:val="-1"/>
          <w:w w:val="99"/>
        </w:rPr>
        <w:t>（</w:t>
      </w:r>
      <w:r>
        <w:rPr>
          <w:spacing w:val="0"/>
          <w:w w:val="99"/>
        </w:rPr>
        <w:t>MR</w:t>
      </w:r>
      <w:r>
        <w:rPr>
          <w:spacing w:val="-2"/>
          <w:w w:val="99"/>
        </w:rPr>
        <w:t>I</w:t>
      </w:r>
      <w:r>
        <w:rPr>
          <w:spacing w:val="-5"/>
          <w:w w:val="99"/>
        </w:rPr>
        <w:t>）</w:t>
      </w:r>
      <w:r>
        <w:rPr>
          <w:spacing w:val="-1"/>
          <w:w w:val="99"/>
        </w:rPr>
        <w:t>等影像学检查</w:t>
      </w:r>
      <w:r>
        <w:rPr>
          <w:spacing w:val="-17"/>
        </w:rPr>
        <w:t>证实存在对应病灶，确诊为脑出血、脑栓塞或者脑梗塞，在确诊 </w:t>
      </w:r>
      <w:r>
        <w:rPr/>
        <w:t>180 </w:t>
      </w:r>
      <w:r>
        <w:rPr>
          <w:spacing w:val="-3"/>
          <w:w w:val="95"/>
        </w:rPr>
        <w:t>天后遗留神经系统功能障碍。后遗的神经系统功能障碍程度虽未达  </w:t>
      </w:r>
      <w:r>
        <w:rPr>
          <w:spacing w:val="-6"/>
          <w:w w:val="95"/>
        </w:rPr>
        <w:t>到本合同重大疾病“脑中风后遗症”的给付标准，但遗留的神经系  统功能障碍须满足下列一种或者一种以上障碍：</w:t>
      </w:r>
    </w:p>
    <w:p>
      <w:pPr>
        <w:pStyle w:val="BodyText"/>
        <w:spacing w:line="237" w:lineRule="auto" w:before="61"/>
        <w:ind w:left="820" w:right="219" w:hanging="720"/>
      </w:pPr>
      <w:r>
        <w:rPr/>
        <w:t>（1） 一肢或者一肢以上肢体机能部分丧失，其肢体肌力为Ⅲ级, </w:t>
      </w:r>
      <w:r>
        <w:rPr>
          <w:w w:val="95"/>
        </w:rPr>
        <w:t>或者小于Ⅲ级；</w:t>
      </w:r>
    </w:p>
    <w:p>
      <w:pPr>
        <w:spacing w:after="0" w:line="237" w:lineRule="auto"/>
        <w:sectPr>
          <w:type w:val="continuous"/>
          <w:pgSz w:w="12240" w:h="15840"/>
          <w:pgMar w:top="900" w:bottom="280" w:left="1700" w:right="1580"/>
          <w:cols w:num="2" w:equalWidth="0">
            <w:col w:w="2321" w:space="259"/>
            <w:col w:w="6380"/>
          </w:cols>
        </w:sectPr>
      </w:pPr>
    </w:p>
    <w:p>
      <w:pPr>
        <w:pStyle w:val="BodyText"/>
        <w:spacing w:before="4"/>
        <w:ind w:left="3400" w:right="217" w:hanging="720"/>
      </w:pPr>
      <w:r>
        <w:rPr/>
        <w:t>（2） 自主生活能力部分丧失，无法独立完成六项基本日常生活</w:t>
      </w:r>
      <w:r>
        <w:rPr>
          <w:w w:val="95"/>
        </w:rPr>
        <w:t>活动中的两项或者两项以上。</w:t>
      </w:r>
    </w:p>
    <w:p>
      <w:pPr>
        <w:pStyle w:val="BodyText"/>
        <w:spacing w:before="12"/>
        <w:rPr>
          <w:sz w:val="29"/>
        </w:rPr>
      </w:pPr>
    </w:p>
    <w:p>
      <w:pPr>
        <w:pStyle w:val="ListParagraph"/>
        <w:numPr>
          <w:ilvl w:val="1"/>
          <w:numId w:val="8"/>
        </w:numPr>
        <w:tabs>
          <w:tab w:pos="846" w:val="left" w:leader="none"/>
          <w:tab w:pos="847" w:val="left" w:leader="none"/>
          <w:tab w:pos="2679" w:val="left" w:leader="none"/>
        </w:tabs>
        <w:spacing w:line="237" w:lineRule="auto" w:before="0" w:after="0"/>
        <w:ind w:left="2680" w:right="217" w:hanging="2580"/>
        <w:jc w:val="left"/>
        <w:rPr>
          <w:rFonts w:ascii="黑体" w:eastAsia="黑体" w:hint="eastAsia"/>
          <w:sz w:val="21"/>
        </w:rPr>
      </w:pPr>
      <w:r>
        <w:rPr>
          <w:b/>
          <w:sz w:val="21"/>
        </w:rPr>
        <w:t>轻度颅脑手术</w:t>
        <w:tab/>
      </w:r>
      <w:r>
        <w:rPr>
          <w:spacing w:val="5"/>
          <w:w w:val="95"/>
          <w:sz w:val="21"/>
        </w:rPr>
        <w:t>因</w:t>
      </w:r>
      <w:r>
        <w:rPr>
          <w:spacing w:val="7"/>
          <w:w w:val="95"/>
          <w:sz w:val="21"/>
        </w:rPr>
        <w:t>疾</w:t>
      </w:r>
      <w:r>
        <w:rPr>
          <w:spacing w:val="5"/>
          <w:w w:val="95"/>
          <w:sz w:val="21"/>
        </w:rPr>
        <w:t>病被保</w:t>
      </w:r>
      <w:r>
        <w:rPr>
          <w:spacing w:val="7"/>
          <w:w w:val="95"/>
          <w:sz w:val="21"/>
        </w:rPr>
        <w:t>险</w:t>
      </w:r>
      <w:r>
        <w:rPr>
          <w:spacing w:val="5"/>
          <w:w w:val="95"/>
          <w:sz w:val="21"/>
        </w:rPr>
        <w:t>人确</w:t>
      </w:r>
      <w:r>
        <w:rPr>
          <w:spacing w:val="7"/>
          <w:w w:val="95"/>
          <w:sz w:val="21"/>
        </w:rPr>
        <w:t>已</w:t>
      </w:r>
      <w:r>
        <w:rPr>
          <w:spacing w:val="5"/>
          <w:w w:val="95"/>
          <w:sz w:val="21"/>
        </w:rPr>
        <w:t>实施</w:t>
      </w:r>
      <w:r>
        <w:rPr>
          <w:spacing w:val="7"/>
          <w:w w:val="95"/>
          <w:sz w:val="21"/>
        </w:rPr>
        <w:t>全</w:t>
      </w:r>
      <w:r>
        <w:rPr>
          <w:spacing w:val="5"/>
          <w:w w:val="95"/>
          <w:sz w:val="21"/>
        </w:rPr>
        <w:t>麻下的</w:t>
      </w:r>
      <w:r>
        <w:rPr>
          <w:spacing w:val="7"/>
          <w:w w:val="95"/>
          <w:sz w:val="21"/>
        </w:rPr>
        <w:t>颅</w:t>
      </w:r>
      <w:r>
        <w:rPr>
          <w:spacing w:val="5"/>
          <w:w w:val="95"/>
          <w:sz w:val="21"/>
        </w:rPr>
        <w:t>骨钻</w:t>
      </w:r>
      <w:r>
        <w:rPr>
          <w:spacing w:val="7"/>
          <w:w w:val="95"/>
          <w:sz w:val="21"/>
        </w:rPr>
        <w:t>孔</w:t>
      </w:r>
      <w:r>
        <w:rPr>
          <w:spacing w:val="5"/>
          <w:w w:val="95"/>
          <w:sz w:val="21"/>
        </w:rPr>
        <w:t>手术或</w:t>
      </w:r>
      <w:r>
        <w:rPr>
          <w:spacing w:val="7"/>
          <w:w w:val="95"/>
          <w:sz w:val="21"/>
        </w:rPr>
        <w:t>者</w:t>
      </w:r>
      <w:r>
        <w:rPr>
          <w:spacing w:val="5"/>
          <w:w w:val="95"/>
          <w:sz w:val="21"/>
        </w:rPr>
        <w:t>经鼻</w:t>
      </w:r>
      <w:r>
        <w:rPr>
          <w:spacing w:val="7"/>
          <w:w w:val="95"/>
          <w:sz w:val="21"/>
        </w:rPr>
        <w:t>蝶</w:t>
      </w:r>
      <w:r>
        <w:rPr>
          <w:spacing w:val="5"/>
          <w:w w:val="95"/>
          <w:sz w:val="21"/>
        </w:rPr>
        <w:t>窦</w:t>
      </w:r>
      <w:r>
        <w:rPr>
          <w:w w:val="95"/>
          <w:sz w:val="21"/>
        </w:rPr>
        <w:t>入   颅手术。</w:t>
      </w:r>
      <w:r>
        <w:rPr>
          <w:rFonts w:ascii="黑体" w:eastAsia="黑体" w:hint="eastAsia"/>
          <w:w w:val="95"/>
          <w:sz w:val="21"/>
        </w:rPr>
        <w:t>因外伤而实施的脑外科手术不在保障范围内。</w:t>
      </w:r>
    </w:p>
    <w:p>
      <w:pPr>
        <w:pStyle w:val="BodyText"/>
        <w:spacing w:before="1"/>
        <w:rPr>
          <w:rFonts w:ascii="黑体"/>
          <w:sz w:val="27"/>
        </w:rPr>
      </w:pPr>
    </w:p>
    <w:p>
      <w:pPr>
        <w:spacing w:after="0"/>
        <w:rPr>
          <w:rFonts w:ascii="黑体"/>
          <w:sz w:val="27"/>
        </w:rPr>
        <w:sectPr>
          <w:pgSz w:w="12240" w:h="15840"/>
          <w:pgMar w:top="1460" w:bottom="280" w:left="1700" w:right="1580"/>
        </w:sectPr>
      </w:pPr>
    </w:p>
    <w:p>
      <w:pPr>
        <w:pStyle w:val="Heading2"/>
        <w:numPr>
          <w:ilvl w:val="1"/>
          <w:numId w:val="8"/>
        </w:numPr>
        <w:tabs>
          <w:tab w:pos="846" w:val="left" w:leader="none"/>
          <w:tab w:pos="847" w:val="left" w:leader="none"/>
        </w:tabs>
        <w:spacing w:line="274" w:lineRule="exact" w:before="35" w:after="0"/>
        <w:ind w:left="846" w:right="0" w:hanging="746"/>
        <w:jc w:val="left"/>
      </w:pPr>
      <w:r>
        <w:rPr>
          <w:w w:val="95"/>
        </w:rPr>
        <w:t>次级严重脑部外</w:t>
      </w:r>
    </w:p>
    <w:p>
      <w:pPr>
        <w:spacing w:line="274" w:lineRule="exact" w:before="0"/>
        <w:ind w:left="0" w:right="416" w:firstLine="0"/>
        <w:jc w:val="center"/>
        <w:rPr>
          <w:b/>
          <w:sz w:val="21"/>
        </w:rPr>
      </w:pPr>
      <w:r>
        <w:rPr>
          <w:b/>
          <w:w w:val="99"/>
          <w:sz w:val="21"/>
        </w:rPr>
        <w:t>伤</w:t>
      </w:r>
    </w:p>
    <w:p>
      <w:pPr>
        <w:pStyle w:val="BodyText"/>
        <w:spacing w:line="237" w:lineRule="auto" w:before="37"/>
        <w:ind w:left="100" w:right="109"/>
        <w:rPr>
          <w:rFonts w:ascii="黑体" w:hAnsi="黑体" w:eastAsia="黑体" w:hint="eastAsia"/>
        </w:rPr>
      </w:pPr>
      <w:r>
        <w:rPr/>
        <w:br w:type="column"/>
      </w:r>
      <w:r>
        <w:rPr>
          <w:spacing w:val="-3"/>
        </w:rPr>
        <w:t>指因头部遭受机械性外力伤害，引起脑重要部位损伤，并且由头颅</w:t>
      </w:r>
      <w:r>
        <w:rPr>
          <w:spacing w:val="-23"/>
          <w:w w:val="99"/>
        </w:rPr>
        <w:t>断层扫描</w:t>
      </w:r>
      <w:r>
        <w:rPr>
          <w:spacing w:val="-1"/>
          <w:w w:val="99"/>
        </w:rPr>
        <w:t>（</w:t>
      </w:r>
      <w:r>
        <w:rPr>
          <w:spacing w:val="0"/>
          <w:w w:val="99"/>
        </w:rPr>
        <w:t>C</w:t>
      </w:r>
      <w:r>
        <w:rPr>
          <w:spacing w:val="-2"/>
          <w:w w:val="99"/>
        </w:rPr>
        <w:t>T</w:t>
      </w:r>
      <w:r>
        <w:rPr>
          <w:spacing w:val="-104"/>
          <w:w w:val="99"/>
        </w:rPr>
        <w:t>）</w:t>
      </w:r>
      <w:r>
        <w:rPr>
          <w:spacing w:val="-26"/>
          <w:w w:val="99"/>
        </w:rPr>
        <w:t>、核磁共振检查</w:t>
      </w:r>
      <w:r>
        <w:rPr>
          <w:spacing w:val="-3"/>
          <w:w w:val="99"/>
        </w:rPr>
        <w:t>（</w:t>
      </w:r>
      <w:r>
        <w:rPr>
          <w:spacing w:val="0"/>
          <w:w w:val="99"/>
        </w:rPr>
        <w:t>MRI</w:t>
      </w:r>
      <w:r>
        <w:rPr>
          <w:spacing w:val="-89"/>
          <w:w w:val="99"/>
        </w:rPr>
        <w:t>）</w:t>
      </w:r>
      <w:r>
        <w:rPr>
          <w:spacing w:val="-9"/>
          <w:w w:val="99"/>
        </w:rPr>
        <w:t>或者正电子发射断层扫描</w:t>
      </w:r>
      <w:r>
        <w:rPr>
          <w:spacing w:val="-1"/>
          <w:w w:val="99"/>
        </w:rPr>
        <w:t>（</w:t>
      </w:r>
      <w:r>
        <w:rPr>
          <w:spacing w:val="0"/>
          <w:w w:val="99"/>
        </w:rPr>
        <w:t>PET</w:t>
      </w:r>
      <w:r>
        <w:rPr>
          <w:w w:val="99"/>
        </w:rPr>
        <w:t>）</w:t>
      </w:r>
      <w:r>
        <w:rPr>
          <w:spacing w:val="-3"/>
        </w:rPr>
        <w:t>等影像学检查证实。头部外伤导致神经系统功能障碍，虽然未达到</w:t>
      </w:r>
      <w:r>
        <w:rPr>
          <w:spacing w:val="-6"/>
        </w:rPr>
        <w:t>本合同重大疾病“严重脑损伤”的给付标准，</w:t>
      </w:r>
      <w:r>
        <w:rPr>
          <w:rFonts w:ascii="黑体" w:hAnsi="黑体" w:eastAsia="黑体" w:hint="eastAsia"/>
        </w:rPr>
        <w:t>但须满足下列条件之</w:t>
      </w:r>
      <w:r>
        <w:rPr>
          <w:rFonts w:ascii="黑体" w:hAnsi="黑体" w:eastAsia="黑体" w:hint="eastAsia"/>
          <w:spacing w:val="-1"/>
          <w:w w:val="95"/>
        </w:rPr>
        <w:t>一：</w:t>
      </w:r>
    </w:p>
    <w:p>
      <w:pPr>
        <w:pStyle w:val="ListParagraph"/>
        <w:numPr>
          <w:ilvl w:val="0"/>
          <w:numId w:val="67"/>
        </w:numPr>
        <w:tabs>
          <w:tab w:pos="820" w:val="left" w:leader="none"/>
        </w:tabs>
        <w:spacing w:line="240" w:lineRule="auto" w:before="55" w:after="0"/>
        <w:ind w:left="820" w:right="218" w:hanging="720"/>
        <w:jc w:val="left"/>
        <w:rPr>
          <w:sz w:val="21"/>
        </w:rPr>
      </w:pPr>
      <w:r>
        <w:rPr>
          <w:spacing w:val="10"/>
          <w:sz w:val="21"/>
        </w:rPr>
        <w:t>已接受全麻下的颅骨切开颅内血肿清除术或者颅骨钻孔</w:t>
      </w:r>
      <w:r>
        <w:rPr>
          <w:spacing w:val="-1"/>
          <w:w w:val="95"/>
          <w:sz w:val="21"/>
        </w:rPr>
        <w:t>术；</w:t>
      </w:r>
    </w:p>
    <w:p>
      <w:pPr>
        <w:pStyle w:val="ListParagraph"/>
        <w:numPr>
          <w:ilvl w:val="0"/>
          <w:numId w:val="67"/>
        </w:numPr>
        <w:tabs>
          <w:tab w:pos="820" w:val="left" w:leader="none"/>
        </w:tabs>
        <w:spacing w:line="240" w:lineRule="auto" w:before="55" w:after="0"/>
        <w:ind w:left="820" w:right="112" w:hanging="720"/>
        <w:jc w:val="left"/>
        <w:rPr>
          <w:sz w:val="21"/>
        </w:rPr>
      </w:pPr>
      <w:r>
        <w:rPr>
          <w:spacing w:val="-11"/>
          <w:sz w:val="21"/>
        </w:rPr>
        <w:t>在遭受外伤 </w:t>
      </w:r>
      <w:r>
        <w:rPr>
          <w:sz w:val="21"/>
        </w:rPr>
        <w:t>180</w:t>
      </w:r>
      <w:r>
        <w:rPr>
          <w:spacing w:val="-9"/>
          <w:sz w:val="21"/>
        </w:rPr>
        <w:t> 天后一肢或者一肢以上肢体机能部分丧失， </w:t>
      </w:r>
      <w:r>
        <w:rPr>
          <w:spacing w:val="-9"/>
          <w:w w:val="95"/>
          <w:sz w:val="21"/>
        </w:rPr>
        <w:t>其肢体肌力为Ⅲ级，或者小于Ⅲ级。</w:t>
      </w:r>
    </w:p>
    <w:p>
      <w:pPr>
        <w:spacing w:after="0" w:line="240" w:lineRule="auto"/>
        <w:jc w:val="left"/>
        <w:rPr>
          <w:sz w:val="21"/>
        </w:rPr>
        <w:sectPr>
          <w:type w:val="continuous"/>
          <w:pgSz w:w="12240" w:h="15840"/>
          <w:pgMar w:top="900" w:bottom="280" w:left="1700" w:right="1580"/>
          <w:cols w:num="2" w:equalWidth="0">
            <w:col w:w="2321" w:space="259"/>
            <w:col w:w="6380"/>
          </w:cols>
        </w:sectPr>
      </w:pPr>
    </w:p>
    <w:p>
      <w:pPr>
        <w:pStyle w:val="BodyText"/>
        <w:spacing w:before="1"/>
        <w:rPr>
          <w:sz w:val="27"/>
        </w:rPr>
      </w:pPr>
    </w:p>
    <w:p>
      <w:pPr>
        <w:pStyle w:val="ListParagraph"/>
        <w:numPr>
          <w:ilvl w:val="1"/>
          <w:numId w:val="8"/>
        </w:numPr>
        <w:tabs>
          <w:tab w:pos="847" w:val="left" w:leader="none"/>
        </w:tabs>
        <w:spacing w:line="230" w:lineRule="auto" w:before="46" w:after="0"/>
        <w:ind w:left="2680" w:right="217" w:hanging="2580"/>
        <w:jc w:val="both"/>
        <w:rPr>
          <w:rFonts w:ascii="黑体" w:eastAsia="黑体" w:hint="eastAsia"/>
          <w:sz w:val="21"/>
        </w:rPr>
      </w:pPr>
      <w:r>
        <w:rPr>
          <w:b/>
          <w:spacing w:val="10"/>
          <w:w w:val="105"/>
          <w:sz w:val="21"/>
        </w:rPr>
        <w:t>面部重建手术 </w:t>
      </w:r>
      <w:r>
        <w:rPr>
          <w:w w:val="105"/>
          <w:sz w:val="21"/>
        </w:rPr>
        <w:t>确实进</w:t>
      </w:r>
      <w:r>
        <w:rPr>
          <w:rFonts w:ascii="Times New Roman" w:eastAsia="Times New Roman"/>
          <w:w w:val="105"/>
          <w:sz w:val="21"/>
        </w:rPr>
        <w:t>行</w:t>
      </w:r>
      <w:r>
        <w:rPr>
          <w:spacing w:val="-2"/>
          <w:w w:val="105"/>
          <w:sz w:val="21"/>
        </w:rPr>
        <w:t>整形或者重建手术</w:t>
      </w:r>
      <w:r>
        <w:rPr>
          <w:w w:val="105"/>
          <w:sz w:val="21"/>
        </w:rPr>
        <w:t>（颈部以上的面部构造</w:t>
      </w:r>
      <w:r>
        <w:rPr>
          <w:rFonts w:ascii="Times New Roman" w:eastAsia="Times New Roman"/>
          <w:w w:val="105"/>
          <w:sz w:val="21"/>
        </w:rPr>
        <w:t>不</w:t>
      </w:r>
      <w:r>
        <w:rPr>
          <w:spacing w:val="-22"/>
          <w:w w:val="105"/>
          <w:sz w:val="21"/>
        </w:rPr>
        <w:t>完整、缺掉或</w:t>
      </w:r>
      <w:r>
        <w:rPr>
          <w:spacing w:val="1"/>
          <w:w w:val="99"/>
          <w:sz w:val="21"/>
        </w:rPr>
        <w:t>者受损而对其形态及外观进</w:t>
      </w:r>
      <w:r>
        <w:rPr>
          <w:rFonts w:ascii="Times New Roman" w:eastAsia="Times New Roman"/>
          <w:spacing w:val="3"/>
          <w:w w:val="127"/>
          <w:sz w:val="21"/>
        </w:rPr>
        <w:t>行</w:t>
      </w:r>
      <w:r>
        <w:rPr>
          <w:spacing w:val="1"/>
          <w:w w:val="99"/>
          <w:sz w:val="21"/>
        </w:rPr>
        <w:t>修复或者重建</w:t>
      </w:r>
      <w:r>
        <w:rPr>
          <w:spacing w:val="-101"/>
          <w:w w:val="99"/>
          <w:sz w:val="21"/>
        </w:rPr>
        <w:t>）</w:t>
      </w:r>
      <w:r>
        <w:rPr>
          <w:spacing w:val="-5"/>
          <w:w w:val="99"/>
          <w:sz w:val="21"/>
        </w:rPr>
        <w:t>，同时必须由专科医</w:t>
      </w:r>
      <w:r>
        <w:rPr>
          <w:spacing w:val="-2"/>
          <w:w w:val="95"/>
          <w:sz w:val="21"/>
        </w:rPr>
        <w:t>生认为该面部毁容是需要接受住院治疗，及其后接受该手术，而对 </w:t>
      </w:r>
      <w:r>
        <w:rPr>
          <w:spacing w:val="-2"/>
          <w:sz w:val="21"/>
        </w:rPr>
        <w:t>该面部毁容所进</w:t>
      </w:r>
      <w:r>
        <w:rPr>
          <w:rFonts w:ascii="Times New Roman" w:eastAsia="Times New Roman"/>
          <w:spacing w:val="-2"/>
          <w:sz w:val="21"/>
        </w:rPr>
        <w:t>行</w:t>
      </w:r>
      <w:r>
        <w:rPr>
          <w:spacing w:val="-4"/>
          <w:sz w:val="21"/>
        </w:rPr>
        <w:t>的治疗亦是医疗所需。</w:t>
      </w:r>
      <w:r>
        <w:rPr>
          <w:rFonts w:ascii="黑体" w:eastAsia="黑体" w:hint="eastAsia"/>
          <w:spacing w:val="-7"/>
          <w:sz w:val="21"/>
        </w:rPr>
        <w:t>因纯粹整容原因、独立的</w:t>
      </w:r>
      <w:r>
        <w:rPr>
          <w:rFonts w:ascii="黑体" w:eastAsia="黑体" w:hint="eastAsia"/>
          <w:spacing w:val="-5"/>
          <w:w w:val="95"/>
          <w:sz w:val="21"/>
        </w:rPr>
        <w:t>牙齿修复、独立的鼻骨折断或者独立的皮肤伤口所进行的手术均不  在保障范围内。</w:t>
      </w:r>
    </w:p>
    <w:p>
      <w:pPr>
        <w:pStyle w:val="BodyText"/>
        <w:spacing w:before="1"/>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8"/>
        </w:numPr>
        <w:tabs>
          <w:tab w:pos="846" w:val="left" w:leader="none"/>
          <w:tab w:pos="847" w:val="left" w:leader="none"/>
        </w:tabs>
        <w:spacing w:line="274" w:lineRule="exact" w:before="35" w:after="0"/>
        <w:ind w:left="846" w:right="0" w:hanging="746"/>
        <w:jc w:val="left"/>
      </w:pPr>
      <w:r>
        <w:rPr>
          <w:w w:val="95"/>
        </w:rPr>
        <w:t>双侧睾丸切除手</w:t>
      </w:r>
    </w:p>
    <w:p>
      <w:pPr>
        <w:spacing w:line="274" w:lineRule="exact" w:before="0"/>
        <w:ind w:left="0" w:right="416" w:firstLine="0"/>
        <w:jc w:val="center"/>
        <w:rPr>
          <w:b/>
          <w:sz w:val="21"/>
        </w:rPr>
      </w:pPr>
      <w:r>
        <w:rPr>
          <w:b/>
          <w:w w:val="99"/>
          <w:sz w:val="21"/>
        </w:rPr>
        <w:t>术</w:t>
      </w:r>
    </w:p>
    <w:p>
      <w:pPr>
        <w:pStyle w:val="BodyText"/>
        <w:spacing w:before="35"/>
        <w:ind w:left="100" w:right="220"/>
        <w:rPr>
          <w:rFonts w:ascii="黑体" w:eastAsia="黑体" w:hint="eastAsia"/>
        </w:rPr>
      </w:pPr>
      <w:r>
        <w:rPr/>
        <w:br w:type="column"/>
      </w:r>
      <w:r>
        <w:rPr>
          <w:spacing w:val="-2"/>
          <w:w w:val="95"/>
        </w:rPr>
        <w:t>因疾病或者意外伤害导致接受了双侧睾丸完全切除手术。</w:t>
      </w:r>
      <w:r>
        <w:rPr>
          <w:rFonts w:ascii="黑体" w:eastAsia="黑体" w:hint="eastAsia"/>
          <w:w w:val="95"/>
        </w:rPr>
        <w:t>部分睾丸  切除不在保障范围内。</w:t>
      </w:r>
    </w:p>
    <w:p>
      <w:pPr>
        <w:spacing w:after="0"/>
        <w:rPr>
          <w:rFonts w:ascii="黑体" w:eastAsia="黑体" w:hint="eastAsia"/>
        </w:rPr>
        <w:sectPr>
          <w:type w:val="continuous"/>
          <w:pgSz w:w="12240" w:h="15840"/>
          <w:pgMar w:top="900" w:bottom="280" w:left="1700" w:right="1580"/>
          <w:cols w:num="2" w:equalWidth="0">
            <w:col w:w="2321" w:space="259"/>
            <w:col w:w="6380"/>
          </w:cols>
        </w:sectPr>
      </w:pPr>
    </w:p>
    <w:p>
      <w:pPr>
        <w:pStyle w:val="BodyText"/>
        <w:spacing w:before="2"/>
        <w:rPr>
          <w:rFonts w:ascii="黑体"/>
          <w:sz w:val="27"/>
        </w:rPr>
      </w:pPr>
    </w:p>
    <w:p>
      <w:pPr>
        <w:pStyle w:val="ListParagraph"/>
        <w:numPr>
          <w:ilvl w:val="1"/>
          <w:numId w:val="8"/>
        </w:numPr>
        <w:tabs>
          <w:tab w:pos="847" w:val="left" w:leader="none"/>
        </w:tabs>
        <w:spacing w:line="237" w:lineRule="auto" w:before="37" w:after="0"/>
        <w:ind w:left="2680" w:right="220" w:hanging="2580"/>
        <w:jc w:val="both"/>
        <w:rPr>
          <w:rFonts w:ascii="黑体" w:eastAsia="黑体" w:hint="eastAsia"/>
          <w:sz w:val="21"/>
        </w:rPr>
      </w:pPr>
      <w:r>
        <w:rPr>
          <w:b/>
          <w:spacing w:val="0"/>
          <w:sz w:val="21"/>
        </w:rPr>
        <w:t>肾脏切除        </w:t>
      </w:r>
      <w:r>
        <w:rPr>
          <w:spacing w:val="-2"/>
          <w:sz w:val="21"/>
        </w:rPr>
        <w:t>因疾病或者意外伤害导致至少单侧肾切除。</w:t>
      </w:r>
      <w:r>
        <w:rPr>
          <w:rFonts w:ascii="黑体" w:eastAsia="黑体" w:hint="eastAsia"/>
          <w:sz w:val="21"/>
        </w:rPr>
        <w:t>因捐赠肾脏而所需的肾</w:t>
      </w:r>
      <w:r>
        <w:rPr>
          <w:rFonts w:ascii="黑体" w:eastAsia="黑体" w:hint="eastAsia"/>
          <w:w w:val="95"/>
          <w:sz w:val="21"/>
        </w:rPr>
        <w:t>脏切除不在保障范围内。</w:t>
      </w:r>
    </w:p>
    <w:p>
      <w:pPr>
        <w:pStyle w:val="BodyText"/>
        <w:spacing w:before="12"/>
        <w:rPr>
          <w:rFonts w:ascii="黑体"/>
          <w:sz w:val="29"/>
        </w:rPr>
      </w:pPr>
    </w:p>
    <w:p>
      <w:pPr>
        <w:pStyle w:val="ListParagraph"/>
        <w:numPr>
          <w:ilvl w:val="1"/>
          <w:numId w:val="8"/>
        </w:numPr>
        <w:tabs>
          <w:tab w:pos="847" w:val="left" w:leader="none"/>
        </w:tabs>
        <w:spacing w:line="237" w:lineRule="auto" w:before="1" w:after="0"/>
        <w:ind w:left="2680" w:right="217" w:hanging="2580"/>
        <w:jc w:val="both"/>
        <w:rPr>
          <w:sz w:val="21"/>
        </w:rPr>
      </w:pPr>
      <w:r>
        <w:rPr>
          <w:b/>
          <w:spacing w:val="1"/>
          <w:sz w:val="21"/>
        </w:rPr>
        <w:t>单个肢体缺失    </w:t>
      </w:r>
      <w:r>
        <w:rPr>
          <w:spacing w:val="-1"/>
          <w:sz w:val="21"/>
        </w:rPr>
        <w:t>指一个肢体自腕关节或者踝关节近端</w:t>
      </w:r>
      <w:r>
        <w:rPr>
          <w:sz w:val="21"/>
        </w:rPr>
        <w:t>（靠近躯干端</w:t>
      </w:r>
      <w:r>
        <w:rPr>
          <w:spacing w:val="-15"/>
          <w:sz w:val="21"/>
        </w:rPr>
        <w:t>）</w:t>
      </w:r>
      <w:r>
        <w:rPr>
          <w:sz w:val="21"/>
        </w:rPr>
        <w:t>以上完全性断</w:t>
      </w:r>
      <w:r>
        <w:rPr>
          <w:w w:val="95"/>
          <w:sz w:val="21"/>
        </w:rPr>
        <w:t>离，但未达到本合同重大疾病“多个肢体缺失”的标准。</w:t>
      </w:r>
    </w:p>
    <w:p>
      <w:pPr>
        <w:pStyle w:val="BodyText"/>
        <w:spacing w:before="0"/>
        <w:rPr>
          <w:sz w:val="20"/>
        </w:rPr>
      </w:pPr>
    </w:p>
    <w:p>
      <w:pPr>
        <w:pStyle w:val="ListParagraph"/>
        <w:numPr>
          <w:ilvl w:val="1"/>
          <w:numId w:val="8"/>
        </w:numPr>
        <w:tabs>
          <w:tab w:pos="847" w:val="left" w:leader="none"/>
        </w:tabs>
        <w:spacing w:line="237" w:lineRule="auto" w:before="133" w:after="0"/>
        <w:ind w:left="2680" w:right="217" w:hanging="2580"/>
        <w:jc w:val="both"/>
        <w:rPr>
          <w:rFonts w:ascii="黑体" w:eastAsia="黑体" w:hint="eastAsia"/>
          <w:sz w:val="21"/>
        </w:rPr>
      </w:pPr>
      <w:r>
        <w:rPr>
          <w:b/>
          <w:spacing w:val="0"/>
          <w:sz w:val="21"/>
        </w:rPr>
        <w:t>肝叶切除        </w:t>
      </w:r>
      <w:r>
        <w:rPr>
          <w:spacing w:val="-2"/>
          <w:sz w:val="21"/>
        </w:rPr>
        <w:t>因疾病或者意外伤害导致至少一整叶肝脏切除。</w:t>
      </w:r>
      <w:r>
        <w:rPr>
          <w:rFonts w:ascii="黑体" w:eastAsia="黑体" w:hint="eastAsia"/>
          <w:sz w:val="21"/>
        </w:rPr>
        <w:t>因酒精或者滥用药</w:t>
      </w:r>
      <w:r>
        <w:rPr>
          <w:rFonts w:ascii="黑体" w:eastAsia="黑体" w:hint="eastAsia"/>
          <w:spacing w:val="5"/>
          <w:sz w:val="21"/>
        </w:rPr>
        <w:t>物引致的疾病或者紊乱及／或者因捐赠肝脏而所需的肝脏手术均</w:t>
      </w:r>
      <w:r>
        <w:rPr>
          <w:rFonts w:ascii="黑体" w:eastAsia="黑体" w:hint="eastAsia"/>
          <w:spacing w:val="5"/>
          <w:w w:val="95"/>
          <w:sz w:val="21"/>
        </w:rPr>
        <w:t>不在保障范围内。</w:t>
      </w:r>
    </w:p>
    <w:p>
      <w:pPr>
        <w:pStyle w:val="BodyText"/>
        <w:spacing w:before="9"/>
        <w:rPr>
          <w:rFonts w:ascii="黑体"/>
          <w:sz w:val="29"/>
        </w:rPr>
      </w:pPr>
    </w:p>
    <w:p>
      <w:pPr>
        <w:pStyle w:val="ListParagraph"/>
        <w:numPr>
          <w:ilvl w:val="1"/>
          <w:numId w:val="8"/>
        </w:numPr>
        <w:tabs>
          <w:tab w:pos="847" w:val="left" w:leader="none"/>
          <w:tab w:pos="2679" w:val="left" w:leader="none"/>
        </w:tabs>
        <w:spacing w:line="240" w:lineRule="auto" w:before="1" w:after="0"/>
        <w:ind w:left="2680" w:right="220" w:hanging="2580"/>
        <w:jc w:val="both"/>
        <w:rPr>
          <w:rFonts w:ascii="黑体" w:eastAsia="黑体" w:hint="eastAsia"/>
          <w:sz w:val="21"/>
        </w:rPr>
      </w:pPr>
      <w:r>
        <w:rPr>
          <w:b/>
          <w:sz w:val="21"/>
        </w:rPr>
        <w:t>肺切除</w:t>
        <w:tab/>
      </w:r>
      <w:r>
        <w:rPr>
          <w:w w:val="95"/>
          <w:sz w:val="21"/>
        </w:rPr>
        <w:t>因疾病或者意外伤害导致肺部严重损害</w:t>
      </w:r>
      <w:r>
        <w:rPr>
          <w:spacing w:val="-29"/>
          <w:w w:val="95"/>
          <w:sz w:val="21"/>
        </w:rPr>
        <w:t>，</w:t>
      </w:r>
      <w:r>
        <w:rPr>
          <w:w w:val="95"/>
          <w:sz w:val="21"/>
        </w:rPr>
        <w:t>已经实施了单侧全肺切除   手术。</w:t>
      </w:r>
      <w:r>
        <w:rPr>
          <w:rFonts w:ascii="黑体" w:eastAsia="黑体" w:hint="eastAsia"/>
          <w:w w:val="95"/>
          <w:sz w:val="21"/>
        </w:rPr>
        <w:t>下列情况不在保障范围内：</w:t>
      </w:r>
    </w:p>
    <w:p>
      <w:pPr>
        <w:pStyle w:val="ListParagraph"/>
        <w:numPr>
          <w:ilvl w:val="0"/>
          <w:numId w:val="68"/>
        </w:numPr>
        <w:tabs>
          <w:tab w:pos="3400" w:val="left" w:leader="none"/>
        </w:tabs>
        <w:spacing w:line="240" w:lineRule="auto" w:before="56" w:after="0"/>
        <w:ind w:left="3400" w:right="0" w:hanging="720"/>
        <w:jc w:val="left"/>
        <w:rPr>
          <w:sz w:val="21"/>
        </w:rPr>
      </w:pPr>
      <w:r>
        <w:rPr>
          <w:w w:val="95"/>
          <w:sz w:val="21"/>
        </w:rPr>
        <w:t>肺叶切除、肺段切除手术；</w:t>
      </w:r>
    </w:p>
    <w:p>
      <w:pPr>
        <w:pStyle w:val="ListParagraph"/>
        <w:numPr>
          <w:ilvl w:val="0"/>
          <w:numId w:val="68"/>
        </w:numPr>
        <w:tabs>
          <w:tab w:pos="3400" w:val="left" w:leader="none"/>
        </w:tabs>
        <w:spacing w:line="240" w:lineRule="auto" w:before="58" w:after="0"/>
        <w:ind w:left="3400" w:right="0" w:hanging="720"/>
        <w:jc w:val="left"/>
        <w:rPr>
          <w:sz w:val="21"/>
        </w:rPr>
      </w:pPr>
      <w:r>
        <w:rPr>
          <w:w w:val="95"/>
          <w:sz w:val="21"/>
        </w:rPr>
        <w:t>因恶性肿瘤进行的肺切除手术；</w:t>
      </w:r>
    </w:p>
    <w:p>
      <w:pPr>
        <w:pStyle w:val="ListParagraph"/>
        <w:numPr>
          <w:ilvl w:val="0"/>
          <w:numId w:val="68"/>
        </w:numPr>
        <w:tabs>
          <w:tab w:pos="3400" w:val="left" w:leader="none"/>
        </w:tabs>
        <w:spacing w:line="240" w:lineRule="auto" w:before="56" w:after="0"/>
        <w:ind w:left="3400" w:right="0" w:hanging="720"/>
        <w:jc w:val="left"/>
        <w:rPr>
          <w:sz w:val="21"/>
        </w:rPr>
      </w:pPr>
      <w:r>
        <w:rPr>
          <w:w w:val="95"/>
          <w:sz w:val="21"/>
        </w:rPr>
        <w:t>作为器官捐献者而实施的肺切除手术。</w:t>
      </w:r>
    </w:p>
    <w:p>
      <w:pPr>
        <w:spacing w:after="0" w:line="240" w:lineRule="auto"/>
        <w:jc w:val="left"/>
        <w:rPr>
          <w:sz w:val="21"/>
        </w:rPr>
        <w:sectPr>
          <w:type w:val="continuous"/>
          <w:pgSz w:w="12240" w:h="15840"/>
          <w:pgMar w:top="900" w:bottom="280" w:left="1700" w:right="1580"/>
        </w:sectPr>
      </w:pPr>
    </w:p>
    <w:p>
      <w:pPr>
        <w:pStyle w:val="ListParagraph"/>
        <w:numPr>
          <w:ilvl w:val="1"/>
          <w:numId w:val="8"/>
        </w:numPr>
        <w:tabs>
          <w:tab w:pos="847" w:val="left" w:leader="none"/>
        </w:tabs>
        <w:spacing w:line="237" w:lineRule="auto" w:before="7" w:after="0"/>
        <w:ind w:left="2680" w:right="134" w:hanging="2580"/>
        <w:jc w:val="both"/>
        <w:rPr>
          <w:sz w:val="21"/>
        </w:rPr>
      </w:pPr>
      <w:r>
        <w:rPr>
          <w:b/>
          <w:spacing w:val="0"/>
          <w:sz w:val="21"/>
        </w:rPr>
        <w:t>单耳失聪        </w:t>
      </w:r>
      <w:r>
        <w:rPr>
          <w:spacing w:val="-4"/>
          <w:sz w:val="21"/>
        </w:rPr>
        <w:t>指因疾病或者意外伤害导致单耳听力永久不可逆性丧失，在 </w:t>
      </w:r>
      <w:r>
        <w:rPr>
          <w:sz w:val="21"/>
        </w:rPr>
        <w:t>500</w:t>
      </w:r>
      <w:r>
        <w:rPr>
          <w:spacing w:val="-28"/>
          <w:sz w:val="21"/>
        </w:rPr>
        <w:t> 赫兹、</w:t>
      </w:r>
      <w:r>
        <w:rPr>
          <w:sz w:val="21"/>
        </w:rPr>
        <w:t>1000</w:t>
      </w:r>
      <w:r>
        <w:rPr>
          <w:spacing w:val="-23"/>
          <w:sz w:val="21"/>
        </w:rPr>
        <w:t> 赫兹和 </w:t>
      </w:r>
      <w:r>
        <w:rPr>
          <w:sz w:val="21"/>
        </w:rPr>
        <w:t>2000</w:t>
      </w:r>
      <w:r>
        <w:rPr>
          <w:spacing w:val="-13"/>
          <w:sz w:val="21"/>
        </w:rPr>
        <w:t> 赫兹语音频率下，平均听阈大于 </w:t>
      </w:r>
      <w:r>
        <w:rPr>
          <w:sz w:val="21"/>
        </w:rPr>
        <w:t>90</w:t>
      </w:r>
      <w:r>
        <w:rPr>
          <w:spacing w:val="-17"/>
          <w:sz w:val="21"/>
        </w:rPr>
        <w:t> 分贝，且</w:t>
      </w:r>
      <w:r>
        <w:rPr>
          <w:spacing w:val="-17"/>
          <w:w w:val="95"/>
          <w:sz w:val="21"/>
        </w:rPr>
        <w:t>经纯音听力测试、声导抗检测或者听觉诱发电位检测等证实。</w:t>
      </w:r>
    </w:p>
    <w:p>
      <w:pPr>
        <w:pStyle w:val="BodyText"/>
        <w:spacing w:before="58"/>
        <w:ind w:left="2680"/>
        <w:rPr>
          <w:rFonts w:ascii="黑体" w:eastAsia="黑体" w:hint="eastAsia"/>
        </w:rPr>
      </w:pPr>
      <w:r>
        <w:rPr>
          <w:rFonts w:ascii="黑体" w:eastAsia="黑体" w:hint="eastAsia"/>
        </w:rPr>
        <w:t>被保险人在 3 周岁之前因疾病导致的单耳失聪不在保障范围内。</w:t>
      </w:r>
    </w:p>
    <w:p>
      <w:pPr>
        <w:pStyle w:val="BodyText"/>
        <w:spacing w:before="1"/>
        <w:rPr>
          <w:rFonts w:ascii="黑体"/>
          <w:sz w:val="27"/>
        </w:rPr>
      </w:pPr>
    </w:p>
    <w:p>
      <w:pPr>
        <w:spacing w:after="0"/>
        <w:rPr>
          <w:rFonts w:ascii="黑体"/>
          <w:sz w:val="27"/>
        </w:rPr>
        <w:sectPr>
          <w:pgSz w:w="12240" w:h="15840"/>
          <w:pgMar w:top="1460" w:bottom="280" w:left="1700" w:right="1660"/>
        </w:sectPr>
      </w:pPr>
    </w:p>
    <w:p>
      <w:pPr>
        <w:pStyle w:val="Heading2"/>
        <w:numPr>
          <w:ilvl w:val="1"/>
          <w:numId w:val="8"/>
        </w:numPr>
        <w:tabs>
          <w:tab w:pos="846" w:val="left" w:leader="none"/>
          <w:tab w:pos="847" w:val="left" w:leader="none"/>
        </w:tabs>
        <w:spacing w:line="273" w:lineRule="exact" w:before="35" w:after="0"/>
        <w:ind w:left="846" w:right="0" w:hanging="746"/>
        <w:jc w:val="left"/>
      </w:pPr>
      <w:r>
        <w:rPr>
          <w:w w:val="95"/>
        </w:rPr>
        <w:t>较小面积Ⅲ度烧</w:t>
      </w:r>
    </w:p>
    <w:p>
      <w:pPr>
        <w:spacing w:line="273" w:lineRule="exact" w:before="0"/>
        <w:ind w:left="0" w:right="416" w:firstLine="0"/>
        <w:jc w:val="center"/>
        <w:rPr>
          <w:b/>
          <w:sz w:val="21"/>
        </w:rPr>
      </w:pPr>
      <w:r>
        <w:rPr>
          <w:b/>
          <w:w w:val="99"/>
          <w:sz w:val="21"/>
        </w:rPr>
        <w:t>伤</w:t>
      </w:r>
    </w:p>
    <w:p>
      <w:pPr>
        <w:pStyle w:val="BodyText"/>
        <w:spacing w:line="237" w:lineRule="auto" w:before="38"/>
        <w:ind w:left="100" w:right="136"/>
      </w:pPr>
      <w:r>
        <w:rPr/>
        <w:br w:type="column"/>
      </w:r>
      <w:r>
        <w:rPr>
          <w:spacing w:val="-13"/>
        </w:rPr>
        <w:t>指烧伤程度为Ⅲ度，且Ⅲ度烧伤面积为全身体表面积的 </w:t>
      </w:r>
      <w:r>
        <w:rPr/>
        <w:t>10</w:t>
      </w:r>
      <w:r>
        <w:rPr>
          <w:spacing w:val="-19"/>
        </w:rPr>
        <w:t>%或者 </w:t>
      </w:r>
      <w:r>
        <w:rPr/>
        <w:t>10% </w:t>
      </w:r>
      <w:r>
        <w:rPr>
          <w:spacing w:val="-8"/>
        </w:rPr>
        <w:t>以上，但尚未达到 </w:t>
      </w:r>
      <w:r>
        <w:rPr/>
        <w:t>20%。体表面积根据《中国新九分法》计算。</w:t>
      </w:r>
    </w:p>
    <w:p>
      <w:pPr>
        <w:spacing w:after="0" w:line="237" w:lineRule="auto"/>
        <w:sectPr>
          <w:type w:val="continuous"/>
          <w:pgSz w:w="12240" w:h="15840"/>
          <w:pgMar w:top="900" w:bottom="280" w:left="1700" w:right="1660"/>
          <w:cols w:num="2" w:equalWidth="0">
            <w:col w:w="2321" w:space="259"/>
            <w:col w:w="6300"/>
          </w:cols>
        </w:sectPr>
      </w:pPr>
    </w:p>
    <w:p>
      <w:pPr>
        <w:pStyle w:val="BodyText"/>
        <w:spacing w:before="2"/>
        <w:rPr>
          <w:sz w:val="27"/>
        </w:rPr>
      </w:pPr>
    </w:p>
    <w:p>
      <w:pPr>
        <w:pStyle w:val="ListParagraph"/>
        <w:numPr>
          <w:ilvl w:val="1"/>
          <w:numId w:val="8"/>
        </w:numPr>
        <w:tabs>
          <w:tab w:pos="846" w:val="left" w:leader="none"/>
          <w:tab w:pos="847" w:val="left" w:leader="none"/>
          <w:tab w:pos="2679" w:val="left" w:leader="none"/>
        </w:tabs>
        <w:spacing w:line="273" w:lineRule="exact" w:before="34" w:after="0"/>
        <w:ind w:left="846" w:right="0" w:hanging="746"/>
        <w:jc w:val="left"/>
        <w:rPr>
          <w:sz w:val="21"/>
        </w:rPr>
      </w:pPr>
      <w:r>
        <w:rPr>
          <w:b/>
          <w:sz w:val="21"/>
        </w:rPr>
        <w:t>轻度面部烧伤</w:t>
        <w:tab/>
      </w:r>
      <w:r>
        <w:rPr>
          <w:sz w:val="21"/>
        </w:rPr>
        <w:t>指烧伤程度为Ⅲ度</w:t>
      </w:r>
      <w:r>
        <w:rPr>
          <w:spacing w:val="-82"/>
          <w:sz w:val="21"/>
        </w:rPr>
        <w:t>，</w:t>
      </w:r>
      <w:r>
        <w:rPr>
          <w:sz w:val="21"/>
        </w:rPr>
        <w:t>且Ⅲ度烧伤的面积达到面部表面积的</w:t>
      </w:r>
      <w:r>
        <w:rPr>
          <w:spacing w:val="-67"/>
          <w:sz w:val="21"/>
        </w:rPr>
        <w:t> </w:t>
      </w:r>
      <w:r>
        <w:rPr>
          <w:sz w:val="21"/>
        </w:rPr>
        <w:t>30％或者</w:t>
      </w:r>
    </w:p>
    <w:p>
      <w:pPr>
        <w:pStyle w:val="BodyText"/>
        <w:spacing w:line="273" w:lineRule="exact" w:before="0"/>
        <w:ind w:left="2680"/>
      </w:pPr>
      <w:r>
        <w:rPr/>
        <w:t>30％以上，但未达到面部表面积的 80%。</w:t>
      </w:r>
    </w:p>
    <w:p>
      <w:pPr>
        <w:pStyle w:val="BodyText"/>
        <w:spacing w:before="3"/>
        <w:rPr>
          <w:sz w:val="27"/>
        </w:rPr>
      </w:pPr>
    </w:p>
    <w:p>
      <w:pPr>
        <w:spacing w:after="0"/>
        <w:rPr>
          <w:sz w:val="27"/>
        </w:rPr>
        <w:sectPr>
          <w:type w:val="continuous"/>
          <w:pgSz w:w="12240" w:h="15840"/>
          <w:pgMar w:top="900" w:bottom="280" w:left="1700" w:right="1660"/>
        </w:sectPr>
      </w:pPr>
    </w:p>
    <w:p>
      <w:pPr>
        <w:pStyle w:val="Heading2"/>
        <w:numPr>
          <w:ilvl w:val="1"/>
          <w:numId w:val="8"/>
        </w:numPr>
        <w:tabs>
          <w:tab w:pos="846" w:val="left" w:leader="none"/>
          <w:tab w:pos="847" w:val="left" w:leader="none"/>
        </w:tabs>
        <w:spacing w:line="240" w:lineRule="auto" w:before="34" w:after="0"/>
        <w:ind w:left="846" w:right="0" w:hanging="746"/>
        <w:jc w:val="left"/>
      </w:pPr>
      <w:r>
        <w:rPr>
          <w:w w:val="95"/>
        </w:rPr>
        <w:t>特定的Ⅲ度房室传导阻滞</w:t>
      </w:r>
    </w:p>
    <w:p>
      <w:pPr>
        <w:pStyle w:val="BodyText"/>
        <w:spacing w:before="34"/>
        <w:ind w:left="100" w:right="137"/>
      </w:pPr>
      <w:r>
        <w:rPr/>
        <w:br w:type="column"/>
      </w:r>
      <w:r>
        <w:rPr>
          <w:spacing w:val="-3"/>
          <w:w w:val="95"/>
        </w:rPr>
        <w:t>指心房激动在房室交界区、房室束及其分支内发生阻滞，不能正常  地传到心室的心脏传导性疾病，</w:t>
      </w:r>
      <w:r>
        <w:rPr>
          <w:rFonts w:ascii="黑体" w:eastAsia="黑体" w:hint="eastAsia"/>
          <w:spacing w:val="-3"/>
          <w:w w:val="95"/>
        </w:rPr>
        <w:t>且满足下列全部条件</w:t>
      </w:r>
      <w:r>
        <w:rPr>
          <w:spacing w:val="-3"/>
          <w:w w:val="95"/>
        </w:rPr>
        <w:t>：</w:t>
      </w:r>
    </w:p>
    <w:p>
      <w:pPr>
        <w:pStyle w:val="ListParagraph"/>
        <w:numPr>
          <w:ilvl w:val="0"/>
          <w:numId w:val="69"/>
        </w:numPr>
        <w:tabs>
          <w:tab w:pos="820" w:val="left" w:leader="none"/>
        </w:tabs>
        <w:spacing w:line="240" w:lineRule="auto" w:before="56" w:after="0"/>
        <w:ind w:left="820" w:right="0" w:hanging="720"/>
        <w:jc w:val="left"/>
        <w:rPr>
          <w:sz w:val="21"/>
        </w:rPr>
      </w:pPr>
      <w:r>
        <w:rPr>
          <w:sz w:val="21"/>
        </w:rPr>
        <w:t>心电图显示房室搏动彼此独立，心室率&lt;50</w:t>
      </w:r>
      <w:r>
        <w:rPr>
          <w:spacing w:val="-34"/>
          <w:sz w:val="21"/>
        </w:rPr>
        <w:t> 次</w:t>
      </w:r>
      <w:r>
        <w:rPr>
          <w:sz w:val="21"/>
        </w:rPr>
        <w:t>/分钟；</w:t>
      </w:r>
    </w:p>
    <w:p>
      <w:pPr>
        <w:pStyle w:val="ListParagraph"/>
        <w:numPr>
          <w:ilvl w:val="0"/>
          <w:numId w:val="69"/>
        </w:numPr>
        <w:tabs>
          <w:tab w:pos="820" w:val="left" w:leader="none"/>
        </w:tabs>
        <w:spacing w:line="240" w:lineRule="auto" w:before="59" w:after="0"/>
        <w:ind w:left="820" w:right="0" w:hanging="720"/>
        <w:jc w:val="left"/>
        <w:rPr>
          <w:sz w:val="21"/>
        </w:rPr>
      </w:pPr>
      <w:r>
        <w:rPr>
          <w:w w:val="95"/>
          <w:sz w:val="21"/>
        </w:rPr>
        <w:t>出现阿-斯综合征或者心力衰竭的表现；</w:t>
      </w:r>
    </w:p>
    <w:p>
      <w:pPr>
        <w:pStyle w:val="ListParagraph"/>
        <w:numPr>
          <w:ilvl w:val="0"/>
          <w:numId w:val="69"/>
        </w:numPr>
        <w:tabs>
          <w:tab w:pos="820" w:val="left" w:leader="none"/>
        </w:tabs>
        <w:spacing w:line="237" w:lineRule="auto" w:before="59" w:after="0"/>
        <w:ind w:left="820" w:right="137" w:hanging="720"/>
        <w:jc w:val="left"/>
        <w:rPr>
          <w:sz w:val="21"/>
        </w:rPr>
      </w:pPr>
      <w:r>
        <w:rPr>
          <w:spacing w:val="1"/>
          <w:sz w:val="21"/>
        </w:rPr>
        <w:t>必须持续性依赖心脏起搏器维持心脏正常功能，且已经放</w:t>
      </w:r>
      <w:r>
        <w:rPr>
          <w:spacing w:val="1"/>
          <w:w w:val="95"/>
          <w:sz w:val="21"/>
        </w:rPr>
        <w:t>置心脏起搏器。</w:t>
      </w:r>
    </w:p>
    <w:p>
      <w:pPr>
        <w:spacing w:after="0" w:line="237" w:lineRule="auto"/>
        <w:jc w:val="left"/>
        <w:rPr>
          <w:sz w:val="21"/>
        </w:rPr>
        <w:sectPr>
          <w:type w:val="continuous"/>
          <w:pgSz w:w="12240" w:h="15840"/>
          <w:pgMar w:top="900" w:bottom="280" w:left="1700" w:right="1660"/>
          <w:cols w:num="2" w:equalWidth="0">
            <w:col w:w="2321" w:space="259"/>
            <w:col w:w="6300"/>
          </w:cols>
        </w:sectPr>
      </w:pPr>
    </w:p>
    <w:p>
      <w:pPr>
        <w:pStyle w:val="BodyText"/>
        <w:spacing w:before="9"/>
        <w:rPr>
          <w:sz w:val="22"/>
        </w:rPr>
      </w:pPr>
    </w:p>
    <w:p>
      <w:pPr>
        <w:spacing w:after="0"/>
        <w:rPr>
          <w:sz w:val="22"/>
        </w:rPr>
        <w:sectPr>
          <w:type w:val="continuous"/>
          <w:pgSz w:w="12240" w:h="15840"/>
          <w:pgMar w:top="900" w:bottom="280" w:left="1700" w:right="1660"/>
        </w:sectPr>
      </w:pPr>
    </w:p>
    <w:p>
      <w:pPr>
        <w:pStyle w:val="Heading2"/>
        <w:numPr>
          <w:ilvl w:val="1"/>
          <w:numId w:val="8"/>
        </w:numPr>
        <w:tabs>
          <w:tab w:pos="846" w:val="left" w:leader="none"/>
          <w:tab w:pos="847" w:val="left" w:leader="none"/>
        </w:tabs>
        <w:spacing w:line="273" w:lineRule="exact" w:before="35" w:after="0"/>
        <w:ind w:left="846" w:right="0" w:hanging="746"/>
        <w:jc w:val="left"/>
      </w:pPr>
      <w:r>
        <w:rPr>
          <w:w w:val="95"/>
        </w:rPr>
        <w:t>特定的肺功能衰</w:t>
      </w:r>
    </w:p>
    <w:p>
      <w:pPr>
        <w:spacing w:line="273" w:lineRule="exact" w:before="0"/>
        <w:ind w:left="0" w:right="416" w:firstLine="0"/>
        <w:jc w:val="center"/>
        <w:rPr>
          <w:b/>
          <w:sz w:val="21"/>
        </w:rPr>
      </w:pPr>
      <w:r>
        <w:rPr>
          <w:b/>
          <w:w w:val="99"/>
          <w:sz w:val="21"/>
        </w:rPr>
        <w:t>竭</w:t>
      </w:r>
    </w:p>
    <w:p>
      <w:pPr>
        <w:pStyle w:val="BodyText"/>
        <w:spacing w:before="35"/>
        <w:ind w:left="100"/>
        <w:rPr>
          <w:rFonts w:ascii="黑体" w:eastAsia="黑体" w:hint="eastAsia"/>
        </w:rPr>
      </w:pPr>
      <w:r>
        <w:rPr/>
        <w:br w:type="column"/>
      </w:r>
      <w:r>
        <w:rPr>
          <w:w w:val="95"/>
        </w:rPr>
        <w:t>指因慢性呼吸系统疾病导致呼吸功能衰竭，</w:t>
      </w:r>
      <w:r>
        <w:rPr>
          <w:rFonts w:ascii="黑体" w:eastAsia="黑体" w:hint="eastAsia"/>
          <w:w w:val="95"/>
        </w:rPr>
        <w:t>且满足下列全部条件：</w:t>
      </w:r>
    </w:p>
    <w:p>
      <w:pPr>
        <w:pStyle w:val="ListParagraph"/>
        <w:numPr>
          <w:ilvl w:val="0"/>
          <w:numId w:val="70"/>
        </w:numPr>
        <w:tabs>
          <w:tab w:pos="820" w:val="left" w:leader="none"/>
        </w:tabs>
        <w:spacing w:line="240" w:lineRule="auto" w:before="56" w:after="0"/>
        <w:ind w:left="820" w:right="0" w:hanging="720"/>
        <w:jc w:val="left"/>
        <w:rPr>
          <w:sz w:val="21"/>
        </w:rPr>
      </w:pPr>
      <w:r>
        <w:rPr>
          <w:sz w:val="21"/>
        </w:rPr>
        <w:t>第一秒末用力呼吸量（FEV1%）</w:t>
      </w:r>
      <w:r>
        <w:rPr>
          <w:spacing w:val="-20"/>
          <w:sz w:val="21"/>
        </w:rPr>
        <w:t>小于 </w:t>
      </w:r>
      <w:r>
        <w:rPr>
          <w:sz w:val="21"/>
        </w:rPr>
        <w:t>1</w:t>
      </w:r>
      <w:r>
        <w:rPr>
          <w:spacing w:val="-20"/>
          <w:sz w:val="21"/>
        </w:rPr>
        <w:t> 升；</w:t>
      </w:r>
    </w:p>
    <w:p>
      <w:pPr>
        <w:pStyle w:val="ListParagraph"/>
        <w:numPr>
          <w:ilvl w:val="0"/>
          <w:numId w:val="70"/>
        </w:numPr>
        <w:tabs>
          <w:tab w:pos="820" w:val="left" w:leader="none"/>
        </w:tabs>
        <w:spacing w:line="240" w:lineRule="auto" w:before="58" w:after="0"/>
        <w:ind w:left="820" w:right="0" w:hanging="720"/>
        <w:jc w:val="left"/>
        <w:rPr>
          <w:sz w:val="21"/>
        </w:rPr>
      </w:pPr>
      <w:r>
        <w:rPr>
          <w:sz w:val="21"/>
        </w:rPr>
        <w:t>残气容积占肺总量（TLC）</w:t>
      </w:r>
      <w:r>
        <w:rPr>
          <w:spacing w:val="-33"/>
          <w:sz w:val="21"/>
        </w:rPr>
        <w:t>的 </w:t>
      </w:r>
      <w:r>
        <w:rPr>
          <w:sz w:val="21"/>
        </w:rPr>
        <w:t>50%以上；</w:t>
      </w:r>
    </w:p>
    <w:p>
      <w:pPr>
        <w:pStyle w:val="ListParagraph"/>
        <w:numPr>
          <w:ilvl w:val="0"/>
          <w:numId w:val="70"/>
        </w:numPr>
        <w:tabs>
          <w:tab w:pos="820" w:val="left" w:leader="none"/>
        </w:tabs>
        <w:spacing w:line="240" w:lineRule="auto" w:before="55" w:after="0"/>
        <w:ind w:left="820" w:right="0" w:hanging="720"/>
        <w:jc w:val="left"/>
        <w:rPr>
          <w:sz w:val="21"/>
        </w:rPr>
      </w:pPr>
      <w:r>
        <w:rPr>
          <w:spacing w:val="0"/>
          <w:w w:val="99"/>
          <w:sz w:val="21"/>
        </w:rPr>
        <w:t>Pa</w:t>
      </w:r>
      <w:r>
        <w:rPr>
          <w:spacing w:val="-2"/>
          <w:w w:val="99"/>
          <w:sz w:val="21"/>
        </w:rPr>
        <w:t>O</w:t>
      </w:r>
      <w:r>
        <w:rPr>
          <w:spacing w:val="-3"/>
          <w:w w:val="106"/>
          <w:position w:val="-2"/>
          <w:sz w:val="10"/>
        </w:rPr>
        <w:t>2</w:t>
      </w:r>
      <w:r>
        <w:rPr>
          <w:spacing w:val="0"/>
          <w:w w:val="99"/>
          <w:sz w:val="21"/>
        </w:rPr>
        <w:t>&lt;60</w:t>
      </w:r>
      <w:r>
        <w:rPr>
          <w:spacing w:val="-2"/>
          <w:w w:val="99"/>
          <w:sz w:val="21"/>
        </w:rPr>
        <w:t>m</w:t>
      </w:r>
      <w:r>
        <w:rPr>
          <w:spacing w:val="0"/>
          <w:w w:val="99"/>
          <w:sz w:val="21"/>
        </w:rPr>
        <w:t>mHg</w:t>
      </w:r>
      <w:r>
        <w:rPr>
          <w:spacing w:val="-2"/>
          <w:w w:val="99"/>
          <w:sz w:val="21"/>
        </w:rPr>
        <w:t>,</w:t>
      </w:r>
      <w:r>
        <w:rPr>
          <w:spacing w:val="0"/>
          <w:w w:val="99"/>
          <w:sz w:val="21"/>
        </w:rPr>
        <w:t>PaC</w:t>
      </w:r>
      <w:r>
        <w:rPr>
          <w:spacing w:val="-2"/>
          <w:w w:val="99"/>
          <w:sz w:val="21"/>
        </w:rPr>
        <w:t>O</w:t>
      </w:r>
      <w:r>
        <w:rPr>
          <w:spacing w:val="1"/>
          <w:w w:val="106"/>
          <w:position w:val="-2"/>
          <w:sz w:val="10"/>
        </w:rPr>
        <w:t>2</w:t>
      </w:r>
      <w:r>
        <w:rPr>
          <w:spacing w:val="0"/>
          <w:w w:val="99"/>
          <w:sz w:val="21"/>
        </w:rPr>
        <w:t>&gt;5</w:t>
      </w:r>
      <w:r>
        <w:rPr>
          <w:spacing w:val="-2"/>
          <w:w w:val="99"/>
          <w:sz w:val="21"/>
        </w:rPr>
        <w:t>0</w:t>
      </w:r>
      <w:r>
        <w:rPr>
          <w:spacing w:val="0"/>
          <w:w w:val="99"/>
          <w:sz w:val="21"/>
        </w:rPr>
        <w:t>mmH</w:t>
      </w:r>
      <w:r>
        <w:rPr>
          <w:spacing w:val="-2"/>
          <w:w w:val="99"/>
          <w:sz w:val="21"/>
        </w:rPr>
        <w:t>g</w:t>
      </w:r>
      <w:r>
        <w:rPr>
          <w:w w:val="99"/>
          <w:sz w:val="21"/>
        </w:rPr>
        <w:t>。</w:t>
      </w:r>
    </w:p>
    <w:p>
      <w:pPr>
        <w:spacing w:after="0" w:line="240" w:lineRule="auto"/>
        <w:jc w:val="left"/>
        <w:rPr>
          <w:sz w:val="21"/>
        </w:rPr>
        <w:sectPr>
          <w:type w:val="continuous"/>
          <w:pgSz w:w="12240" w:h="15840"/>
          <w:pgMar w:top="900" w:bottom="280" w:left="1700" w:right="1660"/>
          <w:cols w:num="2" w:equalWidth="0">
            <w:col w:w="2321" w:space="259"/>
            <w:col w:w="6300"/>
          </w:cols>
        </w:sectPr>
      </w:pPr>
    </w:p>
    <w:p>
      <w:pPr>
        <w:pStyle w:val="BodyText"/>
        <w:spacing w:before="5"/>
      </w:pPr>
    </w:p>
    <w:p>
      <w:pPr>
        <w:spacing w:after="0"/>
        <w:sectPr>
          <w:type w:val="continuous"/>
          <w:pgSz w:w="12240" w:h="15840"/>
          <w:pgMar w:top="900" w:bottom="280" w:left="1700" w:right="1660"/>
        </w:sectPr>
      </w:pPr>
    </w:p>
    <w:p>
      <w:pPr>
        <w:pStyle w:val="Heading2"/>
        <w:numPr>
          <w:ilvl w:val="1"/>
          <w:numId w:val="8"/>
        </w:numPr>
        <w:tabs>
          <w:tab w:pos="846" w:val="left" w:leader="none"/>
          <w:tab w:pos="847" w:val="left" w:leader="none"/>
        </w:tabs>
        <w:spacing w:line="273" w:lineRule="exact" w:before="35" w:after="0"/>
        <w:ind w:left="846" w:right="0" w:hanging="746"/>
        <w:jc w:val="left"/>
      </w:pPr>
      <w:r>
        <w:rPr>
          <w:w w:val="95"/>
        </w:rPr>
        <w:t>特定的阻塞性睡</w:t>
      </w:r>
    </w:p>
    <w:p>
      <w:pPr>
        <w:spacing w:before="0"/>
        <w:ind w:left="846" w:right="0" w:firstLine="0"/>
        <w:jc w:val="left"/>
        <w:rPr>
          <w:b/>
          <w:sz w:val="21"/>
        </w:rPr>
      </w:pPr>
      <w:r>
        <w:rPr>
          <w:b/>
          <w:w w:val="95"/>
          <w:sz w:val="21"/>
        </w:rPr>
        <w:t>眠呼吸暂停综合</w:t>
      </w:r>
      <w:r>
        <w:rPr>
          <w:b/>
          <w:sz w:val="21"/>
        </w:rPr>
        <w:t>征</w:t>
      </w:r>
    </w:p>
    <w:p>
      <w:pPr>
        <w:pStyle w:val="BodyText"/>
        <w:spacing w:line="237" w:lineRule="auto" w:before="37"/>
        <w:ind w:left="100" w:right="140"/>
        <w:rPr>
          <w:rFonts w:ascii="黑体" w:eastAsia="黑体" w:hint="eastAsia"/>
        </w:rPr>
      </w:pPr>
      <w:r>
        <w:rPr/>
        <w:br w:type="column"/>
      </w:r>
      <w:r>
        <w:rPr>
          <w:spacing w:val="-2"/>
          <w:w w:val="95"/>
        </w:rPr>
        <w:t>指须有相关医学范畴的注册专科医生，经多导睡眠监测仪监测诊断</w:t>
      </w:r>
      <w:r>
        <w:rPr>
          <w:spacing w:val="-1"/>
          <w:w w:val="99"/>
        </w:rPr>
        <w:t>为阻塞性睡眠呼吸暂停综合征</w:t>
      </w:r>
      <w:r>
        <w:rPr>
          <w:spacing w:val="1"/>
          <w:w w:val="99"/>
        </w:rPr>
        <w:t>（</w:t>
      </w:r>
      <w:r>
        <w:rPr>
          <w:spacing w:val="0"/>
          <w:w w:val="99"/>
        </w:rPr>
        <w:t>OS</w:t>
      </w:r>
      <w:r>
        <w:rPr>
          <w:spacing w:val="-2"/>
          <w:w w:val="99"/>
        </w:rPr>
        <w:t>A</w:t>
      </w:r>
      <w:r>
        <w:rPr>
          <w:spacing w:val="-104"/>
          <w:w w:val="99"/>
        </w:rPr>
        <w:t>）</w:t>
      </w:r>
      <w:r>
        <w:rPr>
          <w:spacing w:val="-1"/>
          <w:w w:val="99"/>
        </w:rPr>
        <w:t>，</w:t>
      </w:r>
      <w:r>
        <w:rPr>
          <w:rFonts w:ascii="黑体" w:eastAsia="黑体" w:hint="eastAsia"/>
          <w:spacing w:val="-1"/>
          <w:w w:val="99"/>
        </w:rPr>
        <w:t>且满足下列全部条件：</w:t>
      </w:r>
    </w:p>
    <w:p>
      <w:pPr>
        <w:pStyle w:val="ListParagraph"/>
        <w:numPr>
          <w:ilvl w:val="0"/>
          <w:numId w:val="71"/>
        </w:numPr>
        <w:tabs>
          <w:tab w:pos="820" w:val="left" w:leader="none"/>
        </w:tabs>
        <w:spacing w:line="240" w:lineRule="auto" w:before="58" w:after="0"/>
        <w:ind w:left="820" w:right="0" w:hanging="720"/>
        <w:jc w:val="left"/>
        <w:rPr>
          <w:sz w:val="21"/>
        </w:rPr>
      </w:pPr>
      <w:r>
        <w:rPr>
          <w:w w:val="95"/>
          <w:sz w:val="21"/>
        </w:rPr>
        <w:t>必须正在接受持续正压通气（CPAP）呼吸器之夜间治疗；</w:t>
      </w:r>
    </w:p>
    <w:p>
      <w:pPr>
        <w:pStyle w:val="ListParagraph"/>
        <w:numPr>
          <w:ilvl w:val="0"/>
          <w:numId w:val="71"/>
        </w:numPr>
        <w:tabs>
          <w:tab w:pos="820" w:val="left" w:leader="none"/>
        </w:tabs>
        <w:spacing w:line="225" w:lineRule="auto" w:before="73" w:after="0"/>
        <w:ind w:left="820" w:right="137" w:hanging="720"/>
        <w:jc w:val="left"/>
        <w:rPr>
          <w:sz w:val="21"/>
        </w:rPr>
      </w:pPr>
      <w:r>
        <w:rPr>
          <w:spacing w:val="-6"/>
          <w:sz w:val="21"/>
        </w:rPr>
        <w:t>必须提供睡眠测试的文件证明，显示 </w:t>
      </w:r>
      <w:r>
        <w:rPr>
          <w:sz w:val="21"/>
        </w:rPr>
        <w:t>AHI</w:t>
      </w:r>
      <w:r>
        <w:rPr>
          <w:rFonts w:ascii="Times New Roman" w:hAnsi="Times New Roman" w:eastAsia="Times New Roman"/>
          <w:sz w:val="21"/>
        </w:rPr>
        <w:t>˃</w:t>
      </w:r>
      <w:r>
        <w:rPr>
          <w:sz w:val="21"/>
        </w:rPr>
        <w:t>30</w:t>
      </w:r>
      <w:r>
        <w:rPr>
          <w:spacing w:val="-9"/>
          <w:sz w:val="21"/>
        </w:rPr>
        <w:t> 及夜间血氧饱</w:t>
      </w:r>
      <w:r>
        <w:rPr>
          <w:spacing w:val="-9"/>
          <w:w w:val="95"/>
          <w:sz w:val="21"/>
        </w:rPr>
        <w:t>和平均值&lt;85。</w:t>
      </w:r>
    </w:p>
    <w:p>
      <w:pPr>
        <w:spacing w:after="0" w:line="225" w:lineRule="auto"/>
        <w:jc w:val="left"/>
        <w:rPr>
          <w:sz w:val="21"/>
        </w:rPr>
        <w:sectPr>
          <w:type w:val="continuous"/>
          <w:pgSz w:w="12240" w:h="15840"/>
          <w:pgMar w:top="900" w:bottom="280" w:left="1700" w:right="1660"/>
          <w:cols w:num="2" w:equalWidth="0">
            <w:col w:w="2321" w:space="259"/>
            <w:col w:w="6300"/>
          </w:cols>
        </w:sectPr>
      </w:pPr>
    </w:p>
    <w:p>
      <w:pPr>
        <w:pStyle w:val="BodyText"/>
        <w:spacing w:before="7"/>
        <w:rPr>
          <w:sz w:val="22"/>
        </w:rPr>
      </w:pPr>
    </w:p>
    <w:p>
      <w:pPr>
        <w:pStyle w:val="ListParagraph"/>
        <w:numPr>
          <w:ilvl w:val="1"/>
          <w:numId w:val="8"/>
        </w:numPr>
        <w:tabs>
          <w:tab w:pos="846" w:val="left" w:leader="none"/>
          <w:tab w:pos="847" w:val="left" w:leader="none"/>
          <w:tab w:pos="2679" w:val="left" w:leader="none"/>
        </w:tabs>
        <w:spacing w:line="240" w:lineRule="auto" w:before="34" w:after="0"/>
        <w:ind w:left="846" w:right="0" w:hanging="746"/>
        <w:jc w:val="left"/>
        <w:rPr>
          <w:rFonts w:ascii="黑体" w:eastAsia="黑体" w:hint="eastAsia"/>
          <w:sz w:val="21"/>
        </w:rPr>
      </w:pPr>
      <w:r>
        <w:rPr>
          <w:b/>
          <w:sz w:val="21"/>
        </w:rPr>
        <w:t>慢性肾功能衰竭</w:t>
        <w:tab/>
      </w:r>
      <w:r>
        <w:rPr>
          <w:w w:val="95"/>
          <w:sz w:val="21"/>
        </w:rPr>
        <w:t>指双肾慢性肾功能衰竭，</w:t>
      </w:r>
      <w:r>
        <w:rPr>
          <w:rFonts w:ascii="黑体" w:eastAsia="黑体" w:hint="eastAsia"/>
          <w:w w:val="95"/>
          <w:sz w:val="21"/>
        </w:rPr>
        <w:t>且满足下列全部条件：</w:t>
      </w:r>
    </w:p>
    <w:p>
      <w:pPr>
        <w:pStyle w:val="ListParagraph"/>
        <w:numPr>
          <w:ilvl w:val="0"/>
          <w:numId w:val="72"/>
        </w:numPr>
        <w:tabs>
          <w:tab w:pos="3400" w:val="left" w:leader="none"/>
        </w:tabs>
        <w:spacing w:line="240" w:lineRule="auto" w:before="56" w:after="0"/>
        <w:ind w:left="3400" w:right="0" w:hanging="720"/>
        <w:jc w:val="left"/>
        <w:rPr>
          <w:sz w:val="21"/>
        </w:rPr>
      </w:pPr>
      <w:r>
        <w:rPr>
          <w:sz w:val="21"/>
        </w:rPr>
        <w:t>肌酐清除率（Ccr）</w:t>
      </w:r>
      <w:r>
        <w:rPr>
          <w:spacing w:val="-20"/>
          <w:sz w:val="21"/>
        </w:rPr>
        <w:t>低于 </w:t>
      </w:r>
      <w:r>
        <w:rPr>
          <w:sz w:val="21"/>
        </w:rPr>
        <w:t>30ml/min</w:t>
      </w:r>
      <w:r>
        <w:rPr>
          <w:spacing w:val="-10"/>
          <w:sz w:val="21"/>
        </w:rPr>
        <w:t>，持续超过 </w:t>
      </w:r>
      <w:r>
        <w:rPr>
          <w:sz w:val="21"/>
        </w:rPr>
        <w:t>90</w:t>
      </w:r>
      <w:r>
        <w:rPr>
          <w:spacing w:val="-20"/>
          <w:sz w:val="21"/>
        </w:rPr>
        <w:t> 日；</w:t>
      </w:r>
    </w:p>
    <w:p>
      <w:pPr>
        <w:pStyle w:val="ListParagraph"/>
        <w:numPr>
          <w:ilvl w:val="0"/>
          <w:numId w:val="72"/>
        </w:numPr>
        <w:tabs>
          <w:tab w:pos="3400" w:val="left" w:leader="none"/>
        </w:tabs>
        <w:spacing w:line="240" w:lineRule="auto" w:before="59" w:after="0"/>
        <w:ind w:left="3400" w:right="0" w:hanging="720"/>
        <w:jc w:val="left"/>
        <w:rPr>
          <w:sz w:val="21"/>
        </w:rPr>
      </w:pPr>
      <w:r>
        <w:rPr>
          <w:sz w:val="21"/>
        </w:rPr>
        <w:t>血肌酐（Scr）</w:t>
      </w:r>
      <w:r>
        <w:rPr>
          <w:spacing w:val="-20"/>
          <w:sz w:val="21"/>
        </w:rPr>
        <w:t>高于 </w:t>
      </w:r>
      <w:r>
        <w:rPr>
          <w:sz w:val="21"/>
        </w:rPr>
        <w:t>442umol/L</w:t>
      </w:r>
      <w:r>
        <w:rPr>
          <w:spacing w:val="-10"/>
          <w:sz w:val="21"/>
        </w:rPr>
        <w:t>，持续超过 </w:t>
      </w:r>
      <w:r>
        <w:rPr>
          <w:sz w:val="21"/>
        </w:rPr>
        <w:t>90</w:t>
      </w:r>
      <w:r>
        <w:rPr>
          <w:spacing w:val="-20"/>
          <w:sz w:val="21"/>
        </w:rPr>
        <w:t> 日。</w:t>
      </w:r>
    </w:p>
    <w:p>
      <w:pPr>
        <w:pStyle w:val="BodyText"/>
        <w:spacing w:before="5"/>
        <w:rPr>
          <w:sz w:val="25"/>
        </w:rPr>
      </w:pPr>
    </w:p>
    <w:p>
      <w:pPr>
        <w:pStyle w:val="ListParagraph"/>
        <w:numPr>
          <w:ilvl w:val="1"/>
          <w:numId w:val="8"/>
        </w:numPr>
        <w:tabs>
          <w:tab w:pos="846" w:val="left" w:leader="none"/>
          <w:tab w:pos="847" w:val="left" w:leader="none"/>
          <w:tab w:pos="2679" w:val="left" w:leader="none"/>
        </w:tabs>
        <w:spacing w:line="237" w:lineRule="auto" w:before="0" w:after="0"/>
        <w:ind w:left="2680" w:right="137" w:hanging="2580"/>
        <w:jc w:val="left"/>
        <w:rPr>
          <w:sz w:val="21"/>
        </w:rPr>
      </w:pPr>
      <w:r>
        <w:rPr>
          <w:b/>
          <w:sz w:val="21"/>
        </w:rPr>
        <w:t>特定的克隆病</w:t>
        <w:tab/>
      </w:r>
      <w:r>
        <w:rPr>
          <w:w w:val="95"/>
          <w:sz w:val="21"/>
        </w:rPr>
        <w:t>克隆病指一种慢性肉芽肿性肠炎</w:t>
      </w:r>
      <w:r>
        <w:rPr>
          <w:spacing w:val="-29"/>
          <w:w w:val="95"/>
          <w:sz w:val="21"/>
        </w:rPr>
        <w:t>，</w:t>
      </w:r>
      <w:r>
        <w:rPr>
          <w:w w:val="95"/>
          <w:sz w:val="21"/>
        </w:rPr>
        <w:t>具有特征性的克隆病病理组织学   变化</w:t>
      </w:r>
      <w:r>
        <w:rPr>
          <w:spacing w:val="-15"/>
          <w:w w:val="95"/>
          <w:sz w:val="21"/>
        </w:rPr>
        <w:t>。</w:t>
      </w:r>
      <w:r>
        <w:rPr>
          <w:w w:val="95"/>
          <w:sz w:val="21"/>
        </w:rPr>
        <w:t>特定的克隆病指诊断为克隆病</w:t>
      </w:r>
      <w:r>
        <w:rPr>
          <w:spacing w:val="-15"/>
          <w:w w:val="95"/>
          <w:sz w:val="21"/>
        </w:rPr>
        <w:t>，</w:t>
      </w:r>
      <w:r>
        <w:rPr>
          <w:w w:val="95"/>
          <w:sz w:val="21"/>
        </w:rPr>
        <w:t>虽然未达到本合同重大疾病</w:t>
      </w:r>
    </w:p>
    <w:p>
      <w:pPr>
        <w:pStyle w:val="BodyText"/>
        <w:spacing w:line="274" w:lineRule="exact" w:before="0"/>
        <w:ind w:left="2680"/>
        <w:rPr>
          <w:rFonts w:ascii="黑体" w:hAnsi="黑体" w:eastAsia="黑体" w:hint="eastAsia"/>
        </w:rPr>
      </w:pPr>
      <w:r>
        <w:rPr>
          <w:w w:val="95"/>
        </w:rPr>
        <w:t>“严重克隆病”的给付标准，</w:t>
      </w:r>
      <w:r>
        <w:rPr>
          <w:rFonts w:ascii="黑体" w:hAnsi="黑体" w:eastAsia="黑体" w:hint="eastAsia"/>
          <w:w w:val="95"/>
        </w:rPr>
        <w:t>但须满足下列全部条件：</w:t>
      </w:r>
    </w:p>
    <w:p>
      <w:pPr>
        <w:pStyle w:val="ListParagraph"/>
        <w:numPr>
          <w:ilvl w:val="0"/>
          <w:numId w:val="73"/>
        </w:numPr>
        <w:tabs>
          <w:tab w:pos="3400" w:val="left" w:leader="none"/>
        </w:tabs>
        <w:spacing w:line="240" w:lineRule="auto" w:before="57" w:after="0"/>
        <w:ind w:left="3400" w:right="0" w:hanging="720"/>
        <w:jc w:val="left"/>
        <w:rPr>
          <w:sz w:val="21"/>
        </w:rPr>
      </w:pPr>
      <w:r>
        <w:rPr>
          <w:w w:val="95"/>
          <w:sz w:val="21"/>
        </w:rPr>
        <w:t>诊断必须由专科医生经过病理检查结果证实；</w:t>
      </w:r>
    </w:p>
    <w:p>
      <w:pPr>
        <w:pStyle w:val="ListParagraph"/>
        <w:numPr>
          <w:ilvl w:val="0"/>
          <w:numId w:val="73"/>
        </w:numPr>
        <w:tabs>
          <w:tab w:pos="3400" w:val="left" w:leader="none"/>
        </w:tabs>
        <w:spacing w:line="237" w:lineRule="auto" w:before="61" w:after="0"/>
        <w:ind w:left="3400" w:right="137" w:hanging="720"/>
        <w:jc w:val="left"/>
        <w:rPr>
          <w:rFonts w:ascii="黑体" w:eastAsia="黑体" w:hint="eastAsia"/>
          <w:sz w:val="21"/>
        </w:rPr>
      </w:pPr>
      <w:r>
        <w:rPr>
          <w:spacing w:val="-1"/>
          <w:sz w:val="21"/>
        </w:rPr>
        <w:t>经专科医生以类固醇或免疫抑制剂连续治疗 </w:t>
      </w:r>
      <w:r>
        <w:rPr>
          <w:sz w:val="21"/>
        </w:rPr>
        <w:t>6</w:t>
      </w:r>
      <w:r>
        <w:rPr>
          <w:spacing w:val="-11"/>
          <w:sz w:val="21"/>
        </w:rPr>
        <w:t> 个月。</w:t>
      </w:r>
      <w:r>
        <w:rPr>
          <w:rFonts w:ascii="黑体" w:eastAsia="黑体" w:hint="eastAsia"/>
          <w:spacing w:val="0"/>
          <w:sz w:val="21"/>
        </w:rPr>
        <w:t>诊断</w:t>
      </w:r>
      <w:r>
        <w:rPr>
          <w:rFonts w:ascii="黑体" w:eastAsia="黑体" w:hint="eastAsia"/>
          <w:spacing w:val="0"/>
          <w:w w:val="95"/>
          <w:sz w:val="21"/>
        </w:rPr>
        <w:t>及治疗均须由专科医Th认为是医学必需的。</w:t>
      </w:r>
    </w:p>
    <w:p>
      <w:pPr>
        <w:pStyle w:val="BodyText"/>
        <w:spacing w:before="7"/>
        <w:rPr>
          <w:rFonts w:ascii="黑体"/>
          <w:sz w:val="22"/>
        </w:rPr>
      </w:pPr>
    </w:p>
    <w:p>
      <w:pPr>
        <w:spacing w:after="0"/>
        <w:rPr>
          <w:rFonts w:ascii="黑体"/>
          <w:sz w:val="22"/>
        </w:rPr>
        <w:sectPr>
          <w:type w:val="continuous"/>
          <w:pgSz w:w="12240" w:h="15840"/>
          <w:pgMar w:top="900" w:bottom="280" w:left="1700" w:right="1660"/>
        </w:sectPr>
      </w:pPr>
    </w:p>
    <w:p>
      <w:pPr>
        <w:pStyle w:val="Heading2"/>
        <w:numPr>
          <w:ilvl w:val="1"/>
          <w:numId w:val="8"/>
        </w:numPr>
        <w:tabs>
          <w:tab w:pos="846" w:val="left" w:leader="none"/>
          <w:tab w:pos="847" w:val="left" w:leader="none"/>
        </w:tabs>
        <w:spacing w:line="240" w:lineRule="auto" w:before="34" w:after="0"/>
        <w:ind w:left="846" w:right="0" w:hanging="746"/>
        <w:jc w:val="left"/>
      </w:pPr>
      <w:r>
        <w:rPr>
          <w:w w:val="95"/>
        </w:rPr>
        <w:t>颈动脉血管内膜切除术</w:t>
      </w:r>
    </w:p>
    <w:p>
      <w:pPr>
        <w:pStyle w:val="BodyText"/>
        <w:spacing w:before="34"/>
        <w:ind w:left="100" w:right="83"/>
        <w:rPr>
          <w:rFonts w:ascii="黑体" w:eastAsia="黑体" w:hint="eastAsia"/>
        </w:rPr>
      </w:pPr>
      <w:r>
        <w:rPr/>
        <w:br w:type="column"/>
      </w:r>
      <w:r>
        <w:rPr/>
        <w:t>指颈动脉狭窄超过 80%且实际实施了颈动脉内膜切除手术，颈动脉</w:t>
      </w:r>
      <w:r>
        <w:rPr>
          <w:w w:val="95"/>
        </w:rPr>
        <w:t>狭窄程度必须经颈动脉造影证实。</w:t>
      </w:r>
      <w:r>
        <w:rPr>
          <w:rFonts w:ascii="黑体" w:eastAsia="黑体" w:hint="eastAsia"/>
          <w:w w:val="95"/>
        </w:rPr>
        <w:t>针对颈动脉狭窄介入治疗和颈动</w:t>
      </w:r>
    </w:p>
    <w:p>
      <w:pPr>
        <w:spacing w:after="0"/>
        <w:rPr>
          <w:rFonts w:ascii="黑体" w:eastAsia="黑体" w:hint="eastAsia"/>
        </w:rPr>
        <w:sectPr>
          <w:type w:val="continuous"/>
          <w:pgSz w:w="12240" w:h="15840"/>
          <w:pgMar w:top="900" w:bottom="280" w:left="1700" w:right="1660"/>
          <w:cols w:num="2" w:equalWidth="0">
            <w:col w:w="2321" w:space="259"/>
            <w:col w:w="6300"/>
          </w:cols>
        </w:sectPr>
      </w:pPr>
    </w:p>
    <w:p>
      <w:pPr>
        <w:pStyle w:val="BodyText"/>
        <w:spacing w:before="4"/>
        <w:ind w:left="2740"/>
        <w:rPr>
          <w:rFonts w:ascii="黑体" w:eastAsia="黑体" w:hint="eastAsia"/>
        </w:rPr>
      </w:pPr>
      <w:r>
        <w:rPr>
          <w:rFonts w:ascii="黑体" w:eastAsia="黑体" w:hint="eastAsia"/>
          <w:w w:val="95"/>
        </w:rPr>
        <w:t>脉以外的血管施行的动脉内膜切除手术不在保障范围内。</w:t>
      </w:r>
    </w:p>
    <w:p>
      <w:pPr>
        <w:pStyle w:val="BodyText"/>
        <w:spacing w:before="0"/>
        <w:rPr>
          <w:rFonts w:ascii="黑体"/>
          <w:sz w:val="20"/>
        </w:rPr>
      </w:pPr>
    </w:p>
    <w:p>
      <w:pPr>
        <w:pStyle w:val="BodyText"/>
        <w:spacing w:before="1"/>
        <w:rPr>
          <w:rFonts w:ascii="黑体"/>
          <w:sz w:val="18"/>
        </w:rPr>
      </w:pPr>
    </w:p>
    <w:p>
      <w:pPr>
        <w:spacing w:after="0"/>
        <w:rPr>
          <w:rFonts w:ascii="黑体"/>
          <w:sz w:val="18"/>
        </w:rPr>
        <w:sectPr>
          <w:pgSz w:w="12240" w:h="15840"/>
          <w:pgMar w:top="1400" w:bottom="280" w:left="1640" w:right="1640"/>
        </w:sectPr>
      </w:pPr>
    </w:p>
    <w:p>
      <w:pPr>
        <w:pStyle w:val="Heading2"/>
        <w:numPr>
          <w:ilvl w:val="1"/>
          <w:numId w:val="8"/>
        </w:numPr>
        <w:tabs>
          <w:tab w:pos="906" w:val="left" w:leader="none"/>
          <w:tab w:pos="907" w:val="left" w:leader="none"/>
        </w:tabs>
        <w:spacing w:line="273" w:lineRule="exact" w:before="35" w:after="0"/>
        <w:ind w:left="906" w:right="0" w:hanging="746"/>
        <w:jc w:val="left"/>
      </w:pPr>
      <w:r>
        <w:rPr>
          <w:w w:val="95"/>
        </w:rPr>
        <w:t>颈动脉狭窄介入</w:t>
      </w:r>
    </w:p>
    <w:p>
      <w:pPr>
        <w:spacing w:line="273" w:lineRule="exact" w:before="0"/>
        <w:ind w:left="897" w:right="1042" w:firstLine="0"/>
        <w:jc w:val="center"/>
        <w:rPr>
          <w:b/>
          <w:sz w:val="21"/>
        </w:rPr>
      </w:pPr>
      <w:r>
        <w:rPr>
          <w:b/>
          <w:w w:val="95"/>
          <w:sz w:val="21"/>
        </w:rPr>
        <w:t>治疗</w:t>
      </w:r>
    </w:p>
    <w:p>
      <w:pPr>
        <w:pStyle w:val="BodyText"/>
        <w:spacing w:line="237" w:lineRule="auto" w:before="38"/>
        <w:ind w:left="160" w:right="160"/>
        <w:rPr>
          <w:rFonts w:ascii="黑体" w:eastAsia="黑体" w:hint="eastAsia"/>
        </w:rPr>
      </w:pPr>
      <w:r>
        <w:rPr/>
        <w:br w:type="column"/>
      </w:r>
      <w:r>
        <w:rPr>
          <w:spacing w:val="-2"/>
          <w:w w:val="95"/>
        </w:rPr>
        <w:t>指对一条或一条以上的颈动脉狭窄的治疗，</w:t>
      </w:r>
      <w:r>
        <w:rPr>
          <w:rFonts w:ascii="黑体" w:eastAsia="黑体" w:hint="eastAsia"/>
          <w:w w:val="95"/>
        </w:rPr>
        <w:t>疾病的诊断及治疗均须  由专科医Th认为是医学必需的，且满足下列全部条件：</w:t>
      </w:r>
    </w:p>
    <w:p>
      <w:pPr>
        <w:pStyle w:val="ListParagraph"/>
        <w:numPr>
          <w:ilvl w:val="0"/>
          <w:numId w:val="74"/>
        </w:numPr>
        <w:tabs>
          <w:tab w:pos="880" w:val="left" w:leader="none"/>
        </w:tabs>
        <w:spacing w:line="274" w:lineRule="exact" w:before="56" w:after="0"/>
        <w:ind w:left="880" w:right="0" w:hanging="720"/>
        <w:jc w:val="left"/>
        <w:rPr>
          <w:sz w:val="21"/>
        </w:rPr>
      </w:pPr>
      <w:r>
        <w:rPr>
          <w:spacing w:val="1"/>
          <w:sz w:val="21"/>
        </w:rPr>
        <w:t>经由血管造影术证明一条或一条以上的颈动脉存在 </w:t>
      </w:r>
      <w:r>
        <w:rPr>
          <w:sz w:val="21"/>
        </w:rPr>
        <w:t>50%或</w:t>
      </w:r>
    </w:p>
    <w:p>
      <w:pPr>
        <w:pStyle w:val="BodyText"/>
        <w:spacing w:line="274" w:lineRule="exact" w:before="0"/>
        <w:ind w:left="880"/>
      </w:pPr>
      <w:r>
        <w:rPr>
          <w:w w:val="95"/>
        </w:rPr>
        <w:t>50%以上狭窄；</w:t>
      </w:r>
    </w:p>
    <w:p>
      <w:pPr>
        <w:pStyle w:val="ListParagraph"/>
        <w:numPr>
          <w:ilvl w:val="0"/>
          <w:numId w:val="74"/>
        </w:numPr>
        <w:tabs>
          <w:tab w:pos="880" w:val="left" w:leader="none"/>
        </w:tabs>
        <w:spacing w:line="240" w:lineRule="auto" w:before="57" w:after="0"/>
        <w:ind w:left="880" w:right="157" w:hanging="720"/>
        <w:jc w:val="both"/>
        <w:rPr>
          <w:sz w:val="21"/>
        </w:rPr>
      </w:pPr>
      <w:r>
        <w:rPr>
          <w:spacing w:val="1"/>
          <w:sz w:val="21"/>
        </w:rPr>
        <w:t>确实已针对以上狭窄血管进行介入治疗以减轻症状，介入</w:t>
      </w:r>
      <w:r>
        <w:rPr>
          <w:spacing w:val="5"/>
          <w:sz w:val="21"/>
        </w:rPr>
        <w:t>治疗包括血管成形术及</w:t>
      </w:r>
      <w:r>
        <w:rPr>
          <w:spacing w:val="6"/>
          <w:sz w:val="21"/>
        </w:rPr>
        <w:t>/</w:t>
      </w:r>
      <w:r>
        <w:rPr>
          <w:spacing w:val="5"/>
          <w:sz w:val="21"/>
        </w:rPr>
        <w:t>或植入支架或颈动脉粥样斑块清</w:t>
      </w:r>
      <w:r>
        <w:rPr>
          <w:spacing w:val="5"/>
          <w:w w:val="95"/>
          <w:sz w:val="21"/>
        </w:rPr>
        <w:t>除手术。</w:t>
      </w:r>
    </w:p>
    <w:p>
      <w:pPr>
        <w:spacing w:after="0" w:line="240" w:lineRule="auto"/>
        <w:jc w:val="both"/>
        <w:rPr>
          <w:sz w:val="21"/>
        </w:rPr>
        <w:sectPr>
          <w:type w:val="continuous"/>
          <w:pgSz w:w="12240" w:h="15840"/>
          <w:pgMar w:top="900" w:bottom="280" w:left="1640" w:right="1640"/>
          <w:cols w:num="2" w:equalWidth="0">
            <w:col w:w="2381" w:space="199"/>
            <w:col w:w="6380"/>
          </w:cols>
        </w:sectPr>
      </w:pPr>
    </w:p>
    <w:p>
      <w:pPr>
        <w:pStyle w:val="BodyText"/>
        <w:spacing w:before="0"/>
        <w:rPr>
          <w:sz w:val="20"/>
        </w:rPr>
      </w:pPr>
    </w:p>
    <w:p>
      <w:pPr>
        <w:pStyle w:val="BodyText"/>
        <w:spacing w:before="3"/>
        <w:rPr>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62"/>
        <w:gridCol w:w="6290"/>
      </w:tblGrid>
      <w:tr>
        <w:trPr>
          <w:trHeight w:val="949" w:hRule="atLeast"/>
        </w:trPr>
        <w:tc>
          <w:tcPr>
            <w:tcW w:w="688" w:type="dxa"/>
          </w:tcPr>
          <w:p>
            <w:pPr>
              <w:pStyle w:val="TableParagraph"/>
              <w:spacing w:line="209" w:lineRule="exact"/>
              <w:ind w:left="31" w:right="87"/>
              <w:jc w:val="center"/>
              <w:rPr>
                <w:b/>
                <w:sz w:val="21"/>
              </w:rPr>
            </w:pPr>
            <w:r>
              <w:rPr>
                <w:b/>
                <w:sz w:val="21"/>
              </w:rPr>
              <w:t>10.33</w:t>
            </w:r>
          </w:p>
        </w:tc>
        <w:tc>
          <w:tcPr>
            <w:tcW w:w="1762" w:type="dxa"/>
          </w:tcPr>
          <w:p>
            <w:pPr>
              <w:pStyle w:val="TableParagraph"/>
              <w:spacing w:line="209" w:lineRule="exact"/>
              <w:ind w:left="108"/>
              <w:rPr>
                <w:b/>
                <w:sz w:val="21"/>
              </w:rPr>
            </w:pPr>
            <w:r>
              <w:rPr>
                <w:b/>
                <w:w w:val="95"/>
                <w:sz w:val="21"/>
              </w:rPr>
              <w:t>心包膜切除术</w:t>
            </w:r>
          </w:p>
        </w:tc>
        <w:tc>
          <w:tcPr>
            <w:tcW w:w="6290" w:type="dxa"/>
          </w:tcPr>
          <w:p>
            <w:pPr>
              <w:pStyle w:val="TableParagraph"/>
              <w:spacing w:line="207" w:lineRule="exact"/>
              <w:ind w:left="180"/>
              <w:rPr>
                <w:sz w:val="21"/>
              </w:rPr>
            </w:pPr>
            <w:r>
              <w:rPr>
                <w:w w:val="95"/>
                <w:sz w:val="21"/>
              </w:rPr>
              <w:t>指为治疗心包膜疾病，已经实施了心包膜切除术，但未达到本合同</w:t>
            </w:r>
          </w:p>
          <w:p>
            <w:pPr>
              <w:pStyle w:val="TableParagraph"/>
              <w:spacing w:line="271" w:lineRule="exact"/>
              <w:ind w:left="180"/>
              <w:rPr>
                <w:rFonts w:ascii="黑体" w:hAnsi="黑体" w:eastAsia="黑体" w:hint="eastAsia"/>
                <w:sz w:val="21"/>
              </w:rPr>
            </w:pPr>
            <w:r>
              <w:rPr>
                <w:w w:val="95"/>
                <w:sz w:val="21"/>
              </w:rPr>
              <w:t>重大疾病“严重的慢性缩窄型心包炎”的标准。</w:t>
            </w:r>
            <w:r>
              <w:rPr>
                <w:rFonts w:ascii="黑体" w:hAnsi="黑体" w:eastAsia="黑体" w:hint="eastAsia"/>
                <w:w w:val="95"/>
                <w:sz w:val="21"/>
              </w:rPr>
              <w:t>该手术须由专科医</w:t>
            </w:r>
          </w:p>
          <w:p>
            <w:pPr>
              <w:pStyle w:val="TableParagraph"/>
              <w:spacing w:line="273" w:lineRule="exact"/>
              <w:ind w:left="180"/>
              <w:rPr>
                <w:rFonts w:ascii="黑体" w:eastAsia="黑体" w:hint="eastAsia"/>
                <w:sz w:val="21"/>
              </w:rPr>
            </w:pPr>
            <w:r>
              <w:rPr>
                <w:rFonts w:ascii="黑体" w:eastAsia="黑体" w:hint="eastAsia"/>
                <w:w w:val="95"/>
                <w:sz w:val="21"/>
              </w:rPr>
              <w:t>Th认为是医学必需的。</w:t>
            </w:r>
          </w:p>
        </w:tc>
      </w:tr>
      <w:tr>
        <w:trPr>
          <w:trHeight w:val="1013" w:hRule="atLeast"/>
        </w:trPr>
        <w:tc>
          <w:tcPr>
            <w:tcW w:w="688" w:type="dxa"/>
          </w:tcPr>
          <w:p>
            <w:pPr>
              <w:pStyle w:val="TableParagraph"/>
              <w:spacing w:before="132"/>
              <w:ind w:left="31" w:right="87"/>
              <w:jc w:val="center"/>
              <w:rPr>
                <w:b/>
                <w:sz w:val="21"/>
              </w:rPr>
            </w:pPr>
            <w:r>
              <w:rPr>
                <w:b/>
                <w:sz w:val="21"/>
              </w:rPr>
              <w:t>10.34</w:t>
            </w:r>
          </w:p>
        </w:tc>
        <w:tc>
          <w:tcPr>
            <w:tcW w:w="1762" w:type="dxa"/>
          </w:tcPr>
          <w:p>
            <w:pPr>
              <w:pStyle w:val="TableParagraph"/>
              <w:spacing w:before="132"/>
              <w:ind w:left="108" w:right="177"/>
              <w:rPr>
                <w:b/>
                <w:sz w:val="21"/>
              </w:rPr>
            </w:pPr>
            <w:r>
              <w:rPr>
                <w:b/>
                <w:w w:val="95"/>
                <w:sz w:val="21"/>
              </w:rPr>
              <w:t>特定的溃疡性结肠炎</w:t>
            </w:r>
          </w:p>
        </w:tc>
        <w:tc>
          <w:tcPr>
            <w:tcW w:w="6290" w:type="dxa"/>
          </w:tcPr>
          <w:p>
            <w:pPr>
              <w:pStyle w:val="TableParagraph"/>
              <w:spacing w:line="237" w:lineRule="auto" w:before="135"/>
              <w:ind w:left="180" w:right="50"/>
              <w:jc w:val="both"/>
              <w:rPr>
                <w:rFonts w:ascii="黑体" w:hAnsi="黑体" w:eastAsia="黑体" w:hint="eastAsia"/>
                <w:sz w:val="21"/>
              </w:rPr>
            </w:pPr>
            <w:r>
              <w:rPr>
                <w:spacing w:val="-2"/>
                <w:w w:val="95"/>
                <w:sz w:val="21"/>
              </w:rPr>
              <w:t>指伴有致命性电解质紊乱及肠道肿胀及有肠破裂的风险的大肠</w:t>
            </w:r>
            <w:r>
              <w:rPr>
                <w:w w:val="95"/>
                <w:sz w:val="21"/>
              </w:rPr>
              <w:t>（结  肠及直肠</w:t>
            </w:r>
            <w:r>
              <w:rPr>
                <w:spacing w:val="-10"/>
                <w:w w:val="95"/>
                <w:sz w:val="21"/>
              </w:rPr>
              <w:t>）</w:t>
            </w:r>
            <w:r>
              <w:rPr>
                <w:spacing w:val="-3"/>
                <w:w w:val="95"/>
                <w:sz w:val="21"/>
              </w:rPr>
              <w:t>粘膜炎症，但未达到本合同重大疾病“严重溃疡性结肠  炎”的标准，</w:t>
            </w:r>
            <w:r>
              <w:rPr>
                <w:rFonts w:ascii="黑体" w:hAnsi="黑体" w:eastAsia="黑体" w:hint="eastAsia"/>
                <w:spacing w:val="-3"/>
                <w:w w:val="95"/>
                <w:sz w:val="21"/>
              </w:rPr>
              <w:t>且满足下列全部条件：</w:t>
            </w:r>
          </w:p>
        </w:tc>
      </w:tr>
      <w:tr>
        <w:trPr>
          <w:trHeight w:val="271"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51" w:lineRule="exact"/>
              <w:ind w:left="180"/>
              <w:rPr>
                <w:sz w:val="21"/>
              </w:rPr>
            </w:pPr>
            <w:r>
              <w:rPr>
                <w:sz w:val="21"/>
              </w:rPr>
              <w:t>（1） 须经由内窥镜检查证实该疾病侵犯全部结肠及直肠及活检</w:t>
            </w:r>
          </w:p>
        </w:tc>
      </w:tr>
    </w:tbl>
    <w:p>
      <w:pPr>
        <w:pStyle w:val="BodyText"/>
        <w:spacing w:line="271" w:lineRule="exact" w:before="0"/>
        <w:ind w:left="3460"/>
      </w:pPr>
      <w:r>
        <w:rPr>
          <w:w w:val="95"/>
        </w:rPr>
        <w:t>病理学组织切片检查证实为溃疡性结肠炎；</w:t>
      </w:r>
    </w:p>
    <w:p>
      <w:pPr>
        <w:pStyle w:val="BodyText"/>
        <w:ind w:left="3460" w:right="157" w:hanging="720"/>
      </w:pPr>
      <w:r>
        <w:rPr/>
        <w:t>（2） 经专科医生以类固醇或免疫抑制剂连续治疗 6 个月。</w:t>
      </w:r>
      <w:r>
        <w:rPr>
          <w:rFonts w:ascii="黑体" w:eastAsia="黑体" w:hint="eastAsia"/>
        </w:rPr>
        <w:t>诊断</w:t>
      </w:r>
      <w:r>
        <w:rPr>
          <w:rFonts w:ascii="黑体" w:eastAsia="黑体" w:hint="eastAsia"/>
          <w:w w:val="95"/>
        </w:rPr>
        <w:t>及治疗均须由专科医Th认为是医学必需的</w:t>
      </w:r>
      <w:r>
        <w:rPr>
          <w:w w:val="95"/>
        </w:rPr>
        <w:t>。</w:t>
      </w:r>
    </w:p>
    <w:p>
      <w:pPr>
        <w:pStyle w:val="BodyText"/>
        <w:spacing w:before="2"/>
        <w:rPr>
          <w:sz w:val="25"/>
        </w:rPr>
      </w:pPr>
    </w:p>
    <w:p>
      <w:pPr>
        <w:pStyle w:val="ListParagraph"/>
        <w:numPr>
          <w:ilvl w:val="1"/>
          <w:numId w:val="75"/>
        </w:numPr>
        <w:tabs>
          <w:tab w:pos="906" w:val="left" w:leader="none"/>
          <w:tab w:pos="907" w:val="left" w:leader="none"/>
          <w:tab w:pos="2739" w:val="left" w:leader="none"/>
        </w:tabs>
        <w:spacing w:line="240" w:lineRule="auto" w:before="0" w:after="0"/>
        <w:ind w:left="2740" w:right="157" w:hanging="2580"/>
        <w:jc w:val="left"/>
        <w:rPr>
          <w:sz w:val="21"/>
        </w:rPr>
      </w:pPr>
      <w:r>
        <w:rPr>
          <w:b/>
          <w:sz w:val="21"/>
        </w:rPr>
        <w:t>双侧卵巢切除术</w:t>
        <w:tab/>
      </w:r>
      <w:r>
        <w:rPr>
          <w:spacing w:val="5"/>
          <w:w w:val="95"/>
          <w:sz w:val="21"/>
        </w:rPr>
        <w:t>指</w:t>
      </w:r>
      <w:r>
        <w:rPr>
          <w:spacing w:val="7"/>
          <w:w w:val="95"/>
          <w:sz w:val="21"/>
        </w:rPr>
        <w:t>为</w:t>
      </w:r>
      <w:r>
        <w:rPr>
          <w:spacing w:val="5"/>
          <w:w w:val="95"/>
          <w:sz w:val="21"/>
        </w:rPr>
        <w:t>治疗疾</w:t>
      </w:r>
      <w:r>
        <w:rPr>
          <w:spacing w:val="7"/>
          <w:w w:val="95"/>
          <w:sz w:val="21"/>
        </w:rPr>
        <w:t>病</w:t>
      </w:r>
      <w:r>
        <w:rPr>
          <w:spacing w:val="5"/>
          <w:w w:val="95"/>
          <w:sz w:val="21"/>
        </w:rPr>
        <w:t>实际</w:t>
      </w:r>
      <w:r>
        <w:rPr>
          <w:spacing w:val="7"/>
          <w:w w:val="95"/>
          <w:sz w:val="21"/>
        </w:rPr>
        <w:t>实</w:t>
      </w:r>
      <w:r>
        <w:rPr>
          <w:spacing w:val="5"/>
          <w:w w:val="95"/>
          <w:sz w:val="21"/>
        </w:rPr>
        <w:t>施了</w:t>
      </w:r>
      <w:r>
        <w:rPr>
          <w:spacing w:val="7"/>
          <w:w w:val="95"/>
          <w:sz w:val="21"/>
        </w:rPr>
        <w:t>经</w:t>
      </w:r>
      <w:r>
        <w:rPr>
          <w:spacing w:val="5"/>
          <w:w w:val="95"/>
          <w:sz w:val="21"/>
        </w:rPr>
        <w:t>腹部切</w:t>
      </w:r>
      <w:r>
        <w:rPr>
          <w:spacing w:val="7"/>
          <w:w w:val="95"/>
          <w:sz w:val="21"/>
        </w:rPr>
        <w:t>开</w:t>
      </w:r>
      <w:r>
        <w:rPr>
          <w:spacing w:val="5"/>
          <w:w w:val="95"/>
          <w:sz w:val="21"/>
        </w:rPr>
        <w:t>或腹</w:t>
      </w:r>
      <w:r>
        <w:rPr>
          <w:spacing w:val="7"/>
          <w:w w:val="95"/>
          <w:sz w:val="21"/>
        </w:rPr>
        <w:t>腔</w:t>
      </w:r>
      <w:r>
        <w:rPr>
          <w:spacing w:val="5"/>
          <w:w w:val="95"/>
          <w:sz w:val="21"/>
        </w:rPr>
        <w:t>镜进行</w:t>
      </w:r>
      <w:r>
        <w:rPr>
          <w:spacing w:val="7"/>
          <w:w w:val="95"/>
          <w:sz w:val="21"/>
        </w:rPr>
        <w:t>的</w:t>
      </w:r>
      <w:r>
        <w:rPr>
          <w:spacing w:val="5"/>
          <w:w w:val="95"/>
          <w:sz w:val="21"/>
        </w:rPr>
        <w:t>双侧</w:t>
      </w:r>
      <w:r>
        <w:rPr>
          <w:spacing w:val="7"/>
          <w:w w:val="95"/>
          <w:sz w:val="21"/>
        </w:rPr>
        <w:t>卵</w:t>
      </w:r>
      <w:r>
        <w:rPr>
          <w:spacing w:val="5"/>
          <w:w w:val="95"/>
          <w:sz w:val="21"/>
        </w:rPr>
        <w:t>巢</w:t>
      </w:r>
      <w:r>
        <w:rPr>
          <w:w w:val="95"/>
          <w:sz w:val="21"/>
        </w:rPr>
        <w:t>完   全切除手术。</w:t>
      </w:r>
    </w:p>
    <w:p>
      <w:pPr>
        <w:pStyle w:val="BodyText"/>
        <w:ind w:left="2740" w:right="157"/>
        <w:rPr>
          <w:rFonts w:ascii="黑体" w:eastAsia="黑体" w:hint="eastAsia"/>
        </w:rPr>
      </w:pPr>
      <w:r>
        <w:rPr>
          <w:rFonts w:ascii="黑体" w:eastAsia="黑体" w:hint="eastAsia"/>
          <w:spacing w:val="-3"/>
          <w:w w:val="95"/>
        </w:rPr>
        <w:t>单侧或部分卵巢切除、变性手术、因恶性肿瘤引起的手术不在保障  范围内。</w:t>
      </w:r>
    </w:p>
    <w:p>
      <w:pPr>
        <w:pStyle w:val="BodyText"/>
        <w:spacing w:before="5"/>
        <w:rPr>
          <w:rFonts w:ascii="黑体"/>
          <w:sz w:val="22"/>
        </w:rPr>
      </w:pPr>
    </w:p>
    <w:p>
      <w:pPr>
        <w:spacing w:after="0"/>
        <w:rPr>
          <w:rFonts w:ascii="黑体"/>
          <w:sz w:val="22"/>
        </w:rPr>
        <w:sectPr>
          <w:type w:val="continuous"/>
          <w:pgSz w:w="12240" w:h="15840"/>
          <w:pgMar w:top="900" w:bottom="280" w:left="1640" w:right="1640"/>
        </w:sectPr>
      </w:pPr>
    </w:p>
    <w:p>
      <w:pPr>
        <w:pStyle w:val="Heading2"/>
        <w:numPr>
          <w:ilvl w:val="1"/>
          <w:numId w:val="75"/>
        </w:numPr>
        <w:tabs>
          <w:tab w:pos="906" w:val="left" w:leader="none"/>
          <w:tab w:pos="907" w:val="left" w:leader="none"/>
        </w:tabs>
        <w:spacing w:line="274" w:lineRule="exact" w:before="34" w:after="0"/>
        <w:ind w:left="2740" w:right="0" w:hanging="2580"/>
        <w:jc w:val="left"/>
      </w:pPr>
      <w:r>
        <w:rPr>
          <w:w w:val="95"/>
        </w:rPr>
        <w:t>特定的原发性心</w:t>
      </w:r>
    </w:p>
    <w:p>
      <w:pPr>
        <w:spacing w:line="274" w:lineRule="exact" w:before="0"/>
        <w:ind w:left="897" w:right="1042" w:firstLine="0"/>
        <w:jc w:val="center"/>
        <w:rPr>
          <w:b/>
          <w:sz w:val="21"/>
        </w:rPr>
      </w:pPr>
      <w:r>
        <w:rPr>
          <w:b/>
          <w:w w:val="95"/>
          <w:sz w:val="21"/>
        </w:rPr>
        <w:t>肌病</w:t>
      </w:r>
    </w:p>
    <w:p>
      <w:pPr>
        <w:pStyle w:val="BodyText"/>
        <w:spacing w:before="34"/>
        <w:ind w:left="160"/>
        <w:rPr>
          <w:rFonts w:ascii="黑体" w:eastAsia="黑体" w:hint="eastAsia"/>
        </w:rPr>
      </w:pPr>
      <w:r>
        <w:rPr/>
        <w:br w:type="column"/>
      </w:r>
      <w:r>
        <w:rPr>
          <w:w w:val="95"/>
        </w:rPr>
        <w:t>指诊断为原发性心肌病，</w:t>
      </w:r>
      <w:r>
        <w:rPr>
          <w:rFonts w:ascii="黑体" w:eastAsia="黑体" w:hint="eastAsia"/>
          <w:w w:val="95"/>
        </w:rPr>
        <w:t>且满足下列全部条件：</w:t>
      </w:r>
    </w:p>
    <w:p>
      <w:pPr>
        <w:pStyle w:val="ListParagraph"/>
        <w:numPr>
          <w:ilvl w:val="0"/>
          <w:numId w:val="76"/>
        </w:numPr>
        <w:tabs>
          <w:tab w:pos="880" w:val="left" w:leader="none"/>
        </w:tabs>
        <w:spacing w:line="237" w:lineRule="auto" w:before="60" w:after="0"/>
        <w:ind w:left="880" w:right="157" w:hanging="720"/>
        <w:jc w:val="left"/>
        <w:rPr>
          <w:sz w:val="21"/>
        </w:rPr>
      </w:pPr>
      <w:r>
        <w:rPr>
          <w:spacing w:val="1"/>
          <w:sz w:val="21"/>
        </w:rPr>
        <w:t>导致心室功能受损，其受损程度达到美国纽约心脏病学会</w:t>
      </w:r>
      <w:r>
        <w:rPr>
          <w:spacing w:val="1"/>
          <w:w w:val="95"/>
          <w:sz w:val="21"/>
        </w:rPr>
        <w:t>心功能状态分级Ⅲ级，或其同等级别；</w:t>
      </w:r>
    </w:p>
    <w:p>
      <w:pPr>
        <w:pStyle w:val="ListParagraph"/>
        <w:numPr>
          <w:ilvl w:val="0"/>
          <w:numId w:val="76"/>
        </w:numPr>
        <w:tabs>
          <w:tab w:pos="880" w:val="left" w:leader="none"/>
        </w:tabs>
        <w:spacing w:line="240" w:lineRule="auto" w:before="58" w:after="0"/>
        <w:ind w:left="880" w:right="0" w:hanging="720"/>
        <w:jc w:val="left"/>
        <w:rPr>
          <w:sz w:val="21"/>
        </w:rPr>
      </w:pPr>
      <w:r>
        <w:rPr>
          <w:w w:val="95"/>
          <w:sz w:val="21"/>
        </w:rPr>
        <w:t>左室射血分数（LVEF）≤40%；</w:t>
      </w:r>
    </w:p>
    <w:p>
      <w:pPr>
        <w:pStyle w:val="ListParagraph"/>
        <w:numPr>
          <w:ilvl w:val="0"/>
          <w:numId w:val="76"/>
        </w:numPr>
        <w:tabs>
          <w:tab w:pos="880" w:val="left" w:leader="none"/>
        </w:tabs>
        <w:spacing w:line="237" w:lineRule="auto" w:before="59" w:after="0"/>
        <w:ind w:left="880" w:right="157" w:hanging="720"/>
        <w:jc w:val="left"/>
        <w:rPr>
          <w:sz w:val="21"/>
        </w:rPr>
      </w:pPr>
      <w:r>
        <w:rPr>
          <w:spacing w:val="1"/>
          <w:sz w:val="21"/>
        </w:rPr>
        <w:t>原发性心肌病的诊断必须由医院的心脏专科医生确认，并</w:t>
      </w:r>
      <w:r>
        <w:rPr>
          <w:spacing w:val="1"/>
          <w:w w:val="95"/>
          <w:sz w:val="21"/>
        </w:rPr>
        <w:t>提供心脏超声检查结果报告。</w:t>
      </w:r>
    </w:p>
    <w:p>
      <w:pPr>
        <w:pStyle w:val="BodyText"/>
        <w:spacing w:before="58"/>
        <w:ind w:left="160"/>
        <w:rPr>
          <w:rFonts w:ascii="黑体" w:eastAsia="黑体" w:hint="eastAsia"/>
        </w:rPr>
      </w:pPr>
      <w:r>
        <w:rPr>
          <w:rFonts w:ascii="黑体" w:eastAsia="黑体" w:hint="eastAsia"/>
          <w:w w:val="95"/>
        </w:rPr>
        <w:t>本保障范围内的心肌病仅包括扩张型心肌病及限制型心肌病。</w:t>
      </w:r>
    </w:p>
    <w:p>
      <w:pPr>
        <w:pStyle w:val="BodyText"/>
        <w:spacing w:line="237" w:lineRule="auto" w:before="61"/>
        <w:ind w:left="160" w:right="157"/>
        <w:rPr>
          <w:rFonts w:ascii="黑体" w:eastAsia="黑体" w:hint="eastAsia"/>
        </w:rPr>
      </w:pPr>
      <w:r>
        <w:rPr>
          <w:rFonts w:ascii="黑体" w:eastAsia="黑体" w:hint="eastAsia"/>
        </w:rPr>
        <w:t>继发于全身性疾病或其他器官系统疾病及酒精滥用造成的心肌病</w:t>
      </w:r>
      <w:r>
        <w:rPr>
          <w:rFonts w:ascii="黑体" w:eastAsia="黑体" w:hint="eastAsia"/>
          <w:w w:val="95"/>
        </w:rPr>
        <w:t>变不在保障范围内。</w:t>
      </w:r>
    </w:p>
    <w:p>
      <w:pPr>
        <w:spacing w:after="0" w:line="237" w:lineRule="auto"/>
        <w:rPr>
          <w:rFonts w:ascii="黑体" w:eastAsia="黑体" w:hint="eastAsia"/>
        </w:rPr>
        <w:sectPr>
          <w:type w:val="continuous"/>
          <w:pgSz w:w="12240" w:h="15840"/>
          <w:pgMar w:top="900" w:bottom="280" w:left="1640" w:right="1640"/>
          <w:cols w:num="2" w:equalWidth="0">
            <w:col w:w="2381" w:space="199"/>
            <w:col w:w="6380"/>
          </w:cols>
        </w:sectPr>
      </w:pPr>
    </w:p>
    <w:p>
      <w:pPr>
        <w:pStyle w:val="BodyText"/>
        <w:spacing w:before="7"/>
        <w:rPr>
          <w:rFonts w:ascii="黑体"/>
          <w:sz w:val="22"/>
        </w:rPr>
      </w:pPr>
    </w:p>
    <w:p>
      <w:pPr>
        <w:spacing w:after="0"/>
        <w:rPr>
          <w:rFonts w:ascii="黑体"/>
          <w:sz w:val="22"/>
        </w:rPr>
        <w:sectPr>
          <w:type w:val="continuous"/>
          <w:pgSz w:w="12240" w:h="15840"/>
          <w:pgMar w:top="900" w:bottom="280" w:left="1640" w:right="1640"/>
        </w:sectPr>
      </w:pPr>
    </w:p>
    <w:p>
      <w:pPr>
        <w:pStyle w:val="Heading2"/>
        <w:numPr>
          <w:ilvl w:val="1"/>
          <w:numId w:val="75"/>
        </w:numPr>
        <w:tabs>
          <w:tab w:pos="906" w:val="left" w:leader="none"/>
          <w:tab w:pos="907" w:val="left" w:leader="none"/>
        </w:tabs>
        <w:spacing w:line="274" w:lineRule="exact" w:before="35" w:after="0"/>
        <w:ind w:left="2740" w:right="0" w:hanging="2580"/>
        <w:jc w:val="left"/>
      </w:pPr>
      <w:r>
        <w:rPr>
          <w:w w:val="95"/>
        </w:rPr>
        <w:t>植入腔静脉过滤</w:t>
      </w:r>
    </w:p>
    <w:p>
      <w:pPr>
        <w:spacing w:line="274" w:lineRule="exact" w:before="0"/>
        <w:ind w:left="0" w:right="356" w:firstLine="0"/>
        <w:jc w:val="center"/>
        <w:rPr>
          <w:b/>
          <w:sz w:val="21"/>
        </w:rPr>
      </w:pPr>
      <w:r>
        <w:rPr>
          <w:b/>
          <w:w w:val="99"/>
          <w:sz w:val="21"/>
        </w:rPr>
        <w:t>器</w:t>
      </w:r>
    </w:p>
    <w:p>
      <w:pPr>
        <w:pStyle w:val="BodyText"/>
        <w:spacing w:before="35"/>
        <w:ind w:left="160" w:right="157"/>
        <w:rPr>
          <w:rFonts w:ascii="黑体" w:eastAsia="黑体" w:hint="eastAsia"/>
        </w:rPr>
      </w:pPr>
      <w:r>
        <w:rPr/>
        <w:br w:type="column"/>
      </w:r>
      <w:r>
        <w:rPr>
          <w:spacing w:val="-3"/>
          <w:w w:val="95"/>
        </w:rPr>
        <w:t>指因反复肺栓塞，抗凝疗法无效而实施手术植入腔静脉过滤器。</w:t>
      </w:r>
      <w:r>
        <w:rPr>
          <w:rFonts w:ascii="黑体" w:eastAsia="黑体" w:hint="eastAsia"/>
          <w:w w:val="95"/>
        </w:rPr>
        <w:t>该  手术须由专科医Th认为是医学必需的。</w:t>
      </w:r>
    </w:p>
    <w:p>
      <w:pPr>
        <w:spacing w:after="0"/>
        <w:rPr>
          <w:rFonts w:ascii="黑体" w:eastAsia="黑体" w:hint="eastAsia"/>
        </w:rPr>
        <w:sectPr>
          <w:type w:val="continuous"/>
          <w:pgSz w:w="12240" w:h="15840"/>
          <w:pgMar w:top="900" w:bottom="280" w:left="1640" w:right="1640"/>
          <w:cols w:num="2" w:equalWidth="0">
            <w:col w:w="2381" w:space="199"/>
            <w:col w:w="6380"/>
          </w:cols>
        </w:sectPr>
      </w:pPr>
    </w:p>
    <w:p>
      <w:pPr>
        <w:pStyle w:val="BodyText"/>
        <w:spacing w:before="7"/>
        <w:rPr>
          <w:rFonts w:ascii="黑体"/>
          <w:sz w:val="22"/>
        </w:rPr>
      </w:pPr>
    </w:p>
    <w:p>
      <w:pPr>
        <w:spacing w:after="0"/>
        <w:rPr>
          <w:rFonts w:ascii="黑体"/>
          <w:sz w:val="22"/>
        </w:rPr>
        <w:sectPr>
          <w:type w:val="continuous"/>
          <w:pgSz w:w="12240" w:h="15840"/>
          <w:pgMar w:top="900" w:bottom="280" w:left="1640" w:right="1640"/>
        </w:sectPr>
      </w:pPr>
    </w:p>
    <w:p>
      <w:pPr>
        <w:pStyle w:val="Heading2"/>
        <w:numPr>
          <w:ilvl w:val="1"/>
          <w:numId w:val="75"/>
        </w:numPr>
        <w:tabs>
          <w:tab w:pos="906" w:val="left" w:leader="none"/>
          <w:tab w:pos="907" w:val="left" w:leader="none"/>
        </w:tabs>
        <w:spacing w:line="273" w:lineRule="exact" w:before="35" w:after="0"/>
        <w:ind w:left="2740" w:right="0" w:hanging="2580"/>
        <w:jc w:val="left"/>
      </w:pPr>
      <w:r>
        <w:rPr>
          <w:w w:val="95"/>
        </w:rPr>
        <w:t>特定的病毒性脑</w:t>
      </w:r>
    </w:p>
    <w:p>
      <w:pPr>
        <w:spacing w:line="273" w:lineRule="exact" w:before="0"/>
        <w:ind w:left="897" w:right="1042" w:firstLine="0"/>
        <w:jc w:val="center"/>
        <w:rPr>
          <w:b/>
          <w:sz w:val="21"/>
        </w:rPr>
      </w:pPr>
      <w:r>
        <w:rPr>
          <w:b/>
          <w:w w:val="95"/>
          <w:sz w:val="21"/>
        </w:rPr>
        <w:t>膜炎</w:t>
      </w:r>
    </w:p>
    <w:p>
      <w:pPr>
        <w:pStyle w:val="BodyText"/>
        <w:spacing w:line="237" w:lineRule="auto" w:before="37"/>
        <w:ind w:left="160" w:right="130"/>
        <w:jc w:val="both"/>
      </w:pPr>
      <w:r>
        <w:rPr/>
        <w:br w:type="column"/>
      </w:r>
      <w:r>
        <w:rPr>
          <w:spacing w:val="-1"/>
        </w:rPr>
        <w:t>因病毒感染致脑炎</w:t>
      </w:r>
      <w:r>
        <w:rPr/>
        <w:t>（</w:t>
      </w:r>
      <w:r>
        <w:rPr>
          <w:spacing w:val="-2"/>
        </w:rPr>
        <w:t>大脑半球、脑干或小脑</w:t>
      </w:r>
      <w:r>
        <w:rPr>
          <w:spacing w:val="-8"/>
        </w:rPr>
        <w:t>）</w:t>
      </w:r>
      <w:r>
        <w:rPr>
          <w:spacing w:val="-2"/>
        </w:rPr>
        <w:t>需要入住医院，并导</w:t>
      </w:r>
      <w:r>
        <w:rPr>
          <w:spacing w:val="-6"/>
        </w:rPr>
        <w:t>致永久不可逆的神经系统功能障碍，初次确诊 </w:t>
      </w:r>
      <w:r>
        <w:rPr/>
        <w:t>180</w:t>
      </w:r>
      <w:r>
        <w:rPr>
          <w:spacing w:val="-11"/>
        </w:rPr>
        <w:t> 天后，其自主生</w:t>
      </w:r>
      <w:r>
        <w:rPr>
          <w:spacing w:val="-11"/>
          <w:w w:val="95"/>
        </w:rPr>
        <w:t>活能力部分丧失，无法独立完成六项基本日常生活活动中的二项。</w:t>
      </w:r>
    </w:p>
    <w:p>
      <w:pPr>
        <w:spacing w:after="0" w:line="237" w:lineRule="auto"/>
        <w:jc w:val="both"/>
        <w:sectPr>
          <w:type w:val="continuous"/>
          <w:pgSz w:w="12240" w:h="15840"/>
          <w:pgMar w:top="900" w:bottom="280" w:left="1640" w:right="1640"/>
          <w:cols w:num="2" w:equalWidth="0">
            <w:col w:w="2381" w:space="199"/>
            <w:col w:w="6380"/>
          </w:cols>
        </w:sectPr>
      </w:pPr>
    </w:p>
    <w:p>
      <w:pPr>
        <w:pStyle w:val="BodyText"/>
        <w:spacing w:before="2"/>
        <w:rPr>
          <w:sz w:val="20"/>
        </w:rPr>
      </w:pPr>
    </w:p>
    <w:p>
      <w:pPr>
        <w:spacing w:after="0"/>
        <w:rPr>
          <w:sz w:val="20"/>
        </w:rPr>
        <w:sectPr>
          <w:pgSz w:w="12240" w:h="15840"/>
          <w:pgMar w:top="1500" w:bottom="280" w:left="1640" w:right="1640"/>
        </w:sectPr>
      </w:pPr>
    </w:p>
    <w:p>
      <w:pPr>
        <w:pStyle w:val="Heading2"/>
        <w:numPr>
          <w:ilvl w:val="1"/>
          <w:numId w:val="75"/>
        </w:numPr>
        <w:tabs>
          <w:tab w:pos="906" w:val="left" w:leader="none"/>
          <w:tab w:pos="907" w:val="left" w:leader="none"/>
        </w:tabs>
        <w:spacing w:line="273" w:lineRule="exact" w:before="34" w:after="0"/>
        <w:ind w:left="2740" w:right="0" w:hanging="2580"/>
        <w:jc w:val="left"/>
      </w:pPr>
      <w:r>
        <w:rPr>
          <w:w w:val="95"/>
        </w:rPr>
        <w:t>早期脑退化症(包</w:t>
      </w:r>
    </w:p>
    <w:p>
      <w:pPr>
        <w:spacing w:line="237" w:lineRule="auto" w:before="0"/>
        <w:ind w:left="906" w:right="103" w:firstLine="0"/>
        <w:jc w:val="left"/>
        <w:rPr>
          <w:b/>
          <w:sz w:val="21"/>
        </w:rPr>
      </w:pPr>
      <w:r>
        <w:rPr>
          <w:b/>
          <w:w w:val="95"/>
          <w:sz w:val="21"/>
        </w:rPr>
        <w:t>括早期阿尔茨海默病)</w:t>
      </w:r>
    </w:p>
    <w:p>
      <w:pPr>
        <w:pStyle w:val="BodyText"/>
        <w:spacing w:line="237" w:lineRule="auto" w:before="37"/>
        <w:ind w:left="160" w:right="102"/>
        <w:rPr>
          <w:rFonts w:ascii="黑体" w:eastAsia="黑体" w:hint="eastAsia"/>
        </w:rPr>
      </w:pPr>
      <w:r>
        <w:rPr/>
        <w:br w:type="column"/>
      </w:r>
      <w:r>
        <w:rPr>
          <w:w w:val="95"/>
        </w:rPr>
        <w:t>指脑的器质性疾病造成永久不可逆的认知功能障碍。该疾病须已经 </w:t>
      </w:r>
      <w:r>
        <w:rPr/>
        <w:t>持续治疗了 180 天，</w:t>
      </w:r>
      <w:r>
        <w:rPr>
          <w:rFonts w:ascii="黑体" w:eastAsia="黑体" w:hint="eastAsia"/>
        </w:rPr>
        <w:t>且满足下列全部条件：</w:t>
      </w:r>
    </w:p>
    <w:p>
      <w:pPr>
        <w:pStyle w:val="ListParagraph"/>
        <w:numPr>
          <w:ilvl w:val="0"/>
          <w:numId w:val="77"/>
        </w:numPr>
        <w:tabs>
          <w:tab w:pos="880" w:val="left" w:leader="none"/>
        </w:tabs>
        <w:spacing w:line="240" w:lineRule="auto" w:before="56" w:after="0"/>
        <w:ind w:left="880" w:right="157" w:hanging="720"/>
        <w:jc w:val="left"/>
        <w:rPr>
          <w:sz w:val="21"/>
        </w:rPr>
      </w:pPr>
      <w:r>
        <w:rPr>
          <w:spacing w:val="2"/>
          <w:sz w:val="21"/>
        </w:rPr>
        <w:t>治疗前后两次简易智能精神状态检查表</w:t>
      </w:r>
      <w:r>
        <w:rPr>
          <w:sz w:val="21"/>
        </w:rPr>
        <w:t>（MMSE）</w:t>
      </w:r>
      <w:r>
        <w:rPr>
          <w:spacing w:val="1"/>
          <w:sz w:val="21"/>
        </w:rPr>
        <w:t>评分均不</w:t>
      </w:r>
      <w:r>
        <w:rPr>
          <w:spacing w:val="-1"/>
          <w:w w:val="99"/>
          <w:sz w:val="21"/>
        </w:rPr>
        <w:t>超过</w:t>
      </w:r>
      <w:r>
        <w:rPr>
          <w:spacing w:val="-53"/>
          <w:sz w:val="21"/>
        </w:rPr>
        <w:t> </w:t>
      </w:r>
      <w:r>
        <w:rPr>
          <w:spacing w:val="0"/>
          <w:w w:val="99"/>
          <w:sz w:val="21"/>
        </w:rPr>
        <w:t>1</w:t>
      </w:r>
      <w:r>
        <w:rPr>
          <w:w w:val="99"/>
          <w:sz w:val="21"/>
        </w:rPr>
        <w:t>9</w:t>
      </w:r>
      <w:r>
        <w:rPr>
          <w:spacing w:val="-52"/>
          <w:sz w:val="21"/>
        </w:rPr>
        <w:t> </w:t>
      </w:r>
      <w:r>
        <w:rPr>
          <w:spacing w:val="-1"/>
          <w:w w:val="99"/>
          <w:sz w:val="21"/>
        </w:rPr>
        <w:t>分</w:t>
      </w:r>
      <w:r>
        <w:rPr>
          <w:spacing w:val="1"/>
          <w:w w:val="99"/>
          <w:sz w:val="21"/>
        </w:rPr>
        <w:t>（</w:t>
      </w:r>
      <w:r>
        <w:rPr>
          <w:spacing w:val="-1"/>
          <w:w w:val="99"/>
          <w:sz w:val="21"/>
        </w:rPr>
        <w:t>总分</w:t>
      </w:r>
      <w:r>
        <w:rPr>
          <w:spacing w:val="-53"/>
          <w:sz w:val="21"/>
        </w:rPr>
        <w:t> </w:t>
      </w:r>
      <w:r>
        <w:rPr>
          <w:spacing w:val="0"/>
          <w:w w:val="99"/>
          <w:sz w:val="21"/>
        </w:rPr>
        <w:t>3</w:t>
      </w:r>
      <w:r>
        <w:rPr>
          <w:w w:val="99"/>
          <w:sz w:val="21"/>
        </w:rPr>
        <w:t>0</w:t>
      </w:r>
      <w:r>
        <w:rPr>
          <w:spacing w:val="-52"/>
          <w:sz w:val="21"/>
        </w:rPr>
        <w:t> </w:t>
      </w:r>
      <w:r>
        <w:rPr>
          <w:spacing w:val="1"/>
          <w:w w:val="99"/>
          <w:sz w:val="21"/>
        </w:rPr>
        <w:t>分</w:t>
      </w:r>
      <w:r>
        <w:rPr>
          <w:spacing w:val="-106"/>
          <w:w w:val="99"/>
          <w:sz w:val="21"/>
        </w:rPr>
        <w:t>）</w:t>
      </w:r>
      <w:r>
        <w:rPr>
          <w:w w:val="99"/>
          <w:sz w:val="21"/>
        </w:rPr>
        <w:t>；</w:t>
      </w:r>
    </w:p>
    <w:p>
      <w:pPr>
        <w:pStyle w:val="ListParagraph"/>
        <w:numPr>
          <w:ilvl w:val="0"/>
          <w:numId w:val="77"/>
        </w:numPr>
        <w:tabs>
          <w:tab w:pos="880" w:val="left" w:leader="none"/>
        </w:tabs>
        <w:spacing w:line="237" w:lineRule="auto" w:before="61" w:after="0"/>
        <w:ind w:left="880" w:right="157" w:hanging="720"/>
        <w:jc w:val="left"/>
        <w:rPr>
          <w:sz w:val="21"/>
        </w:rPr>
      </w:pPr>
      <w:r>
        <w:rPr>
          <w:spacing w:val="1"/>
          <w:sz w:val="21"/>
        </w:rPr>
        <w:t>存在自主生活能力部分丧失，无法独立完成六项基本日常</w:t>
      </w:r>
      <w:r>
        <w:rPr>
          <w:spacing w:val="1"/>
          <w:w w:val="95"/>
          <w:sz w:val="21"/>
        </w:rPr>
        <w:t>生活活动中二项。</w:t>
      </w:r>
    </w:p>
    <w:p>
      <w:pPr>
        <w:pStyle w:val="BodyText"/>
        <w:spacing w:before="58"/>
        <w:ind w:left="160"/>
        <w:rPr>
          <w:rFonts w:ascii="黑体" w:eastAsia="黑体" w:hint="eastAsia"/>
        </w:rPr>
      </w:pPr>
      <w:r>
        <w:rPr>
          <w:rFonts w:ascii="黑体" w:eastAsia="黑体" w:hint="eastAsia"/>
          <w:w w:val="95"/>
        </w:rPr>
        <w:t>因神经官能症、精神疾病及酒精中毒所致脑损害不在保障范围内。</w:t>
      </w:r>
    </w:p>
    <w:p>
      <w:pPr>
        <w:spacing w:after="0"/>
        <w:rPr>
          <w:rFonts w:ascii="黑体" w:eastAsia="黑体" w:hint="eastAsia"/>
        </w:rPr>
        <w:sectPr>
          <w:type w:val="continuous"/>
          <w:pgSz w:w="12240" w:h="15840"/>
          <w:pgMar w:top="900" w:bottom="280" w:left="1640" w:right="1640"/>
          <w:cols w:num="2" w:equalWidth="0">
            <w:col w:w="2486" w:space="94"/>
            <w:col w:w="6380"/>
          </w:cols>
        </w:sectPr>
      </w:pPr>
    </w:p>
    <w:p>
      <w:pPr>
        <w:pStyle w:val="BodyText"/>
        <w:spacing w:before="7"/>
        <w:rPr>
          <w:rFonts w:ascii="黑体"/>
          <w:sz w:val="22"/>
        </w:rPr>
      </w:pPr>
    </w:p>
    <w:p>
      <w:pPr>
        <w:spacing w:after="0"/>
        <w:rPr>
          <w:rFonts w:ascii="黑体"/>
          <w:sz w:val="22"/>
        </w:rPr>
        <w:sectPr>
          <w:type w:val="continuous"/>
          <w:pgSz w:w="12240" w:h="15840"/>
          <w:pgMar w:top="900" w:bottom="280" w:left="1640" w:right="1640"/>
        </w:sectPr>
      </w:pPr>
    </w:p>
    <w:p>
      <w:pPr>
        <w:pStyle w:val="Heading2"/>
        <w:numPr>
          <w:ilvl w:val="1"/>
          <w:numId w:val="75"/>
        </w:numPr>
        <w:tabs>
          <w:tab w:pos="906" w:val="left" w:leader="none"/>
          <w:tab w:pos="907" w:val="left" w:leader="none"/>
        </w:tabs>
        <w:spacing w:line="273" w:lineRule="exact" w:before="34" w:after="0"/>
        <w:ind w:left="2740" w:right="0" w:hanging="2580"/>
        <w:jc w:val="left"/>
      </w:pPr>
      <w:r>
        <w:rPr>
          <w:w w:val="95"/>
        </w:rPr>
        <w:t>植入大脑内分流</w:t>
      </w:r>
    </w:p>
    <w:p>
      <w:pPr>
        <w:spacing w:line="273" w:lineRule="exact" w:before="0"/>
        <w:ind w:left="0" w:right="356" w:firstLine="0"/>
        <w:jc w:val="center"/>
        <w:rPr>
          <w:b/>
          <w:sz w:val="21"/>
        </w:rPr>
      </w:pPr>
      <w:r>
        <w:rPr>
          <w:b/>
          <w:w w:val="99"/>
          <w:sz w:val="21"/>
        </w:rPr>
        <w:t>器</w:t>
      </w:r>
    </w:p>
    <w:p>
      <w:pPr>
        <w:pStyle w:val="BodyText"/>
        <w:spacing w:before="34"/>
        <w:ind w:left="160"/>
      </w:pPr>
      <w:r>
        <w:rPr/>
        <w:br w:type="column"/>
      </w:r>
      <w:r>
        <w:rPr>
          <w:w w:val="95"/>
        </w:rPr>
        <w:t>为缓解已升高的脑脊液压力而确实已在脑室进行分流器植入手术。</w:t>
      </w:r>
    </w:p>
    <w:p>
      <w:pPr>
        <w:pStyle w:val="BodyText"/>
        <w:ind w:left="160"/>
      </w:pPr>
      <w:r>
        <w:rPr>
          <w:rFonts w:ascii="黑体" w:eastAsia="黑体" w:hint="eastAsia"/>
          <w:w w:val="95"/>
        </w:rPr>
        <w:t>诊断及治疗均须由专科医Th认为是医学必需的</w:t>
      </w:r>
      <w:r>
        <w:rPr>
          <w:w w:val="95"/>
        </w:rPr>
        <w:t>。</w:t>
      </w:r>
    </w:p>
    <w:p>
      <w:pPr>
        <w:spacing w:after="0"/>
        <w:sectPr>
          <w:type w:val="continuous"/>
          <w:pgSz w:w="12240" w:h="15840"/>
          <w:pgMar w:top="900" w:bottom="280" w:left="1640" w:right="1640"/>
          <w:cols w:num="2" w:equalWidth="0">
            <w:col w:w="2381" w:space="199"/>
            <w:col w:w="6380"/>
          </w:cols>
        </w:sectPr>
      </w:pPr>
    </w:p>
    <w:p>
      <w:pPr>
        <w:pStyle w:val="BodyText"/>
        <w:spacing w:before="7"/>
        <w:rPr>
          <w:sz w:val="22"/>
        </w:rPr>
      </w:pPr>
    </w:p>
    <w:p>
      <w:pPr>
        <w:spacing w:after="0"/>
        <w:rPr>
          <w:sz w:val="22"/>
        </w:rPr>
        <w:sectPr>
          <w:type w:val="continuous"/>
          <w:pgSz w:w="12240" w:h="15840"/>
          <w:pgMar w:top="900" w:bottom="280" w:left="1640" w:right="1640"/>
        </w:sectPr>
      </w:pPr>
    </w:p>
    <w:p>
      <w:pPr>
        <w:pStyle w:val="Heading2"/>
        <w:numPr>
          <w:ilvl w:val="1"/>
          <w:numId w:val="75"/>
        </w:numPr>
        <w:tabs>
          <w:tab w:pos="906" w:val="left" w:leader="none"/>
          <w:tab w:pos="907" w:val="left" w:leader="none"/>
        </w:tabs>
        <w:spacing w:line="273" w:lineRule="exact" w:before="35" w:after="0"/>
        <w:ind w:left="2740" w:right="0" w:hanging="2580"/>
        <w:jc w:val="left"/>
      </w:pPr>
      <w:r>
        <w:rPr>
          <w:w w:val="95"/>
        </w:rPr>
        <w:t>特定的结核性脊</w:t>
      </w:r>
    </w:p>
    <w:p>
      <w:pPr>
        <w:spacing w:line="273" w:lineRule="exact" w:before="0"/>
        <w:ind w:left="897" w:right="1042" w:firstLine="0"/>
        <w:jc w:val="center"/>
        <w:rPr>
          <w:b/>
          <w:sz w:val="21"/>
        </w:rPr>
      </w:pPr>
      <w:r>
        <w:rPr>
          <w:b/>
          <w:w w:val="95"/>
          <w:sz w:val="21"/>
        </w:rPr>
        <w:t>髓炎</w:t>
      </w:r>
    </w:p>
    <w:p>
      <w:pPr>
        <w:pStyle w:val="BodyText"/>
        <w:spacing w:line="237" w:lineRule="auto" w:before="38"/>
        <w:ind w:left="160" w:right="157"/>
        <w:jc w:val="both"/>
      </w:pPr>
      <w:r>
        <w:rPr/>
        <w:br w:type="column"/>
      </w:r>
      <w:r>
        <w:rPr>
          <w:spacing w:val="5"/>
        </w:rPr>
        <w:t>指因结核杆菌引起的脊髓炎，导致永久不可逆的神经系统功能障</w:t>
      </w:r>
      <w:r>
        <w:rPr>
          <w:spacing w:val="-9"/>
        </w:rPr>
        <w:t>碍。疾病初次确诊 </w:t>
      </w:r>
      <w:r>
        <w:rPr/>
        <w:t>180</w:t>
      </w:r>
      <w:r>
        <w:rPr>
          <w:spacing w:val="-9"/>
        </w:rPr>
        <w:t> 天后，虽未达到本合同重大疾病“严重的结</w:t>
      </w:r>
      <w:r>
        <w:rPr>
          <w:spacing w:val="-9"/>
          <w:w w:val="95"/>
        </w:rPr>
        <w:t>核性脊髓炎”的给付标准，但遗留下列一种或一种以上障碍：</w:t>
      </w:r>
    </w:p>
    <w:p>
      <w:pPr>
        <w:pStyle w:val="ListParagraph"/>
        <w:numPr>
          <w:ilvl w:val="0"/>
          <w:numId w:val="78"/>
        </w:numPr>
        <w:tabs>
          <w:tab w:pos="880" w:val="left" w:leader="none"/>
        </w:tabs>
        <w:spacing w:line="237" w:lineRule="auto" w:before="61" w:after="0"/>
        <w:ind w:left="880" w:right="157" w:hanging="720"/>
        <w:jc w:val="left"/>
        <w:rPr>
          <w:sz w:val="21"/>
        </w:rPr>
      </w:pPr>
      <w:r>
        <w:rPr>
          <w:spacing w:val="10"/>
          <w:sz w:val="21"/>
        </w:rPr>
        <w:t>一肢或一肢以上肢体肌力Ⅲ级或Ⅲ级以下的运动功能障</w:t>
      </w:r>
      <w:r>
        <w:rPr>
          <w:spacing w:val="-1"/>
          <w:w w:val="95"/>
          <w:sz w:val="21"/>
        </w:rPr>
        <w:t>碍；</w:t>
      </w:r>
    </w:p>
    <w:p>
      <w:pPr>
        <w:pStyle w:val="ListParagraph"/>
        <w:numPr>
          <w:ilvl w:val="0"/>
          <w:numId w:val="78"/>
        </w:numPr>
        <w:tabs>
          <w:tab w:pos="880" w:val="left" w:leader="none"/>
        </w:tabs>
        <w:spacing w:line="240" w:lineRule="auto" w:before="56" w:after="0"/>
        <w:ind w:left="880" w:right="157" w:hanging="720"/>
        <w:jc w:val="left"/>
        <w:rPr>
          <w:sz w:val="21"/>
        </w:rPr>
      </w:pPr>
      <w:r>
        <w:rPr>
          <w:spacing w:val="1"/>
          <w:sz w:val="21"/>
        </w:rPr>
        <w:t>自主生活能力部分丧失，无法独立完成六项基本日常生活</w:t>
      </w:r>
      <w:r>
        <w:rPr>
          <w:spacing w:val="1"/>
          <w:w w:val="95"/>
          <w:sz w:val="21"/>
        </w:rPr>
        <w:t>活动中的两项或两项以上。</w:t>
      </w:r>
    </w:p>
    <w:p>
      <w:pPr>
        <w:spacing w:after="0" w:line="240" w:lineRule="auto"/>
        <w:jc w:val="left"/>
        <w:rPr>
          <w:sz w:val="21"/>
        </w:rPr>
        <w:sectPr>
          <w:type w:val="continuous"/>
          <w:pgSz w:w="12240" w:h="15840"/>
          <w:pgMar w:top="900" w:bottom="280" w:left="1640" w:right="1640"/>
          <w:cols w:num="2" w:equalWidth="0">
            <w:col w:w="2381" w:space="199"/>
            <w:col w:w="6380"/>
          </w:cols>
        </w:sectPr>
      </w:pPr>
    </w:p>
    <w:p>
      <w:pPr>
        <w:pStyle w:val="BodyText"/>
        <w:spacing w:before="4"/>
        <w:rPr>
          <w:sz w:val="9"/>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62"/>
        <w:gridCol w:w="6290"/>
      </w:tblGrid>
      <w:tr>
        <w:trPr>
          <w:trHeight w:val="680"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09" w:lineRule="exact"/>
              <w:ind w:left="180"/>
              <w:rPr>
                <w:sz w:val="21"/>
              </w:rPr>
            </w:pPr>
            <w:r>
              <w:rPr>
                <w:w w:val="95"/>
                <w:sz w:val="21"/>
              </w:rPr>
              <w:t>该诊断必须由医院的神经专科医生证实，并必须经医学检查证明为</w:t>
            </w:r>
          </w:p>
          <w:p>
            <w:pPr>
              <w:pStyle w:val="TableParagraph"/>
              <w:spacing w:line="274" w:lineRule="exact"/>
              <w:ind w:left="180"/>
              <w:rPr>
                <w:sz w:val="21"/>
              </w:rPr>
            </w:pPr>
            <w:r>
              <w:rPr>
                <w:w w:val="95"/>
                <w:sz w:val="21"/>
              </w:rPr>
              <w:t>结核性脊髓炎。</w:t>
            </w:r>
          </w:p>
        </w:tc>
      </w:tr>
      <w:tr>
        <w:trPr>
          <w:trHeight w:val="467" w:hRule="atLeast"/>
        </w:trPr>
        <w:tc>
          <w:tcPr>
            <w:tcW w:w="688" w:type="dxa"/>
          </w:tcPr>
          <w:p>
            <w:pPr>
              <w:pStyle w:val="TableParagraph"/>
              <w:spacing w:before="132"/>
              <w:ind w:left="31" w:right="87"/>
              <w:jc w:val="center"/>
              <w:rPr>
                <w:b/>
                <w:sz w:val="21"/>
              </w:rPr>
            </w:pPr>
            <w:r>
              <w:rPr>
                <w:b/>
                <w:sz w:val="21"/>
              </w:rPr>
              <w:t>10.42</w:t>
            </w:r>
          </w:p>
        </w:tc>
        <w:tc>
          <w:tcPr>
            <w:tcW w:w="1762" w:type="dxa"/>
          </w:tcPr>
          <w:p>
            <w:pPr>
              <w:pStyle w:val="TableParagraph"/>
              <w:spacing w:before="132"/>
              <w:ind w:left="108"/>
              <w:rPr>
                <w:b/>
                <w:sz w:val="21"/>
              </w:rPr>
            </w:pPr>
            <w:r>
              <w:rPr>
                <w:b/>
                <w:w w:val="95"/>
                <w:sz w:val="21"/>
              </w:rPr>
              <w:t>肝硬化</w:t>
            </w:r>
          </w:p>
        </w:tc>
        <w:tc>
          <w:tcPr>
            <w:tcW w:w="6290" w:type="dxa"/>
          </w:tcPr>
          <w:p>
            <w:pPr>
              <w:pStyle w:val="TableParagraph"/>
              <w:spacing w:before="132"/>
              <w:ind w:left="180"/>
              <w:rPr>
                <w:rFonts w:ascii="黑体" w:eastAsia="黑体" w:hint="eastAsia"/>
                <w:sz w:val="21"/>
              </w:rPr>
            </w:pPr>
            <w:r>
              <w:rPr>
                <w:w w:val="95"/>
                <w:sz w:val="21"/>
              </w:rPr>
              <w:t>指诊断为肝硬化，</w:t>
            </w:r>
            <w:r>
              <w:rPr>
                <w:rFonts w:ascii="黑体" w:eastAsia="黑体" w:hint="eastAsia"/>
                <w:w w:val="95"/>
                <w:sz w:val="21"/>
              </w:rPr>
              <w:t>且满足下列全部条件：</w:t>
            </w:r>
          </w:p>
        </w:tc>
      </w:tr>
      <w:tr>
        <w:trPr>
          <w:trHeight w:val="331"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70" w:lineRule="exact"/>
              <w:ind w:left="180"/>
              <w:rPr>
                <w:sz w:val="21"/>
              </w:rPr>
            </w:pPr>
            <w:r>
              <w:rPr>
                <w:sz w:val="21"/>
              </w:rPr>
              <w:t>（1） 有血液及实验室检查报告等临床证据；</w:t>
            </w:r>
          </w:p>
        </w:tc>
      </w:tr>
      <w:tr>
        <w:trPr>
          <w:trHeight w:val="604"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ind w:left="900" w:right="47" w:hanging="720"/>
              <w:rPr>
                <w:sz w:val="21"/>
              </w:rPr>
            </w:pPr>
            <w:r>
              <w:rPr>
                <w:sz w:val="21"/>
              </w:rPr>
              <w:t>（2） 必须由医院的消化科专科医生基于肝脏组织病理学检查报</w:t>
            </w:r>
            <w:r>
              <w:rPr>
                <w:w w:val="95"/>
                <w:sz w:val="21"/>
              </w:rPr>
              <w:t>告、临床表现及病史对肝硬化作出明确诊断；</w:t>
            </w:r>
          </w:p>
        </w:tc>
      </w:tr>
      <w:tr>
        <w:trPr>
          <w:trHeight w:val="605"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ind w:left="900" w:right="50" w:hanging="720"/>
              <w:rPr>
                <w:sz w:val="21"/>
              </w:rPr>
            </w:pPr>
            <w:r>
              <w:rPr>
                <w:sz w:val="21"/>
              </w:rPr>
              <w:t>（3）</w:t>
            </w:r>
            <w:r>
              <w:rPr>
                <w:spacing w:val="-3"/>
                <w:sz w:val="21"/>
              </w:rPr>
              <w:t> 病理学检查报告证明肝脏病变按 </w:t>
            </w:r>
            <w:r>
              <w:rPr>
                <w:sz w:val="21"/>
              </w:rPr>
              <w:t>Metavir</w:t>
            </w:r>
            <w:r>
              <w:rPr>
                <w:spacing w:val="-17"/>
                <w:sz w:val="21"/>
              </w:rPr>
              <w:t> 分级表中属 </w:t>
            </w:r>
            <w:r>
              <w:rPr>
                <w:sz w:val="21"/>
              </w:rPr>
              <w:t>F4</w:t>
            </w:r>
            <w:r>
              <w:rPr>
                <w:spacing w:val="-30"/>
                <w:sz w:val="21"/>
              </w:rPr>
              <w:t> 阶</w:t>
            </w:r>
            <w:r>
              <w:rPr>
                <w:spacing w:val="-39"/>
                <w:sz w:val="21"/>
              </w:rPr>
              <w:t>段或 </w:t>
            </w:r>
            <w:r>
              <w:rPr>
                <w:sz w:val="21"/>
              </w:rPr>
              <w:t>Knodell</w:t>
            </w:r>
            <w:r>
              <w:rPr>
                <w:spacing w:val="-13"/>
                <w:sz w:val="21"/>
              </w:rPr>
              <w:t> 肝纤维化标准达到 </w:t>
            </w:r>
            <w:r>
              <w:rPr>
                <w:sz w:val="21"/>
              </w:rPr>
              <w:t>4</w:t>
            </w:r>
            <w:r>
              <w:rPr>
                <w:spacing w:val="-19"/>
                <w:sz w:val="21"/>
              </w:rPr>
              <w:t> 分。</w:t>
            </w:r>
          </w:p>
        </w:tc>
      </w:tr>
      <w:tr>
        <w:trPr>
          <w:trHeight w:val="469"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71" w:lineRule="exact"/>
              <w:ind w:left="180"/>
              <w:rPr>
                <w:rFonts w:ascii="黑体" w:eastAsia="黑体" w:hint="eastAsia"/>
                <w:sz w:val="21"/>
              </w:rPr>
            </w:pPr>
            <w:r>
              <w:rPr>
                <w:rFonts w:ascii="黑体" w:eastAsia="黑体" w:hint="eastAsia"/>
                <w:w w:val="95"/>
                <w:sz w:val="21"/>
              </w:rPr>
              <w:t>由酒精或药物滥用而引起的本疾病不在保障范围内。</w:t>
            </w:r>
          </w:p>
        </w:tc>
      </w:tr>
      <w:tr>
        <w:trPr>
          <w:trHeight w:val="406" w:hRule="atLeast"/>
        </w:trPr>
        <w:tc>
          <w:tcPr>
            <w:tcW w:w="688" w:type="dxa"/>
          </w:tcPr>
          <w:p>
            <w:pPr>
              <w:pStyle w:val="TableParagraph"/>
              <w:spacing w:line="255" w:lineRule="exact" w:before="132"/>
              <w:ind w:left="31" w:right="87"/>
              <w:jc w:val="center"/>
              <w:rPr>
                <w:b/>
                <w:sz w:val="21"/>
              </w:rPr>
            </w:pPr>
            <w:r>
              <w:rPr>
                <w:b/>
                <w:sz w:val="21"/>
              </w:rPr>
              <w:t>10.43</w:t>
            </w:r>
          </w:p>
        </w:tc>
        <w:tc>
          <w:tcPr>
            <w:tcW w:w="1762" w:type="dxa"/>
          </w:tcPr>
          <w:p>
            <w:pPr>
              <w:pStyle w:val="TableParagraph"/>
              <w:spacing w:line="255" w:lineRule="exact" w:before="132"/>
              <w:ind w:left="108"/>
              <w:rPr>
                <w:b/>
                <w:sz w:val="21"/>
              </w:rPr>
            </w:pPr>
            <w:r>
              <w:rPr>
                <w:b/>
                <w:w w:val="95"/>
                <w:sz w:val="21"/>
              </w:rPr>
              <w:t>特定的系统性红</w:t>
            </w:r>
          </w:p>
        </w:tc>
        <w:tc>
          <w:tcPr>
            <w:tcW w:w="6290" w:type="dxa"/>
          </w:tcPr>
          <w:p>
            <w:pPr>
              <w:pStyle w:val="TableParagraph"/>
              <w:spacing w:line="255" w:lineRule="exact" w:before="132"/>
              <w:ind w:left="180"/>
              <w:rPr>
                <w:rFonts w:ascii="黑体" w:eastAsia="黑体" w:hint="eastAsia"/>
                <w:sz w:val="21"/>
              </w:rPr>
            </w:pPr>
            <w:r>
              <w:rPr>
                <w:w w:val="95"/>
                <w:sz w:val="21"/>
              </w:rPr>
              <w:t>指诊断为系统性红斑狼疮，</w:t>
            </w:r>
            <w:r>
              <w:rPr>
                <w:rFonts w:ascii="黑体" w:eastAsia="黑体" w:hint="eastAsia"/>
                <w:w w:val="95"/>
                <w:sz w:val="21"/>
              </w:rPr>
              <w:t>且满足下列全部条件：</w:t>
            </w:r>
          </w:p>
        </w:tc>
      </w:tr>
    </w:tbl>
    <w:p>
      <w:pPr>
        <w:spacing w:after="0" w:line="255" w:lineRule="exact"/>
        <w:rPr>
          <w:rFonts w:ascii="黑体" w:eastAsia="黑体" w:hint="eastAsia"/>
          <w:sz w:val="21"/>
        </w:rPr>
        <w:sectPr>
          <w:type w:val="continuous"/>
          <w:pgSz w:w="12240" w:h="15840"/>
          <w:pgMar w:top="900" w:bottom="280" w:left="1640" w:right="1640"/>
        </w:sectPr>
      </w:pPr>
    </w:p>
    <w:p>
      <w:pPr>
        <w:pStyle w:val="Heading2"/>
        <w:spacing w:line="271" w:lineRule="exact"/>
        <w:ind w:left="906"/>
      </w:pPr>
      <w:r>
        <w:rPr>
          <w:w w:val="95"/>
        </w:rPr>
        <w:t>斑狼疮</w:t>
      </w:r>
    </w:p>
    <w:p>
      <w:pPr>
        <w:pStyle w:val="ListParagraph"/>
        <w:numPr>
          <w:ilvl w:val="1"/>
          <w:numId w:val="78"/>
        </w:numPr>
        <w:tabs>
          <w:tab w:pos="1627" w:val="left" w:leader="none"/>
        </w:tabs>
        <w:spacing w:line="240" w:lineRule="auto" w:before="56" w:after="0"/>
        <w:ind w:left="1626" w:right="0" w:hanging="720"/>
        <w:jc w:val="left"/>
        <w:rPr>
          <w:sz w:val="21"/>
        </w:rPr>
      </w:pPr>
      <w:r>
        <w:rPr>
          <w:spacing w:val="-1"/>
          <w:w w:val="99"/>
          <w:sz w:val="21"/>
        </w:rPr>
        <w:br w:type="column"/>
      </w:r>
      <w:r>
        <w:rPr>
          <w:w w:val="95"/>
          <w:sz w:val="21"/>
        </w:rPr>
        <w:t>在下列五项情况中出现最少两项：</w:t>
      </w:r>
    </w:p>
    <w:p>
      <w:pPr>
        <w:pStyle w:val="ListParagraph"/>
        <w:numPr>
          <w:ilvl w:val="2"/>
          <w:numId w:val="78"/>
        </w:numPr>
        <w:tabs>
          <w:tab w:pos="1746" w:val="left" w:leader="none"/>
          <w:tab w:pos="1747" w:val="left" w:leader="none"/>
        </w:tabs>
        <w:spacing w:line="240" w:lineRule="auto" w:before="56" w:after="0"/>
        <w:ind w:left="1746" w:right="0" w:hanging="420"/>
        <w:jc w:val="left"/>
        <w:rPr>
          <w:sz w:val="21"/>
        </w:rPr>
      </w:pPr>
      <w:r>
        <w:rPr>
          <w:w w:val="95"/>
          <w:sz w:val="21"/>
        </w:rPr>
        <w:t>关节炎：非磨损性关节炎，需涉及两个或两个以上关节；</w:t>
      </w:r>
    </w:p>
    <w:p>
      <w:pPr>
        <w:pStyle w:val="ListParagraph"/>
        <w:numPr>
          <w:ilvl w:val="2"/>
          <w:numId w:val="78"/>
        </w:numPr>
        <w:tabs>
          <w:tab w:pos="1746" w:val="left" w:leader="none"/>
          <w:tab w:pos="1747" w:val="left" w:leader="none"/>
        </w:tabs>
        <w:spacing w:line="240" w:lineRule="auto" w:before="59" w:after="0"/>
        <w:ind w:left="1746" w:right="0" w:hanging="420"/>
        <w:jc w:val="left"/>
        <w:rPr>
          <w:sz w:val="21"/>
        </w:rPr>
      </w:pPr>
      <w:r>
        <w:rPr>
          <w:w w:val="95"/>
          <w:sz w:val="21"/>
        </w:rPr>
        <w:t>浆膜炎：胸膜炎或心包炎；</w:t>
      </w:r>
    </w:p>
    <w:p>
      <w:pPr>
        <w:pStyle w:val="ListParagraph"/>
        <w:numPr>
          <w:ilvl w:val="2"/>
          <w:numId w:val="78"/>
        </w:numPr>
        <w:tabs>
          <w:tab w:pos="1746" w:val="left" w:leader="none"/>
          <w:tab w:pos="1747" w:val="left" w:leader="none"/>
        </w:tabs>
        <w:spacing w:line="240" w:lineRule="auto" w:before="56" w:after="0"/>
        <w:ind w:left="1746" w:right="237" w:hanging="420"/>
        <w:jc w:val="left"/>
        <w:rPr>
          <w:sz w:val="21"/>
        </w:rPr>
      </w:pPr>
      <w:r>
        <w:rPr>
          <w:w w:val="95"/>
          <w:sz w:val="21"/>
        </w:rPr>
        <w:t>肾病：24小时尿蛋白定量达到0.5克，或尿液检查出现细 胞管型；</w:t>
      </w:r>
    </w:p>
    <w:p>
      <w:pPr>
        <w:pStyle w:val="ListParagraph"/>
        <w:numPr>
          <w:ilvl w:val="2"/>
          <w:numId w:val="78"/>
        </w:numPr>
        <w:tabs>
          <w:tab w:pos="1746" w:val="left" w:leader="none"/>
          <w:tab w:pos="1747" w:val="left" w:leader="none"/>
        </w:tabs>
        <w:spacing w:line="240" w:lineRule="auto" w:before="56" w:after="0"/>
        <w:ind w:left="1746" w:right="0" w:hanging="420"/>
        <w:jc w:val="left"/>
        <w:rPr>
          <w:sz w:val="21"/>
        </w:rPr>
      </w:pPr>
      <w:r>
        <w:rPr>
          <w:w w:val="95"/>
          <w:sz w:val="21"/>
        </w:rPr>
        <w:t>血液学异常：溶血性贫血、白细胞减少、或血小板减少；</w:t>
      </w:r>
    </w:p>
    <w:p>
      <w:pPr>
        <w:pStyle w:val="ListParagraph"/>
        <w:numPr>
          <w:ilvl w:val="2"/>
          <w:numId w:val="78"/>
        </w:numPr>
        <w:tabs>
          <w:tab w:pos="1746" w:val="left" w:leader="none"/>
          <w:tab w:pos="1747" w:val="left" w:leader="none"/>
        </w:tabs>
        <w:spacing w:line="240" w:lineRule="auto" w:before="59" w:after="0"/>
        <w:ind w:left="1746" w:right="0" w:hanging="420"/>
        <w:jc w:val="left"/>
        <w:rPr>
          <w:sz w:val="21"/>
        </w:rPr>
      </w:pPr>
      <w:r>
        <w:rPr>
          <w:w w:val="95"/>
          <w:sz w:val="21"/>
        </w:rPr>
        <w:t>抗核抗体阳性、或抗dsDNA阳性，或抗Smith抗体阳性。</w:t>
      </w:r>
    </w:p>
    <w:p>
      <w:pPr>
        <w:pStyle w:val="ListParagraph"/>
        <w:numPr>
          <w:ilvl w:val="1"/>
          <w:numId w:val="78"/>
        </w:numPr>
        <w:tabs>
          <w:tab w:pos="1627" w:val="left" w:leader="none"/>
        </w:tabs>
        <w:spacing w:line="240" w:lineRule="auto" w:before="56" w:after="0"/>
        <w:ind w:left="1626" w:right="157" w:hanging="720"/>
        <w:jc w:val="left"/>
        <w:rPr>
          <w:sz w:val="21"/>
        </w:rPr>
      </w:pPr>
      <w:r>
        <w:rPr>
          <w:spacing w:val="1"/>
          <w:sz w:val="21"/>
        </w:rPr>
        <w:t>系统性红斑狼疮的诊断必须由医院的风湿科或免疫系统专</w:t>
      </w:r>
      <w:r>
        <w:rPr>
          <w:spacing w:val="1"/>
          <w:w w:val="95"/>
          <w:sz w:val="21"/>
        </w:rPr>
        <w:t>科医生确定。</w:t>
      </w:r>
    </w:p>
    <w:p>
      <w:pPr>
        <w:spacing w:after="0" w:line="240" w:lineRule="auto"/>
        <w:jc w:val="left"/>
        <w:rPr>
          <w:sz w:val="21"/>
        </w:rPr>
        <w:sectPr>
          <w:type w:val="continuous"/>
          <w:pgSz w:w="12240" w:h="15840"/>
          <w:pgMar w:top="900" w:bottom="280" w:left="1640" w:right="1640"/>
          <w:cols w:num="2" w:equalWidth="0">
            <w:col w:w="1538" w:space="295"/>
            <w:col w:w="7127"/>
          </w:cols>
        </w:sectPr>
      </w:pPr>
    </w:p>
    <w:p>
      <w:pPr>
        <w:pStyle w:val="BodyText"/>
        <w:spacing w:before="7"/>
        <w:rPr>
          <w:sz w:val="22"/>
        </w:rPr>
      </w:pPr>
    </w:p>
    <w:p>
      <w:pPr>
        <w:pStyle w:val="ListParagraph"/>
        <w:numPr>
          <w:ilvl w:val="1"/>
          <w:numId w:val="79"/>
        </w:numPr>
        <w:tabs>
          <w:tab w:pos="906" w:val="left" w:leader="none"/>
          <w:tab w:pos="907" w:val="left" w:leader="none"/>
          <w:tab w:pos="2739" w:val="left" w:leader="none"/>
        </w:tabs>
        <w:spacing w:line="240" w:lineRule="auto" w:before="34" w:after="0"/>
        <w:ind w:left="2680" w:right="0" w:hanging="2520"/>
        <w:jc w:val="left"/>
        <w:rPr>
          <w:sz w:val="21"/>
        </w:rPr>
      </w:pPr>
      <w:r>
        <w:rPr>
          <w:b/>
          <w:sz w:val="21"/>
        </w:rPr>
        <w:t>特定的系统性硬</w:t>
        <w:tab/>
      </w:r>
      <w:r>
        <w:rPr>
          <w:sz w:val="21"/>
        </w:rPr>
        <w:t>指一种以局限性或弥漫性皮肤增厚和皮肤</w:t>
      </w:r>
      <w:r>
        <w:rPr>
          <w:spacing w:val="-15"/>
          <w:sz w:val="21"/>
        </w:rPr>
        <w:t>、</w:t>
      </w:r>
      <w:r>
        <w:rPr>
          <w:sz w:val="21"/>
        </w:rPr>
        <w:t>血管</w:t>
      </w:r>
      <w:r>
        <w:rPr>
          <w:spacing w:val="-15"/>
          <w:sz w:val="21"/>
        </w:rPr>
        <w:t>、</w:t>
      </w:r>
      <w:r>
        <w:rPr>
          <w:sz w:val="21"/>
        </w:rPr>
        <w:t>内脏器官异常纤</w:t>
      </w:r>
    </w:p>
    <w:p>
      <w:pPr>
        <w:spacing w:after="0" w:line="240" w:lineRule="auto"/>
        <w:jc w:val="left"/>
        <w:rPr>
          <w:sz w:val="21"/>
        </w:rPr>
        <w:sectPr>
          <w:type w:val="continuous"/>
          <w:pgSz w:w="12240" w:h="15840"/>
          <w:pgMar w:top="900" w:bottom="280" w:left="1640" w:right="1640"/>
        </w:sectPr>
      </w:pPr>
    </w:p>
    <w:p>
      <w:pPr>
        <w:pStyle w:val="BodyText"/>
        <w:tabs>
          <w:tab w:pos="2679" w:val="left" w:leader="none"/>
        </w:tabs>
        <w:spacing w:before="4"/>
        <w:ind w:left="846"/>
        <w:rPr>
          <w:rFonts w:ascii="黑体" w:eastAsia="黑体" w:hint="eastAsia"/>
        </w:rPr>
      </w:pPr>
      <w:r>
        <w:rPr>
          <w:b/>
        </w:rPr>
        <w:t>皮病</w:t>
        <w:tab/>
      </w:r>
      <w:r>
        <w:rPr>
          <w:w w:val="95"/>
        </w:rPr>
        <w:t>维化为特征的结缔组织病，</w:t>
      </w:r>
      <w:r>
        <w:rPr>
          <w:rFonts w:ascii="黑体" w:eastAsia="黑体" w:hint="eastAsia"/>
          <w:w w:val="95"/>
        </w:rPr>
        <w:t>且满足下列全部条件：</w:t>
      </w:r>
    </w:p>
    <w:p>
      <w:pPr>
        <w:pStyle w:val="ListParagraph"/>
        <w:numPr>
          <w:ilvl w:val="2"/>
          <w:numId w:val="79"/>
        </w:numPr>
        <w:tabs>
          <w:tab w:pos="3400" w:val="left" w:leader="none"/>
        </w:tabs>
        <w:spacing w:line="273" w:lineRule="exact" w:before="58" w:after="0"/>
        <w:ind w:left="3400" w:right="0" w:hanging="720"/>
        <w:jc w:val="left"/>
        <w:rPr>
          <w:sz w:val="21"/>
        </w:rPr>
      </w:pPr>
      <w:r>
        <w:rPr>
          <w:spacing w:val="10"/>
          <w:w w:val="95"/>
          <w:sz w:val="21"/>
        </w:rPr>
        <w:t>必须是经由医院的风湿学专科医生根据美国风湿病学院</w:t>
      </w:r>
    </w:p>
    <w:p>
      <w:pPr>
        <w:pStyle w:val="BodyText"/>
        <w:spacing w:line="237" w:lineRule="auto" w:before="0"/>
        <w:ind w:left="3400" w:right="217"/>
        <w:jc w:val="both"/>
      </w:pPr>
      <w:r>
        <w:rPr/>
        <w:t>（ACR）</w:t>
      </w:r>
      <w:r>
        <w:rPr>
          <w:spacing w:val="-1"/>
        </w:rPr>
        <w:t>及欧洲抗风湿病联盟</w:t>
      </w:r>
      <w:r>
        <w:rPr/>
        <w:t>（EULAR）</w:t>
      </w:r>
      <w:r>
        <w:rPr>
          <w:spacing w:val="-32"/>
        </w:rPr>
        <w:t>在 </w:t>
      </w:r>
      <w:r>
        <w:rPr/>
        <w:t>2013</w:t>
      </w:r>
      <w:r>
        <w:rPr>
          <w:spacing w:val="-12"/>
        </w:rPr>
        <w:t> 年发布的系</w:t>
      </w:r>
      <w:r>
        <w:rPr>
          <w:spacing w:val="2"/>
        </w:rPr>
        <w:t>统性硬皮病诊断标准确认达到确诊标准（</w:t>
      </w:r>
      <w:r>
        <w:rPr>
          <w:spacing w:val="1"/>
        </w:rPr>
        <w:t>总分值由每一个</w:t>
      </w:r>
      <w:r>
        <w:rPr>
          <w:spacing w:val="-2"/>
        </w:rPr>
        <w:t>分类中的最高比重</w:t>
      </w:r>
      <w:r>
        <w:rPr/>
        <w:t>（分值</w:t>
      </w:r>
      <w:r>
        <w:rPr>
          <w:spacing w:val="-20"/>
        </w:rPr>
        <w:t>）</w:t>
      </w:r>
      <w:r>
        <w:rPr>
          <w:spacing w:val="-5"/>
        </w:rPr>
        <w:t>相加而成，总分≥</w:t>
      </w:r>
      <w:r>
        <w:rPr/>
        <w:t>9</w:t>
      </w:r>
      <w:r>
        <w:rPr>
          <w:spacing w:val="-12"/>
        </w:rPr>
        <w:t> 分的患者被</w:t>
      </w:r>
      <w:r>
        <w:rPr>
          <w:spacing w:val="-12"/>
          <w:w w:val="95"/>
        </w:rPr>
        <w:t>分类为系统性硬皮病</w:t>
      </w:r>
      <w:r>
        <w:rPr>
          <w:spacing w:val="-104"/>
          <w:w w:val="95"/>
        </w:rPr>
        <w:t>）</w:t>
      </w:r>
      <w:r>
        <w:rPr>
          <w:w w:val="95"/>
        </w:rPr>
        <w:t>。</w:t>
      </w:r>
    </w:p>
    <w:p>
      <w:pPr>
        <w:pStyle w:val="ListParagraph"/>
        <w:numPr>
          <w:ilvl w:val="2"/>
          <w:numId w:val="79"/>
        </w:numPr>
        <w:tabs>
          <w:tab w:pos="3400" w:val="left" w:leader="none"/>
        </w:tabs>
        <w:spacing w:line="240" w:lineRule="auto" w:before="55" w:after="0"/>
        <w:ind w:left="3400" w:right="0" w:hanging="720"/>
        <w:jc w:val="left"/>
        <w:rPr>
          <w:sz w:val="21"/>
        </w:rPr>
      </w:pPr>
      <w:r>
        <w:rPr>
          <w:w w:val="95"/>
          <w:sz w:val="21"/>
        </w:rPr>
        <w:t>须提供明确的病理活检及自身抗体免疫血清学证据支持。</w:t>
      </w:r>
    </w:p>
    <w:p>
      <w:pPr>
        <w:pStyle w:val="BodyText"/>
        <w:spacing w:line="237" w:lineRule="auto" w:before="61"/>
        <w:ind w:left="2680" w:right="219"/>
        <w:rPr>
          <w:rFonts w:ascii="黑体" w:eastAsia="黑体" w:hint="eastAsia"/>
        </w:rPr>
      </w:pPr>
      <w:r>
        <w:rPr>
          <w:rFonts w:ascii="黑体" w:eastAsia="黑体" w:hint="eastAsia"/>
          <w:spacing w:val="5"/>
        </w:rPr>
        <w:t>局限性硬皮病</w:t>
      </w:r>
      <w:r>
        <w:rPr>
          <w:rFonts w:ascii="黑体" w:eastAsia="黑体" w:hint="eastAsia"/>
          <w:spacing w:val="7"/>
        </w:rPr>
        <w:t>（</w:t>
      </w:r>
      <w:r>
        <w:rPr>
          <w:rFonts w:ascii="黑体" w:eastAsia="黑体" w:hint="eastAsia"/>
          <w:spacing w:val="5"/>
        </w:rPr>
        <w:t>带状硬皮病或斑状损害</w:t>
      </w:r>
      <w:r>
        <w:rPr>
          <w:rFonts w:ascii="黑体" w:eastAsia="黑体" w:hint="eastAsia"/>
          <w:spacing w:val="-97"/>
        </w:rPr>
        <w:t>）</w:t>
      </w:r>
      <w:r>
        <w:rPr>
          <w:rFonts w:ascii="黑体" w:eastAsia="黑体" w:hint="eastAsia"/>
          <w:spacing w:val="5"/>
        </w:rPr>
        <w:t>、嗜酸性筋膜炎、</w:t>
      </w:r>
      <w:r>
        <w:rPr>
          <w:rFonts w:ascii="黑体" w:eastAsia="黑体" w:hint="eastAsia"/>
        </w:rPr>
        <w:t>CREST </w:t>
      </w:r>
      <w:r>
        <w:rPr>
          <w:rFonts w:ascii="黑体" w:eastAsia="黑体" w:hint="eastAsia"/>
          <w:w w:val="95"/>
        </w:rPr>
        <w:t>综合征不在保障范围内。</w:t>
      </w:r>
    </w:p>
    <w:p>
      <w:pPr>
        <w:pStyle w:val="BodyText"/>
        <w:spacing w:before="7"/>
        <w:rPr>
          <w:rFonts w:ascii="黑体"/>
          <w:sz w:val="22"/>
        </w:rPr>
      </w:pPr>
    </w:p>
    <w:p>
      <w:pPr>
        <w:spacing w:after="0"/>
        <w:rPr>
          <w:rFonts w:ascii="黑体"/>
          <w:sz w:val="22"/>
        </w:rPr>
        <w:sectPr>
          <w:pgSz w:w="12240" w:h="15840"/>
          <w:pgMar w:top="1400" w:bottom="280" w:left="1700" w:right="1580"/>
        </w:sectPr>
      </w:pPr>
    </w:p>
    <w:p>
      <w:pPr>
        <w:pStyle w:val="Heading2"/>
        <w:numPr>
          <w:ilvl w:val="1"/>
          <w:numId w:val="79"/>
        </w:numPr>
        <w:tabs>
          <w:tab w:pos="846" w:val="left" w:leader="none"/>
          <w:tab w:pos="847" w:val="left" w:leader="none"/>
        </w:tabs>
        <w:spacing w:line="273" w:lineRule="exact" w:before="35" w:after="0"/>
        <w:ind w:left="846" w:right="0" w:hanging="746"/>
        <w:jc w:val="left"/>
      </w:pPr>
      <w:r>
        <w:rPr>
          <w:w w:val="95"/>
        </w:rPr>
        <w:t>特定的糖尿病视</w:t>
      </w:r>
    </w:p>
    <w:p>
      <w:pPr>
        <w:spacing w:line="273" w:lineRule="exact" w:before="0"/>
        <w:ind w:left="846" w:right="0" w:firstLine="0"/>
        <w:jc w:val="left"/>
        <w:rPr>
          <w:b/>
          <w:sz w:val="21"/>
        </w:rPr>
      </w:pPr>
      <w:r>
        <w:rPr>
          <w:b/>
          <w:w w:val="95"/>
          <w:sz w:val="21"/>
        </w:rPr>
        <w:t>网膜增生性病变</w:t>
      </w:r>
    </w:p>
    <w:p>
      <w:pPr>
        <w:pStyle w:val="BodyText"/>
        <w:spacing w:before="35"/>
        <w:ind w:left="100"/>
        <w:rPr>
          <w:rFonts w:ascii="黑体" w:eastAsia="黑体" w:hint="eastAsia"/>
        </w:rPr>
      </w:pPr>
      <w:r>
        <w:rPr/>
        <w:br w:type="column"/>
      </w:r>
      <w:r>
        <w:rPr>
          <w:w w:val="95"/>
        </w:rPr>
        <w:t>指因糖尿病而并发视网膜增生性病变，</w:t>
      </w:r>
      <w:r>
        <w:rPr>
          <w:rFonts w:ascii="黑体" w:eastAsia="黑体" w:hint="eastAsia"/>
          <w:w w:val="95"/>
        </w:rPr>
        <w:t>且满足下列全部条件：</w:t>
      </w:r>
    </w:p>
    <w:p>
      <w:pPr>
        <w:pStyle w:val="ListParagraph"/>
        <w:numPr>
          <w:ilvl w:val="0"/>
          <w:numId w:val="80"/>
        </w:numPr>
        <w:tabs>
          <w:tab w:pos="820" w:val="left" w:leader="none"/>
        </w:tabs>
        <w:spacing w:line="240" w:lineRule="auto" w:before="56" w:after="0"/>
        <w:ind w:left="820" w:right="0" w:hanging="720"/>
        <w:jc w:val="left"/>
        <w:rPr>
          <w:sz w:val="21"/>
        </w:rPr>
      </w:pPr>
      <w:r>
        <w:rPr>
          <w:w w:val="95"/>
          <w:sz w:val="21"/>
        </w:rPr>
        <w:t>确诊糖尿病视网膜病变时已患有糖尿病；</w:t>
      </w:r>
    </w:p>
    <w:p>
      <w:pPr>
        <w:pStyle w:val="ListParagraph"/>
        <w:numPr>
          <w:ilvl w:val="0"/>
          <w:numId w:val="80"/>
        </w:numPr>
        <w:tabs>
          <w:tab w:pos="820" w:val="left" w:leader="none"/>
        </w:tabs>
        <w:spacing w:line="237" w:lineRule="auto" w:before="61" w:after="0"/>
        <w:ind w:left="820" w:right="217" w:hanging="720"/>
        <w:jc w:val="left"/>
        <w:rPr>
          <w:sz w:val="21"/>
        </w:rPr>
      </w:pPr>
      <w:r>
        <w:rPr>
          <w:spacing w:val="-6"/>
          <w:sz w:val="21"/>
        </w:rPr>
        <w:t>双眼最佳矫正视力低于 </w:t>
      </w:r>
      <w:r>
        <w:rPr>
          <w:spacing w:val="-9"/>
          <w:sz w:val="21"/>
        </w:rPr>
        <w:t>0.3（</w:t>
      </w:r>
      <w:r>
        <w:rPr>
          <w:spacing w:val="-4"/>
          <w:sz w:val="21"/>
        </w:rPr>
        <w:t>采用国际标准视力表，如果使</w:t>
      </w:r>
      <w:r>
        <w:rPr>
          <w:spacing w:val="-1"/>
          <w:w w:val="99"/>
          <w:sz w:val="21"/>
        </w:rPr>
        <w:t>用其他视力表应进行换算</w:t>
      </w:r>
      <w:r>
        <w:rPr>
          <w:spacing w:val="-104"/>
          <w:w w:val="99"/>
          <w:sz w:val="21"/>
        </w:rPr>
        <w:t>）</w:t>
      </w:r>
      <w:r>
        <w:rPr>
          <w:w w:val="99"/>
          <w:sz w:val="21"/>
        </w:rPr>
        <w:t>；</w:t>
      </w:r>
    </w:p>
    <w:p>
      <w:pPr>
        <w:pStyle w:val="ListParagraph"/>
        <w:numPr>
          <w:ilvl w:val="0"/>
          <w:numId w:val="80"/>
        </w:numPr>
        <w:tabs>
          <w:tab w:pos="820" w:val="left" w:leader="none"/>
        </w:tabs>
        <w:spacing w:line="240" w:lineRule="auto" w:before="58" w:after="0"/>
        <w:ind w:left="820" w:right="0" w:hanging="720"/>
        <w:jc w:val="left"/>
        <w:rPr>
          <w:sz w:val="21"/>
        </w:rPr>
      </w:pPr>
      <w:r>
        <w:rPr>
          <w:w w:val="95"/>
          <w:sz w:val="21"/>
        </w:rPr>
        <w:t>已确实进行了激光治疗等以改善视力障碍；</w:t>
      </w:r>
    </w:p>
    <w:p>
      <w:pPr>
        <w:pStyle w:val="ListParagraph"/>
        <w:numPr>
          <w:ilvl w:val="0"/>
          <w:numId w:val="80"/>
        </w:numPr>
        <w:tabs>
          <w:tab w:pos="820" w:val="left" w:leader="none"/>
        </w:tabs>
        <w:spacing w:line="240" w:lineRule="auto" w:before="56" w:after="0"/>
        <w:ind w:left="820" w:right="217" w:hanging="720"/>
        <w:jc w:val="left"/>
        <w:rPr>
          <w:sz w:val="21"/>
        </w:rPr>
      </w:pPr>
      <w:r>
        <w:rPr>
          <w:spacing w:val="1"/>
          <w:sz w:val="21"/>
        </w:rPr>
        <w:t>糖尿病视网膜病变的诊断、视力障碍的程度及治疗的医疗</w:t>
      </w:r>
      <w:r>
        <w:rPr>
          <w:spacing w:val="1"/>
          <w:w w:val="95"/>
          <w:sz w:val="21"/>
        </w:rPr>
        <w:t>之必要性必须由医院的眼科专科医生确定。</w:t>
      </w:r>
    </w:p>
    <w:p>
      <w:pPr>
        <w:spacing w:after="0" w:line="240" w:lineRule="auto"/>
        <w:jc w:val="left"/>
        <w:rPr>
          <w:sz w:val="21"/>
        </w:rPr>
        <w:sectPr>
          <w:type w:val="continuous"/>
          <w:pgSz w:w="12240" w:h="15840"/>
          <w:pgMar w:top="900" w:bottom="280" w:left="1700" w:right="1580"/>
          <w:cols w:num="2" w:equalWidth="0">
            <w:col w:w="2321" w:space="259"/>
            <w:col w:w="6380"/>
          </w:cols>
        </w:sectPr>
      </w:pPr>
    </w:p>
    <w:p>
      <w:pPr>
        <w:pStyle w:val="BodyText"/>
        <w:spacing w:before="7"/>
        <w:rPr>
          <w:sz w:val="22"/>
        </w:rPr>
      </w:pPr>
    </w:p>
    <w:p>
      <w:pPr>
        <w:spacing w:after="0"/>
        <w:rPr>
          <w:sz w:val="22"/>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3" w:lineRule="exact" w:before="35" w:after="0"/>
        <w:ind w:left="846" w:right="0" w:hanging="746"/>
        <w:jc w:val="left"/>
      </w:pPr>
      <w:r>
        <w:rPr>
          <w:w w:val="95"/>
        </w:rPr>
        <w:t>特定的重症肌无</w:t>
      </w:r>
    </w:p>
    <w:p>
      <w:pPr>
        <w:spacing w:line="273" w:lineRule="exact" w:before="0"/>
        <w:ind w:left="0" w:right="416" w:firstLine="0"/>
        <w:jc w:val="center"/>
        <w:rPr>
          <w:b/>
          <w:sz w:val="21"/>
        </w:rPr>
      </w:pPr>
      <w:r>
        <w:rPr>
          <w:b/>
          <w:w w:val="99"/>
          <w:sz w:val="21"/>
        </w:rPr>
        <w:t>力</w:t>
      </w:r>
    </w:p>
    <w:p>
      <w:pPr>
        <w:pStyle w:val="BodyText"/>
        <w:spacing w:line="237" w:lineRule="auto" w:before="38"/>
        <w:ind w:left="100" w:right="190"/>
        <w:jc w:val="both"/>
      </w:pPr>
      <w:r>
        <w:rPr/>
        <w:br w:type="column"/>
      </w:r>
      <w:r>
        <w:rPr>
          <w:spacing w:val="5"/>
        </w:rPr>
        <w:t>重症肌无力指一种神经与肌肉接头部位传递障碍的自身免疫性疾</w:t>
      </w:r>
      <w:r>
        <w:rPr>
          <w:spacing w:val="-4"/>
        </w:rPr>
        <w:t>病，临床特征是局部或全身横纹肌于活动时易于疲劳无力，颅神经</w:t>
      </w:r>
      <w:r>
        <w:rPr>
          <w:spacing w:val="-4"/>
          <w:w w:val="95"/>
        </w:rPr>
        <w:t>眼外肌最易累及，也可涉及呼吸肌、下肢近端肌群以至全身肌肉。</w:t>
      </w:r>
    </w:p>
    <w:p>
      <w:pPr>
        <w:pStyle w:val="BodyText"/>
        <w:spacing w:line="237" w:lineRule="auto" w:before="59"/>
        <w:ind w:left="100" w:right="217"/>
        <w:jc w:val="both"/>
      </w:pPr>
      <w:r>
        <w:rPr>
          <w:spacing w:val="-4"/>
        </w:rPr>
        <w:t>特定的重症肌无力指重症肌无力确诊 </w:t>
      </w:r>
      <w:r>
        <w:rPr/>
        <w:t>180</w:t>
      </w:r>
      <w:r>
        <w:rPr>
          <w:spacing w:val="-10"/>
        </w:rPr>
        <w:t> 天后，仍然存在自主生活</w:t>
      </w:r>
      <w:r>
        <w:rPr>
          <w:spacing w:val="-10"/>
          <w:w w:val="95"/>
        </w:rPr>
        <w:t>能力部分丧失，无法独立完成六项基本日常生活活动中的二项，但  未达到本合同重大疾病“重症肌无力”的给付标准。</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7"/>
        <w:rPr>
          <w:sz w:val="22"/>
        </w:rPr>
      </w:pPr>
    </w:p>
    <w:p>
      <w:pPr>
        <w:pStyle w:val="ListParagraph"/>
        <w:numPr>
          <w:ilvl w:val="1"/>
          <w:numId w:val="79"/>
        </w:numPr>
        <w:tabs>
          <w:tab w:pos="847" w:val="left" w:leader="none"/>
        </w:tabs>
        <w:spacing w:line="237" w:lineRule="auto" w:before="37" w:after="0"/>
        <w:ind w:left="2680" w:right="220" w:hanging="2580"/>
        <w:jc w:val="both"/>
        <w:rPr>
          <w:sz w:val="21"/>
        </w:rPr>
      </w:pPr>
      <w:r>
        <w:rPr>
          <w:b/>
          <w:spacing w:val="1"/>
          <w:sz w:val="21"/>
        </w:rPr>
        <w:t>特定的丝虫感染  </w:t>
      </w:r>
      <w:r>
        <w:rPr>
          <w:spacing w:val="-2"/>
          <w:sz w:val="21"/>
        </w:rPr>
        <w:t>指因丝虫感染导致淋巴管阻塞而造成身体组织出现淋巴水肿，但未</w:t>
      </w:r>
      <w:r>
        <w:rPr>
          <w:spacing w:val="-5"/>
          <w:w w:val="95"/>
          <w:sz w:val="21"/>
        </w:rPr>
        <w:t>达到本合同重大疾病“象皮病”的标准。本疾病须经医院的专科医  生根据临床表现和微丝蚴的化验结果确诊。</w:t>
      </w:r>
    </w:p>
    <w:p>
      <w:pPr>
        <w:pStyle w:val="BodyText"/>
        <w:spacing w:line="237" w:lineRule="auto" w:before="61"/>
        <w:ind w:left="2680" w:right="217"/>
        <w:jc w:val="both"/>
        <w:rPr>
          <w:rFonts w:ascii="黑体" w:eastAsia="黑体" w:hint="eastAsia"/>
        </w:rPr>
      </w:pPr>
      <w:r>
        <w:rPr>
          <w:rFonts w:ascii="黑体" w:eastAsia="黑体" w:hint="eastAsia"/>
          <w:spacing w:val="-3"/>
          <w:w w:val="95"/>
        </w:rPr>
        <w:t>由性接触传染的疾病、创伤、手术后疤痕、充血性心力衰竭或先天  </w:t>
      </w:r>
      <w:r>
        <w:rPr>
          <w:rFonts w:ascii="黑体" w:eastAsia="黑体" w:hint="eastAsia"/>
          <w:spacing w:val="-5"/>
          <w:w w:val="95"/>
        </w:rPr>
        <w:t>性淋巴系统异常引起的淋巴水肿，以及急性淋巴管炎或其他原因引  起的淋巴水肿不在保障范围内。</w:t>
      </w:r>
    </w:p>
    <w:p>
      <w:pPr>
        <w:pStyle w:val="BodyText"/>
        <w:spacing w:before="10"/>
        <w:rPr>
          <w:rFonts w:ascii="黑体"/>
          <w:sz w:val="22"/>
        </w:rPr>
      </w:pPr>
    </w:p>
    <w:p>
      <w:pPr>
        <w:spacing w:after="0"/>
        <w:rPr>
          <w:rFonts w:ascii="黑体"/>
          <w:sz w:val="22"/>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37" w:lineRule="auto" w:before="37" w:after="0"/>
        <w:ind w:left="846" w:right="0" w:hanging="746"/>
        <w:jc w:val="left"/>
      </w:pPr>
      <w:r>
        <w:rPr>
          <w:w w:val="95"/>
        </w:rPr>
        <w:t>特定的类风湿性关节炎</w:t>
      </w:r>
    </w:p>
    <w:p>
      <w:pPr>
        <w:pStyle w:val="BodyText"/>
        <w:spacing w:line="273" w:lineRule="exact" w:before="34"/>
        <w:ind w:left="100"/>
      </w:pPr>
      <w:r>
        <w:rPr/>
        <w:br w:type="column"/>
      </w:r>
      <w:r>
        <w:rPr>
          <w:w w:val="95"/>
        </w:rPr>
        <w:t>根据美国风湿病学院（ACR）的诊断标准，由风湿科专科医生诊断，</w:t>
      </w:r>
    </w:p>
    <w:p>
      <w:pPr>
        <w:pStyle w:val="BodyText"/>
        <w:spacing w:line="273" w:lineRule="exact" w:before="0"/>
        <w:ind w:left="100"/>
        <w:rPr>
          <w:rFonts w:ascii="黑体" w:eastAsia="黑体" w:hint="eastAsia"/>
        </w:rPr>
      </w:pPr>
      <w:r>
        <w:rPr>
          <w:rFonts w:ascii="黑体" w:eastAsia="黑体" w:hint="eastAsia"/>
          <w:w w:val="95"/>
        </w:rPr>
        <w:t>且满足下列全部条件：</w:t>
      </w:r>
    </w:p>
    <w:p>
      <w:pPr>
        <w:pStyle w:val="ListParagraph"/>
        <w:numPr>
          <w:ilvl w:val="0"/>
          <w:numId w:val="81"/>
        </w:numPr>
        <w:tabs>
          <w:tab w:pos="820" w:val="left" w:leader="none"/>
        </w:tabs>
        <w:spacing w:line="237" w:lineRule="auto" w:before="59" w:after="0"/>
        <w:ind w:left="820" w:right="217" w:hanging="720"/>
        <w:jc w:val="both"/>
        <w:rPr>
          <w:sz w:val="21"/>
        </w:rPr>
      </w:pPr>
      <w:r>
        <w:rPr>
          <w:spacing w:val="1"/>
          <w:sz w:val="21"/>
        </w:rPr>
        <w:t>关节广泛受损，并经临床证实出现最少两个下列关节位置严重变形：手部、手腕、肘部、膝部、髋部、踝部、颈椎</w:t>
      </w:r>
      <w:r>
        <w:rPr>
          <w:spacing w:val="1"/>
          <w:w w:val="95"/>
          <w:sz w:val="21"/>
        </w:rPr>
        <w:t>或脚部；</w:t>
      </w:r>
    </w:p>
    <w:p>
      <w:pPr>
        <w:pStyle w:val="ListParagraph"/>
        <w:numPr>
          <w:ilvl w:val="0"/>
          <w:numId w:val="81"/>
        </w:numPr>
        <w:tabs>
          <w:tab w:pos="820" w:val="left" w:leader="none"/>
        </w:tabs>
        <w:spacing w:line="240" w:lineRule="auto" w:before="58" w:after="0"/>
        <w:ind w:left="820" w:right="217" w:hanging="720"/>
        <w:jc w:val="left"/>
        <w:rPr>
          <w:sz w:val="21"/>
        </w:rPr>
      </w:pPr>
      <w:r>
        <w:rPr>
          <w:spacing w:val="-16"/>
          <w:sz w:val="21"/>
        </w:rPr>
        <w:t>至少 </w:t>
      </w:r>
      <w:r>
        <w:rPr>
          <w:sz w:val="21"/>
        </w:rPr>
        <w:t>180</w:t>
      </w:r>
      <w:r>
        <w:rPr>
          <w:spacing w:val="-4"/>
          <w:sz w:val="21"/>
        </w:rPr>
        <w:t> 天无法独立完成六项基本日常生活活动中的两项</w:t>
      </w:r>
      <w:r>
        <w:rPr>
          <w:spacing w:val="-4"/>
          <w:w w:val="95"/>
          <w:sz w:val="21"/>
        </w:rPr>
        <w:t>或两项以上。</w:t>
      </w:r>
    </w:p>
    <w:p>
      <w:pPr>
        <w:spacing w:after="0" w:line="240" w:lineRule="auto"/>
        <w:jc w:val="left"/>
        <w:rPr>
          <w:sz w:val="21"/>
        </w:rPr>
        <w:sectPr>
          <w:type w:val="continuous"/>
          <w:pgSz w:w="12240" w:h="15840"/>
          <w:pgMar w:top="900" w:bottom="280" w:left="1700" w:right="1580"/>
          <w:cols w:num="2" w:equalWidth="0">
            <w:col w:w="2321" w:space="259"/>
            <w:col w:w="6380"/>
          </w:cols>
        </w:sectPr>
      </w:pPr>
    </w:p>
    <w:p>
      <w:pPr>
        <w:pStyle w:val="BodyText"/>
        <w:spacing w:before="5"/>
        <w:rPr>
          <w:sz w:val="22"/>
        </w:rPr>
      </w:pPr>
    </w:p>
    <w:p>
      <w:pPr>
        <w:spacing w:after="0"/>
        <w:rPr>
          <w:sz w:val="22"/>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4" w:lineRule="exact" w:before="34" w:after="0"/>
        <w:ind w:left="846" w:right="0" w:hanging="746"/>
        <w:jc w:val="left"/>
      </w:pPr>
      <w:r>
        <w:rPr>
          <w:w w:val="95"/>
        </w:rPr>
        <w:t>因肾上腺皮脂腺</w:t>
      </w:r>
    </w:p>
    <w:p>
      <w:pPr>
        <w:spacing w:line="274" w:lineRule="exact" w:before="0"/>
        <w:ind w:left="846" w:right="0" w:firstLine="0"/>
        <w:jc w:val="left"/>
        <w:rPr>
          <w:b/>
          <w:sz w:val="21"/>
        </w:rPr>
      </w:pPr>
      <w:r>
        <w:rPr>
          <w:b/>
          <w:w w:val="95"/>
          <w:sz w:val="21"/>
        </w:rPr>
        <w:t>瘤切除肾上腺</w:t>
      </w:r>
    </w:p>
    <w:p>
      <w:pPr>
        <w:pStyle w:val="BodyText"/>
        <w:spacing w:line="237" w:lineRule="auto" w:before="37"/>
        <w:ind w:left="100" w:right="217"/>
        <w:jc w:val="both"/>
      </w:pPr>
      <w:r>
        <w:rPr/>
        <w:br w:type="column"/>
      </w:r>
      <w:r>
        <w:rPr>
          <w:spacing w:val="5"/>
        </w:rPr>
        <w:t>因肾上腺皮质腺瘤所导致的醛固酮分泌过多而产生的继发性恶性</w:t>
      </w:r>
      <w:r>
        <w:rPr>
          <w:spacing w:val="2"/>
          <w:w w:val="95"/>
        </w:rPr>
        <w:t>高血压而实际实施了肾上腺切除术治疗。</w:t>
      </w:r>
      <w:r>
        <w:rPr>
          <w:rFonts w:ascii="黑体" w:eastAsia="黑体" w:hint="eastAsia"/>
          <w:w w:val="95"/>
        </w:rPr>
        <w:t>诊断及治疗须由专科医Th  认为是医学必需的</w:t>
      </w:r>
      <w:r>
        <w:rPr>
          <w:w w:val="95"/>
        </w:rPr>
        <w:t>。</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2"/>
        <w:rPr>
          <w:sz w:val="20"/>
        </w:rPr>
      </w:pPr>
    </w:p>
    <w:p>
      <w:pPr>
        <w:pStyle w:val="ListParagraph"/>
        <w:numPr>
          <w:ilvl w:val="1"/>
          <w:numId w:val="79"/>
        </w:numPr>
        <w:tabs>
          <w:tab w:pos="847" w:val="left" w:leader="none"/>
        </w:tabs>
        <w:spacing w:line="237" w:lineRule="auto" w:before="37" w:after="0"/>
        <w:ind w:left="2680" w:right="217" w:hanging="2580"/>
        <w:jc w:val="both"/>
        <w:rPr>
          <w:rFonts w:ascii="黑体" w:hAnsi="黑体" w:eastAsia="黑体" w:hint="eastAsia"/>
          <w:sz w:val="21"/>
        </w:rPr>
      </w:pPr>
      <w:r>
        <w:rPr>
          <w:b/>
          <w:spacing w:val="1"/>
          <w:sz w:val="21"/>
        </w:rPr>
        <w:t>再生障碍性贫血  </w:t>
      </w:r>
      <w:r>
        <w:rPr>
          <w:spacing w:val="-2"/>
          <w:sz w:val="21"/>
        </w:rPr>
        <w:t>指因骨髓造血功能慢性持续性衰竭导致的贫血、中性粒细胞减少及</w:t>
      </w:r>
      <w:r>
        <w:rPr>
          <w:spacing w:val="-6"/>
          <w:w w:val="95"/>
          <w:sz w:val="21"/>
        </w:rPr>
        <w:t>血小板减少，但未达到本合同重大疾病“重型再生障碍性贫血”的  给付标准，诊断为再生障碍性贫血，</w:t>
      </w:r>
      <w:r>
        <w:rPr>
          <w:rFonts w:ascii="黑体" w:hAnsi="黑体" w:eastAsia="黑体" w:hint="eastAsia"/>
          <w:spacing w:val="-6"/>
          <w:w w:val="95"/>
          <w:sz w:val="21"/>
        </w:rPr>
        <w:t>且满足下列全部条件：</w:t>
      </w:r>
    </w:p>
    <w:p>
      <w:pPr>
        <w:pStyle w:val="ListParagraph"/>
        <w:numPr>
          <w:ilvl w:val="0"/>
          <w:numId w:val="82"/>
        </w:numPr>
        <w:tabs>
          <w:tab w:pos="3400" w:val="left" w:leader="none"/>
        </w:tabs>
        <w:spacing w:line="240" w:lineRule="auto" w:before="58" w:after="0"/>
        <w:ind w:left="3400" w:right="0" w:hanging="720"/>
        <w:jc w:val="left"/>
        <w:rPr>
          <w:sz w:val="21"/>
        </w:rPr>
      </w:pPr>
      <w:r>
        <w:rPr>
          <w:w w:val="95"/>
          <w:sz w:val="21"/>
        </w:rPr>
        <w:t>骨髓穿刺检查或骨髓活检诊断为再生障碍性贫血；</w:t>
      </w:r>
    </w:p>
    <w:p>
      <w:pPr>
        <w:pStyle w:val="ListParagraph"/>
        <w:numPr>
          <w:ilvl w:val="0"/>
          <w:numId w:val="82"/>
        </w:numPr>
        <w:tabs>
          <w:tab w:pos="3400" w:val="left" w:leader="none"/>
        </w:tabs>
        <w:spacing w:line="237" w:lineRule="auto" w:before="61" w:after="0"/>
        <w:ind w:left="3400" w:right="217" w:hanging="720"/>
        <w:jc w:val="left"/>
        <w:rPr>
          <w:sz w:val="21"/>
        </w:rPr>
      </w:pPr>
      <w:r>
        <w:rPr>
          <w:spacing w:val="1"/>
          <w:sz w:val="21"/>
        </w:rPr>
        <w:t>病历资料显示接受了下列任一项的血液专科治疗：骨髓刺</w:t>
      </w:r>
      <w:r>
        <w:rPr>
          <w:spacing w:val="1"/>
          <w:w w:val="95"/>
          <w:sz w:val="21"/>
        </w:rPr>
        <w:t>激疗法、免疫抑制剂治疗、骨髓移植。</w:t>
      </w:r>
    </w:p>
    <w:p>
      <w:pPr>
        <w:pStyle w:val="BodyText"/>
        <w:spacing w:before="2"/>
        <w:rPr>
          <w:sz w:val="27"/>
        </w:rPr>
      </w:pPr>
    </w:p>
    <w:p>
      <w:pPr>
        <w:spacing w:after="0"/>
        <w:rPr>
          <w:sz w:val="27"/>
        </w:rPr>
        <w:sectPr>
          <w:pgSz w:w="12240" w:h="15840"/>
          <w:pgMar w:top="1500" w:bottom="280" w:left="1700" w:right="1580"/>
        </w:sectPr>
      </w:pPr>
    </w:p>
    <w:p>
      <w:pPr>
        <w:pStyle w:val="Heading2"/>
        <w:numPr>
          <w:ilvl w:val="1"/>
          <w:numId w:val="79"/>
        </w:numPr>
        <w:tabs>
          <w:tab w:pos="846" w:val="left" w:leader="none"/>
          <w:tab w:pos="847" w:val="left" w:leader="none"/>
        </w:tabs>
        <w:spacing w:line="273" w:lineRule="exact" w:before="34" w:after="0"/>
        <w:ind w:left="846" w:right="0" w:hanging="746"/>
        <w:jc w:val="left"/>
      </w:pPr>
      <w:r>
        <w:rPr>
          <w:w w:val="95"/>
        </w:rPr>
        <w:t>急性出血坏死性</w:t>
      </w:r>
    </w:p>
    <w:p>
      <w:pPr>
        <w:spacing w:before="0"/>
        <w:ind w:left="846" w:right="0" w:firstLine="0"/>
        <w:jc w:val="left"/>
        <w:rPr>
          <w:b/>
          <w:sz w:val="21"/>
        </w:rPr>
      </w:pPr>
      <w:r>
        <w:rPr>
          <w:b/>
          <w:w w:val="95"/>
          <w:sz w:val="21"/>
        </w:rPr>
        <w:t>胰腺炎腹腔镜手</w:t>
      </w:r>
      <w:r>
        <w:rPr>
          <w:b/>
          <w:sz w:val="21"/>
        </w:rPr>
        <w:t>术</w:t>
      </w:r>
    </w:p>
    <w:p>
      <w:pPr>
        <w:pStyle w:val="BodyText"/>
        <w:spacing w:line="237" w:lineRule="auto" w:before="37"/>
        <w:ind w:left="100" w:right="190"/>
      </w:pPr>
      <w:r>
        <w:rPr/>
        <w:br w:type="column"/>
      </w:r>
      <w:r>
        <w:rPr>
          <w:w w:val="95"/>
        </w:rPr>
        <w:t>指诊断为急性出血坏死性胰腺炎，并实际实施了腹腔镜手术治疗，  已进行坏死组织清除、坏死病灶切除或胰腺切除。</w:t>
      </w:r>
    </w:p>
    <w:p>
      <w:pPr>
        <w:pStyle w:val="BodyText"/>
        <w:spacing w:before="58"/>
        <w:ind w:left="100"/>
        <w:rPr>
          <w:rFonts w:ascii="黑体" w:eastAsia="黑体" w:hint="eastAsia"/>
        </w:rPr>
      </w:pPr>
      <w:r>
        <w:rPr>
          <w:rFonts w:ascii="黑体" w:eastAsia="黑体" w:hint="eastAsia"/>
          <w:w w:val="95"/>
        </w:rPr>
        <w:t>因酗酒或饮酒过量所致的急性出血坏死性胰腺炎不在保障范围内。</w:t>
      </w:r>
    </w:p>
    <w:p>
      <w:pPr>
        <w:spacing w:after="0"/>
        <w:rPr>
          <w:rFonts w:ascii="黑体" w:eastAsia="黑体" w:hint="eastAsia"/>
        </w:rPr>
        <w:sectPr>
          <w:type w:val="continuous"/>
          <w:pgSz w:w="12240" w:h="15840"/>
          <w:pgMar w:top="900" w:bottom="280" w:left="1700" w:right="1580"/>
          <w:cols w:num="2" w:equalWidth="0">
            <w:col w:w="2321" w:space="259"/>
            <w:col w:w="6380"/>
          </w:cols>
        </w:sectPr>
      </w:pPr>
    </w:p>
    <w:p>
      <w:pPr>
        <w:pStyle w:val="BodyText"/>
        <w:spacing w:before="2"/>
        <w:rPr>
          <w:rFonts w:ascii="黑体"/>
          <w:sz w:val="24"/>
        </w:rPr>
      </w:pPr>
    </w:p>
    <w:p>
      <w:pPr>
        <w:spacing w:after="0"/>
        <w:rPr>
          <w:rFonts w:ascii="黑体"/>
          <w:sz w:val="24"/>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37" w:lineRule="auto" w:before="38" w:after="0"/>
        <w:ind w:left="846" w:right="0" w:hanging="746"/>
        <w:jc w:val="left"/>
      </w:pPr>
      <w:r>
        <w:rPr>
          <w:w w:val="95"/>
        </w:rPr>
        <w:t>特定的原发性帕金森病</w:t>
      </w:r>
    </w:p>
    <w:p>
      <w:pPr>
        <w:pStyle w:val="BodyText"/>
        <w:spacing w:line="237" w:lineRule="auto" w:before="38"/>
        <w:ind w:left="100" w:right="220"/>
        <w:jc w:val="both"/>
      </w:pPr>
      <w:r>
        <w:rPr/>
        <w:br w:type="column"/>
      </w:r>
      <w:r>
        <w:rPr>
          <w:spacing w:val="-2"/>
          <w:w w:val="95"/>
        </w:rPr>
        <w:t>指经医院的神经科专科医生诊断为原发性帕金森病。虽然未达到本 </w:t>
      </w:r>
      <w:r>
        <w:rPr/>
        <w:t>合同重大疾病“严重帕金森病”的给付标准,</w:t>
      </w:r>
      <w:r>
        <w:rPr>
          <w:rFonts w:ascii="黑体" w:hAnsi="黑体" w:eastAsia="黑体" w:hint="eastAsia"/>
        </w:rPr>
        <w:t>但须满足下列全部条</w:t>
      </w:r>
      <w:r>
        <w:rPr>
          <w:rFonts w:ascii="黑体" w:hAnsi="黑体" w:eastAsia="黑体" w:hint="eastAsia"/>
          <w:spacing w:val="-1"/>
          <w:w w:val="95"/>
        </w:rPr>
        <w:t>件</w:t>
      </w:r>
      <w:r>
        <w:rPr>
          <w:w w:val="95"/>
        </w:rPr>
        <w:t>：</w:t>
      </w:r>
    </w:p>
    <w:p>
      <w:pPr>
        <w:pStyle w:val="ListParagraph"/>
        <w:numPr>
          <w:ilvl w:val="0"/>
          <w:numId w:val="83"/>
        </w:numPr>
        <w:tabs>
          <w:tab w:pos="820" w:val="left" w:leader="none"/>
        </w:tabs>
        <w:spacing w:line="240" w:lineRule="auto" w:before="56" w:after="0"/>
        <w:ind w:left="820" w:right="0" w:hanging="720"/>
        <w:jc w:val="both"/>
        <w:rPr>
          <w:sz w:val="21"/>
        </w:rPr>
      </w:pPr>
      <w:r>
        <w:rPr>
          <w:w w:val="95"/>
          <w:sz w:val="21"/>
        </w:rPr>
        <w:t>无法通过药物控制；</w:t>
      </w:r>
    </w:p>
    <w:p>
      <w:pPr>
        <w:pStyle w:val="ListParagraph"/>
        <w:numPr>
          <w:ilvl w:val="0"/>
          <w:numId w:val="83"/>
        </w:numPr>
        <w:tabs>
          <w:tab w:pos="820" w:val="left" w:leader="none"/>
        </w:tabs>
        <w:spacing w:line="240" w:lineRule="auto" w:before="58" w:after="0"/>
        <w:ind w:left="820" w:right="0" w:hanging="720"/>
        <w:jc w:val="both"/>
        <w:rPr>
          <w:sz w:val="21"/>
        </w:rPr>
      </w:pPr>
      <w:r>
        <w:rPr>
          <w:w w:val="95"/>
          <w:sz w:val="21"/>
        </w:rPr>
        <w:t>出现逐步退化客观症状；</w:t>
      </w:r>
    </w:p>
    <w:p>
      <w:pPr>
        <w:pStyle w:val="ListParagraph"/>
        <w:numPr>
          <w:ilvl w:val="0"/>
          <w:numId w:val="83"/>
        </w:numPr>
        <w:tabs>
          <w:tab w:pos="820" w:val="left" w:leader="none"/>
        </w:tabs>
        <w:spacing w:line="240" w:lineRule="auto" w:before="56" w:after="0"/>
        <w:ind w:left="820" w:right="0" w:hanging="720"/>
        <w:jc w:val="both"/>
        <w:rPr>
          <w:sz w:val="21"/>
        </w:rPr>
      </w:pPr>
      <w:r>
        <w:rPr>
          <w:spacing w:val="-23"/>
          <w:sz w:val="21"/>
        </w:rPr>
        <w:t>至少 </w:t>
      </w:r>
      <w:r>
        <w:rPr>
          <w:sz w:val="21"/>
        </w:rPr>
        <w:t>180</w:t>
      </w:r>
      <w:r>
        <w:rPr>
          <w:spacing w:val="-9"/>
          <w:sz w:val="21"/>
        </w:rPr>
        <w:t> 天无法独立完成六项基本日常生活活动中的二项。</w:t>
      </w:r>
    </w:p>
    <w:p>
      <w:pPr>
        <w:pStyle w:val="BodyText"/>
        <w:spacing w:before="59"/>
        <w:ind w:left="100"/>
        <w:jc w:val="both"/>
        <w:rPr>
          <w:rFonts w:ascii="黑体" w:eastAsia="黑体" w:hint="eastAsia"/>
        </w:rPr>
      </w:pPr>
      <w:r>
        <w:rPr>
          <w:rFonts w:ascii="黑体" w:eastAsia="黑体" w:hint="eastAsia"/>
          <w:w w:val="95"/>
        </w:rPr>
        <w:t>继发性帕金森综合征不在保障范围内。</w:t>
      </w:r>
    </w:p>
    <w:p>
      <w:pPr>
        <w:spacing w:after="0"/>
        <w:jc w:val="both"/>
        <w:rPr>
          <w:rFonts w:ascii="黑体" w:eastAsia="黑体" w:hint="eastAsia"/>
        </w:rPr>
        <w:sectPr>
          <w:type w:val="continuous"/>
          <w:pgSz w:w="12240" w:h="15840"/>
          <w:pgMar w:top="900" w:bottom="280" w:left="1700" w:right="1580"/>
          <w:cols w:num="2" w:equalWidth="0">
            <w:col w:w="2321" w:space="259"/>
            <w:col w:w="6380"/>
          </w:cols>
        </w:sectPr>
      </w:pPr>
    </w:p>
    <w:p>
      <w:pPr>
        <w:pStyle w:val="BodyText"/>
        <w:spacing w:before="0"/>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4" w:lineRule="exact" w:before="34" w:after="0"/>
        <w:ind w:left="846" w:right="0" w:hanging="746"/>
        <w:jc w:val="left"/>
      </w:pPr>
      <w:r>
        <w:rPr>
          <w:w w:val="95"/>
        </w:rPr>
        <w:t>骨质疏松骨折导</w:t>
      </w:r>
    </w:p>
    <w:p>
      <w:pPr>
        <w:spacing w:line="237" w:lineRule="auto" w:before="1"/>
        <w:ind w:left="846" w:right="0" w:firstLine="0"/>
        <w:jc w:val="left"/>
        <w:rPr>
          <w:b/>
          <w:sz w:val="21"/>
        </w:rPr>
      </w:pPr>
      <w:r>
        <w:rPr>
          <w:b/>
          <w:w w:val="95"/>
          <w:sz w:val="21"/>
        </w:rPr>
        <w:t>致的全髋关节置换手术</w:t>
      </w:r>
    </w:p>
    <w:p>
      <w:pPr>
        <w:pStyle w:val="BodyText"/>
        <w:spacing w:line="237" w:lineRule="auto" w:before="37"/>
        <w:ind w:left="100" w:right="217"/>
        <w:jc w:val="both"/>
      </w:pPr>
      <w:r>
        <w:rPr/>
        <w:br w:type="column"/>
      </w:r>
      <w:r>
        <w:rPr>
          <w:spacing w:val="-3"/>
          <w:w w:val="95"/>
        </w:rPr>
        <w:t>骨质疏松指一种系统性疾病。其特征为骨质量减少，骨小梁数目减  </w:t>
      </w:r>
      <w:r>
        <w:rPr>
          <w:spacing w:val="-6"/>
          <w:w w:val="95"/>
        </w:rPr>
        <w:t>少、变细和骨皮质变薄，导致骨脆性增加，骨折危险增加。根据世  界卫生组织</w:t>
      </w:r>
      <w:r>
        <w:rPr>
          <w:w w:val="95"/>
        </w:rPr>
        <w:t>（WHO）</w:t>
      </w:r>
      <w:r>
        <w:rPr>
          <w:spacing w:val="-2"/>
          <w:w w:val="95"/>
        </w:rPr>
        <w:t>建议，骨密度</w:t>
      </w:r>
      <w:r>
        <w:rPr>
          <w:w w:val="95"/>
        </w:rPr>
        <w:t>（BMD）较正常成人骨密度平均值 </w:t>
      </w:r>
      <w:r>
        <w:rPr>
          <w:spacing w:val="-20"/>
        </w:rPr>
        <w:t>降低 </w:t>
      </w:r>
      <w:r>
        <w:rPr/>
        <w:t>2.5</w:t>
      </w:r>
      <w:r>
        <w:rPr>
          <w:spacing w:val="-8"/>
        </w:rPr>
        <w:t> 个标准差为骨质疏松症。</w:t>
      </w:r>
    </w:p>
    <w:p>
      <w:pPr>
        <w:pStyle w:val="BodyText"/>
        <w:spacing w:line="237" w:lineRule="auto" w:before="59"/>
        <w:ind w:left="100" w:right="220"/>
        <w:jc w:val="both"/>
      </w:pPr>
      <w:r>
        <w:rPr/>
        <w:t>骨质疏松骨折导致的全髋关节置换手术指依据诊断标准确诊为骨</w:t>
      </w:r>
      <w:r>
        <w:rPr>
          <w:w w:val="95"/>
        </w:rPr>
        <w:t>质疏松症，实际发生了股骨颈骨折并实施了全髋关节置换手术。</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4"/>
        <w:rPr>
          <w:sz w:val="27"/>
        </w:rPr>
      </w:pPr>
    </w:p>
    <w:p>
      <w:pPr>
        <w:spacing w:after="0"/>
        <w:rPr>
          <w:sz w:val="27"/>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3" w:lineRule="exact" w:before="35" w:after="0"/>
        <w:ind w:left="846" w:right="0" w:hanging="746"/>
        <w:jc w:val="left"/>
      </w:pPr>
      <w:r>
        <w:rPr>
          <w:w w:val="95"/>
        </w:rPr>
        <w:t>特定的外伤性颅</w:t>
      </w:r>
    </w:p>
    <w:p>
      <w:pPr>
        <w:spacing w:line="273" w:lineRule="exact" w:before="0"/>
        <w:ind w:left="846" w:right="0" w:firstLine="0"/>
        <w:jc w:val="left"/>
        <w:rPr>
          <w:b/>
          <w:sz w:val="21"/>
        </w:rPr>
      </w:pPr>
      <w:r>
        <w:rPr>
          <w:b/>
          <w:w w:val="95"/>
          <w:sz w:val="21"/>
        </w:rPr>
        <w:t>内血肿清除术</w:t>
      </w:r>
    </w:p>
    <w:p>
      <w:pPr>
        <w:pStyle w:val="BodyText"/>
        <w:spacing w:line="237" w:lineRule="auto" w:before="38"/>
        <w:ind w:left="100" w:right="217"/>
      </w:pPr>
      <w:r>
        <w:rPr/>
        <w:br w:type="column"/>
      </w:r>
      <w:r>
        <w:rPr/>
        <w:t>指因外伤引起的急性硬膜下血肿、急性硬膜外血肿或急性脑内血</w:t>
      </w:r>
      <w:r>
        <w:rPr>
          <w:w w:val="95"/>
        </w:rPr>
        <w:t>肿，实际实施了颅骨打孔血肿清除手术。</w:t>
      </w:r>
    </w:p>
    <w:p>
      <w:pPr>
        <w:pStyle w:val="BodyText"/>
        <w:spacing w:line="237" w:lineRule="auto" w:before="61"/>
        <w:ind w:left="100" w:right="220"/>
        <w:rPr>
          <w:rFonts w:ascii="黑体" w:eastAsia="黑体" w:hint="eastAsia"/>
        </w:rPr>
      </w:pPr>
      <w:r>
        <w:rPr>
          <w:rFonts w:ascii="黑体" w:eastAsia="黑体" w:hint="eastAsia"/>
          <w:spacing w:val="-3"/>
          <w:w w:val="95"/>
        </w:rPr>
        <w:t>微创颅内血肿穿刺针治疗，脑血管意外所致脑出血血肿清除术不在  保障范围内。</w:t>
      </w:r>
    </w:p>
    <w:p>
      <w:pPr>
        <w:spacing w:after="0" w:line="237" w:lineRule="auto"/>
        <w:rPr>
          <w:rFonts w:ascii="黑体" w:eastAsia="黑体" w:hint="eastAsia"/>
        </w:rPr>
        <w:sectPr>
          <w:type w:val="continuous"/>
          <w:pgSz w:w="12240" w:h="15840"/>
          <w:pgMar w:top="900" w:bottom="280" w:left="1700" w:right="1580"/>
          <w:cols w:num="2" w:equalWidth="0">
            <w:col w:w="2321" w:space="259"/>
            <w:col w:w="6380"/>
          </w:cols>
        </w:sectPr>
      </w:pPr>
    </w:p>
    <w:p>
      <w:pPr>
        <w:pStyle w:val="BodyText"/>
        <w:spacing w:before="1"/>
        <w:rPr>
          <w:rFonts w:ascii="黑体"/>
          <w:sz w:val="27"/>
        </w:rPr>
      </w:pPr>
    </w:p>
    <w:p>
      <w:pPr>
        <w:spacing w:after="0"/>
        <w:rPr>
          <w:rFonts w:ascii="黑体"/>
          <w:sz w:val="27"/>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4" w:lineRule="exact" w:before="35" w:after="0"/>
        <w:ind w:left="846" w:right="0" w:hanging="746"/>
        <w:jc w:val="left"/>
      </w:pPr>
      <w:r>
        <w:rPr>
          <w:w w:val="95"/>
        </w:rPr>
        <w:t>肺泡蛋白质沉积</w:t>
      </w:r>
    </w:p>
    <w:p>
      <w:pPr>
        <w:spacing w:line="274" w:lineRule="exact" w:before="0"/>
        <w:ind w:left="846" w:right="0" w:firstLine="0"/>
        <w:jc w:val="left"/>
        <w:rPr>
          <w:b/>
          <w:sz w:val="21"/>
        </w:rPr>
      </w:pPr>
      <w:r>
        <w:rPr>
          <w:b/>
          <w:w w:val="95"/>
          <w:sz w:val="21"/>
        </w:rPr>
        <w:t>症肺灌洗治疗</w:t>
      </w:r>
    </w:p>
    <w:p>
      <w:pPr>
        <w:pStyle w:val="BodyText"/>
        <w:spacing w:before="35"/>
        <w:ind w:left="100" w:right="220"/>
      </w:pPr>
      <w:r>
        <w:rPr/>
        <w:br w:type="column"/>
      </w:r>
      <w:r>
        <w:rPr>
          <w:spacing w:val="-2"/>
          <w:w w:val="95"/>
        </w:rPr>
        <w:t>肺泡蛋白质沉积症指一种弥漫性肺部疾病，其组织学特征为肺泡腔  内及终末细支气管内堆积过量的磷脂蛋白样物质。</w:t>
      </w:r>
    </w:p>
    <w:p>
      <w:pPr>
        <w:pStyle w:val="BodyText"/>
        <w:ind w:left="100" w:right="217"/>
      </w:pPr>
      <w:r>
        <w:rPr/>
        <w:t>肺泡蛋白质沉积症肺灌洗治疗指经组织病理学检查诊断为肺泡蛋白质沉积症，且实际实施了至少 2 次支气管肺泡灌洗治疗。</w:t>
      </w:r>
    </w:p>
    <w:p>
      <w:pPr>
        <w:spacing w:after="0"/>
        <w:sectPr>
          <w:type w:val="continuous"/>
          <w:pgSz w:w="12240" w:h="15840"/>
          <w:pgMar w:top="900" w:bottom="280" w:left="1700" w:right="1580"/>
          <w:cols w:num="2" w:equalWidth="0">
            <w:col w:w="2321" w:space="259"/>
            <w:col w:w="6380"/>
          </w:cols>
        </w:sectPr>
      </w:pPr>
    </w:p>
    <w:p>
      <w:pPr>
        <w:pStyle w:val="BodyText"/>
        <w:spacing w:before="1"/>
        <w:rPr>
          <w:sz w:val="27"/>
        </w:rPr>
      </w:pPr>
    </w:p>
    <w:p>
      <w:pPr>
        <w:spacing w:after="0"/>
        <w:rPr>
          <w:sz w:val="27"/>
        </w:rPr>
        <w:sectPr>
          <w:type w:val="continuous"/>
          <w:pgSz w:w="12240" w:h="15840"/>
          <w:pgMar w:top="900" w:bottom="280" w:left="1700" w:right="1580"/>
        </w:sectPr>
      </w:pPr>
    </w:p>
    <w:p>
      <w:pPr>
        <w:pStyle w:val="Heading2"/>
        <w:numPr>
          <w:ilvl w:val="1"/>
          <w:numId w:val="79"/>
        </w:numPr>
        <w:tabs>
          <w:tab w:pos="846" w:val="left" w:leader="none"/>
          <w:tab w:pos="847" w:val="left" w:leader="none"/>
        </w:tabs>
        <w:spacing w:line="273" w:lineRule="exact" w:before="35" w:after="0"/>
        <w:ind w:left="846" w:right="0" w:hanging="746"/>
        <w:jc w:val="left"/>
      </w:pPr>
      <w:r>
        <w:rPr>
          <w:w w:val="95"/>
        </w:rPr>
        <w:t>无颅内压增高的</w:t>
      </w:r>
    </w:p>
    <w:p>
      <w:pPr>
        <w:spacing w:line="273" w:lineRule="exact" w:before="0"/>
        <w:ind w:left="846" w:right="0" w:firstLine="0"/>
        <w:jc w:val="left"/>
        <w:rPr>
          <w:b/>
          <w:sz w:val="21"/>
        </w:rPr>
      </w:pPr>
      <w:r>
        <w:rPr>
          <w:b/>
          <w:w w:val="95"/>
          <w:sz w:val="21"/>
        </w:rPr>
        <w:t>微小良性脑肿瘤</w:t>
      </w:r>
    </w:p>
    <w:p>
      <w:pPr>
        <w:pStyle w:val="BodyText"/>
        <w:spacing w:line="237" w:lineRule="auto" w:before="38"/>
        <w:ind w:left="100" w:right="190"/>
        <w:jc w:val="both"/>
      </w:pPr>
      <w:r>
        <w:rPr/>
        <w:br w:type="column"/>
      </w:r>
      <w:r>
        <w:rPr>
          <w:spacing w:val="-10"/>
        </w:rPr>
        <w:t>指直径小于 </w:t>
      </w:r>
      <w:r>
        <w:rPr/>
        <w:t>2cm</w:t>
      </w:r>
      <w:r>
        <w:rPr>
          <w:spacing w:val="-8"/>
        </w:rPr>
        <w:t> 的脑的微小良性肿瘤，临床上无颅内压升高表现， </w:t>
      </w:r>
      <w:r>
        <w:rPr>
          <w:w w:val="99"/>
        </w:rPr>
        <w:t>无危及生命征象。微小良性脑肿瘤由头颅断层扫描</w:t>
      </w:r>
      <w:r>
        <w:rPr>
          <w:spacing w:val="1"/>
          <w:w w:val="99"/>
        </w:rPr>
        <w:t>（</w:t>
      </w:r>
      <w:r>
        <w:rPr>
          <w:spacing w:val="0"/>
          <w:w w:val="99"/>
        </w:rPr>
        <w:t>C</w:t>
      </w:r>
      <w:r>
        <w:rPr>
          <w:spacing w:val="2"/>
          <w:w w:val="99"/>
        </w:rPr>
        <w:t>T</w:t>
      </w:r>
      <w:r>
        <w:rPr>
          <w:spacing w:val="-104"/>
          <w:w w:val="99"/>
        </w:rPr>
        <w:t>）</w:t>
      </w:r>
      <w:r>
        <w:rPr>
          <w:spacing w:val="0"/>
          <w:w w:val="99"/>
        </w:rPr>
        <w:t>、核磁共</w:t>
      </w:r>
      <w:r>
        <w:rPr>
          <w:spacing w:val="0"/>
          <w:w w:val="95"/>
        </w:rPr>
        <w:t>振检查（MRI）或正电子发射断层扫描（PET）等影像学检查证实， </w:t>
      </w:r>
      <w:r>
        <w:rPr>
          <w:spacing w:val="-2"/>
        </w:rPr>
        <w:t>未实施开颅切除肿瘤的手术治疗，仅接受了针对该脑肿瘤的放射治</w:t>
      </w:r>
      <w:r>
        <w:rPr>
          <w:spacing w:val="-1"/>
          <w:w w:val="95"/>
        </w:rPr>
        <w:t>疗。</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4"/>
        <w:ind w:left="2800"/>
        <w:rPr>
          <w:rFonts w:ascii="黑体" w:eastAsia="黑体" w:hint="eastAsia"/>
        </w:rPr>
      </w:pPr>
      <w:r>
        <w:rPr>
          <w:rFonts w:ascii="黑体" w:eastAsia="黑体" w:hint="eastAsia"/>
          <w:w w:val="95"/>
        </w:rPr>
        <w:t>脑垂体瘤、脑囊肿、脑血管性疾病不在保障范围内。</w:t>
      </w:r>
    </w:p>
    <w:p>
      <w:pPr>
        <w:pStyle w:val="BodyText"/>
        <w:spacing w:before="12"/>
        <w:rPr>
          <w:rFonts w:ascii="黑体"/>
          <w:sz w:val="29"/>
        </w:rPr>
      </w:pPr>
    </w:p>
    <w:p>
      <w:pPr>
        <w:pStyle w:val="ListParagraph"/>
        <w:numPr>
          <w:ilvl w:val="1"/>
          <w:numId w:val="79"/>
        </w:numPr>
        <w:tabs>
          <w:tab w:pos="966" w:val="left" w:leader="none"/>
          <w:tab w:pos="967" w:val="left" w:leader="none"/>
          <w:tab w:pos="2799" w:val="left" w:leader="none"/>
        </w:tabs>
        <w:spacing w:line="237" w:lineRule="auto" w:before="0" w:after="0"/>
        <w:ind w:left="2800" w:right="220" w:hanging="2580"/>
        <w:jc w:val="left"/>
        <w:rPr>
          <w:rFonts w:ascii="黑体" w:eastAsia="黑体" w:hint="eastAsia"/>
          <w:sz w:val="21"/>
        </w:rPr>
      </w:pPr>
      <w:r>
        <w:rPr>
          <w:b/>
          <w:sz w:val="21"/>
        </w:rPr>
        <w:t>多发性硬化症</w:t>
        <w:tab/>
      </w:r>
      <w:r>
        <w:rPr>
          <w:w w:val="95"/>
          <w:sz w:val="21"/>
        </w:rPr>
        <w:t>多发性硬化为中枢神经系统白质多灶性脱髓鞘病变</w:t>
      </w:r>
      <w:r>
        <w:rPr>
          <w:spacing w:val="-29"/>
          <w:w w:val="95"/>
          <w:sz w:val="21"/>
        </w:rPr>
        <w:t>，</w:t>
      </w:r>
      <w:r>
        <w:rPr>
          <w:rFonts w:ascii="黑体" w:eastAsia="黑体" w:hint="eastAsia"/>
          <w:w w:val="95"/>
          <w:sz w:val="21"/>
        </w:rPr>
        <w:t>且满足下列全   部条件：</w:t>
      </w:r>
    </w:p>
    <w:p>
      <w:pPr>
        <w:pStyle w:val="ListParagraph"/>
        <w:numPr>
          <w:ilvl w:val="0"/>
          <w:numId w:val="84"/>
        </w:numPr>
        <w:tabs>
          <w:tab w:pos="3520" w:val="left" w:leader="none"/>
        </w:tabs>
        <w:spacing w:line="237" w:lineRule="auto" w:before="61" w:after="0"/>
        <w:ind w:left="3520" w:right="220" w:hanging="720"/>
        <w:jc w:val="both"/>
        <w:rPr>
          <w:sz w:val="21"/>
        </w:rPr>
      </w:pPr>
      <w:r>
        <w:rPr>
          <w:spacing w:val="3"/>
          <w:w w:val="99"/>
          <w:sz w:val="21"/>
        </w:rPr>
        <w:t>计算机断层扫描</w:t>
      </w:r>
      <w:r>
        <w:rPr>
          <w:spacing w:val="1"/>
          <w:w w:val="99"/>
          <w:sz w:val="21"/>
        </w:rPr>
        <w:t>（</w:t>
      </w:r>
      <w:r>
        <w:rPr>
          <w:spacing w:val="0"/>
          <w:w w:val="99"/>
          <w:sz w:val="21"/>
        </w:rPr>
        <w:t>C</w:t>
      </w:r>
      <w:r>
        <w:rPr>
          <w:spacing w:val="2"/>
          <w:w w:val="99"/>
          <w:sz w:val="21"/>
        </w:rPr>
        <w:t>T</w:t>
      </w:r>
      <w:r>
        <w:rPr>
          <w:spacing w:val="-101"/>
          <w:w w:val="99"/>
          <w:sz w:val="21"/>
        </w:rPr>
        <w:t>）</w:t>
      </w:r>
      <w:r>
        <w:rPr>
          <w:spacing w:val="3"/>
          <w:w w:val="99"/>
          <w:sz w:val="21"/>
        </w:rPr>
        <w:t>、核磁共振检查（</w:t>
      </w:r>
      <w:r>
        <w:rPr>
          <w:spacing w:val="0"/>
          <w:w w:val="99"/>
          <w:sz w:val="21"/>
        </w:rPr>
        <w:t>MR</w:t>
      </w:r>
      <w:r>
        <w:rPr>
          <w:spacing w:val="2"/>
          <w:w w:val="99"/>
          <w:sz w:val="21"/>
        </w:rPr>
        <w:t>I</w:t>
      </w:r>
      <w:r>
        <w:rPr>
          <w:spacing w:val="3"/>
          <w:w w:val="99"/>
          <w:sz w:val="21"/>
        </w:rPr>
        <w:t>）</w:t>
      </w:r>
      <w:r>
        <w:rPr>
          <w:spacing w:val="2"/>
          <w:w w:val="99"/>
          <w:sz w:val="21"/>
        </w:rPr>
        <w:t>或正电子发</w:t>
      </w:r>
      <w:r>
        <w:rPr>
          <w:spacing w:val="-2"/>
          <w:w w:val="95"/>
          <w:sz w:val="21"/>
        </w:rPr>
        <w:t>射断层扫描</w:t>
      </w:r>
      <w:r>
        <w:rPr>
          <w:w w:val="95"/>
          <w:sz w:val="21"/>
        </w:rPr>
        <w:t>（PET）等影像学检查证实存在中枢神经系统白 质内多发病灶；</w:t>
      </w:r>
    </w:p>
    <w:p>
      <w:pPr>
        <w:pStyle w:val="ListParagraph"/>
        <w:numPr>
          <w:ilvl w:val="0"/>
          <w:numId w:val="84"/>
        </w:numPr>
        <w:tabs>
          <w:tab w:pos="3520" w:val="left" w:leader="none"/>
        </w:tabs>
        <w:spacing w:line="240" w:lineRule="auto" w:before="56" w:after="0"/>
        <w:ind w:left="3520" w:right="0" w:hanging="720"/>
        <w:jc w:val="left"/>
        <w:rPr>
          <w:sz w:val="21"/>
        </w:rPr>
      </w:pPr>
      <w:r>
        <w:rPr>
          <w:w w:val="95"/>
          <w:sz w:val="21"/>
        </w:rPr>
        <w:t>完整的医疗记录证实疾病呈缓解复发和进展加重病程；</w:t>
      </w:r>
    </w:p>
    <w:p>
      <w:pPr>
        <w:pStyle w:val="ListParagraph"/>
        <w:numPr>
          <w:ilvl w:val="0"/>
          <w:numId w:val="84"/>
        </w:numPr>
        <w:tabs>
          <w:tab w:pos="3520" w:val="left" w:leader="none"/>
        </w:tabs>
        <w:spacing w:line="240" w:lineRule="auto" w:before="58" w:after="0"/>
        <w:ind w:left="3520" w:right="0" w:hanging="720"/>
        <w:jc w:val="left"/>
        <w:rPr>
          <w:sz w:val="21"/>
        </w:rPr>
      </w:pPr>
      <w:r>
        <w:rPr>
          <w:w w:val="95"/>
          <w:sz w:val="21"/>
        </w:rPr>
        <w:t>存在永久不可逆的神经系统功能障碍。</w:t>
      </w:r>
    </w:p>
    <w:p>
      <w:pPr>
        <w:pStyle w:val="BodyText"/>
        <w:spacing w:before="0"/>
        <w:rPr>
          <w:sz w:val="20"/>
        </w:rPr>
      </w:pPr>
    </w:p>
    <w:p>
      <w:pPr>
        <w:pStyle w:val="BodyText"/>
        <w:spacing w:before="10"/>
        <w:rPr>
          <w:sz w:val="14"/>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62"/>
        <w:gridCol w:w="6290"/>
      </w:tblGrid>
      <w:tr>
        <w:trPr>
          <w:trHeight w:val="542" w:hRule="atLeast"/>
        </w:trPr>
        <w:tc>
          <w:tcPr>
            <w:tcW w:w="688" w:type="dxa"/>
          </w:tcPr>
          <w:p>
            <w:pPr>
              <w:pStyle w:val="TableParagraph"/>
              <w:spacing w:line="209" w:lineRule="exact"/>
              <w:ind w:left="31" w:right="87"/>
              <w:jc w:val="center"/>
              <w:rPr>
                <w:b/>
                <w:sz w:val="21"/>
              </w:rPr>
            </w:pPr>
            <w:r>
              <w:rPr>
                <w:b/>
                <w:sz w:val="21"/>
              </w:rPr>
              <w:t>10.58</w:t>
            </w:r>
          </w:p>
        </w:tc>
        <w:tc>
          <w:tcPr>
            <w:tcW w:w="1762" w:type="dxa"/>
          </w:tcPr>
          <w:p>
            <w:pPr>
              <w:pStyle w:val="TableParagraph"/>
              <w:spacing w:line="207" w:lineRule="exact"/>
              <w:ind w:left="108"/>
              <w:rPr>
                <w:b/>
                <w:sz w:val="21"/>
              </w:rPr>
            </w:pPr>
            <w:r>
              <w:rPr>
                <w:b/>
                <w:w w:val="95"/>
                <w:sz w:val="21"/>
              </w:rPr>
              <w:t>急性重型肝炎人</w:t>
            </w:r>
          </w:p>
          <w:p>
            <w:pPr>
              <w:pStyle w:val="TableParagraph"/>
              <w:spacing w:line="273" w:lineRule="exact"/>
              <w:ind w:left="108"/>
              <w:rPr>
                <w:b/>
                <w:sz w:val="21"/>
              </w:rPr>
            </w:pPr>
            <w:r>
              <w:rPr>
                <w:b/>
                <w:w w:val="95"/>
                <w:sz w:val="21"/>
              </w:rPr>
              <w:t>工肝治疗</w:t>
            </w:r>
          </w:p>
        </w:tc>
        <w:tc>
          <w:tcPr>
            <w:tcW w:w="6290" w:type="dxa"/>
          </w:tcPr>
          <w:p>
            <w:pPr>
              <w:pStyle w:val="TableParagraph"/>
              <w:spacing w:line="207" w:lineRule="exact"/>
              <w:ind w:left="180"/>
              <w:rPr>
                <w:sz w:val="21"/>
              </w:rPr>
            </w:pPr>
            <w:r>
              <w:rPr>
                <w:w w:val="95"/>
                <w:sz w:val="21"/>
              </w:rPr>
              <w:t>指诊断为急性重型肝炎，且实际实施了人工肝支持系统（ALSS）治</w:t>
            </w:r>
          </w:p>
          <w:p>
            <w:pPr>
              <w:pStyle w:val="TableParagraph"/>
              <w:spacing w:line="273" w:lineRule="exact"/>
              <w:ind w:left="180"/>
              <w:rPr>
                <w:sz w:val="21"/>
              </w:rPr>
            </w:pPr>
            <w:r>
              <w:rPr>
                <w:w w:val="95"/>
                <w:sz w:val="21"/>
              </w:rPr>
              <w:t>疗。</w:t>
            </w:r>
          </w:p>
        </w:tc>
      </w:tr>
      <w:tr>
        <w:trPr>
          <w:trHeight w:val="877"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37" w:lineRule="auto"/>
              <w:ind w:left="180" w:right="47"/>
              <w:jc w:val="both"/>
              <w:rPr>
                <w:sz w:val="21"/>
              </w:rPr>
            </w:pPr>
            <w:r>
              <w:rPr>
                <w:sz w:val="21"/>
              </w:rPr>
              <w:t>ALSS</w:t>
            </w:r>
            <w:r>
              <w:rPr>
                <w:spacing w:val="-14"/>
                <w:sz w:val="21"/>
              </w:rPr>
              <w:t> 又称体外肝脏支持装置，指借助体外机械、化学或生物性装置</w:t>
            </w:r>
            <w:r>
              <w:rPr>
                <w:spacing w:val="-13"/>
                <w:w w:val="95"/>
                <w:sz w:val="21"/>
              </w:rPr>
              <w:t>暂时部分替代肝脏功能，协助治疗肝脏功能不全或相关疾病的治疗  方法。</w:t>
            </w:r>
          </w:p>
        </w:tc>
      </w:tr>
      <w:tr>
        <w:trPr>
          <w:trHeight w:val="498"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290" w:type="dxa"/>
          </w:tcPr>
          <w:p>
            <w:pPr>
              <w:pStyle w:val="TableParagraph"/>
              <w:spacing w:line="270" w:lineRule="exact"/>
              <w:ind w:left="180"/>
              <w:rPr>
                <w:rFonts w:ascii="黑体" w:eastAsia="黑体" w:hint="eastAsia"/>
                <w:sz w:val="21"/>
              </w:rPr>
            </w:pPr>
            <w:r>
              <w:rPr>
                <w:rFonts w:ascii="黑体" w:eastAsia="黑体" w:hint="eastAsia"/>
                <w:sz w:val="21"/>
              </w:rPr>
              <w:t>慢性重型肝炎 ALSS 治疗不在保障范围内。</w:t>
            </w:r>
          </w:p>
        </w:tc>
      </w:tr>
      <w:tr>
        <w:trPr>
          <w:trHeight w:val="436" w:hRule="atLeast"/>
        </w:trPr>
        <w:tc>
          <w:tcPr>
            <w:tcW w:w="688" w:type="dxa"/>
          </w:tcPr>
          <w:p>
            <w:pPr>
              <w:pStyle w:val="TableParagraph"/>
              <w:spacing w:line="255" w:lineRule="exact" w:before="162"/>
              <w:ind w:left="31" w:right="87"/>
              <w:jc w:val="center"/>
              <w:rPr>
                <w:b/>
                <w:sz w:val="21"/>
              </w:rPr>
            </w:pPr>
            <w:r>
              <w:rPr>
                <w:b/>
                <w:sz w:val="21"/>
              </w:rPr>
              <w:t>10.59</w:t>
            </w:r>
          </w:p>
        </w:tc>
        <w:tc>
          <w:tcPr>
            <w:tcW w:w="1762" w:type="dxa"/>
          </w:tcPr>
          <w:p>
            <w:pPr>
              <w:pStyle w:val="TableParagraph"/>
              <w:spacing w:line="255" w:lineRule="exact" w:before="162"/>
              <w:ind w:left="108"/>
              <w:rPr>
                <w:b/>
                <w:sz w:val="21"/>
              </w:rPr>
            </w:pPr>
            <w:r>
              <w:rPr>
                <w:b/>
                <w:w w:val="95"/>
                <w:sz w:val="21"/>
              </w:rPr>
              <w:t>强直性脊柱炎的</w:t>
            </w:r>
          </w:p>
        </w:tc>
        <w:tc>
          <w:tcPr>
            <w:tcW w:w="6290" w:type="dxa"/>
          </w:tcPr>
          <w:p>
            <w:pPr>
              <w:pStyle w:val="TableParagraph"/>
              <w:spacing w:line="255" w:lineRule="exact" w:before="162"/>
              <w:ind w:left="180"/>
              <w:rPr>
                <w:rFonts w:ascii="黑体" w:eastAsia="黑体" w:hint="eastAsia"/>
                <w:sz w:val="21"/>
              </w:rPr>
            </w:pPr>
            <w:r>
              <w:rPr>
                <w:w w:val="95"/>
                <w:sz w:val="21"/>
              </w:rPr>
              <w:t>指诊断为强直性脊柱炎，</w:t>
            </w:r>
            <w:r>
              <w:rPr>
                <w:rFonts w:ascii="黑体" w:eastAsia="黑体" w:hint="eastAsia"/>
                <w:w w:val="95"/>
                <w:sz w:val="21"/>
              </w:rPr>
              <w:t>且满足下列全部条件：</w:t>
            </w:r>
          </w:p>
        </w:tc>
      </w:tr>
    </w:tbl>
    <w:p>
      <w:pPr>
        <w:spacing w:after="0" w:line="255" w:lineRule="exact"/>
        <w:rPr>
          <w:rFonts w:ascii="黑体" w:eastAsia="黑体" w:hint="eastAsia"/>
          <w:sz w:val="21"/>
        </w:rPr>
        <w:sectPr>
          <w:pgSz w:w="12240" w:h="15840"/>
          <w:pgMar w:top="1460" w:bottom="280" w:left="1580" w:right="1580"/>
        </w:sectPr>
      </w:pPr>
    </w:p>
    <w:p>
      <w:pPr>
        <w:pStyle w:val="Heading2"/>
        <w:spacing w:line="274" w:lineRule="exact"/>
        <w:ind w:left="966"/>
      </w:pPr>
      <w:r>
        <w:rPr>
          <w:w w:val="95"/>
        </w:rPr>
        <w:t>特定手术治疗</w:t>
      </w:r>
    </w:p>
    <w:p>
      <w:pPr>
        <w:pStyle w:val="ListParagraph"/>
        <w:numPr>
          <w:ilvl w:val="0"/>
          <w:numId w:val="85"/>
        </w:numPr>
        <w:tabs>
          <w:tab w:pos="1252" w:val="left" w:leader="none"/>
        </w:tabs>
        <w:spacing w:line="240" w:lineRule="auto" w:before="59" w:after="0"/>
        <w:ind w:left="1251" w:right="0" w:hanging="720"/>
        <w:jc w:val="left"/>
        <w:rPr>
          <w:sz w:val="21"/>
        </w:rPr>
      </w:pPr>
      <w:r>
        <w:rPr>
          <w:spacing w:val="-1"/>
          <w:w w:val="99"/>
          <w:sz w:val="21"/>
        </w:rPr>
        <w:br w:type="column"/>
      </w:r>
      <w:r>
        <w:rPr>
          <w:w w:val="95"/>
          <w:sz w:val="21"/>
        </w:rPr>
        <w:t>脊柱、髋、膝关节疼痛活动受限；</w:t>
      </w:r>
    </w:p>
    <w:p>
      <w:pPr>
        <w:pStyle w:val="ListParagraph"/>
        <w:numPr>
          <w:ilvl w:val="0"/>
          <w:numId w:val="85"/>
        </w:numPr>
        <w:tabs>
          <w:tab w:pos="1252" w:val="left" w:leader="none"/>
        </w:tabs>
        <w:spacing w:line="240" w:lineRule="auto" w:before="56" w:after="0"/>
        <w:ind w:left="1251" w:right="0" w:hanging="720"/>
        <w:jc w:val="left"/>
        <w:rPr>
          <w:sz w:val="21"/>
        </w:rPr>
      </w:pPr>
      <w:r>
        <w:rPr>
          <w:w w:val="95"/>
          <w:sz w:val="21"/>
        </w:rPr>
        <w:t>脊柱后凸畸形，髋、膝关节强直；</w:t>
      </w:r>
    </w:p>
    <w:p>
      <w:pPr>
        <w:pStyle w:val="ListParagraph"/>
        <w:numPr>
          <w:ilvl w:val="0"/>
          <w:numId w:val="85"/>
        </w:numPr>
        <w:tabs>
          <w:tab w:pos="1252" w:val="left" w:leader="none"/>
        </w:tabs>
        <w:spacing w:line="240" w:lineRule="auto" w:before="58" w:after="0"/>
        <w:ind w:left="1251" w:right="0" w:hanging="720"/>
        <w:jc w:val="left"/>
        <w:rPr>
          <w:sz w:val="21"/>
        </w:rPr>
      </w:pPr>
      <w:r>
        <w:rPr>
          <w:sz w:val="21"/>
        </w:rPr>
        <w:t>X</w:t>
      </w:r>
      <w:r>
        <w:rPr>
          <w:spacing w:val="-8"/>
          <w:sz w:val="21"/>
        </w:rPr>
        <w:t> 线关节结构破坏征象；</w:t>
      </w:r>
    </w:p>
    <w:p>
      <w:pPr>
        <w:pStyle w:val="ListParagraph"/>
        <w:numPr>
          <w:ilvl w:val="0"/>
          <w:numId w:val="85"/>
        </w:numPr>
        <w:tabs>
          <w:tab w:pos="1252" w:val="left" w:leader="none"/>
        </w:tabs>
        <w:spacing w:line="240" w:lineRule="auto" w:before="56" w:after="0"/>
        <w:ind w:left="1251" w:right="0" w:hanging="720"/>
        <w:jc w:val="left"/>
        <w:rPr>
          <w:sz w:val="21"/>
        </w:rPr>
      </w:pPr>
      <w:r>
        <w:rPr>
          <w:w w:val="95"/>
          <w:sz w:val="21"/>
        </w:rPr>
        <w:t>实际实施了下列手术治疗的一项或多项：</w:t>
      </w:r>
    </w:p>
    <w:p>
      <w:pPr>
        <w:pStyle w:val="ListParagraph"/>
        <w:numPr>
          <w:ilvl w:val="1"/>
          <w:numId w:val="85"/>
        </w:numPr>
        <w:tabs>
          <w:tab w:pos="1370" w:val="left" w:leader="none"/>
          <w:tab w:pos="1372" w:val="left" w:leader="none"/>
        </w:tabs>
        <w:spacing w:line="240" w:lineRule="auto" w:before="56" w:after="0"/>
        <w:ind w:left="1371" w:right="0" w:hanging="420"/>
        <w:jc w:val="left"/>
        <w:rPr>
          <w:sz w:val="21"/>
        </w:rPr>
      </w:pPr>
      <w:r>
        <w:rPr>
          <w:w w:val="95"/>
          <w:sz w:val="21"/>
        </w:rPr>
        <w:t>脊柱截骨手术；</w:t>
      </w:r>
    </w:p>
    <w:p>
      <w:pPr>
        <w:pStyle w:val="ListParagraph"/>
        <w:numPr>
          <w:ilvl w:val="1"/>
          <w:numId w:val="85"/>
        </w:numPr>
        <w:tabs>
          <w:tab w:pos="1370" w:val="left" w:leader="none"/>
          <w:tab w:pos="1372" w:val="left" w:leader="none"/>
        </w:tabs>
        <w:spacing w:line="240" w:lineRule="auto" w:before="58" w:after="0"/>
        <w:ind w:left="1371" w:right="0" w:hanging="420"/>
        <w:jc w:val="left"/>
        <w:rPr>
          <w:sz w:val="21"/>
        </w:rPr>
      </w:pPr>
      <w:r>
        <w:rPr>
          <w:w w:val="95"/>
          <w:sz w:val="21"/>
        </w:rPr>
        <w:t>全髋关节置换手术；</w:t>
      </w:r>
    </w:p>
    <w:p>
      <w:pPr>
        <w:pStyle w:val="ListParagraph"/>
        <w:numPr>
          <w:ilvl w:val="1"/>
          <w:numId w:val="85"/>
        </w:numPr>
        <w:tabs>
          <w:tab w:pos="1370" w:val="left" w:leader="none"/>
          <w:tab w:pos="1372" w:val="left" w:leader="none"/>
        </w:tabs>
        <w:spacing w:line="240" w:lineRule="auto" w:before="56" w:after="0"/>
        <w:ind w:left="1371" w:right="0" w:hanging="420"/>
        <w:jc w:val="left"/>
        <w:rPr>
          <w:sz w:val="21"/>
        </w:rPr>
      </w:pPr>
      <w:r>
        <w:rPr>
          <w:w w:val="95"/>
          <w:sz w:val="21"/>
        </w:rPr>
        <w:t>膝关节置换手术。</w:t>
      </w:r>
    </w:p>
    <w:p>
      <w:pPr>
        <w:spacing w:after="0" w:line="240" w:lineRule="auto"/>
        <w:jc w:val="left"/>
        <w:rPr>
          <w:sz w:val="21"/>
        </w:rPr>
        <w:sectPr>
          <w:type w:val="continuous"/>
          <w:pgSz w:w="12240" w:h="15840"/>
          <w:pgMar w:top="900" w:bottom="280" w:left="1580" w:right="1580"/>
          <w:cols w:num="2" w:equalWidth="0">
            <w:col w:w="2229" w:space="40"/>
            <w:col w:w="6811"/>
          </w:cols>
        </w:sectPr>
      </w:pPr>
    </w:p>
    <w:p>
      <w:pPr>
        <w:pStyle w:val="BodyText"/>
        <w:spacing w:before="2"/>
        <w:rPr>
          <w:sz w:val="27"/>
        </w:rPr>
      </w:pPr>
    </w:p>
    <w:p>
      <w:pPr>
        <w:spacing w:after="0"/>
        <w:rPr>
          <w:sz w:val="27"/>
        </w:rPr>
        <w:sectPr>
          <w:type w:val="continuous"/>
          <w:pgSz w:w="12240" w:h="15840"/>
          <w:pgMar w:top="900" w:bottom="280" w:left="1580" w:right="1580"/>
        </w:sectPr>
      </w:pPr>
    </w:p>
    <w:p>
      <w:pPr>
        <w:pStyle w:val="Heading2"/>
        <w:tabs>
          <w:tab w:pos="966" w:val="left" w:leader="none"/>
        </w:tabs>
        <w:spacing w:line="240" w:lineRule="auto" w:before="34"/>
        <w:ind w:left="966" w:hanging="747"/>
      </w:pPr>
      <w:r>
        <w:rPr/>
        <w:t>10.60</w:t>
        <w:tab/>
      </w:r>
      <w:r>
        <w:rPr>
          <w:w w:val="95"/>
        </w:rPr>
        <w:t>急性肾衰竭肾脏 透析治疗</w:t>
      </w:r>
    </w:p>
    <w:p>
      <w:pPr>
        <w:pStyle w:val="BodyText"/>
        <w:spacing w:line="237" w:lineRule="auto" w:before="37"/>
        <w:ind w:left="220" w:right="217"/>
        <w:jc w:val="both"/>
        <w:rPr>
          <w:rFonts w:ascii="黑体" w:eastAsia="黑体" w:hint="eastAsia"/>
        </w:rPr>
      </w:pPr>
      <w:r>
        <w:rPr/>
        <w:br w:type="column"/>
      </w:r>
      <w:r>
        <w:rPr/>
        <w:t>急性肾衰竭（ARF）是指各种病因引起的肾功能在短期内</w:t>
      </w:r>
      <w:r>
        <w:rPr>
          <w:spacing w:val="2"/>
        </w:rPr>
        <w:t>（</w:t>
      </w:r>
      <w:r>
        <w:rPr/>
        <w:t>数小时</w:t>
      </w:r>
      <w:r>
        <w:rPr>
          <w:w w:val="95"/>
        </w:rPr>
        <w:t>或数周</w:t>
      </w:r>
      <w:r>
        <w:rPr>
          <w:spacing w:val="-15"/>
          <w:w w:val="95"/>
        </w:rPr>
        <w:t>）</w:t>
      </w:r>
      <w:r>
        <w:rPr>
          <w:spacing w:val="-2"/>
          <w:w w:val="95"/>
        </w:rPr>
        <w:t>急剧进行性下降，导致体内氮质产物潴留而出现的临床综</w:t>
      </w:r>
      <w:r>
        <w:rPr>
          <w:spacing w:val="1"/>
          <w:w w:val="99"/>
        </w:rPr>
        <w:t>合</w:t>
      </w:r>
      <w:r>
        <w:rPr>
          <w:spacing w:val="-4"/>
          <w:w w:val="99"/>
        </w:rPr>
        <w:t>征，国际上近年来改称为急性肾损伤</w:t>
      </w:r>
      <w:r>
        <w:rPr>
          <w:spacing w:val="1"/>
          <w:w w:val="99"/>
        </w:rPr>
        <w:t>（</w:t>
      </w:r>
      <w:r>
        <w:rPr>
          <w:spacing w:val="0"/>
          <w:w w:val="99"/>
        </w:rPr>
        <w:t>AK</w:t>
      </w:r>
      <w:r>
        <w:rPr>
          <w:spacing w:val="-2"/>
          <w:w w:val="99"/>
        </w:rPr>
        <w:t>I</w:t>
      </w:r>
      <w:r>
        <w:rPr>
          <w:spacing w:val="-104"/>
          <w:w w:val="99"/>
        </w:rPr>
        <w:t>）</w:t>
      </w:r>
      <w:r>
        <w:rPr>
          <w:spacing w:val="-3"/>
          <w:w w:val="99"/>
        </w:rPr>
        <w:t>。急性肾衰竭肾脏透</w:t>
      </w:r>
      <w:r>
        <w:rPr>
          <w:w w:val="95"/>
        </w:rPr>
        <w:t>析治疗指诊断为急性肾衰竭，</w:t>
      </w:r>
      <w:r>
        <w:rPr>
          <w:rFonts w:ascii="黑体" w:eastAsia="黑体" w:hint="eastAsia"/>
          <w:w w:val="95"/>
        </w:rPr>
        <w:t>且满足下列全部条件：</w:t>
      </w:r>
    </w:p>
    <w:p>
      <w:pPr>
        <w:spacing w:after="0" w:line="237" w:lineRule="auto"/>
        <w:jc w:val="both"/>
        <w:rPr>
          <w:rFonts w:ascii="黑体" w:eastAsia="黑体" w:hint="eastAsia"/>
        </w:rPr>
        <w:sectPr>
          <w:type w:val="continuous"/>
          <w:pgSz w:w="12240" w:h="15840"/>
          <w:pgMar w:top="900" w:bottom="280" w:left="1580" w:right="1580"/>
          <w:cols w:num="2" w:equalWidth="0">
            <w:col w:w="2441" w:space="139"/>
            <w:col w:w="6500"/>
          </w:cols>
        </w:sectPr>
      </w:pPr>
    </w:p>
    <w:p>
      <w:pPr>
        <w:pStyle w:val="BodyText"/>
        <w:spacing w:before="3"/>
        <w:rPr>
          <w:rFonts w:ascii="黑体"/>
          <w:sz w:val="9"/>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499"/>
        <w:gridCol w:w="1117"/>
        <w:gridCol w:w="5546"/>
      </w:tblGrid>
      <w:tr>
        <w:trPr>
          <w:trHeight w:val="271" w:hRule="atLeast"/>
        </w:trPr>
        <w:tc>
          <w:tcPr>
            <w:tcW w:w="2192" w:type="dxa"/>
            <w:gridSpan w:val="2"/>
            <w:vMerge w:val="restart"/>
          </w:tcPr>
          <w:p>
            <w:pPr>
              <w:pStyle w:val="TableParagraph"/>
              <w:rPr>
                <w:rFonts w:ascii="Times New Roman"/>
                <w:sz w:val="20"/>
              </w:rPr>
            </w:pPr>
          </w:p>
        </w:tc>
        <w:tc>
          <w:tcPr>
            <w:tcW w:w="1117" w:type="dxa"/>
          </w:tcPr>
          <w:p>
            <w:pPr>
              <w:pStyle w:val="TableParagraph"/>
              <w:spacing w:line="209" w:lineRule="exact"/>
              <w:ind w:right="95"/>
              <w:jc w:val="right"/>
              <w:rPr>
                <w:sz w:val="21"/>
              </w:rPr>
            </w:pPr>
            <w:r>
              <w:rPr>
                <w:sz w:val="21"/>
              </w:rPr>
              <w:t>（1）</w:t>
            </w:r>
          </w:p>
        </w:tc>
        <w:tc>
          <w:tcPr>
            <w:tcW w:w="5546" w:type="dxa"/>
          </w:tcPr>
          <w:p>
            <w:pPr>
              <w:pStyle w:val="TableParagraph"/>
              <w:spacing w:line="209" w:lineRule="exact"/>
              <w:ind w:left="99"/>
              <w:rPr>
                <w:sz w:val="21"/>
              </w:rPr>
            </w:pPr>
            <w:r>
              <w:rPr>
                <w:sz w:val="21"/>
              </w:rPr>
              <w:t>少尿或无尿 2 天以上；</w:t>
            </w:r>
          </w:p>
        </w:tc>
      </w:tr>
      <w:tr>
        <w:trPr>
          <w:trHeight w:val="332" w:hRule="atLeast"/>
        </w:trPr>
        <w:tc>
          <w:tcPr>
            <w:tcW w:w="2192" w:type="dxa"/>
            <w:gridSpan w:val="2"/>
            <w:vMerge/>
            <w:tcBorders>
              <w:top w:val="nil"/>
            </w:tcBorders>
          </w:tcPr>
          <w:p>
            <w:pPr>
              <w:rPr>
                <w:sz w:val="2"/>
                <w:szCs w:val="2"/>
              </w:rPr>
            </w:pPr>
          </w:p>
        </w:tc>
        <w:tc>
          <w:tcPr>
            <w:tcW w:w="1117" w:type="dxa"/>
          </w:tcPr>
          <w:p>
            <w:pPr>
              <w:pStyle w:val="TableParagraph"/>
              <w:spacing w:line="271" w:lineRule="exact"/>
              <w:ind w:right="95"/>
              <w:jc w:val="right"/>
              <w:rPr>
                <w:sz w:val="21"/>
              </w:rPr>
            </w:pPr>
            <w:r>
              <w:rPr>
                <w:sz w:val="21"/>
              </w:rPr>
              <w:t>（2）</w:t>
            </w:r>
          </w:p>
        </w:tc>
        <w:tc>
          <w:tcPr>
            <w:tcW w:w="5546" w:type="dxa"/>
          </w:tcPr>
          <w:p>
            <w:pPr>
              <w:pStyle w:val="TableParagraph"/>
              <w:spacing w:line="271" w:lineRule="exact"/>
              <w:ind w:left="99"/>
              <w:rPr>
                <w:sz w:val="21"/>
              </w:rPr>
            </w:pPr>
            <w:r>
              <w:rPr>
                <w:sz w:val="21"/>
              </w:rPr>
              <w:t>血肌酐（Scr）&gt;5mg/dl 或&gt;442umol/L；</w:t>
            </w:r>
          </w:p>
        </w:tc>
      </w:tr>
      <w:tr>
        <w:trPr>
          <w:trHeight w:val="332" w:hRule="atLeast"/>
        </w:trPr>
        <w:tc>
          <w:tcPr>
            <w:tcW w:w="2192" w:type="dxa"/>
            <w:gridSpan w:val="2"/>
            <w:vMerge/>
            <w:tcBorders>
              <w:top w:val="nil"/>
            </w:tcBorders>
          </w:tcPr>
          <w:p>
            <w:pPr>
              <w:rPr>
                <w:sz w:val="2"/>
                <w:szCs w:val="2"/>
              </w:rPr>
            </w:pPr>
          </w:p>
        </w:tc>
        <w:tc>
          <w:tcPr>
            <w:tcW w:w="1117" w:type="dxa"/>
          </w:tcPr>
          <w:p>
            <w:pPr>
              <w:pStyle w:val="TableParagraph"/>
              <w:spacing w:line="270" w:lineRule="exact"/>
              <w:ind w:right="95"/>
              <w:jc w:val="right"/>
              <w:rPr>
                <w:sz w:val="21"/>
              </w:rPr>
            </w:pPr>
            <w:r>
              <w:rPr>
                <w:sz w:val="21"/>
              </w:rPr>
              <w:t>（3）</w:t>
            </w:r>
          </w:p>
        </w:tc>
        <w:tc>
          <w:tcPr>
            <w:tcW w:w="5546" w:type="dxa"/>
          </w:tcPr>
          <w:p>
            <w:pPr>
              <w:pStyle w:val="TableParagraph"/>
              <w:spacing w:line="270" w:lineRule="exact"/>
              <w:ind w:left="99"/>
              <w:rPr>
                <w:sz w:val="21"/>
              </w:rPr>
            </w:pPr>
            <w:r>
              <w:rPr>
                <w:w w:val="95"/>
                <w:sz w:val="21"/>
              </w:rPr>
              <w:t>血钾&gt;6.5mmol/L；</w:t>
            </w:r>
          </w:p>
        </w:tc>
      </w:tr>
      <w:tr>
        <w:trPr>
          <w:trHeight w:val="501" w:hRule="atLeast"/>
        </w:trPr>
        <w:tc>
          <w:tcPr>
            <w:tcW w:w="2192" w:type="dxa"/>
            <w:gridSpan w:val="2"/>
            <w:vMerge/>
            <w:tcBorders>
              <w:top w:val="nil"/>
            </w:tcBorders>
          </w:tcPr>
          <w:p>
            <w:pPr>
              <w:rPr>
                <w:sz w:val="2"/>
                <w:szCs w:val="2"/>
              </w:rPr>
            </w:pPr>
          </w:p>
        </w:tc>
        <w:tc>
          <w:tcPr>
            <w:tcW w:w="1117" w:type="dxa"/>
          </w:tcPr>
          <w:p>
            <w:pPr>
              <w:pStyle w:val="TableParagraph"/>
              <w:spacing w:line="271" w:lineRule="exact"/>
              <w:ind w:right="95"/>
              <w:jc w:val="right"/>
              <w:rPr>
                <w:sz w:val="21"/>
              </w:rPr>
            </w:pPr>
            <w:r>
              <w:rPr>
                <w:sz w:val="21"/>
              </w:rPr>
              <w:t>（4）</w:t>
            </w:r>
          </w:p>
        </w:tc>
        <w:tc>
          <w:tcPr>
            <w:tcW w:w="5546" w:type="dxa"/>
          </w:tcPr>
          <w:p>
            <w:pPr>
              <w:pStyle w:val="TableParagraph"/>
              <w:spacing w:line="271" w:lineRule="exact"/>
              <w:ind w:left="99"/>
              <w:rPr>
                <w:sz w:val="21"/>
              </w:rPr>
            </w:pPr>
            <w:r>
              <w:rPr>
                <w:w w:val="95"/>
                <w:sz w:val="21"/>
              </w:rPr>
              <w:t>接受了血液透析治疗。</w:t>
            </w:r>
          </w:p>
        </w:tc>
      </w:tr>
      <w:tr>
        <w:trPr>
          <w:trHeight w:val="505" w:hRule="atLeast"/>
        </w:trPr>
        <w:tc>
          <w:tcPr>
            <w:tcW w:w="693" w:type="dxa"/>
            <w:tcBorders>
              <w:bottom w:val="single" w:sz="12" w:space="0" w:color="000000"/>
            </w:tcBorders>
          </w:tcPr>
          <w:p>
            <w:pPr>
              <w:pStyle w:val="TableParagraph"/>
              <w:spacing w:before="156"/>
              <w:ind w:left="108"/>
              <w:rPr>
                <w:b/>
                <w:sz w:val="24"/>
              </w:rPr>
            </w:pPr>
            <w:r>
              <w:rPr>
                <w:b/>
                <w:sz w:val="24"/>
              </w:rPr>
              <w:t>11.</w:t>
            </w:r>
          </w:p>
        </w:tc>
        <w:tc>
          <w:tcPr>
            <w:tcW w:w="1499" w:type="dxa"/>
            <w:tcBorders>
              <w:bottom w:val="single" w:sz="12" w:space="0" w:color="000000"/>
            </w:tcBorders>
          </w:tcPr>
          <w:p>
            <w:pPr>
              <w:pStyle w:val="TableParagraph"/>
              <w:spacing w:before="156"/>
              <w:ind w:left="161"/>
              <w:rPr>
                <w:b/>
                <w:sz w:val="24"/>
              </w:rPr>
            </w:pPr>
            <w:r>
              <w:rPr>
                <w:b/>
                <w:w w:val="95"/>
                <w:sz w:val="24"/>
              </w:rPr>
              <w:t>释义</w:t>
            </w:r>
          </w:p>
        </w:tc>
        <w:tc>
          <w:tcPr>
            <w:tcW w:w="6663" w:type="dxa"/>
            <w:gridSpan w:val="2"/>
            <w:tcBorders>
              <w:bottom w:val="single" w:sz="12" w:space="0" w:color="000000"/>
            </w:tcBorders>
          </w:tcPr>
          <w:p>
            <w:pPr>
              <w:pStyle w:val="TableParagraph"/>
              <w:rPr>
                <w:rFonts w:ascii="Times New Roman"/>
                <w:sz w:val="20"/>
              </w:rPr>
            </w:pPr>
          </w:p>
        </w:tc>
      </w:tr>
      <w:tr>
        <w:trPr>
          <w:trHeight w:val="917" w:hRule="atLeast"/>
        </w:trPr>
        <w:tc>
          <w:tcPr>
            <w:tcW w:w="693" w:type="dxa"/>
            <w:tcBorders>
              <w:top w:val="single" w:sz="12" w:space="0" w:color="000000"/>
            </w:tcBorders>
          </w:tcPr>
          <w:p>
            <w:pPr>
              <w:pStyle w:val="TableParagraph"/>
              <w:spacing w:before="6"/>
              <w:rPr>
                <w:rFonts w:ascii="黑体"/>
                <w:sz w:val="27"/>
              </w:rPr>
            </w:pPr>
          </w:p>
          <w:p>
            <w:pPr>
              <w:pStyle w:val="TableParagraph"/>
              <w:ind w:left="108"/>
              <w:rPr>
                <w:b/>
                <w:sz w:val="21"/>
              </w:rPr>
            </w:pPr>
            <w:r>
              <w:rPr>
                <w:b/>
                <w:sz w:val="21"/>
              </w:rPr>
              <w:t>11.1</w:t>
            </w:r>
          </w:p>
        </w:tc>
        <w:tc>
          <w:tcPr>
            <w:tcW w:w="1499" w:type="dxa"/>
            <w:tcBorders>
              <w:top w:val="single" w:sz="12" w:space="0" w:color="000000"/>
            </w:tcBorders>
          </w:tcPr>
          <w:p>
            <w:pPr>
              <w:pStyle w:val="TableParagraph"/>
              <w:spacing w:before="6"/>
              <w:rPr>
                <w:rFonts w:ascii="黑体"/>
                <w:sz w:val="27"/>
              </w:rPr>
            </w:pPr>
          </w:p>
          <w:p>
            <w:pPr>
              <w:pStyle w:val="TableParagraph"/>
              <w:ind w:left="161"/>
              <w:rPr>
                <w:b/>
                <w:sz w:val="21"/>
              </w:rPr>
            </w:pPr>
            <w:r>
              <w:rPr>
                <w:b/>
                <w:w w:val="95"/>
                <w:sz w:val="21"/>
              </w:rPr>
              <w:t>合法有效</w:t>
            </w:r>
          </w:p>
        </w:tc>
        <w:tc>
          <w:tcPr>
            <w:tcW w:w="6663" w:type="dxa"/>
            <w:gridSpan w:val="2"/>
            <w:tcBorders>
              <w:top w:val="single" w:sz="12" w:space="0" w:color="000000"/>
            </w:tcBorders>
          </w:tcPr>
          <w:p>
            <w:pPr>
              <w:pStyle w:val="TableParagraph"/>
              <w:rPr>
                <w:rFonts w:ascii="黑体"/>
                <w:sz w:val="20"/>
              </w:rPr>
            </w:pPr>
          </w:p>
          <w:p>
            <w:pPr>
              <w:pStyle w:val="TableParagraph"/>
              <w:spacing w:line="272" w:lineRule="exact" w:before="137"/>
              <w:ind w:left="496" w:right="77"/>
              <w:rPr>
                <w:sz w:val="21"/>
              </w:rPr>
            </w:pPr>
            <w:r>
              <w:rPr>
                <w:w w:val="95"/>
                <w:sz w:val="21"/>
              </w:rPr>
              <w:t>本合同所指合法有效均以中华人民共和国法律、法规、行政法规、  地方性法规、行政规章及有关规范性法律文件的规定为判定依据。</w:t>
            </w:r>
          </w:p>
        </w:tc>
      </w:tr>
    </w:tbl>
    <w:p>
      <w:pPr>
        <w:spacing w:after="0" w:line="272" w:lineRule="exact"/>
        <w:rPr>
          <w:sz w:val="21"/>
        </w:rPr>
        <w:sectPr>
          <w:type w:val="continuous"/>
          <w:pgSz w:w="12240" w:h="15840"/>
          <w:pgMar w:top="900" w:bottom="280" w:left="1580" w:right="1580"/>
        </w:sectPr>
      </w:pPr>
    </w:p>
    <w:p>
      <w:pPr>
        <w:pStyle w:val="ListParagraph"/>
        <w:numPr>
          <w:ilvl w:val="1"/>
          <w:numId w:val="86"/>
        </w:numPr>
        <w:tabs>
          <w:tab w:pos="846" w:val="left" w:leader="none"/>
          <w:tab w:pos="847" w:val="left" w:leader="none"/>
          <w:tab w:pos="2679" w:val="left" w:leader="none"/>
        </w:tabs>
        <w:spacing w:line="284" w:lineRule="exact" w:before="6" w:after="0"/>
        <w:ind w:left="2680" w:right="0" w:hanging="2580"/>
        <w:jc w:val="left"/>
        <w:rPr>
          <w:sz w:val="21"/>
        </w:rPr>
      </w:pPr>
      <w:r>
        <w:rPr>
          <w:b/>
          <w:position w:val="1"/>
          <w:sz w:val="21"/>
        </w:rPr>
        <w:t>保单年度</w:t>
        <w:tab/>
      </w:r>
      <w:r>
        <w:rPr>
          <w:w w:val="95"/>
          <w:sz w:val="21"/>
        </w:rPr>
        <w:t>从保险合同生效日或者年生效对应日零时起至下一年度保险合同</w:t>
      </w:r>
    </w:p>
    <w:p>
      <w:pPr>
        <w:pStyle w:val="BodyText"/>
        <w:spacing w:line="237" w:lineRule="auto" w:before="1"/>
        <w:ind w:left="2680" w:right="190"/>
      </w:pPr>
      <w:r>
        <w:rPr>
          <w:w w:val="95"/>
        </w:rPr>
        <w:t>年生效对应日零时止为一个保单年度。如果当月无对应的同一日，  则以该月最后一日为对应日。</w:t>
      </w:r>
    </w:p>
    <w:p>
      <w:pPr>
        <w:pStyle w:val="BodyText"/>
        <w:spacing w:before="7"/>
        <w:rPr>
          <w:sz w:val="22"/>
        </w:rPr>
      </w:pPr>
    </w:p>
    <w:p>
      <w:pPr>
        <w:spacing w:after="0"/>
        <w:rPr>
          <w:sz w:val="22"/>
        </w:rPr>
        <w:sectPr>
          <w:pgSz w:w="12240" w:h="15840"/>
          <w:pgMar w:top="1460" w:bottom="280" w:left="1700" w:right="1580"/>
        </w:sectPr>
      </w:pPr>
    </w:p>
    <w:p>
      <w:pPr>
        <w:pStyle w:val="Heading2"/>
        <w:numPr>
          <w:ilvl w:val="1"/>
          <w:numId w:val="86"/>
        </w:numPr>
        <w:tabs>
          <w:tab w:pos="846" w:val="left" w:leader="none"/>
          <w:tab w:pos="847" w:val="left" w:leader="none"/>
        </w:tabs>
        <w:spacing w:line="274" w:lineRule="exact" w:before="34" w:after="0"/>
        <w:ind w:left="2680" w:right="0" w:hanging="2580"/>
        <w:jc w:val="left"/>
      </w:pPr>
      <w:r>
        <w:rPr>
          <w:w w:val="95"/>
        </w:rPr>
        <w:t>保险费约定交纳</w:t>
      </w:r>
    </w:p>
    <w:p>
      <w:pPr>
        <w:spacing w:line="274" w:lineRule="exact" w:before="0"/>
        <w:ind w:left="0" w:right="416" w:firstLine="0"/>
        <w:jc w:val="center"/>
        <w:rPr>
          <w:b/>
          <w:sz w:val="21"/>
        </w:rPr>
      </w:pPr>
      <w:r>
        <w:rPr>
          <w:b/>
          <w:w w:val="99"/>
          <w:sz w:val="21"/>
        </w:rPr>
        <w:t>日</w:t>
      </w:r>
    </w:p>
    <w:p>
      <w:pPr>
        <w:pStyle w:val="BodyText"/>
        <w:spacing w:line="237" w:lineRule="auto" w:before="49"/>
        <w:ind w:left="100" w:right="220"/>
        <w:jc w:val="both"/>
      </w:pPr>
      <w:r>
        <w:rPr/>
        <w:br w:type="column"/>
      </w:r>
      <w:r>
        <w:rPr>
          <w:spacing w:val="-3"/>
          <w:w w:val="95"/>
        </w:rPr>
        <w:t>保险合同生效日在每月、每季、每半年或者每年</w:t>
      </w:r>
      <w:r>
        <w:rPr>
          <w:w w:val="95"/>
        </w:rPr>
        <w:t>（根据交费方式确  定</w:t>
      </w:r>
      <w:r>
        <w:rPr>
          <w:spacing w:val="-10"/>
          <w:w w:val="95"/>
        </w:rPr>
        <w:t>）</w:t>
      </w:r>
      <w:r>
        <w:rPr>
          <w:spacing w:val="-3"/>
          <w:w w:val="95"/>
        </w:rPr>
        <w:t>的对应日。如果当月无对应的同一日，则以该月最后一日为对  应日。</w:t>
      </w:r>
    </w:p>
    <w:p>
      <w:pPr>
        <w:spacing w:after="0" w:line="237" w:lineRule="auto"/>
        <w:jc w:val="both"/>
        <w:sectPr>
          <w:type w:val="continuous"/>
          <w:pgSz w:w="12240" w:h="15840"/>
          <w:pgMar w:top="900" w:bottom="280" w:left="1700" w:right="1580"/>
          <w:cols w:num="2" w:equalWidth="0">
            <w:col w:w="2321" w:space="259"/>
            <w:col w:w="6380"/>
          </w:cols>
        </w:sectPr>
      </w:pPr>
    </w:p>
    <w:p>
      <w:pPr>
        <w:pStyle w:val="BodyText"/>
        <w:spacing w:before="1"/>
        <w:rPr>
          <w:sz w:val="28"/>
        </w:rPr>
      </w:pPr>
    </w:p>
    <w:p>
      <w:pPr>
        <w:pStyle w:val="ListParagraph"/>
        <w:numPr>
          <w:ilvl w:val="1"/>
          <w:numId w:val="86"/>
        </w:numPr>
        <w:tabs>
          <w:tab w:pos="846" w:val="left" w:leader="none"/>
          <w:tab w:pos="847" w:val="left" w:leader="none"/>
          <w:tab w:pos="2679" w:val="left" w:leader="none"/>
        </w:tabs>
        <w:spacing w:line="240" w:lineRule="auto" w:before="36" w:after="0"/>
        <w:ind w:left="2680" w:right="0" w:hanging="2580"/>
        <w:jc w:val="left"/>
        <w:rPr>
          <w:sz w:val="21"/>
        </w:rPr>
      </w:pPr>
      <w:r>
        <w:rPr>
          <w:b/>
          <w:position w:val="1"/>
          <w:sz w:val="21"/>
        </w:rPr>
        <w:t>团体</w:t>
        <w:tab/>
      </w:r>
      <w:r>
        <w:rPr>
          <w:w w:val="95"/>
          <w:sz w:val="21"/>
        </w:rPr>
        <w:t>指法人、非法人组织以及其他不以购买保险为目的而组成的团体。</w:t>
      </w:r>
    </w:p>
    <w:p>
      <w:pPr>
        <w:pStyle w:val="BodyText"/>
        <w:spacing w:before="7"/>
        <w:rPr>
          <w:sz w:val="25"/>
        </w:rPr>
      </w:pPr>
    </w:p>
    <w:p>
      <w:pPr>
        <w:pStyle w:val="ListParagraph"/>
        <w:numPr>
          <w:ilvl w:val="1"/>
          <w:numId w:val="86"/>
        </w:numPr>
        <w:tabs>
          <w:tab w:pos="847" w:val="left" w:leader="none"/>
          <w:tab w:pos="2679" w:val="left" w:leader="none"/>
        </w:tabs>
        <w:spacing w:line="237" w:lineRule="auto" w:before="0" w:after="0"/>
        <w:ind w:left="2680" w:right="220" w:hanging="2580"/>
        <w:jc w:val="both"/>
        <w:rPr>
          <w:sz w:val="21"/>
        </w:rPr>
      </w:pPr>
      <w:r>
        <w:rPr>
          <w:b/>
          <w:position w:val="1"/>
          <w:sz w:val="21"/>
        </w:rPr>
        <w:t>周岁</w:t>
        <w:tab/>
      </w:r>
      <w:r>
        <w:rPr>
          <w:w w:val="95"/>
          <w:sz w:val="21"/>
        </w:rPr>
        <w:t>指按有效身份证件中记载的出生日期计算的年龄</w:t>
      </w:r>
      <w:r>
        <w:rPr>
          <w:spacing w:val="-29"/>
          <w:w w:val="95"/>
          <w:sz w:val="21"/>
        </w:rPr>
        <w:t>，</w:t>
      </w:r>
      <w:r>
        <w:rPr>
          <w:w w:val="95"/>
          <w:sz w:val="21"/>
        </w:rPr>
        <w:t>自出生之日起为   零周岁</w:t>
      </w:r>
      <w:r>
        <w:rPr>
          <w:spacing w:val="-8"/>
          <w:w w:val="95"/>
          <w:sz w:val="21"/>
        </w:rPr>
        <w:t>，</w:t>
      </w:r>
      <w:r>
        <w:rPr>
          <w:w w:val="95"/>
          <w:sz w:val="21"/>
        </w:rPr>
        <w:t>每经过一年增加一岁</w:t>
      </w:r>
      <w:r>
        <w:rPr>
          <w:spacing w:val="-8"/>
          <w:w w:val="95"/>
          <w:sz w:val="21"/>
        </w:rPr>
        <w:t>，</w:t>
      </w:r>
      <w:r>
        <w:rPr>
          <w:w w:val="95"/>
          <w:sz w:val="21"/>
        </w:rPr>
        <w:t>不足一年的不计</w:t>
      </w:r>
      <w:r>
        <w:rPr>
          <w:spacing w:val="-8"/>
          <w:w w:val="95"/>
          <w:sz w:val="21"/>
        </w:rPr>
        <w:t>。</w:t>
      </w:r>
      <w:r>
        <w:rPr>
          <w:w w:val="95"/>
          <w:sz w:val="21"/>
        </w:rPr>
        <w:t>例如</w:t>
      </w:r>
      <w:r>
        <w:rPr>
          <w:spacing w:val="-5"/>
          <w:w w:val="95"/>
          <w:sz w:val="21"/>
        </w:rPr>
        <w:t>，</w:t>
      </w:r>
      <w:r>
        <w:rPr>
          <w:w w:val="95"/>
          <w:sz w:val="21"/>
        </w:rPr>
        <w:t>出生日期 </w:t>
      </w:r>
      <w:r>
        <w:rPr>
          <w:sz w:val="21"/>
        </w:rPr>
        <w:t>为</w:t>
      </w:r>
      <w:r>
        <w:rPr>
          <w:spacing w:val="-55"/>
          <w:sz w:val="21"/>
        </w:rPr>
        <w:t> </w:t>
      </w:r>
      <w:r>
        <w:rPr>
          <w:sz w:val="21"/>
        </w:rPr>
        <w:t>2000</w:t>
      </w:r>
      <w:r>
        <w:rPr>
          <w:spacing w:val="-54"/>
          <w:sz w:val="21"/>
        </w:rPr>
        <w:t> </w:t>
      </w:r>
      <w:r>
        <w:rPr>
          <w:sz w:val="21"/>
        </w:rPr>
        <w:t>年</w:t>
      </w:r>
      <w:r>
        <w:rPr>
          <w:spacing w:val="-55"/>
          <w:sz w:val="21"/>
        </w:rPr>
        <w:t> </w:t>
      </w:r>
      <w:r>
        <w:rPr>
          <w:sz w:val="21"/>
        </w:rPr>
        <w:t>9</w:t>
      </w:r>
      <w:r>
        <w:rPr>
          <w:spacing w:val="-54"/>
          <w:sz w:val="21"/>
        </w:rPr>
        <w:t> </w:t>
      </w:r>
      <w:r>
        <w:rPr>
          <w:sz w:val="21"/>
        </w:rPr>
        <w:t>月</w:t>
      </w:r>
      <w:r>
        <w:rPr>
          <w:spacing w:val="-55"/>
          <w:sz w:val="21"/>
        </w:rPr>
        <w:t> </w:t>
      </w:r>
      <w:r>
        <w:rPr>
          <w:sz w:val="21"/>
        </w:rPr>
        <w:t>1</w:t>
      </w:r>
      <w:r>
        <w:rPr>
          <w:spacing w:val="-54"/>
          <w:sz w:val="21"/>
        </w:rPr>
        <w:t> </w:t>
      </w:r>
      <w:r>
        <w:rPr>
          <w:sz w:val="21"/>
        </w:rPr>
        <w:t>日，2000</w:t>
      </w:r>
      <w:r>
        <w:rPr>
          <w:spacing w:val="-58"/>
          <w:sz w:val="21"/>
        </w:rPr>
        <w:t> </w:t>
      </w:r>
      <w:r>
        <w:rPr>
          <w:sz w:val="21"/>
        </w:rPr>
        <w:t>年</w:t>
      </w:r>
      <w:r>
        <w:rPr>
          <w:spacing w:val="-52"/>
          <w:sz w:val="21"/>
        </w:rPr>
        <w:t> </w:t>
      </w:r>
      <w:r>
        <w:rPr>
          <w:sz w:val="21"/>
        </w:rPr>
        <w:t>9</w:t>
      </w:r>
      <w:r>
        <w:rPr>
          <w:spacing w:val="-56"/>
          <w:sz w:val="21"/>
        </w:rPr>
        <w:t> </w:t>
      </w:r>
      <w:r>
        <w:rPr>
          <w:sz w:val="21"/>
        </w:rPr>
        <w:t>月</w:t>
      </w:r>
      <w:r>
        <w:rPr>
          <w:spacing w:val="-52"/>
          <w:sz w:val="21"/>
        </w:rPr>
        <w:t> </w:t>
      </w:r>
      <w:r>
        <w:rPr>
          <w:sz w:val="21"/>
        </w:rPr>
        <w:t>1</w:t>
      </w:r>
      <w:r>
        <w:rPr>
          <w:spacing w:val="-56"/>
          <w:sz w:val="21"/>
        </w:rPr>
        <w:t> </w:t>
      </w:r>
      <w:r>
        <w:rPr>
          <w:sz w:val="21"/>
        </w:rPr>
        <w:t>日至</w:t>
      </w:r>
      <w:r>
        <w:rPr>
          <w:spacing w:val="-50"/>
          <w:sz w:val="21"/>
        </w:rPr>
        <w:t> </w:t>
      </w:r>
      <w:r>
        <w:rPr>
          <w:sz w:val="21"/>
        </w:rPr>
        <w:t>2001</w:t>
      </w:r>
      <w:r>
        <w:rPr>
          <w:spacing w:val="-56"/>
          <w:sz w:val="21"/>
        </w:rPr>
        <w:t> </w:t>
      </w:r>
      <w:r>
        <w:rPr>
          <w:sz w:val="21"/>
        </w:rPr>
        <w:t>年</w:t>
      </w:r>
      <w:r>
        <w:rPr>
          <w:spacing w:val="-52"/>
          <w:sz w:val="21"/>
        </w:rPr>
        <w:t> </w:t>
      </w:r>
      <w:r>
        <w:rPr>
          <w:sz w:val="21"/>
        </w:rPr>
        <w:t>8</w:t>
      </w:r>
      <w:r>
        <w:rPr>
          <w:spacing w:val="-56"/>
          <w:sz w:val="21"/>
        </w:rPr>
        <w:t> </w:t>
      </w:r>
      <w:r>
        <w:rPr>
          <w:sz w:val="21"/>
        </w:rPr>
        <w:t>月</w:t>
      </w:r>
      <w:r>
        <w:rPr>
          <w:spacing w:val="-52"/>
          <w:sz w:val="21"/>
        </w:rPr>
        <w:t> </w:t>
      </w:r>
      <w:r>
        <w:rPr>
          <w:sz w:val="21"/>
        </w:rPr>
        <w:t>31</w:t>
      </w:r>
      <w:r>
        <w:rPr>
          <w:spacing w:val="-56"/>
          <w:sz w:val="21"/>
        </w:rPr>
        <w:t> </w:t>
      </w:r>
      <w:r>
        <w:rPr>
          <w:sz w:val="21"/>
        </w:rPr>
        <w:t>日期间为</w:t>
      </w:r>
    </w:p>
    <w:p>
      <w:pPr>
        <w:pStyle w:val="BodyText"/>
        <w:spacing w:before="0"/>
        <w:ind w:left="2680" w:right="220"/>
      </w:pPr>
      <w:r>
        <w:rPr/>
        <w:t>0</w:t>
      </w:r>
      <w:r>
        <w:rPr>
          <w:spacing w:val="-15"/>
        </w:rPr>
        <w:t> 周岁，</w:t>
      </w:r>
      <w:r>
        <w:rPr>
          <w:spacing w:val="-3"/>
        </w:rPr>
        <w:t>2001</w:t>
      </w:r>
      <w:r>
        <w:rPr>
          <w:spacing w:val="-36"/>
        </w:rPr>
        <w:t> 年 </w:t>
      </w:r>
      <w:r>
        <w:rPr/>
        <w:t>9</w:t>
      </w:r>
      <w:r>
        <w:rPr>
          <w:spacing w:val="-36"/>
        </w:rPr>
        <w:t> 月 </w:t>
      </w:r>
      <w:r>
        <w:rPr/>
        <w:t>1</w:t>
      </w:r>
      <w:r>
        <w:rPr>
          <w:spacing w:val="-28"/>
        </w:rPr>
        <w:t> 日至 </w:t>
      </w:r>
      <w:r>
        <w:rPr/>
        <w:t>2002</w:t>
      </w:r>
      <w:r>
        <w:rPr>
          <w:spacing w:val="-36"/>
        </w:rPr>
        <w:t> 年 </w:t>
      </w:r>
      <w:r>
        <w:rPr/>
        <w:t>8</w:t>
      </w:r>
      <w:r>
        <w:rPr>
          <w:spacing w:val="-36"/>
        </w:rPr>
        <w:t> 月 </w:t>
      </w:r>
      <w:r>
        <w:rPr/>
        <w:t>31</w:t>
      </w:r>
      <w:r>
        <w:rPr>
          <w:spacing w:val="-19"/>
        </w:rPr>
        <w:t> 日期间为 </w:t>
      </w:r>
      <w:r>
        <w:rPr/>
        <w:t>1</w:t>
      </w:r>
      <w:r>
        <w:rPr>
          <w:spacing w:val="-13"/>
        </w:rPr>
        <w:t> 周岁，依此</w:t>
      </w:r>
      <w:r>
        <w:rPr>
          <w:spacing w:val="-13"/>
          <w:w w:val="95"/>
        </w:rPr>
        <w:t>类推。</w:t>
      </w:r>
    </w:p>
    <w:p>
      <w:pPr>
        <w:pStyle w:val="BodyText"/>
        <w:spacing w:before="11"/>
        <w:rPr>
          <w:sz w:val="25"/>
        </w:rPr>
      </w:pPr>
    </w:p>
    <w:p>
      <w:pPr>
        <w:pStyle w:val="ListParagraph"/>
        <w:numPr>
          <w:ilvl w:val="1"/>
          <w:numId w:val="86"/>
        </w:numPr>
        <w:tabs>
          <w:tab w:pos="846" w:val="left" w:leader="none"/>
          <w:tab w:pos="847" w:val="left" w:leader="none"/>
          <w:tab w:pos="2679" w:val="left" w:leader="none"/>
        </w:tabs>
        <w:spacing w:line="237" w:lineRule="auto" w:before="0" w:after="0"/>
        <w:ind w:left="2680" w:right="190" w:hanging="2580"/>
        <w:jc w:val="left"/>
        <w:rPr>
          <w:sz w:val="21"/>
        </w:rPr>
      </w:pPr>
      <w:r>
        <w:rPr>
          <w:b/>
          <w:position w:val="1"/>
          <w:sz w:val="21"/>
        </w:rPr>
        <w:t>有效身份证件</w:t>
        <w:tab/>
      </w:r>
      <w:r>
        <w:rPr>
          <w:w w:val="95"/>
          <w:sz w:val="21"/>
        </w:rPr>
        <w:t>指由中华人民共和国政府主管部门规定的能够证明其身份的证件，   </w:t>
      </w:r>
      <w:r>
        <w:rPr>
          <w:sz w:val="21"/>
        </w:rPr>
        <w:t>如</w:t>
      </w:r>
      <w:r>
        <w:rPr>
          <w:spacing w:val="-5"/>
          <w:sz w:val="21"/>
        </w:rPr>
        <w:t>：</w:t>
      </w:r>
      <w:r>
        <w:rPr>
          <w:sz w:val="21"/>
        </w:rPr>
        <w:t>居民身份证</w:t>
      </w:r>
      <w:r>
        <w:rPr>
          <w:spacing w:val="-5"/>
          <w:sz w:val="21"/>
        </w:rPr>
        <w:t>、</w:t>
      </w:r>
      <w:r>
        <w:rPr>
          <w:sz w:val="21"/>
        </w:rPr>
        <w:t>军官证</w:t>
      </w:r>
      <w:r>
        <w:rPr>
          <w:spacing w:val="-5"/>
          <w:sz w:val="21"/>
        </w:rPr>
        <w:t>、</w:t>
      </w:r>
      <w:r>
        <w:rPr>
          <w:sz w:val="21"/>
        </w:rPr>
        <w:t>警官证</w:t>
      </w:r>
      <w:r>
        <w:rPr>
          <w:spacing w:val="-5"/>
          <w:sz w:val="21"/>
        </w:rPr>
        <w:t>、</w:t>
      </w:r>
      <w:r>
        <w:rPr>
          <w:sz w:val="21"/>
        </w:rPr>
        <w:t>士兵证</w:t>
      </w:r>
      <w:r>
        <w:rPr>
          <w:spacing w:val="-5"/>
          <w:sz w:val="21"/>
        </w:rPr>
        <w:t>、</w:t>
      </w:r>
      <w:r>
        <w:rPr>
          <w:sz w:val="21"/>
        </w:rPr>
        <w:t>户口簿以及中华人民共和国政府主管部门颁发或者认可的有效护照或者其他身份证明 </w:t>
      </w:r>
      <w:r>
        <w:rPr>
          <w:w w:val="95"/>
          <w:sz w:val="21"/>
        </w:rPr>
        <w:t>文件。</w:t>
      </w:r>
    </w:p>
    <w:p>
      <w:pPr>
        <w:pStyle w:val="BodyText"/>
        <w:spacing w:before="4"/>
        <w:rPr>
          <w:sz w:val="25"/>
        </w:rPr>
      </w:pPr>
    </w:p>
    <w:p>
      <w:pPr>
        <w:pStyle w:val="ListParagraph"/>
        <w:numPr>
          <w:ilvl w:val="1"/>
          <w:numId w:val="86"/>
        </w:numPr>
        <w:tabs>
          <w:tab w:pos="846" w:val="left" w:leader="none"/>
          <w:tab w:pos="847" w:val="left" w:leader="none"/>
          <w:tab w:pos="2679" w:val="left" w:leader="none"/>
        </w:tabs>
        <w:spacing w:line="284" w:lineRule="exact" w:before="0" w:after="0"/>
        <w:ind w:left="2680" w:right="0" w:hanging="2580"/>
        <w:jc w:val="left"/>
        <w:rPr>
          <w:sz w:val="21"/>
        </w:rPr>
      </w:pPr>
      <w:r>
        <w:rPr>
          <w:b/>
          <w:position w:val="1"/>
          <w:sz w:val="21"/>
        </w:rPr>
        <w:t>医院</w:t>
        <w:tab/>
      </w:r>
      <w:r>
        <w:rPr>
          <w:w w:val="95"/>
          <w:sz w:val="21"/>
        </w:rPr>
        <w:t>指中华人民共和国卫生部医院等级分类中的二级合格或者二级合</w:t>
      </w:r>
    </w:p>
    <w:p>
      <w:pPr>
        <w:pStyle w:val="BodyText"/>
        <w:spacing w:line="237" w:lineRule="auto" w:before="1"/>
        <w:ind w:left="2680" w:right="220"/>
        <w:rPr>
          <w:rFonts w:ascii="黑体" w:eastAsia="黑体" w:hint="eastAsia"/>
        </w:rPr>
      </w:pPr>
      <w:r>
        <w:rPr>
          <w:spacing w:val="-1"/>
          <w:w w:val="95"/>
        </w:rPr>
        <w:t>格以上的医院，</w:t>
      </w:r>
      <w:r>
        <w:rPr>
          <w:rFonts w:ascii="黑体" w:eastAsia="黑体" w:hint="eastAsia"/>
          <w:spacing w:val="-4"/>
          <w:w w:val="95"/>
        </w:rPr>
        <w:t>不包括主要作为康复、护理、疗养、戒酒、戒毒或  者相类似的医疗机构。</w:t>
      </w:r>
    </w:p>
    <w:p>
      <w:pPr>
        <w:pStyle w:val="BodyText"/>
        <w:spacing w:before="4"/>
        <w:rPr>
          <w:rFonts w:ascii="黑体"/>
          <w:sz w:val="25"/>
        </w:rPr>
      </w:pPr>
    </w:p>
    <w:p>
      <w:pPr>
        <w:pStyle w:val="ListParagraph"/>
        <w:numPr>
          <w:ilvl w:val="1"/>
          <w:numId w:val="86"/>
        </w:numPr>
        <w:tabs>
          <w:tab w:pos="846" w:val="left" w:leader="none"/>
          <w:tab w:pos="847" w:val="left" w:leader="none"/>
          <w:tab w:pos="2679" w:val="left" w:leader="none"/>
        </w:tabs>
        <w:spacing w:line="237" w:lineRule="auto" w:before="1" w:after="0"/>
        <w:ind w:left="2680" w:right="114" w:hanging="2580"/>
        <w:jc w:val="left"/>
        <w:rPr>
          <w:sz w:val="21"/>
        </w:rPr>
      </w:pPr>
      <w:r>
        <w:rPr>
          <w:b/>
          <w:sz w:val="21"/>
        </w:rPr>
        <w:t>初次确诊</w:t>
        <w:tab/>
      </w:r>
      <w:r>
        <w:rPr>
          <w:w w:val="95"/>
          <w:sz w:val="21"/>
        </w:rPr>
        <w:t>指自被保险人出生之日起第一次经医院确诊患有某种疾病</w:t>
      </w:r>
      <w:r>
        <w:rPr>
          <w:spacing w:val="-29"/>
          <w:w w:val="95"/>
          <w:sz w:val="21"/>
        </w:rPr>
        <w:t>，</w:t>
      </w:r>
      <w:r>
        <w:rPr>
          <w:w w:val="95"/>
          <w:sz w:val="21"/>
        </w:rPr>
        <w:t>而不是   指自本合同生效</w:t>
      </w:r>
      <w:r>
        <w:rPr>
          <w:spacing w:val="-65"/>
          <w:w w:val="95"/>
          <w:sz w:val="21"/>
        </w:rPr>
        <w:t>、</w:t>
      </w:r>
      <w:r>
        <w:rPr>
          <w:w w:val="95"/>
          <w:sz w:val="21"/>
        </w:rPr>
        <w:t>复效之后第一次经医院确诊患有某种疾病</w:t>
      </w:r>
      <w:r>
        <w:rPr>
          <w:spacing w:val="-68"/>
          <w:w w:val="95"/>
          <w:sz w:val="21"/>
        </w:rPr>
        <w:t>。</w:t>
      </w:r>
      <w:r>
        <w:rPr>
          <w:w w:val="95"/>
          <w:sz w:val="21"/>
        </w:rPr>
        <w:t>例如，</w:t>
      </w:r>
    </w:p>
    <w:p>
      <w:pPr>
        <w:pStyle w:val="BodyText"/>
        <w:spacing w:line="274" w:lineRule="exact" w:before="0"/>
        <w:ind w:left="2680"/>
      </w:pPr>
      <w:r>
        <w:rPr/>
        <w:t>2010 年 1 月 1 日本合同经首次投保后生效，若：</w:t>
      </w:r>
    </w:p>
    <w:p>
      <w:pPr>
        <w:pStyle w:val="ListParagraph"/>
        <w:numPr>
          <w:ilvl w:val="2"/>
          <w:numId w:val="86"/>
        </w:numPr>
        <w:tabs>
          <w:tab w:pos="3436" w:val="left" w:leader="none"/>
        </w:tabs>
        <w:spacing w:line="273" w:lineRule="exact" w:before="58" w:after="0"/>
        <w:ind w:left="3436" w:right="0" w:hanging="720"/>
        <w:jc w:val="left"/>
        <w:rPr>
          <w:sz w:val="21"/>
        </w:rPr>
      </w:pPr>
      <w:r>
        <w:rPr>
          <w:sz w:val="21"/>
        </w:rPr>
        <w:t>2009</w:t>
      </w:r>
      <w:r>
        <w:rPr>
          <w:spacing w:val="-38"/>
          <w:sz w:val="21"/>
        </w:rPr>
        <w:t> 年 </w:t>
      </w:r>
      <w:r>
        <w:rPr>
          <w:sz w:val="21"/>
        </w:rPr>
        <w:t>1</w:t>
      </w:r>
      <w:r>
        <w:rPr>
          <w:spacing w:val="-38"/>
          <w:sz w:val="21"/>
        </w:rPr>
        <w:t> 月 </w:t>
      </w:r>
      <w:r>
        <w:rPr>
          <w:sz w:val="21"/>
        </w:rPr>
        <w:t>1</w:t>
      </w:r>
      <w:r>
        <w:rPr>
          <w:spacing w:val="-8"/>
          <w:sz w:val="21"/>
        </w:rPr>
        <w:t> 日被保险人自出生后第一次经医院确诊罹患</w:t>
      </w:r>
    </w:p>
    <w:p>
      <w:pPr>
        <w:pStyle w:val="BodyText"/>
        <w:spacing w:line="271" w:lineRule="exact" w:before="0"/>
        <w:ind w:left="3436"/>
      </w:pPr>
      <w:r>
        <w:rPr>
          <w:spacing w:val="-17"/>
          <w:w w:val="99"/>
        </w:rPr>
        <w:t>“恶性肿瘤”，</w:t>
      </w:r>
      <w:r>
        <w:rPr>
          <w:spacing w:val="0"/>
          <w:w w:val="99"/>
        </w:rPr>
        <w:t>201</w:t>
      </w:r>
      <w:r>
        <w:rPr>
          <w:w w:val="99"/>
        </w:rPr>
        <w:t>0</w:t>
      </w:r>
      <w:r>
        <w:rPr>
          <w:spacing w:val="-54"/>
        </w:rPr>
        <w:t> </w:t>
      </w:r>
      <w:r>
        <w:rPr>
          <w:w w:val="99"/>
        </w:rPr>
        <w:t>年</w:t>
      </w:r>
      <w:r>
        <w:rPr>
          <w:spacing w:val="-50"/>
        </w:rPr>
        <w:t> </w:t>
      </w:r>
      <w:r>
        <w:rPr>
          <w:w w:val="99"/>
        </w:rPr>
        <w:t>1</w:t>
      </w:r>
      <w:r>
        <w:rPr>
          <w:spacing w:val="-54"/>
        </w:rPr>
        <w:t> </w:t>
      </w:r>
      <w:r>
        <w:rPr>
          <w:w w:val="99"/>
        </w:rPr>
        <w:t>月</w:t>
      </w:r>
      <w:r>
        <w:rPr>
          <w:spacing w:val="-50"/>
        </w:rPr>
        <w:t> </w:t>
      </w:r>
      <w:r>
        <w:rPr>
          <w:spacing w:val="0"/>
          <w:w w:val="99"/>
        </w:rPr>
        <w:t>1</w:t>
      </w:r>
      <w:r>
        <w:rPr>
          <w:w w:val="99"/>
        </w:rPr>
        <w:t>0</w:t>
      </w:r>
      <w:r>
        <w:rPr>
          <w:spacing w:val="-54"/>
        </w:rPr>
        <w:t> </w:t>
      </w:r>
      <w:r>
        <w:rPr>
          <w:spacing w:val="-1"/>
          <w:w w:val="99"/>
        </w:rPr>
        <w:t>日被保险人再次经医院确诊</w:t>
      </w:r>
    </w:p>
    <w:p>
      <w:pPr>
        <w:pStyle w:val="BodyText"/>
        <w:spacing w:line="237" w:lineRule="auto" w:before="1"/>
        <w:ind w:left="3436" w:right="274"/>
        <w:jc w:val="both"/>
      </w:pPr>
      <w:r>
        <w:rPr>
          <w:spacing w:val="-12"/>
          <w:w w:val="99"/>
        </w:rPr>
        <w:t>罹患“恶性肿瘤”，则</w:t>
      </w:r>
      <w:r>
        <w:rPr>
          <w:spacing w:val="-53"/>
        </w:rPr>
        <w:t> </w:t>
      </w:r>
      <w:r>
        <w:rPr>
          <w:spacing w:val="0"/>
          <w:w w:val="99"/>
        </w:rPr>
        <w:t>200</w:t>
      </w:r>
      <w:r>
        <w:rPr>
          <w:w w:val="99"/>
        </w:rPr>
        <w:t>9</w:t>
      </w:r>
      <w:r>
        <w:rPr>
          <w:spacing w:val="-52"/>
        </w:rPr>
        <w:t> </w:t>
      </w:r>
      <w:r>
        <w:rPr>
          <w:w w:val="99"/>
        </w:rPr>
        <w:t>年</w:t>
      </w:r>
      <w:r>
        <w:rPr>
          <w:spacing w:val="-53"/>
        </w:rPr>
        <w:t> </w:t>
      </w:r>
      <w:r>
        <w:rPr>
          <w:w w:val="99"/>
        </w:rPr>
        <w:t>1</w:t>
      </w:r>
      <w:r>
        <w:rPr>
          <w:spacing w:val="-52"/>
        </w:rPr>
        <w:t> </w:t>
      </w:r>
      <w:r>
        <w:rPr>
          <w:w w:val="99"/>
        </w:rPr>
        <w:t>月</w:t>
      </w:r>
      <w:r>
        <w:rPr>
          <w:spacing w:val="-53"/>
        </w:rPr>
        <w:t> </w:t>
      </w:r>
      <w:r>
        <w:rPr>
          <w:w w:val="99"/>
        </w:rPr>
        <w:t>1</w:t>
      </w:r>
      <w:r>
        <w:rPr>
          <w:spacing w:val="-52"/>
        </w:rPr>
        <w:t> </w:t>
      </w:r>
      <w:r>
        <w:rPr>
          <w:spacing w:val="-1"/>
          <w:w w:val="99"/>
        </w:rPr>
        <w:t>日为被保险人经医院</w:t>
      </w:r>
      <w:r>
        <w:rPr>
          <w:spacing w:val="-1"/>
          <w:w w:val="95"/>
        </w:rPr>
        <w:t>初次确诊罹患“恶性肿瘤”的时间，由于“初次确诊”发 生在本合同生效之前，因此不属于保险责任范围，本公司 不承担向该被保险人的疾病保险金受益人给付重大疾病保 险金的责任；</w:t>
      </w:r>
    </w:p>
    <w:p>
      <w:pPr>
        <w:pStyle w:val="ListParagraph"/>
        <w:numPr>
          <w:ilvl w:val="2"/>
          <w:numId w:val="86"/>
        </w:numPr>
        <w:tabs>
          <w:tab w:pos="3436" w:val="left" w:leader="none"/>
        </w:tabs>
        <w:spacing w:line="273" w:lineRule="exact" w:before="58" w:after="0"/>
        <w:ind w:left="3436" w:right="0" w:hanging="720"/>
        <w:jc w:val="left"/>
        <w:rPr>
          <w:sz w:val="21"/>
        </w:rPr>
      </w:pPr>
      <w:r>
        <w:rPr>
          <w:sz w:val="21"/>
        </w:rPr>
        <w:t>2010</w:t>
      </w:r>
      <w:r>
        <w:rPr>
          <w:spacing w:val="-38"/>
          <w:sz w:val="21"/>
        </w:rPr>
        <w:t> 年 </w:t>
      </w:r>
      <w:r>
        <w:rPr>
          <w:sz w:val="21"/>
        </w:rPr>
        <w:t>2</w:t>
      </w:r>
      <w:r>
        <w:rPr>
          <w:spacing w:val="-38"/>
          <w:sz w:val="21"/>
        </w:rPr>
        <w:t> 月 </w:t>
      </w:r>
      <w:r>
        <w:rPr>
          <w:sz w:val="21"/>
        </w:rPr>
        <w:t>2</w:t>
      </w:r>
      <w:r>
        <w:rPr>
          <w:spacing w:val="-8"/>
          <w:sz w:val="21"/>
        </w:rPr>
        <w:t> 日被保险人自出生后第一次经医院确诊非因</w:t>
      </w:r>
    </w:p>
    <w:p>
      <w:pPr>
        <w:pStyle w:val="BodyText"/>
        <w:spacing w:line="272" w:lineRule="exact" w:before="0"/>
        <w:ind w:left="3436"/>
      </w:pPr>
      <w:r>
        <w:rPr>
          <w:spacing w:val="-19"/>
          <w:w w:val="99"/>
        </w:rPr>
        <w:t>意外伤害罹患“恶性肿瘤”，</w:t>
      </w:r>
      <w:r>
        <w:rPr>
          <w:spacing w:val="0"/>
          <w:w w:val="99"/>
        </w:rPr>
        <w:t>201</w:t>
      </w:r>
      <w:r>
        <w:rPr>
          <w:w w:val="99"/>
        </w:rPr>
        <w:t>0</w:t>
      </w:r>
      <w:r>
        <w:rPr>
          <w:spacing w:val="-54"/>
        </w:rPr>
        <w:t> </w:t>
      </w:r>
      <w:r>
        <w:rPr>
          <w:w w:val="99"/>
        </w:rPr>
        <w:t>年</w:t>
      </w:r>
      <w:r>
        <w:rPr>
          <w:spacing w:val="-50"/>
        </w:rPr>
        <w:t> </w:t>
      </w:r>
      <w:r>
        <w:rPr>
          <w:w w:val="99"/>
        </w:rPr>
        <w:t>5</w:t>
      </w:r>
      <w:r>
        <w:rPr>
          <w:spacing w:val="-54"/>
        </w:rPr>
        <w:t> </w:t>
      </w:r>
      <w:r>
        <w:rPr>
          <w:w w:val="99"/>
        </w:rPr>
        <w:t>月</w:t>
      </w:r>
      <w:r>
        <w:rPr>
          <w:spacing w:val="-50"/>
        </w:rPr>
        <w:t> </w:t>
      </w:r>
      <w:r>
        <w:rPr>
          <w:w w:val="99"/>
        </w:rPr>
        <w:t>5</w:t>
      </w:r>
      <w:r>
        <w:rPr>
          <w:spacing w:val="-54"/>
        </w:rPr>
        <w:t> </w:t>
      </w:r>
      <w:r>
        <w:rPr>
          <w:spacing w:val="-1"/>
          <w:w w:val="99"/>
        </w:rPr>
        <w:t>日被保险人再次</w:t>
      </w:r>
    </w:p>
    <w:p>
      <w:pPr>
        <w:pStyle w:val="BodyText"/>
        <w:spacing w:line="237" w:lineRule="auto" w:before="2"/>
        <w:ind w:left="3436" w:right="220"/>
        <w:jc w:val="both"/>
      </w:pPr>
      <w:r>
        <w:rPr>
          <w:spacing w:val="-10"/>
          <w:w w:val="99"/>
        </w:rPr>
        <w:t>经医院确诊罹患“恶性肿瘤”，则</w:t>
      </w:r>
      <w:r>
        <w:rPr>
          <w:spacing w:val="-10"/>
        </w:rPr>
        <w:t> </w:t>
      </w:r>
      <w:r>
        <w:rPr>
          <w:spacing w:val="0"/>
          <w:w w:val="99"/>
        </w:rPr>
        <w:t>201</w:t>
      </w:r>
      <w:r>
        <w:rPr>
          <w:w w:val="99"/>
        </w:rPr>
        <w:t>0</w:t>
      </w:r>
      <w:r>
        <w:rPr>
          <w:spacing w:val="-54"/>
        </w:rPr>
        <w:t> </w:t>
      </w:r>
      <w:r>
        <w:rPr>
          <w:w w:val="99"/>
        </w:rPr>
        <w:t>年</w:t>
      </w:r>
      <w:r>
        <w:rPr>
          <w:spacing w:val="-53"/>
        </w:rPr>
        <w:t> </w:t>
      </w:r>
      <w:r>
        <w:rPr>
          <w:w w:val="99"/>
        </w:rPr>
        <w:t>2</w:t>
      </w:r>
      <w:r>
        <w:rPr>
          <w:spacing w:val="-52"/>
        </w:rPr>
        <w:t> </w:t>
      </w:r>
      <w:r>
        <w:rPr>
          <w:w w:val="99"/>
        </w:rPr>
        <w:t>月</w:t>
      </w:r>
      <w:r>
        <w:rPr>
          <w:spacing w:val="-53"/>
        </w:rPr>
        <w:t> </w:t>
      </w:r>
      <w:r>
        <w:rPr>
          <w:w w:val="99"/>
        </w:rPr>
        <w:t>2</w:t>
      </w:r>
      <w:r>
        <w:rPr>
          <w:spacing w:val="-52"/>
        </w:rPr>
        <w:t> </w:t>
      </w:r>
      <w:r>
        <w:rPr>
          <w:spacing w:val="-1"/>
          <w:w w:val="99"/>
        </w:rPr>
        <w:t>日为被保</w:t>
      </w:r>
      <w:r>
        <w:rPr>
          <w:spacing w:val="-1"/>
        </w:rPr>
        <w:t>险人经医院初次确诊罹患“恶性肿瘤”的时间，由于“初</w:t>
      </w:r>
      <w:r>
        <w:rPr>
          <w:spacing w:val="-9"/>
        </w:rPr>
        <w:t>次确诊”发生在本合同生效之日起 </w:t>
      </w:r>
      <w:r>
        <w:rPr/>
        <w:t>90</w:t>
      </w:r>
      <w:r>
        <w:rPr>
          <w:spacing w:val="-10"/>
        </w:rPr>
        <w:t> 日内，本公司按照本合同项下该被保险人对应的已交纳的保险费数额向该被保险人的疾病保险金受益人给付重大疾病保险金，本公司对</w:t>
      </w:r>
      <w:r>
        <w:rPr>
          <w:spacing w:val="-10"/>
          <w:w w:val="95"/>
        </w:rPr>
        <w:t>该被保险人的保险责任终止；</w:t>
      </w:r>
    </w:p>
    <w:p>
      <w:pPr>
        <w:pStyle w:val="ListParagraph"/>
        <w:numPr>
          <w:ilvl w:val="2"/>
          <w:numId w:val="86"/>
        </w:numPr>
        <w:tabs>
          <w:tab w:pos="3436" w:val="left" w:leader="none"/>
        </w:tabs>
        <w:spacing w:line="240" w:lineRule="auto" w:before="58" w:after="0"/>
        <w:ind w:left="3436" w:right="0" w:hanging="720"/>
        <w:jc w:val="left"/>
        <w:rPr>
          <w:sz w:val="21"/>
        </w:rPr>
      </w:pPr>
      <w:r>
        <w:rPr>
          <w:sz w:val="21"/>
        </w:rPr>
        <w:t>2011</w:t>
      </w:r>
      <w:r>
        <w:rPr>
          <w:spacing w:val="-38"/>
          <w:sz w:val="21"/>
        </w:rPr>
        <w:t> 年 </w:t>
      </w:r>
      <w:r>
        <w:rPr>
          <w:sz w:val="21"/>
        </w:rPr>
        <w:t>5</w:t>
      </w:r>
      <w:r>
        <w:rPr>
          <w:spacing w:val="-38"/>
          <w:sz w:val="21"/>
        </w:rPr>
        <w:t> 月 </w:t>
      </w:r>
      <w:r>
        <w:rPr>
          <w:sz w:val="21"/>
        </w:rPr>
        <w:t>5</w:t>
      </w:r>
      <w:r>
        <w:rPr>
          <w:spacing w:val="-8"/>
          <w:sz w:val="21"/>
        </w:rPr>
        <w:t> 日被保险人自出生后第一次经医院确诊罹患</w:t>
      </w:r>
    </w:p>
    <w:p>
      <w:pPr>
        <w:spacing w:after="0" w:line="240" w:lineRule="auto"/>
        <w:jc w:val="left"/>
        <w:rPr>
          <w:sz w:val="21"/>
        </w:rPr>
        <w:sectPr>
          <w:type w:val="continuous"/>
          <w:pgSz w:w="12240" w:h="15840"/>
          <w:pgMar w:top="900" w:bottom="280" w:left="1700" w:right="1580"/>
        </w:sectPr>
      </w:pPr>
    </w:p>
    <w:p>
      <w:pPr>
        <w:pStyle w:val="BodyText"/>
        <w:spacing w:line="237" w:lineRule="auto" w:before="7"/>
        <w:ind w:left="3496" w:right="260"/>
        <w:jc w:val="both"/>
      </w:pPr>
      <w:r>
        <w:rPr>
          <w:spacing w:val="-15"/>
          <w:w w:val="99"/>
        </w:rPr>
        <w:t>“恶性肿瘤”，则</w:t>
      </w:r>
      <w:r>
        <w:rPr>
          <w:spacing w:val="-15"/>
        </w:rPr>
        <w:t> </w:t>
      </w:r>
      <w:r>
        <w:rPr>
          <w:spacing w:val="0"/>
          <w:w w:val="99"/>
        </w:rPr>
        <w:t>201</w:t>
      </w:r>
      <w:r>
        <w:rPr>
          <w:w w:val="99"/>
        </w:rPr>
        <w:t>1</w:t>
      </w:r>
      <w:r>
        <w:rPr>
          <w:spacing w:val="-52"/>
        </w:rPr>
        <w:t> </w:t>
      </w:r>
      <w:r>
        <w:rPr>
          <w:w w:val="99"/>
        </w:rPr>
        <w:t>年</w:t>
      </w:r>
      <w:r>
        <w:rPr>
          <w:spacing w:val="-53"/>
        </w:rPr>
        <w:t> </w:t>
      </w:r>
      <w:r>
        <w:rPr>
          <w:w w:val="99"/>
        </w:rPr>
        <w:t>5</w:t>
      </w:r>
      <w:r>
        <w:rPr>
          <w:spacing w:val="-52"/>
        </w:rPr>
        <w:t> </w:t>
      </w:r>
      <w:r>
        <w:rPr>
          <w:w w:val="99"/>
        </w:rPr>
        <w:t>月</w:t>
      </w:r>
      <w:r>
        <w:rPr>
          <w:spacing w:val="-53"/>
        </w:rPr>
        <w:t> </w:t>
      </w:r>
      <w:r>
        <w:rPr>
          <w:w w:val="99"/>
        </w:rPr>
        <w:t>5</w:t>
      </w:r>
      <w:r>
        <w:rPr>
          <w:spacing w:val="-52"/>
        </w:rPr>
        <w:t> </w:t>
      </w:r>
      <w:r>
        <w:rPr>
          <w:spacing w:val="-1"/>
          <w:w w:val="99"/>
        </w:rPr>
        <w:t>日为被保险人经医院初次</w:t>
      </w:r>
      <w:r>
        <w:rPr>
          <w:spacing w:val="-1"/>
        </w:rPr>
        <w:t>确诊罹患“恶性肿瘤”的时间，由于“初次确诊”发生在</w:t>
      </w:r>
      <w:r>
        <w:rPr>
          <w:spacing w:val="-8"/>
        </w:rPr>
        <w:t>本合同生效之日起 </w:t>
      </w:r>
      <w:r>
        <w:rPr/>
        <w:t>90</w:t>
      </w:r>
      <w:r>
        <w:rPr>
          <w:spacing w:val="-12"/>
        </w:rPr>
        <w:t> 日外，本公司按该被保险人名下的基</w:t>
      </w:r>
      <w:r>
        <w:rPr>
          <w:spacing w:val="-12"/>
          <w:w w:val="95"/>
        </w:rPr>
        <w:t>本保险金额向该被保险人的疾病保险金受益人给付重大疾</w:t>
      </w:r>
    </w:p>
    <w:p>
      <w:pPr>
        <w:pStyle w:val="BodyText"/>
        <w:spacing w:before="9"/>
        <w:rPr>
          <w:sz w:val="4"/>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62"/>
        <w:gridCol w:w="6393"/>
      </w:tblGrid>
      <w:tr>
        <w:trPr>
          <w:trHeight w:val="436" w:hRule="atLeast"/>
        </w:trPr>
        <w:tc>
          <w:tcPr>
            <w:tcW w:w="2450" w:type="dxa"/>
            <w:gridSpan w:val="2"/>
          </w:tcPr>
          <w:p>
            <w:pPr>
              <w:pStyle w:val="TableParagraph"/>
              <w:rPr>
                <w:rFonts w:ascii="Times New Roman"/>
                <w:sz w:val="20"/>
              </w:rPr>
            </w:pPr>
          </w:p>
        </w:tc>
        <w:tc>
          <w:tcPr>
            <w:tcW w:w="6393" w:type="dxa"/>
          </w:tcPr>
          <w:p>
            <w:pPr>
              <w:pStyle w:val="TableParagraph"/>
              <w:spacing w:line="209" w:lineRule="exact"/>
              <w:ind w:left="936"/>
              <w:rPr>
                <w:sz w:val="21"/>
              </w:rPr>
            </w:pPr>
            <w:r>
              <w:rPr>
                <w:w w:val="95"/>
                <w:sz w:val="21"/>
              </w:rPr>
              <w:t>病保险金，本公司对该被保险人的保险责任终止。</w:t>
            </w:r>
          </w:p>
        </w:tc>
      </w:tr>
      <w:tr>
        <w:trPr>
          <w:trHeight w:val="469" w:hRule="atLeast"/>
        </w:trPr>
        <w:tc>
          <w:tcPr>
            <w:tcW w:w="688" w:type="dxa"/>
          </w:tcPr>
          <w:p>
            <w:pPr>
              <w:pStyle w:val="TableParagraph"/>
              <w:spacing w:before="162"/>
              <w:ind w:left="31" w:right="193"/>
              <w:jc w:val="center"/>
              <w:rPr>
                <w:b/>
                <w:sz w:val="21"/>
              </w:rPr>
            </w:pPr>
            <w:r>
              <w:rPr>
                <w:b/>
                <w:sz w:val="21"/>
              </w:rPr>
              <w:t>11.9</w:t>
            </w:r>
          </w:p>
        </w:tc>
        <w:tc>
          <w:tcPr>
            <w:tcW w:w="1762" w:type="dxa"/>
          </w:tcPr>
          <w:p>
            <w:pPr>
              <w:pStyle w:val="TableParagraph"/>
              <w:spacing w:before="162"/>
              <w:ind w:left="108"/>
              <w:rPr>
                <w:b/>
                <w:sz w:val="21"/>
              </w:rPr>
            </w:pPr>
            <w:r>
              <w:rPr>
                <w:b/>
                <w:w w:val="95"/>
                <w:sz w:val="21"/>
              </w:rPr>
              <w:t>意外伤害</w:t>
            </w:r>
          </w:p>
        </w:tc>
        <w:tc>
          <w:tcPr>
            <w:tcW w:w="6393" w:type="dxa"/>
          </w:tcPr>
          <w:p>
            <w:pPr>
              <w:pStyle w:val="TableParagraph"/>
              <w:spacing w:before="162"/>
              <w:ind w:left="180"/>
              <w:rPr>
                <w:sz w:val="21"/>
              </w:rPr>
            </w:pPr>
            <w:r>
              <w:rPr>
                <w:w w:val="95"/>
                <w:sz w:val="21"/>
              </w:rPr>
              <w:t>指外来的、突然的、非本意的、非疾病的使被保险人身体受到伤害</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1" w:lineRule="exact"/>
              <w:ind w:left="180"/>
              <w:rPr>
                <w:sz w:val="21"/>
              </w:rPr>
            </w:pPr>
            <w:r>
              <w:rPr>
                <w:w w:val="95"/>
                <w:sz w:val="21"/>
              </w:rPr>
              <w:t>的客观事件，并以此客观事件为直接且单独原因导致被保险人身体</w:t>
            </w:r>
          </w:p>
        </w:tc>
      </w:tr>
      <w:tr>
        <w:trPr>
          <w:trHeight w:val="30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rFonts w:ascii="黑体" w:eastAsia="黑体" w:hint="eastAsia"/>
                <w:sz w:val="21"/>
              </w:rPr>
            </w:pPr>
            <w:r>
              <w:rPr>
                <w:w w:val="95"/>
                <w:sz w:val="21"/>
              </w:rPr>
              <w:t>蒙受伤害或者身故，</w:t>
            </w:r>
            <w:r>
              <w:rPr>
                <w:rFonts w:ascii="黑体" w:eastAsia="黑体" w:hint="eastAsia"/>
                <w:w w:val="95"/>
                <w:sz w:val="21"/>
              </w:rPr>
              <w:t>猝死、自杀以及自伤均不属于意外伤害。</w:t>
            </w:r>
          </w:p>
        </w:tc>
      </w:tr>
      <w:tr>
        <w:trPr>
          <w:trHeight w:val="30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71" w:lineRule="exact"/>
              <w:ind w:left="180"/>
              <w:rPr>
                <w:sz w:val="21"/>
              </w:rPr>
            </w:pPr>
            <w:r>
              <w:rPr>
                <w:w w:val="95"/>
                <w:sz w:val="21"/>
              </w:rPr>
              <w:t>猝死指表面健康的人因潜在疾病、机能障碍或者其他原因在出现症</w:t>
            </w:r>
          </w:p>
        </w:tc>
      </w:tr>
      <w:tr>
        <w:trPr>
          <w:trHeight w:val="271"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sz w:val="21"/>
              </w:rPr>
            </w:pPr>
            <w:r>
              <w:rPr>
                <w:sz w:val="21"/>
              </w:rPr>
              <w:t>状后 24 小时内发生的非暴力性突然死亡。猝死的认定以医院的诊</w:t>
            </w:r>
          </w:p>
        </w:tc>
      </w:tr>
      <w:tr>
        <w:trPr>
          <w:trHeight w:val="467"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sz w:val="21"/>
              </w:rPr>
            </w:pPr>
            <w:r>
              <w:rPr>
                <w:w w:val="95"/>
                <w:sz w:val="21"/>
              </w:rPr>
              <w:t>断和公安部门的鉴定为准。</w:t>
            </w:r>
          </w:p>
        </w:tc>
      </w:tr>
      <w:tr>
        <w:trPr>
          <w:trHeight w:val="469" w:hRule="atLeast"/>
        </w:trPr>
        <w:tc>
          <w:tcPr>
            <w:tcW w:w="688" w:type="dxa"/>
          </w:tcPr>
          <w:p>
            <w:pPr>
              <w:pStyle w:val="TableParagraph"/>
              <w:spacing w:before="162"/>
              <w:ind w:left="31" w:right="87"/>
              <w:jc w:val="center"/>
              <w:rPr>
                <w:b/>
                <w:sz w:val="21"/>
              </w:rPr>
            </w:pPr>
            <w:r>
              <w:rPr>
                <w:b/>
                <w:sz w:val="21"/>
              </w:rPr>
              <w:t>11.10</w:t>
            </w:r>
          </w:p>
        </w:tc>
        <w:tc>
          <w:tcPr>
            <w:tcW w:w="1762" w:type="dxa"/>
          </w:tcPr>
          <w:p>
            <w:pPr>
              <w:pStyle w:val="TableParagraph"/>
              <w:spacing w:before="162"/>
              <w:ind w:left="108"/>
              <w:rPr>
                <w:b/>
                <w:sz w:val="21"/>
              </w:rPr>
            </w:pPr>
            <w:r>
              <w:rPr>
                <w:b/>
                <w:w w:val="95"/>
                <w:sz w:val="21"/>
              </w:rPr>
              <w:t>日期之间的间隔</w:t>
            </w:r>
          </w:p>
        </w:tc>
        <w:tc>
          <w:tcPr>
            <w:tcW w:w="6393" w:type="dxa"/>
          </w:tcPr>
          <w:p>
            <w:pPr>
              <w:pStyle w:val="TableParagraph"/>
              <w:spacing w:before="162"/>
              <w:ind w:left="180"/>
              <w:rPr>
                <w:sz w:val="21"/>
              </w:rPr>
            </w:pPr>
            <w:r>
              <w:rPr>
                <w:w w:val="95"/>
                <w:sz w:val="21"/>
              </w:rPr>
              <w:t>指两个日期之间存在的天数，不包含头、尾日期当日，例如：2017</w:t>
            </w:r>
          </w:p>
        </w:tc>
      </w:tr>
      <w:tr>
        <w:trPr>
          <w:trHeight w:val="469" w:hRule="atLeast"/>
        </w:trPr>
        <w:tc>
          <w:tcPr>
            <w:tcW w:w="688" w:type="dxa"/>
          </w:tcPr>
          <w:p>
            <w:pPr>
              <w:pStyle w:val="TableParagraph"/>
              <w:rPr>
                <w:rFonts w:ascii="Times New Roman"/>
                <w:sz w:val="20"/>
              </w:rPr>
            </w:pPr>
          </w:p>
        </w:tc>
        <w:tc>
          <w:tcPr>
            <w:tcW w:w="1762" w:type="dxa"/>
          </w:tcPr>
          <w:p>
            <w:pPr>
              <w:pStyle w:val="TableParagraph"/>
              <w:spacing w:line="241" w:lineRule="exact"/>
              <w:ind w:left="108"/>
              <w:rPr>
                <w:b/>
                <w:sz w:val="21"/>
              </w:rPr>
            </w:pPr>
            <w:r>
              <w:rPr>
                <w:b/>
                <w:w w:val="95"/>
                <w:sz w:val="21"/>
              </w:rPr>
              <w:t>天数</w:t>
            </w:r>
          </w:p>
        </w:tc>
        <w:tc>
          <w:tcPr>
            <w:tcW w:w="6393" w:type="dxa"/>
          </w:tcPr>
          <w:p>
            <w:pPr>
              <w:pStyle w:val="TableParagraph"/>
              <w:spacing w:line="241" w:lineRule="exact"/>
              <w:ind w:left="180"/>
              <w:rPr>
                <w:sz w:val="21"/>
              </w:rPr>
            </w:pPr>
            <w:r>
              <w:rPr>
                <w:sz w:val="21"/>
              </w:rPr>
              <w:t>年 10 月 1 日与 2017 年 10 月 5 日之间的间隔天数是 3 天。</w:t>
            </w:r>
          </w:p>
        </w:tc>
      </w:tr>
      <w:tr>
        <w:trPr>
          <w:trHeight w:val="480" w:hRule="atLeast"/>
        </w:trPr>
        <w:tc>
          <w:tcPr>
            <w:tcW w:w="688" w:type="dxa"/>
          </w:tcPr>
          <w:p>
            <w:pPr>
              <w:pStyle w:val="TableParagraph"/>
              <w:spacing w:before="162"/>
              <w:ind w:left="31" w:right="87"/>
              <w:jc w:val="center"/>
              <w:rPr>
                <w:b/>
                <w:sz w:val="21"/>
              </w:rPr>
            </w:pPr>
            <w:r>
              <w:rPr>
                <w:b/>
                <w:sz w:val="21"/>
              </w:rPr>
              <w:t>11.11</w:t>
            </w:r>
          </w:p>
        </w:tc>
        <w:tc>
          <w:tcPr>
            <w:tcW w:w="1762" w:type="dxa"/>
          </w:tcPr>
          <w:p>
            <w:pPr>
              <w:pStyle w:val="TableParagraph"/>
              <w:spacing w:before="162"/>
              <w:ind w:left="108"/>
              <w:rPr>
                <w:b/>
                <w:sz w:val="21"/>
              </w:rPr>
            </w:pPr>
            <w:r>
              <w:rPr>
                <w:b/>
                <w:w w:val="95"/>
                <w:sz w:val="21"/>
              </w:rPr>
              <w:t>毒品</w:t>
            </w:r>
          </w:p>
        </w:tc>
        <w:tc>
          <w:tcPr>
            <w:tcW w:w="6393" w:type="dxa"/>
          </w:tcPr>
          <w:p>
            <w:pPr>
              <w:pStyle w:val="TableParagraph"/>
              <w:spacing w:before="174"/>
              <w:ind w:left="180"/>
              <w:rPr>
                <w:sz w:val="21"/>
              </w:rPr>
            </w:pPr>
            <w:r>
              <w:rPr>
                <w:spacing w:val="-3"/>
                <w:w w:val="95"/>
                <w:sz w:val="21"/>
              </w:rPr>
              <w:t>指中华人民共和国刑法规定的鸦片、海洛因、甲基苯丙胺</w:t>
            </w:r>
            <w:r>
              <w:rPr>
                <w:w w:val="95"/>
                <w:sz w:val="21"/>
              </w:rPr>
              <w:t>（冰毒</w:t>
            </w:r>
            <w:r>
              <w:rPr>
                <w:spacing w:val="-104"/>
                <w:w w:val="95"/>
                <w:sz w:val="21"/>
              </w:rPr>
              <w:t>）</w:t>
            </w:r>
            <w:r>
              <w:rPr>
                <w:w w:val="95"/>
                <w:sz w:val="21"/>
              </w:rPr>
              <w:t>、</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sz w:val="21"/>
              </w:rPr>
            </w:pPr>
            <w:r>
              <w:rPr>
                <w:w w:val="95"/>
                <w:sz w:val="21"/>
              </w:rPr>
              <w:t>吗啡、大麻、可卡因以及国家规定管制的其他能够使人形成瘾癖的</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1" w:lineRule="exact"/>
              <w:ind w:left="180"/>
              <w:rPr>
                <w:sz w:val="21"/>
              </w:rPr>
            </w:pPr>
            <w:r>
              <w:rPr>
                <w:w w:val="95"/>
                <w:sz w:val="21"/>
              </w:rPr>
              <w:t>麻醉药品和精神药品，但不包括由医生开具并遵医嘱使用的用于治</w:t>
            </w:r>
          </w:p>
        </w:tc>
      </w:tr>
      <w:tr>
        <w:trPr>
          <w:trHeight w:val="438"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sz w:val="21"/>
              </w:rPr>
            </w:pPr>
            <w:r>
              <w:rPr>
                <w:w w:val="95"/>
                <w:sz w:val="21"/>
              </w:rPr>
              <w:t>疗疾病但含有毒品成分的处方药品。</w:t>
            </w:r>
          </w:p>
        </w:tc>
      </w:tr>
      <w:tr>
        <w:trPr>
          <w:trHeight w:val="451" w:hRule="atLeast"/>
        </w:trPr>
        <w:tc>
          <w:tcPr>
            <w:tcW w:w="688" w:type="dxa"/>
          </w:tcPr>
          <w:p>
            <w:pPr>
              <w:pStyle w:val="TableParagraph"/>
              <w:spacing w:before="132"/>
              <w:ind w:left="31" w:right="87"/>
              <w:jc w:val="center"/>
              <w:rPr>
                <w:b/>
                <w:sz w:val="21"/>
              </w:rPr>
            </w:pPr>
            <w:r>
              <w:rPr>
                <w:b/>
                <w:sz w:val="21"/>
              </w:rPr>
              <w:t>11.12</w:t>
            </w:r>
          </w:p>
        </w:tc>
        <w:tc>
          <w:tcPr>
            <w:tcW w:w="1762" w:type="dxa"/>
          </w:tcPr>
          <w:p>
            <w:pPr>
              <w:pStyle w:val="TableParagraph"/>
              <w:spacing w:before="132"/>
              <w:ind w:left="108"/>
              <w:rPr>
                <w:b/>
                <w:sz w:val="21"/>
              </w:rPr>
            </w:pPr>
            <w:r>
              <w:rPr>
                <w:b/>
                <w:w w:val="95"/>
                <w:sz w:val="21"/>
              </w:rPr>
              <w:t>酒后驾驶</w:t>
            </w:r>
          </w:p>
        </w:tc>
        <w:tc>
          <w:tcPr>
            <w:tcW w:w="6393" w:type="dxa"/>
          </w:tcPr>
          <w:p>
            <w:pPr>
              <w:pStyle w:val="TableParagraph"/>
              <w:spacing w:before="144"/>
              <w:ind w:left="180"/>
              <w:rPr>
                <w:sz w:val="21"/>
              </w:rPr>
            </w:pPr>
            <w:r>
              <w:rPr>
                <w:w w:val="95"/>
                <w:sz w:val="21"/>
              </w:rPr>
              <w:t>指经检测或者鉴定，发生事故时车辆驾驶人员每百毫升血液中的酒</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1" w:lineRule="exact"/>
              <w:ind w:left="180"/>
              <w:rPr>
                <w:sz w:val="21"/>
              </w:rPr>
            </w:pPr>
            <w:r>
              <w:rPr>
                <w:w w:val="95"/>
                <w:sz w:val="21"/>
              </w:rPr>
              <w:t>精含量达到或者超过一定的标准，是否达到前述标准由公安机关交</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180"/>
              <w:rPr>
                <w:sz w:val="21"/>
              </w:rPr>
            </w:pPr>
            <w:r>
              <w:rPr>
                <w:w w:val="95"/>
                <w:sz w:val="21"/>
              </w:rPr>
              <w:t>通管理部门依据《道路交通安全法》的规定认定，本公司根据公安</w:t>
            </w:r>
          </w:p>
        </w:tc>
      </w:tr>
      <w:tr>
        <w:trPr>
          <w:trHeight w:val="437"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1" w:lineRule="exact"/>
              <w:ind w:left="180"/>
              <w:rPr>
                <w:sz w:val="21"/>
              </w:rPr>
            </w:pPr>
            <w:r>
              <w:rPr>
                <w:w w:val="95"/>
                <w:sz w:val="21"/>
              </w:rPr>
              <w:t>机关交通管理部门的认定确认被保险人是否属于酒后驾驶。</w:t>
            </w:r>
          </w:p>
        </w:tc>
      </w:tr>
      <w:tr>
        <w:trPr>
          <w:trHeight w:val="722" w:hRule="atLeast"/>
        </w:trPr>
        <w:tc>
          <w:tcPr>
            <w:tcW w:w="688" w:type="dxa"/>
          </w:tcPr>
          <w:p>
            <w:pPr>
              <w:pStyle w:val="TableParagraph"/>
              <w:spacing w:before="131"/>
              <w:ind w:left="31" w:right="87"/>
              <w:jc w:val="center"/>
              <w:rPr>
                <w:b/>
                <w:sz w:val="21"/>
              </w:rPr>
            </w:pPr>
            <w:r>
              <w:rPr>
                <w:b/>
                <w:sz w:val="21"/>
              </w:rPr>
              <w:t>11.13</w:t>
            </w:r>
          </w:p>
        </w:tc>
        <w:tc>
          <w:tcPr>
            <w:tcW w:w="1762" w:type="dxa"/>
          </w:tcPr>
          <w:p>
            <w:pPr>
              <w:pStyle w:val="TableParagraph"/>
              <w:spacing w:before="131"/>
              <w:ind w:left="108" w:right="177"/>
              <w:rPr>
                <w:b/>
                <w:sz w:val="21"/>
              </w:rPr>
            </w:pPr>
            <w:r>
              <w:rPr>
                <w:b/>
                <w:w w:val="95"/>
                <w:sz w:val="21"/>
              </w:rPr>
              <w:t>无合法有效驾驶证驾驶</w:t>
            </w:r>
          </w:p>
        </w:tc>
        <w:tc>
          <w:tcPr>
            <w:tcW w:w="6393" w:type="dxa"/>
          </w:tcPr>
          <w:p>
            <w:pPr>
              <w:pStyle w:val="TableParagraph"/>
              <w:spacing w:line="274" w:lineRule="exact" w:before="143"/>
              <w:ind w:left="180"/>
              <w:rPr>
                <w:sz w:val="21"/>
              </w:rPr>
            </w:pPr>
            <w:r>
              <w:rPr>
                <w:w w:val="95"/>
                <w:sz w:val="21"/>
              </w:rPr>
              <w:t>指下列情形之一：</w:t>
            </w:r>
          </w:p>
          <w:p>
            <w:pPr>
              <w:pStyle w:val="TableParagraph"/>
              <w:tabs>
                <w:tab w:pos="914" w:val="left" w:leader="none"/>
              </w:tabs>
              <w:spacing w:line="274" w:lineRule="exact"/>
              <w:ind w:left="180"/>
              <w:rPr>
                <w:sz w:val="21"/>
              </w:rPr>
            </w:pPr>
            <w:r>
              <w:rPr>
                <w:sz w:val="21"/>
              </w:rPr>
              <w:t>（1）</w:t>
              <w:tab/>
            </w:r>
            <w:r>
              <w:rPr>
                <w:w w:val="95"/>
                <w:sz w:val="21"/>
              </w:rPr>
              <w:t>没有取得中华人民共和国有关主管部门颁发或者认可的驾</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914"/>
              <w:rPr>
                <w:sz w:val="21"/>
              </w:rPr>
            </w:pPr>
            <w:r>
              <w:rPr>
                <w:w w:val="95"/>
                <w:sz w:val="21"/>
              </w:rPr>
              <w:t>驶资格证书；</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tabs>
                <w:tab w:pos="914" w:val="left" w:leader="none"/>
              </w:tabs>
              <w:spacing w:line="241" w:lineRule="exact"/>
              <w:ind w:left="180"/>
              <w:rPr>
                <w:sz w:val="21"/>
              </w:rPr>
            </w:pPr>
            <w:r>
              <w:rPr>
                <w:sz w:val="21"/>
              </w:rPr>
              <w:t>（2）</w:t>
              <w:tab/>
            </w:r>
            <w:r>
              <w:rPr>
                <w:w w:val="95"/>
                <w:sz w:val="21"/>
              </w:rPr>
              <w:t>驾驶与合法有效驾驶证准驾车型不相符合的车辆；</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tabs>
                <w:tab w:pos="914" w:val="left" w:leader="none"/>
              </w:tabs>
              <w:spacing w:line="240" w:lineRule="exact"/>
              <w:ind w:left="180"/>
              <w:rPr>
                <w:sz w:val="21"/>
              </w:rPr>
            </w:pPr>
            <w:r>
              <w:rPr>
                <w:sz w:val="21"/>
              </w:rPr>
              <w:t>（3）</w:t>
              <w:tab/>
            </w:r>
            <w:r>
              <w:rPr>
                <w:w w:val="95"/>
                <w:sz w:val="21"/>
              </w:rPr>
              <w:t>持审验不合格的驾驶证驾驶；</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tabs>
                <w:tab w:pos="914" w:val="left" w:leader="none"/>
              </w:tabs>
              <w:spacing w:line="241" w:lineRule="exact"/>
              <w:ind w:left="180"/>
              <w:rPr>
                <w:sz w:val="21"/>
              </w:rPr>
            </w:pPr>
            <w:r>
              <w:rPr>
                <w:sz w:val="21"/>
              </w:rPr>
              <w:t>（4）</w:t>
              <w:tab/>
            </w:r>
            <w:r>
              <w:rPr>
                <w:w w:val="95"/>
                <w:sz w:val="21"/>
              </w:rPr>
              <w:t>在驾驶证有效期内未按照法律、行政法规的规定，定期对</w:t>
            </w:r>
          </w:p>
        </w:tc>
      </w:tr>
      <w:tr>
        <w:trPr>
          <w:trHeight w:val="272"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spacing w:line="240" w:lineRule="exact"/>
              <w:ind w:left="914"/>
              <w:rPr>
                <w:sz w:val="21"/>
              </w:rPr>
            </w:pPr>
            <w:r>
              <w:rPr>
                <w:w w:val="95"/>
                <w:sz w:val="21"/>
              </w:rPr>
              <w:t>机动车驾驶证实施审验的；</w:t>
            </w:r>
          </w:p>
        </w:tc>
      </w:tr>
      <w:tr>
        <w:trPr>
          <w:trHeight w:val="439" w:hRule="atLeast"/>
        </w:trPr>
        <w:tc>
          <w:tcPr>
            <w:tcW w:w="688" w:type="dxa"/>
          </w:tcPr>
          <w:p>
            <w:pPr>
              <w:pStyle w:val="TableParagraph"/>
              <w:rPr>
                <w:rFonts w:ascii="Times New Roman"/>
                <w:sz w:val="20"/>
              </w:rPr>
            </w:pPr>
          </w:p>
        </w:tc>
        <w:tc>
          <w:tcPr>
            <w:tcW w:w="1762" w:type="dxa"/>
          </w:tcPr>
          <w:p>
            <w:pPr>
              <w:pStyle w:val="TableParagraph"/>
              <w:rPr>
                <w:rFonts w:ascii="Times New Roman"/>
                <w:sz w:val="20"/>
              </w:rPr>
            </w:pPr>
          </w:p>
        </w:tc>
        <w:tc>
          <w:tcPr>
            <w:tcW w:w="6393" w:type="dxa"/>
          </w:tcPr>
          <w:p>
            <w:pPr>
              <w:pStyle w:val="TableParagraph"/>
              <w:tabs>
                <w:tab w:pos="914" w:val="left" w:leader="none"/>
              </w:tabs>
              <w:spacing w:line="241" w:lineRule="exact"/>
              <w:ind w:left="180"/>
              <w:rPr>
                <w:sz w:val="21"/>
              </w:rPr>
            </w:pPr>
            <w:r>
              <w:rPr>
                <w:sz w:val="21"/>
              </w:rPr>
              <w:t>（5）</w:t>
              <w:tab/>
            </w:r>
            <w:r>
              <w:rPr>
                <w:w w:val="95"/>
                <w:sz w:val="21"/>
              </w:rPr>
              <w:t>驾驶证已过有效期限的。</w:t>
            </w:r>
          </w:p>
        </w:tc>
      </w:tr>
      <w:tr>
        <w:trPr>
          <w:trHeight w:val="722" w:hRule="atLeast"/>
        </w:trPr>
        <w:tc>
          <w:tcPr>
            <w:tcW w:w="688" w:type="dxa"/>
          </w:tcPr>
          <w:p>
            <w:pPr>
              <w:pStyle w:val="TableParagraph"/>
              <w:spacing w:before="132"/>
              <w:ind w:left="31" w:right="87"/>
              <w:jc w:val="center"/>
              <w:rPr>
                <w:b/>
                <w:sz w:val="21"/>
              </w:rPr>
            </w:pPr>
            <w:r>
              <w:rPr>
                <w:b/>
                <w:sz w:val="21"/>
              </w:rPr>
              <w:t>11.14</w:t>
            </w:r>
          </w:p>
        </w:tc>
        <w:tc>
          <w:tcPr>
            <w:tcW w:w="1762" w:type="dxa"/>
          </w:tcPr>
          <w:p>
            <w:pPr>
              <w:pStyle w:val="TableParagraph"/>
              <w:spacing w:line="237" w:lineRule="auto" w:before="135"/>
              <w:ind w:left="108" w:right="177"/>
              <w:rPr>
                <w:b/>
                <w:sz w:val="21"/>
              </w:rPr>
            </w:pPr>
            <w:r>
              <w:rPr>
                <w:b/>
                <w:w w:val="95"/>
                <w:sz w:val="21"/>
              </w:rPr>
              <w:t>无合法有效行驶</w:t>
            </w:r>
            <w:r>
              <w:rPr>
                <w:b/>
                <w:sz w:val="21"/>
              </w:rPr>
              <w:t>证</w:t>
            </w:r>
          </w:p>
        </w:tc>
        <w:tc>
          <w:tcPr>
            <w:tcW w:w="6393" w:type="dxa"/>
          </w:tcPr>
          <w:p>
            <w:pPr>
              <w:pStyle w:val="TableParagraph"/>
              <w:spacing w:line="237" w:lineRule="auto" w:before="147"/>
              <w:ind w:left="180" w:right="333"/>
              <w:rPr>
                <w:sz w:val="21"/>
              </w:rPr>
            </w:pPr>
            <w:r>
              <w:rPr>
                <w:w w:val="95"/>
                <w:sz w:val="21"/>
              </w:rPr>
              <w:t>指发生保险事故时没有按照公安机关交通管理部门机动车登记制 度的规定进行登记并领取机动车行驶证或者临时通行牌证等法定</w:t>
            </w:r>
          </w:p>
        </w:tc>
      </w:tr>
      <w:tr>
        <w:trPr>
          <w:trHeight w:val="241" w:hRule="atLeast"/>
        </w:trPr>
        <w:tc>
          <w:tcPr>
            <w:tcW w:w="688" w:type="dxa"/>
          </w:tcPr>
          <w:p>
            <w:pPr>
              <w:pStyle w:val="TableParagraph"/>
              <w:rPr>
                <w:rFonts w:ascii="Times New Roman"/>
                <w:sz w:val="16"/>
              </w:rPr>
            </w:pPr>
          </w:p>
        </w:tc>
        <w:tc>
          <w:tcPr>
            <w:tcW w:w="1762" w:type="dxa"/>
          </w:tcPr>
          <w:p>
            <w:pPr>
              <w:pStyle w:val="TableParagraph"/>
              <w:rPr>
                <w:rFonts w:ascii="Times New Roman"/>
                <w:sz w:val="16"/>
              </w:rPr>
            </w:pPr>
          </w:p>
        </w:tc>
        <w:tc>
          <w:tcPr>
            <w:tcW w:w="6393" w:type="dxa"/>
          </w:tcPr>
          <w:p>
            <w:pPr>
              <w:pStyle w:val="TableParagraph"/>
              <w:spacing w:line="221" w:lineRule="exact"/>
              <w:ind w:left="180"/>
              <w:rPr>
                <w:sz w:val="21"/>
              </w:rPr>
            </w:pPr>
            <w:r>
              <w:rPr>
                <w:w w:val="95"/>
                <w:sz w:val="21"/>
              </w:rPr>
              <w:t>证件。包括下列情形之一：</w:t>
            </w:r>
          </w:p>
        </w:tc>
      </w:tr>
    </w:tbl>
    <w:p>
      <w:pPr>
        <w:pStyle w:val="ListParagraph"/>
        <w:numPr>
          <w:ilvl w:val="0"/>
          <w:numId w:val="87"/>
        </w:numPr>
        <w:tabs>
          <w:tab w:pos="3474" w:val="left" w:leader="none"/>
          <w:tab w:pos="3475" w:val="left" w:leader="none"/>
        </w:tabs>
        <w:spacing w:line="272" w:lineRule="exact" w:before="0" w:after="0"/>
        <w:ind w:left="3474" w:right="0" w:hanging="734"/>
        <w:jc w:val="left"/>
        <w:rPr>
          <w:sz w:val="21"/>
        </w:rPr>
      </w:pPr>
      <w:r>
        <w:rPr>
          <w:w w:val="95"/>
          <w:sz w:val="21"/>
        </w:rPr>
        <w:t>未办理行驶证或者行驶证在申办过程中的；</w:t>
      </w:r>
    </w:p>
    <w:p>
      <w:pPr>
        <w:pStyle w:val="ListParagraph"/>
        <w:numPr>
          <w:ilvl w:val="0"/>
          <w:numId w:val="87"/>
        </w:numPr>
        <w:tabs>
          <w:tab w:pos="3474" w:val="left" w:leader="none"/>
          <w:tab w:pos="3475" w:val="left" w:leader="none"/>
        </w:tabs>
        <w:spacing w:line="271" w:lineRule="exact" w:before="0" w:after="0"/>
        <w:ind w:left="3474" w:right="0" w:hanging="734"/>
        <w:jc w:val="left"/>
        <w:rPr>
          <w:sz w:val="21"/>
        </w:rPr>
      </w:pPr>
      <w:r>
        <w:rPr>
          <w:w w:val="95"/>
          <w:sz w:val="21"/>
        </w:rPr>
        <w:t>机动车行驶证被依法注销登记的；</w:t>
      </w:r>
    </w:p>
    <w:p>
      <w:pPr>
        <w:pStyle w:val="ListParagraph"/>
        <w:numPr>
          <w:ilvl w:val="0"/>
          <w:numId w:val="87"/>
        </w:numPr>
        <w:tabs>
          <w:tab w:pos="3474" w:val="left" w:leader="none"/>
          <w:tab w:pos="3475" w:val="left" w:leader="none"/>
        </w:tabs>
        <w:spacing w:line="240" w:lineRule="auto" w:before="0" w:after="0"/>
        <w:ind w:left="3474" w:right="334" w:hanging="734"/>
        <w:jc w:val="left"/>
        <w:rPr>
          <w:sz w:val="21"/>
        </w:rPr>
      </w:pPr>
      <w:r>
        <w:rPr>
          <w:w w:val="95"/>
          <w:sz w:val="21"/>
        </w:rPr>
        <w:t>未在行驶证检验有效期内依法按时进行或者未通过机动车 安全技术检验的。</w:t>
      </w:r>
    </w:p>
    <w:p>
      <w:pPr>
        <w:pStyle w:val="BodyText"/>
        <w:spacing w:before="6"/>
        <w:rPr>
          <w:sz w:val="25"/>
        </w:rPr>
      </w:pPr>
    </w:p>
    <w:p>
      <w:pPr>
        <w:pStyle w:val="ListParagraph"/>
        <w:numPr>
          <w:ilvl w:val="1"/>
          <w:numId w:val="88"/>
        </w:numPr>
        <w:tabs>
          <w:tab w:pos="906" w:val="left" w:leader="none"/>
          <w:tab w:pos="907" w:val="left" w:leader="none"/>
          <w:tab w:pos="2739" w:val="left" w:leader="none"/>
        </w:tabs>
        <w:spacing w:line="240" w:lineRule="auto" w:before="0" w:after="0"/>
        <w:ind w:left="2680" w:right="0" w:hanging="2520"/>
        <w:jc w:val="left"/>
        <w:rPr>
          <w:sz w:val="21"/>
        </w:rPr>
      </w:pPr>
      <w:r>
        <w:rPr>
          <w:b/>
          <w:sz w:val="21"/>
        </w:rPr>
        <w:t>机动车</w:t>
        <w:tab/>
      </w:r>
      <w:r>
        <w:rPr>
          <w:sz w:val="21"/>
        </w:rPr>
        <w:t>指以动力装置驱动或者牵引</w:t>
      </w:r>
      <w:r>
        <w:rPr>
          <w:spacing w:val="-29"/>
          <w:sz w:val="21"/>
        </w:rPr>
        <w:t>，</w:t>
      </w:r>
      <w:r>
        <w:rPr>
          <w:sz w:val="21"/>
        </w:rPr>
        <w:t>上道路行驶的供人员乘用或者用于运</w:t>
      </w:r>
    </w:p>
    <w:p>
      <w:pPr>
        <w:spacing w:after="0" w:line="240" w:lineRule="auto"/>
        <w:jc w:val="left"/>
        <w:rPr>
          <w:sz w:val="21"/>
        </w:rPr>
        <w:sectPr>
          <w:pgSz w:w="12240" w:h="15840"/>
          <w:pgMar w:top="1400" w:bottom="280" w:left="1640" w:right="1540"/>
        </w:sectPr>
      </w:pPr>
    </w:p>
    <w:p>
      <w:pPr>
        <w:pStyle w:val="BodyText"/>
        <w:spacing w:before="4"/>
        <w:ind w:left="2680"/>
      </w:pPr>
      <w:r>
        <w:rPr>
          <w:w w:val="95"/>
        </w:rPr>
        <w:t>送物品以及进行工程专项作业的轮式车辆。</w:t>
      </w:r>
    </w:p>
    <w:p>
      <w:pPr>
        <w:pStyle w:val="BodyText"/>
        <w:spacing w:before="7"/>
        <w:rPr>
          <w:sz w:val="22"/>
        </w:rPr>
      </w:pPr>
    </w:p>
    <w:p>
      <w:pPr>
        <w:spacing w:after="0"/>
        <w:rPr>
          <w:sz w:val="22"/>
        </w:rPr>
        <w:sectPr>
          <w:pgSz w:w="12240" w:h="15840"/>
          <w:pgMar w:top="1400" w:bottom="280" w:left="1700" w:right="1660"/>
        </w:sectPr>
      </w:pPr>
    </w:p>
    <w:p>
      <w:pPr>
        <w:pStyle w:val="Heading2"/>
        <w:numPr>
          <w:ilvl w:val="1"/>
          <w:numId w:val="88"/>
        </w:numPr>
        <w:tabs>
          <w:tab w:pos="846" w:val="left" w:leader="none"/>
          <w:tab w:pos="847" w:val="left" w:leader="none"/>
        </w:tabs>
        <w:spacing w:line="273" w:lineRule="exact" w:before="34" w:after="0"/>
        <w:ind w:left="846" w:right="0" w:hanging="746"/>
        <w:jc w:val="left"/>
      </w:pPr>
      <w:r>
        <w:rPr>
          <w:w w:val="95"/>
        </w:rPr>
        <w:t>感染艾滋病病毒</w:t>
      </w:r>
    </w:p>
    <w:p>
      <w:pPr>
        <w:spacing w:line="273" w:lineRule="exact" w:before="0"/>
        <w:ind w:left="846" w:right="0" w:firstLine="0"/>
        <w:jc w:val="left"/>
        <w:rPr>
          <w:b/>
          <w:sz w:val="21"/>
        </w:rPr>
      </w:pPr>
      <w:r>
        <w:rPr>
          <w:b/>
          <w:w w:val="95"/>
          <w:sz w:val="21"/>
        </w:rPr>
        <w:t>或者患艾滋病</w:t>
      </w:r>
    </w:p>
    <w:p>
      <w:pPr>
        <w:pStyle w:val="BodyText"/>
        <w:spacing w:line="237" w:lineRule="auto" w:before="49"/>
        <w:ind w:left="100" w:right="110"/>
      </w:pPr>
      <w:r>
        <w:rPr/>
        <w:br w:type="column"/>
      </w:r>
      <w:r>
        <w:rPr>
          <w:spacing w:val="-3"/>
        </w:rPr>
        <w:t>艾滋病病毒指人类免疫缺陷病毒，英文缩写为 </w:t>
      </w:r>
      <w:r>
        <w:rPr/>
        <w:t>HIV。艾滋病指人类</w:t>
      </w:r>
      <w:r>
        <w:rPr>
          <w:spacing w:val="-3"/>
        </w:rPr>
        <w:t>免疫缺陷病毒引起的获得性免疫缺陷综合征，英文缩写为 </w:t>
      </w:r>
      <w:r>
        <w:rPr/>
        <w:t>AIDS。</w:t>
      </w:r>
      <w:r>
        <w:rPr>
          <w:w w:val="95"/>
        </w:rPr>
        <w:t>在人体血液或者其他样本中检测到艾滋病病毒或者其抗体呈阳性， </w:t>
      </w:r>
      <w:r>
        <w:rPr>
          <w:spacing w:val="-3"/>
        </w:rPr>
        <w:t>没有出现临床症状或者体征的，为感染艾滋病病毒；如果同时出现</w:t>
      </w:r>
      <w:r>
        <w:rPr>
          <w:spacing w:val="-3"/>
          <w:w w:val="95"/>
        </w:rPr>
        <w:t>了明显临床症状或者体征的，为患艾滋病。</w:t>
      </w:r>
    </w:p>
    <w:p>
      <w:pPr>
        <w:spacing w:after="0" w:line="237" w:lineRule="auto"/>
        <w:sectPr>
          <w:type w:val="continuous"/>
          <w:pgSz w:w="12240" w:h="15840"/>
          <w:pgMar w:top="900" w:bottom="280" w:left="1700" w:right="1660"/>
          <w:cols w:num="2" w:equalWidth="0">
            <w:col w:w="2321" w:space="259"/>
            <w:col w:w="6300"/>
          </w:cols>
        </w:sectPr>
      </w:pPr>
    </w:p>
    <w:p>
      <w:pPr>
        <w:pStyle w:val="BodyText"/>
        <w:spacing w:before="7"/>
        <w:rPr>
          <w:sz w:val="22"/>
        </w:rPr>
      </w:pPr>
    </w:p>
    <w:p>
      <w:pPr>
        <w:pStyle w:val="ListParagraph"/>
        <w:numPr>
          <w:ilvl w:val="1"/>
          <w:numId w:val="88"/>
        </w:numPr>
        <w:tabs>
          <w:tab w:pos="846" w:val="left" w:leader="none"/>
          <w:tab w:pos="847" w:val="left" w:leader="none"/>
          <w:tab w:pos="2679" w:val="left" w:leader="none"/>
        </w:tabs>
        <w:spacing w:line="237" w:lineRule="auto" w:before="39" w:after="0"/>
        <w:ind w:left="2680" w:right="110" w:hanging="2580"/>
        <w:jc w:val="left"/>
        <w:rPr>
          <w:sz w:val="21"/>
        </w:rPr>
      </w:pPr>
      <w:r>
        <w:rPr>
          <w:b/>
          <w:position w:val="1"/>
          <w:sz w:val="21"/>
        </w:rPr>
        <w:t>遗传性疾病</w:t>
        <w:tab/>
      </w:r>
      <w:r>
        <w:rPr>
          <w:w w:val="95"/>
          <w:sz w:val="21"/>
        </w:rPr>
        <w:t>指生殖细胞或者受精卵的遗传物</w:t>
      </w:r>
      <w:r>
        <w:rPr>
          <w:spacing w:val="-15"/>
          <w:w w:val="95"/>
          <w:sz w:val="21"/>
        </w:rPr>
        <w:t>质</w:t>
      </w:r>
      <w:r>
        <w:rPr>
          <w:w w:val="95"/>
          <w:sz w:val="21"/>
        </w:rPr>
        <w:t>（染色体和基因</w:t>
      </w:r>
      <w:r>
        <w:rPr>
          <w:spacing w:val="-13"/>
          <w:w w:val="95"/>
          <w:sz w:val="21"/>
        </w:rPr>
        <w:t>）</w:t>
      </w:r>
      <w:r>
        <w:rPr>
          <w:w w:val="95"/>
          <w:sz w:val="21"/>
        </w:rPr>
        <w:t>发生突变或者   畸变所引起的疾病，通常具有由亲代传至后代的垂直传递的特征。</w:t>
      </w:r>
    </w:p>
    <w:p>
      <w:pPr>
        <w:pStyle w:val="BodyText"/>
        <w:spacing w:before="7"/>
        <w:rPr>
          <w:sz w:val="22"/>
        </w:rPr>
      </w:pPr>
    </w:p>
    <w:p>
      <w:pPr>
        <w:spacing w:after="0"/>
        <w:rPr>
          <w:sz w:val="22"/>
        </w:rPr>
        <w:sectPr>
          <w:type w:val="continuous"/>
          <w:pgSz w:w="12240" w:h="15840"/>
          <w:pgMar w:top="900" w:bottom="280" w:left="1700" w:right="1660"/>
        </w:sectPr>
      </w:pPr>
    </w:p>
    <w:p>
      <w:pPr>
        <w:pStyle w:val="Heading2"/>
        <w:numPr>
          <w:ilvl w:val="1"/>
          <w:numId w:val="88"/>
        </w:numPr>
        <w:tabs>
          <w:tab w:pos="846" w:val="left" w:leader="none"/>
          <w:tab w:pos="847" w:val="left" w:leader="none"/>
        </w:tabs>
        <w:spacing w:line="274" w:lineRule="exact" w:before="34" w:after="0"/>
        <w:ind w:left="846" w:right="0" w:hanging="746"/>
        <w:jc w:val="left"/>
      </w:pPr>
      <w:r>
        <w:rPr>
          <w:spacing w:val="-10"/>
          <w:w w:val="95"/>
        </w:rPr>
        <w:t>先天性畸形、变形</w:t>
      </w:r>
    </w:p>
    <w:p>
      <w:pPr>
        <w:spacing w:line="274" w:lineRule="exact" w:before="0"/>
        <w:ind w:left="846" w:right="0" w:firstLine="0"/>
        <w:jc w:val="left"/>
        <w:rPr>
          <w:b/>
          <w:sz w:val="21"/>
        </w:rPr>
      </w:pPr>
      <w:r>
        <w:rPr>
          <w:b/>
          <w:w w:val="95"/>
          <w:sz w:val="21"/>
        </w:rPr>
        <w:t>或者染色体异常</w:t>
      </w:r>
    </w:p>
    <w:p>
      <w:pPr>
        <w:pStyle w:val="BodyText"/>
        <w:spacing w:line="237" w:lineRule="auto" w:before="49"/>
        <w:ind w:left="100" w:right="140"/>
        <w:jc w:val="both"/>
      </w:pPr>
      <w:r>
        <w:rPr/>
        <w:br w:type="column"/>
      </w:r>
      <w:r>
        <w:rPr>
          <w:spacing w:val="-2"/>
          <w:w w:val="95"/>
        </w:rPr>
        <w:t>指被保险人出生时就具有的畸形、变形或者染色体异常。先天性畸  </w:t>
      </w:r>
      <w:r>
        <w:rPr>
          <w:spacing w:val="-5"/>
          <w:w w:val="95"/>
        </w:rPr>
        <w:t>形、变形和染色体异常依照世界卫生组织《疾病和有关健康问题的  </w:t>
      </w:r>
      <w:r>
        <w:rPr>
          <w:spacing w:val="-20"/>
          <w:w w:val="95"/>
        </w:rPr>
        <w:t>国际统计分类》</w:t>
      </w:r>
      <w:r>
        <w:rPr>
          <w:w w:val="95"/>
        </w:rPr>
        <w:t>（ICD-10）确定。</w:t>
      </w:r>
    </w:p>
    <w:p>
      <w:pPr>
        <w:spacing w:after="0" w:line="237" w:lineRule="auto"/>
        <w:jc w:val="both"/>
        <w:sectPr>
          <w:type w:val="continuous"/>
          <w:pgSz w:w="12240" w:h="15840"/>
          <w:pgMar w:top="900" w:bottom="280" w:left="1700" w:right="1660"/>
          <w:cols w:num="2" w:equalWidth="0">
            <w:col w:w="2462" w:space="118"/>
            <w:col w:w="6300"/>
          </w:cols>
        </w:sectPr>
      </w:pPr>
    </w:p>
    <w:p>
      <w:pPr>
        <w:pStyle w:val="BodyText"/>
        <w:spacing w:before="9"/>
        <w:rPr>
          <w:sz w:val="22"/>
        </w:rPr>
      </w:pPr>
    </w:p>
    <w:p>
      <w:pPr>
        <w:pStyle w:val="ListParagraph"/>
        <w:numPr>
          <w:ilvl w:val="1"/>
          <w:numId w:val="88"/>
        </w:numPr>
        <w:tabs>
          <w:tab w:pos="847" w:val="left" w:leader="none"/>
        </w:tabs>
        <w:spacing w:line="237" w:lineRule="auto" w:before="40" w:after="0"/>
        <w:ind w:left="2680" w:right="140" w:hanging="2580"/>
        <w:jc w:val="both"/>
        <w:rPr>
          <w:sz w:val="21"/>
        </w:rPr>
      </w:pPr>
      <w:r>
        <w:rPr>
          <w:b/>
          <w:spacing w:val="0"/>
          <w:position w:val="1"/>
          <w:sz w:val="21"/>
        </w:rPr>
        <w:t>现金价值        </w:t>
      </w:r>
      <w:r>
        <w:rPr>
          <w:spacing w:val="-3"/>
          <w:sz w:val="21"/>
        </w:rPr>
        <w:t>指保险合同所具有的价值，通常体现为解除合同时，根据精算原理</w:t>
      </w:r>
      <w:r>
        <w:rPr>
          <w:spacing w:val="-6"/>
          <w:w w:val="95"/>
          <w:sz w:val="21"/>
        </w:rPr>
        <w:t>计算的，由本公司退还的那部分金额。本合同的现金价值及本合同  项下各被保险人对应的现金价值，投保人可以向本公司查询。</w:t>
      </w:r>
    </w:p>
    <w:p>
      <w:pPr>
        <w:pStyle w:val="BodyText"/>
        <w:spacing w:before="4"/>
        <w:rPr>
          <w:sz w:val="25"/>
        </w:rPr>
      </w:pPr>
    </w:p>
    <w:p>
      <w:pPr>
        <w:pStyle w:val="ListParagraph"/>
        <w:numPr>
          <w:ilvl w:val="1"/>
          <w:numId w:val="88"/>
        </w:numPr>
        <w:tabs>
          <w:tab w:pos="846" w:val="left" w:leader="none"/>
          <w:tab w:pos="847" w:val="left" w:leader="none"/>
          <w:tab w:pos="2679" w:val="left" w:leader="none"/>
        </w:tabs>
        <w:spacing w:line="284" w:lineRule="exact" w:before="1" w:after="0"/>
        <w:ind w:left="846" w:right="0" w:hanging="746"/>
        <w:jc w:val="left"/>
        <w:rPr>
          <w:sz w:val="21"/>
        </w:rPr>
      </w:pPr>
      <w:r>
        <w:rPr>
          <w:b/>
          <w:position w:val="1"/>
          <w:sz w:val="21"/>
        </w:rPr>
        <w:t>专科医生</w:t>
        <w:tab/>
      </w:r>
      <w:r>
        <w:rPr>
          <w:w w:val="95"/>
          <w:sz w:val="21"/>
        </w:rPr>
        <w:t>专科医生应当同时满足以下四项资格条件：</w:t>
      </w:r>
    </w:p>
    <w:p>
      <w:pPr>
        <w:pStyle w:val="ListParagraph"/>
        <w:numPr>
          <w:ilvl w:val="2"/>
          <w:numId w:val="88"/>
        </w:numPr>
        <w:tabs>
          <w:tab w:pos="3414" w:val="left" w:leader="none"/>
          <w:tab w:pos="3415" w:val="left" w:leader="none"/>
        </w:tabs>
        <w:spacing w:line="272" w:lineRule="exact" w:before="0" w:after="0"/>
        <w:ind w:left="3400" w:right="0" w:hanging="720"/>
        <w:jc w:val="left"/>
        <w:rPr>
          <w:sz w:val="21"/>
        </w:rPr>
      </w:pPr>
      <w:r>
        <w:rPr>
          <w:spacing w:val="-6"/>
          <w:w w:val="95"/>
          <w:sz w:val="21"/>
        </w:rPr>
        <w:t>具有有效的中华人民共和国《医师资格证书》；</w:t>
      </w:r>
    </w:p>
    <w:p>
      <w:pPr>
        <w:pStyle w:val="ListParagraph"/>
        <w:numPr>
          <w:ilvl w:val="2"/>
          <w:numId w:val="88"/>
        </w:numPr>
        <w:tabs>
          <w:tab w:pos="3404" w:val="left" w:leader="none"/>
          <w:tab w:pos="3405" w:val="left" w:leader="none"/>
        </w:tabs>
        <w:spacing w:line="240" w:lineRule="auto" w:before="0" w:after="0"/>
        <w:ind w:left="3400" w:right="140" w:hanging="720"/>
        <w:jc w:val="left"/>
        <w:rPr>
          <w:sz w:val="21"/>
        </w:rPr>
      </w:pPr>
      <w:r>
        <w:rPr>
          <w:spacing w:val="-8"/>
          <w:w w:val="95"/>
          <w:sz w:val="21"/>
        </w:rPr>
        <w:t>具有有效的中华人民共和国《医师执业证书》，并按期到相 关部门登记注册；</w:t>
      </w:r>
    </w:p>
    <w:p>
      <w:pPr>
        <w:pStyle w:val="ListParagraph"/>
        <w:numPr>
          <w:ilvl w:val="2"/>
          <w:numId w:val="88"/>
        </w:numPr>
        <w:tabs>
          <w:tab w:pos="3414" w:val="left" w:leader="none"/>
          <w:tab w:pos="3415" w:val="left" w:leader="none"/>
        </w:tabs>
        <w:spacing w:line="237" w:lineRule="auto" w:before="1" w:after="0"/>
        <w:ind w:left="3400" w:right="214" w:hanging="720"/>
        <w:jc w:val="left"/>
        <w:rPr>
          <w:sz w:val="21"/>
        </w:rPr>
      </w:pPr>
      <w:r>
        <w:rPr>
          <w:w w:val="95"/>
          <w:sz w:val="21"/>
        </w:rPr>
        <w:t>具有有效的中华人民共和国主治医师或者主治医师以上职 </w:t>
      </w:r>
      <w:r>
        <w:rPr>
          <w:spacing w:val="-10"/>
          <w:w w:val="95"/>
          <w:sz w:val="21"/>
        </w:rPr>
        <w:t>称的《医师职称证书》；</w:t>
      </w:r>
    </w:p>
    <w:p>
      <w:pPr>
        <w:pStyle w:val="ListParagraph"/>
        <w:numPr>
          <w:ilvl w:val="2"/>
          <w:numId w:val="88"/>
        </w:numPr>
        <w:tabs>
          <w:tab w:pos="3414" w:val="left" w:leader="none"/>
          <w:tab w:pos="3415" w:val="left" w:leader="none"/>
        </w:tabs>
        <w:spacing w:line="237" w:lineRule="auto" w:before="1" w:after="0"/>
        <w:ind w:left="3400" w:right="214" w:hanging="720"/>
        <w:jc w:val="left"/>
        <w:rPr>
          <w:sz w:val="21"/>
        </w:rPr>
      </w:pPr>
      <w:r>
        <w:rPr>
          <w:w w:val="95"/>
          <w:sz w:val="21"/>
        </w:rPr>
        <w:t>在二级或者二级以上医院的相应科室从事临床工作三年以 </w:t>
      </w:r>
      <w:r>
        <w:rPr>
          <w:spacing w:val="-1"/>
          <w:w w:val="95"/>
          <w:sz w:val="21"/>
        </w:rPr>
        <w:t>上。</w:t>
      </w:r>
    </w:p>
    <w:p>
      <w:pPr>
        <w:pStyle w:val="BodyText"/>
        <w:spacing w:before="8"/>
        <w:rPr>
          <w:sz w:val="23"/>
        </w:rPr>
      </w:pPr>
    </w:p>
    <w:p>
      <w:pPr>
        <w:spacing w:after="0"/>
        <w:rPr>
          <w:sz w:val="23"/>
        </w:rPr>
        <w:sectPr>
          <w:type w:val="continuous"/>
          <w:pgSz w:w="12240" w:h="15840"/>
          <w:pgMar w:top="900" w:bottom="280" w:left="1700" w:right="1660"/>
        </w:sectPr>
      </w:pPr>
    </w:p>
    <w:p>
      <w:pPr>
        <w:pStyle w:val="Heading2"/>
        <w:numPr>
          <w:ilvl w:val="1"/>
          <w:numId w:val="88"/>
        </w:numPr>
        <w:tabs>
          <w:tab w:pos="846" w:val="left" w:leader="none"/>
          <w:tab w:pos="847" w:val="left" w:leader="none"/>
        </w:tabs>
        <w:spacing w:line="273" w:lineRule="exact" w:before="35" w:after="0"/>
        <w:ind w:left="846" w:right="0" w:hanging="746"/>
        <w:jc w:val="left"/>
      </w:pPr>
      <w:r>
        <w:rPr>
          <w:w w:val="95"/>
        </w:rPr>
        <w:t>与基本保险金额</w:t>
      </w:r>
    </w:p>
    <w:p>
      <w:pPr>
        <w:spacing w:line="237" w:lineRule="auto" w:before="1"/>
        <w:ind w:left="846" w:right="0" w:firstLine="0"/>
        <w:jc w:val="left"/>
        <w:rPr>
          <w:b/>
          <w:sz w:val="21"/>
        </w:rPr>
      </w:pPr>
      <w:r>
        <w:rPr>
          <w:b/>
          <w:w w:val="95"/>
          <w:sz w:val="21"/>
        </w:rPr>
        <w:t>减少部分相对应的现金价值</w:t>
      </w:r>
    </w:p>
    <w:p>
      <w:pPr>
        <w:pStyle w:val="BodyText"/>
        <w:spacing w:line="237" w:lineRule="auto" w:before="37"/>
        <w:ind w:left="100" w:right="71"/>
      </w:pPr>
      <w:r>
        <w:rPr/>
        <w:br w:type="column"/>
      </w:r>
      <w:r>
        <w:rPr>
          <w:w w:val="95"/>
        </w:rPr>
        <w:t>指投保人减保时本公司退还的那部分金额，额度等于投保人申请减 </w:t>
      </w:r>
      <w:r>
        <w:rPr/>
        <w:t>保时本合同项下该被保险人名下的的现金价值乘以减少的基本保</w:t>
      </w:r>
      <w:r>
        <w:rPr>
          <w:w w:val="95"/>
        </w:rPr>
        <w:t>险金额与减保前的基本保险金额的比例。例如：投保人减保前本合 </w:t>
      </w:r>
      <w:r>
        <w:rPr/>
        <w:t>同项下该被保险人名下的基本保险金额是 10 万元，对应的现金价</w:t>
      </w:r>
    </w:p>
    <w:p>
      <w:pPr>
        <w:pStyle w:val="BodyText"/>
        <w:spacing w:line="271" w:lineRule="exact" w:before="0"/>
        <w:ind w:left="100"/>
      </w:pPr>
      <w:r>
        <w:rPr/>
        <w:t>值为 8 万元，投保人申请将该被保险人名下的基本保险金额从 10</w:t>
      </w:r>
    </w:p>
    <w:p>
      <w:pPr>
        <w:pStyle w:val="BodyText"/>
        <w:spacing w:line="237" w:lineRule="auto" w:before="3"/>
        <w:ind w:left="100" w:right="140"/>
      </w:pPr>
      <w:r>
        <w:rPr>
          <w:spacing w:val="-11"/>
        </w:rPr>
        <w:t>万元减保至 </w:t>
      </w:r>
      <w:r>
        <w:rPr/>
        <w:t>6</w:t>
      </w:r>
      <w:r>
        <w:rPr>
          <w:spacing w:val="-10"/>
        </w:rPr>
        <w:t> 万元，那么基本保险金额减少部分相对应的现金价值</w:t>
      </w:r>
      <w:r>
        <w:rPr>
          <w:spacing w:val="-34"/>
        </w:rPr>
        <w:t>为 </w:t>
      </w:r>
      <w:r>
        <w:rPr/>
        <w:t>8×[（10-6）÷10]=3.2</w:t>
      </w:r>
      <w:r>
        <w:rPr>
          <w:spacing w:val="-15"/>
        </w:rPr>
        <w:t> 万元。</w:t>
      </w:r>
    </w:p>
    <w:p>
      <w:pPr>
        <w:spacing w:after="0" w:line="237" w:lineRule="auto"/>
        <w:sectPr>
          <w:type w:val="continuous"/>
          <w:pgSz w:w="12240" w:h="15840"/>
          <w:pgMar w:top="900" w:bottom="280" w:left="1700" w:right="1660"/>
          <w:cols w:num="2" w:equalWidth="0">
            <w:col w:w="2321" w:space="259"/>
            <w:col w:w="6300"/>
          </w:cols>
        </w:sectPr>
      </w:pPr>
    </w:p>
    <w:p>
      <w:pPr>
        <w:pStyle w:val="BodyText"/>
        <w:spacing w:before="0"/>
        <w:rPr>
          <w:sz w:val="29"/>
        </w:rPr>
      </w:pPr>
    </w:p>
    <w:p>
      <w:pPr>
        <w:pStyle w:val="ListParagraph"/>
        <w:numPr>
          <w:ilvl w:val="1"/>
          <w:numId w:val="88"/>
        </w:numPr>
        <w:tabs>
          <w:tab w:pos="846" w:val="left" w:leader="none"/>
          <w:tab w:pos="847" w:val="left" w:leader="none"/>
          <w:tab w:pos="2679" w:val="left" w:leader="none"/>
        </w:tabs>
        <w:spacing w:line="240" w:lineRule="auto" w:before="34" w:after="0"/>
        <w:ind w:left="846" w:right="0" w:hanging="746"/>
        <w:jc w:val="left"/>
        <w:rPr>
          <w:sz w:val="21"/>
        </w:rPr>
      </w:pPr>
      <w:r>
        <w:rPr>
          <w:b/>
          <w:sz w:val="21"/>
        </w:rPr>
        <w:t>净保险费</w:t>
        <w:tab/>
      </w:r>
      <w:r>
        <w:rPr>
          <w:w w:val="95"/>
          <w:sz w:val="21"/>
        </w:rPr>
        <w:t>指不包含公司营业费用、销售费用等费用的保险费。</w:t>
      </w:r>
    </w:p>
    <w:p>
      <w:pPr>
        <w:pStyle w:val="BodyText"/>
        <w:spacing w:before="0"/>
        <w:rPr>
          <w:sz w:val="20"/>
        </w:rPr>
      </w:pPr>
    </w:p>
    <w:p>
      <w:pPr>
        <w:pStyle w:val="ListParagraph"/>
        <w:numPr>
          <w:ilvl w:val="1"/>
          <w:numId w:val="88"/>
        </w:numPr>
        <w:tabs>
          <w:tab w:pos="846" w:val="left" w:leader="none"/>
          <w:tab w:pos="847" w:val="left" w:leader="none"/>
          <w:tab w:pos="2679" w:val="left" w:leader="none"/>
        </w:tabs>
        <w:spacing w:line="273" w:lineRule="exact" w:before="154" w:after="0"/>
        <w:ind w:left="846" w:right="0" w:hanging="746"/>
        <w:jc w:val="left"/>
        <w:rPr>
          <w:sz w:val="21"/>
        </w:rPr>
      </w:pPr>
      <w:r>
        <w:rPr>
          <w:b/>
          <w:sz w:val="21"/>
        </w:rPr>
        <w:t>特殊情形</w:t>
        <w:tab/>
      </w:r>
      <w:r>
        <w:rPr>
          <w:w w:val="95"/>
          <w:sz w:val="21"/>
        </w:rPr>
        <w:t>团体保险的现金价值或者保险费应当通过银行等资金支付系统转</w:t>
      </w:r>
    </w:p>
    <w:p>
      <w:pPr>
        <w:pStyle w:val="BodyText"/>
        <w:spacing w:line="237" w:lineRule="auto" w:before="1"/>
        <w:ind w:left="2680" w:right="140"/>
      </w:pPr>
      <w:r>
        <w:rPr>
          <w:spacing w:val="-3"/>
          <w:w w:val="95"/>
        </w:rPr>
        <w:t>账至原交款账户，但根据国务院保险监督管理机构的相关规定，下  列特殊情形除外：</w:t>
      </w:r>
    </w:p>
    <w:p>
      <w:pPr>
        <w:pStyle w:val="BodyText"/>
        <w:spacing w:line="237" w:lineRule="auto" w:before="1"/>
        <w:ind w:left="3414" w:right="214" w:hanging="735"/>
        <w:jc w:val="both"/>
      </w:pPr>
      <w:r>
        <w:rPr/>
        <w:t>（1） 投保人原交款账户销户或者原交款账户存在异常状态导致</w:t>
      </w:r>
      <w:r>
        <w:rPr>
          <w:w w:val="95"/>
        </w:rPr>
        <w:t>无法转账成功的，经投保人或者承继投保人权利的人提供 有效证明文件，本公司向投保人退还的保险费、现金价值</w:t>
      </w:r>
    </w:p>
    <w:p>
      <w:pPr>
        <w:spacing w:after="0" w:line="237" w:lineRule="auto"/>
        <w:jc w:val="both"/>
        <w:sectPr>
          <w:type w:val="continuous"/>
          <w:pgSz w:w="12240" w:h="15840"/>
          <w:pgMar w:top="900" w:bottom="280" w:left="1700" w:right="16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8"/>
        <w:gridCol w:w="1762"/>
        <w:gridCol w:w="6319"/>
      </w:tblGrid>
      <w:tr>
        <w:trPr>
          <w:trHeight w:val="3681" w:hRule="atLeast"/>
        </w:trPr>
        <w:tc>
          <w:tcPr>
            <w:tcW w:w="2450" w:type="dxa"/>
            <w:gridSpan w:val="2"/>
          </w:tcPr>
          <w:p>
            <w:pPr>
              <w:pStyle w:val="TableParagraph"/>
              <w:rPr>
                <w:rFonts w:ascii="Times New Roman"/>
                <w:sz w:val="20"/>
              </w:rPr>
            </w:pPr>
          </w:p>
        </w:tc>
        <w:tc>
          <w:tcPr>
            <w:tcW w:w="6319" w:type="dxa"/>
          </w:tcPr>
          <w:p>
            <w:pPr>
              <w:pStyle w:val="TableParagraph"/>
              <w:spacing w:line="199" w:lineRule="exact"/>
              <w:ind w:left="914"/>
              <w:rPr>
                <w:sz w:val="21"/>
              </w:rPr>
            </w:pPr>
            <w:r>
              <w:rPr>
                <w:w w:val="95"/>
                <w:sz w:val="21"/>
              </w:rPr>
              <w:t>可以通过银行转账至其指定账户，该指定账户应属于投保</w:t>
            </w:r>
          </w:p>
          <w:p>
            <w:pPr>
              <w:pStyle w:val="TableParagraph"/>
              <w:spacing w:line="272" w:lineRule="exact"/>
              <w:ind w:left="914"/>
              <w:rPr>
                <w:sz w:val="21"/>
              </w:rPr>
            </w:pPr>
            <w:r>
              <w:rPr>
                <w:w w:val="95"/>
                <w:sz w:val="21"/>
              </w:rPr>
              <w:t>人或者承继投保人权利的人；</w:t>
            </w:r>
          </w:p>
          <w:p>
            <w:pPr>
              <w:pStyle w:val="TableParagraph"/>
              <w:numPr>
                <w:ilvl w:val="0"/>
                <w:numId w:val="89"/>
              </w:numPr>
              <w:tabs>
                <w:tab w:pos="915" w:val="left" w:leader="none"/>
              </w:tabs>
              <w:spacing w:line="237" w:lineRule="auto" w:before="1" w:after="0"/>
              <w:ind w:left="914" w:right="153" w:hanging="734"/>
              <w:jc w:val="both"/>
              <w:rPr>
                <w:sz w:val="21"/>
              </w:rPr>
            </w:pPr>
            <w:r>
              <w:rPr>
                <w:w w:val="95"/>
                <w:sz w:val="21"/>
              </w:rPr>
              <w:t>投保人收入和支出账户不一致的，经投保人提供有效证明 文件，本公司向投保人退还的保险费、现金价值可以通过 银行转账至投保人指定账户，该指定账户应属于投保人；</w:t>
            </w:r>
          </w:p>
          <w:p>
            <w:pPr>
              <w:pStyle w:val="TableParagraph"/>
              <w:numPr>
                <w:ilvl w:val="0"/>
                <w:numId w:val="89"/>
              </w:numPr>
              <w:tabs>
                <w:tab w:pos="915" w:val="left" w:leader="none"/>
              </w:tabs>
              <w:spacing w:line="237" w:lineRule="auto" w:before="1" w:after="0"/>
              <w:ind w:left="914" w:right="153" w:hanging="734"/>
              <w:jc w:val="both"/>
              <w:rPr>
                <w:sz w:val="21"/>
              </w:rPr>
            </w:pPr>
            <w:r>
              <w:rPr>
                <w:w w:val="95"/>
                <w:sz w:val="21"/>
              </w:rPr>
              <w:t>投保人为党政机关、事业单位且根据有关规定应将本公司 向投保人退还的保险费、现金价值转账至财政或国库账户 的，或者按照仲裁结果或者法院判决应将本公司向投保人 退还的保险费、现金价值转账至仲裁机构或法院指定账户 </w:t>
            </w:r>
            <w:r>
              <w:rPr>
                <w:spacing w:val="-1"/>
                <w:w w:val="95"/>
                <w:sz w:val="21"/>
              </w:rPr>
              <w:t>的；</w:t>
            </w:r>
          </w:p>
          <w:p>
            <w:pPr>
              <w:pStyle w:val="TableParagraph"/>
              <w:numPr>
                <w:ilvl w:val="0"/>
                <w:numId w:val="89"/>
              </w:numPr>
              <w:tabs>
                <w:tab w:pos="914" w:val="left" w:leader="none"/>
                <w:tab w:pos="915" w:val="left" w:leader="none"/>
              </w:tabs>
              <w:spacing w:line="269" w:lineRule="exact" w:before="0" w:after="0"/>
              <w:ind w:left="914" w:right="0" w:hanging="734"/>
              <w:jc w:val="left"/>
              <w:rPr>
                <w:sz w:val="21"/>
              </w:rPr>
            </w:pPr>
            <w:r>
              <w:rPr>
                <w:w w:val="95"/>
                <w:sz w:val="21"/>
              </w:rPr>
              <w:t>投保人没有银行账户或者以现金形式交纳保险费的；</w:t>
            </w:r>
          </w:p>
          <w:p>
            <w:pPr>
              <w:pStyle w:val="TableParagraph"/>
              <w:numPr>
                <w:ilvl w:val="0"/>
                <w:numId w:val="89"/>
              </w:numPr>
              <w:tabs>
                <w:tab w:pos="915" w:val="left" w:leader="none"/>
              </w:tabs>
              <w:spacing w:line="240" w:lineRule="auto" w:before="0" w:after="0"/>
              <w:ind w:left="914" w:right="153" w:hanging="734"/>
              <w:jc w:val="both"/>
              <w:rPr>
                <w:sz w:val="21"/>
              </w:rPr>
            </w:pPr>
            <w:r>
              <w:rPr>
                <w:w w:val="95"/>
                <w:sz w:val="21"/>
              </w:rPr>
              <w:t>经投保人提供有效证明文件，被保险人个人交纳的保险费 和其对应的现金价值可以退还给被保险人。</w:t>
            </w:r>
          </w:p>
        </w:tc>
      </w:tr>
      <w:tr>
        <w:trPr>
          <w:trHeight w:val="851" w:hRule="atLeast"/>
        </w:trPr>
        <w:tc>
          <w:tcPr>
            <w:tcW w:w="688" w:type="dxa"/>
          </w:tcPr>
          <w:p>
            <w:pPr>
              <w:pStyle w:val="TableParagraph"/>
              <w:spacing w:before="128"/>
              <w:ind w:left="31" w:right="87"/>
              <w:jc w:val="center"/>
              <w:rPr>
                <w:b/>
                <w:sz w:val="21"/>
              </w:rPr>
            </w:pPr>
            <w:r>
              <w:rPr>
                <w:b/>
                <w:sz w:val="21"/>
              </w:rPr>
              <w:t>11.24</w:t>
            </w:r>
          </w:p>
        </w:tc>
        <w:tc>
          <w:tcPr>
            <w:tcW w:w="1762" w:type="dxa"/>
          </w:tcPr>
          <w:p>
            <w:pPr>
              <w:pStyle w:val="TableParagraph"/>
              <w:spacing w:line="237" w:lineRule="auto" w:before="131"/>
              <w:ind w:left="108" w:right="177"/>
              <w:rPr>
                <w:b/>
                <w:sz w:val="21"/>
              </w:rPr>
            </w:pPr>
            <w:r>
              <w:rPr>
                <w:b/>
                <w:w w:val="95"/>
                <w:sz w:val="21"/>
              </w:rPr>
              <w:t>肢体机能完全丧</w:t>
            </w:r>
            <w:r>
              <w:rPr>
                <w:b/>
                <w:sz w:val="21"/>
              </w:rPr>
              <w:t>失</w:t>
            </w:r>
          </w:p>
        </w:tc>
        <w:tc>
          <w:tcPr>
            <w:tcW w:w="6319" w:type="dxa"/>
          </w:tcPr>
          <w:p>
            <w:pPr>
              <w:pStyle w:val="TableParagraph"/>
              <w:spacing w:line="237" w:lineRule="auto" w:before="131"/>
              <w:ind w:left="180" w:right="79"/>
              <w:rPr>
                <w:sz w:val="21"/>
              </w:rPr>
            </w:pPr>
            <w:r>
              <w:rPr>
                <w:spacing w:val="-2"/>
                <w:w w:val="95"/>
                <w:sz w:val="21"/>
              </w:rPr>
              <w:t>指肢体的三大关节中的两大关节僵硬，或者不能随意识活动。肢体  是指包括肩关节的整个上肢或者包括髋关节的整个下肢。</w:t>
            </w:r>
          </w:p>
        </w:tc>
      </w:tr>
      <w:tr>
        <w:trPr>
          <w:trHeight w:val="1906" w:hRule="atLeast"/>
        </w:trPr>
        <w:tc>
          <w:tcPr>
            <w:tcW w:w="688" w:type="dxa"/>
          </w:tcPr>
          <w:p>
            <w:pPr>
              <w:pStyle w:val="TableParagraph"/>
              <w:spacing w:before="92"/>
              <w:ind w:left="31" w:right="87"/>
              <w:jc w:val="center"/>
              <w:rPr>
                <w:b/>
                <w:sz w:val="21"/>
              </w:rPr>
            </w:pPr>
            <w:r>
              <w:rPr>
                <w:b/>
                <w:sz w:val="21"/>
              </w:rPr>
              <w:t>11.25</w:t>
            </w:r>
          </w:p>
        </w:tc>
        <w:tc>
          <w:tcPr>
            <w:tcW w:w="1762" w:type="dxa"/>
          </w:tcPr>
          <w:p>
            <w:pPr>
              <w:pStyle w:val="TableParagraph"/>
              <w:spacing w:line="237" w:lineRule="auto" w:before="95"/>
              <w:ind w:left="108" w:right="177"/>
              <w:jc w:val="both"/>
              <w:rPr>
                <w:b/>
                <w:sz w:val="21"/>
              </w:rPr>
            </w:pPr>
            <w:r>
              <w:rPr>
                <w:b/>
                <w:w w:val="95"/>
                <w:sz w:val="21"/>
              </w:rPr>
              <w:t>语言能力或咀嚼吞咽能力完全丧</w:t>
            </w:r>
            <w:r>
              <w:rPr>
                <w:b/>
                <w:sz w:val="21"/>
              </w:rPr>
              <w:t>失</w:t>
            </w:r>
          </w:p>
        </w:tc>
        <w:tc>
          <w:tcPr>
            <w:tcW w:w="6319" w:type="dxa"/>
          </w:tcPr>
          <w:p>
            <w:pPr>
              <w:pStyle w:val="TableParagraph"/>
              <w:spacing w:line="237" w:lineRule="auto" w:before="95"/>
              <w:ind w:left="180" w:right="49"/>
              <w:jc w:val="both"/>
              <w:rPr>
                <w:sz w:val="21"/>
              </w:rPr>
            </w:pPr>
            <w:r>
              <w:rPr>
                <w:w w:val="95"/>
                <w:sz w:val="21"/>
              </w:rPr>
              <w:t>语言能力完全丧失，指无法发出四种语音（包括口唇音、齿舌音、 </w:t>
            </w:r>
            <w:r>
              <w:rPr>
                <w:sz w:val="21"/>
              </w:rPr>
              <w:t>口盖音和喉头音</w:t>
            </w:r>
            <w:r>
              <w:rPr>
                <w:spacing w:val="-10"/>
                <w:sz w:val="21"/>
              </w:rPr>
              <w:t>）</w:t>
            </w:r>
            <w:r>
              <w:rPr>
                <w:spacing w:val="-3"/>
                <w:sz w:val="21"/>
              </w:rPr>
              <w:t>中的任何三种、或者声带全部切除，或者因大脑</w:t>
            </w:r>
            <w:r>
              <w:rPr>
                <w:spacing w:val="-3"/>
                <w:w w:val="95"/>
                <w:sz w:val="21"/>
              </w:rPr>
              <w:t>语言中枢受伤害而患失语症。</w:t>
            </w:r>
          </w:p>
          <w:p>
            <w:pPr>
              <w:pStyle w:val="TableParagraph"/>
              <w:spacing w:line="237" w:lineRule="auto" w:before="1"/>
              <w:ind w:left="180" w:right="79"/>
              <w:jc w:val="both"/>
              <w:rPr>
                <w:sz w:val="21"/>
              </w:rPr>
            </w:pPr>
            <w:r>
              <w:rPr>
                <w:spacing w:val="-3"/>
                <w:w w:val="95"/>
                <w:sz w:val="21"/>
              </w:rPr>
              <w:t>咀嚼吞咽能力完全丧失，指因牙齿以外的原因导致器质障碍或者机  </w:t>
            </w:r>
            <w:r>
              <w:rPr>
                <w:spacing w:val="-6"/>
                <w:w w:val="95"/>
                <w:sz w:val="21"/>
              </w:rPr>
              <w:t>能障碍，以致不能作咀嚼吞咽运动，除流质食物外不能摄取或者吞  咽的状态。</w:t>
            </w:r>
          </w:p>
        </w:tc>
      </w:tr>
      <w:tr>
        <w:trPr>
          <w:trHeight w:val="2180" w:hRule="atLeast"/>
        </w:trPr>
        <w:tc>
          <w:tcPr>
            <w:tcW w:w="688" w:type="dxa"/>
          </w:tcPr>
          <w:p>
            <w:pPr>
              <w:pStyle w:val="TableParagraph"/>
              <w:spacing w:before="93"/>
              <w:ind w:left="31" w:right="87"/>
              <w:jc w:val="center"/>
              <w:rPr>
                <w:b/>
                <w:sz w:val="21"/>
              </w:rPr>
            </w:pPr>
            <w:r>
              <w:rPr>
                <w:b/>
                <w:sz w:val="21"/>
              </w:rPr>
              <w:t>11.26</w:t>
            </w:r>
          </w:p>
        </w:tc>
        <w:tc>
          <w:tcPr>
            <w:tcW w:w="1762" w:type="dxa"/>
          </w:tcPr>
          <w:p>
            <w:pPr>
              <w:pStyle w:val="TableParagraph"/>
              <w:spacing w:line="237" w:lineRule="auto" w:before="96"/>
              <w:ind w:left="108" w:right="177"/>
              <w:rPr>
                <w:b/>
                <w:sz w:val="21"/>
              </w:rPr>
            </w:pPr>
            <w:r>
              <w:rPr>
                <w:b/>
                <w:w w:val="95"/>
                <w:sz w:val="21"/>
              </w:rPr>
              <w:t>六项基本日常生活活动</w:t>
            </w:r>
          </w:p>
        </w:tc>
        <w:tc>
          <w:tcPr>
            <w:tcW w:w="6319" w:type="dxa"/>
          </w:tcPr>
          <w:p>
            <w:pPr>
              <w:pStyle w:val="TableParagraph"/>
              <w:spacing w:line="273" w:lineRule="exact" w:before="93"/>
              <w:ind w:left="180"/>
              <w:rPr>
                <w:sz w:val="21"/>
              </w:rPr>
            </w:pPr>
            <w:r>
              <w:rPr>
                <w:w w:val="95"/>
                <w:sz w:val="21"/>
              </w:rPr>
              <w:t>六项基本日常生活活动是指：</w:t>
            </w:r>
          </w:p>
          <w:p>
            <w:pPr>
              <w:pStyle w:val="TableParagraph"/>
              <w:numPr>
                <w:ilvl w:val="0"/>
                <w:numId w:val="90"/>
              </w:numPr>
              <w:tabs>
                <w:tab w:pos="914" w:val="left" w:leader="none"/>
                <w:tab w:pos="915" w:val="left" w:leader="none"/>
              </w:tabs>
              <w:spacing w:line="271" w:lineRule="exact" w:before="0" w:after="0"/>
              <w:ind w:left="914" w:right="0" w:hanging="734"/>
              <w:jc w:val="left"/>
              <w:rPr>
                <w:sz w:val="21"/>
              </w:rPr>
            </w:pPr>
            <w:r>
              <w:rPr>
                <w:w w:val="95"/>
                <w:sz w:val="21"/>
              </w:rPr>
              <w:t>穿衣：自己能够穿衣及脱衣；</w:t>
            </w:r>
          </w:p>
          <w:p>
            <w:pPr>
              <w:pStyle w:val="TableParagraph"/>
              <w:numPr>
                <w:ilvl w:val="0"/>
                <w:numId w:val="90"/>
              </w:numPr>
              <w:tabs>
                <w:tab w:pos="914" w:val="left" w:leader="none"/>
                <w:tab w:pos="915" w:val="left" w:leader="none"/>
              </w:tabs>
              <w:spacing w:line="272" w:lineRule="exact" w:before="0" w:after="0"/>
              <w:ind w:left="914" w:right="0" w:hanging="734"/>
              <w:jc w:val="left"/>
              <w:rPr>
                <w:sz w:val="21"/>
              </w:rPr>
            </w:pPr>
            <w:r>
              <w:rPr>
                <w:w w:val="95"/>
                <w:sz w:val="21"/>
              </w:rPr>
              <w:t>移动：自己从一个房间到另一个房间；</w:t>
            </w:r>
          </w:p>
          <w:p>
            <w:pPr>
              <w:pStyle w:val="TableParagraph"/>
              <w:numPr>
                <w:ilvl w:val="0"/>
                <w:numId w:val="90"/>
              </w:numPr>
              <w:tabs>
                <w:tab w:pos="914" w:val="left" w:leader="none"/>
                <w:tab w:pos="915" w:val="left" w:leader="none"/>
              </w:tabs>
              <w:spacing w:line="274" w:lineRule="exact" w:before="0" w:after="0"/>
              <w:ind w:left="914" w:right="0" w:hanging="734"/>
              <w:jc w:val="left"/>
              <w:rPr>
                <w:sz w:val="21"/>
              </w:rPr>
            </w:pPr>
            <w:r>
              <w:rPr>
                <w:w w:val="95"/>
                <w:sz w:val="21"/>
              </w:rPr>
              <w:t>行动：自己上下床或者上下轮椅；</w:t>
            </w:r>
          </w:p>
          <w:p>
            <w:pPr>
              <w:pStyle w:val="TableParagraph"/>
              <w:numPr>
                <w:ilvl w:val="0"/>
                <w:numId w:val="90"/>
              </w:numPr>
              <w:tabs>
                <w:tab w:pos="914" w:val="left" w:leader="none"/>
                <w:tab w:pos="915" w:val="left" w:leader="none"/>
              </w:tabs>
              <w:spacing w:line="272" w:lineRule="exact" w:before="0" w:after="0"/>
              <w:ind w:left="914" w:right="0" w:hanging="734"/>
              <w:jc w:val="left"/>
              <w:rPr>
                <w:sz w:val="21"/>
              </w:rPr>
            </w:pPr>
            <w:r>
              <w:rPr>
                <w:w w:val="95"/>
                <w:sz w:val="21"/>
              </w:rPr>
              <w:t>如厕：自己控制进行大小便；</w:t>
            </w:r>
          </w:p>
          <w:p>
            <w:pPr>
              <w:pStyle w:val="TableParagraph"/>
              <w:numPr>
                <w:ilvl w:val="0"/>
                <w:numId w:val="90"/>
              </w:numPr>
              <w:tabs>
                <w:tab w:pos="914" w:val="left" w:leader="none"/>
                <w:tab w:pos="915" w:val="left" w:leader="none"/>
              </w:tabs>
              <w:spacing w:line="272" w:lineRule="exact" w:before="0" w:after="0"/>
              <w:ind w:left="914" w:right="0" w:hanging="734"/>
              <w:jc w:val="left"/>
              <w:rPr>
                <w:sz w:val="21"/>
              </w:rPr>
            </w:pPr>
            <w:r>
              <w:rPr>
                <w:w w:val="95"/>
                <w:sz w:val="21"/>
              </w:rPr>
              <w:t>进食：自己从已准备好的碗或者碟中取食物放入口中；</w:t>
            </w:r>
          </w:p>
          <w:p>
            <w:pPr>
              <w:pStyle w:val="TableParagraph"/>
              <w:numPr>
                <w:ilvl w:val="0"/>
                <w:numId w:val="90"/>
              </w:numPr>
              <w:tabs>
                <w:tab w:pos="914" w:val="left" w:leader="none"/>
                <w:tab w:pos="915" w:val="left" w:leader="none"/>
              </w:tabs>
              <w:spacing w:line="274" w:lineRule="exact" w:before="0" w:after="0"/>
              <w:ind w:left="914" w:right="0" w:hanging="734"/>
              <w:jc w:val="left"/>
              <w:rPr>
                <w:sz w:val="21"/>
              </w:rPr>
            </w:pPr>
            <w:r>
              <w:rPr>
                <w:w w:val="95"/>
                <w:sz w:val="21"/>
              </w:rPr>
              <w:t>洗澡：自己进行淋浴或者盆浴。</w:t>
            </w:r>
          </w:p>
        </w:tc>
      </w:tr>
      <w:tr>
        <w:trPr>
          <w:trHeight w:val="648" w:hRule="atLeast"/>
        </w:trPr>
        <w:tc>
          <w:tcPr>
            <w:tcW w:w="688" w:type="dxa"/>
          </w:tcPr>
          <w:p>
            <w:pPr>
              <w:pStyle w:val="TableParagraph"/>
              <w:spacing w:before="92"/>
              <w:ind w:left="31" w:right="87"/>
              <w:jc w:val="center"/>
              <w:rPr>
                <w:b/>
                <w:sz w:val="21"/>
              </w:rPr>
            </w:pPr>
            <w:r>
              <w:rPr>
                <w:b/>
                <w:sz w:val="21"/>
              </w:rPr>
              <w:t>11.27</w:t>
            </w:r>
          </w:p>
        </w:tc>
        <w:tc>
          <w:tcPr>
            <w:tcW w:w="1762" w:type="dxa"/>
          </w:tcPr>
          <w:p>
            <w:pPr>
              <w:pStyle w:val="TableParagraph"/>
              <w:spacing w:before="92"/>
              <w:ind w:left="108"/>
              <w:rPr>
                <w:b/>
                <w:sz w:val="21"/>
              </w:rPr>
            </w:pPr>
            <w:r>
              <w:rPr>
                <w:b/>
                <w:w w:val="95"/>
                <w:sz w:val="21"/>
              </w:rPr>
              <w:t>永久不可逆</w:t>
            </w:r>
          </w:p>
        </w:tc>
        <w:tc>
          <w:tcPr>
            <w:tcW w:w="6319" w:type="dxa"/>
          </w:tcPr>
          <w:p>
            <w:pPr>
              <w:pStyle w:val="TableParagraph"/>
              <w:spacing w:line="272" w:lineRule="exact" w:before="120"/>
              <w:ind w:left="180" w:right="49"/>
              <w:rPr>
                <w:sz w:val="21"/>
              </w:rPr>
            </w:pPr>
            <w:r>
              <w:rPr>
                <w:spacing w:val="-3"/>
                <w:sz w:val="21"/>
              </w:rPr>
              <w:t>指自疾病确诊或者意外伤害发生之日起，经过积极治疗 </w:t>
            </w:r>
            <w:r>
              <w:rPr>
                <w:sz w:val="21"/>
              </w:rPr>
              <w:t>180</w:t>
            </w:r>
            <w:r>
              <w:rPr>
                <w:spacing w:val="-15"/>
                <w:sz w:val="21"/>
              </w:rPr>
              <w:t> 天后， </w:t>
            </w:r>
            <w:r>
              <w:rPr>
                <w:spacing w:val="-15"/>
                <w:w w:val="95"/>
                <w:sz w:val="21"/>
              </w:rPr>
              <w:t>仍无法通过现有医疗手段恢复。</w:t>
            </w:r>
          </w:p>
        </w:tc>
      </w:tr>
    </w:tbl>
    <w:sectPr>
      <w:pgSz w:w="12240" w:h="15840"/>
      <w:pgMar w:top="1480" w:bottom="280" w:left="1640" w:right="1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Arial">
    <w:altName w:val="Arial"/>
    <w:charset w:val="0"/>
    <w:family w:val="swiss"/>
    <w:pitch w:val="variable"/>
  </w:font>
  <w:font w:name="楷体">
    <w:altName w:val="楷体"/>
    <w:charset w:val="86"/>
    <w:family w:val="modern"/>
    <w:pitch w:val="fixed"/>
  </w:font>
  <w:font w:name="Wingdings">
    <w:altName w:val="Wingdings"/>
    <w:charset w:val="2"/>
    <w:family w:val="auto"/>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9">
    <w:multiLevelType w:val="hybridMultilevel"/>
    <w:lvl w:ilvl="0">
      <w:start w:val="1"/>
      <w:numFmt w:val="decimal"/>
      <w:lvlText w:val="（%1）"/>
      <w:lvlJc w:val="left"/>
      <w:pPr>
        <w:ind w:left="914" w:hanging="735"/>
        <w:jc w:val="left"/>
      </w:pPr>
      <w:rPr>
        <w:rFonts w:hint="default" w:ascii="宋体" w:hAnsi="宋体" w:eastAsia="宋体" w:cs="宋体"/>
        <w:spacing w:val="-1"/>
        <w:w w:val="99"/>
        <w:sz w:val="21"/>
        <w:szCs w:val="21"/>
      </w:rPr>
    </w:lvl>
    <w:lvl w:ilvl="1">
      <w:start w:val="0"/>
      <w:numFmt w:val="bullet"/>
      <w:lvlText w:val="•"/>
      <w:lvlJc w:val="left"/>
      <w:pPr>
        <w:ind w:left="1459" w:hanging="735"/>
      </w:pPr>
      <w:rPr>
        <w:rFonts w:hint="default"/>
      </w:rPr>
    </w:lvl>
    <w:lvl w:ilvl="2">
      <w:start w:val="0"/>
      <w:numFmt w:val="bullet"/>
      <w:lvlText w:val="•"/>
      <w:lvlJc w:val="left"/>
      <w:pPr>
        <w:ind w:left="1999" w:hanging="735"/>
      </w:pPr>
      <w:rPr>
        <w:rFonts w:hint="default"/>
      </w:rPr>
    </w:lvl>
    <w:lvl w:ilvl="3">
      <w:start w:val="0"/>
      <w:numFmt w:val="bullet"/>
      <w:lvlText w:val="•"/>
      <w:lvlJc w:val="left"/>
      <w:pPr>
        <w:ind w:left="2539" w:hanging="735"/>
      </w:pPr>
      <w:rPr>
        <w:rFonts w:hint="default"/>
      </w:rPr>
    </w:lvl>
    <w:lvl w:ilvl="4">
      <w:start w:val="0"/>
      <w:numFmt w:val="bullet"/>
      <w:lvlText w:val="•"/>
      <w:lvlJc w:val="left"/>
      <w:pPr>
        <w:ind w:left="3079" w:hanging="735"/>
      </w:pPr>
      <w:rPr>
        <w:rFonts w:hint="default"/>
      </w:rPr>
    </w:lvl>
    <w:lvl w:ilvl="5">
      <w:start w:val="0"/>
      <w:numFmt w:val="bullet"/>
      <w:lvlText w:val="•"/>
      <w:lvlJc w:val="left"/>
      <w:pPr>
        <w:ind w:left="3619" w:hanging="735"/>
      </w:pPr>
      <w:rPr>
        <w:rFonts w:hint="default"/>
      </w:rPr>
    </w:lvl>
    <w:lvl w:ilvl="6">
      <w:start w:val="0"/>
      <w:numFmt w:val="bullet"/>
      <w:lvlText w:val="•"/>
      <w:lvlJc w:val="left"/>
      <w:pPr>
        <w:ind w:left="4159" w:hanging="735"/>
      </w:pPr>
      <w:rPr>
        <w:rFonts w:hint="default"/>
      </w:rPr>
    </w:lvl>
    <w:lvl w:ilvl="7">
      <w:start w:val="0"/>
      <w:numFmt w:val="bullet"/>
      <w:lvlText w:val="•"/>
      <w:lvlJc w:val="left"/>
      <w:pPr>
        <w:ind w:left="4699" w:hanging="735"/>
      </w:pPr>
      <w:rPr>
        <w:rFonts w:hint="default"/>
      </w:rPr>
    </w:lvl>
    <w:lvl w:ilvl="8">
      <w:start w:val="0"/>
      <w:numFmt w:val="bullet"/>
      <w:lvlText w:val="•"/>
      <w:lvlJc w:val="left"/>
      <w:pPr>
        <w:ind w:left="5239" w:hanging="735"/>
      </w:pPr>
      <w:rPr>
        <w:rFonts w:hint="default"/>
      </w:rPr>
    </w:lvl>
  </w:abstractNum>
  <w:abstractNum w:abstractNumId="88">
    <w:multiLevelType w:val="hybridMultilevel"/>
    <w:lvl w:ilvl="0">
      <w:start w:val="2"/>
      <w:numFmt w:val="decimal"/>
      <w:lvlText w:val="（%1）"/>
      <w:lvlJc w:val="left"/>
      <w:pPr>
        <w:ind w:left="914" w:hanging="735"/>
        <w:jc w:val="left"/>
      </w:pPr>
      <w:rPr>
        <w:rFonts w:hint="default" w:ascii="宋体" w:hAnsi="宋体" w:eastAsia="宋体" w:cs="宋体"/>
        <w:spacing w:val="-1"/>
        <w:w w:val="99"/>
        <w:sz w:val="21"/>
        <w:szCs w:val="21"/>
      </w:rPr>
    </w:lvl>
    <w:lvl w:ilvl="1">
      <w:start w:val="0"/>
      <w:numFmt w:val="bullet"/>
      <w:lvlText w:val="•"/>
      <w:lvlJc w:val="left"/>
      <w:pPr>
        <w:ind w:left="1459" w:hanging="735"/>
      </w:pPr>
      <w:rPr>
        <w:rFonts w:hint="default"/>
      </w:rPr>
    </w:lvl>
    <w:lvl w:ilvl="2">
      <w:start w:val="0"/>
      <w:numFmt w:val="bullet"/>
      <w:lvlText w:val="•"/>
      <w:lvlJc w:val="left"/>
      <w:pPr>
        <w:ind w:left="1999" w:hanging="735"/>
      </w:pPr>
      <w:rPr>
        <w:rFonts w:hint="default"/>
      </w:rPr>
    </w:lvl>
    <w:lvl w:ilvl="3">
      <w:start w:val="0"/>
      <w:numFmt w:val="bullet"/>
      <w:lvlText w:val="•"/>
      <w:lvlJc w:val="left"/>
      <w:pPr>
        <w:ind w:left="2539" w:hanging="735"/>
      </w:pPr>
      <w:rPr>
        <w:rFonts w:hint="default"/>
      </w:rPr>
    </w:lvl>
    <w:lvl w:ilvl="4">
      <w:start w:val="0"/>
      <w:numFmt w:val="bullet"/>
      <w:lvlText w:val="•"/>
      <w:lvlJc w:val="left"/>
      <w:pPr>
        <w:ind w:left="3079" w:hanging="735"/>
      </w:pPr>
      <w:rPr>
        <w:rFonts w:hint="default"/>
      </w:rPr>
    </w:lvl>
    <w:lvl w:ilvl="5">
      <w:start w:val="0"/>
      <w:numFmt w:val="bullet"/>
      <w:lvlText w:val="•"/>
      <w:lvlJc w:val="left"/>
      <w:pPr>
        <w:ind w:left="3619" w:hanging="735"/>
      </w:pPr>
      <w:rPr>
        <w:rFonts w:hint="default"/>
      </w:rPr>
    </w:lvl>
    <w:lvl w:ilvl="6">
      <w:start w:val="0"/>
      <w:numFmt w:val="bullet"/>
      <w:lvlText w:val="•"/>
      <w:lvlJc w:val="left"/>
      <w:pPr>
        <w:ind w:left="4159" w:hanging="735"/>
      </w:pPr>
      <w:rPr>
        <w:rFonts w:hint="default"/>
      </w:rPr>
    </w:lvl>
    <w:lvl w:ilvl="7">
      <w:start w:val="0"/>
      <w:numFmt w:val="bullet"/>
      <w:lvlText w:val="•"/>
      <w:lvlJc w:val="left"/>
      <w:pPr>
        <w:ind w:left="4699" w:hanging="735"/>
      </w:pPr>
      <w:rPr>
        <w:rFonts w:hint="default"/>
      </w:rPr>
    </w:lvl>
    <w:lvl w:ilvl="8">
      <w:start w:val="0"/>
      <w:numFmt w:val="bullet"/>
      <w:lvlText w:val="•"/>
      <w:lvlJc w:val="left"/>
      <w:pPr>
        <w:ind w:left="5239" w:hanging="735"/>
      </w:pPr>
      <w:rPr>
        <w:rFonts w:hint="default"/>
      </w:rPr>
    </w:lvl>
  </w:abstractNum>
  <w:abstractNum w:abstractNumId="87">
    <w:multiLevelType w:val="hybridMultilevel"/>
    <w:lvl w:ilvl="0">
      <w:start w:val="11"/>
      <w:numFmt w:val="decimal"/>
      <w:lvlText w:val="%1"/>
      <w:lvlJc w:val="left"/>
      <w:pPr>
        <w:ind w:left="906" w:hanging="747"/>
        <w:jc w:val="left"/>
      </w:pPr>
      <w:rPr>
        <w:rFonts w:hint="default"/>
      </w:rPr>
    </w:lvl>
    <w:lvl w:ilvl="1">
      <w:start w:val="15"/>
      <w:numFmt w:val="decimal"/>
      <w:lvlText w:val="%1.%2"/>
      <w:lvlJc w:val="left"/>
      <w:pPr>
        <w:ind w:left="2680" w:hanging="747"/>
        <w:jc w:val="left"/>
      </w:pPr>
      <w:rPr>
        <w:rFonts w:hint="default" w:ascii="宋体" w:hAnsi="宋体" w:eastAsia="宋体" w:cs="宋体"/>
        <w:b/>
        <w:bCs/>
        <w:spacing w:val="-2"/>
        <w:w w:val="98"/>
        <w:position w:val="1"/>
        <w:sz w:val="21"/>
        <w:szCs w:val="21"/>
      </w:rPr>
    </w:lvl>
    <w:lvl w:ilvl="2">
      <w:start w:val="1"/>
      <w:numFmt w:val="decimal"/>
      <w:lvlText w:val="（%3）"/>
      <w:lvlJc w:val="left"/>
      <w:pPr>
        <w:ind w:left="3400" w:hanging="735"/>
        <w:jc w:val="left"/>
      </w:pPr>
      <w:rPr>
        <w:rFonts w:hint="default" w:ascii="宋体" w:hAnsi="宋体" w:eastAsia="宋体" w:cs="宋体"/>
        <w:spacing w:val="-1"/>
        <w:w w:val="99"/>
        <w:sz w:val="21"/>
        <w:szCs w:val="21"/>
      </w:rPr>
    </w:lvl>
    <w:lvl w:ilvl="3">
      <w:start w:val="0"/>
      <w:numFmt w:val="bullet"/>
      <w:lvlText w:val="•"/>
      <w:lvlJc w:val="left"/>
      <w:pPr>
        <w:ind w:left="4085" w:hanging="735"/>
      </w:pPr>
      <w:rPr>
        <w:rFonts w:hint="default"/>
      </w:rPr>
    </w:lvl>
    <w:lvl w:ilvl="4">
      <w:start w:val="0"/>
      <w:numFmt w:val="bullet"/>
      <w:lvlText w:val="•"/>
      <w:lvlJc w:val="left"/>
      <w:pPr>
        <w:ind w:left="4770" w:hanging="735"/>
      </w:pPr>
      <w:rPr>
        <w:rFonts w:hint="default"/>
      </w:rPr>
    </w:lvl>
    <w:lvl w:ilvl="5">
      <w:start w:val="0"/>
      <w:numFmt w:val="bullet"/>
      <w:lvlText w:val="•"/>
      <w:lvlJc w:val="left"/>
      <w:pPr>
        <w:ind w:left="5455" w:hanging="735"/>
      </w:pPr>
      <w:rPr>
        <w:rFonts w:hint="default"/>
      </w:rPr>
    </w:lvl>
    <w:lvl w:ilvl="6">
      <w:start w:val="0"/>
      <w:numFmt w:val="bullet"/>
      <w:lvlText w:val="•"/>
      <w:lvlJc w:val="left"/>
      <w:pPr>
        <w:ind w:left="6140" w:hanging="735"/>
      </w:pPr>
      <w:rPr>
        <w:rFonts w:hint="default"/>
      </w:rPr>
    </w:lvl>
    <w:lvl w:ilvl="7">
      <w:start w:val="0"/>
      <w:numFmt w:val="bullet"/>
      <w:lvlText w:val="•"/>
      <w:lvlJc w:val="left"/>
      <w:pPr>
        <w:ind w:left="6825" w:hanging="735"/>
      </w:pPr>
      <w:rPr>
        <w:rFonts w:hint="default"/>
      </w:rPr>
    </w:lvl>
    <w:lvl w:ilvl="8">
      <w:start w:val="0"/>
      <w:numFmt w:val="bullet"/>
      <w:lvlText w:val="•"/>
      <w:lvlJc w:val="left"/>
      <w:pPr>
        <w:ind w:left="7510" w:hanging="735"/>
      </w:pPr>
      <w:rPr>
        <w:rFonts w:hint="default"/>
      </w:rPr>
    </w:lvl>
  </w:abstractNum>
  <w:abstractNum w:abstractNumId="86">
    <w:multiLevelType w:val="hybridMultilevel"/>
    <w:lvl w:ilvl="0">
      <w:start w:val="1"/>
      <w:numFmt w:val="decimal"/>
      <w:lvlText w:val="（%1）"/>
      <w:lvlJc w:val="left"/>
      <w:pPr>
        <w:ind w:left="3474" w:hanging="735"/>
        <w:jc w:val="left"/>
      </w:pPr>
      <w:rPr>
        <w:rFonts w:hint="default" w:ascii="宋体" w:hAnsi="宋体" w:eastAsia="宋体" w:cs="宋体"/>
        <w:spacing w:val="-1"/>
        <w:w w:val="99"/>
        <w:sz w:val="21"/>
        <w:szCs w:val="21"/>
      </w:rPr>
    </w:lvl>
    <w:lvl w:ilvl="1">
      <w:start w:val="0"/>
      <w:numFmt w:val="bullet"/>
      <w:lvlText w:val="•"/>
      <w:lvlJc w:val="left"/>
      <w:pPr>
        <w:ind w:left="403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154" w:hanging="735"/>
      </w:pPr>
      <w:rPr>
        <w:rFonts w:hint="default"/>
      </w:rPr>
    </w:lvl>
    <w:lvl w:ilvl="4">
      <w:start w:val="0"/>
      <w:numFmt w:val="bullet"/>
      <w:lvlText w:val="•"/>
      <w:lvlJc w:val="left"/>
      <w:pPr>
        <w:ind w:left="5712"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828" w:hanging="735"/>
      </w:pPr>
      <w:rPr>
        <w:rFonts w:hint="default"/>
      </w:rPr>
    </w:lvl>
    <w:lvl w:ilvl="7">
      <w:start w:val="0"/>
      <w:numFmt w:val="bullet"/>
      <w:lvlText w:val="•"/>
      <w:lvlJc w:val="left"/>
      <w:pPr>
        <w:ind w:left="7386" w:hanging="735"/>
      </w:pPr>
      <w:rPr>
        <w:rFonts w:hint="default"/>
      </w:rPr>
    </w:lvl>
    <w:lvl w:ilvl="8">
      <w:start w:val="0"/>
      <w:numFmt w:val="bullet"/>
      <w:lvlText w:val="•"/>
      <w:lvlJc w:val="left"/>
      <w:pPr>
        <w:ind w:left="7944" w:hanging="735"/>
      </w:pPr>
      <w:rPr>
        <w:rFonts w:hint="default"/>
      </w:rPr>
    </w:lvl>
  </w:abstractNum>
  <w:abstractNum w:abstractNumId="85">
    <w:multiLevelType w:val="hybridMultilevel"/>
    <w:lvl w:ilvl="0">
      <w:start w:val="11"/>
      <w:numFmt w:val="decimal"/>
      <w:lvlText w:val="%1"/>
      <w:lvlJc w:val="left"/>
      <w:pPr>
        <w:ind w:left="846" w:hanging="747"/>
        <w:jc w:val="left"/>
      </w:pPr>
      <w:rPr>
        <w:rFonts w:hint="default"/>
      </w:rPr>
    </w:lvl>
    <w:lvl w:ilvl="1">
      <w:start w:val="2"/>
      <w:numFmt w:val="decimal"/>
      <w:lvlText w:val="%1.%2"/>
      <w:lvlJc w:val="left"/>
      <w:pPr>
        <w:ind w:left="2680" w:hanging="747"/>
        <w:jc w:val="left"/>
      </w:pPr>
      <w:rPr>
        <w:rFonts w:hint="default" w:ascii="宋体" w:hAnsi="宋体" w:eastAsia="宋体" w:cs="宋体"/>
        <w:b/>
        <w:bCs/>
        <w:spacing w:val="0"/>
        <w:w w:val="98"/>
        <w:position w:val="1"/>
        <w:sz w:val="21"/>
        <w:szCs w:val="21"/>
      </w:rPr>
    </w:lvl>
    <w:lvl w:ilvl="2">
      <w:start w:val="1"/>
      <w:numFmt w:val="decimal"/>
      <w:lvlText w:val="（%3）"/>
      <w:lvlJc w:val="left"/>
      <w:pPr>
        <w:ind w:left="3436" w:hanging="720"/>
        <w:jc w:val="left"/>
      </w:pPr>
      <w:rPr>
        <w:rFonts w:hint="default" w:ascii="宋体" w:hAnsi="宋体" w:eastAsia="宋体" w:cs="宋体"/>
        <w:spacing w:val="-1"/>
        <w:w w:val="99"/>
        <w:sz w:val="21"/>
        <w:szCs w:val="21"/>
      </w:rPr>
    </w:lvl>
    <w:lvl w:ilvl="3">
      <w:start w:val="0"/>
      <w:numFmt w:val="bullet"/>
      <w:lvlText w:val="•"/>
      <w:lvlJc w:val="left"/>
      <w:pPr>
        <w:ind w:left="4130" w:hanging="720"/>
      </w:pPr>
      <w:rPr>
        <w:rFonts w:hint="default"/>
      </w:rPr>
    </w:lvl>
    <w:lvl w:ilvl="4">
      <w:start w:val="0"/>
      <w:numFmt w:val="bullet"/>
      <w:lvlText w:val="•"/>
      <w:lvlJc w:val="left"/>
      <w:pPr>
        <w:ind w:left="4820" w:hanging="720"/>
      </w:pPr>
      <w:rPr>
        <w:rFonts w:hint="default"/>
      </w:rPr>
    </w:lvl>
    <w:lvl w:ilvl="5">
      <w:start w:val="0"/>
      <w:numFmt w:val="bullet"/>
      <w:lvlText w:val="•"/>
      <w:lvlJc w:val="left"/>
      <w:pPr>
        <w:ind w:left="5510" w:hanging="720"/>
      </w:pPr>
      <w:rPr>
        <w:rFonts w:hint="default"/>
      </w:rPr>
    </w:lvl>
    <w:lvl w:ilvl="6">
      <w:start w:val="0"/>
      <w:numFmt w:val="bullet"/>
      <w:lvlText w:val="•"/>
      <w:lvlJc w:val="left"/>
      <w:pPr>
        <w:ind w:left="6200" w:hanging="720"/>
      </w:pPr>
      <w:rPr>
        <w:rFonts w:hint="default"/>
      </w:rPr>
    </w:lvl>
    <w:lvl w:ilvl="7">
      <w:start w:val="0"/>
      <w:numFmt w:val="bullet"/>
      <w:lvlText w:val="•"/>
      <w:lvlJc w:val="left"/>
      <w:pPr>
        <w:ind w:left="6890" w:hanging="720"/>
      </w:pPr>
      <w:rPr>
        <w:rFonts w:hint="default"/>
      </w:rPr>
    </w:lvl>
    <w:lvl w:ilvl="8">
      <w:start w:val="0"/>
      <w:numFmt w:val="bullet"/>
      <w:lvlText w:val="•"/>
      <w:lvlJc w:val="left"/>
      <w:pPr>
        <w:ind w:left="7580" w:hanging="720"/>
      </w:pPr>
      <w:rPr>
        <w:rFonts w:hint="default"/>
      </w:rPr>
    </w:lvl>
  </w:abstractNum>
  <w:abstractNum w:abstractNumId="84">
    <w:multiLevelType w:val="hybridMultilevel"/>
    <w:lvl w:ilvl="0">
      <w:start w:val="1"/>
      <w:numFmt w:val="decimal"/>
      <w:lvlText w:val="（%1）"/>
      <w:lvlJc w:val="left"/>
      <w:pPr>
        <w:ind w:left="1251" w:hanging="720"/>
        <w:jc w:val="left"/>
      </w:pPr>
      <w:rPr>
        <w:rFonts w:hint="default" w:ascii="宋体" w:hAnsi="宋体" w:eastAsia="宋体" w:cs="宋体"/>
        <w:spacing w:val="-1"/>
        <w:w w:val="99"/>
        <w:sz w:val="21"/>
        <w:szCs w:val="21"/>
      </w:rPr>
    </w:lvl>
    <w:lvl w:ilvl="1">
      <w:start w:val="1"/>
      <w:numFmt w:val="lowerLetter"/>
      <w:lvlText w:val="%2)"/>
      <w:lvlJc w:val="left"/>
      <w:pPr>
        <w:ind w:left="1371" w:hanging="420"/>
        <w:jc w:val="left"/>
      </w:pPr>
      <w:rPr>
        <w:rFonts w:hint="default" w:ascii="宋体" w:hAnsi="宋体" w:eastAsia="宋体" w:cs="宋体"/>
        <w:spacing w:val="0"/>
        <w:w w:val="99"/>
        <w:sz w:val="21"/>
        <w:szCs w:val="21"/>
      </w:rPr>
    </w:lvl>
    <w:lvl w:ilvl="2">
      <w:start w:val="0"/>
      <w:numFmt w:val="bullet"/>
      <w:lvlText w:val="•"/>
      <w:lvlJc w:val="left"/>
      <w:pPr>
        <w:ind w:left="1983" w:hanging="420"/>
      </w:pPr>
      <w:rPr>
        <w:rFonts w:hint="default"/>
      </w:rPr>
    </w:lvl>
    <w:lvl w:ilvl="3">
      <w:start w:val="0"/>
      <w:numFmt w:val="bullet"/>
      <w:lvlText w:val="•"/>
      <w:lvlJc w:val="left"/>
      <w:pPr>
        <w:ind w:left="2586" w:hanging="420"/>
      </w:pPr>
      <w:rPr>
        <w:rFonts w:hint="default"/>
      </w:rPr>
    </w:lvl>
    <w:lvl w:ilvl="4">
      <w:start w:val="0"/>
      <w:numFmt w:val="bullet"/>
      <w:lvlText w:val="•"/>
      <w:lvlJc w:val="left"/>
      <w:pPr>
        <w:ind w:left="3190" w:hanging="420"/>
      </w:pPr>
      <w:rPr>
        <w:rFonts w:hint="default"/>
      </w:rPr>
    </w:lvl>
    <w:lvl w:ilvl="5">
      <w:start w:val="0"/>
      <w:numFmt w:val="bullet"/>
      <w:lvlText w:val="•"/>
      <w:lvlJc w:val="left"/>
      <w:pPr>
        <w:ind w:left="3793" w:hanging="420"/>
      </w:pPr>
      <w:rPr>
        <w:rFonts w:hint="default"/>
      </w:rPr>
    </w:lvl>
    <w:lvl w:ilvl="6">
      <w:start w:val="0"/>
      <w:numFmt w:val="bullet"/>
      <w:lvlText w:val="•"/>
      <w:lvlJc w:val="left"/>
      <w:pPr>
        <w:ind w:left="4397" w:hanging="420"/>
      </w:pPr>
      <w:rPr>
        <w:rFonts w:hint="default"/>
      </w:rPr>
    </w:lvl>
    <w:lvl w:ilvl="7">
      <w:start w:val="0"/>
      <w:numFmt w:val="bullet"/>
      <w:lvlText w:val="•"/>
      <w:lvlJc w:val="left"/>
      <w:pPr>
        <w:ind w:left="5000" w:hanging="420"/>
      </w:pPr>
      <w:rPr>
        <w:rFonts w:hint="default"/>
      </w:rPr>
    </w:lvl>
    <w:lvl w:ilvl="8">
      <w:start w:val="0"/>
      <w:numFmt w:val="bullet"/>
      <w:lvlText w:val="•"/>
      <w:lvlJc w:val="left"/>
      <w:pPr>
        <w:ind w:left="5604" w:hanging="420"/>
      </w:pPr>
      <w:rPr>
        <w:rFonts w:hint="default"/>
      </w:rPr>
    </w:lvl>
  </w:abstractNum>
  <w:abstractNum w:abstractNumId="83">
    <w:multiLevelType w:val="hybridMultilevel"/>
    <w:lvl w:ilvl="0">
      <w:start w:val="1"/>
      <w:numFmt w:val="decimal"/>
      <w:lvlText w:val="（%1）"/>
      <w:lvlJc w:val="left"/>
      <w:pPr>
        <w:ind w:left="3520" w:hanging="720"/>
        <w:jc w:val="left"/>
      </w:pPr>
      <w:rPr>
        <w:rFonts w:hint="default" w:ascii="宋体" w:hAnsi="宋体" w:eastAsia="宋体" w:cs="宋体"/>
        <w:spacing w:val="-1"/>
        <w:w w:val="99"/>
        <w:sz w:val="21"/>
        <w:szCs w:val="21"/>
      </w:rPr>
    </w:lvl>
    <w:lvl w:ilvl="1">
      <w:start w:val="0"/>
      <w:numFmt w:val="bullet"/>
      <w:lvlText w:val="•"/>
      <w:lvlJc w:val="left"/>
      <w:pPr>
        <w:ind w:left="4076" w:hanging="720"/>
      </w:pPr>
      <w:rPr>
        <w:rFonts w:hint="default"/>
      </w:rPr>
    </w:lvl>
    <w:lvl w:ilvl="2">
      <w:start w:val="0"/>
      <w:numFmt w:val="bullet"/>
      <w:lvlText w:val="•"/>
      <w:lvlJc w:val="left"/>
      <w:pPr>
        <w:ind w:left="4632" w:hanging="720"/>
      </w:pPr>
      <w:rPr>
        <w:rFonts w:hint="default"/>
      </w:rPr>
    </w:lvl>
    <w:lvl w:ilvl="3">
      <w:start w:val="0"/>
      <w:numFmt w:val="bullet"/>
      <w:lvlText w:val="•"/>
      <w:lvlJc w:val="left"/>
      <w:pPr>
        <w:ind w:left="5188" w:hanging="720"/>
      </w:pPr>
      <w:rPr>
        <w:rFonts w:hint="default"/>
      </w:rPr>
    </w:lvl>
    <w:lvl w:ilvl="4">
      <w:start w:val="0"/>
      <w:numFmt w:val="bullet"/>
      <w:lvlText w:val="•"/>
      <w:lvlJc w:val="left"/>
      <w:pPr>
        <w:ind w:left="5744" w:hanging="720"/>
      </w:pPr>
      <w:rPr>
        <w:rFonts w:hint="default"/>
      </w:rPr>
    </w:lvl>
    <w:lvl w:ilvl="5">
      <w:start w:val="0"/>
      <w:numFmt w:val="bullet"/>
      <w:lvlText w:val="•"/>
      <w:lvlJc w:val="left"/>
      <w:pPr>
        <w:ind w:left="6300" w:hanging="720"/>
      </w:pPr>
      <w:rPr>
        <w:rFonts w:hint="default"/>
      </w:rPr>
    </w:lvl>
    <w:lvl w:ilvl="6">
      <w:start w:val="0"/>
      <w:numFmt w:val="bullet"/>
      <w:lvlText w:val="•"/>
      <w:lvlJc w:val="left"/>
      <w:pPr>
        <w:ind w:left="6856" w:hanging="720"/>
      </w:pPr>
      <w:rPr>
        <w:rFonts w:hint="default"/>
      </w:rPr>
    </w:lvl>
    <w:lvl w:ilvl="7">
      <w:start w:val="0"/>
      <w:numFmt w:val="bullet"/>
      <w:lvlText w:val="•"/>
      <w:lvlJc w:val="left"/>
      <w:pPr>
        <w:ind w:left="7412" w:hanging="720"/>
      </w:pPr>
      <w:rPr>
        <w:rFonts w:hint="default"/>
      </w:rPr>
    </w:lvl>
    <w:lvl w:ilvl="8">
      <w:start w:val="0"/>
      <w:numFmt w:val="bullet"/>
      <w:lvlText w:val="•"/>
      <w:lvlJc w:val="left"/>
      <w:pPr>
        <w:ind w:left="7968" w:hanging="720"/>
      </w:pPr>
      <w:rPr>
        <w:rFonts w:hint="default"/>
      </w:rPr>
    </w:lvl>
  </w:abstractNum>
  <w:abstractNum w:abstractNumId="82">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76" w:hanging="720"/>
      </w:pPr>
      <w:rPr>
        <w:rFonts w:hint="default"/>
      </w:rPr>
    </w:lvl>
    <w:lvl w:ilvl="2">
      <w:start w:val="0"/>
      <w:numFmt w:val="bullet"/>
      <w:lvlText w:val="•"/>
      <w:lvlJc w:val="left"/>
      <w:pPr>
        <w:ind w:left="1932" w:hanging="720"/>
      </w:pPr>
      <w:rPr>
        <w:rFonts w:hint="default"/>
      </w:rPr>
    </w:lvl>
    <w:lvl w:ilvl="3">
      <w:start w:val="0"/>
      <w:numFmt w:val="bullet"/>
      <w:lvlText w:val="•"/>
      <w:lvlJc w:val="left"/>
      <w:pPr>
        <w:ind w:left="2488" w:hanging="720"/>
      </w:pPr>
      <w:rPr>
        <w:rFonts w:hint="default"/>
      </w:rPr>
    </w:lvl>
    <w:lvl w:ilvl="4">
      <w:start w:val="0"/>
      <w:numFmt w:val="bullet"/>
      <w:lvlText w:val="•"/>
      <w:lvlJc w:val="left"/>
      <w:pPr>
        <w:ind w:left="3044" w:hanging="720"/>
      </w:pPr>
      <w:rPr>
        <w:rFonts w:hint="default"/>
      </w:rPr>
    </w:lvl>
    <w:lvl w:ilvl="5">
      <w:start w:val="0"/>
      <w:numFmt w:val="bullet"/>
      <w:lvlText w:val="•"/>
      <w:lvlJc w:val="left"/>
      <w:pPr>
        <w:ind w:left="3600" w:hanging="720"/>
      </w:pPr>
      <w:rPr>
        <w:rFonts w:hint="default"/>
      </w:rPr>
    </w:lvl>
    <w:lvl w:ilvl="6">
      <w:start w:val="0"/>
      <w:numFmt w:val="bullet"/>
      <w:lvlText w:val="•"/>
      <w:lvlJc w:val="left"/>
      <w:pPr>
        <w:ind w:left="4156" w:hanging="720"/>
      </w:pPr>
      <w:rPr>
        <w:rFonts w:hint="default"/>
      </w:rPr>
    </w:lvl>
    <w:lvl w:ilvl="7">
      <w:start w:val="0"/>
      <w:numFmt w:val="bullet"/>
      <w:lvlText w:val="•"/>
      <w:lvlJc w:val="left"/>
      <w:pPr>
        <w:ind w:left="4712" w:hanging="720"/>
      </w:pPr>
      <w:rPr>
        <w:rFonts w:hint="default"/>
      </w:rPr>
    </w:lvl>
    <w:lvl w:ilvl="8">
      <w:start w:val="0"/>
      <w:numFmt w:val="bullet"/>
      <w:lvlText w:val="•"/>
      <w:lvlJc w:val="left"/>
      <w:pPr>
        <w:ind w:left="5268" w:hanging="720"/>
      </w:pPr>
      <w:rPr>
        <w:rFonts w:hint="default"/>
      </w:rPr>
    </w:lvl>
  </w:abstractNum>
  <w:abstractNum w:abstractNumId="81">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5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068" w:hanging="720"/>
      </w:pPr>
      <w:rPr>
        <w:rFonts w:hint="default"/>
      </w:rPr>
    </w:lvl>
    <w:lvl w:ilvl="4">
      <w:start w:val="0"/>
      <w:numFmt w:val="bullet"/>
      <w:lvlText w:val="•"/>
      <w:lvlJc w:val="left"/>
      <w:pPr>
        <w:ind w:left="5624" w:hanging="720"/>
      </w:pPr>
      <w:rPr>
        <w:rFonts w:hint="default"/>
      </w:rPr>
    </w:lvl>
    <w:lvl w:ilvl="5">
      <w:start w:val="0"/>
      <w:numFmt w:val="bullet"/>
      <w:lvlText w:val="•"/>
      <w:lvlJc w:val="left"/>
      <w:pPr>
        <w:ind w:left="618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7848" w:hanging="720"/>
      </w:pPr>
      <w:rPr>
        <w:rFonts w:hint="default"/>
      </w:rPr>
    </w:lvl>
  </w:abstractNum>
  <w:abstractNum w:abstractNumId="80">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76" w:hanging="720"/>
      </w:pPr>
      <w:rPr>
        <w:rFonts w:hint="default"/>
      </w:rPr>
    </w:lvl>
    <w:lvl w:ilvl="2">
      <w:start w:val="0"/>
      <w:numFmt w:val="bullet"/>
      <w:lvlText w:val="•"/>
      <w:lvlJc w:val="left"/>
      <w:pPr>
        <w:ind w:left="1932" w:hanging="720"/>
      </w:pPr>
      <w:rPr>
        <w:rFonts w:hint="default"/>
      </w:rPr>
    </w:lvl>
    <w:lvl w:ilvl="3">
      <w:start w:val="0"/>
      <w:numFmt w:val="bullet"/>
      <w:lvlText w:val="•"/>
      <w:lvlJc w:val="left"/>
      <w:pPr>
        <w:ind w:left="2488" w:hanging="720"/>
      </w:pPr>
      <w:rPr>
        <w:rFonts w:hint="default"/>
      </w:rPr>
    </w:lvl>
    <w:lvl w:ilvl="4">
      <w:start w:val="0"/>
      <w:numFmt w:val="bullet"/>
      <w:lvlText w:val="•"/>
      <w:lvlJc w:val="left"/>
      <w:pPr>
        <w:ind w:left="3044" w:hanging="720"/>
      </w:pPr>
      <w:rPr>
        <w:rFonts w:hint="default"/>
      </w:rPr>
    </w:lvl>
    <w:lvl w:ilvl="5">
      <w:start w:val="0"/>
      <w:numFmt w:val="bullet"/>
      <w:lvlText w:val="•"/>
      <w:lvlJc w:val="left"/>
      <w:pPr>
        <w:ind w:left="3600" w:hanging="720"/>
      </w:pPr>
      <w:rPr>
        <w:rFonts w:hint="default"/>
      </w:rPr>
    </w:lvl>
    <w:lvl w:ilvl="6">
      <w:start w:val="0"/>
      <w:numFmt w:val="bullet"/>
      <w:lvlText w:val="•"/>
      <w:lvlJc w:val="left"/>
      <w:pPr>
        <w:ind w:left="4156" w:hanging="720"/>
      </w:pPr>
      <w:rPr>
        <w:rFonts w:hint="default"/>
      </w:rPr>
    </w:lvl>
    <w:lvl w:ilvl="7">
      <w:start w:val="0"/>
      <w:numFmt w:val="bullet"/>
      <w:lvlText w:val="•"/>
      <w:lvlJc w:val="left"/>
      <w:pPr>
        <w:ind w:left="4712" w:hanging="720"/>
      </w:pPr>
      <w:rPr>
        <w:rFonts w:hint="default"/>
      </w:rPr>
    </w:lvl>
    <w:lvl w:ilvl="8">
      <w:start w:val="0"/>
      <w:numFmt w:val="bullet"/>
      <w:lvlText w:val="•"/>
      <w:lvlJc w:val="left"/>
      <w:pPr>
        <w:ind w:left="5268" w:hanging="720"/>
      </w:pPr>
      <w:rPr>
        <w:rFonts w:hint="default"/>
      </w:rPr>
    </w:lvl>
  </w:abstractNum>
  <w:abstractNum w:abstractNumId="79">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76" w:hanging="720"/>
      </w:pPr>
      <w:rPr>
        <w:rFonts w:hint="default"/>
      </w:rPr>
    </w:lvl>
    <w:lvl w:ilvl="2">
      <w:start w:val="0"/>
      <w:numFmt w:val="bullet"/>
      <w:lvlText w:val="•"/>
      <w:lvlJc w:val="left"/>
      <w:pPr>
        <w:ind w:left="1932" w:hanging="720"/>
      </w:pPr>
      <w:rPr>
        <w:rFonts w:hint="default"/>
      </w:rPr>
    </w:lvl>
    <w:lvl w:ilvl="3">
      <w:start w:val="0"/>
      <w:numFmt w:val="bullet"/>
      <w:lvlText w:val="•"/>
      <w:lvlJc w:val="left"/>
      <w:pPr>
        <w:ind w:left="2488" w:hanging="720"/>
      </w:pPr>
      <w:rPr>
        <w:rFonts w:hint="default"/>
      </w:rPr>
    </w:lvl>
    <w:lvl w:ilvl="4">
      <w:start w:val="0"/>
      <w:numFmt w:val="bullet"/>
      <w:lvlText w:val="•"/>
      <w:lvlJc w:val="left"/>
      <w:pPr>
        <w:ind w:left="3044" w:hanging="720"/>
      </w:pPr>
      <w:rPr>
        <w:rFonts w:hint="default"/>
      </w:rPr>
    </w:lvl>
    <w:lvl w:ilvl="5">
      <w:start w:val="0"/>
      <w:numFmt w:val="bullet"/>
      <w:lvlText w:val="•"/>
      <w:lvlJc w:val="left"/>
      <w:pPr>
        <w:ind w:left="3600" w:hanging="720"/>
      </w:pPr>
      <w:rPr>
        <w:rFonts w:hint="default"/>
      </w:rPr>
    </w:lvl>
    <w:lvl w:ilvl="6">
      <w:start w:val="0"/>
      <w:numFmt w:val="bullet"/>
      <w:lvlText w:val="•"/>
      <w:lvlJc w:val="left"/>
      <w:pPr>
        <w:ind w:left="4156" w:hanging="720"/>
      </w:pPr>
      <w:rPr>
        <w:rFonts w:hint="default"/>
      </w:rPr>
    </w:lvl>
    <w:lvl w:ilvl="7">
      <w:start w:val="0"/>
      <w:numFmt w:val="bullet"/>
      <w:lvlText w:val="•"/>
      <w:lvlJc w:val="left"/>
      <w:pPr>
        <w:ind w:left="4712" w:hanging="720"/>
      </w:pPr>
      <w:rPr>
        <w:rFonts w:hint="default"/>
      </w:rPr>
    </w:lvl>
    <w:lvl w:ilvl="8">
      <w:start w:val="0"/>
      <w:numFmt w:val="bullet"/>
      <w:lvlText w:val="•"/>
      <w:lvlJc w:val="left"/>
      <w:pPr>
        <w:ind w:left="5268" w:hanging="720"/>
      </w:pPr>
      <w:rPr>
        <w:rFonts w:hint="default"/>
      </w:rPr>
    </w:lvl>
  </w:abstractNum>
  <w:abstractNum w:abstractNumId="78">
    <w:multiLevelType w:val="hybridMultilevel"/>
    <w:lvl w:ilvl="0">
      <w:start w:val="10"/>
      <w:numFmt w:val="decimal"/>
      <w:lvlText w:val="%1"/>
      <w:lvlJc w:val="left"/>
      <w:pPr>
        <w:ind w:left="906" w:hanging="747"/>
        <w:jc w:val="left"/>
      </w:pPr>
      <w:rPr>
        <w:rFonts w:hint="default"/>
      </w:rPr>
    </w:lvl>
    <w:lvl w:ilvl="1">
      <w:start w:val="44"/>
      <w:numFmt w:val="decimal"/>
      <w:lvlText w:val="%1.%2"/>
      <w:lvlJc w:val="left"/>
      <w:pPr>
        <w:ind w:left="2680" w:hanging="747"/>
        <w:jc w:val="left"/>
      </w:pPr>
      <w:rPr>
        <w:rFonts w:hint="default" w:ascii="宋体" w:hAnsi="宋体" w:eastAsia="宋体" w:cs="宋体"/>
        <w:b/>
        <w:bCs/>
        <w:spacing w:val="0"/>
        <w:w w:val="98"/>
        <w:sz w:val="21"/>
        <w:szCs w:val="21"/>
      </w:rPr>
    </w:lvl>
    <w:lvl w:ilvl="2">
      <w:start w:val="1"/>
      <w:numFmt w:val="decimal"/>
      <w:lvlText w:val="（%3）"/>
      <w:lvlJc w:val="left"/>
      <w:pPr>
        <w:ind w:left="3400" w:hanging="720"/>
        <w:jc w:val="left"/>
      </w:pPr>
      <w:rPr>
        <w:rFonts w:hint="default" w:ascii="宋体" w:hAnsi="宋体" w:eastAsia="宋体" w:cs="宋体"/>
        <w:spacing w:val="-1"/>
        <w:w w:val="99"/>
        <w:sz w:val="21"/>
        <w:szCs w:val="21"/>
      </w:rPr>
    </w:lvl>
    <w:lvl w:ilvl="3">
      <w:start w:val="0"/>
      <w:numFmt w:val="bullet"/>
      <w:lvlText w:val="•"/>
      <w:lvlJc w:val="left"/>
      <w:pPr>
        <w:ind w:left="4087" w:hanging="720"/>
      </w:pPr>
      <w:rPr>
        <w:rFonts w:hint="default"/>
      </w:rPr>
    </w:lvl>
    <w:lvl w:ilvl="4">
      <w:start w:val="0"/>
      <w:numFmt w:val="bullet"/>
      <w:lvlText w:val="•"/>
      <w:lvlJc w:val="left"/>
      <w:pPr>
        <w:ind w:left="4775" w:hanging="720"/>
      </w:pPr>
      <w:rPr>
        <w:rFonts w:hint="default"/>
      </w:rPr>
    </w:lvl>
    <w:lvl w:ilvl="5">
      <w:start w:val="0"/>
      <w:numFmt w:val="bullet"/>
      <w:lvlText w:val="•"/>
      <w:lvlJc w:val="left"/>
      <w:pPr>
        <w:ind w:left="5462" w:hanging="720"/>
      </w:pPr>
      <w:rPr>
        <w:rFonts w:hint="default"/>
      </w:rPr>
    </w:lvl>
    <w:lvl w:ilvl="6">
      <w:start w:val="0"/>
      <w:numFmt w:val="bullet"/>
      <w:lvlText w:val="•"/>
      <w:lvlJc w:val="left"/>
      <w:pPr>
        <w:ind w:left="6150" w:hanging="720"/>
      </w:pPr>
      <w:rPr>
        <w:rFonts w:hint="default"/>
      </w:rPr>
    </w:lvl>
    <w:lvl w:ilvl="7">
      <w:start w:val="0"/>
      <w:numFmt w:val="bullet"/>
      <w:lvlText w:val="•"/>
      <w:lvlJc w:val="left"/>
      <w:pPr>
        <w:ind w:left="6837" w:hanging="720"/>
      </w:pPr>
      <w:rPr>
        <w:rFonts w:hint="default"/>
      </w:rPr>
    </w:lvl>
    <w:lvl w:ilvl="8">
      <w:start w:val="0"/>
      <w:numFmt w:val="bullet"/>
      <w:lvlText w:val="•"/>
      <w:lvlJc w:val="left"/>
      <w:pPr>
        <w:ind w:left="7525" w:hanging="720"/>
      </w:pPr>
      <w:rPr>
        <w:rFonts w:hint="default"/>
      </w:rPr>
    </w:lvl>
  </w:abstractNum>
  <w:abstractNum w:abstractNumId="77">
    <w:multiLevelType w:val="hybridMultilevel"/>
    <w:lvl w:ilvl="0">
      <w:start w:val="1"/>
      <w:numFmt w:val="decimal"/>
      <w:lvlText w:val="（%1）"/>
      <w:lvlJc w:val="left"/>
      <w:pPr>
        <w:ind w:left="880" w:hanging="720"/>
        <w:jc w:val="left"/>
      </w:pPr>
      <w:rPr>
        <w:rFonts w:hint="default" w:ascii="宋体" w:hAnsi="宋体" w:eastAsia="宋体" w:cs="宋体"/>
        <w:spacing w:val="-1"/>
        <w:w w:val="99"/>
        <w:sz w:val="21"/>
        <w:szCs w:val="21"/>
      </w:rPr>
    </w:lvl>
    <w:lvl w:ilvl="1">
      <w:start w:val="1"/>
      <w:numFmt w:val="decimal"/>
      <w:lvlText w:val="（%2）"/>
      <w:lvlJc w:val="left"/>
      <w:pPr>
        <w:ind w:left="1626" w:hanging="720"/>
        <w:jc w:val="left"/>
      </w:pPr>
      <w:rPr>
        <w:rFonts w:hint="default" w:ascii="宋体" w:hAnsi="宋体" w:eastAsia="宋体" w:cs="宋体"/>
        <w:spacing w:val="-1"/>
        <w:w w:val="99"/>
        <w:sz w:val="21"/>
        <w:szCs w:val="21"/>
      </w:rPr>
    </w:lvl>
    <w:lvl w:ilvl="2">
      <w:start w:val="1"/>
      <w:numFmt w:val="lowerLetter"/>
      <w:lvlText w:val="%3)"/>
      <w:lvlJc w:val="left"/>
      <w:pPr>
        <w:ind w:left="1746" w:hanging="420"/>
        <w:jc w:val="left"/>
      </w:pPr>
      <w:rPr>
        <w:rFonts w:hint="default" w:ascii="宋体" w:hAnsi="宋体" w:eastAsia="宋体" w:cs="宋体"/>
        <w:spacing w:val="0"/>
        <w:w w:val="99"/>
        <w:sz w:val="21"/>
        <w:szCs w:val="21"/>
      </w:rPr>
    </w:lvl>
    <w:lvl w:ilvl="3">
      <w:start w:val="0"/>
      <w:numFmt w:val="bullet"/>
      <w:lvlText w:val="•"/>
      <w:lvlJc w:val="left"/>
      <w:pPr>
        <w:ind w:left="2320" w:hanging="420"/>
      </w:pPr>
      <w:rPr>
        <w:rFonts w:hint="default"/>
      </w:rPr>
    </w:lvl>
    <w:lvl w:ilvl="4">
      <w:start w:val="0"/>
      <w:numFmt w:val="bullet"/>
      <w:lvlText w:val="•"/>
      <w:lvlJc w:val="left"/>
      <w:pPr>
        <w:ind w:left="2900" w:hanging="420"/>
      </w:pPr>
      <w:rPr>
        <w:rFonts w:hint="default"/>
      </w:rPr>
    </w:lvl>
    <w:lvl w:ilvl="5">
      <w:start w:val="0"/>
      <w:numFmt w:val="bullet"/>
      <w:lvlText w:val="•"/>
      <w:lvlJc w:val="left"/>
      <w:pPr>
        <w:ind w:left="3480" w:hanging="420"/>
      </w:pPr>
      <w:rPr>
        <w:rFonts w:hint="default"/>
      </w:rPr>
    </w:lvl>
    <w:lvl w:ilvl="6">
      <w:start w:val="0"/>
      <w:numFmt w:val="bullet"/>
      <w:lvlText w:val="•"/>
      <w:lvlJc w:val="left"/>
      <w:pPr>
        <w:ind w:left="4060" w:hanging="420"/>
      </w:pPr>
      <w:rPr>
        <w:rFonts w:hint="default"/>
      </w:rPr>
    </w:lvl>
    <w:lvl w:ilvl="7">
      <w:start w:val="0"/>
      <w:numFmt w:val="bullet"/>
      <w:lvlText w:val="•"/>
      <w:lvlJc w:val="left"/>
      <w:pPr>
        <w:ind w:left="4640" w:hanging="420"/>
      </w:pPr>
      <w:rPr>
        <w:rFonts w:hint="default"/>
      </w:rPr>
    </w:lvl>
    <w:lvl w:ilvl="8">
      <w:start w:val="0"/>
      <w:numFmt w:val="bullet"/>
      <w:lvlText w:val="•"/>
      <w:lvlJc w:val="left"/>
      <w:pPr>
        <w:ind w:left="5220" w:hanging="420"/>
      </w:pPr>
      <w:rPr>
        <w:rFonts w:hint="default"/>
      </w:rPr>
    </w:lvl>
  </w:abstractNum>
  <w:abstractNum w:abstractNumId="76">
    <w:multiLevelType w:val="hybridMultilevel"/>
    <w:lvl w:ilvl="0">
      <w:start w:val="1"/>
      <w:numFmt w:val="decimal"/>
      <w:lvlText w:val="（%1）"/>
      <w:lvlJc w:val="left"/>
      <w:pPr>
        <w:ind w:left="880" w:hanging="720"/>
        <w:jc w:val="left"/>
      </w:pPr>
      <w:rPr>
        <w:rFonts w:hint="default" w:ascii="宋体" w:hAnsi="宋体" w:eastAsia="宋体" w:cs="宋体"/>
        <w:spacing w:val="-1"/>
        <w:w w:val="99"/>
        <w:sz w:val="21"/>
        <w:szCs w:val="21"/>
      </w:rPr>
    </w:lvl>
    <w:lvl w:ilvl="1">
      <w:start w:val="0"/>
      <w:numFmt w:val="bullet"/>
      <w:lvlText w:val="•"/>
      <w:lvlJc w:val="left"/>
      <w:pPr>
        <w:ind w:left="1430" w:hanging="720"/>
      </w:pPr>
      <w:rPr>
        <w:rFonts w:hint="default"/>
      </w:rPr>
    </w:lvl>
    <w:lvl w:ilvl="2">
      <w:start w:val="0"/>
      <w:numFmt w:val="bullet"/>
      <w:lvlText w:val="•"/>
      <w:lvlJc w:val="left"/>
      <w:pPr>
        <w:ind w:left="1980" w:hanging="720"/>
      </w:pPr>
      <w:rPr>
        <w:rFonts w:hint="default"/>
      </w:rPr>
    </w:lvl>
    <w:lvl w:ilvl="3">
      <w:start w:val="0"/>
      <w:numFmt w:val="bullet"/>
      <w:lvlText w:val="•"/>
      <w:lvlJc w:val="left"/>
      <w:pPr>
        <w:ind w:left="2530" w:hanging="720"/>
      </w:pPr>
      <w:rPr>
        <w:rFonts w:hint="default"/>
      </w:rPr>
    </w:lvl>
    <w:lvl w:ilvl="4">
      <w:start w:val="0"/>
      <w:numFmt w:val="bullet"/>
      <w:lvlText w:val="•"/>
      <w:lvlJc w:val="left"/>
      <w:pPr>
        <w:ind w:left="3080" w:hanging="720"/>
      </w:pPr>
      <w:rPr>
        <w:rFonts w:hint="default"/>
      </w:rPr>
    </w:lvl>
    <w:lvl w:ilvl="5">
      <w:start w:val="0"/>
      <w:numFmt w:val="bullet"/>
      <w:lvlText w:val="•"/>
      <w:lvlJc w:val="left"/>
      <w:pPr>
        <w:ind w:left="3630" w:hanging="720"/>
      </w:pPr>
      <w:rPr>
        <w:rFonts w:hint="default"/>
      </w:rPr>
    </w:lvl>
    <w:lvl w:ilvl="6">
      <w:start w:val="0"/>
      <w:numFmt w:val="bullet"/>
      <w:lvlText w:val="•"/>
      <w:lvlJc w:val="left"/>
      <w:pPr>
        <w:ind w:left="4180" w:hanging="720"/>
      </w:pPr>
      <w:rPr>
        <w:rFonts w:hint="default"/>
      </w:rPr>
    </w:lvl>
    <w:lvl w:ilvl="7">
      <w:start w:val="0"/>
      <w:numFmt w:val="bullet"/>
      <w:lvlText w:val="•"/>
      <w:lvlJc w:val="left"/>
      <w:pPr>
        <w:ind w:left="4730" w:hanging="720"/>
      </w:pPr>
      <w:rPr>
        <w:rFonts w:hint="default"/>
      </w:rPr>
    </w:lvl>
    <w:lvl w:ilvl="8">
      <w:start w:val="0"/>
      <w:numFmt w:val="bullet"/>
      <w:lvlText w:val="•"/>
      <w:lvlJc w:val="left"/>
      <w:pPr>
        <w:ind w:left="5280" w:hanging="720"/>
      </w:pPr>
      <w:rPr>
        <w:rFonts w:hint="default"/>
      </w:rPr>
    </w:lvl>
  </w:abstractNum>
  <w:abstractNum w:abstractNumId="75">
    <w:multiLevelType w:val="hybridMultilevel"/>
    <w:lvl w:ilvl="0">
      <w:start w:val="1"/>
      <w:numFmt w:val="decimal"/>
      <w:lvlText w:val="（%1）"/>
      <w:lvlJc w:val="left"/>
      <w:pPr>
        <w:ind w:left="880" w:hanging="720"/>
        <w:jc w:val="left"/>
      </w:pPr>
      <w:rPr>
        <w:rFonts w:hint="default" w:ascii="宋体" w:hAnsi="宋体" w:eastAsia="宋体" w:cs="宋体"/>
        <w:spacing w:val="-1"/>
        <w:w w:val="99"/>
        <w:sz w:val="21"/>
        <w:szCs w:val="21"/>
      </w:rPr>
    </w:lvl>
    <w:lvl w:ilvl="1">
      <w:start w:val="0"/>
      <w:numFmt w:val="bullet"/>
      <w:lvlText w:val="•"/>
      <w:lvlJc w:val="left"/>
      <w:pPr>
        <w:ind w:left="1430" w:hanging="720"/>
      </w:pPr>
      <w:rPr>
        <w:rFonts w:hint="default"/>
      </w:rPr>
    </w:lvl>
    <w:lvl w:ilvl="2">
      <w:start w:val="0"/>
      <w:numFmt w:val="bullet"/>
      <w:lvlText w:val="•"/>
      <w:lvlJc w:val="left"/>
      <w:pPr>
        <w:ind w:left="1980" w:hanging="720"/>
      </w:pPr>
      <w:rPr>
        <w:rFonts w:hint="default"/>
      </w:rPr>
    </w:lvl>
    <w:lvl w:ilvl="3">
      <w:start w:val="0"/>
      <w:numFmt w:val="bullet"/>
      <w:lvlText w:val="•"/>
      <w:lvlJc w:val="left"/>
      <w:pPr>
        <w:ind w:left="2530" w:hanging="720"/>
      </w:pPr>
      <w:rPr>
        <w:rFonts w:hint="default"/>
      </w:rPr>
    </w:lvl>
    <w:lvl w:ilvl="4">
      <w:start w:val="0"/>
      <w:numFmt w:val="bullet"/>
      <w:lvlText w:val="•"/>
      <w:lvlJc w:val="left"/>
      <w:pPr>
        <w:ind w:left="3080" w:hanging="720"/>
      </w:pPr>
      <w:rPr>
        <w:rFonts w:hint="default"/>
      </w:rPr>
    </w:lvl>
    <w:lvl w:ilvl="5">
      <w:start w:val="0"/>
      <w:numFmt w:val="bullet"/>
      <w:lvlText w:val="•"/>
      <w:lvlJc w:val="left"/>
      <w:pPr>
        <w:ind w:left="3630" w:hanging="720"/>
      </w:pPr>
      <w:rPr>
        <w:rFonts w:hint="default"/>
      </w:rPr>
    </w:lvl>
    <w:lvl w:ilvl="6">
      <w:start w:val="0"/>
      <w:numFmt w:val="bullet"/>
      <w:lvlText w:val="•"/>
      <w:lvlJc w:val="left"/>
      <w:pPr>
        <w:ind w:left="4180" w:hanging="720"/>
      </w:pPr>
      <w:rPr>
        <w:rFonts w:hint="default"/>
      </w:rPr>
    </w:lvl>
    <w:lvl w:ilvl="7">
      <w:start w:val="0"/>
      <w:numFmt w:val="bullet"/>
      <w:lvlText w:val="•"/>
      <w:lvlJc w:val="left"/>
      <w:pPr>
        <w:ind w:left="4730" w:hanging="720"/>
      </w:pPr>
      <w:rPr>
        <w:rFonts w:hint="default"/>
      </w:rPr>
    </w:lvl>
    <w:lvl w:ilvl="8">
      <w:start w:val="0"/>
      <w:numFmt w:val="bullet"/>
      <w:lvlText w:val="•"/>
      <w:lvlJc w:val="left"/>
      <w:pPr>
        <w:ind w:left="5280" w:hanging="720"/>
      </w:pPr>
      <w:rPr>
        <w:rFonts w:hint="default"/>
      </w:rPr>
    </w:lvl>
  </w:abstractNum>
  <w:abstractNum w:abstractNumId="74">
    <w:multiLevelType w:val="hybridMultilevel"/>
    <w:lvl w:ilvl="0">
      <w:start w:val="10"/>
      <w:numFmt w:val="decimal"/>
      <w:lvlText w:val="%1"/>
      <w:lvlJc w:val="left"/>
      <w:pPr>
        <w:ind w:left="2740" w:hanging="747"/>
        <w:jc w:val="left"/>
      </w:pPr>
      <w:rPr>
        <w:rFonts w:hint="default"/>
      </w:rPr>
    </w:lvl>
    <w:lvl w:ilvl="1">
      <w:start w:val="35"/>
      <w:numFmt w:val="decimal"/>
      <w:lvlText w:val="%1.%2"/>
      <w:lvlJc w:val="left"/>
      <w:pPr>
        <w:ind w:left="2740" w:hanging="747"/>
        <w:jc w:val="left"/>
      </w:pPr>
      <w:rPr>
        <w:rFonts w:hint="default" w:ascii="宋体" w:hAnsi="宋体" w:eastAsia="宋体" w:cs="宋体"/>
        <w:b/>
        <w:bCs/>
        <w:spacing w:val="0"/>
        <w:w w:val="98"/>
        <w:sz w:val="21"/>
        <w:szCs w:val="21"/>
      </w:rPr>
    </w:lvl>
    <w:lvl w:ilvl="2">
      <w:start w:val="0"/>
      <w:numFmt w:val="bullet"/>
      <w:lvlText w:val="•"/>
      <w:lvlJc w:val="left"/>
      <w:pPr>
        <w:ind w:left="3984" w:hanging="747"/>
      </w:pPr>
      <w:rPr>
        <w:rFonts w:hint="default"/>
      </w:rPr>
    </w:lvl>
    <w:lvl w:ilvl="3">
      <w:start w:val="0"/>
      <w:numFmt w:val="bullet"/>
      <w:lvlText w:val="•"/>
      <w:lvlJc w:val="left"/>
      <w:pPr>
        <w:ind w:left="4606" w:hanging="747"/>
      </w:pPr>
      <w:rPr>
        <w:rFonts w:hint="default"/>
      </w:rPr>
    </w:lvl>
    <w:lvl w:ilvl="4">
      <w:start w:val="0"/>
      <w:numFmt w:val="bullet"/>
      <w:lvlText w:val="•"/>
      <w:lvlJc w:val="left"/>
      <w:pPr>
        <w:ind w:left="5228" w:hanging="747"/>
      </w:pPr>
      <w:rPr>
        <w:rFonts w:hint="default"/>
      </w:rPr>
    </w:lvl>
    <w:lvl w:ilvl="5">
      <w:start w:val="0"/>
      <w:numFmt w:val="bullet"/>
      <w:lvlText w:val="•"/>
      <w:lvlJc w:val="left"/>
      <w:pPr>
        <w:ind w:left="5850" w:hanging="747"/>
      </w:pPr>
      <w:rPr>
        <w:rFonts w:hint="default"/>
      </w:rPr>
    </w:lvl>
    <w:lvl w:ilvl="6">
      <w:start w:val="0"/>
      <w:numFmt w:val="bullet"/>
      <w:lvlText w:val="•"/>
      <w:lvlJc w:val="left"/>
      <w:pPr>
        <w:ind w:left="6472" w:hanging="747"/>
      </w:pPr>
      <w:rPr>
        <w:rFonts w:hint="default"/>
      </w:rPr>
    </w:lvl>
    <w:lvl w:ilvl="7">
      <w:start w:val="0"/>
      <w:numFmt w:val="bullet"/>
      <w:lvlText w:val="•"/>
      <w:lvlJc w:val="left"/>
      <w:pPr>
        <w:ind w:left="7094" w:hanging="747"/>
      </w:pPr>
      <w:rPr>
        <w:rFonts w:hint="default"/>
      </w:rPr>
    </w:lvl>
    <w:lvl w:ilvl="8">
      <w:start w:val="0"/>
      <w:numFmt w:val="bullet"/>
      <w:lvlText w:val="•"/>
      <w:lvlJc w:val="left"/>
      <w:pPr>
        <w:ind w:left="7716" w:hanging="747"/>
      </w:pPr>
      <w:rPr>
        <w:rFonts w:hint="default"/>
      </w:rPr>
    </w:lvl>
  </w:abstractNum>
  <w:abstractNum w:abstractNumId="73">
    <w:multiLevelType w:val="hybridMultilevel"/>
    <w:lvl w:ilvl="0">
      <w:start w:val="1"/>
      <w:numFmt w:val="decimal"/>
      <w:lvlText w:val="（%1）"/>
      <w:lvlJc w:val="left"/>
      <w:pPr>
        <w:ind w:left="880" w:hanging="720"/>
        <w:jc w:val="left"/>
      </w:pPr>
      <w:rPr>
        <w:rFonts w:hint="default" w:ascii="宋体" w:hAnsi="宋体" w:eastAsia="宋体" w:cs="宋体"/>
        <w:spacing w:val="-1"/>
        <w:w w:val="99"/>
        <w:sz w:val="21"/>
        <w:szCs w:val="21"/>
      </w:rPr>
    </w:lvl>
    <w:lvl w:ilvl="1">
      <w:start w:val="0"/>
      <w:numFmt w:val="bullet"/>
      <w:lvlText w:val="•"/>
      <w:lvlJc w:val="left"/>
      <w:pPr>
        <w:ind w:left="3460" w:hanging="720"/>
      </w:pPr>
      <w:rPr>
        <w:rFonts w:hint="default"/>
      </w:rPr>
    </w:lvl>
    <w:lvl w:ilvl="2">
      <w:start w:val="0"/>
      <w:numFmt w:val="bullet"/>
      <w:lvlText w:val="•"/>
      <w:lvlJc w:val="left"/>
      <w:pPr>
        <w:ind w:left="3784" w:hanging="720"/>
      </w:pPr>
      <w:rPr>
        <w:rFonts w:hint="default"/>
      </w:rPr>
    </w:lvl>
    <w:lvl w:ilvl="3">
      <w:start w:val="0"/>
      <w:numFmt w:val="bullet"/>
      <w:lvlText w:val="•"/>
      <w:lvlJc w:val="left"/>
      <w:pPr>
        <w:ind w:left="4108" w:hanging="720"/>
      </w:pPr>
      <w:rPr>
        <w:rFonts w:hint="default"/>
      </w:rPr>
    </w:lvl>
    <w:lvl w:ilvl="4">
      <w:start w:val="0"/>
      <w:numFmt w:val="bullet"/>
      <w:lvlText w:val="•"/>
      <w:lvlJc w:val="left"/>
      <w:pPr>
        <w:ind w:left="4433" w:hanging="720"/>
      </w:pPr>
      <w:rPr>
        <w:rFonts w:hint="default"/>
      </w:rPr>
    </w:lvl>
    <w:lvl w:ilvl="5">
      <w:start w:val="0"/>
      <w:numFmt w:val="bullet"/>
      <w:lvlText w:val="•"/>
      <w:lvlJc w:val="left"/>
      <w:pPr>
        <w:ind w:left="4757" w:hanging="720"/>
      </w:pPr>
      <w:rPr>
        <w:rFonts w:hint="default"/>
      </w:rPr>
    </w:lvl>
    <w:lvl w:ilvl="6">
      <w:start w:val="0"/>
      <w:numFmt w:val="bullet"/>
      <w:lvlText w:val="•"/>
      <w:lvlJc w:val="left"/>
      <w:pPr>
        <w:ind w:left="5082" w:hanging="720"/>
      </w:pPr>
      <w:rPr>
        <w:rFonts w:hint="default"/>
      </w:rPr>
    </w:lvl>
    <w:lvl w:ilvl="7">
      <w:start w:val="0"/>
      <w:numFmt w:val="bullet"/>
      <w:lvlText w:val="•"/>
      <w:lvlJc w:val="left"/>
      <w:pPr>
        <w:ind w:left="5406" w:hanging="720"/>
      </w:pPr>
      <w:rPr>
        <w:rFonts w:hint="default"/>
      </w:rPr>
    </w:lvl>
    <w:lvl w:ilvl="8">
      <w:start w:val="0"/>
      <w:numFmt w:val="bullet"/>
      <w:lvlText w:val="•"/>
      <w:lvlJc w:val="left"/>
      <w:pPr>
        <w:ind w:left="5731" w:hanging="720"/>
      </w:pPr>
      <w:rPr>
        <w:rFonts w:hint="default"/>
      </w:rPr>
    </w:lvl>
  </w:abstractNum>
  <w:abstractNum w:abstractNumId="72">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48" w:hanging="720"/>
      </w:pPr>
      <w:rPr>
        <w:rFonts w:hint="default"/>
      </w:rPr>
    </w:lvl>
    <w:lvl w:ilvl="2">
      <w:start w:val="0"/>
      <w:numFmt w:val="bullet"/>
      <w:lvlText w:val="•"/>
      <w:lvlJc w:val="left"/>
      <w:pPr>
        <w:ind w:left="4496" w:hanging="720"/>
      </w:pPr>
      <w:rPr>
        <w:rFonts w:hint="default"/>
      </w:rPr>
    </w:lvl>
    <w:lvl w:ilvl="3">
      <w:start w:val="0"/>
      <w:numFmt w:val="bullet"/>
      <w:lvlText w:val="•"/>
      <w:lvlJc w:val="left"/>
      <w:pPr>
        <w:ind w:left="5044" w:hanging="720"/>
      </w:pPr>
      <w:rPr>
        <w:rFonts w:hint="default"/>
      </w:rPr>
    </w:lvl>
    <w:lvl w:ilvl="4">
      <w:start w:val="0"/>
      <w:numFmt w:val="bullet"/>
      <w:lvlText w:val="•"/>
      <w:lvlJc w:val="left"/>
      <w:pPr>
        <w:ind w:left="5592" w:hanging="720"/>
      </w:pPr>
      <w:rPr>
        <w:rFonts w:hint="default"/>
      </w:rPr>
    </w:lvl>
    <w:lvl w:ilvl="5">
      <w:start w:val="0"/>
      <w:numFmt w:val="bullet"/>
      <w:lvlText w:val="•"/>
      <w:lvlJc w:val="left"/>
      <w:pPr>
        <w:ind w:left="6140" w:hanging="720"/>
      </w:pPr>
      <w:rPr>
        <w:rFonts w:hint="default"/>
      </w:rPr>
    </w:lvl>
    <w:lvl w:ilvl="6">
      <w:start w:val="0"/>
      <w:numFmt w:val="bullet"/>
      <w:lvlText w:val="•"/>
      <w:lvlJc w:val="left"/>
      <w:pPr>
        <w:ind w:left="6688" w:hanging="720"/>
      </w:pPr>
      <w:rPr>
        <w:rFonts w:hint="default"/>
      </w:rPr>
    </w:lvl>
    <w:lvl w:ilvl="7">
      <w:start w:val="0"/>
      <w:numFmt w:val="bullet"/>
      <w:lvlText w:val="•"/>
      <w:lvlJc w:val="left"/>
      <w:pPr>
        <w:ind w:left="7236" w:hanging="720"/>
      </w:pPr>
      <w:rPr>
        <w:rFonts w:hint="default"/>
      </w:rPr>
    </w:lvl>
    <w:lvl w:ilvl="8">
      <w:start w:val="0"/>
      <w:numFmt w:val="bullet"/>
      <w:lvlText w:val="•"/>
      <w:lvlJc w:val="left"/>
      <w:pPr>
        <w:ind w:left="7784" w:hanging="720"/>
      </w:pPr>
      <w:rPr>
        <w:rFonts w:hint="default"/>
      </w:rPr>
    </w:lvl>
  </w:abstractNum>
  <w:abstractNum w:abstractNumId="71">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48" w:hanging="720"/>
      </w:pPr>
      <w:rPr>
        <w:rFonts w:hint="default"/>
      </w:rPr>
    </w:lvl>
    <w:lvl w:ilvl="2">
      <w:start w:val="0"/>
      <w:numFmt w:val="bullet"/>
      <w:lvlText w:val="•"/>
      <w:lvlJc w:val="left"/>
      <w:pPr>
        <w:ind w:left="4496" w:hanging="720"/>
      </w:pPr>
      <w:rPr>
        <w:rFonts w:hint="default"/>
      </w:rPr>
    </w:lvl>
    <w:lvl w:ilvl="3">
      <w:start w:val="0"/>
      <w:numFmt w:val="bullet"/>
      <w:lvlText w:val="•"/>
      <w:lvlJc w:val="left"/>
      <w:pPr>
        <w:ind w:left="5044" w:hanging="720"/>
      </w:pPr>
      <w:rPr>
        <w:rFonts w:hint="default"/>
      </w:rPr>
    </w:lvl>
    <w:lvl w:ilvl="4">
      <w:start w:val="0"/>
      <w:numFmt w:val="bullet"/>
      <w:lvlText w:val="•"/>
      <w:lvlJc w:val="left"/>
      <w:pPr>
        <w:ind w:left="5592" w:hanging="720"/>
      </w:pPr>
      <w:rPr>
        <w:rFonts w:hint="default"/>
      </w:rPr>
    </w:lvl>
    <w:lvl w:ilvl="5">
      <w:start w:val="0"/>
      <w:numFmt w:val="bullet"/>
      <w:lvlText w:val="•"/>
      <w:lvlJc w:val="left"/>
      <w:pPr>
        <w:ind w:left="6140" w:hanging="720"/>
      </w:pPr>
      <w:rPr>
        <w:rFonts w:hint="default"/>
      </w:rPr>
    </w:lvl>
    <w:lvl w:ilvl="6">
      <w:start w:val="0"/>
      <w:numFmt w:val="bullet"/>
      <w:lvlText w:val="•"/>
      <w:lvlJc w:val="left"/>
      <w:pPr>
        <w:ind w:left="6688" w:hanging="720"/>
      </w:pPr>
      <w:rPr>
        <w:rFonts w:hint="default"/>
      </w:rPr>
    </w:lvl>
    <w:lvl w:ilvl="7">
      <w:start w:val="0"/>
      <w:numFmt w:val="bullet"/>
      <w:lvlText w:val="•"/>
      <w:lvlJc w:val="left"/>
      <w:pPr>
        <w:ind w:left="7236" w:hanging="720"/>
      </w:pPr>
      <w:rPr>
        <w:rFonts w:hint="default"/>
      </w:rPr>
    </w:lvl>
    <w:lvl w:ilvl="8">
      <w:start w:val="0"/>
      <w:numFmt w:val="bullet"/>
      <w:lvlText w:val="•"/>
      <w:lvlJc w:val="left"/>
      <w:pPr>
        <w:ind w:left="7784" w:hanging="720"/>
      </w:pPr>
      <w:rPr>
        <w:rFonts w:hint="default"/>
      </w:rPr>
    </w:lvl>
  </w:abstractNum>
  <w:abstractNum w:abstractNumId="70">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8" w:hanging="720"/>
      </w:pPr>
      <w:rPr>
        <w:rFonts w:hint="default"/>
      </w:rPr>
    </w:lvl>
    <w:lvl w:ilvl="2">
      <w:start w:val="0"/>
      <w:numFmt w:val="bullet"/>
      <w:lvlText w:val="•"/>
      <w:lvlJc w:val="left"/>
      <w:pPr>
        <w:ind w:left="1916" w:hanging="720"/>
      </w:pPr>
      <w:rPr>
        <w:rFonts w:hint="default"/>
      </w:rPr>
    </w:lvl>
    <w:lvl w:ilvl="3">
      <w:start w:val="0"/>
      <w:numFmt w:val="bullet"/>
      <w:lvlText w:val="•"/>
      <w:lvlJc w:val="left"/>
      <w:pPr>
        <w:ind w:left="2464" w:hanging="720"/>
      </w:pPr>
      <w:rPr>
        <w:rFonts w:hint="default"/>
      </w:rPr>
    </w:lvl>
    <w:lvl w:ilvl="4">
      <w:start w:val="0"/>
      <w:numFmt w:val="bullet"/>
      <w:lvlText w:val="•"/>
      <w:lvlJc w:val="left"/>
      <w:pPr>
        <w:ind w:left="3012" w:hanging="720"/>
      </w:pPr>
      <w:rPr>
        <w:rFonts w:hint="default"/>
      </w:rPr>
    </w:lvl>
    <w:lvl w:ilvl="5">
      <w:start w:val="0"/>
      <w:numFmt w:val="bullet"/>
      <w:lvlText w:val="•"/>
      <w:lvlJc w:val="left"/>
      <w:pPr>
        <w:ind w:left="3560" w:hanging="720"/>
      </w:pPr>
      <w:rPr>
        <w:rFonts w:hint="default"/>
      </w:rPr>
    </w:lvl>
    <w:lvl w:ilvl="6">
      <w:start w:val="0"/>
      <w:numFmt w:val="bullet"/>
      <w:lvlText w:val="•"/>
      <w:lvlJc w:val="left"/>
      <w:pPr>
        <w:ind w:left="4108" w:hanging="720"/>
      </w:pPr>
      <w:rPr>
        <w:rFonts w:hint="default"/>
      </w:rPr>
    </w:lvl>
    <w:lvl w:ilvl="7">
      <w:start w:val="0"/>
      <w:numFmt w:val="bullet"/>
      <w:lvlText w:val="•"/>
      <w:lvlJc w:val="left"/>
      <w:pPr>
        <w:ind w:left="4656" w:hanging="720"/>
      </w:pPr>
      <w:rPr>
        <w:rFonts w:hint="default"/>
      </w:rPr>
    </w:lvl>
    <w:lvl w:ilvl="8">
      <w:start w:val="0"/>
      <w:numFmt w:val="bullet"/>
      <w:lvlText w:val="•"/>
      <w:lvlJc w:val="left"/>
      <w:pPr>
        <w:ind w:left="5204" w:hanging="720"/>
      </w:pPr>
      <w:rPr>
        <w:rFonts w:hint="default"/>
      </w:rPr>
    </w:lvl>
  </w:abstractNum>
  <w:abstractNum w:abstractNumId="69">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8" w:hanging="720"/>
      </w:pPr>
      <w:rPr>
        <w:rFonts w:hint="default"/>
      </w:rPr>
    </w:lvl>
    <w:lvl w:ilvl="2">
      <w:start w:val="0"/>
      <w:numFmt w:val="bullet"/>
      <w:lvlText w:val="•"/>
      <w:lvlJc w:val="left"/>
      <w:pPr>
        <w:ind w:left="1916" w:hanging="720"/>
      </w:pPr>
      <w:rPr>
        <w:rFonts w:hint="default"/>
      </w:rPr>
    </w:lvl>
    <w:lvl w:ilvl="3">
      <w:start w:val="0"/>
      <w:numFmt w:val="bullet"/>
      <w:lvlText w:val="•"/>
      <w:lvlJc w:val="left"/>
      <w:pPr>
        <w:ind w:left="2464" w:hanging="720"/>
      </w:pPr>
      <w:rPr>
        <w:rFonts w:hint="default"/>
      </w:rPr>
    </w:lvl>
    <w:lvl w:ilvl="4">
      <w:start w:val="0"/>
      <w:numFmt w:val="bullet"/>
      <w:lvlText w:val="•"/>
      <w:lvlJc w:val="left"/>
      <w:pPr>
        <w:ind w:left="3012" w:hanging="720"/>
      </w:pPr>
      <w:rPr>
        <w:rFonts w:hint="default"/>
      </w:rPr>
    </w:lvl>
    <w:lvl w:ilvl="5">
      <w:start w:val="0"/>
      <w:numFmt w:val="bullet"/>
      <w:lvlText w:val="•"/>
      <w:lvlJc w:val="left"/>
      <w:pPr>
        <w:ind w:left="3560" w:hanging="720"/>
      </w:pPr>
      <w:rPr>
        <w:rFonts w:hint="default"/>
      </w:rPr>
    </w:lvl>
    <w:lvl w:ilvl="6">
      <w:start w:val="0"/>
      <w:numFmt w:val="bullet"/>
      <w:lvlText w:val="•"/>
      <w:lvlJc w:val="left"/>
      <w:pPr>
        <w:ind w:left="4108" w:hanging="720"/>
      </w:pPr>
      <w:rPr>
        <w:rFonts w:hint="default"/>
      </w:rPr>
    </w:lvl>
    <w:lvl w:ilvl="7">
      <w:start w:val="0"/>
      <w:numFmt w:val="bullet"/>
      <w:lvlText w:val="•"/>
      <w:lvlJc w:val="left"/>
      <w:pPr>
        <w:ind w:left="4656" w:hanging="720"/>
      </w:pPr>
      <w:rPr>
        <w:rFonts w:hint="default"/>
      </w:rPr>
    </w:lvl>
    <w:lvl w:ilvl="8">
      <w:start w:val="0"/>
      <w:numFmt w:val="bullet"/>
      <w:lvlText w:val="•"/>
      <w:lvlJc w:val="left"/>
      <w:pPr>
        <w:ind w:left="5204" w:hanging="720"/>
      </w:pPr>
      <w:rPr>
        <w:rFonts w:hint="default"/>
      </w:rPr>
    </w:lvl>
  </w:abstractNum>
  <w:abstractNum w:abstractNumId="68">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8" w:hanging="720"/>
      </w:pPr>
      <w:rPr>
        <w:rFonts w:hint="default"/>
      </w:rPr>
    </w:lvl>
    <w:lvl w:ilvl="2">
      <w:start w:val="0"/>
      <w:numFmt w:val="bullet"/>
      <w:lvlText w:val="•"/>
      <w:lvlJc w:val="left"/>
      <w:pPr>
        <w:ind w:left="1916" w:hanging="720"/>
      </w:pPr>
      <w:rPr>
        <w:rFonts w:hint="default"/>
      </w:rPr>
    </w:lvl>
    <w:lvl w:ilvl="3">
      <w:start w:val="0"/>
      <w:numFmt w:val="bullet"/>
      <w:lvlText w:val="•"/>
      <w:lvlJc w:val="left"/>
      <w:pPr>
        <w:ind w:left="2464" w:hanging="720"/>
      </w:pPr>
      <w:rPr>
        <w:rFonts w:hint="default"/>
      </w:rPr>
    </w:lvl>
    <w:lvl w:ilvl="4">
      <w:start w:val="0"/>
      <w:numFmt w:val="bullet"/>
      <w:lvlText w:val="•"/>
      <w:lvlJc w:val="left"/>
      <w:pPr>
        <w:ind w:left="3012" w:hanging="720"/>
      </w:pPr>
      <w:rPr>
        <w:rFonts w:hint="default"/>
      </w:rPr>
    </w:lvl>
    <w:lvl w:ilvl="5">
      <w:start w:val="0"/>
      <w:numFmt w:val="bullet"/>
      <w:lvlText w:val="•"/>
      <w:lvlJc w:val="left"/>
      <w:pPr>
        <w:ind w:left="3560" w:hanging="720"/>
      </w:pPr>
      <w:rPr>
        <w:rFonts w:hint="default"/>
      </w:rPr>
    </w:lvl>
    <w:lvl w:ilvl="6">
      <w:start w:val="0"/>
      <w:numFmt w:val="bullet"/>
      <w:lvlText w:val="•"/>
      <w:lvlJc w:val="left"/>
      <w:pPr>
        <w:ind w:left="4108" w:hanging="720"/>
      </w:pPr>
      <w:rPr>
        <w:rFonts w:hint="default"/>
      </w:rPr>
    </w:lvl>
    <w:lvl w:ilvl="7">
      <w:start w:val="0"/>
      <w:numFmt w:val="bullet"/>
      <w:lvlText w:val="•"/>
      <w:lvlJc w:val="left"/>
      <w:pPr>
        <w:ind w:left="4656" w:hanging="720"/>
      </w:pPr>
      <w:rPr>
        <w:rFonts w:hint="default"/>
      </w:rPr>
    </w:lvl>
    <w:lvl w:ilvl="8">
      <w:start w:val="0"/>
      <w:numFmt w:val="bullet"/>
      <w:lvlText w:val="•"/>
      <w:lvlJc w:val="left"/>
      <w:pPr>
        <w:ind w:left="5204" w:hanging="720"/>
      </w:pPr>
      <w:rPr>
        <w:rFonts w:hint="default"/>
      </w:rPr>
    </w:lvl>
  </w:abstractNum>
  <w:abstractNum w:abstractNumId="67">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5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068" w:hanging="720"/>
      </w:pPr>
      <w:rPr>
        <w:rFonts w:hint="default"/>
      </w:rPr>
    </w:lvl>
    <w:lvl w:ilvl="4">
      <w:start w:val="0"/>
      <w:numFmt w:val="bullet"/>
      <w:lvlText w:val="•"/>
      <w:lvlJc w:val="left"/>
      <w:pPr>
        <w:ind w:left="5624" w:hanging="720"/>
      </w:pPr>
      <w:rPr>
        <w:rFonts w:hint="default"/>
      </w:rPr>
    </w:lvl>
    <w:lvl w:ilvl="5">
      <w:start w:val="0"/>
      <w:numFmt w:val="bullet"/>
      <w:lvlText w:val="•"/>
      <w:lvlJc w:val="left"/>
      <w:pPr>
        <w:ind w:left="618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7848" w:hanging="720"/>
      </w:pPr>
      <w:rPr>
        <w:rFonts w:hint="default"/>
      </w:rPr>
    </w:lvl>
  </w:abstractNum>
  <w:abstractNum w:abstractNumId="66">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76" w:hanging="720"/>
      </w:pPr>
      <w:rPr>
        <w:rFonts w:hint="default"/>
      </w:rPr>
    </w:lvl>
    <w:lvl w:ilvl="2">
      <w:start w:val="0"/>
      <w:numFmt w:val="bullet"/>
      <w:lvlText w:val="•"/>
      <w:lvlJc w:val="left"/>
      <w:pPr>
        <w:ind w:left="1932" w:hanging="720"/>
      </w:pPr>
      <w:rPr>
        <w:rFonts w:hint="default"/>
      </w:rPr>
    </w:lvl>
    <w:lvl w:ilvl="3">
      <w:start w:val="0"/>
      <w:numFmt w:val="bullet"/>
      <w:lvlText w:val="•"/>
      <w:lvlJc w:val="left"/>
      <w:pPr>
        <w:ind w:left="2488" w:hanging="720"/>
      </w:pPr>
      <w:rPr>
        <w:rFonts w:hint="default"/>
      </w:rPr>
    </w:lvl>
    <w:lvl w:ilvl="4">
      <w:start w:val="0"/>
      <w:numFmt w:val="bullet"/>
      <w:lvlText w:val="•"/>
      <w:lvlJc w:val="left"/>
      <w:pPr>
        <w:ind w:left="3044" w:hanging="720"/>
      </w:pPr>
      <w:rPr>
        <w:rFonts w:hint="default"/>
      </w:rPr>
    </w:lvl>
    <w:lvl w:ilvl="5">
      <w:start w:val="0"/>
      <w:numFmt w:val="bullet"/>
      <w:lvlText w:val="•"/>
      <w:lvlJc w:val="left"/>
      <w:pPr>
        <w:ind w:left="3600" w:hanging="720"/>
      </w:pPr>
      <w:rPr>
        <w:rFonts w:hint="default"/>
      </w:rPr>
    </w:lvl>
    <w:lvl w:ilvl="6">
      <w:start w:val="0"/>
      <w:numFmt w:val="bullet"/>
      <w:lvlText w:val="•"/>
      <w:lvlJc w:val="left"/>
      <w:pPr>
        <w:ind w:left="4156" w:hanging="720"/>
      </w:pPr>
      <w:rPr>
        <w:rFonts w:hint="default"/>
      </w:rPr>
    </w:lvl>
    <w:lvl w:ilvl="7">
      <w:start w:val="0"/>
      <w:numFmt w:val="bullet"/>
      <w:lvlText w:val="•"/>
      <w:lvlJc w:val="left"/>
      <w:pPr>
        <w:ind w:left="4712" w:hanging="720"/>
      </w:pPr>
      <w:rPr>
        <w:rFonts w:hint="default"/>
      </w:rPr>
    </w:lvl>
    <w:lvl w:ilvl="8">
      <w:start w:val="0"/>
      <w:numFmt w:val="bullet"/>
      <w:lvlText w:val="•"/>
      <w:lvlJc w:val="left"/>
      <w:pPr>
        <w:ind w:left="5268" w:hanging="720"/>
      </w:pPr>
      <w:rPr>
        <w:rFonts w:hint="default"/>
      </w:rPr>
    </w:lvl>
  </w:abstractNum>
  <w:abstractNum w:abstractNumId="65">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5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068" w:hanging="720"/>
      </w:pPr>
      <w:rPr>
        <w:rFonts w:hint="default"/>
      </w:rPr>
    </w:lvl>
    <w:lvl w:ilvl="4">
      <w:start w:val="0"/>
      <w:numFmt w:val="bullet"/>
      <w:lvlText w:val="•"/>
      <w:lvlJc w:val="left"/>
      <w:pPr>
        <w:ind w:left="5624" w:hanging="720"/>
      </w:pPr>
      <w:rPr>
        <w:rFonts w:hint="default"/>
      </w:rPr>
    </w:lvl>
    <w:lvl w:ilvl="5">
      <w:start w:val="0"/>
      <w:numFmt w:val="bullet"/>
      <w:lvlText w:val="•"/>
      <w:lvlJc w:val="left"/>
      <w:pPr>
        <w:ind w:left="618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7848" w:hanging="720"/>
      </w:pPr>
      <w:rPr>
        <w:rFonts w:hint="default"/>
      </w:rPr>
    </w:lvl>
  </w:abstractNum>
  <w:abstractNum w:abstractNumId="64">
    <w:multiLevelType w:val="hybridMultilevel"/>
    <w:lvl w:ilvl="0">
      <w:start w:val="1"/>
      <w:numFmt w:val="decimal"/>
      <w:lvlText w:val="（%1）"/>
      <w:lvlJc w:val="left"/>
      <w:pPr>
        <w:ind w:left="3400" w:hanging="720"/>
        <w:jc w:val="left"/>
      </w:pPr>
      <w:rPr>
        <w:rFonts w:hint="default" w:ascii="宋体" w:hAnsi="宋体" w:eastAsia="宋体" w:cs="宋体"/>
        <w:spacing w:val="-1"/>
        <w:w w:val="99"/>
        <w:sz w:val="21"/>
        <w:szCs w:val="21"/>
      </w:rPr>
    </w:lvl>
    <w:lvl w:ilvl="1">
      <w:start w:val="0"/>
      <w:numFmt w:val="bullet"/>
      <w:lvlText w:val="•"/>
      <w:lvlJc w:val="left"/>
      <w:pPr>
        <w:ind w:left="3956" w:hanging="720"/>
      </w:pPr>
      <w:rPr>
        <w:rFonts w:hint="default"/>
      </w:rPr>
    </w:lvl>
    <w:lvl w:ilvl="2">
      <w:start w:val="0"/>
      <w:numFmt w:val="bullet"/>
      <w:lvlText w:val="•"/>
      <w:lvlJc w:val="left"/>
      <w:pPr>
        <w:ind w:left="4512" w:hanging="720"/>
      </w:pPr>
      <w:rPr>
        <w:rFonts w:hint="default"/>
      </w:rPr>
    </w:lvl>
    <w:lvl w:ilvl="3">
      <w:start w:val="0"/>
      <w:numFmt w:val="bullet"/>
      <w:lvlText w:val="•"/>
      <w:lvlJc w:val="left"/>
      <w:pPr>
        <w:ind w:left="5068" w:hanging="720"/>
      </w:pPr>
      <w:rPr>
        <w:rFonts w:hint="default"/>
      </w:rPr>
    </w:lvl>
    <w:lvl w:ilvl="4">
      <w:start w:val="0"/>
      <w:numFmt w:val="bullet"/>
      <w:lvlText w:val="•"/>
      <w:lvlJc w:val="left"/>
      <w:pPr>
        <w:ind w:left="5624" w:hanging="720"/>
      </w:pPr>
      <w:rPr>
        <w:rFonts w:hint="default"/>
      </w:rPr>
    </w:lvl>
    <w:lvl w:ilvl="5">
      <w:start w:val="0"/>
      <w:numFmt w:val="bullet"/>
      <w:lvlText w:val="•"/>
      <w:lvlJc w:val="left"/>
      <w:pPr>
        <w:ind w:left="6180" w:hanging="720"/>
      </w:pPr>
      <w:rPr>
        <w:rFonts w:hint="default"/>
      </w:rPr>
    </w:lvl>
    <w:lvl w:ilvl="6">
      <w:start w:val="0"/>
      <w:numFmt w:val="bullet"/>
      <w:lvlText w:val="•"/>
      <w:lvlJc w:val="left"/>
      <w:pPr>
        <w:ind w:left="6736" w:hanging="720"/>
      </w:pPr>
      <w:rPr>
        <w:rFonts w:hint="default"/>
      </w:rPr>
    </w:lvl>
    <w:lvl w:ilvl="7">
      <w:start w:val="0"/>
      <w:numFmt w:val="bullet"/>
      <w:lvlText w:val="•"/>
      <w:lvlJc w:val="left"/>
      <w:pPr>
        <w:ind w:left="7292" w:hanging="720"/>
      </w:pPr>
      <w:rPr>
        <w:rFonts w:hint="default"/>
      </w:rPr>
    </w:lvl>
    <w:lvl w:ilvl="8">
      <w:start w:val="0"/>
      <w:numFmt w:val="bullet"/>
      <w:lvlText w:val="•"/>
      <w:lvlJc w:val="left"/>
      <w:pPr>
        <w:ind w:left="7848" w:hanging="720"/>
      </w:pPr>
      <w:rPr>
        <w:rFonts w:hint="default"/>
      </w:rPr>
    </w:lvl>
  </w:abstractNum>
  <w:abstractNum w:abstractNumId="63">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6" w:hanging="720"/>
      </w:pPr>
      <w:rPr>
        <w:rFonts w:hint="default"/>
      </w:rPr>
    </w:lvl>
    <w:lvl w:ilvl="2">
      <w:start w:val="0"/>
      <w:numFmt w:val="bullet"/>
      <w:lvlText w:val="•"/>
      <w:lvlJc w:val="left"/>
      <w:pPr>
        <w:ind w:left="1912" w:hanging="720"/>
      </w:pPr>
      <w:rPr>
        <w:rFonts w:hint="default"/>
      </w:rPr>
    </w:lvl>
    <w:lvl w:ilvl="3">
      <w:start w:val="0"/>
      <w:numFmt w:val="bullet"/>
      <w:lvlText w:val="•"/>
      <w:lvlJc w:val="left"/>
      <w:pPr>
        <w:ind w:left="2458" w:hanging="720"/>
      </w:pPr>
      <w:rPr>
        <w:rFonts w:hint="default"/>
      </w:rPr>
    </w:lvl>
    <w:lvl w:ilvl="4">
      <w:start w:val="0"/>
      <w:numFmt w:val="bullet"/>
      <w:lvlText w:val="•"/>
      <w:lvlJc w:val="left"/>
      <w:pPr>
        <w:ind w:left="3004" w:hanging="720"/>
      </w:pPr>
      <w:rPr>
        <w:rFonts w:hint="default"/>
      </w:rPr>
    </w:lvl>
    <w:lvl w:ilvl="5">
      <w:start w:val="0"/>
      <w:numFmt w:val="bullet"/>
      <w:lvlText w:val="•"/>
      <w:lvlJc w:val="left"/>
      <w:pPr>
        <w:ind w:left="3550" w:hanging="720"/>
      </w:pPr>
      <w:rPr>
        <w:rFonts w:hint="default"/>
      </w:rPr>
    </w:lvl>
    <w:lvl w:ilvl="6">
      <w:start w:val="0"/>
      <w:numFmt w:val="bullet"/>
      <w:lvlText w:val="•"/>
      <w:lvlJc w:val="left"/>
      <w:pPr>
        <w:ind w:left="4096" w:hanging="720"/>
      </w:pPr>
      <w:rPr>
        <w:rFonts w:hint="default"/>
      </w:rPr>
    </w:lvl>
    <w:lvl w:ilvl="7">
      <w:start w:val="0"/>
      <w:numFmt w:val="bullet"/>
      <w:lvlText w:val="•"/>
      <w:lvlJc w:val="left"/>
      <w:pPr>
        <w:ind w:left="4642" w:hanging="720"/>
      </w:pPr>
      <w:rPr>
        <w:rFonts w:hint="default"/>
      </w:rPr>
    </w:lvl>
    <w:lvl w:ilvl="8">
      <w:start w:val="0"/>
      <w:numFmt w:val="bullet"/>
      <w:lvlText w:val="•"/>
      <w:lvlJc w:val="left"/>
      <w:pPr>
        <w:ind w:left="5188" w:hanging="720"/>
      </w:pPr>
      <w:rPr>
        <w:rFonts w:hint="default"/>
      </w:rPr>
    </w:lvl>
  </w:abstractNum>
  <w:abstractNum w:abstractNumId="62">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6" w:hanging="720"/>
      </w:pPr>
      <w:rPr>
        <w:rFonts w:hint="default"/>
      </w:rPr>
    </w:lvl>
    <w:lvl w:ilvl="2">
      <w:start w:val="0"/>
      <w:numFmt w:val="bullet"/>
      <w:lvlText w:val="•"/>
      <w:lvlJc w:val="left"/>
      <w:pPr>
        <w:ind w:left="1912" w:hanging="720"/>
      </w:pPr>
      <w:rPr>
        <w:rFonts w:hint="default"/>
      </w:rPr>
    </w:lvl>
    <w:lvl w:ilvl="3">
      <w:start w:val="0"/>
      <w:numFmt w:val="bullet"/>
      <w:lvlText w:val="•"/>
      <w:lvlJc w:val="left"/>
      <w:pPr>
        <w:ind w:left="2458" w:hanging="720"/>
      </w:pPr>
      <w:rPr>
        <w:rFonts w:hint="default"/>
      </w:rPr>
    </w:lvl>
    <w:lvl w:ilvl="4">
      <w:start w:val="0"/>
      <w:numFmt w:val="bullet"/>
      <w:lvlText w:val="•"/>
      <w:lvlJc w:val="left"/>
      <w:pPr>
        <w:ind w:left="3004" w:hanging="720"/>
      </w:pPr>
      <w:rPr>
        <w:rFonts w:hint="default"/>
      </w:rPr>
    </w:lvl>
    <w:lvl w:ilvl="5">
      <w:start w:val="0"/>
      <w:numFmt w:val="bullet"/>
      <w:lvlText w:val="•"/>
      <w:lvlJc w:val="left"/>
      <w:pPr>
        <w:ind w:left="3550" w:hanging="720"/>
      </w:pPr>
      <w:rPr>
        <w:rFonts w:hint="default"/>
      </w:rPr>
    </w:lvl>
    <w:lvl w:ilvl="6">
      <w:start w:val="0"/>
      <w:numFmt w:val="bullet"/>
      <w:lvlText w:val="•"/>
      <w:lvlJc w:val="left"/>
      <w:pPr>
        <w:ind w:left="4096" w:hanging="720"/>
      </w:pPr>
      <w:rPr>
        <w:rFonts w:hint="default"/>
      </w:rPr>
    </w:lvl>
    <w:lvl w:ilvl="7">
      <w:start w:val="0"/>
      <w:numFmt w:val="bullet"/>
      <w:lvlText w:val="•"/>
      <w:lvlJc w:val="left"/>
      <w:pPr>
        <w:ind w:left="4642" w:hanging="720"/>
      </w:pPr>
      <w:rPr>
        <w:rFonts w:hint="default"/>
      </w:rPr>
    </w:lvl>
    <w:lvl w:ilvl="8">
      <w:start w:val="0"/>
      <w:numFmt w:val="bullet"/>
      <w:lvlText w:val="•"/>
      <w:lvlJc w:val="left"/>
      <w:pPr>
        <w:ind w:left="5188" w:hanging="720"/>
      </w:pPr>
      <w:rPr>
        <w:rFonts w:hint="default"/>
      </w:rPr>
    </w:lvl>
  </w:abstractNum>
  <w:abstractNum w:abstractNumId="61">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6" w:hanging="720"/>
      </w:pPr>
      <w:rPr>
        <w:rFonts w:hint="default"/>
      </w:rPr>
    </w:lvl>
    <w:lvl w:ilvl="2">
      <w:start w:val="0"/>
      <w:numFmt w:val="bullet"/>
      <w:lvlText w:val="•"/>
      <w:lvlJc w:val="left"/>
      <w:pPr>
        <w:ind w:left="1912" w:hanging="720"/>
      </w:pPr>
      <w:rPr>
        <w:rFonts w:hint="default"/>
      </w:rPr>
    </w:lvl>
    <w:lvl w:ilvl="3">
      <w:start w:val="0"/>
      <w:numFmt w:val="bullet"/>
      <w:lvlText w:val="•"/>
      <w:lvlJc w:val="left"/>
      <w:pPr>
        <w:ind w:left="2458" w:hanging="720"/>
      </w:pPr>
      <w:rPr>
        <w:rFonts w:hint="default"/>
      </w:rPr>
    </w:lvl>
    <w:lvl w:ilvl="4">
      <w:start w:val="0"/>
      <w:numFmt w:val="bullet"/>
      <w:lvlText w:val="•"/>
      <w:lvlJc w:val="left"/>
      <w:pPr>
        <w:ind w:left="3004" w:hanging="720"/>
      </w:pPr>
      <w:rPr>
        <w:rFonts w:hint="default"/>
      </w:rPr>
    </w:lvl>
    <w:lvl w:ilvl="5">
      <w:start w:val="0"/>
      <w:numFmt w:val="bullet"/>
      <w:lvlText w:val="•"/>
      <w:lvlJc w:val="left"/>
      <w:pPr>
        <w:ind w:left="3550" w:hanging="720"/>
      </w:pPr>
      <w:rPr>
        <w:rFonts w:hint="default"/>
      </w:rPr>
    </w:lvl>
    <w:lvl w:ilvl="6">
      <w:start w:val="0"/>
      <w:numFmt w:val="bullet"/>
      <w:lvlText w:val="•"/>
      <w:lvlJc w:val="left"/>
      <w:pPr>
        <w:ind w:left="4096" w:hanging="720"/>
      </w:pPr>
      <w:rPr>
        <w:rFonts w:hint="default"/>
      </w:rPr>
    </w:lvl>
    <w:lvl w:ilvl="7">
      <w:start w:val="0"/>
      <w:numFmt w:val="bullet"/>
      <w:lvlText w:val="•"/>
      <w:lvlJc w:val="left"/>
      <w:pPr>
        <w:ind w:left="4642" w:hanging="720"/>
      </w:pPr>
      <w:rPr>
        <w:rFonts w:hint="default"/>
      </w:rPr>
    </w:lvl>
    <w:lvl w:ilvl="8">
      <w:start w:val="0"/>
      <w:numFmt w:val="bullet"/>
      <w:lvlText w:val="•"/>
      <w:lvlJc w:val="left"/>
      <w:pPr>
        <w:ind w:left="5188" w:hanging="720"/>
      </w:pPr>
      <w:rPr>
        <w:rFonts w:hint="default"/>
      </w:rPr>
    </w:lvl>
  </w:abstractNum>
  <w:abstractNum w:abstractNumId="60">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66" w:hanging="720"/>
      </w:pPr>
      <w:rPr>
        <w:rFonts w:hint="default"/>
      </w:rPr>
    </w:lvl>
    <w:lvl w:ilvl="2">
      <w:start w:val="0"/>
      <w:numFmt w:val="bullet"/>
      <w:lvlText w:val="•"/>
      <w:lvlJc w:val="left"/>
      <w:pPr>
        <w:ind w:left="1912" w:hanging="720"/>
      </w:pPr>
      <w:rPr>
        <w:rFonts w:hint="default"/>
      </w:rPr>
    </w:lvl>
    <w:lvl w:ilvl="3">
      <w:start w:val="0"/>
      <w:numFmt w:val="bullet"/>
      <w:lvlText w:val="•"/>
      <w:lvlJc w:val="left"/>
      <w:pPr>
        <w:ind w:left="2458" w:hanging="720"/>
      </w:pPr>
      <w:rPr>
        <w:rFonts w:hint="default"/>
      </w:rPr>
    </w:lvl>
    <w:lvl w:ilvl="4">
      <w:start w:val="0"/>
      <w:numFmt w:val="bullet"/>
      <w:lvlText w:val="•"/>
      <w:lvlJc w:val="left"/>
      <w:pPr>
        <w:ind w:left="3004" w:hanging="720"/>
      </w:pPr>
      <w:rPr>
        <w:rFonts w:hint="default"/>
      </w:rPr>
    </w:lvl>
    <w:lvl w:ilvl="5">
      <w:start w:val="0"/>
      <w:numFmt w:val="bullet"/>
      <w:lvlText w:val="•"/>
      <w:lvlJc w:val="left"/>
      <w:pPr>
        <w:ind w:left="3550" w:hanging="720"/>
      </w:pPr>
      <w:rPr>
        <w:rFonts w:hint="default"/>
      </w:rPr>
    </w:lvl>
    <w:lvl w:ilvl="6">
      <w:start w:val="0"/>
      <w:numFmt w:val="bullet"/>
      <w:lvlText w:val="•"/>
      <w:lvlJc w:val="left"/>
      <w:pPr>
        <w:ind w:left="4096" w:hanging="720"/>
      </w:pPr>
      <w:rPr>
        <w:rFonts w:hint="default"/>
      </w:rPr>
    </w:lvl>
    <w:lvl w:ilvl="7">
      <w:start w:val="0"/>
      <w:numFmt w:val="bullet"/>
      <w:lvlText w:val="•"/>
      <w:lvlJc w:val="left"/>
      <w:pPr>
        <w:ind w:left="4642" w:hanging="720"/>
      </w:pPr>
      <w:rPr>
        <w:rFonts w:hint="default"/>
      </w:rPr>
    </w:lvl>
    <w:lvl w:ilvl="8">
      <w:start w:val="0"/>
      <w:numFmt w:val="bullet"/>
      <w:lvlText w:val="•"/>
      <w:lvlJc w:val="left"/>
      <w:pPr>
        <w:ind w:left="5188" w:hanging="720"/>
      </w:pPr>
      <w:rPr>
        <w:rFonts w:hint="default"/>
      </w:rPr>
    </w:lvl>
  </w:abstractNum>
  <w:abstractNum w:abstractNumId="59">
    <w:multiLevelType w:val="hybridMultilevel"/>
    <w:lvl w:ilvl="0">
      <w:start w:val="1"/>
      <w:numFmt w:val="decimal"/>
      <w:lvlText w:val="（%1）"/>
      <w:lvlJc w:val="left"/>
      <w:pPr>
        <w:ind w:left="940" w:hanging="720"/>
        <w:jc w:val="right"/>
      </w:pPr>
      <w:rPr>
        <w:rFonts w:hint="default" w:ascii="宋体" w:hAnsi="宋体" w:eastAsia="宋体" w:cs="宋体"/>
        <w:spacing w:val="-1"/>
        <w:w w:val="99"/>
        <w:sz w:val="21"/>
        <w:szCs w:val="21"/>
      </w:rPr>
    </w:lvl>
    <w:lvl w:ilvl="1">
      <w:start w:val="0"/>
      <w:numFmt w:val="bullet"/>
      <w:lvlText w:val="•"/>
      <w:lvlJc w:val="left"/>
      <w:pPr>
        <w:ind w:left="1496" w:hanging="720"/>
      </w:pPr>
      <w:rPr>
        <w:rFonts w:hint="default"/>
      </w:rPr>
    </w:lvl>
    <w:lvl w:ilvl="2">
      <w:start w:val="0"/>
      <w:numFmt w:val="bullet"/>
      <w:lvlText w:val="•"/>
      <w:lvlJc w:val="left"/>
      <w:pPr>
        <w:ind w:left="2052" w:hanging="720"/>
      </w:pPr>
      <w:rPr>
        <w:rFonts w:hint="default"/>
      </w:rPr>
    </w:lvl>
    <w:lvl w:ilvl="3">
      <w:start w:val="0"/>
      <w:numFmt w:val="bullet"/>
      <w:lvlText w:val="•"/>
      <w:lvlJc w:val="left"/>
      <w:pPr>
        <w:ind w:left="2608" w:hanging="720"/>
      </w:pPr>
      <w:rPr>
        <w:rFonts w:hint="default"/>
      </w:rPr>
    </w:lvl>
    <w:lvl w:ilvl="4">
      <w:start w:val="0"/>
      <w:numFmt w:val="bullet"/>
      <w:lvlText w:val="•"/>
      <w:lvlJc w:val="left"/>
      <w:pPr>
        <w:ind w:left="3164" w:hanging="720"/>
      </w:pPr>
      <w:rPr>
        <w:rFonts w:hint="default"/>
      </w:rPr>
    </w:lvl>
    <w:lvl w:ilvl="5">
      <w:start w:val="0"/>
      <w:numFmt w:val="bullet"/>
      <w:lvlText w:val="•"/>
      <w:lvlJc w:val="left"/>
      <w:pPr>
        <w:ind w:left="3720" w:hanging="720"/>
      </w:pPr>
      <w:rPr>
        <w:rFonts w:hint="default"/>
      </w:rPr>
    </w:lvl>
    <w:lvl w:ilvl="6">
      <w:start w:val="0"/>
      <w:numFmt w:val="bullet"/>
      <w:lvlText w:val="•"/>
      <w:lvlJc w:val="left"/>
      <w:pPr>
        <w:ind w:left="4276" w:hanging="720"/>
      </w:pPr>
      <w:rPr>
        <w:rFonts w:hint="default"/>
      </w:rPr>
    </w:lvl>
    <w:lvl w:ilvl="7">
      <w:start w:val="0"/>
      <w:numFmt w:val="bullet"/>
      <w:lvlText w:val="•"/>
      <w:lvlJc w:val="left"/>
      <w:pPr>
        <w:ind w:left="4832" w:hanging="720"/>
      </w:pPr>
      <w:rPr>
        <w:rFonts w:hint="default"/>
      </w:rPr>
    </w:lvl>
    <w:lvl w:ilvl="8">
      <w:start w:val="0"/>
      <w:numFmt w:val="bullet"/>
      <w:lvlText w:val="•"/>
      <w:lvlJc w:val="left"/>
      <w:pPr>
        <w:ind w:left="5388" w:hanging="720"/>
      </w:pPr>
      <w:rPr>
        <w:rFonts w:hint="default"/>
      </w:rPr>
    </w:lvl>
  </w:abstractNum>
  <w:abstractNum w:abstractNumId="58">
    <w:multiLevelType w:val="hybridMultilevel"/>
    <w:lvl w:ilvl="0">
      <w:start w:val="1"/>
      <w:numFmt w:val="decimal"/>
      <w:lvlText w:val="（%1）"/>
      <w:lvlJc w:val="left"/>
      <w:pPr>
        <w:ind w:left="893" w:hanging="720"/>
        <w:jc w:val="left"/>
      </w:pPr>
      <w:rPr>
        <w:rFonts w:hint="default" w:ascii="宋体" w:hAnsi="宋体" w:eastAsia="宋体" w:cs="宋体"/>
        <w:spacing w:val="-1"/>
        <w:w w:val="99"/>
        <w:sz w:val="21"/>
        <w:szCs w:val="21"/>
      </w:rPr>
    </w:lvl>
    <w:lvl w:ilvl="1">
      <w:start w:val="1"/>
      <w:numFmt w:val="lowerLetter"/>
      <w:lvlText w:val="%2)"/>
      <w:lvlJc w:val="left"/>
      <w:pPr>
        <w:ind w:left="1313" w:hanging="420"/>
        <w:jc w:val="left"/>
      </w:pPr>
      <w:rPr>
        <w:rFonts w:hint="default" w:ascii="宋体" w:hAnsi="宋体" w:eastAsia="宋体" w:cs="宋体"/>
        <w:spacing w:val="0"/>
        <w:w w:val="99"/>
        <w:sz w:val="21"/>
        <w:szCs w:val="21"/>
      </w:rPr>
    </w:lvl>
    <w:lvl w:ilvl="2">
      <w:start w:val="0"/>
      <w:numFmt w:val="bullet"/>
      <w:lvlText w:val="•"/>
      <w:lvlJc w:val="left"/>
      <w:pPr>
        <w:ind w:left="1890" w:hanging="420"/>
      </w:pPr>
      <w:rPr>
        <w:rFonts w:hint="default"/>
      </w:rPr>
    </w:lvl>
    <w:lvl w:ilvl="3">
      <w:start w:val="0"/>
      <w:numFmt w:val="bullet"/>
      <w:lvlText w:val="•"/>
      <w:lvlJc w:val="left"/>
      <w:pPr>
        <w:ind w:left="2460" w:hanging="420"/>
      </w:pPr>
      <w:rPr>
        <w:rFonts w:hint="default"/>
      </w:rPr>
    </w:lvl>
    <w:lvl w:ilvl="4">
      <w:start w:val="0"/>
      <w:numFmt w:val="bullet"/>
      <w:lvlText w:val="•"/>
      <w:lvlJc w:val="left"/>
      <w:pPr>
        <w:ind w:left="3031" w:hanging="420"/>
      </w:pPr>
      <w:rPr>
        <w:rFonts w:hint="default"/>
      </w:rPr>
    </w:lvl>
    <w:lvl w:ilvl="5">
      <w:start w:val="0"/>
      <w:numFmt w:val="bullet"/>
      <w:lvlText w:val="•"/>
      <w:lvlJc w:val="left"/>
      <w:pPr>
        <w:ind w:left="3601" w:hanging="420"/>
      </w:pPr>
      <w:rPr>
        <w:rFonts w:hint="default"/>
      </w:rPr>
    </w:lvl>
    <w:lvl w:ilvl="6">
      <w:start w:val="0"/>
      <w:numFmt w:val="bullet"/>
      <w:lvlText w:val="•"/>
      <w:lvlJc w:val="left"/>
      <w:pPr>
        <w:ind w:left="4171" w:hanging="420"/>
      </w:pPr>
      <w:rPr>
        <w:rFonts w:hint="default"/>
      </w:rPr>
    </w:lvl>
    <w:lvl w:ilvl="7">
      <w:start w:val="0"/>
      <w:numFmt w:val="bullet"/>
      <w:lvlText w:val="•"/>
      <w:lvlJc w:val="left"/>
      <w:pPr>
        <w:ind w:left="4742" w:hanging="420"/>
      </w:pPr>
      <w:rPr>
        <w:rFonts w:hint="default"/>
      </w:rPr>
    </w:lvl>
    <w:lvl w:ilvl="8">
      <w:start w:val="0"/>
      <w:numFmt w:val="bullet"/>
      <w:lvlText w:val="•"/>
      <w:lvlJc w:val="left"/>
      <w:pPr>
        <w:ind w:left="5312" w:hanging="420"/>
      </w:pPr>
      <w:rPr>
        <w:rFonts w:hint="default"/>
      </w:rPr>
    </w:lvl>
  </w:abstractNum>
  <w:abstractNum w:abstractNumId="57">
    <w:multiLevelType w:val="hybridMultilevel"/>
    <w:lvl w:ilvl="0">
      <w:start w:val="1"/>
      <w:numFmt w:val="decimal"/>
      <w:lvlText w:val="（%1）"/>
      <w:lvlJc w:val="left"/>
      <w:pPr>
        <w:ind w:left="893" w:hanging="720"/>
        <w:jc w:val="left"/>
      </w:pPr>
      <w:rPr>
        <w:rFonts w:hint="default" w:ascii="宋体" w:hAnsi="宋体" w:eastAsia="宋体" w:cs="宋体"/>
        <w:spacing w:val="-1"/>
        <w:w w:val="99"/>
        <w:sz w:val="21"/>
        <w:szCs w:val="21"/>
      </w:rPr>
    </w:lvl>
    <w:lvl w:ilvl="1">
      <w:start w:val="0"/>
      <w:numFmt w:val="bullet"/>
      <w:lvlText w:val="•"/>
      <w:lvlJc w:val="left"/>
      <w:pPr>
        <w:ind w:left="1455" w:hanging="720"/>
      </w:pPr>
      <w:rPr>
        <w:rFonts w:hint="default"/>
      </w:rPr>
    </w:lvl>
    <w:lvl w:ilvl="2">
      <w:start w:val="0"/>
      <w:numFmt w:val="bullet"/>
      <w:lvlText w:val="•"/>
      <w:lvlJc w:val="left"/>
      <w:pPr>
        <w:ind w:left="2010" w:hanging="720"/>
      </w:pPr>
      <w:rPr>
        <w:rFonts w:hint="default"/>
      </w:rPr>
    </w:lvl>
    <w:lvl w:ilvl="3">
      <w:start w:val="0"/>
      <w:numFmt w:val="bullet"/>
      <w:lvlText w:val="•"/>
      <w:lvlJc w:val="left"/>
      <w:pPr>
        <w:ind w:left="2566" w:hanging="720"/>
      </w:pPr>
      <w:rPr>
        <w:rFonts w:hint="default"/>
      </w:rPr>
    </w:lvl>
    <w:lvl w:ilvl="4">
      <w:start w:val="0"/>
      <w:numFmt w:val="bullet"/>
      <w:lvlText w:val="•"/>
      <w:lvlJc w:val="left"/>
      <w:pPr>
        <w:ind w:left="3121" w:hanging="720"/>
      </w:pPr>
      <w:rPr>
        <w:rFonts w:hint="default"/>
      </w:rPr>
    </w:lvl>
    <w:lvl w:ilvl="5">
      <w:start w:val="0"/>
      <w:numFmt w:val="bullet"/>
      <w:lvlText w:val="•"/>
      <w:lvlJc w:val="left"/>
      <w:pPr>
        <w:ind w:left="3676" w:hanging="720"/>
      </w:pPr>
      <w:rPr>
        <w:rFonts w:hint="default"/>
      </w:rPr>
    </w:lvl>
    <w:lvl w:ilvl="6">
      <w:start w:val="0"/>
      <w:numFmt w:val="bullet"/>
      <w:lvlText w:val="•"/>
      <w:lvlJc w:val="left"/>
      <w:pPr>
        <w:ind w:left="4232" w:hanging="720"/>
      </w:pPr>
      <w:rPr>
        <w:rFonts w:hint="default"/>
      </w:rPr>
    </w:lvl>
    <w:lvl w:ilvl="7">
      <w:start w:val="0"/>
      <w:numFmt w:val="bullet"/>
      <w:lvlText w:val="•"/>
      <w:lvlJc w:val="left"/>
      <w:pPr>
        <w:ind w:left="4787" w:hanging="720"/>
      </w:pPr>
      <w:rPr>
        <w:rFonts w:hint="default"/>
      </w:rPr>
    </w:lvl>
    <w:lvl w:ilvl="8">
      <w:start w:val="0"/>
      <w:numFmt w:val="bullet"/>
      <w:lvlText w:val="•"/>
      <w:lvlJc w:val="left"/>
      <w:pPr>
        <w:ind w:left="5342" w:hanging="720"/>
      </w:pPr>
      <w:rPr>
        <w:rFonts w:hint="default"/>
      </w:rPr>
    </w:lvl>
  </w:abstractNum>
  <w:abstractNum w:abstractNumId="56">
    <w:multiLevelType w:val="hybridMultilevel"/>
    <w:lvl w:ilvl="0">
      <w:start w:val="9"/>
      <w:numFmt w:val="decimal"/>
      <w:lvlText w:val="%1"/>
      <w:lvlJc w:val="left"/>
      <w:pPr>
        <w:ind w:left="966" w:hanging="747"/>
        <w:jc w:val="left"/>
      </w:pPr>
      <w:rPr>
        <w:rFonts w:hint="default"/>
      </w:rPr>
    </w:lvl>
    <w:lvl w:ilvl="1">
      <w:start w:val="97"/>
      <w:numFmt w:val="decimal"/>
      <w:lvlText w:val="%1.%2"/>
      <w:lvlJc w:val="left"/>
      <w:pPr>
        <w:ind w:left="2800" w:hanging="747"/>
        <w:jc w:val="left"/>
      </w:pPr>
      <w:rPr>
        <w:rFonts w:hint="default" w:ascii="宋体" w:hAnsi="宋体" w:eastAsia="宋体" w:cs="宋体"/>
        <w:b/>
        <w:bCs/>
        <w:spacing w:val="0"/>
        <w:w w:val="98"/>
        <w:sz w:val="21"/>
        <w:szCs w:val="21"/>
      </w:rPr>
    </w:lvl>
    <w:lvl w:ilvl="2">
      <w:start w:val="1"/>
      <w:numFmt w:val="decimal"/>
      <w:lvlText w:val="（%3）"/>
      <w:lvlJc w:val="left"/>
      <w:pPr>
        <w:ind w:left="3520" w:hanging="720"/>
        <w:jc w:val="left"/>
      </w:pPr>
      <w:rPr>
        <w:rFonts w:hint="default" w:ascii="宋体" w:hAnsi="宋体" w:eastAsia="宋体" w:cs="宋体"/>
        <w:spacing w:val="-1"/>
        <w:w w:val="99"/>
        <w:sz w:val="21"/>
        <w:szCs w:val="21"/>
      </w:rPr>
    </w:lvl>
    <w:lvl w:ilvl="3">
      <w:start w:val="0"/>
      <w:numFmt w:val="bullet"/>
      <w:lvlText w:val="•"/>
      <w:lvlJc w:val="left"/>
      <w:pPr>
        <w:ind w:left="3403" w:hanging="720"/>
      </w:pPr>
      <w:rPr>
        <w:rFonts w:hint="default"/>
      </w:rPr>
    </w:lvl>
    <w:lvl w:ilvl="4">
      <w:start w:val="0"/>
      <w:numFmt w:val="bullet"/>
      <w:lvlText w:val="•"/>
      <w:lvlJc w:val="left"/>
      <w:pPr>
        <w:ind w:left="3286" w:hanging="720"/>
      </w:pPr>
      <w:rPr>
        <w:rFonts w:hint="default"/>
      </w:rPr>
    </w:lvl>
    <w:lvl w:ilvl="5">
      <w:start w:val="0"/>
      <w:numFmt w:val="bullet"/>
      <w:lvlText w:val="•"/>
      <w:lvlJc w:val="left"/>
      <w:pPr>
        <w:ind w:left="3169" w:hanging="720"/>
      </w:pPr>
      <w:rPr>
        <w:rFonts w:hint="default"/>
      </w:rPr>
    </w:lvl>
    <w:lvl w:ilvl="6">
      <w:start w:val="0"/>
      <w:numFmt w:val="bullet"/>
      <w:lvlText w:val="•"/>
      <w:lvlJc w:val="left"/>
      <w:pPr>
        <w:ind w:left="3053" w:hanging="720"/>
      </w:pPr>
      <w:rPr>
        <w:rFonts w:hint="default"/>
      </w:rPr>
    </w:lvl>
    <w:lvl w:ilvl="7">
      <w:start w:val="0"/>
      <w:numFmt w:val="bullet"/>
      <w:lvlText w:val="•"/>
      <w:lvlJc w:val="left"/>
      <w:pPr>
        <w:ind w:left="2936" w:hanging="720"/>
      </w:pPr>
      <w:rPr>
        <w:rFonts w:hint="default"/>
      </w:rPr>
    </w:lvl>
    <w:lvl w:ilvl="8">
      <w:start w:val="0"/>
      <w:numFmt w:val="bullet"/>
      <w:lvlText w:val="•"/>
      <w:lvlJc w:val="left"/>
      <w:pPr>
        <w:ind w:left="2819" w:hanging="720"/>
      </w:pPr>
      <w:rPr>
        <w:rFonts w:hint="default"/>
      </w:rPr>
    </w:lvl>
  </w:abstractNum>
  <w:abstractNum w:abstractNumId="55">
    <w:multiLevelType w:val="hybridMultilevel"/>
    <w:lvl w:ilvl="0">
      <w:start w:val="9"/>
      <w:numFmt w:val="decimal"/>
      <w:lvlText w:val="%1"/>
      <w:lvlJc w:val="left"/>
      <w:pPr>
        <w:ind w:left="906" w:hanging="747"/>
        <w:jc w:val="left"/>
      </w:pPr>
      <w:rPr>
        <w:rFonts w:hint="default"/>
      </w:rPr>
    </w:lvl>
    <w:lvl w:ilvl="1">
      <w:start w:val="90"/>
      <w:numFmt w:val="decimal"/>
      <w:lvlText w:val="%1.%2"/>
      <w:lvlJc w:val="left"/>
      <w:pPr>
        <w:ind w:left="906" w:hanging="747"/>
        <w:jc w:val="left"/>
      </w:pPr>
      <w:rPr>
        <w:rFonts w:hint="default" w:ascii="宋体" w:hAnsi="宋体" w:eastAsia="宋体" w:cs="宋体"/>
        <w:b/>
        <w:bCs/>
        <w:spacing w:val="0"/>
        <w:w w:val="98"/>
        <w:sz w:val="21"/>
        <w:szCs w:val="21"/>
      </w:rPr>
    </w:lvl>
    <w:lvl w:ilvl="2">
      <w:start w:val="1"/>
      <w:numFmt w:val="decimal"/>
      <w:lvlText w:val="（%3）"/>
      <w:lvlJc w:val="left"/>
      <w:pPr>
        <w:ind w:left="1476" w:hanging="735"/>
        <w:jc w:val="left"/>
      </w:pPr>
      <w:rPr>
        <w:rFonts w:hint="default" w:ascii="宋体" w:hAnsi="宋体" w:eastAsia="宋体" w:cs="宋体"/>
        <w:spacing w:val="-1"/>
        <w:w w:val="99"/>
        <w:sz w:val="21"/>
        <w:szCs w:val="21"/>
      </w:rPr>
    </w:lvl>
    <w:lvl w:ilvl="3">
      <w:start w:val="0"/>
      <w:numFmt w:val="bullet"/>
      <w:lvlText w:val="•"/>
      <w:lvlJc w:val="left"/>
      <w:pPr>
        <w:ind w:left="1268" w:hanging="735"/>
      </w:pPr>
      <w:rPr>
        <w:rFonts w:hint="default"/>
      </w:rPr>
    </w:lvl>
    <w:lvl w:ilvl="4">
      <w:start w:val="0"/>
      <w:numFmt w:val="bullet"/>
      <w:lvlText w:val="•"/>
      <w:lvlJc w:val="left"/>
      <w:pPr>
        <w:ind w:left="1162" w:hanging="735"/>
      </w:pPr>
      <w:rPr>
        <w:rFonts w:hint="default"/>
      </w:rPr>
    </w:lvl>
    <w:lvl w:ilvl="5">
      <w:start w:val="0"/>
      <w:numFmt w:val="bullet"/>
      <w:lvlText w:val="•"/>
      <w:lvlJc w:val="left"/>
      <w:pPr>
        <w:ind w:left="1057" w:hanging="735"/>
      </w:pPr>
      <w:rPr>
        <w:rFonts w:hint="default"/>
      </w:rPr>
    </w:lvl>
    <w:lvl w:ilvl="6">
      <w:start w:val="0"/>
      <w:numFmt w:val="bullet"/>
      <w:lvlText w:val="•"/>
      <w:lvlJc w:val="left"/>
      <w:pPr>
        <w:ind w:left="951" w:hanging="735"/>
      </w:pPr>
      <w:rPr>
        <w:rFonts w:hint="default"/>
      </w:rPr>
    </w:lvl>
    <w:lvl w:ilvl="7">
      <w:start w:val="0"/>
      <w:numFmt w:val="bullet"/>
      <w:lvlText w:val="•"/>
      <w:lvlJc w:val="left"/>
      <w:pPr>
        <w:ind w:left="845" w:hanging="735"/>
      </w:pPr>
      <w:rPr>
        <w:rFonts w:hint="default"/>
      </w:rPr>
    </w:lvl>
    <w:lvl w:ilvl="8">
      <w:start w:val="0"/>
      <w:numFmt w:val="bullet"/>
      <w:lvlText w:val="•"/>
      <w:lvlJc w:val="left"/>
      <w:pPr>
        <w:ind w:left="740" w:hanging="735"/>
      </w:pPr>
      <w:rPr>
        <w:rFonts w:hint="default"/>
      </w:rPr>
    </w:lvl>
  </w:abstractNum>
  <w:abstractNum w:abstractNumId="54">
    <w:multiLevelType w:val="hybridMultilevel"/>
    <w:lvl w:ilvl="0">
      <w:start w:val="1"/>
      <w:numFmt w:val="decimal"/>
      <w:lvlText w:val="（%1）"/>
      <w:lvlJc w:val="left"/>
      <w:pPr>
        <w:ind w:left="894" w:hanging="735"/>
        <w:jc w:val="left"/>
      </w:pPr>
      <w:rPr>
        <w:rFonts w:hint="default" w:ascii="宋体" w:hAnsi="宋体" w:eastAsia="宋体" w:cs="宋体"/>
        <w:spacing w:val="-1"/>
        <w:w w:val="99"/>
        <w:sz w:val="21"/>
        <w:szCs w:val="21"/>
      </w:rPr>
    </w:lvl>
    <w:lvl w:ilvl="1">
      <w:start w:val="1"/>
      <w:numFmt w:val="decimal"/>
      <w:lvlText w:val="（%2）"/>
      <w:lvlJc w:val="left"/>
      <w:pPr>
        <w:ind w:left="3474" w:hanging="735"/>
        <w:jc w:val="left"/>
      </w:pPr>
      <w:rPr>
        <w:rFonts w:hint="default" w:ascii="宋体" w:hAnsi="宋体" w:eastAsia="宋体" w:cs="宋体"/>
        <w:spacing w:val="-1"/>
        <w:w w:val="99"/>
        <w:sz w:val="21"/>
        <w:szCs w:val="21"/>
      </w:rPr>
    </w:lvl>
    <w:lvl w:ilvl="2">
      <w:start w:val="0"/>
      <w:numFmt w:val="bullet"/>
      <w:lvlText w:val="•"/>
      <w:lvlJc w:val="left"/>
      <w:pPr>
        <w:ind w:left="3802" w:hanging="735"/>
      </w:pPr>
      <w:rPr>
        <w:rFonts w:hint="default"/>
      </w:rPr>
    </w:lvl>
    <w:lvl w:ilvl="3">
      <w:start w:val="0"/>
      <w:numFmt w:val="bullet"/>
      <w:lvlText w:val="•"/>
      <w:lvlJc w:val="left"/>
      <w:pPr>
        <w:ind w:left="4124" w:hanging="735"/>
      </w:pPr>
      <w:rPr>
        <w:rFonts w:hint="default"/>
      </w:rPr>
    </w:lvl>
    <w:lvl w:ilvl="4">
      <w:start w:val="0"/>
      <w:numFmt w:val="bullet"/>
      <w:lvlText w:val="•"/>
      <w:lvlJc w:val="left"/>
      <w:pPr>
        <w:ind w:left="4446" w:hanging="735"/>
      </w:pPr>
      <w:rPr>
        <w:rFonts w:hint="default"/>
      </w:rPr>
    </w:lvl>
    <w:lvl w:ilvl="5">
      <w:start w:val="0"/>
      <w:numFmt w:val="bullet"/>
      <w:lvlText w:val="•"/>
      <w:lvlJc w:val="left"/>
      <w:pPr>
        <w:ind w:left="4768" w:hanging="735"/>
      </w:pPr>
      <w:rPr>
        <w:rFonts w:hint="default"/>
      </w:rPr>
    </w:lvl>
    <w:lvl w:ilvl="6">
      <w:start w:val="0"/>
      <w:numFmt w:val="bullet"/>
      <w:lvlText w:val="•"/>
      <w:lvlJc w:val="left"/>
      <w:pPr>
        <w:ind w:left="5091" w:hanging="735"/>
      </w:pPr>
      <w:rPr>
        <w:rFonts w:hint="default"/>
      </w:rPr>
    </w:lvl>
    <w:lvl w:ilvl="7">
      <w:start w:val="0"/>
      <w:numFmt w:val="bullet"/>
      <w:lvlText w:val="•"/>
      <w:lvlJc w:val="left"/>
      <w:pPr>
        <w:ind w:left="5413" w:hanging="735"/>
      </w:pPr>
      <w:rPr>
        <w:rFonts w:hint="default"/>
      </w:rPr>
    </w:lvl>
    <w:lvl w:ilvl="8">
      <w:start w:val="0"/>
      <w:numFmt w:val="bullet"/>
      <w:lvlText w:val="•"/>
      <w:lvlJc w:val="left"/>
      <w:pPr>
        <w:ind w:left="5735" w:hanging="735"/>
      </w:pPr>
      <w:rPr>
        <w:rFonts w:hint="default"/>
      </w:rPr>
    </w:lvl>
  </w:abstractNum>
  <w:abstractNum w:abstractNumId="53">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2"/>
      <w:numFmt w:val="decimal"/>
      <w:lvlText w:val="（%2）"/>
      <w:lvlJc w:val="left"/>
      <w:pPr>
        <w:ind w:left="3474" w:hanging="735"/>
        <w:jc w:val="left"/>
      </w:pPr>
      <w:rPr>
        <w:rFonts w:hint="default" w:ascii="宋体" w:hAnsi="宋体" w:eastAsia="宋体" w:cs="宋体"/>
        <w:spacing w:val="-1"/>
        <w:w w:val="99"/>
        <w:sz w:val="21"/>
        <w:szCs w:val="21"/>
      </w:rPr>
    </w:lvl>
    <w:lvl w:ilvl="2">
      <w:start w:val="1"/>
      <w:numFmt w:val="lowerLetter"/>
      <w:lvlText w:val="%3)"/>
      <w:lvlJc w:val="left"/>
      <w:pPr>
        <w:ind w:left="3580" w:hanging="420"/>
        <w:jc w:val="left"/>
      </w:pPr>
      <w:rPr>
        <w:rFonts w:hint="default" w:ascii="宋体" w:hAnsi="宋体" w:eastAsia="宋体" w:cs="宋体"/>
        <w:spacing w:val="0"/>
        <w:w w:val="99"/>
        <w:sz w:val="21"/>
        <w:szCs w:val="21"/>
      </w:rPr>
    </w:lvl>
    <w:lvl w:ilvl="3">
      <w:start w:val="0"/>
      <w:numFmt w:val="bullet"/>
      <w:lvlText w:val="•"/>
      <w:lvlJc w:val="left"/>
      <w:pPr>
        <w:ind w:left="3922" w:hanging="420"/>
      </w:pPr>
      <w:rPr>
        <w:rFonts w:hint="default"/>
      </w:rPr>
    </w:lvl>
    <w:lvl w:ilvl="4">
      <w:start w:val="0"/>
      <w:numFmt w:val="bullet"/>
      <w:lvlText w:val="•"/>
      <w:lvlJc w:val="left"/>
      <w:pPr>
        <w:ind w:left="4265" w:hanging="420"/>
      </w:pPr>
      <w:rPr>
        <w:rFonts w:hint="default"/>
      </w:rPr>
    </w:lvl>
    <w:lvl w:ilvl="5">
      <w:start w:val="0"/>
      <w:numFmt w:val="bullet"/>
      <w:lvlText w:val="•"/>
      <w:lvlJc w:val="left"/>
      <w:pPr>
        <w:ind w:left="4607" w:hanging="420"/>
      </w:pPr>
      <w:rPr>
        <w:rFonts w:hint="default"/>
      </w:rPr>
    </w:lvl>
    <w:lvl w:ilvl="6">
      <w:start w:val="0"/>
      <w:numFmt w:val="bullet"/>
      <w:lvlText w:val="•"/>
      <w:lvlJc w:val="left"/>
      <w:pPr>
        <w:ind w:left="4950" w:hanging="420"/>
      </w:pPr>
      <w:rPr>
        <w:rFonts w:hint="default"/>
      </w:rPr>
    </w:lvl>
    <w:lvl w:ilvl="7">
      <w:start w:val="0"/>
      <w:numFmt w:val="bullet"/>
      <w:lvlText w:val="•"/>
      <w:lvlJc w:val="left"/>
      <w:pPr>
        <w:ind w:left="5292" w:hanging="420"/>
      </w:pPr>
      <w:rPr>
        <w:rFonts w:hint="default"/>
      </w:rPr>
    </w:lvl>
    <w:lvl w:ilvl="8">
      <w:start w:val="0"/>
      <w:numFmt w:val="bullet"/>
      <w:lvlText w:val="•"/>
      <w:lvlJc w:val="left"/>
      <w:pPr>
        <w:ind w:left="5635" w:hanging="420"/>
      </w:pPr>
      <w:rPr>
        <w:rFonts w:hint="default"/>
      </w:rPr>
    </w:lvl>
  </w:abstractNum>
  <w:abstractNum w:abstractNumId="52">
    <w:multiLevelType w:val="hybridMultilevel"/>
    <w:lvl w:ilvl="0">
      <w:start w:val="1"/>
      <w:numFmt w:val="decimal"/>
      <w:lvlText w:val="（%1）"/>
      <w:lvlJc w:val="left"/>
      <w:pPr>
        <w:ind w:left="820" w:hanging="720"/>
        <w:jc w:val="left"/>
      </w:pPr>
      <w:rPr>
        <w:rFonts w:hint="default" w:ascii="宋体" w:hAnsi="宋体" w:eastAsia="宋体" w:cs="宋体"/>
        <w:spacing w:val="-1"/>
        <w:w w:val="99"/>
        <w:sz w:val="21"/>
        <w:szCs w:val="21"/>
      </w:rPr>
    </w:lvl>
    <w:lvl w:ilvl="1">
      <w:start w:val="0"/>
      <w:numFmt w:val="bullet"/>
      <w:lvlText w:val="•"/>
      <w:lvlJc w:val="left"/>
      <w:pPr>
        <w:ind w:left="1376" w:hanging="720"/>
      </w:pPr>
      <w:rPr>
        <w:rFonts w:hint="default"/>
      </w:rPr>
    </w:lvl>
    <w:lvl w:ilvl="2">
      <w:start w:val="0"/>
      <w:numFmt w:val="bullet"/>
      <w:lvlText w:val="•"/>
      <w:lvlJc w:val="left"/>
      <w:pPr>
        <w:ind w:left="1932" w:hanging="720"/>
      </w:pPr>
      <w:rPr>
        <w:rFonts w:hint="default"/>
      </w:rPr>
    </w:lvl>
    <w:lvl w:ilvl="3">
      <w:start w:val="0"/>
      <w:numFmt w:val="bullet"/>
      <w:lvlText w:val="•"/>
      <w:lvlJc w:val="left"/>
      <w:pPr>
        <w:ind w:left="2488" w:hanging="720"/>
      </w:pPr>
      <w:rPr>
        <w:rFonts w:hint="default"/>
      </w:rPr>
    </w:lvl>
    <w:lvl w:ilvl="4">
      <w:start w:val="0"/>
      <w:numFmt w:val="bullet"/>
      <w:lvlText w:val="•"/>
      <w:lvlJc w:val="left"/>
      <w:pPr>
        <w:ind w:left="3044" w:hanging="720"/>
      </w:pPr>
      <w:rPr>
        <w:rFonts w:hint="default"/>
      </w:rPr>
    </w:lvl>
    <w:lvl w:ilvl="5">
      <w:start w:val="0"/>
      <w:numFmt w:val="bullet"/>
      <w:lvlText w:val="•"/>
      <w:lvlJc w:val="left"/>
      <w:pPr>
        <w:ind w:left="3600" w:hanging="720"/>
      </w:pPr>
      <w:rPr>
        <w:rFonts w:hint="default"/>
      </w:rPr>
    </w:lvl>
    <w:lvl w:ilvl="6">
      <w:start w:val="0"/>
      <w:numFmt w:val="bullet"/>
      <w:lvlText w:val="•"/>
      <w:lvlJc w:val="left"/>
      <w:pPr>
        <w:ind w:left="4156" w:hanging="720"/>
      </w:pPr>
      <w:rPr>
        <w:rFonts w:hint="default"/>
      </w:rPr>
    </w:lvl>
    <w:lvl w:ilvl="7">
      <w:start w:val="0"/>
      <w:numFmt w:val="bullet"/>
      <w:lvlText w:val="•"/>
      <w:lvlJc w:val="left"/>
      <w:pPr>
        <w:ind w:left="4712" w:hanging="720"/>
      </w:pPr>
      <w:rPr>
        <w:rFonts w:hint="default"/>
      </w:rPr>
    </w:lvl>
    <w:lvl w:ilvl="8">
      <w:start w:val="0"/>
      <w:numFmt w:val="bullet"/>
      <w:lvlText w:val="•"/>
      <w:lvlJc w:val="left"/>
      <w:pPr>
        <w:ind w:left="5268" w:hanging="720"/>
      </w:pPr>
      <w:rPr>
        <w:rFonts w:hint="default"/>
      </w:rPr>
    </w:lvl>
  </w:abstractNum>
  <w:abstractNum w:abstractNumId="51">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0"/>
      <w:numFmt w:val="bullet"/>
      <w:lvlText w:val="•"/>
      <w:lvlJc w:val="left"/>
      <w:pPr>
        <w:ind w:left="1394" w:hanging="735"/>
      </w:pPr>
      <w:rPr>
        <w:rFonts w:hint="default"/>
      </w:rPr>
    </w:lvl>
    <w:lvl w:ilvl="2">
      <w:start w:val="0"/>
      <w:numFmt w:val="bullet"/>
      <w:lvlText w:val="•"/>
      <w:lvlJc w:val="left"/>
      <w:pPr>
        <w:ind w:left="1948" w:hanging="735"/>
      </w:pPr>
      <w:rPr>
        <w:rFonts w:hint="default"/>
      </w:rPr>
    </w:lvl>
    <w:lvl w:ilvl="3">
      <w:start w:val="0"/>
      <w:numFmt w:val="bullet"/>
      <w:lvlText w:val="•"/>
      <w:lvlJc w:val="left"/>
      <w:pPr>
        <w:ind w:left="2502" w:hanging="735"/>
      </w:pPr>
      <w:rPr>
        <w:rFonts w:hint="default"/>
      </w:rPr>
    </w:lvl>
    <w:lvl w:ilvl="4">
      <w:start w:val="0"/>
      <w:numFmt w:val="bullet"/>
      <w:lvlText w:val="•"/>
      <w:lvlJc w:val="left"/>
      <w:pPr>
        <w:ind w:left="3056" w:hanging="735"/>
      </w:pPr>
      <w:rPr>
        <w:rFonts w:hint="default"/>
      </w:rPr>
    </w:lvl>
    <w:lvl w:ilvl="5">
      <w:start w:val="0"/>
      <w:numFmt w:val="bullet"/>
      <w:lvlText w:val="•"/>
      <w:lvlJc w:val="left"/>
      <w:pPr>
        <w:ind w:left="3610" w:hanging="735"/>
      </w:pPr>
      <w:rPr>
        <w:rFonts w:hint="default"/>
      </w:rPr>
    </w:lvl>
    <w:lvl w:ilvl="6">
      <w:start w:val="0"/>
      <w:numFmt w:val="bullet"/>
      <w:lvlText w:val="•"/>
      <w:lvlJc w:val="left"/>
      <w:pPr>
        <w:ind w:left="4164" w:hanging="735"/>
      </w:pPr>
      <w:rPr>
        <w:rFonts w:hint="default"/>
      </w:rPr>
    </w:lvl>
    <w:lvl w:ilvl="7">
      <w:start w:val="0"/>
      <w:numFmt w:val="bullet"/>
      <w:lvlText w:val="•"/>
      <w:lvlJc w:val="left"/>
      <w:pPr>
        <w:ind w:left="4718" w:hanging="735"/>
      </w:pPr>
      <w:rPr>
        <w:rFonts w:hint="default"/>
      </w:rPr>
    </w:lvl>
    <w:lvl w:ilvl="8">
      <w:start w:val="0"/>
      <w:numFmt w:val="bullet"/>
      <w:lvlText w:val="•"/>
      <w:lvlJc w:val="left"/>
      <w:pPr>
        <w:ind w:left="5272" w:hanging="735"/>
      </w:pPr>
      <w:rPr>
        <w:rFonts w:hint="default"/>
      </w:rPr>
    </w:lvl>
  </w:abstractNum>
  <w:abstractNum w:abstractNumId="50">
    <w:multiLevelType w:val="hybridMultilevel"/>
    <w:lvl w:ilvl="0">
      <w:start w:val="9"/>
      <w:numFmt w:val="decimal"/>
      <w:lvlText w:val="%1"/>
      <w:lvlJc w:val="left"/>
      <w:pPr>
        <w:ind w:left="846" w:hanging="747"/>
        <w:jc w:val="left"/>
      </w:pPr>
      <w:rPr>
        <w:rFonts w:hint="default"/>
      </w:rPr>
    </w:lvl>
    <w:lvl w:ilvl="1">
      <w:start w:val="81"/>
      <w:numFmt w:val="decimal"/>
      <w:lvlText w:val="%1.%2"/>
      <w:lvlJc w:val="left"/>
      <w:pPr>
        <w:ind w:left="846" w:hanging="747"/>
        <w:jc w:val="left"/>
      </w:pPr>
      <w:rPr>
        <w:rFonts w:hint="default" w:ascii="宋体" w:hAnsi="宋体" w:eastAsia="宋体" w:cs="宋体"/>
        <w:b/>
        <w:bCs/>
        <w:spacing w:val="0"/>
        <w:w w:val="98"/>
        <w:sz w:val="21"/>
        <w:szCs w:val="21"/>
      </w:rPr>
    </w:lvl>
    <w:lvl w:ilvl="2">
      <w:start w:val="0"/>
      <w:numFmt w:val="bullet"/>
      <w:lvlText w:val="•"/>
      <w:lvlJc w:val="left"/>
      <w:pPr>
        <w:ind w:left="1165" w:hanging="747"/>
      </w:pPr>
      <w:rPr>
        <w:rFonts w:hint="default"/>
      </w:rPr>
    </w:lvl>
    <w:lvl w:ilvl="3">
      <w:start w:val="0"/>
      <w:numFmt w:val="bullet"/>
      <w:lvlText w:val="•"/>
      <w:lvlJc w:val="left"/>
      <w:pPr>
        <w:ind w:left="1327" w:hanging="747"/>
      </w:pPr>
      <w:rPr>
        <w:rFonts w:hint="default"/>
      </w:rPr>
    </w:lvl>
    <w:lvl w:ilvl="4">
      <w:start w:val="0"/>
      <w:numFmt w:val="bullet"/>
      <w:lvlText w:val="•"/>
      <w:lvlJc w:val="left"/>
      <w:pPr>
        <w:ind w:left="1490" w:hanging="747"/>
      </w:pPr>
      <w:rPr>
        <w:rFonts w:hint="default"/>
      </w:rPr>
    </w:lvl>
    <w:lvl w:ilvl="5">
      <w:start w:val="0"/>
      <w:numFmt w:val="bullet"/>
      <w:lvlText w:val="•"/>
      <w:lvlJc w:val="left"/>
      <w:pPr>
        <w:ind w:left="1653" w:hanging="747"/>
      </w:pPr>
      <w:rPr>
        <w:rFonts w:hint="default"/>
      </w:rPr>
    </w:lvl>
    <w:lvl w:ilvl="6">
      <w:start w:val="0"/>
      <w:numFmt w:val="bullet"/>
      <w:lvlText w:val="•"/>
      <w:lvlJc w:val="left"/>
      <w:pPr>
        <w:ind w:left="1815" w:hanging="747"/>
      </w:pPr>
      <w:rPr>
        <w:rFonts w:hint="default"/>
      </w:rPr>
    </w:lvl>
    <w:lvl w:ilvl="7">
      <w:start w:val="0"/>
      <w:numFmt w:val="bullet"/>
      <w:lvlText w:val="•"/>
      <w:lvlJc w:val="left"/>
      <w:pPr>
        <w:ind w:left="1978" w:hanging="747"/>
      </w:pPr>
      <w:rPr>
        <w:rFonts w:hint="default"/>
      </w:rPr>
    </w:lvl>
    <w:lvl w:ilvl="8">
      <w:start w:val="0"/>
      <w:numFmt w:val="bullet"/>
      <w:lvlText w:val="•"/>
      <w:lvlJc w:val="left"/>
      <w:pPr>
        <w:ind w:left="2141" w:hanging="747"/>
      </w:pPr>
      <w:rPr>
        <w:rFonts w:hint="default"/>
      </w:rPr>
    </w:lvl>
  </w:abstractNum>
  <w:abstractNum w:abstractNumId="49">
    <w:multiLevelType w:val="hybridMultilevel"/>
    <w:lvl w:ilvl="0">
      <w:start w:val="1"/>
      <w:numFmt w:val="decimal"/>
      <w:lvlText w:val="（%1）"/>
      <w:lvlJc w:val="left"/>
      <w:pPr>
        <w:ind w:left="894" w:hanging="735"/>
        <w:jc w:val="left"/>
      </w:pPr>
      <w:rPr>
        <w:rFonts w:hint="default" w:ascii="宋体" w:hAnsi="宋体" w:eastAsia="宋体" w:cs="宋体"/>
        <w:spacing w:val="-1"/>
        <w:w w:val="99"/>
        <w:sz w:val="21"/>
        <w:szCs w:val="21"/>
      </w:rPr>
    </w:lvl>
    <w:lvl w:ilvl="1">
      <w:start w:val="1"/>
      <w:numFmt w:val="decimal"/>
      <w:lvlText w:val="（%2）"/>
      <w:lvlJc w:val="left"/>
      <w:pPr>
        <w:ind w:left="3474" w:hanging="735"/>
        <w:jc w:val="left"/>
      </w:pPr>
      <w:rPr>
        <w:rFonts w:hint="default" w:ascii="宋体" w:hAnsi="宋体" w:eastAsia="宋体" w:cs="宋体"/>
        <w:spacing w:val="-1"/>
        <w:w w:val="99"/>
        <w:sz w:val="21"/>
        <w:szCs w:val="21"/>
      </w:rPr>
    </w:lvl>
    <w:lvl w:ilvl="2">
      <w:start w:val="0"/>
      <w:numFmt w:val="bullet"/>
      <w:lvlText w:val="•"/>
      <w:lvlJc w:val="left"/>
      <w:pPr>
        <w:ind w:left="3804" w:hanging="735"/>
      </w:pPr>
      <w:rPr>
        <w:rFonts w:hint="default"/>
      </w:rPr>
    </w:lvl>
    <w:lvl w:ilvl="3">
      <w:start w:val="0"/>
      <w:numFmt w:val="bullet"/>
      <w:lvlText w:val="•"/>
      <w:lvlJc w:val="left"/>
      <w:pPr>
        <w:ind w:left="4128" w:hanging="735"/>
      </w:pPr>
      <w:rPr>
        <w:rFonts w:hint="default"/>
      </w:rPr>
    </w:lvl>
    <w:lvl w:ilvl="4">
      <w:start w:val="0"/>
      <w:numFmt w:val="bullet"/>
      <w:lvlText w:val="•"/>
      <w:lvlJc w:val="left"/>
      <w:pPr>
        <w:ind w:left="4453" w:hanging="735"/>
      </w:pPr>
      <w:rPr>
        <w:rFonts w:hint="default"/>
      </w:rPr>
    </w:lvl>
    <w:lvl w:ilvl="5">
      <w:start w:val="0"/>
      <w:numFmt w:val="bullet"/>
      <w:lvlText w:val="•"/>
      <w:lvlJc w:val="left"/>
      <w:pPr>
        <w:ind w:left="4777" w:hanging="735"/>
      </w:pPr>
      <w:rPr>
        <w:rFonts w:hint="default"/>
      </w:rPr>
    </w:lvl>
    <w:lvl w:ilvl="6">
      <w:start w:val="0"/>
      <w:numFmt w:val="bullet"/>
      <w:lvlText w:val="•"/>
      <w:lvlJc w:val="left"/>
      <w:pPr>
        <w:ind w:left="5102" w:hanging="735"/>
      </w:pPr>
      <w:rPr>
        <w:rFonts w:hint="default"/>
      </w:rPr>
    </w:lvl>
    <w:lvl w:ilvl="7">
      <w:start w:val="0"/>
      <w:numFmt w:val="bullet"/>
      <w:lvlText w:val="•"/>
      <w:lvlJc w:val="left"/>
      <w:pPr>
        <w:ind w:left="5426" w:hanging="735"/>
      </w:pPr>
      <w:rPr>
        <w:rFonts w:hint="default"/>
      </w:rPr>
    </w:lvl>
    <w:lvl w:ilvl="8">
      <w:start w:val="0"/>
      <w:numFmt w:val="bullet"/>
      <w:lvlText w:val="•"/>
      <w:lvlJc w:val="left"/>
      <w:pPr>
        <w:ind w:left="5751" w:hanging="735"/>
      </w:pPr>
      <w:rPr>
        <w:rFonts w:hint="default"/>
      </w:rPr>
    </w:lvl>
  </w:abstractNum>
  <w:abstractNum w:abstractNumId="48">
    <w:multiLevelType w:val="hybridMultilevel"/>
    <w:lvl w:ilvl="0">
      <w:start w:val="9"/>
      <w:numFmt w:val="decimal"/>
      <w:lvlText w:val="%1"/>
      <w:lvlJc w:val="left"/>
      <w:pPr>
        <w:ind w:left="2740" w:hanging="747"/>
        <w:jc w:val="left"/>
      </w:pPr>
      <w:rPr>
        <w:rFonts w:hint="default"/>
      </w:rPr>
    </w:lvl>
    <w:lvl w:ilvl="1">
      <w:start w:val="74"/>
      <w:numFmt w:val="decimal"/>
      <w:lvlText w:val="%1.%2"/>
      <w:lvlJc w:val="left"/>
      <w:pPr>
        <w:ind w:left="2740" w:hanging="747"/>
        <w:jc w:val="left"/>
      </w:pPr>
      <w:rPr>
        <w:rFonts w:hint="default" w:ascii="宋体" w:hAnsi="宋体" w:eastAsia="宋体" w:cs="宋体"/>
        <w:b/>
        <w:bCs/>
        <w:spacing w:val="-2"/>
        <w:w w:val="98"/>
        <w:sz w:val="21"/>
        <w:szCs w:val="21"/>
      </w:rPr>
    </w:lvl>
    <w:lvl w:ilvl="2">
      <w:start w:val="1"/>
      <w:numFmt w:val="decimal"/>
      <w:lvlText w:val="（%3）"/>
      <w:lvlJc w:val="left"/>
      <w:pPr>
        <w:ind w:left="3474" w:hanging="735"/>
        <w:jc w:val="left"/>
      </w:pPr>
      <w:rPr>
        <w:rFonts w:hint="default" w:ascii="宋体" w:hAnsi="宋体" w:eastAsia="宋体" w:cs="宋体"/>
        <w:spacing w:val="-1"/>
        <w:w w:val="99"/>
        <w:sz w:val="21"/>
        <w:szCs w:val="21"/>
      </w:rPr>
    </w:lvl>
    <w:lvl w:ilvl="3">
      <w:start w:val="0"/>
      <w:numFmt w:val="bullet"/>
      <w:lvlText w:val="•"/>
      <w:lvlJc w:val="left"/>
      <w:pPr>
        <w:ind w:left="4720" w:hanging="735"/>
      </w:pPr>
      <w:rPr>
        <w:rFonts w:hint="default"/>
      </w:rPr>
    </w:lvl>
    <w:lvl w:ilvl="4">
      <w:start w:val="0"/>
      <w:numFmt w:val="bullet"/>
      <w:lvlText w:val="•"/>
      <w:lvlJc w:val="left"/>
      <w:pPr>
        <w:ind w:left="5340" w:hanging="735"/>
      </w:pPr>
      <w:rPr>
        <w:rFonts w:hint="default"/>
      </w:rPr>
    </w:lvl>
    <w:lvl w:ilvl="5">
      <w:start w:val="0"/>
      <w:numFmt w:val="bullet"/>
      <w:lvlText w:val="•"/>
      <w:lvlJc w:val="left"/>
      <w:pPr>
        <w:ind w:left="5960" w:hanging="735"/>
      </w:pPr>
      <w:rPr>
        <w:rFonts w:hint="default"/>
      </w:rPr>
    </w:lvl>
    <w:lvl w:ilvl="6">
      <w:start w:val="0"/>
      <w:numFmt w:val="bullet"/>
      <w:lvlText w:val="•"/>
      <w:lvlJc w:val="left"/>
      <w:pPr>
        <w:ind w:left="6580" w:hanging="735"/>
      </w:pPr>
      <w:rPr>
        <w:rFonts w:hint="default"/>
      </w:rPr>
    </w:lvl>
    <w:lvl w:ilvl="7">
      <w:start w:val="0"/>
      <w:numFmt w:val="bullet"/>
      <w:lvlText w:val="•"/>
      <w:lvlJc w:val="left"/>
      <w:pPr>
        <w:ind w:left="7200" w:hanging="735"/>
      </w:pPr>
      <w:rPr>
        <w:rFonts w:hint="default"/>
      </w:rPr>
    </w:lvl>
    <w:lvl w:ilvl="8">
      <w:start w:val="0"/>
      <w:numFmt w:val="bullet"/>
      <w:lvlText w:val="•"/>
      <w:lvlJc w:val="left"/>
      <w:pPr>
        <w:ind w:left="7820" w:hanging="735"/>
      </w:pPr>
      <w:rPr>
        <w:rFonts w:hint="default"/>
      </w:rPr>
    </w:lvl>
  </w:abstractNum>
  <w:abstractNum w:abstractNumId="47">
    <w:multiLevelType w:val="hybridMultilevel"/>
    <w:lvl w:ilvl="0">
      <w:start w:val="1"/>
      <w:numFmt w:val="decimal"/>
      <w:lvlText w:val="（%1）"/>
      <w:lvlJc w:val="left"/>
      <w:pPr>
        <w:ind w:left="3474" w:hanging="735"/>
        <w:jc w:val="left"/>
      </w:pPr>
      <w:rPr>
        <w:rFonts w:hint="default" w:ascii="宋体" w:hAnsi="宋体" w:eastAsia="宋体" w:cs="宋体"/>
        <w:spacing w:val="-1"/>
        <w:w w:val="99"/>
        <w:sz w:val="21"/>
        <w:szCs w:val="21"/>
      </w:rPr>
    </w:lvl>
    <w:lvl w:ilvl="1">
      <w:start w:val="0"/>
      <w:numFmt w:val="bullet"/>
      <w:lvlText w:val="•"/>
      <w:lvlJc w:val="left"/>
      <w:pPr>
        <w:ind w:left="403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154" w:hanging="735"/>
      </w:pPr>
      <w:rPr>
        <w:rFonts w:hint="default"/>
      </w:rPr>
    </w:lvl>
    <w:lvl w:ilvl="4">
      <w:start w:val="0"/>
      <w:numFmt w:val="bullet"/>
      <w:lvlText w:val="•"/>
      <w:lvlJc w:val="left"/>
      <w:pPr>
        <w:ind w:left="5712"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828" w:hanging="735"/>
      </w:pPr>
      <w:rPr>
        <w:rFonts w:hint="default"/>
      </w:rPr>
    </w:lvl>
    <w:lvl w:ilvl="7">
      <w:start w:val="0"/>
      <w:numFmt w:val="bullet"/>
      <w:lvlText w:val="•"/>
      <w:lvlJc w:val="left"/>
      <w:pPr>
        <w:ind w:left="7386" w:hanging="735"/>
      </w:pPr>
      <w:rPr>
        <w:rFonts w:hint="default"/>
      </w:rPr>
    </w:lvl>
    <w:lvl w:ilvl="8">
      <w:start w:val="0"/>
      <w:numFmt w:val="bullet"/>
      <w:lvlText w:val="•"/>
      <w:lvlJc w:val="left"/>
      <w:pPr>
        <w:ind w:left="7944" w:hanging="735"/>
      </w:pPr>
      <w:rPr>
        <w:rFonts w:hint="default"/>
      </w:rPr>
    </w:lvl>
  </w:abstractNum>
  <w:abstractNum w:abstractNumId="46">
    <w:multiLevelType w:val="hybridMultilevel"/>
    <w:lvl w:ilvl="0">
      <w:start w:val="1"/>
      <w:numFmt w:val="decimal"/>
      <w:lvlText w:val="（%1）"/>
      <w:lvlJc w:val="left"/>
      <w:pPr>
        <w:ind w:left="3474" w:hanging="735"/>
        <w:jc w:val="left"/>
      </w:pPr>
      <w:rPr>
        <w:rFonts w:hint="default"/>
        <w:spacing w:val="-1"/>
        <w:w w:val="99"/>
      </w:rPr>
    </w:lvl>
    <w:lvl w:ilvl="1">
      <w:start w:val="0"/>
      <w:numFmt w:val="bullet"/>
      <w:lvlText w:val="•"/>
      <w:lvlJc w:val="left"/>
      <w:pPr>
        <w:ind w:left="4038" w:hanging="735"/>
      </w:pPr>
      <w:rPr>
        <w:rFonts w:hint="default"/>
      </w:rPr>
    </w:lvl>
    <w:lvl w:ilvl="2">
      <w:start w:val="0"/>
      <w:numFmt w:val="bullet"/>
      <w:lvlText w:val="•"/>
      <w:lvlJc w:val="left"/>
      <w:pPr>
        <w:ind w:left="4596" w:hanging="735"/>
      </w:pPr>
      <w:rPr>
        <w:rFonts w:hint="default"/>
      </w:rPr>
    </w:lvl>
    <w:lvl w:ilvl="3">
      <w:start w:val="0"/>
      <w:numFmt w:val="bullet"/>
      <w:lvlText w:val="•"/>
      <w:lvlJc w:val="left"/>
      <w:pPr>
        <w:ind w:left="5154" w:hanging="735"/>
      </w:pPr>
      <w:rPr>
        <w:rFonts w:hint="default"/>
      </w:rPr>
    </w:lvl>
    <w:lvl w:ilvl="4">
      <w:start w:val="0"/>
      <w:numFmt w:val="bullet"/>
      <w:lvlText w:val="•"/>
      <w:lvlJc w:val="left"/>
      <w:pPr>
        <w:ind w:left="5712" w:hanging="735"/>
      </w:pPr>
      <w:rPr>
        <w:rFonts w:hint="default"/>
      </w:rPr>
    </w:lvl>
    <w:lvl w:ilvl="5">
      <w:start w:val="0"/>
      <w:numFmt w:val="bullet"/>
      <w:lvlText w:val="•"/>
      <w:lvlJc w:val="left"/>
      <w:pPr>
        <w:ind w:left="6270" w:hanging="735"/>
      </w:pPr>
      <w:rPr>
        <w:rFonts w:hint="default"/>
      </w:rPr>
    </w:lvl>
    <w:lvl w:ilvl="6">
      <w:start w:val="0"/>
      <w:numFmt w:val="bullet"/>
      <w:lvlText w:val="•"/>
      <w:lvlJc w:val="left"/>
      <w:pPr>
        <w:ind w:left="6828" w:hanging="735"/>
      </w:pPr>
      <w:rPr>
        <w:rFonts w:hint="default"/>
      </w:rPr>
    </w:lvl>
    <w:lvl w:ilvl="7">
      <w:start w:val="0"/>
      <w:numFmt w:val="bullet"/>
      <w:lvlText w:val="•"/>
      <w:lvlJc w:val="left"/>
      <w:pPr>
        <w:ind w:left="7386" w:hanging="735"/>
      </w:pPr>
      <w:rPr>
        <w:rFonts w:hint="default"/>
      </w:rPr>
    </w:lvl>
    <w:lvl w:ilvl="8">
      <w:start w:val="0"/>
      <w:numFmt w:val="bullet"/>
      <w:lvlText w:val="•"/>
      <w:lvlJc w:val="left"/>
      <w:pPr>
        <w:ind w:left="7944" w:hanging="735"/>
      </w:pPr>
      <w:rPr>
        <w:rFonts w:hint="default"/>
      </w:rPr>
    </w:lvl>
  </w:abstractNum>
  <w:abstractNum w:abstractNumId="45">
    <w:multiLevelType w:val="hybridMultilevel"/>
    <w:lvl w:ilvl="0">
      <w:start w:val="1"/>
      <w:numFmt w:val="decimal"/>
      <w:lvlText w:val="（%1）"/>
      <w:lvlJc w:val="left"/>
      <w:pPr>
        <w:ind w:left="894" w:hanging="735"/>
        <w:jc w:val="left"/>
      </w:pPr>
      <w:rPr>
        <w:rFonts w:hint="default" w:ascii="宋体" w:hAnsi="宋体" w:eastAsia="宋体" w:cs="宋体"/>
        <w:spacing w:val="-1"/>
        <w:w w:val="99"/>
        <w:sz w:val="21"/>
        <w:szCs w:val="21"/>
      </w:rPr>
    </w:lvl>
    <w:lvl w:ilvl="1">
      <w:start w:val="0"/>
      <w:numFmt w:val="bullet"/>
      <w:lvlText w:val="•"/>
      <w:lvlJc w:val="left"/>
      <w:pPr>
        <w:ind w:left="1454" w:hanging="735"/>
      </w:pPr>
      <w:rPr>
        <w:rFonts w:hint="default"/>
      </w:rPr>
    </w:lvl>
    <w:lvl w:ilvl="2">
      <w:start w:val="0"/>
      <w:numFmt w:val="bullet"/>
      <w:lvlText w:val="•"/>
      <w:lvlJc w:val="left"/>
      <w:pPr>
        <w:ind w:left="2008" w:hanging="735"/>
      </w:pPr>
      <w:rPr>
        <w:rFonts w:hint="default"/>
      </w:rPr>
    </w:lvl>
    <w:lvl w:ilvl="3">
      <w:start w:val="0"/>
      <w:numFmt w:val="bullet"/>
      <w:lvlText w:val="•"/>
      <w:lvlJc w:val="left"/>
      <w:pPr>
        <w:ind w:left="2562" w:hanging="735"/>
      </w:pPr>
      <w:rPr>
        <w:rFonts w:hint="default"/>
      </w:rPr>
    </w:lvl>
    <w:lvl w:ilvl="4">
      <w:start w:val="0"/>
      <w:numFmt w:val="bullet"/>
      <w:lvlText w:val="•"/>
      <w:lvlJc w:val="left"/>
      <w:pPr>
        <w:ind w:left="3116" w:hanging="735"/>
      </w:pPr>
      <w:rPr>
        <w:rFonts w:hint="default"/>
      </w:rPr>
    </w:lvl>
    <w:lvl w:ilvl="5">
      <w:start w:val="0"/>
      <w:numFmt w:val="bullet"/>
      <w:lvlText w:val="•"/>
      <w:lvlJc w:val="left"/>
      <w:pPr>
        <w:ind w:left="3670" w:hanging="735"/>
      </w:pPr>
      <w:rPr>
        <w:rFonts w:hint="default"/>
      </w:rPr>
    </w:lvl>
    <w:lvl w:ilvl="6">
      <w:start w:val="0"/>
      <w:numFmt w:val="bullet"/>
      <w:lvlText w:val="•"/>
      <w:lvlJc w:val="left"/>
      <w:pPr>
        <w:ind w:left="4224" w:hanging="735"/>
      </w:pPr>
      <w:rPr>
        <w:rFonts w:hint="default"/>
      </w:rPr>
    </w:lvl>
    <w:lvl w:ilvl="7">
      <w:start w:val="0"/>
      <w:numFmt w:val="bullet"/>
      <w:lvlText w:val="•"/>
      <w:lvlJc w:val="left"/>
      <w:pPr>
        <w:ind w:left="4778" w:hanging="735"/>
      </w:pPr>
      <w:rPr>
        <w:rFonts w:hint="default"/>
      </w:rPr>
    </w:lvl>
    <w:lvl w:ilvl="8">
      <w:start w:val="0"/>
      <w:numFmt w:val="bullet"/>
      <w:lvlText w:val="•"/>
      <w:lvlJc w:val="left"/>
      <w:pPr>
        <w:ind w:left="5332" w:hanging="735"/>
      </w:pPr>
      <w:rPr>
        <w:rFonts w:hint="default"/>
      </w:rPr>
    </w:lvl>
  </w:abstractNum>
  <w:abstractNum w:abstractNumId="44">
    <w:multiLevelType w:val="hybridMultilevel"/>
    <w:lvl w:ilvl="0">
      <w:start w:val="9"/>
      <w:numFmt w:val="decimal"/>
      <w:lvlText w:val="%1"/>
      <w:lvlJc w:val="left"/>
      <w:pPr>
        <w:ind w:left="906" w:hanging="747"/>
        <w:jc w:val="left"/>
      </w:pPr>
      <w:rPr>
        <w:rFonts w:hint="default"/>
      </w:rPr>
    </w:lvl>
    <w:lvl w:ilvl="1">
      <w:start w:val="66"/>
      <w:numFmt w:val="decimal"/>
      <w:lvlText w:val="%1.%2"/>
      <w:lvlJc w:val="left"/>
      <w:pPr>
        <w:ind w:left="906" w:hanging="747"/>
        <w:jc w:val="left"/>
      </w:pPr>
      <w:rPr>
        <w:rFonts w:hint="default" w:ascii="宋体" w:hAnsi="宋体" w:eastAsia="宋体" w:cs="宋体"/>
        <w:b/>
        <w:bCs/>
        <w:spacing w:val="0"/>
        <w:w w:val="98"/>
        <w:sz w:val="21"/>
        <w:szCs w:val="21"/>
      </w:rPr>
    </w:lvl>
    <w:lvl w:ilvl="2">
      <w:start w:val="1"/>
      <w:numFmt w:val="decimal"/>
      <w:lvlText w:val="（%3）"/>
      <w:lvlJc w:val="left"/>
      <w:pPr>
        <w:ind w:left="3474" w:hanging="735"/>
        <w:jc w:val="left"/>
      </w:pPr>
      <w:rPr>
        <w:rFonts w:hint="default" w:ascii="宋体" w:hAnsi="宋体" w:eastAsia="宋体" w:cs="宋体"/>
        <w:spacing w:val="-1"/>
        <w:w w:val="99"/>
        <w:sz w:val="21"/>
        <w:szCs w:val="21"/>
      </w:rPr>
    </w:lvl>
    <w:lvl w:ilvl="3">
      <w:start w:val="0"/>
      <w:numFmt w:val="bullet"/>
      <w:lvlText w:val="•"/>
      <w:lvlJc w:val="left"/>
      <w:pPr>
        <w:ind w:left="3268" w:hanging="735"/>
      </w:pPr>
      <w:rPr>
        <w:rFonts w:hint="default"/>
      </w:rPr>
    </w:lvl>
    <w:lvl w:ilvl="4">
      <w:start w:val="0"/>
      <w:numFmt w:val="bullet"/>
      <w:lvlText w:val="•"/>
      <w:lvlJc w:val="left"/>
      <w:pPr>
        <w:ind w:left="3162" w:hanging="735"/>
      </w:pPr>
      <w:rPr>
        <w:rFonts w:hint="default"/>
      </w:rPr>
    </w:lvl>
    <w:lvl w:ilvl="5">
      <w:start w:val="0"/>
      <w:numFmt w:val="bullet"/>
      <w:lvlText w:val="•"/>
      <w:lvlJc w:val="left"/>
      <w:pPr>
        <w:ind w:left="3056" w:hanging="735"/>
      </w:pPr>
      <w:rPr>
        <w:rFonts w:hint="default"/>
      </w:rPr>
    </w:lvl>
    <w:lvl w:ilvl="6">
      <w:start w:val="0"/>
      <w:numFmt w:val="bullet"/>
      <w:lvlText w:val="•"/>
      <w:lvlJc w:val="left"/>
      <w:pPr>
        <w:ind w:left="2950" w:hanging="735"/>
      </w:pPr>
      <w:rPr>
        <w:rFonts w:hint="default"/>
      </w:rPr>
    </w:lvl>
    <w:lvl w:ilvl="7">
      <w:start w:val="0"/>
      <w:numFmt w:val="bullet"/>
      <w:lvlText w:val="•"/>
      <w:lvlJc w:val="left"/>
      <w:pPr>
        <w:ind w:left="2844" w:hanging="735"/>
      </w:pPr>
      <w:rPr>
        <w:rFonts w:hint="default"/>
      </w:rPr>
    </w:lvl>
    <w:lvl w:ilvl="8">
      <w:start w:val="0"/>
      <w:numFmt w:val="bullet"/>
      <w:lvlText w:val="•"/>
      <w:lvlJc w:val="left"/>
      <w:pPr>
        <w:ind w:left="2738" w:hanging="735"/>
      </w:pPr>
      <w:rPr>
        <w:rFonts w:hint="default"/>
      </w:rPr>
    </w:lvl>
  </w:abstractNum>
  <w:abstractNum w:abstractNumId="43">
    <w:multiLevelType w:val="hybridMultilevel"/>
    <w:lvl w:ilvl="0">
      <w:start w:val="1"/>
      <w:numFmt w:val="decimal"/>
      <w:lvlText w:val="（%1）"/>
      <w:lvlJc w:val="left"/>
      <w:pPr>
        <w:ind w:left="894" w:hanging="735"/>
        <w:jc w:val="left"/>
      </w:pPr>
      <w:rPr>
        <w:rFonts w:hint="default" w:ascii="宋体" w:hAnsi="宋体" w:eastAsia="宋体" w:cs="宋体"/>
        <w:spacing w:val="-1"/>
        <w:w w:val="99"/>
        <w:sz w:val="21"/>
        <w:szCs w:val="21"/>
      </w:rPr>
    </w:lvl>
    <w:lvl w:ilvl="1">
      <w:start w:val="0"/>
      <w:numFmt w:val="bullet"/>
      <w:lvlText w:val="•"/>
      <w:lvlJc w:val="left"/>
      <w:pPr>
        <w:ind w:left="1454" w:hanging="735"/>
      </w:pPr>
      <w:rPr>
        <w:rFonts w:hint="default"/>
      </w:rPr>
    </w:lvl>
    <w:lvl w:ilvl="2">
      <w:start w:val="0"/>
      <w:numFmt w:val="bullet"/>
      <w:lvlText w:val="•"/>
      <w:lvlJc w:val="left"/>
      <w:pPr>
        <w:ind w:left="2008" w:hanging="735"/>
      </w:pPr>
      <w:rPr>
        <w:rFonts w:hint="default"/>
      </w:rPr>
    </w:lvl>
    <w:lvl w:ilvl="3">
      <w:start w:val="0"/>
      <w:numFmt w:val="bullet"/>
      <w:lvlText w:val="•"/>
      <w:lvlJc w:val="left"/>
      <w:pPr>
        <w:ind w:left="2562" w:hanging="735"/>
      </w:pPr>
      <w:rPr>
        <w:rFonts w:hint="default"/>
      </w:rPr>
    </w:lvl>
    <w:lvl w:ilvl="4">
      <w:start w:val="0"/>
      <w:numFmt w:val="bullet"/>
      <w:lvlText w:val="•"/>
      <w:lvlJc w:val="left"/>
      <w:pPr>
        <w:ind w:left="3116" w:hanging="735"/>
      </w:pPr>
      <w:rPr>
        <w:rFonts w:hint="default"/>
      </w:rPr>
    </w:lvl>
    <w:lvl w:ilvl="5">
      <w:start w:val="0"/>
      <w:numFmt w:val="bullet"/>
      <w:lvlText w:val="•"/>
      <w:lvlJc w:val="left"/>
      <w:pPr>
        <w:ind w:left="3670" w:hanging="735"/>
      </w:pPr>
      <w:rPr>
        <w:rFonts w:hint="default"/>
      </w:rPr>
    </w:lvl>
    <w:lvl w:ilvl="6">
      <w:start w:val="0"/>
      <w:numFmt w:val="bullet"/>
      <w:lvlText w:val="•"/>
      <w:lvlJc w:val="left"/>
      <w:pPr>
        <w:ind w:left="4224" w:hanging="735"/>
      </w:pPr>
      <w:rPr>
        <w:rFonts w:hint="default"/>
      </w:rPr>
    </w:lvl>
    <w:lvl w:ilvl="7">
      <w:start w:val="0"/>
      <w:numFmt w:val="bullet"/>
      <w:lvlText w:val="•"/>
      <w:lvlJc w:val="left"/>
      <w:pPr>
        <w:ind w:left="4778" w:hanging="735"/>
      </w:pPr>
      <w:rPr>
        <w:rFonts w:hint="default"/>
      </w:rPr>
    </w:lvl>
    <w:lvl w:ilvl="8">
      <w:start w:val="0"/>
      <w:numFmt w:val="bullet"/>
      <w:lvlText w:val="•"/>
      <w:lvlJc w:val="left"/>
      <w:pPr>
        <w:ind w:left="5332" w:hanging="735"/>
      </w:pPr>
      <w:rPr>
        <w:rFonts w:hint="default"/>
      </w:rPr>
    </w:lvl>
  </w:abstractNum>
  <w:abstractNum w:abstractNumId="42">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0"/>
      <w:numFmt w:val="bullet"/>
      <w:lvlText w:val="•"/>
      <w:lvlJc w:val="left"/>
      <w:pPr>
        <w:ind w:left="1394" w:hanging="735"/>
      </w:pPr>
      <w:rPr>
        <w:rFonts w:hint="default"/>
      </w:rPr>
    </w:lvl>
    <w:lvl w:ilvl="2">
      <w:start w:val="0"/>
      <w:numFmt w:val="bullet"/>
      <w:lvlText w:val="•"/>
      <w:lvlJc w:val="left"/>
      <w:pPr>
        <w:ind w:left="1948" w:hanging="735"/>
      </w:pPr>
      <w:rPr>
        <w:rFonts w:hint="default"/>
      </w:rPr>
    </w:lvl>
    <w:lvl w:ilvl="3">
      <w:start w:val="0"/>
      <w:numFmt w:val="bullet"/>
      <w:lvlText w:val="•"/>
      <w:lvlJc w:val="left"/>
      <w:pPr>
        <w:ind w:left="2502" w:hanging="735"/>
      </w:pPr>
      <w:rPr>
        <w:rFonts w:hint="default"/>
      </w:rPr>
    </w:lvl>
    <w:lvl w:ilvl="4">
      <w:start w:val="0"/>
      <w:numFmt w:val="bullet"/>
      <w:lvlText w:val="•"/>
      <w:lvlJc w:val="left"/>
      <w:pPr>
        <w:ind w:left="3056" w:hanging="735"/>
      </w:pPr>
      <w:rPr>
        <w:rFonts w:hint="default"/>
      </w:rPr>
    </w:lvl>
    <w:lvl w:ilvl="5">
      <w:start w:val="0"/>
      <w:numFmt w:val="bullet"/>
      <w:lvlText w:val="•"/>
      <w:lvlJc w:val="left"/>
      <w:pPr>
        <w:ind w:left="3610" w:hanging="735"/>
      </w:pPr>
      <w:rPr>
        <w:rFonts w:hint="default"/>
      </w:rPr>
    </w:lvl>
    <w:lvl w:ilvl="6">
      <w:start w:val="0"/>
      <w:numFmt w:val="bullet"/>
      <w:lvlText w:val="•"/>
      <w:lvlJc w:val="left"/>
      <w:pPr>
        <w:ind w:left="4164" w:hanging="735"/>
      </w:pPr>
      <w:rPr>
        <w:rFonts w:hint="default"/>
      </w:rPr>
    </w:lvl>
    <w:lvl w:ilvl="7">
      <w:start w:val="0"/>
      <w:numFmt w:val="bullet"/>
      <w:lvlText w:val="•"/>
      <w:lvlJc w:val="left"/>
      <w:pPr>
        <w:ind w:left="4718" w:hanging="735"/>
      </w:pPr>
      <w:rPr>
        <w:rFonts w:hint="default"/>
      </w:rPr>
    </w:lvl>
    <w:lvl w:ilvl="8">
      <w:start w:val="0"/>
      <w:numFmt w:val="bullet"/>
      <w:lvlText w:val="•"/>
      <w:lvlJc w:val="left"/>
      <w:pPr>
        <w:ind w:left="5272" w:hanging="735"/>
      </w:pPr>
      <w:rPr>
        <w:rFonts w:hint="default"/>
      </w:rPr>
    </w:lvl>
  </w:abstractNum>
  <w:abstractNum w:abstractNumId="41">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0"/>
      <w:numFmt w:val="bullet"/>
      <w:lvlText w:val="•"/>
      <w:lvlJc w:val="left"/>
      <w:pPr>
        <w:ind w:left="1394" w:hanging="735"/>
      </w:pPr>
      <w:rPr>
        <w:rFonts w:hint="default"/>
      </w:rPr>
    </w:lvl>
    <w:lvl w:ilvl="2">
      <w:start w:val="0"/>
      <w:numFmt w:val="bullet"/>
      <w:lvlText w:val="•"/>
      <w:lvlJc w:val="left"/>
      <w:pPr>
        <w:ind w:left="1948" w:hanging="735"/>
      </w:pPr>
      <w:rPr>
        <w:rFonts w:hint="default"/>
      </w:rPr>
    </w:lvl>
    <w:lvl w:ilvl="3">
      <w:start w:val="0"/>
      <w:numFmt w:val="bullet"/>
      <w:lvlText w:val="•"/>
      <w:lvlJc w:val="left"/>
      <w:pPr>
        <w:ind w:left="2502" w:hanging="735"/>
      </w:pPr>
      <w:rPr>
        <w:rFonts w:hint="default"/>
      </w:rPr>
    </w:lvl>
    <w:lvl w:ilvl="4">
      <w:start w:val="0"/>
      <w:numFmt w:val="bullet"/>
      <w:lvlText w:val="•"/>
      <w:lvlJc w:val="left"/>
      <w:pPr>
        <w:ind w:left="3056" w:hanging="735"/>
      </w:pPr>
      <w:rPr>
        <w:rFonts w:hint="default"/>
      </w:rPr>
    </w:lvl>
    <w:lvl w:ilvl="5">
      <w:start w:val="0"/>
      <w:numFmt w:val="bullet"/>
      <w:lvlText w:val="•"/>
      <w:lvlJc w:val="left"/>
      <w:pPr>
        <w:ind w:left="3610" w:hanging="735"/>
      </w:pPr>
      <w:rPr>
        <w:rFonts w:hint="default"/>
      </w:rPr>
    </w:lvl>
    <w:lvl w:ilvl="6">
      <w:start w:val="0"/>
      <w:numFmt w:val="bullet"/>
      <w:lvlText w:val="•"/>
      <w:lvlJc w:val="left"/>
      <w:pPr>
        <w:ind w:left="4164" w:hanging="735"/>
      </w:pPr>
      <w:rPr>
        <w:rFonts w:hint="default"/>
      </w:rPr>
    </w:lvl>
    <w:lvl w:ilvl="7">
      <w:start w:val="0"/>
      <w:numFmt w:val="bullet"/>
      <w:lvlText w:val="•"/>
      <w:lvlJc w:val="left"/>
      <w:pPr>
        <w:ind w:left="4718" w:hanging="735"/>
      </w:pPr>
      <w:rPr>
        <w:rFonts w:hint="default"/>
      </w:rPr>
    </w:lvl>
    <w:lvl w:ilvl="8">
      <w:start w:val="0"/>
      <w:numFmt w:val="bullet"/>
      <w:lvlText w:val="•"/>
      <w:lvlJc w:val="left"/>
      <w:pPr>
        <w:ind w:left="5272" w:hanging="735"/>
      </w:pPr>
      <w:rPr>
        <w:rFonts w:hint="default"/>
      </w:rPr>
    </w:lvl>
  </w:abstractNum>
  <w:abstractNum w:abstractNumId="40">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1"/>
      <w:numFmt w:val="lowerLetter"/>
      <w:lvlText w:val="%2)"/>
      <w:lvlJc w:val="left"/>
      <w:pPr>
        <w:ind w:left="1180" w:hanging="360"/>
        <w:jc w:val="left"/>
      </w:pPr>
      <w:rPr>
        <w:rFonts w:hint="default" w:ascii="宋体" w:hAnsi="宋体" w:eastAsia="宋体" w:cs="宋体"/>
        <w:spacing w:val="-1"/>
        <w:w w:val="100"/>
        <w:sz w:val="22"/>
        <w:szCs w:val="22"/>
      </w:rPr>
    </w:lvl>
    <w:lvl w:ilvl="2">
      <w:start w:val="0"/>
      <w:numFmt w:val="bullet"/>
      <w:lvlText w:val="•"/>
      <w:lvlJc w:val="left"/>
      <w:pPr>
        <w:ind w:left="1757" w:hanging="360"/>
      </w:pPr>
      <w:rPr>
        <w:rFonts w:hint="default"/>
      </w:rPr>
    </w:lvl>
    <w:lvl w:ilvl="3">
      <w:start w:val="0"/>
      <w:numFmt w:val="bullet"/>
      <w:lvlText w:val="•"/>
      <w:lvlJc w:val="left"/>
      <w:pPr>
        <w:ind w:left="2335" w:hanging="360"/>
      </w:pPr>
      <w:rPr>
        <w:rFonts w:hint="default"/>
      </w:rPr>
    </w:lvl>
    <w:lvl w:ilvl="4">
      <w:start w:val="0"/>
      <w:numFmt w:val="bullet"/>
      <w:lvlText w:val="•"/>
      <w:lvlJc w:val="left"/>
      <w:pPr>
        <w:ind w:left="2913" w:hanging="360"/>
      </w:pPr>
      <w:rPr>
        <w:rFonts w:hint="default"/>
      </w:rPr>
    </w:lvl>
    <w:lvl w:ilvl="5">
      <w:start w:val="0"/>
      <w:numFmt w:val="bullet"/>
      <w:lvlText w:val="•"/>
      <w:lvlJc w:val="left"/>
      <w:pPr>
        <w:ind w:left="3491" w:hanging="360"/>
      </w:pPr>
      <w:rPr>
        <w:rFonts w:hint="default"/>
      </w:rPr>
    </w:lvl>
    <w:lvl w:ilvl="6">
      <w:start w:val="0"/>
      <w:numFmt w:val="bullet"/>
      <w:lvlText w:val="•"/>
      <w:lvlJc w:val="left"/>
      <w:pPr>
        <w:ind w:left="4068" w:hanging="360"/>
      </w:pPr>
      <w:rPr>
        <w:rFonts w:hint="default"/>
      </w:rPr>
    </w:lvl>
    <w:lvl w:ilvl="7">
      <w:start w:val="0"/>
      <w:numFmt w:val="bullet"/>
      <w:lvlText w:val="•"/>
      <w:lvlJc w:val="left"/>
      <w:pPr>
        <w:ind w:left="4646" w:hanging="360"/>
      </w:pPr>
      <w:rPr>
        <w:rFonts w:hint="default"/>
      </w:rPr>
    </w:lvl>
    <w:lvl w:ilvl="8">
      <w:start w:val="0"/>
      <w:numFmt w:val="bullet"/>
      <w:lvlText w:val="•"/>
      <w:lvlJc w:val="left"/>
      <w:pPr>
        <w:ind w:left="5224" w:hanging="360"/>
      </w:pPr>
      <w:rPr>
        <w:rFonts w:hint="default"/>
      </w:rPr>
    </w:lvl>
  </w:abstractNum>
  <w:abstractNum w:abstractNumId="39">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64" w:hanging="735"/>
      </w:pPr>
      <w:rPr>
        <w:rFonts w:hint="default"/>
      </w:rPr>
    </w:lvl>
    <w:lvl w:ilvl="2">
      <w:start w:val="0"/>
      <w:numFmt w:val="bullet"/>
      <w:lvlText w:val="•"/>
      <w:lvlJc w:val="left"/>
      <w:pPr>
        <w:ind w:left="4508" w:hanging="735"/>
      </w:pPr>
      <w:rPr>
        <w:rFonts w:hint="default"/>
      </w:rPr>
    </w:lvl>
    <w:lvl w:ilvl="3">
      <w:start w:val="0"/>
      <w:numFmt w:val="bullet"/>
      <w:lvlText w:val="•"/>
      <w:lvlJc w:val="left"/>
      <w:pPr>
        <w:ind w:left="5052" w:hanging="735"/>
      </w:pPr>
      <w:rPr>
        <w:rFonts w:hint="default"/>
      </w:rPr>
    </w:lvl>
    <w:lvl w:ilvl="4">
      <w:start w:val="0"/>
      <w:numFmt w:val="bullet"/>
      <w:lvlText w:val="•"/>
      <w:lvlJc w:val="left"/>
      <w:pPr>
        <w:ind w:left="5596" w:hanging="735"/>
      </w:pPr>
      <w:rPr>
        <w:rFonts w:hint="default"/>
      </w:rPr>
    </w:lvl>
    <w:lvl w:ilvl="5">
      <w:start w:val="0"/>
      <w:numFmt w:val="bullet"/>
      <w:lvlText w:val="•"/>
      <w:lvlJc w:val="left"/>
      <w:pPr>
        <w:ind w:left="6140" w:hanging="735"/>
      </w:pPr>
      <w:rPr>
        <w:rFonts w:hint="default"/>
      </w:rPr>
    </w:lvl>
    <w:lvl w:ilvl="6">
      <w:start w:val="0"/>
      <w:numFmt w:val="bullet"/>
      <w:lvlText w:val="•"/>
      <w:lvlJc w:val="left"/>
      <w:pPr>
        <w:ind w:left="6684" w:hanging="735"/>
      </w:pPr>
      <w:rPr>
        <w:rFonts w:hint="default"/>
      </w:rPr>
    </w:lvl>
    <w:lvl w:ilvl="7">
      <w:start w:val="0"/>
      <w:numFmt w:val="bullet"/>
      <w:lvlText w:val="•"/>
      <w:lvlJc w:val="left"/>
      <w:pPr>
        <w:ind w:left="7228" w:hanging="735"/>
      </w:pPr>
      <w:rPr>
        <w:rFonts w:hint="default"/>
      </w:rPr>
    </w:lvl>
    <w:lvl w:ilvl="8">
      <w:start w:val="0"/>
      <w:numFmt w:val="bullet"/>
      <w:lvlText w:val="•"/>
      <w:lvlJc w:val="left"/>
      <w:pPr>
        <w:ind w:left="7772" w:hanging="735"/>
      </w:pPr>
      <w:rPr>
        <w:rFonts w:hint="default"/>
      </w:rPr>
    </w:lvl>
  </w:abstractNum>
  <w:abstractNum w:abstractNumId="38">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64" w:hanging="735"/>
      </w:pPr>
      <w:rPr>
        <w:rFonts w:hint="default"/>
      </w:rPr>
    </w:lvl>
    <w:lvl w:ilvl="2">
      <w:start w:val="0"/>
      <w:numFmt w:val="bullet"/>
      <w:lvlText w:val="•"/>
      <w:lvlJc w:val="left"/>
      <w:pPr>
        <w:ind w:left="4508" w:hanging="735"/>
      </w:pPr>
      <w:rPr>
        <w:rFonts w:hint="default"/>
      </w:rPr>
    </w:lvl>
    <w:lvl w:ilvl="3">
      <w:start w:val="0"/>
      <w:numFmt w:val="bullet"/>
      <w:lvlText w:val="•"/>
      <w:lvlJc w:val="left"/>
      <w:pPr>
        <w:ind w:left="5052" w:hanging="735"/>
      </w:pPr>
      <w:rPr>
        <w:rFonts w:hint="default"/>
      </w:rPr>
    </w:lvl>
    <w:lvl w:ilvl="4">
      <w:start w:val="0"/>
      <w:numFmt w:val="bullet"/>
      <w:lvlText w:val="•"/>
      <w:lvlJc w:val="left"/>
      <w:pPr>
        <w:ind w:left="5596" w:hanging="735"/>
      </w:pPr>
      <w:rPr>
        <w:rFonts w:hint="default"/>
      </w:rPr>
    </w:lvl>
    <w:lvl w:ilvl="5">
      <w:start w:val="0"/>
      <w:numFmt w:val="bullet"/>
      <w:lvlText w:val="•"/>
      <w:lvlJc w:val="left"/>
      <w:pPr>
        <w:ind w:left="6140" w:hanging="735"/>
      </w:pPr>
      <w:rPr>
        <w:rFonts w:hint="default"/>
      </w:rPr>
    </w:lvl>
    <w:lvl w:ilvl="6">
      <w:start w:val="0"/>
      <w:numFmt w:val="bullet"/>
      <w:lvlText w:val="•"/>
      <w:lvlJc w:val="left"/>
      <w:pPr>
        <w:ind w:left="6684" w:hanging="735"/>
      </w:pPr>
      <w:rPr>
        <w:rFonts w:hint="default"/>
      </w:rPr>
    </w:lvl>
    <w:lvl w:ilvl="7">
      <w:start w:val="0"/>
      <w:numFmt w:val="bullet"/>
      <w:lvlText w:val="•"/>
      <w:lvlJc w:val="left"/>
      <w:pPr>
        <w:ind w:left="7228" w:hanging="735"/>
      </w:pPr>
      <w:rPr>
        <w:rFonts w:hint="default"/>
      </w:rPr>
    </w:lvl>
    <w:lvl w:ilvl="8">
      <w:start w:val="0"/>
      <w:numFmt w:val="bullet"/>
      <w:lvlText w:val="•"/>
      <w:lvlJc w:val="left"/>
      <w:pPr>
        <w:ind w:left="7772" w:hanging="735"/>
      </w:pPr>
      <w:rPr>
        <w:rFonts w:hint="default"/>
      </w:rPr>
    </w:lvl>
  </w:abstractNum>
  <w:abstractNum w:abstractNumId="37">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64" w:hanging="735"/>
      </w:pPr>
      <w:rPr>
        <w:rFonts w:hint="default"/>
      </w:rPr>
    </w:lvl>
    <w:lvl w:ilvl="2">
      <w:start w:val="0"/>
      <w:numFmt w:val="bullet"/>
      <w:lvlText w:val="•"/>
      <w:lvlJc w:val="left"/>
      <w:pPr>
        <w:ind w:left="4508" w:hanging="735"/>
      </w:pPr>
      <w:rPr>
        <w:rFonts w:hint="default"/>
      </w:rPr>
    </w:lvl>
    <w:lvl w:ilvl="3">
      <w:start w:val="0"/>
      <w:numFmt w:val="bullet"/>
      <w:lvlText w:val="•"/>
      <w:lvlJc w:val="left"/>
      <w:pPr>
        <w:ind w:left="5052" w:hanging="735"/>
      </w:pPr>
      <w:rPr>
        <w:rFonts w:hint="default"/>
      </w:rPr>
    </w:lvl>
    <w:lvl w:ilvl="4">
      <w:start w:val="0"/>
      <w:numFmt w:val="bullet"/>
      <w:lvlText w:val="•"/>
      <w:lvlJc w:val="left"/>
      <w:pPr>
        <w:ind w:left="5596" w:hanging="735"/>
      </w:pPr>
      <w:rPr>
        <w:rFonts w:hint="default"/>
      </w:rPr>
    </w:lvl>
    <w:lvl w:ilvl="5">
      <w:start w:val="0"/>
      <w:numFmt w:val="bullet"/>
      <w:lvlText w:val="•"/>
      <w:lvlJc w:val="left"/>
      <w:pPr>
        <w:ind w:left="6140" w:hanging="735"/>
      </w:pPr>
      <w:rPr>
        <w:rFonts w:hint="default"/>
      </w:rPr>
    </w:lvl>
    <w:lvl w:ilvl="6">
      <w:start w:val="0"/>
      <w:numFmt w:val="bullet"/>
      <w:lvlText w:val="•"/>
      <w:lvlJc w:val="left"/>
      <w:pPr>
        <w:ind w:left="6684" w:hanging="735"/>
      </w:pPr>
      <w:rPr>
        <w:rFonts w:hint="default"/>
      </w:rPr>
    </w:lvl>
    <w:lvl w:ilvl="7">
      <w:start w:val="0"/>
      <w:numFmt w:val="bullet"/>
      <w:lvlText w:val="•"/>
      <w:lvlJc w:val="left"/>
      <w:pPr>
        <w:ind w:left="7228" w:hanging="735"/>
      </w:pPr>
      <w:rPr>
        <w:rFonts w:hint="default"/>
      </w:rPr>
    </w:lvl>
    <w:lvl w:ilvl="8">
      <w:start w:val="0"/>
      <w:numFmt w:val="bullet"/>
      <w:lvlText w:val="•"/>
      <w:lvlJc w:val="left"/>
      <w:pPr>
        <w:ind w:left="7772" w:hanging="735"/>
      </w:pPr>
      <w:rPr>
        <w:rFonts w:hint="default"/>
      </w:rPr>
    </w:lvl>
  </w:abstractNum>
  <w:abstractNum w:abstractNumId="36">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64" w:hanging="735"/>
      </w:pPr>
      <w:rPr>
        <w:rFonts w:hint="default"/>
      </w:rPr>
    </w:lvl>
    <w:lvl w:ilvl="2">
      <w:start w:val="0"/>
      <w:numFmt w:val="bullet"/>
      <w:lvlText w:val="•"/>
      <w:lvlJc w:val="left"/>
      <w:pPr>
        <w:ind w:left="4508" w:hanging="735"/>
      </w:pPr>
      <w:rPr>
        <w:rFonts w:hint="default"/>
      </w:rPr>
    </w:lvl>
    <w:lvl w:ilvl="3">
      <w:start w:val="0"/>
      <w:numFmt w:val="bullet"/>
      <w:lvlText w:val="•"/>
      <w:lvlJc w:val="left"/>
      <w:pPr>
        <w:ind w:left="5052" w:hanging="735"/>
      </w:pPr>
      <w:rPr>
        <w:rFonts w:hint="default"/>
      </w:rPr>
    </w:lvl>
    <w:lvl w:ilvl="4">
      <w:start w:val="0"/>
      <w:numFmt w:val="bullet"/>
      <w:lvlText w:val="•"/>
      <w:lvlJc w:val="left"/>
      <w:pPr>
        <w:ind w:left="5596" w:hanging="735"/>
      </w:pPr>
      <w:rPr>
        <w:rFonts w:hint="default"/>
      </w:rPr>
    </w:lvl>
    <w:lvl w:ilvl="5">
      <w:start w:val="0"/>
      <w:numFmt w:val="bullet"/>
      <w:lvlText w:val="•"/>
      <w:lvlJc w:val="left"/>
      <w:pPr>
        <w:ind w:left="6140" w:hanging="735"/>
      </w:pPr>
      <w:rPr>
        <w:rFonts w:hint="default"/>
      </w:rPr>
    </w:lvl>
    <w:lvl w:ilvl="6">
      <w:start w:val="0"/>
      <w:numFmt w:val="bullet"/>
      <w:lvlText w:val="•"/>
      <w:lvlJc w:val="left"/>
      <w:pPr>
        <w:ind w:left="6684" w:hanging="735"/>
      </w:pPr>
      <w:rPr>
        <w:rFonts w:hint="default"/>
      </w:rPr>
    </w:lvl>
    <w:lvl w:ilvl="7">
      <w:start w:val="0"/>
      <w:numFmt w:val="bullet"/>
      <w:lvlText w:val="•"/>
      <w:lvlJc w:val="left"/>
      <w:pPr>
        <w:ind w:left="7228" w:hanging="735"/>
      </w:pPr>
      <w:rPr>
        <w:rFonts w:hint="default"/>
      </w:rPr>
    </w:lvl>
    <w:lvl w:ilvl="8">
      <w:start w:val="0"/>
      <w:numFmt w:val="bullet"/>
      <w:lvlText w:val="•"/>
      <w:lvlJc w:val="left"/>
      <w:pPr>
        <w:ind w:left="7772" w:hanging="735"/>
      </w:pPr>
      <w:rPr>
        <w:rFonts w:hint="default"/>
      </w:rPr>
    </w:lvl>
  </w:abstractNum>
  <w:abstractNum w:abstractNumId="35">
    <w:multiLevelType w:val="hybridMultilevel"/>
    <w:lvl w:ilvl="0">
      <w:start w:val="1"/>
      <w:numFmt w:val="decimal"/>
      <w:lvlText w:val="（%1）"/>
      <w:lvlJc w:val="left"/>
      <w:pPr>
        <w:ind w:left="894" w:hanging="735"/>
        <w:jc w:val="left"/>
      </w:pPr>
      <w:rPr>
        <w:rFonts w:hint="default" w:ascii="宋体" w:hAnsi="宋体" w:eastAsia="宋体" w:cs="宋体"/>
        <w:spacing w:val="-1"/>
        <w:w w:val="99"/>
        <w:sz w:val="21"/>
        <w:szCs w:val="21"/>
      </w:rPr>
    </w:lvl>
    <w:lvl w:ilvl="1">
      <w:start w:val="0"/>
      <w:numFmt w:val="bullet"/>
      <w:lvlText w:val="•"/>
      <w:lvlJc w:val="left"/>
      <w:pPr>
        <w:ind w:left="1448" w:hanging="735"/>
      </w:pPr>
      <w:rPr>
        <w:rFonts w:hint="default"/>
      </w:rPr>
    </w:lvl>
    <w:lvl w:ilvl="2">
      <w:start w:val="0"/>
      <w:numFmt w:val="bullet"/>
      <w:lvlText w:val="•"/>
      <w:lvlJc w:val="left"/>
      <w:pPr>
        <w:ind w:left="1996" w:hanging="735"/>
      </w:pPr>
      <w:rPr>
        <w:rFonts w:hint="default"/>
      </w:rPr>
    </w:lvl>
    <w:lvl w:ilvl="3">
      <w:start w:val="0"/>
      <w:numFmt w:val="bullet"/>
      <w:lvlText w:val="•"/>
      <w:lvlJc w:val="left"/>
      <w:pPr>
        <w:ind w:left="2544" w:hanging="735"/>
      </w:pPr>
      <w:rPr>
        <w:rFonts w:hint="default"/>
      </w:rPr>
    </w:lvl>
    <w:lvl w:ilvl="4">
      <w:start w:val="0"/>
      <w:numFmt w:val="bullet"/>
      <w:lvlText w:val="•"/>
      <w:lvlJc w:val="left"/>
      <w:pPr>
        <w:ind w:left="3092" w:hanging="735"/>
      </w:pPr>
      <w:rPr>
        <w:rFonts w:hint="default"/>
      </w:rPr>
    </w:lvl>
    <w:lvl w:ilvl="5">
      <w:start w:val="0"/>
      <w:numFmt w:val="bullet"/>
      <w:lvlText w:val="•"/>
      <w:lvlJc w:val="left"/>
      <w:pPr>
        <w:ind w:left="3640" w:hanging="735"/>
      </w:pPr>
      <w:rPr>
        <w:rFonts w:hint="default"/>
      </w:rPr>
    </w:lvl>
    <w:lvl w:ilvl="6">
      <w:start w:val="0"/>
      <w:numFmt w:val="bullet"/>
      <w:lvlText w:val="•"/>
      <w:lvlJc w:val="left"/>
      <w:pPr>
        <w:ind w:left="4188" w:hanging="735"/>
      </w:pPr>
      <w:rPr>
        <w:rFonts w:hint="default"/>
      </w:rPr>
    </w:lvl>
    <w:lvl w:ilvl="7">
      <w:start w:val="0"/>
      <w:numFmt w:val="bullet"/>
      <w:lvlText w:val="•"/>
      <w:lvlJc w:val="left"/>
      <w:pPr>
        <w:ind w:left="4736" w:hanging="735"/>
      </w:pPr>
      <w:rPr>
        <w:rFonts w:hint="default"/>
      </w:rPr>
    </w:lvl>
    <w:lvl w:ilvl="8">
      <w:start w:val="0"/>
      <w:numFmt w:val="bullet"/>
      <w:lvlText w:val="•"/>
      <w:lvlJc w:val="left"/>
      <w:pPr>
        <w:ind w:left="5284" w:hanging="735"/>
      </w:pPr>
      <w:rPr>
        <w:rFonts w:hint="default"/>
      </w:rPr>
    </w:lvl>
  </w:abstractNum>
  <w:abstractNum w:abstractNumId="34">
    <w:multiLevelType w:val="hybridMultilevel"/>
    <w:lvl w:ilvl="0">
      <w:start w:val="9"/>
      <w:numFmt w:val="decimal"/>
      <w:lvlText w:val="%1"/>
      <w:lvlJc w:val="left"/>
      <w:pPr>
        <w:ind w:left="2740" w:hanging="747"/>
        <w:jc w:val="left"/>
      </w:pPr>
      <w:rPr>
        <w:rFonts w:hint="default"/>
      </w:rPr>
    </w:lvl>
    <w:lvl w:ilvl="1">
      <w:start w:val="49"/>
      <w:numFmt w:val="decimal"/>
      <w:lvlText w:val="%1.%2"/>
      <w:lvlJc w:val="left"/>
      <w:pPr>
        <w:ind w:left="2740" w:hanging="747"/>
        <w:jc w:val="left"/>
      </w:pPr>
      <w:rPr>
        <w:rFonts w:hint="default" w:ascii="宋体" w:hAnsi="宋体" w:eastAsia="宋体" w:cs="宋体"/>
        <w:b/>
        <w:bCs/>
        <w:spacing w:val="0"/>
        <w:w w:val="98"/>
        <w:sz w:val="21"/>
        <w:szCs w:val="21"/>
      </w:rPr>
    </w:lvl>
    <w:lvl w:ilvl="2">
      <w:start w:val="1"/>
      <w:numFmt w:val="decimal"/>
      <w:lvlText w:val="（%3）"/>
      <w:lvlJc w:val="left"/>
      <w:pPr>
        <w:ind w:left="3474" w:hanging="735"/>
        <w:jc w:val="left"/>
      </w:pPr>
      <w:rPr>
        <w:rFonts w:hint="default" w:ascii="宋体" w:hAnsi="宋体" w:eastAsia="宋体" w:cs="宋体"/>
        <w:spacing w:val="-1"/>
        <w:w w:val="99"/>
        <w:sz w:val="21"/>
        <w:szCs w:val="21"/>
      </w:rPr>
    </w:lvl>
    <w:lvl w:ilvl="3">
      <w:start w:val="0"/>
      <w:numFmt w:val="bullet"/>
      <w:lvlText w:val="•"/>
      <w:lvlJc w:val="left"/>
      <w:pPr>
        <w:ind w:left="3235" w:hanging="735"/>
      </w:pPr>
      <w:rPr>
        <w:rFonts w:hint="default"/>
      </w:rPr>
    </w:lvl>
    <w:lvl w:ilvl="4">
      <w:start w:val="0"/>
      <w:numFmt w:val="bullet"/>
      <w:lvlText w:val="•"/>
      <w:lvlJc w:val="left"/>
      <w:pPr>
        <w:ind w:left="3113" w:hanging="735"/>
      </w:pPr>
      <w:rPr>
        <w:rFonts w:hint="default"/>
      </w:rPr>
    </w:lvl>
    <w:lvl w:ilvl="5">
      <w:start w:val="0"/>
      <w:numFmt w:val="bullet"/>
      <w:lvlText w:val="•"/>
      <w:lvlJc w:val="left"/>
      <w:pPr>
        <w:ind w:left="2991" w:hanging="735"/>
      </w:pPr>
      <w:rPr>
        <w:rFonts w:hint="default"/>
      </w:rPr>
    </w:lvl>
    <w:lvl w:ilvl="6">
      <w:start w:val="0"/>
      <w:numFmt w:val="bullet"/>
      <w:lvlText w:val="•"/>
      <w:lvlJc w:val="left"/>
      <w:pPr>
        <w:ind w:left="2868" w:hanging="735"/>
      </w:pPr>
      <w:rPr>
        <w:rFonts w:hint="default"/>
      </w:rPr>
    </w:lvl>
    <w:lvl w:ilvl="7">
      <w:start w:val="0"/>
      <w:numFmt w:val="bullet"/>
      <w:lvlText w:val="•"/>
      <w:lvlJc w:val="left"/>
      <w:pPr>
        <w:ind w:left="2746" w:hanging="735"/>
      </w:pPr>
      <w:rPr>
        <w:rFonts w:hint="default"/>
      </w:rPr>
    </w:lvl>
    <w:lvl w:ilvl="8">
      <w:start w:val="0"/>
      <w:numFmt w:val="bullet"/>
      <w:lvlText w:val="•"/>
      <w:lvlJc w:val="left"/>
      <w:pPr>
        <w:ind w:left="2624" w:hanging="735"/>
      </w:pPr>
      <w:rPr>
        <w:rFonts w:hint="default"/>
      </w:rPr>
    </w:lvl>
  </w:abstractNum>
  <w:abstractNum w:abstractNumId="33">
    <w:multiLevelType w:val="hybridMultilevel"/>
    <w:lvl w:ilvl="0">
      <w:start w:val="9"/>
      <w:numFmt w:val="decimal"/>
      <w:lvlText w:val="%1"/>
      <w:lvlJc w:val="left"/>
      <w:pPr>
        <w:ind w:left="906" w:hanging="747"/>
        <w:jc w:val="left"/>
      </w:pPr>
      <w:rPr>
        <w:rFonts w:hint="default"/>
      </w:rPr>
    </w:lvl>
    <w:lvl w:ilvl="1">
      <w:start w:val="44"/>
      <w:numFmt w:val="decimal"/>
      <w:lvlText w:val="%1.%2"/>
      <w:lvlJc w:val="left"/>
      <w:pPr>
        <w:ind w:left="906" w:hanging="747"/>
        <w:jc w:val="left"/>
      </w:pPr>
      <w:rPr>
        <w:rFonts w:hint="default" w:ascii="宋体" w:hAnsi="宋体" w:eastAsia="宋体" w:cs="宋体"/>
        <w:b/>
        <w:bCs/>
        <w:spacing w:val="0"/>
        <w:w w:val="98"/>
        <w:sz w:val="21"/>
        <w:szCs w:val="21"/>
      </w:rPr>
    </w:lvl>
    <w:lvl w:ilvl="2">
      <w:start w:val="1"/>
      <w:numFmt w:val="decimal"/>
      <w:lvlText w:val="（%3）"/>
      <w:lvlJc w:val="left"/>
      <w:pPr>
        <w:ind w:left="3474" w:hanging="735"/>
        <w:jc w:val="left"/>
      </w:pPr>
      <w:rPr>
        <w:rFonts w:hint="default" w:ascii="宋体" w:hAnsi="宋体" w:eastAsia="宋体" w:cs="宋体"/>
        <w:spacing w:val="-1"/>
        <w:w w:val="99"/>
        <w:sz w:val="21"/>
        <w:szCs w:val="21"/>
      </w:rPr>
    </w:lvl>
    <w:lvl w:ilvl="3">
      <w:start w:val="0"/>
      <w:numFmt w:val="bullet"/>
      <w:lvlText w:val="•"/>
      <w:lvlJc w:val="left"/>
      <w:pPr>
        <w:ind w:left="3235" w:hanging="735"/>
      </w:pPr>
      <w:rPr>
        <w:rFonts w:hint="default"/>
      </w:rPr>
    </w:lvl>
    <w:lvl w:ilvl="4">
      <w:start w:val="0"/>
      <w:numFmt w:val="bullet"/>
      <w:lvlText w:val="•"/>
      <w:lvlJc w:val="left"/>
      <w:pPr>
        <w:ind w:left="3113" w:hanging="735"/>
      </w:pPr>
      <w:rPr>
        <w:rFonts w:hint="default"/>
      </w:rPr>
    </w:lvl>
    <w:lvl w:ilvl="5">
      <w:start w:val="0"/>
      <w:numFmt w:val="bullet"/>
      <w:lvlText w:val="•"/>
      <w:lvlJc w:val="left"/>
      <w:pPr>
        <w:ind w:left="2991" w:hanging="735"/>
      </w:pPr>
      <w:rPr>
        <w:rFonts w:hint="default"/>
      </w:rPr>
    </w:lvl>
    <w:lvl w:ilvl="6">
      <w:start w:val="0"/>
      <w:numFmt w:val="bullet"/>
      <w:lvlText w:val="•"/>
      <w:lvlJc w:val="left"/>
      <w:pPr>
        <w:ind w:left="2868" w:hanging="735"/>
      </w:pPr>
      <w:rPr>
        <w:rFonts w:hint="default"/>
      </w:rPr>
    </w:lvl>
    <w:lvl w:ilvl="7">
      <w:start w:val="0"/>
      <w:numFmt w:val="bullet"/>
      <w:lvlText w:val="•"/>
      <w:lvlJc w:val="left"/>
      <w:pPr>
        <w:ind w:left="2746" w:hanging="735"/>
      </w:pPr>
      <w:rPr>
        <w:rFonts w:hint="default"/>
      </w:rPr>
    </w:lvl>
    <w:lvl w:ilvl="8">
      <w:start w:val="0"/>
      <w:numFmt w:val="bullet"/>
      <w:lvlText w:val="•"/>
      <w:lvlJc w:val="left"/>
      <w:pPr>
        <w:ind w:left="2624" w:hanging="735"/>
      </w:pPr>
      <w:rPr>
        <w:rFonts w:hint="default"/>
      </w:rPr>
    </w:lvl>
  </w:abstractNum>
  <w:abstractNum w:abstractNumId="32">
    <w:multiLevelType w:val="hybridMultilevel"/>
    <w:lvl w:ilvl="0">
      <w:start w:val="1"/>
      <w:numFmt w:val="decimal"/>
      <w:lvlText w:val="（%1）"/>
      <w:lvlJc w:val="left"/>
      <w:pPr>
        <w:ind w:left="3474" w:hanging="735"/>
        <w:jc w:val="left"/>
      </w:pPr>
      <w:rPr>
        <w:rFonts w:hint="default" w:ascii="宋体" w:hAnsi="宋体" w:eastAsia="宋体" w:cs="宋体"/>
        <w:spacing w:val="-1"/>
        <w:w w:val="99"/>
        <w:sz w:val="21"/>
        <w:szCs w:val="21"/>
      </w:rPr>
    </w:lvl>
    <w:lvl w:ilvl="1">
      <w:start w:val="0"/>
      <w:numFmt w:val="bullet"/>
      <w:lvlText w:val="•"/>
      <w:lvlJc w:val="left"/>
      <w:pPr>
        <w:ind w:left="403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130" w:hanging="735"/>
      </w:pPr>
      <w:rPr>
        <w:rFonts w:hint="default"/>
      </w:rPr>
    </w:lvl>
    <w:lvl w:ilvl="4">
      <w:start w:val="0"/>
      <w:numFmt w:val="bullet"/>
      <w:lvlText w:val="•"/>
      <w:lvlJc w:val="left"/>
      <w:pPr>
        <w:ind w:left="5680" w:hanging="735"/>
      </w:pPr>
      <w:rPr>
        <w:rFonts w:hint="default"/>
      </w:rPr>
    </w:lvl>
    <w:lvl w:ilvl="5">
      <w:start w:val="0"/>
      <w:numFmt w:val="bullet"/>
      <w:lvlText w:val="•"/>
      <w:lvlJc w:val="left"/>
      <w:pPr>
        <w:ind w:left="6230" w:hanging="735"/>
      </w:pPr>
      <w:rPr>
        <w:rFonts w:hint="default"/>
      </w:rPr>
    </w:lvl>
    <w:lvl w:ilvl="6">
      <w:start w:val="0"/>
      <w:numFmt w:val="bullet"/>
      <w:lvlText w:val="•"/>
      <w:lvlJc w:val="left"/>
      <w:pPr>
        <w:ind w:left="6780" w:hanging="735"/>
      </w:pPr>
      <w:rPr>
        <w:rFonts w:hint="default"/>
      </w:rPr>
    </w:lvl>
    <w:lvl w:ilvl="7">
      <w:start w:val="0"/>
      <w:numFmt w:val="bullet"/>
      <w:lvlText w:val="•"/>
      <w:lvlJc w:val="left"/>
      <w:pPr>
        <w:ind w:left="7330" w:hanging="735"/>
      </w:pPr>
      <w:rPr>
        <w:rFonts w:hint="default"/>
      </w:rPr>
    </w:lvl>
    <w:lvl w:ilvl="8">
      <w:start w:val="0"/>
      <w:numFmt w:val="bullet"/>
      <w:lvlText w:val="•"/>
      <w:lvlJc w:val="left"/>
      <w:pPr>
        <w:ind w:left="7880" w:hanging="735"/>
      </w:pPr>
      <w:rPr>
        <w:rFonts w:hint="default"/>
      </w:rPr>
    </w:lvl>
  </w:abstractNum>
  <w:abstractNum w:abstractNumId="31">
    <w:multiLevelType w:val="hybridMultilevel"/>
    <w:lvl w:ilvl="0">
      <w:start w:val="1"/>
      <w:numFmt w:val="decimal"/>
      <w:lvlText w:val="（%1）"/>
      <w:lvlJc w:val="left"/>
      <w:pPr>
        <w:ind w:left="3474" w:hanging="735"/>
        <w:jc w:val="left"/>
      </w:pPr>
      <w:rPr>
        <w:rFonts w:hint="default" w:ascii="宋体" w:hAnsi="宋体" w:eastAsia="宋体" w:cs="宋体"/>
        <w:spacing w:val="-1"/>
        <w:w w:val="99"/>
        <w:sz w:val="21"/>
        <w:szCs w:val="21"/>
      </w:rPr>
    </w:lvl>
    <w:lvl w:ilvl="1">
      <w:start w:val="0"/>
      <w:numFmt w:val="bullet"/>
      <w:lvlText w:val="•"/>
      <w:lvlJc w:val="left"/>
      <w:pPr>
        <w:ind w:left="403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130" w:hanging="735"/>
      </w:pPr>
      <w:rPr>
        <w:rFonts w:hint="default"/>
      </w:rPr>
    </w:lvl>
    <w:lvl w:ilvl="4">
      <w:start w:val="0"/>
      <w:numFmt w:val="bullet"/>
      <w:lvlText w:val="•"/>
      <w:lvlJc w:val="left"/>
      <w:pPr>
        <w:ind w:left="5680" w:hanging="735"/>
      </w:pPr>
      <w:rPr>
        <w:rFonts w:hint="default"/>
      </w:rPr>
    </w:lvl>
    <w:lvl w:ilvl="5">
      <w:start w:val="0"/>
      <w:numFmt w:val="bullet"/>
      <w:lvlText w:val="•"/>
      <w:lvlJc w:val="left"/>
      <w:pPr>
        <w:ind w:left="6230" w:hanging="735"/>
      </w:pPr>
      <w:rPr>
        <w:rFonts w:hint="default"/>
      </w:rPr>
    </w:lvl>
    <w:lvl w:ilvl="6">
      <w:start w:val="0"/>
      <w:numFmt w:val="bullet"/>
      <w:lvlText w:val="•"/>
      <w:lvlJc w:val="left"/>
      <w:pPr>
        <w:ind w:left="6780" w:hanging="735"/>
      </w:pPr>
      <w:rPr>
        <w:rFonts w:hint="default"/>
      </w:rPr>
    </w:lvl>
    <w:lvl w:ilvl="7">
      <w:start w:val="0"/>
      <w:numFmt w:val="bullet"/>
      <w:lvlText w:val="•"/>
      <w:lvlJc w:val="left"/>
      <w:pPr>
        <w:ind w:left="7330" w:hanging="735"/>
      </w:pPr>
      <w:rPr>
        <w:rFonts w:hint="default"/>
      </w:rPr>
    </w:lvl>
    <w:lvl w:ilvl="8">
      <w:start w:val="0"/>
      <w:numFmt w:val="bullet"/>
      <w:lvlText w:val="•"/>
      <w:lvlJc w:val="left"/>
      <w:pPr>
        <w:ind w:left="7880" w:hanging="735"/>
      </w:pPr>
      <w:rPr>
        <w:rFonts w:hint="default"/>
      </w:rPr>
    </w:lvl>
  </w:abstractNum>
  <w:abstractNum w:abstractNumId="30">
    <w:multiLevelType w:val="hybridMultilevel"/>
    <w:lvl w:ilvl="0">
      <w:start w:val="1"/>
      <w:numFmt w:val="decimal"/>
      <w:lvlText w:val="（%1）"/>
      <w:lvlJc w:val="left"/>
      <w:pPr>
        <w:ind w:left="3474" w:hanging="735"/>
        <w:jc w:val="left"/>
      </w:pPr>
      <w:rPr>
        <w:rFonts w:hint="default" w:ascii="宋体" w:hAnsi="宋体" w:eastAsia="宋体" w:cs="宋体"/>
        <w:spacing w:val="-1"/>
        <w:w w:val="99"/>
        <w:sz w:val="21"/>
        <w:szCs w:val="21"/>
      </w:rPr>
    </w:lvl>
    <w:lvl w:ilvl="1">
      <w:start w:val="0"/>
      <w:numFmt w:val="bullet"/>
      <w:lvlText w:val="•"/>
      <w:lvlJc w:val="left"/>
      <w:pPr>
        <w:ind w:left="4030" w:hanging="735"/>
      </w:pPr>
      <w:rPr>
        <w:rFonts w:hint="default"/>
      </w:rPr>
    </w:lvl>
    <w:lvl w:ilvl="2">
      <w:start w:val="0"/>
      <w:numFmt w:val="bullet"/>
      <w:lvlText w:val="•"/>
      <w:lvlJc w:val="left"/>
      <w:pPr>
        <w:ind w:left="4580" w:hanging="735"/>
      </w:pPr>
      <w:rPr>
        <w:rFonts w:hint="default"/>
      </w:rPr>
    </w:lvl>
    <w:lvl w:ilvl="3">
      <w:start w:val="0"/>
      <w:numFmt w:val="bullet"/>
      <w:lvlText w:val="•"/>
      <w:lvlJc w:val="left"/>
      <w:pPr>
        <w:ind w:left="5130" w:hanging="735"/>
      </w:pPr>
      <w:rPr>
        <w:rFonts w:hint="default"/>
      </w:rPr>
    </w:lvl>
    <w:lvl w:ilvl="4">
      <w:start w:val="0"/>
      <w:numFmt w:val="bullet"/>
      <w:lvlText w:val="•"/>
      <w:lvlJc w:val="left"/>
      <w:pPr>
        <w:ind w:left="5680" w:hanging="735"/>
      </w:pPr>
      <w:rPr>
        <w:rFonts w:hint="default"/>
      </w:rPr>
    </w:lvl>
    <w:lvl w:ilvl="5">
      <w:start w:val="0"/>
      <w:numFmt w:val="bullet"/>
      <w:lvlText w:val="•"/>
      <w:lvlJc w:val="left"/>
      <w:pPr>
        <w:ind w:left="6230" w:hanging="735"/>
      </w:pPr>
      <w:rPr>
        <w:rFonts w:hint="default"/>
      </w:rPr>
    </w:lvl>
    <w:lvl w:ilvl="6">
      <w:start w:val="0"/>
      <w:numFmt w:val="bullet"/>
      <w:lvlText w:val="•"/>
      <w:lvlJc w:val="left"/>
      <w:pPr>
        <w:ind w:left="6780" w:hanging="735"/>
      </w:pPr>
      <w:rPr>
        <w:rFonts w:hint="default"/>
      </w:rPr>
    </w:lvl>
    <w:lvl w:ilvl="7">
      <w:start w:val="0"/>
      <w:numFmt w:val="bullet"/>
      <w:lvlText w:val="•"/>
      <w:lvlJc w:val="left"/>
      <w:pPr>
        <w:ind w:left="7330" w:hanging="735"/>
      </w:pPr>
      <w:rPr>
        <w:rFonts w:hint="default"/>
      </w:rPr>
    </w:lvl>
    <w:lvl w:ilvl="8">
      <w:start w:val="0"/>
      <w:numFmt w:val="bullet"/>
      <w:lvlText w:val="•"/>
      <w:lvlJc w:val="left"/>
      <w:pPr>
        <w:ind w:left="7880" w:hanging="735"/>
      </w:pPr>
      <w:rPr>
        <w:rFonts w:hint="default"/>
      </w:rPr>
    </w:lvl>
  </w:abstractNum>
  <w:abstractNum w:abstractNumId="29">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7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082" w:hanging="735"/>
      </w:pPr>
      <w:rPr>
        <w:rFonts w:hint="default"/>
      </w:rPr>
    </w:lvl>
    <w:lvl w:ilvl="4">
      <w:start w:val="0"/>
      <w:numFmt w:val="bullet"/>
      <w:lvlText w:val="•"/>
      <w:lvlJc w:val="left"/>
      <w:pPr>
        <w:ind w:left="5636" w:hanging="735"/>
      </w:pPr>
      <w:rPr>
        <w:rFonts w:hint="default"/>
      </w:rPr>
    </w:lvl>
    <w:lvl w:ilvl="5">
      <w:start w:val="0"/>
      <w:numFmt w:val="bullet"/>
      <w:lvlText w:val="•"/>
      <w:lvlJc w:val="left"/>
      <w:pPr>
        <w:ind w:left="6190" w:hanging="735"/>
      </w:pPr>
      <w:rPr>
        <w:rFonts w:hint="default"/>
      </w:rPr>
    </w:lvl>
    <w:lvl w:ilvl="6">
      <w:start w:val="0"/>
      <w:numFmt w:val="bullet"/>
      <w:lvlText w:val="•"/>
      <w:lvlJc w:val="left"/>
      <w:pPr>
        <w:ind w:left="6744" w:hanging="735"/>
      </w:pPr>
      <w:rPr>
        <w:rFonts w:hint="default"/>
      </w:rPr>
    </w:lvl>
    <w:lvl w:ilvl="7">
      <w:start w:val="0"/>
      <w:numFmt w:val="bullet"/>
      <w:lvlText w:val="•"/>
      <w:lvlJc w:val="left"/>
      <w:pPr>
        <w:ind w:left="7298" w:hanging="735"/>
      </w:pPr>
      <w:rPr>
        <w:rFonts w:hint="default"/>
      </w:rPr>
    </w:lvl>
    <w:lvl w:ilvl="8">
      <w:start w:val="0"/>
      <w:numFmt w:val="bullet"/>
      <w:lvlText w:val="•"/>
      <w:lvlJc w:val="left"/>
      <w:pPr>
        <w:ind w:left="7852" w:hanging="735"/>
      </w:pPr>
      <w:rPr>
        <w:rFonts w:hint="default"/>
      </w:rPr>
    </w:lvl>
  </w:abstractNum>
  <w:abstractNum w:abstractNumId="28">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7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082" w:hanging="735"/>
      </w:pPr>
      <w:rPr>
        <w:rFonts w:hint="default"/>
      </w:rPr>
    </w:lvl>
    <w:lvl w:ilvl="4">
      <w:start w:val="0"/>
      <w:numFmt w:val="bullet"/>
      <w:lvlText w:val="•"/>
      <w:lvlJc w:val="left"/>
      <w:pPr>
        <w:ind w:left="5636" w:hanging="735"/>
      </w:pPr>
      <w:rPr>
        <w:rFonts w:hint="default"/>
      </w:rPr>
    </w:lvl>
    <w:lvl w:ilvl="5">
      <w:start w:val="0"/>
      <w:numFmt w:val="bullet"/>
      <w:lvlText w:val="•"/>
      <w:lvlJc w:val="left"/>
      <w:pPr>
        <w:ind w:left="6190" w:hanging="735"/>
      </w:pPr>
      <w:rPr>
        <w:rFonts w:hint="default"/>
      </w:rPr>
    </w:lvl>
    <w:lvl w:ilvl="6">
      <w:start w:val="0"/>
      <w:numFmt w:val="bullet"/>
      <w:lvlText w:val="•"/>
      <w:lvlJc w:val="left"/>
      <w:pPr>
        <w:ind w:left="6744" w:hanging="735"/>
      </w:pPr>
      <w:rPr>
        <w:rFonts w:hint="default"/>
      </w:rPr>
    </w:lvl>
    <w:lvl w:ilvl="7">
      <w:start w:val="0"/>
      <w:numFmt w:val="bullet"/>
      <w:lvlText w:val="•"/>
      <w:lvlJc w:val="left"/>
      <w:pPr>
        <w:ind w:left="7298" w:hanging="735"/>
      </w:pPr>
      <w:rPr>
        <w:rFonts w:hint="default"/>
      </w:rPr>
    </w:lvl>
    <w:lvl w:ilvl="8">
      <w:start w:val="0"/>
      <w:numFmt w:val="bullet"/>
      <w:lvlText w:val="•"/>
      <w:lvlJc w:val="left"/>
      <w:pPr>
        <w:ind w:left="7852" w:hanging="735"/>
      </w:pPr>
      <w:rPr>
        <w:rFonts w:hint="default"/>
      </w:rPr>
    </w:lvl>
  </w:abstractNum>
  <w:abstractNum w:abstractNumId="27">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1"/>
      <w:numFmt w:val="lowerLetter"/>
      <w:lvlText w:val="%2)"/>
      <w:lvlJc w:val="left"/>
      <w:pPr>
        <w:ind w:left="1232" w:hanging="420"/>
        <w:jc w:val="left"/>
      </w:pPr>
      <w:rPr>
        <w:rFonts w:hint="default" w:ascii="宋体" w:hAnsi="宋体" w:eastAsia="宋体" w:cs="宋体"/>
        <w:spacing w:val="0"/>
        <w:w w:val="99"/>
        <w:sz w:val="21"/>
        <w:szCs w:val="21"/>
      </w:rPr>
    </w:lvl>
    <w:lvl w:ilvl="2">
      <w:start w:val="0"/>
      <w:numFmt w:val="bullet"/>
      <w:lvlText w:val="•"/>
      <w:lvlJc w:val="left"/>
      <w:pPr>
        <w:ind w:left="1811" w:hanging="420"/>
      </w:pPr>
      <w:rPr>
        <w:rFonts w:hint="default"/>
      </w:rPr>
    </w:lvl>
    <w:lvl w:ilvl="3">
      <w:start w:val="0"/>
      <w:numFmt w:val="bullet"/>
      <w:lvlText w:val="•"/>
      <w:lvlJc w:val="left"/>
      <w:pPr>
        <w:ind w:left="2382" w:hanging="420"/>
      </w:pPr>
      <w:rPr>
        <w:rFonts w:hint="default"/>
      </w:rPr>
    </w:lvl>
    <w:lvl w:ilvl="4">
      <w:start w:val="0"/>
      <w:numFmt w:val="bullet"/>
      <w:lvlText w:val="•"/>
      <w:lvlJc w:val="left"/>
      <w:pPr>
        <w:ind w:left="2953" w:hanging="420"/>
      </w:pPr>
      <w:rPr>
        <w:rFonts w:hint="default"/>
      </w:rPr>
    </w:lvl>
    <w:lvl w:ilvl="5">
      <w:start w:val="0"/>
      <w:numFmt w:val="bullet"/>
      <w:lvlText w:val="•"/>
      <w:lvlJc w:val="left"/>
      <w:pPr>
        <w:ind w:left="3524" w:hanging="420"/>
      </w:pPr>
      <w:rPr>
        <w:rFonts w:hint="default"/>
      </w:rPr>
    </w:lvl>
    <w:lvl w:ilvl="6">
      <w:start w:val="0"/>
      <w:numFmt w:val="bullet"/>
      <w:lvlText w:val="•"/>
      <w:lvlJc w:val="left"/>
      <w:pPr>
        <w:ind w:left="4095" w:hanging="420"/>
      </w:pPr>
      <w:rPr>
        <w:rFonts w:hint="default"/>
      </w:rPr>
    </w:lvl>
    <w:lvl w:ilvl="7">
      <w:start w:val="0"/>
      <w:numFmt w:val="bullet"/>
      <w:lvlText w:val="•"/>
      <w:lvlJc w:val="left"/>
      <w:pPr>
        <w:ind w:left="4666" w:hanging="420"/>
      </w:pPr>
      <w:rPr>
        <w:rFonts w:hint="default"/>
      </w:rPr>
    </w:lvl>
    <w:lvl w:ilvl="8">
      <w:start w:val="0"/>
      <w:numFmt w:val="bullet"/>
      <w:lvlText w:val="•"/>
      <w:lvlJc w:val="left"/>
      <w:pPr>
        <w:ind w:left="5237" w:hanging="420"/>
      </w:pPr>
      <w:rPr>
        <w:rFonts w:hint="default"/>
      </w:rPr>
    </w:lvl>
  </w:abstractNum>
  <w:abstractNum w:abstractNumId="26">
    <w:multiLevelType w:val="hybridMultilevel"/>
    <w:lvl w:ilvl="0">
      <w:start w:val="1"/>
      <w:numFmt w:val="decimal"/>
      <w:lvlText w:val="（%1）"/>
      <w:lvlJc w:val="left"/>
      <w:pPr>
        <w:ind w:left="839" w:hanging="735"/>
        <w:jc w:val="left"/>
      </w:pPr>
      <w:rPr>
        <w:rFonts w:hint="default" w:ascii="宋体" w:hAnsi="宋体" w:eastAsia="宋体" w:cs="宋体"/>
        <w:spacing w:val="-1"/>
        <w:w w:val="99"/>
        <w:sz w:val="21"/>
        <w:szCs w:val="21"/>
      </w:rPr>
    </w:lvl>
    <w:lvl w:ilvl="1">
      <w:start w:val="0"/>
      <w:numFmt w:val="bullet"/>
      <w:lvlText w:val="•"/>
      <w:lvlJc w:val="left"/>
      <w:pPr>
        <w:ind w:left="1386" w:hanging="735"/>
      </w:pPr>
      <w:rPr>
        <w:rFonts w:hint="default"/>
      </w:rPr>
    </w:lvl>
    <w:lvl w:ilvl="2">
      <w:start w:val="0"/>
      <w:numFmt w:val="bullet"/>
      <w:lvlText w:val="•"/>
      <w:lvlJc w:val="left"/>
      <w:pPr>
        <w:ind w:left="1932" w:hanging="735"/>
      </w:pPr>
      <w:rPr>
        <w:rFonts w:hint="default"/>
      </w:rPr>
    </w:lvl>
    <w:lvl w:ilvl="3">
      <w:start w:val="0"/>
      <w:numFmt w:val="bullet"/>
      <w:lvlText w:val="•"/>
      <w:lvlJc w:val="left"/>
      <w:pPr>
        <w:ind w:left="2479" w:hanging="735"/>
      </w:pPr>
      <w:rPr>
        <w:rFonts w:hint="default"/>
      </w:rPr>
    </w:lvl>
    <w:lvl w:ilvl="4">
      <w:start w:val="0"/>
      <w:numFmt w:val="bullet"/>
      <w:lvlText w:val="•"/>
      <w:lvlJc w:val="left"/>
      <w:pPr>
        <w:ind w:left="3025" w:hanging="735"/>
      </w:pPr>
      <w:rPr>
        <w:rFonts w:hint="default"/>
      </w:rPr>
    </w:lvl>
    <w:lvl w:ilvl="5">
      <w:start w:val="0"/>
      <w:numFmt w:val="bullet"/>
      <w:lvlText w:val="•"/>
      <w:lvlJc w:val="left"/>
      <w:pPr>
        <w:ind w:left="3572" w:hanging="735"/>
      </w:pPr>
      <w:rPr>
        <w:rFonts w:hint="default"/>
      </w:rPr>
    </w:lvl>
    <w:lvl w:ilvl="6">
      <w:start w:val="0"/>
      <w:numFmt w:val="bullet"/>
      <w:lvlText w:val="•"/>
      <w:lvlJc w:val="left"/>
      <w:pPr>
        <w:ind w:left="4118" w:hanging="735"/>
      </w:pPr>
      <w:rPr>
        <w:rFonts w:hint="default"/>
      </w:rPr>
    </w:lvl>
    <w:lvl w:ilvl="7">
      <w:start w:val="0"/>
      <w:numFmt w:val="bullet"/>
      <w:lvlText w:val="•"/>
      <w:lvlJc w:val="left"/>
      <w:pPr>
        <w:ind w:left="4665" w:hanging="735"/>
      </w:pPr>
      <w:rPr>
        <w:rFonts w:hint="default"/>
      </w:rPr>
    </w:lvl>
    <w:lvl w:ilvl="8">
      <w:start w:val="0"/>
      <w:numFmt w:val="bullet"/>
      <w:lvlText w:val="•"/>
      <w:lvlJc w:val="left"/>
      <w:pPr>
        <w:ind w:left="5211" w:hanging="735"/>
      </w:pPr>
      <w:rPr>
        <w:rFonts w:hint="default"/>
      </w:rPr>
    </w:lvl>
  </w:abstractNum>
  <w:abstractNum w:abstractNumId="25">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0"/>
      <w:numFmt w:val="bullet"/>
      <w:lvlText w:val="•"/>
      <w:lvlJc w:val="left"/>
      <w:pPr>
        <w:ind w:left="1386" w:hanging="735"/>
      </w:pPr>
      <w:rPr>
        <w:rFonts w:hint="default"/>
      </w:rPr>
    </w:lvl>
    <w:lvl w:ilvl="2">
      <w:start w:val="0"/>
      <w:numFmt w:val="bullet"/>
      <w:lvlText w:val="•"/>
      <w:lvlJc w:val="left"/>
      <w:pPr>
        <w:ind w:left="1932" w:hanging="735"/>
      </w:pPr>
      <w:rPr>
        <w:rFonts w:hint="default"/>
      </w:rPr>
    </w:lvl>
    <w:lvl w:ilvl="3">
      <w:start w:val="0"/>
      <w:numFmt w:val="bullet"/>
      <w:lvlText w:val="•"/>
      <w:lvlJc w:val="left"/>
      <w:pPr>
        <w:ind w:left="2478" w:hanging="735"/>
      </w:pPr>
      <w:rPr>
        <w:rFonts w:hint="default"/>
      </w:rPr>
    </w:lvl>
    <w:lvl w:ilvl="4">
      <w:start w:val="0"/>
      <w:numFmt w:val="bullet"/>
      <w:lvlText w:val="•"/>
      <w:lvlJc w:val="left"/>
      <w:pPr>
        <w:ind w:left="3024" w:hanging="735"/>
      </w:pPr>
      <w:rPr>
        <w:rFonts w:hint="default"/>
      </w:rPr>
    </w:lvl>
    <w:lvl w:ilvl="5">
      <w:start w:val="0"/>
      <w:numFmt w:val="bullet"/>
      <w:lvlText w:val="•"/>
      <w:lvlJc w:val="left"/>
      <w:pPr>
        <w:ind w:left="3570" w:hanging="735"/>
      </w:pPr>
      <w:rPr>
        <w:rFonts w:hint="default"/>
      </w:rPr>
    </w:lvl>
    <w:lvl w:ilvl="6">
      <w:start w:val="0"/>
      <w:numFmt w:val="bullet"/>
      <w:lvlText w:val="•"/>
      <w:lvlJc w:val="left"/>
      <w:pPr>
        <w:ind w:left="4116" w:hanging="735"/>
      </w:pPr>
      <w:rPr>
        <w:rFonts w:hint="default"/>
      </w:rPr>
    </w:lvl>
    <w:lvl w:ilvl="7">
      <w:start w:val="0"/>
      <w:numFmt w:val="bullet"/>
      <w:lvlText w:val="•"/>
      <w:lvlJc w:val="left"/>
      <w:pPr>
        <w:ind w:left="4662" w:hanging="735"/>
      </w:pPr>
      <w:rPr>
        <w:rFonts w:hint="default"/>
      </w:rPr>
    </w:lvl>
    <w:lvl w:ilvl="8">
      <w:start w:val="0"/>
      <w:numFmt w:val="bullet"/>
      <w:lvlText w:val="•"/>
      <w:lvlJc w:val="left"/>
      <w:pPr>
        <w:ind w:left="5208" w:hanging="735"/>
      </w:pPr>
      <w:rPr>
        <w:rFonts w:hint="default"/>
      </w:rPr>
    </w:lvl>
  </w:abstractNum>
  <w:abstractNum w:abstractNumId="24">
    <w:multiLevelType w:val="hybridMultilevel"/>
    <w:lvl w:ilvl="0">
      <w:start w:val="1"/>
      <w:numFmt w:val="decimal"/>
      <w:lvlText w:val="（%1）"/>
      <w:lvlJc w:val="left"/>
      <w:pPr>
        <w:ind w:left="3414" w:hanging="735"/>
        <w:jc w:val="left"/>
      </w:pPr>
      <w:rPr>
        <w:rFonts w:hint="default" w:ascii="宋体" w:hAnsi="宋体" w:eastAsia="宋体" w:cs="宋体"/>
        <w:spacing w:val="-1"/>
        <w:w w:val="99"/>
        <w:sz w:val="21"/>
        <w:szCs w:val="21"/>
      </w:rPr>
    </w:lvl>
    <w:lvl w:ilvl="1">
      <w:start w:val="0"/>
      <w:numFmt w:val="bullet"/>
      <w:lvlText w:val="•"/>
      <w:lvlJc w:val="left"/>
      <w:pPr>
        <w:ind w:left="396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058" w:hanging="735"/>
      </w:pPr>
      <w:rPr>
        <w:rFonts w:hint="default"/>
      </w:rPr>
    </w:lvl>
    <w:lvl w:ilvl="4">
      <w:start w:val="0"/>
      <w:numFmt w:val="bullet"/>
      <w:lvlText w:val="•"/>
      <w:lvlJc w:val="left"/>
      <w:pPr>
        <w:ind w:left="5604" w:hanging="735"/>
      </w:pPr>
      <w:rPr>
        <w:rFonts w:hint="default"/>
      </w:rPr>
    </w:lvl>
    <w:lvl w:ilvl="5">
      <w:start w:val="0"/>
      <w:numFmt w:val="bullet"/>
      <w:lvlText w:val="•"/>
      <w:lvlJc w:val="left"/>
      <w:pPr>
        <w:ind w:left="6150" w:hanging="735"/>
      </w:pPr>
      <w:rPr>
        <w:rFonts w:hint="default"/>
      </w:rPr>
    </w:lvl>
    <w:lvl w:ilvl="6">
      <w:start w:val="0"/>
      <w:numFmt w:val="bullet"/>
      <w:lvlText w:val="•"/>
      <w:lvlJc w:val="left"/>
      <w:pPr>
        <w:ind w:left="6696" w:hanging="735"/>
      </w:pPr>
      <w:rPr>
        <w:rFonts w:hint="default"/>
      </w:rPr>
    </w:lvl>
    <w:lvl w:ilvl="7">
      <w:start w:val="0"/>
      <w:numFmt w:val="bullet"/>
      <w:lvlText w:val="•"/>
      <w:lvlJc w:val="left"/>
      <w:pPr>
        <w:ind w:left="7242" w:hanging="735"/>
      </w:pPr>
      <w:rPr>
        <w:rFonts w:hint="default"/>
      </w:rPr>
    </w:lvl>
    <w:lvl w:ilvl="8">
      <w:start w:val="0"/>
      <w:numFmt w:val="bullet"/>
      <w:lvlText w:val="•"/>
      <w:lvlJc w:val="left"/>
      <w:pPr>
        <w:ind w:left="7788" w:hanging="735"/>
      </w:pPr>
      <w:rPr>
        <w:rFonts w:hint="default"/>
      </w:rPr>
    </w:lvl>
  </w:abstractNum>
  <w:abstractNum w:abstractNumId="23">
    <w:multiLevelType w:val="hybridMultilevel"/>
    <w:lvl w:ilvl="0">
      <w:start w:val="9"/>
      <w:numFmt w:val="decimal"/>
      <w:lvlText w:val="%1"/>
      <w:lvlJc w:val="left"/>
      <w:pPr>
        <w:ind w:left="2740" w:hanging="747"/>
        <w:jc w:val="left"/>
      </w:pPr>
      <w:rPr>
        <w:rFonts w:hint="default"/>
      </w:rPr>
    </w:lvl>
    <w:lvl w:ilvl="1">
      <w:start w:val="25"/>
      <w:numFmt w:val="decimal"/>
      <w:lvlText w:val="%1.%2"/>
      <w:lvlJc w:val="left"/>
      <w:pPr>
        <w:ind w:left="2740" w:hanging="747"/>
        <w:jc w:val="left"/>
      </w:pPr>
      <w:rPr>
        <w:rFonts w:hint="default" w:ascii="宋体" w:hAnsi="宋体" w:eastAsia="宋体" w:cs="宋体"/>
        <w:b/>
        <w:bCs/>
        <w:spacing w:val="0"/>
        <w:w w:val="98"/>
        <w:sz w:val="21"/>
        <w:szCs w:val="21"/>
      </w:rPr>
    </w:lvl>
    <w:lvl w:ilvl="2">
      <w:start w:val="1"/>
      <w:numFmt w:val="decimal"/>
      <w:lvlText w:val="（%3）"/>
      <w:lvlJc w:val="left"/>
      <w:pPr>
        <w:ind w:left="3474" w:hanging="735"/>
        <w:jc w:val="left"/>
      </w:pPr>
      <w:rPr>
        <w:rFonts w:hint="default" w:ascii="宋体" w:hAnsi="宋体" w:eastAsia="宋体" w:cs="宋体"/>
        <w:spacing w:val="-1"/>
        <w:w w:val="99"/>
        <w:sz w:val="21"/>
        <w:szCs w:val="21"/>
      </w:rPr>
    </w:lvl>
    <w:lvl w:ilvl="3">
      <w:start w:val="0"/>
      <w:numFmt w:val="bullet"/>
      <w:lvlText w:val="•"/>
      <w:lvlJc w:val="left"/>
      <w:pPr>
        <w:ind w:left="4711" w:hanging="735"/>
      </w:pPr>
      <w:rPr>
        <w:rFonts w:hint="default"/>
      </w:rPr>
    </w:lvl>
    <w:lvl w:ilvl="4">
      <w:start w:val="0"/>
      <w:numFmt w:val="bullet"/>
      <w:lvlText w:val="•"/>
      <w:lvlJc w:val="left"/>
      <w:pPr>
        <w:ind w:left="5326" w:hanging="735"/>
      </w:pPr>
      <w:rPr>
        <w:rFonts w:hint="default"/>
      </w:rPr>
    </w:lvl>
    <w:lvl w:ilvl="5">
      <w:start w:val="0"/>
      <w:numFmt w:val="bullet"/>
      <w:lvlText w:val="•"/>
      <w:lvlJc w:val="left"/>
      <w:pPr>
        <w:ind w:left="5942" w:hanging="735"/>
      </w:pPr>
      <w:rPr>
        <w:rFonts w:hint="default"/>
      </w:rPr>
    </w:lvl>
    <w:lvl w:ilvl="6">
      <w:start w:val="0"/>
      <w:numFmt w:val="bullet"/>
      <w:lvlText w:val="•"/>
      <w:lvlJc w:val="left"/>
      <w:pPr>
        <w:ind w:left="6557" w:hanging="735"/>
      </w:pPr>
      <w:rPr>
        <w:rFonts w:hint="default"/>
      </w:rPr>
    </w:lvl>
    <w:lvl w:ilvl="7">
      <w:start w:val="0"/>
      <w:numFmt w:val="bullet"/>
      <w:lvlText w:val="•"/>
      <w:lvlJc w:val="left"/>
      <w:pPr>
        <w:ind w:left="7173" w:hanging="735"/>
      </w:pPr>
      <w:rPr>
        <w:rFonts w:hint="default"/>
      </w:rPr>
    </w:lvl>
    <w:lvl w:ilvl="8">
      <w:start w:val="0"/>
      <w:numFmt w:val="bullet"/>
      <w:lvlText w:val="•"/>
      <w:lvlJc w:val="left"/>
      <w:pPr>
        <w:ind w:left="7788" w:hanging="735"/>
      </w:pPr>
      <w:rPr>
        <w:rFonts w:hint="default"/>
      </w:rPr>
    </w:lvl>
  </w:abstractNum>
  <w:abstractNum w:abstractNumId="22">
    <w:multiLevelType w:val="hybridMultilevel"/>
    <w:lvl w:ilvl="0">
      <w:start w:val="1"/>
      <w:numFmt w:val="lowerLetter"/>
      <w:lvlText w:val="%1)"/>
      <w:lvlJc w:val="left"/>
      <w:pPr>
        <w:ind w:left="3872" w:hanging="420"/>
        <w:jc w:val="left"/>
      </w:pPr>
      <w:rPr>
        <w:rFonts w:hint="default" w:ascii="宋体" w:hAnsi="宋体" w:eastAsia="宋体" w:cs="宋体"/>
        <w:spacing w:val="0"/>
        <w:w w:val="99"/>
        <w:sz w:val="21"/>
        <w:szCs w:val="21"/>
      </w:rPr>
    </w:lvl>
    <w:lvl w:ilvl="1">
      <w:start w:val="0"/>
      <w:numFmt w:val="bullet"/>
      <w:lvlText w:val="•"/>
      <w:lvlJc w:val="left"/>
      <w:pPr>
        <w:ind w:left="4394" w:hanging="420"/>
      </w:pPr>
      <w:rPr>
        <w:rFonts w:hint="default"/>
      </w:rPr>
    </w:lvl>
    <w:lvl w:ilvl="2">
      <w:start w:val="0"/>
      <w:numFmt w:val="bullet"/>
      <w:lvlText w:val="•"/>
      <w:lvlJc w:val="left"/>
      <w:pPr>
        <w:ind w:left="4908" w:hanging="420"/>
      </w:pPr>
      <w:rPr>
        <w:rFonts w:hint="default"/>
      </w:rPr>
    </w:lvl>
    <w:lvl w:ilvl="3">
      <w:start w:val="0"/>
      <w:numFmt w:val="bullet"/>
      <w:lvlText w:val="•"/>
      <w:lvlJc w:val="left"/>
      <w:pPr>
        <w:ind w:left="5422" w:hanging="420"/>
      </w:pPr>
      <w:rPr>
        <w:rFonts w:hint="default"/>
      </w:rPr>
    </w:lvl>
    <w:lvl w:ilvl="4">
      <w:start w:val="0"/>
      <w:numFmt w:val="bullet"/>
      <w:lvlText w:val="•"/>
      <w:lvlJc w:val="left"/>
      <w:pPr>
        <w:ind w:left="5936" w:hanging="420"/>
      </w:pPr>
      <w:rPr>
        <w:rFonts w:hint="default"/>
      </w:rPr>
    </w:lvl>
    <w:lvl w:ilvl="5">
      <w:start w:val="0"/>
      <w:numFmt w:val="bullet"/>
      <w:lvlText w:val="•"/>
      <w:lvlJc w:val="left"/>
      <w:pPr>
        <w:ind w:left="6450" w:hanging="420"/>
      </w:pPr>
      <w:rPr>
        <w:rFonts w:hint="default"/>
      </w:rPr>
    </w:lvl>
    <w:lvl w:ilvl="6">
      <w:start w:val="0"/>
      <w:numFmt w:val="bullet"/>
      <w:lvlText w:val="•"/>
      <w:lvlJc w:val="left"/>
      <w:pPr>
        <w:ind w:left="6964" w:hanging="420"/>
      </w:pPr>
      <w:rPr>
        <w:rFonts w:hint="default"/>
      </w:rPr>
    </w:lvl>
    <w:lvl w:ilvl="7">
      <w:start w:val="0"/>
      <w:numFmt w:val="bullet"/>
      <w:lvlText w:val="•"/>
      <w:lvlJc w:val="left"/>
      <w:pPr>
        <w:ind w:left="7478" w:hanging="420"/>
      </w:pPr>
      <w:rPr>
        <w:rFonts w:hint="default"/>
      </w:rPr>
    </w:lvl>
    <w:lvl w:ilvl="8">
      <w:start w:val="0"/>
      <w:numFmt w:val="bullet"/>
      <w:lvlText w:val="•"/>
      <w:lvlJc w:val="left"/>
      <w:pPr>
        <w:ind w:left="7992" w:hanging="420"/>
      </w:pPr>
      <w:rPr>
        <w:rFonts w:hint="default"/>
      </w:rPr>
    </w:lvl>
  </w:abstractNum>
  <w:abstractNum w:abstractNumId="21">
    <w:multiLevelType w:val="hybridMultilevel"/>
    <w:lvl w:ilvl="0">
      <w:start w:val="9"/>
      <w:numFmt w:val="decimal"/>
      <w:lvlText w:val="%1"/>
      <w:lvlJc w:val="left"/>
      <w:pPr>
        <w:ind w:left="2740" w:hanging="747"/>
        <w:jc w:val="left"/>
      </w:pPr>
      <w:rPr>
        <w:rFonts w:hint="default"/>
      </w:rPr>
    </w:lvl>
    <w:lvl w:ilvl="1">
      <w:start w:val="19"/>
      <w:numFmt w:val="decimal"/>
      <w:lvlText w:val="%1.%2"/>
      <w:lvlJc w:val="left"/>
      <w:pPr>
        <w:ind w:left="2740" w:hanging="747"/>
        <w:jc w:val="left"/>
      </w:pPr>
      <w:rPr>
        <w:rFonts w:hint="default" w:ascii="宋体" w:hAnsi="宋体" w:eastAsia="宋体" w:cs="宋体"/>
        <w:b/>
        <w:bCs/>
        <w:spacing w:val="0"/>
        <w:w w:val="98"/>
        <w:sz w:val="21"/>
        <w:szCs w:val="21"/>
      </w:rPr>
    </w:lvl>
    <w:lvl w:ilvl="2">
      <w:start w:val="1"/>
      <w:numFmt w:val="decimal"/>
      <w:lvlText w:val="（%3）"/>
      <w:lvlJc w:val="left"/>
      <w:pPr>
        <w:ind w:left="3460" w:hanging="735"/>
        <w:jc w:val="left"/>
      </w:pPr>
      <w:rPr>
        <w:rFonts w:hint="default" w:ascii="宋体" w:hAnsi="宋体" w:eastAsia="宋体" w:cs="宋体"/>
        <w:spacing w:val="-1"/>
        <w:w w:val="99"/>
        <w:sz w:val="21"/>
        <w:szCs w:val="21"/>
      </w:rPr>
    </w:lvl>
    <w:lvl w:ilvl="3">
      <w:start w:val="0"/>
      <w:numFmt w:val="bullet"/>
      <w:lvlText w:val="•"/>
      <w:lvlJc w:val="left"/>
      <w:pPr>
        <w:ind w:left="4686" w:hanging="735"/>
      </w:pPr>
      <w:rPr>
        <w:rFonts w:hint="default"/>
      </w:rPr>
    </w:lvl>
    <w:lvl w:ilvl="4">
      <w:start w:val="0"/>
      <w:numFmt w:val="bullet"/>
      <w:lvlText w:val="•"/>
      <w:lvlJc w:val="left"/>
      <w:pPr>
        <w:ind w:left="5300" w:hanging="735"/>
      </w:pPr>
      <w:rPr>
        <w:rFonts w:hint="default"/>
      </w:rPr>
    </w:lvl>
    <w:lvl w:ilvl="5">
      <w:start w:val="0"/>
      <w:numFmt w:val="bullet"/>
      <w:lvlText w:val="•"/>
      <w:lvlJc w:val="left"/>
      <w:pPr>
        <w:ind w:left="5913" w:hanging="735"/>
      </w:pPr>
      <w:rPr>
        <w:rFonts w:hint="default"/>
      </w:rPr>
    </w:lvl>
    <w:lvl w:ilvl="6">
      <w:start w:val="0"/>
      <w:numFmt w:val="bullet"/>
      <w:lvlText w:val="•"/>
      <w:lvlJc w:val="left"/>
      <w:pPr>
        <w:ind w:left="6526" w:hanging="735"/>
      </w:pPr>
      <w:rPr>
        <w:rFonts w:hint="default"/>
      </w:rPr>
    </w:lvl>
    <w:lvl w:ilvl="7">
      <w:start w:val="0"/>
      <w:numFmt w:val="bullet"/>
      <w:lvlText w:val="•"/>
      <w:lvlJc w:val="left"/>
      <w:pPr>
        <w:ind w:left="7140" w:hanging="735"/>
      </w:pPr>
      <w:rPr>
        <w:rFonts w:hint="default"/>
      </w:rPr>
    </w:lvl>
    <w:lvl w:ilvl="8">
      <w:start w:val="0"/>
      <w:numFmt w:val="bullet"/>
      <w:lvlText w:val="•"/>
      <w:lvlJc w:val="left"/>
      <w:pPr>
        <w:ind w:left="7753" w:hanging="735"/>
      </w:pPr>
      <w:rPr>
        <w:rFonts w:hint="default"/>
      </w:rPr>
    </w:lvl>
  </w:abstractNum>
  <w:abstractNum w:abstractNumId="20">
    <w:multiLevelType w:val="hybridMultilevel"/>
    <w:lvl w:ilvl="0">
      <w:start w:val="1"/>
      <w:numFmt w:val="decimal"/>
      <w:lvlText w:val="（%1）"/>
      <w:lvlJc w:val="left"/>
      <w:pPr>
        <w:ind w:left="3460" w:hanging="735"/>
        <w:jc w:val="left"/>
      </w:pPr>
      <w:rPr>
        <w:rFonts w:hint="default" w:ascii="宋体" w:hAnsi="宋体" w:eastAsia="宋体" w:cs="宋体"/>
        <w:spacing w:val="-1"/>
        <w:w w:val="99"/>
        <w:sz w:val="21"/>
        <w:szCs w:val="21"/>
      </w:rPr>
    </w:lvl>
    <w:lvl w:ilvl="1">
      <w:start w:val="0"/>
      <w:numFmt w:val="bullet"/>
      <w:lvlText w:val="•"/>
      <w:lvlJc w:val="left"/>
      <w:pPr>
        <w:ind w:left="4012" w:hanging="735"/>
      </w:pPr>
      <w:rPr>
        <w:rFonts w:hint="default"/>
      </w:rPr>
    </w:lvl>
    <w:lvl w:ilvl="2">
      <w:start w:val="0"/>
      <w:numFmt w:val="bullet"/>
      <w:lvlText w:val="•"/>
      <w:lvlJc w:val="left"/>
      <w:pPr>
        <w:ind w:left="4564" w:hanging="735"/>
      </w:pPr>
      <w:rPr>
        <w:rFonts w:hint="default"/>
      </w:rPr>
    </w:lvl>
    <w:lvl w:ilvl="3">
      <w:start w:val="0"/>
      <w:numFmt w:val="bullet"/>
      <w:lvlText w:val="•"/>
      <w:lvlJc w:val="left"/>
      <w:pPr>
        <w:ind w:left="5116" w:hanging="735"/>
      </w:pPr>
      <w:rPr>
        <w:rFonts w:hint="default"/>
      </w:rPr>
    </w:lvl>
    <w:lvl w:ilvl="4">
      <w:start w:val="0"/>
      <w:numFmt w:val="bullet"/>
      <w:lvlText w:val="•"/>
      <w:lvlJc w:val="left"/>
      <w:pPr>
        <w:ind w:left="5668" w:hanging="735"/>
      </w:pPr>
      <w:rPr>
        <w:rFonts w:hint="default"/>
      </w:rPr>
    </w:lvl>
    <w:lvl w:ilvl="5">
      <w:start w:val="0"/>
      <w:numFmt w:val="bullet"/>
      <w:lvlText w:val="•"/>
      <w:lvlJc w:val="left"/>
      <w:pPr>
        <w:ind w:left="6220" w:hanging="735"/>
      </w:pPr>
      <w:rPr>
        <w:rFonts w:hint="default"/>
      </w:rPr>
    </w:lvl>
    <w:lvl w:ilvl="6">
      <w:start w:val="0"/>
      <w:numFmt w:val="bullet"/>
      <w:lvlText w:val="•"/>
      <w:lvlJc w:val="left"/>
      <w:pPr>
        <w:ind w:left="6772" w:hanging="735"/>
      </w:pPr>
      <w:rPr>
        <w:rFonts w:hint="default"/>
      </w:rPr>
    </w:lvl>
    <w:lvl w:ilvl="7">
      <w:start w:val="0"/>
      <w:numFmt w:val="bullet"/>
      <w:lvlText w:val="•"/>
      <w:lvlJc w:val="left"/>
      <w:pPr>
        <w:ind w:left="7324" w:hanging="735"/>
      </w:pPr>
      <w:rPr>
        <w:rFonts w:hint="default"/>
      </w:rPr>
    </w:lvl>
    <w:lvl w:ilvl="8">
      <w:start w:val="0"/>
      <w:numFmt w:val="bullet"/>
      <w:lvlText w:val="•"/>
      <w:lvlJc w:val="left"/>
      <w:pPr>
        <w:ind w:left="7876" w:hanging="735"/>
      </w:pPr>
      <w:rPr>
        <w:rFonts w:hint="default"/>
      </w:rPr>
    </w:lvl>
  </w:abstractNum>
  <w:abstractNum w:abstractNumId="19">
    <w:multiLevelType w:val="hybridMultilevel"/>
    <w:lvl w:ilvl="0">
      <w:start w:val="1"/>
      <w:numFmt w:val="decimal"/>
      <w:lvlText w:val="（%1）"/>
      <w:lvlJc w:val="left"/>
      <w:pPr>
        <w:ind w:left="880" w:hanging="735"/>
        <w:jc w:val="left"/>
      </w:pPr>
      <w:rPr>
        <w:rFonts w:hint="default" w:ascii="宋体" w:hAnsi="宋体" w:eastAsia="宋体" w:cs="宋体"/>
        <w:spacing w:val="-1"/>
        <w:w w:val="99"/>
        <w:sz w:val="21"/>
        <w:szCs w:val="21"/>
      </w:rPr>
    </w:lvl>
    <w:lvl w:ilvl="1">
      <w:start w:val="0"/>
      <w:numFmt w:val="bullet"/>
      <w:lvlText w:val="•"/>
      <w:lvlJc w:val="left"/>
      <w:pPr>
        <w:ind w:left="1440" w:hanging="735"/>
      </w:pPr>
      <w:rPr>
        <w:rFonts w:hint="default"/>
      </w:rPr>
    </w:lvl>
    <w:lvl w:ilvl="2">
      <w:start w:val="0"/>
      <w:numFmt w:val="bullet"/>
      <w:lvlText w:val="•"/>
      <w:lvlJc w:val="left"/>
      <w:pPr>
        <w:ind w:left="2000" w:hanging="735"/>
      </w:pPr>
      <w:rPr>
        <w:rFonts w:hint="default"/>
      </w:rPr>
    </w:lvl>
    <w:lvl w:ilvl="3">
      <w:start w:val="0"/>
      <w:numFmt w:val="bullet"/>
      <w:lvlText w:val="•"/>
      <w:lvlJc w:val="left"/>
      <w:pPr>
        <w:ind w:left="2560" w:hanging="735"/>
      </w:pPr>
      <w:rPr>
        <w:rFonts w:hint="default"/>
      </w:rPr>
    </w:lvl>
    <w:lvl w:ilvl="4">
      <w:start w:val="0"/>
      <w:numFmt w:val="bullet"/>
      <w:lvlText w:val="•"/>
      <w:lvlJc w:val="left"/>
      <w:pPr>
        <w:ind w:left="3120" w:hanging="735"/>
      </w:pPr>
      <w:rPr>
        <w:rFonts w:hint="default"/>
      </w:rPr>
    </w:lvl>
    <w:lvl w:ilvl="5">
      <w:start w:val="0"/>
      <w:numFmt w:val="bullet"/>
      <w:lvlText w:val="•"/>
      <w:lvlJc w:val="left"/>
      <w:pPr>
        <w:ind w:left="3680" w:hanging="735"/>
      </w:pPr>
      <w:rPr>
        <w:rFonts w:hint="default"/>
      </w:rPr>
    </w:lvl>
    <w:lvl w:ilvl="6">
      <w:start w:val="0"/>
      <w:numFmt w:val="bullet"/>
      <w:lvlText w:val="•"/>
      <w:lvlJc w:val="left"/>
      <w:pPr>
        <w:ind w:left="4240" w:hanging="735"/>
      </w:pPr>
      <w:rPr>
        <w:rFonts w:hint="default"/>
      </w:rPr>
    </w:lvl>
    <w:lvl w:ilvl="7">
      <w:start w:val="0"/>
      <w:numFmt w:val="bullet"/>
      <w:lvlText w:val="•"/>
      <w:lvlJc w:val="left"/>
      <w:pPr>
        <w:ind w:left="4800" w:hanging="735"/>
      </w:pPr>
      <w:rPr>
        <w:rFonts w:hint="default"/>
      </w:rPr>
    </w:lvl>
    <w:lvl w:ilvl="8">
      <w:start w:val="0"/>
      <w:numFmt w:val="bullet"/>
      <w:lvlText w:val="•"/>
      <w:lvlJc w:val="left"/>
      <w:pPr>
        <w:ind w:left="5360" w:hanging="735"/>
      </w:pPr>
      <w:rPr>
        <w:rFonts w:hint="default"/>
      </w:rPr>
    </w:lvl>
  </w:abstractNum>
  <w:abstractNum w:abstractNumId="18">
    <w:multiLevelType w:val="hybridMultilevel"/>
    <w:lvl w:ilvl="0">
      <w:start w:val="9"/>
      <w:numFmt w:val="decimal"/>
      <w:lvlText w:val="%1"/>
      <w:lvlJc w:val="left"/>
      <w:pPr>
        <w:ind w:left="906" w:hanging="747"/>
        <w:jc w:val="left"/>
      </w:pPr>
      <w:rPr>
        <w:rFonts w:hint="default"/>
      </w:rPr>
    </w:lvl>
    <w:lvl w:ilvl="1">
      <w:start w:val="11"/>
      <w:numFmt w:val="decimal"/>
      <w:lvlText w:val="%1.%2"/>
      <w:lvlJc w:val="left"/>
      <w:pPr>
        <w:ind w:left="2740" w:hanging="747"/>
        <w:jc w:val="left"/>
      </w:pPr>
      <w:rPr>
        <w:rFonts w:hint="default" w:ascii="宋体" w:hAnsi="宋体" w:eastAsia="宋体" w:cs="宋体"/>
        <w:b/>
        <w:bCs/>
        <w:spacing w:val="0"/>
        <w:w w:val="98"/>
        <w:sz w:val="21"/>
        <w:szCs w:val="21"/>
      </w:rPr>
    </w:lvl>
    <w:lvl w:ilvl="2">
      <w:start w:val="1"/>
      <w:numFmt w:val="decimal"/>
      <w:lvlText w:val="（%3）"/>
      <w:lvlJc w:val="left"/>
      <w:pPr>
        <w:ind w:left="3460" w:hanging="735"/>
        <w:jc w:val="left"/>
      </w:pPr>
      <w:rPr>
        <w:rFonts w:hint="default" w:ascii="宋体" w:hAnsi="宋体" w:eastAsia="宋体" w:cs="宋体"/>
        <w:spacing w:val="-1"/>
        <w:w w:val="99"/>
        <w:sz w:val="21"/>
        <w:szCs w:val="21"/>
      </w:rPr>
    </w:lvl>
    <w:lvl w:ilvl="3">
      <w:start w:val="0"/>
      <w:numFmt w:val="bullet"/>
      <w:lvlText w:val="•"/>
      <w:lvlJc w:val="left"/>
      <w:pPr>
        <w:ind w:left="3325" w:hanging="735"/>
      </w:pPr>
      <w:rPr>
        <w:rFonts w:hint="default"/>
      </w:rPr>
    </w:lvl>
    <w:lvl w:ilvl="4">
      <w:start w:val="0"/>
      <w:numFmt w:val="bullet"/>
      <w:lvlText w:val="•"/>
      <w:lvlJc w:val="left"/>
      <w:pPr>
        <w:ind w:left="3190" w:hanging="735"/>
      </w:pPr>
      <w:rPr>
        <w:rFonts w:hint="default"/>
      </w:rPr>
    </w:lvl>
    <w:lvl w:ilvl="5">
      <w:start w:val="0"/>
      <w:numFmt w:val="bullet"/>
      <w:lvlText w:val="•"/>
      <w:lvlJc w:val="left"/>
      <w:pPr>
        <w:ind w:left="3055" w:hanging="735"/>
      </w:pPr>
      <w:rPr>
        <w:rFonts w:hint="default"/>
      </w:rPr>
    </w:lvl>
    <w:lvl w:ilvl="6">
      <w:start w:val="0"/>
      <w:numFmt w:val="bullet"/>
      <w:lvlText w:val="•"/>
      <w:lvlJc w:val="left"/>
      <w:pPr>
        <w:ind w:left="2920" w:hanging="735"/>
      </w:pPr>
      <w:rPr>
        <w:rFonts w:hint="default"/>
      </w:rPr>
    </w:lvl>
    <w:lvl w:ilvl="7">
      <w:start w:val="0"/>
      <w:numFmt w:val="bullet"/>
      <w:lvlText w:val="•"/>
      <w:lvlJc w:val="left"/>
      <w:pPr>
        <w:ind w:left="2785" w:hanging="735"/>
      </w:pPr>
      <w:rPr>
        <w:rFonts w:hint="default"/>
      </w:rPr>
    </w:lvl>
    <w:lvl w:ilvl="8">
      <w:start w:val="0"/>
      <w:numFmt w:val="bullet"/>
      <w:lvlText w:val="•"/>
      <w:lvlJc w:val="left"/>
      <w:pPr>
        <w:ind w:left="2650" w:hanging="735"/>
      </w:pPr>
      <w:rPr>
        <w:rFonts w:hint="default"/>
      </w:rPr>
    </w:lvl>
  </w:abstractNum>
  <w:abstractNum w:abstractNumId="17">
    <w:multiLevelType w:val="hybridMultilevel"/>
    <w:lvl w:ilvl="0">
      <w:start w:val="1"/>
      <w:numFmt w:val="decimal"/>
      <w:lvlText w:val="（%1）"/>
      <w:lvlJc w:val="left"/>
      <w:pPr>
        <w:ind w:left="1640" w:hanging="735"/>
        <w:jc w:val="left"/>
      </w:pPr>
      <w:rPr>
        <w:rFonts w:hint="default" w:ascii="宋体" w:hAnsi="宋体" w:eastAsia="宋体" w:cs="宋体"/>
        <w:spacing w:val="-1"/>
        <w:w w:val="99"/>
        <w:sz w:val="21"/>
        <w:szCs w:val="21"/>
      </w:rPr>
    </w:lvl>
    <w:lvl w:ilvl="1">
      <w:start w:val="0"/>
      <w:numFmt w:val="bullet"/>
      <w:lvlText w:val="•"/>
      <w:lvlJc w:val="left"/>
      <w:pPr>
        <w:ind w:left="2198" w:hanging="735"/>
      </w:pPr>
      <w:rPr>
        <w:rFonts w:hint="default"/>
      </w:rPr>
    </w:lvl>
    <w:lvl w:ilvl="2">
      <w:start w:val="0"/>
      <w:numFmt w:val="bullet"/>
      <w:lvlText w:val="•"/>
      <w:lvlJc w:val="left"/>
      <w:pPr>
        <w:ind w:left="2757" w:hanging="735"/>
      </w:pPr>
      <w:rPr>
        <w:rFonts w:hint="default"/>
      </w:rPr>
    </w:lvl>
    <w:lvl w:ilvl="3">
      <w:start w:val="0"/>
      <w:numFmt w:val="bullet"/>
      <w:lvlText w:val="•"/>
      <w:lvlJc w:val="left"/>
      <w:pPr>
        <w:ind w:left="3315" w:hanging="735"/>
      </w:pPr>
      <w:rPr>
        <w:rFonts w:hint="default"/>
      </w:rPr>
    </w:lvl>
    <w:lvl w:ilvl="4">
      <w:start w:val="0"/>
      <w:numFmt w:val="bullet"/>
      <w:lvlText w:val="•"/>
      <w:lvlJc w:val="left"/>
      <w:pPr>
        <w:ind w:left="3874" w:hanging="735"/>
      </w:pPr>
      <w:rPr>
        <w:rFonts w:hint="default"/>
      </w:rPr>
    </w:lvl>
    <w:lvl w:ilvl="5">
      <w:start w:val="0"/>
      <w:numFmt w:val="bullet"/>
      <w:lvlText w:val="•"/>
      <w:lvlJc w:val="left"/>
      <w:pPr>
        <w:ind w:left="4433" w:hanging="735"/>
      </w:pPr>
      <w:rPr>
        <w:rFonts w:hint="default"/>
      </w:rPr>
    </w:lvl>
    <w:lvl w:ilvl="6">
      <w:start w:val="0"/>
      <w:numFmt w:val="bullet"/>
      <w:lvlText w:val="•"/>
      <w:lvlJc w:val="left"/>
      <w:pPr>
        <w:ind w:left="4991" w:hanging="735"/>
      </w:pPr>
      <w:rPr>
        <w:rFonts w:hint="default"/>
      </w:rPr>
    </w:lvl>
    <w:lvl w:ilvl="7">
      <w:start w:val="0"/>
      <w:numFmt w:val="bullet"/>
      <w:lvlText w:val="•"/>
      <w:lvlJc w:val="left"/>
      <w:pPr>
        <w:ind w:left="5550" w:hanging="735"/>
      </w:pPr>
      <w:rPr>
        <w:rFonts w:hint="default"/>
      </w:rPr>
    </w:lvl>
    <w:lvl w:ilvl="8">
      <w:start w:val="0"/>
      <w:numFmt w:val="bullet"/>
      <w:lvlText w:val="•"/>
      <w:lvlJc w:val="left"/>
      <w:pPr>
        <w:ind w:left="6109" w:hanging="735"/>
      </w:pPr>
      <w:rPr>
        <w:rFonts w:hint="default"/>
      </w:rPr>
    </w:lvl>
  </w:abstractNum>
  <w:abstractNum w:abstractNumId="16">
    <w:multiLevelType w:val="hybridMultilevel"/>
    <w:lvl w:ilvl="0">
      <w:start w:val="1"/>
      <w:numFmt w:val="decimal"/>
      <w:lvlText w:val="（%1）"/>
      <w:lvlJc w:val="left"/>
      <w:pPr>
        <w:ind w:left="885" w:hanging="706"/>
        <w:jc w:val="left"/>
      </w:pPr>
      <w:rPr>
        <w:rFonts w:hint="default" w:ascii="宋体" w:hAnsi="宋体" w:eastAsia="宋体" w:cs="宋体"/>
        <w:spacing w:val="-1"/>
        <w:w w:val="99"/>
        <w:sz w:val="21"/>
        <w:szCs w:val="21"/>
      </w:rPr>
    </w:lvl>
    <w:lvl w:ilvl="1">
      <w:start w:val="0"/>
      <w:numFmt w:val="bullet"/>
      <w:lvlText w:val="•"/>
      <w:lvlJc w:val="left"/>
      <w:pPr>
        <w:ind w:left="1431" w:hanging="706"/>
      </w:pPr>
      <w:rPr>
        <w:rFonts w:hint="default"/>
      </w:rPr>
    </w:lvl>
    <w:lvl w:ilvl="2">
      <w:start w:val="0"/>
      <w:numFmt w:val="bullet"/>
      <w:lvlText w:val="•"/>
      <w:lvlJc w:val="left"/>
      <w:pPr>
        <w:ind w:left="1982" w:hanging="706"/>
      </w:pPr>
      <w:rPr>
        <w:rFonts w:hint="default"/>
      </w:rPr>
    </w:lvl>
    <w:lvl w:ilvl="3">
      <w:start w:val="0"/>
      <w:numFmt w:val="bullet"/>
      <w:lvlText w:val="•"/>
      <w:lvlJc w:val="left"/>
      <w:pPr>
        <w:ind w:left="2533" w:hanging="706"/>
      </w:pPr>
      <w:rPr>
        <w:rFonts w:hint="default"/>
      </w:rPr>
    </w:lvl>
    <w:lvl w:ilvl="4">
      <w:start w:val="0"/>
      <w:numFmt w:val="bullet"/>
      <w:lvlText w:val="•"/>
      <w:lvlJc w:val="left"/>
      <w:pPr>
        <w:ind w:left="3085" w:hanging="706"/>
      </w:pPr>
      <w:rPr>
        <w:rFonts w:hint="default"/>
      </w:rPr>
    </w:lvl>
    <w:lvl w:ilvl="5">
      <w:start w:val="0"/>
      <w:numFmt w:val="bullet"/>
      <w:lvlText w:val="•"/>
      <w:lvlJc w:val="left"/>
      <w:pPr>
        <w:ind w:left="3636" w:hanging="706"/>
      </w:pPr>
      <w:rPr>
        <w:rFonts w:hint="default"/>
      </w:rPr>
    </w:lvl>
    <w:lvl w:ilvl="6">
      <w:start w:val="0"/>
      <w:numFmt w:val="bullet"/>
      <w:lvlText w:val="•"/>
      <w:lvlJc w:val="left"/>
      <w:pPr>
        <w:ind w:left="4187" w:hanging="706"/>
      </w:pPr>
      <w:rPr>
        <w:rFonts w:hint="default"/>
      </w:rPr>
    </w:lvl>
    <w:lvl w:ilvl="7">
      <w:start w:val="0"/>
      <w:numFmt w:val="bullet"/>
      <w:lvlText w:val="•"/>
      <w:lvlJc w:val="left"/>
      <w:pPr>
        <w:ind w:left="4739" w:hanging="706"/>
      </w:pPr>
      <w:rPr>
        <w:rFonts w:hint="default"/>
      </w:rPr>
    </w:lvl>
    <w:lvl w:ilvl="8">
      <w:start w:val="0"/>
      <w:numFmt w:val="bullet"/>
      <w:lvlText w:val="•"/>
      <w:lvlJc w:val="left"/>
      <w:pPr>
        <w:ind w:left="5290" w:hanging="706"/>
      </w:pPr>
      <w:rPr>
        <w:rFonts w:hint="default"/>
      </w:rPr>
    </w:lvl>
  </w:abstractNum>
  <w:abstractNum w:abstractNumId="15">
    <w:multiLevelType w:val="hybridMultilevel"/>
    <w:lvl w:ilvl="0">
      <w:start w:val="1"/>
      <w:numFmt w:val="decimal"/>
      <w:lvlText w:val="（%1）"/>
      <w:lvlJc w:val="left"/>
      <w:pPr>
        <w:ind w:left="834" w:hanging="735"/>
        <w:jc w:val="left"/>
      </w:pPr>
      <w:rPr>
        <w:rFonts w:hint="default" w:ascii="宋体" w:hAnsi="宋体" w:eastAsia="宋体" w:cs="宋体"/>
        <w:spacing w:val="-1"/>
        <w:w w:val="99"/>
        <w:sz w:val="21"/>
        <w:szCs w:val="21"/>
      </w:rPr>
    </w:lvl>
    <w:lvl w:ilvl="1">
      <w:start w:val="2"/>
      <w:numFmt w:val="decimal"/>
      <w:lvlText w:val="（%2）"/>
      <w:lvlJc w:val="left"/>
      <w:pPr>
        <w:ind w:left="3474" w:hanging="735"/>
        <w:jc w:val="left"/>
      </w:pPr>
      <w:rPr>
        <w:rFonts w:hint="default" w:ascii="宋体" w:hAnsi="宋体" w:eastAsia="宋体" w:cs="宋体"/>
        <w:spacing w:val="-1"/>
        <w:w w:val="99"/>
        <w:sz w:val="21"/>
        <w:szCs w:val="21"/>
      </w:rPr>
    </w:lvl>
    <w:lvl w:ilvl="2">
      <w:start w:val="0"/>
      <w:numFmt w:val="bullet"/>
      <w:lvlText w:val="•"/>
      <w:lvlJc w:val="left"/>
      <w:pPr>
        <w:ind w:left="3802" w:hanging="735"/>
      </w:pPr>
      <w:rPr>
        <w:rFonts w:hint="default"/>
      </w:rPr>
    </w:lvl>
    <w:lvl w:ilvl="3">
      <w:start w:val="0"/>
      <w:numFmt w:val="bullet"/>
      <w:lvlText w:val="•"/>
      <w:lvlJc w:val="left"/>
      <w:pPr>
        <w:ind w:left="4124" w:hanging="735"/>
      </w:pPr>
      <w:rPr>
        <w:rFonts w:hint="default"/>
      </w:rPr>
    </w:lvl>
    <w:lvl w:ilvl="4">
      <w:start w:val="0"/>
      <w:numFmt w:val="bullet"/>
      <w:lvlText w:val="•"/>
      <w:lvlJc w:val="left"/>
      <w:pPr>
        <w:ind w:left="4446" w:hanging="735"/>
      </w:pPr>
      <w:rPr>
        <w:rFonts w:hint="default"/>
      </w:rPr>
    </w:lvl>
    <w:lvl w:ilvl="5">
      <w:start w:val="0"/>
      <w:numFmt w:val="bullet"/>
      <w:lvlText w:val="•"/>
      <w:lvlJc w:val="left"/>
      <w:pPr>
        <w:ind w:left="4768" w:hanging="735"/>
      </w:pPr>
      <w:rPr>
        <w:rFonts w:hint="default"/>
      </w:rPr>
    </w:lvl>
    <w:lvl w:ilvl="6">
      <w:start w:val="0"/>
      <w:numFmt w:val="bullet"/>
      <w:lvlText w:val="•"/>
      <w:lvlJc w:val="left"/>
      <w:pPr>
        <w:ind w:left="5091" w:hanging="735"/>
      </w:pPr>
      <w:rPr>
        <w:rFonts w:hint="default"/>
      </w:rPr>
    </w:lvl>
    <w:lvl w:ilvl="7">
      <w:start w:val="0"/>
      <w:numFmt w:val="bullet"/>
      <w:lvlText w:val="•"/>
      <w:lvlJc w:val="left"/>
      <w:pPr>
        <w:ind w:left="5413" w:hanging="735"/>
      </w:pPr>
      <w:rPr>
        <w:rFonts w:hint="default"/>
      </w:rPr>
    </w:lvl>
    <w:lvl w:ilvl="8">
      <w:start w:val="0"/>
      <w:numFmt w:val="bullet"/>
      <w:lvlText w:val="•"/>
      <w:lvlJc w:val="left"/>
      <w:pPr>
        <w:ind w:left="5735" w:hanging="735"/>
      </w:pPr>
      <w:rPr>
        <w:rFonts w:hint="default"/>
      </w:rPr>
    </w:lvl>
  </w:abstractNum>
  <w:abstractNum w:abstractNumId="14">
    <w:multiLevelType w:val="hybridMultilevel"/>
    <w:lvl w:ilvl="0">
      <w:start w:val="1"/>
      <w:numFmt w:val="decimal"/>
      <w:lvlText w:val="（%1）"/>
      <w:lvlJc w:val="left"/>
      <w:pPr>
        <w:ind w:left="3400" w:hanging="735"/>
        <w:jc w:val="left"/>
      </w:pPr>
      <w:rPr>
        <w:rFonts w:hint="default" w:ascii="宋体" w:hAnsi="宋体" w:eastAsia="宋体" w:cs="宋体"/>
        <w:spacing w:val="-1"/>
        <w:w w:val="99"/>
        <w:sz w:val="21"/>
        <w:szCs w:val="21"/>
      </w:rPr>
    </w:lvl>
    <w:lvl w:ilvl="1">
      <w:start w:val="0"/>
      <w:numFmt w:val="bullet"/>
      <w:lvlText w:val="•"/>
      <w:lvlJc w:val="left"/>
      <w:pPr>
        <w:ind w:left="395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068" w:hanging="735"/>
      </w:pPr>
      <w:rPr>
        <w:rFonts w:hint="default"/>
      </w:rPr>
    </w:lvl>
    <w:lvl w:ilvl="4">
      <w:start w:val="0"/>
      <w:numFmt w:val="bullet"/>
      <w:lvlText w:val="•"/>
      <w:lvlJc w:val="left"/>
      <w:pPr>
        <w:ind w:left="5624" w:hanging="735"/>
      </w:pPr>
      <w:rPr>
        <w:rFonts w:hint="default"/>
      </w:rPr>
    </w:lvl>
    <w:lvl w:ilvl="5">
      <w:start w:val="0"/>
      <w:numFmt w:val="bullet"/>
      <w:lvlText w:val="•"/>
      <w:lvlJc w:val="left"/>
      <w:pPr>
        <w:ind w:left="6180" w:hanging="735"/>
      </w:pPr>
      <w:rPr>
        <w:rFonts w:hint="default"/>
      </w:rPr>
    </w:lvl>
    <w:lvl w:ilvl="6">
      <w:start w:val="0"/>
      <w:numFmt w:val="bullet"/>
      <w:lvlText w:val="•"/>
      <w:lvlJc w:val="left"/>
      <w:pPr>
        <w:ind w:left="6736" w:hanging="735"/>
      </w:pPr>
      <w:rPr>
        <w:rFonts w:hint="default"/>
      </w:rPr>
    </w:lvl>
    <w:lvl w:ilvl="7">
      <w:start w:val="0"/>
      <w:numFmt w:val="bullet"/>
      <w:lvlText w:val="•"/>
      <w:lvlJc w:val="left"/>
      <w:pPr>
        <w:ind w:left="7292" w:hanging="735"/>
      </w:pPr>
      <w:rPr>
        <w:rFonts w:hint="default"/>
      </w:rPr>
    </w:lvl>
    <w:lvl w:ilvl="8">
      <w:start w:val="0"/>
      <w:numFmt w:val="bullet"/>
      <w:lvlText w:val="•"/>
      <w:lvlJc w:val="left"/>
      <w:pPr>
        <w:ind w:left="7848" w:hanging="735"/>
      </w:pPr>
      <w:rPr>
        <w:rFonts w:hint="default"/>
      </w:rPr>
    </w:lvl>
  </w:abstractNum>
  <w:abstractNum w:abstractNumId="13">
    <w:multiLevelType w:val="hybridMultilevel"/>
    <w:lvl w:ilvl="0">
      <w:start w:val="1"/>
      <w:numFmt w:val="decimal"/>
      <w:lvlText w:val="（%1）"/>
      <w:lvlJc w:val="left"/>
      <w:pPr>
        <w:ind w:left="3400" w:hanging="735"/>
        <w:jc w:val="left"/>
      </w:pPr>
      <w:rPr>
        <w:rFonts w:hint="default" w:ascii="宋体" w:hAnsi="宋体" w:eastAsia="宋体" w:cs="宋体"/>
        <w:spacing w:val="-1"/>
        <w:w w:val="99"/>
        <w:sz w:val="21"/>
        <w:szCs w:val="21"/>
      </w:rPr>
    </w:lvl>
    <w:lvl w:ilvl="1">
      <w:start w:val="0"/>
      <w:numFmt w:val="bullet"/>
      <w:lvlText w:val="•"/>
      <w:lvlJc w:val="left"/>
      <w:pPr>
        <w:ind w:left="395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068" w:hanging="735"/>
      </w:pPr>
      <w:rPr>
        <w:rFonts w:hint="default"/>
      </w:rPr>
    </w:lvl>
    <w:lvl w:ilvl="4">
      <w:start w:val="0"/>
      <w:numFmt w:val="bullet"/>
      <w:lvlText w:val="•"/>
      <w:lvlJc w:val="left"/>
      <w:pPr>
        <w:ind w:left="5624" w:hanging="735"/>
      </w:pPr>
      <w:rPr>
        <w:rFonts w:hint="default"/>
      </w:rPr>
    </w:lvl>
    <w:lvl w:ilvl="5">
      <w:start w:val="0"/>
      <w:numFmt w:val="bullet"/>
      <w:lvlText w:val="•"/>
      <w:lvlJc w:val="left"/>
      <w:pPr>
        <w:ind w:left="6180" w:hanging="735"/>
      </w:pPr>
      <w:rPr>
        <w:rFonts w:hint="default"/>
      </w:rPr>
    </w:lvl>
    <w:lvl w:ilvl="6">
      <w:start w:val="0"/>
      <w:numFmt w:val="bullet"/>
      <w:lvlText w:val="•"/>
      <w:lvlJc w:val="left"/>
      <w:pPr>
        <w:ind w:left="6736" w:hanging="735"/>
      </w:pPr>
      <w:rPr>
        <w:rFonts w:hint="default"/>
      </w:rPr>
    </w:lvl>
    <w:lvl w:ilvl="7">
      <w:start w:val="0"/>
      <w:numFmt w:val="bullet"/>
      <w:lvlText w:val="•"/>
      <w:lvlJc w:val="left"/>
      <w:pPr>
        <w:ind w:left="7292" w:hanging="735"/>
      </w:pPr>
      <w:rPr>
        <w:rFonts w:hint="default"/>
      </w:rPr>
    </w:lvl>
    <w:lvl w:ilvl="8">
      <w:start w:val="0"/>
      <w:numFmt w:val="bullet"/>
      <w:lvlText w:val="•"/>
      <w:lvlJc w:val="left"/>
      <w:pPr>
        <w:ind w:left="7848" w:hanging="735"/>
      </w:pPr>
      <w:rPr>
        <w:rFonts w:hint="default"/>
      </w:rPr>
    </w:lvl>
  </w:abstractNum>
  <w:abstractNum w:abstractNumId="12">
    <w:multiLevelType w:val="hybridMultilevel"/>
    <w:lvl w:ilvl="0">
      <w:start w:val="1"/>
      <w:numFmt w:val="decimal"/>
      <w:lvlText w:val="（%1）"/>
      <w:lvlJc w:val="left"/>
      <w:pPr>
        <w:ind w:left="3534" w:hanging="735"/>
        <w:jc w:val="right"/>
      </w:pPr>
      <w:rPr>
        <w:rFonts w:hint="default" w:ascii="黑体" w:hAnsi="黑体" w:eastAsia="黑体" w:cs="黑体"/>
        <w:spacing w:val="-1"/>
        <w:w w:val="99"/>
        <w:sz w:val="21"/>
        <w:szCs w:val="21"/>
      </w:rPr>
    </w:lvl>
    <w:lvl w:ilvl="1">
      <w:start w:val="0"/>
      <w:numFmt w:val="bullet"/>
      <w:lvlText w:val="•"/>
      <w:lvlJc w:val="left"/>
      <w:pPr>
        <w:ind w:left="4094" w:hanging="735"/>
      </w:pPr>
      <w:rPr>
        <w:rFonts w:hint="default"/>
      </w:rPr>
    </w:lvl>
    <w:lvl w:ilvl="2">
      <w:start w:val="0"/>
      <w:numFmt w:val="bullet"/>
      <w:lvlText w:val="•"/>
      <w:lvlJc w:val="left"/>
      <w:pPr>
        <w:ind w:left="4648" w:hanging="735"/>
      </w:pPr>
      <w:rPr>
        <w:rFonts w:hint="default"/>
      </w:rPr>
    </w:lvl>
    <w:lvl w:ilvl="3">
      <w:start w:val="0"/>
      <w:numFmt w:val="bullet"/>
      <w:lvlText w:val="•"/>
      <w:lvlJc w:val="left"/>
      <w:pPr>
        <w:ind w:left="5202" w:hanging="735"/>
      </w:pPr>
      <w:rPr>
        <w:rFonts w:hint="default"/>
      </w:rPr>
    </w:lvl>
    <w:lvl w:ilvl="4">
      <w:start w:val="0"/>
      <w:numFmt w:val="bullet"/>
      <w:lvlText w:val="•"/>
      <w:lvlJc w:val="left"/>
      <w:pPr>
        <w:ind w:left="5756" w:hanging="735"/>
      </w:pPr>
      <w:rPr>
        <w:rFonts w:hint="default"/>
      </w:rPr>
    </w:lvl>
    <w:lvl w:ilvl="5">
      <w:start w:val="0"/>
      <w:numFmt w:val="bullet"/>
      <w:lvlText w:val="•"/>
      <w:lvlJc w:val="left"/>
      <w:pPr>
        <w:ind w:left="6310" w:hanging="735"/>
      </w:pPr>
      <w:rPr>
        <w:rFonts w:hint="default"/>
      </w:rPr>
    </w:lvl>
    <w:lvl w:ilvl="6">
      <w:start w:val="0"/>
      <w:numFmt w:val="bullet"/>
      <w:lvlText w:val="•"/>
      <w:lvlJc w:val="left"/>
      <w:pPr>
        <w:ind w:left="6864" w:hanging="735"/>
      </w:pPr>
      <w:rPr>
        <w:rFonts w:hint="default"/>
      </w:rPr>
    </w:lvl>
    <w:lvl w:ilvl="7">
      <w:start w:val="0"/>
      <w:numFmt w:val="bullet"/>
      <w:lvlText w:val="•"/>
      <w:lvlJc w:val="left"/>
      <w:pPr>
        <w:ind w:left="7418" w:hanging="735"/>
      </w:pPr>
      <w:rPr>
        <w:rFonts w:hint="default"/>
      </w:rPr>
    </w:lvl>
    <w:lvl w:ilvl="8">
      <w:start w:val="0"/>
      <w:numFmt w:val="bullet"/>
      <w:lvlText w:val="•"/>
      <w:lvlJc w:val="left"/>
      <w:pPr>
        <w:ind w:left="7972" w:hanging="735"/>
      </w:pPr>
      <w:rPr>
        <w:rFonts w:hint="default"/>
      </w:rPr>
    </w:lvl>
  </w:abstractNum>
  <w:abstractNum w:abstractNumId="11">
    <w:multiLevelType w:val="hybridMultilevel"/>
    <w:lvl w:ilvl="0">
      <w:start w:val="1"/>
      <w:numFmt w:val="decimal"/>
      <w:lvlText w:val="（%1）"/>
      <w:lvlJc w:val="left"/>
      <w:pPr>
        <w:ind w:left="3534" w:hanging="735"/>
        <w:jc w:val="left"/>
      </w:pPr>
      <w:rPr>
        <w:rFonts w:hint="default" w:ascii="宋体" w:hAnsi="宋体" w:eastAsia="宋体" w:cs="宋体"/>
        <w:spacing w:val="-1"/>
        <w:w w:val="99"/>
        <w:sz w:val="21"/>
        <w:szCs w:val="21"/>
      </w:rPr>
    </w:lvl>
    <w:lvl w:ilvl="1">
      <w:start w:val="0"/>
      <w:numFmt w:val="bullet"/>
      <w:lvlText w:val="•"/>
      <w:lvlJc w:val="left"/>
      <w:pPr>
        <w:ind w:left="4094" w:hanging="735"/>
      </w:pPr>
      <w:rPr>
        <w:rFonts w:hint="default"/>
      </w:rPr>
    </w:lvl>
    <w:lvl w:ilvl="2">
      <w:start w:val="0"/>
      <w:numFmt w:val="bullet"/>
      <w:lvlText w:val="•"/>
      <w:lvlJc w:val="left"/>
      <w:pPr>
        <w:ind w:left="4648" w:hanging="735"/>
      </w:pPr>
      <w:rPr>
        <w:rFonts w:hint="default"/>
      </w:rPr>
    </w:lvl>
    <w:lvl w:ilvl="3">
      <w:start w:val="0"/>
      <w:numFmt w:val="bullet"/>
      <w:lvlText w:val="•"/>
      <w:lvlJc w:val="left"/>
      <w:pPr>
        <w:ind w:left="5202" w:hanging="735"/>
      </w:pPr>
      <w:rPr>
        <w:rFonts w:hint="default"/>
      </w:rPr>
    </w:lvl>
    <w:lvl w:ilvl="4">
      <w:start w:val="0"/>
      <w:numFmt w:val="bullet"/>
      <w:lvlText w:val="•"/>
      <w:lvlJc w:val="left"/>
      <w:pPr>
        <w:ind w:left="5756" w:hanging="735"/>
      </w:pPr>
      <w:rPr>
        <w:rFonts w:hint="default"/>
      </w:rPr>
    </w:lvl>
    <w:lvl w:ilvl="5">
      <w:start w:val="0"/>
      <w:numFmt w:val="bullet"/>
      <w:lvlText w:val="•"/>
      <w:lvlJc w:val="left"/>
      <w:pPr>
        <w:ind w:left="6310" w:hanging="735"/>
      </w:pPr>
      <w:rPr>
        <w:rFonts w:hint="default"/>
      </w:rPr>
    </w:lvl>
    <w:lvl w:ilvl="6">
      <w:start w:val="0"/>
      <w:numFmt w:val="bullet"/>
      <w:lvlText w:val="•"/>
      <w:lvlJc w:val="left"/>
      <w:pPr>
        <w:ind w:left="6864" w:hanging="735"/>
      </w:pPr>
      <w:rPr>
        <w:rFonts w:hint="default"/>
      </w:rPr>
    </w:lvl>
    <w:lvl w:ilvl="7">
      <w:start w:val="0"/>
      <w:numFmt w:val="bullet"/>
      <w:lvlText w:val="•"/>
      <w:lvlJc w:val="left"/>
      <w:pPr>
        <w:ind w:left="7418" w:hanging="735"/>
      </w:pPr>
      <w:rPr>
        <w:rFonts w:hint="default"/>
      </w:rPr>
    </w:lvl>
    <w:lvl w:ilvl="8">
      <w:start w:val="0"/>
      <w:numFmt w:val="bullet"/>
      <w:lvlText w:val="•"/>
      <w:lvlJc w:val="left"/>
      <w:pPr>
        <w:ind w:left="7972" w:hanging="735"/>
      </w:pPr>
      <w:rPr>
        <w:rFonts w:hint="default"/>
      </w:rPr>
    </w:lvl>
  </w:abstractNum>
  <w:abstractNum w:abstractNumId="10">
    <w:multiLevelType w:val="hybridMultilevel"/>
    <w:lvl w:ilvl="0">
      <w:start w:val="1"/>
      <w:numFmt w:val="decimal"/>
      <w:lvlText w:val="（%1）"/>
      <w:lvlJc w:val="left"/>
      <w:pPr>
        <w:ind w:left="3414" w:hanging="735"/>
        <w:jc w:val="left"/>
      </w:pPr>
      <w:rPr>
        <w:rFonts w:hint="default" w:ascii="黑体" w:hAnsi="黑体" w:eastAsia="黑体" w:cs="黑体"/>
        <w:spacing w:val="-1"/>
        <w:w w:val="99"/>
        <w:sz w:val="21"/>
        <w:szCs w:val="21"/>
      </w:rPr>
    </w:lvl>
    <w:lvl w:ilvl="1">
      <w:start w:val="0"/>
      <w:numFmt w:val="bullet"/>
      <w:lvlText w:val="•"/>
      <w:lvlJc w:val="left"/>
      <w:pPr>
        <w:ind w:left="3966" w:hanging="735"/>
      </w:pPr>
      <w:rPr>
        <w:rFonts w:hint="default"/>
      </w:rPr>
    </w:lvl>
    <w:lvl w:ilvl="2">
      <w:start w:val="0"/>
      <w:numFmt w:val="bullet"/>
      <w:lvlText w:val="•"/>
      <w:lvlJc w:val="left"/>
      <w:pPr>
        <w:ind w:left="4512" w:hanging="735"/>
      </w:pPr>
      <w:rPr>
        <w:rFonts w:hint="default"/>
      </w:rPr>
    </w:lvl>
    <w:lvl w:ilvl="3">
      <w:start w:val="0"/>
      <w:numFmt w:val="bullet"/>
      <w:lvlText w:val="•"/>
      <w:lvlJc w:val="left"/>
      <w:pPr>
        <w:ind w:left="5058" w:hanging="735"/>
      </w:pPr>
      <w:rPr>
        <w:rFonts w:hint="default"/>
      </w:rPr>
    </w:lvl>
    <w:lvl w:ilvl="4">
      <w:start w:val="0"/>
      <w:numFmt w:val="bullet"/>
      <w:lvlText w:val="•"/>
      <w:lvlJc w:val="left"/>
      <w:pPr>
        <w:ind w:left="5604" w:hanging="735"/>
      </w:pPr>
      <w:rPr>
        <w:rFonts w:hint="default"/>
      </w:rPr>
    </w:lvl>
    <w:lvl w:ilvl="5">
      <w:start w:val="0"/>
      <w:numFmt w:val="bullet"/>
      <w:lvlText w:val="•"/>
      <w:lvlJc w:val="left"/>
      <w:pPr>
        <w:ind w:left="6150" w:hanging="735"/>
      </w:pPr>
      <w:rPr>
        <w:rFonts w:hint="default"/>
      </w:rPr>
    </w:lvl>
    <w:lvl w:ilvl="6">
      <w:start w:val="0"/>
      <w:numFmt w:val="bullet"/>
      <w:lvlText w:val="•"/>
      <w:lvlJc w:val="left"/>
      <w:pPr>
        <w:ind w:left="6696" w:hanging="735"/>
      </w:pPr>
      <w:rPr>
        <w:rFonts w:hint="default"/>
      </w:rPr>
    </w:lvl>
    <w:lvl w:ilvl="7">
      <w:start w:val="0"/>
      <w:numFmt w:val="bullet"/>
      <w:lvlText w:val="•"/>
      <w:lvlJc w:val="left"/>
      <w:pPr>
        <w:ind w:left="7242" w:hanging="735"/>
      </w:pPr>
      <w:rPr>
        <w:rFonts w:hint="default"/>
      </w:rPr>
    </w:lvl>
    <w:lvl w:ilvl="8">
      <w:start w:val="0"/>
      <w:numFmt w:val="bullet"/>
      <w:lvlText w:val="•"/>
      <w:lvlJc w:val="left"/>
      <w:pPr>
        <w:ind w:left="7788" w:hanging="735"/>
      </w:pPr>
      <w:rPr>
        <w:rFonts w:hint="default"/>
      </w:rPr>
    </w:lvl>
  </w:abstractNum>
  <w:abstractNum w:abstractNumId="9">
    <w:multiLevelType w:val="hybridMultilevel"/>
    <w:lvl w:ilvl="0">
      <w:start w:val="1"/>
      <w:numFmt w:val="decimal"/>
      <w:lvlText w:val="（%1）"/>
      <w:lvlJc w:val="left"/>
      <w:pPr>
        <w:ind w:left="1060" w:hanging="840"/>
        <w:jc w:val="left"/>
      </w:pPr>
      <w:rPr>
        <w:rFonts w:hint="default" w:ascii="宋体" w:hAnsi="宋体" w:eastAsia="宋体" w:cs="宋体"/>
        <w:spacing w:val="-1"/>
        <w:w w:val="99"/>
        <w:sz w:val="21"/>
        <w:szCs w:val="21"/>
      </w:rPr>
    </w:lvl>
    <w:lvl w:ilvl="1">
      <w:start w:val="0"/>
      <w:numFmt w:val="bullet"/>
      <w:lvlText w:val="•"/>
      <w:lvlJc w:val="left"/>
      <w:pPr>
        <w:ind w:left="1604" w:hanging="840"/>
      </w:pPr>
      <w:rPr>
        <w:rFonts w:hint="default"/>
      </w:rPr>
    </w:lvl>
    <w:lvl w:ilvl="2">
      <w:start w:val="0"/>
      <w:numFmt w:val="bullet"/>
      <w:lvlText w:val="•"/>
      <w:lvlJc w:val="left"/>
      <w:pPr>
        <w:ind w:left="2148" w:hanging="840"/>
      </w:pPr>
      <w:rPr>
        <w:rFonts w:hint="default"/>
      </w:rPr>
    </w:lvl>
    <w:lvl w:ilvl="3">
      <w:start w:val="0"/>
      <w:numFmt w:val="bullet"/>
      <w:lvlText w:val="•"/>
      <w:lvlJc w:val="left"/>
      <w:pPr>
        <w:ind w:left="2692" w:hanging="840"/>
      </w:pPr>
      <w:rPr>
        <w:rFonts w:hint="default"/>
      </w:rPr>
    </w:lvl>
    <w:lvl w:ilvl="4">
      <w:start w:val="0"/>
      <w:numFmt w:val="bullet"/>
      <w:lvlText w:val="•"/>
      <w:lvlJc w:val="left"/>
      <w:pPr>
        <w:ind w:left="3236" w:hanging="840"/>
      </w:pPr>
      <w:rPr>
        <w:rFonts w:hint="default"/>
      </w:rPr>
    </w:lvl>
    <w:lvl w:ilvl="5">
      <w:start w:val="0"/>
      <w:numFmt w:val="bullet"/>
      <w:lvlText w:val="•"/>
      <w:lvlJc w:val="left"/>
      <w:pPr>
        <w:ind w:left="3780" w:hanging="840"/>
      </w:pPr>
      <w:rPr>
        <w:rFonts w:hint="default"/>
      </w:rPr>
    </w:lvl>
    <w:lvl w:ilvl="6">
      <w:start w:val="0"/>
      <w:numFmt w:val="bullet"/>
      <w:lvlText w:val="•"/>
      <w:lvlJc w:val="left"/>
      <w:pPr>
        <w:ind w:left="4324" w:hanging="840"/>
      </w:pPr>
      <w:rPr>
        <w:rFonts w:hint="default"/>
      </w:rPr>
    </w:lvl>
    <w:lvl w:ilvl="7">
      <w:start w:val="0"/>
      <w:numFmt w:val="bullet"/>
      <w:lvlText w:val="•"/>
      <w:lvlJc w:val="left"/>
      <w:pPr>
        <w:ind w:left="4868" w:hanging="840"/>
      </w:pPr>
      <w:rPr>
        <w:rFonts w:hint="default"/>
      </w:rPr>
    </w:lvl>
    <w:lvl w:ilvl="8">
      <w:start w:val="0"/>
      <w:numFmt w:val="bullet"/>
      <w:lvlText w:val="•"/>
      <w:lvlJc w:val="left"/>
      <w:pPr>
        <w:ind w:left="5412" w:hanging="840"/>
      </w:pPr>
      <w:rPr>
        <w:rFonts w:hint="default"/>
      </w:rPr>
    </w:lvl>
  </w:abstractNum>
  <w:abstractNum w:abstractNumId="8">
    <w:multiLevelType w:val="hybridMultilevel"/>
    <w:lvl w:ilvl="0">
      <w:start w:val="1"/>
      <w:numFmt w:val="decimal"/>
      <w:lvlText w:val="（%1）"/>
      <w:lvlJc w:val="left"/>
      <w:pPr>
        <w:ind w:left="1060" w:hanging="840"/>
        <w:jc w:val="left"/>
      </w:pPr>
      <w:rPr>
        <w:rFonts w:hint="default" w:ascii="宋体" w:hAnsi="宋体" w:eastAsia="宋体" w:cs="宋体"/>
        <w:spacing w:val="-1"/>
        <w:w w:val="99"/>
        <w:sz w:val="21"/>
        <w:szCs w:val="21"/>
      </w:rPr>
    </w:lvl>
    <w:lvl w:ilvl="1">
      <w:start w:val="0"/>
      <w:numFmt w:val="bullet"/>
      <w:lvlText w:val="•"/>
      <w:lvlJc w:val="left"/>
      <w:pPr>
        <w:ind w:left="1604" w:hanging="840"/>
      </w:pPr>
      <w:rPr>
        <w:rFonts w:hint="default"/>
      </w:rPr>
    </w:lvl>
    <w:lvl w:ilvl="2">
      <w:start w:val="0"/>
      <w:numFmt w:val="bullet"/>
      <w:lvlText w:val="•"/>
      <w:lvlJc w:val="left"/>
      <w:pPr>
        <w:ind w:left="2148" w:hanging="840"/>
      </w:pPr>
      <w:rPr>
        <w:rFonts w:hint="default"/>
      </w:rPr>
    </w:lvl>
    <w:lvl w:ilvl="3">
      <w:start w:val="0"/>
      <w:numFmt w:val="bullet"/>
      <w:lvlText w:val="•"/>
      <w:lvlJc w:val="left"/>
      <w:pPr>
        <w:ind w:left="2692" w:hanging="840"/>
      </w:pPr>
      <w:rPr>
        <w:rFonts w:hint="default"/>
      </w:rPr>
    </w:lvl>
    <w:lvl w:ilvl="4">
      <w:start w:val="0"/>
      <w:numFmt w:val="bullet"/>
      <w:lvlText w:val="•"/>
      <w:lvlJc w:val="left"/>
      <w:pPr>
        <w:ind w:left="3236" w:hanging="840"/>
      </w:pPr>
      <w:rPr>
        <w:rFonts w:hint="default"/>
      </w:rPr>
    </w:lvl>
    <w:lvl w:ilvl="5">
      <w:start w:val="0"/>
      <w:numFmt w:val="bullet"/>
      <w:lvlText w:val="•"/>
      <w:lvlJc w:val="left"/>
      <w:pPr>
        <w:ind w:left="3780" w:hanging="840"/>
      </w:pPr>
      <w:rPr>
        <w:rFonts w:hint="default"/>
      </w:rPr>
    </w:lvl>
    <w:lvl w:ilvl="6">
      <w:start w:val="0"/>
      <w:numFmt w:val="bullet"/>
      <w:lvlText w:val="•"/>
      <w:lvlJc w:val="left"/>
      <w:pPr>
        <w:ind w:left="4324" w:hanging="840"/>
      </w:pPr>
      <w:rPr>
        <w:rFonts w:hint="default"/>
      </w:rPr>
    </w:lvl>
    <w:lvl w:ilvl="7">
      <w:start w:val="0"/>
      <w:numFmt w:val="bullet"/>
      <w:lvlText w:val="•"/>
      <w:lvlJc w:val="left"/>
      <w:pPr>
        <w:ind w:left="4868" w:hanging="840"/>
      </w:pPr>
      <w:rPr>
        <w:rFonts w:hint="default"/>
      </w:rPr>
    </w:lvl>
    <w:lvl w:ilvl="8">
      <w:start w:val="0"/>
      <w:numFmt w:val="bullet"/>
      <w:lvlText w:val="•"/>
      <w:lvlJc w:val="left"/>
      <w:pPr>
        <w:ind w:left="5412" w:hanging="840"/>
      </w:pPr>
      <w:rPr>
        <w:rFonts w:hint="default"/>
      </w:rPr>
    </w:lvl>
  </w:abstractNum>
  <w:abstractNum w:abstractNumId="7">
    <w:multiLevelType w:val="hybridMultilevel"/>
    <w:lvl w:ilvl="0">
      <w:start w:val="5"/>
      <w:numFmt w:val="decimal"/>
      <w:lvlText w:val="%1."/>
      <w:lvlJc w:val="left"/>
      <w:pPr>
        <w:ind w:left="966" w:hanging="747"/>
        <w:jc w:val="left"/>
      </w:pPr>
      <w:rPr>
        <w:rFonts w:hint="default" w:ascii="宋体" w:hAnsi="宋体" w:eastAsia="宋体" w:cs="宋体"/>
        <w:b/>
        <w:bCs/>
        <w:w w:val="99"/>
        <w:sz w:val="24"/>
        <w:szCs w:val="24"/>
      </w:rPr>
    </w:lvl>
    <w:lvl w:ilvl="1">
      <w:start w:val="1"/>
      <w:numFmt w:val="decimal"/>
      <w:lvlText w:val="%1.%2"/>
      <w:lvlJc w:val="left"/>
      <w:pPr>
        <w:ind w:left="2800" w:hanging="747"/>
        <w:jc w:val="left"/>
      </w:pPr>
      <w:rPr>
        <w:rFonts w:hint="default" w:ascii="宋体" w:hAnsi="宋体" w:eastAsia="宋体" w:cs="宋体"/>
        <w:b/>
        <w:bCs/>
        <w:spacing w:val="0"/>
        <w:w w:val="98"/>
        <w:sz w:val="21"/>
        <w:szCs w:val="21"/>
      </w:rPr>
    </w:lvl>
    <w:lvl w:ilvl="2">
      <w:start w:val="1"/>
      <w:numFmt w:val="decimal"/>
      <w:lvlText w:val="（%3）"/>
      <w:lvlJc w:val="left"/>
      <w:pPr>
        <w:ind w:left="3414" w:hanging="735"/>
        <w:jc w:val="left"/>
      </w:pPr>
      <w:rPr>
        <w:rFonts w:hint="default"/>
        <w:spacing w:val="-1"/>
        <w:w w:val="99"/>
      </w:rPr>
    </w:lvl>
    <w:lvl w:ilvl="3">
      <w:start w:val="0"/>
      <w:numFmt w:val="bullet"/>
      <w:lvlText w:val="•"/>
      <w:lvlJc w:val="left"/>
      <w:pPr>
        <w:ind w:left="3420" w:hanging="735"/>
      </w:pPr>
      <w:rPr>
        <w:rFonts w:hint="default"/>
      </w:rPr>
    </w:lvl>
    <w:lvl w:ilvl="4">
      <w:start w:val="0"/>
      <w:numFmt w:val="bullet"/>
      <w:lvlText w:val="•"/>
      <w:lvlJc w:val="left"/>
      <w:pPr>
        <w:ind w:left="3262" w:hanging="735"/>
      </w:pPr>
      <w:rPr>
        <w:rFonts w:hint="default"/>
      </w:rPr>
    </w:lvl>
    <w:lvl w:ilvl="5">
      <w:start w:val="0"/>
      <w:numFmt w:val="bullet"/>
      <w:lvlText w:val="•"/>
      <w:lvlJc w:val="left"/>
      <w:pPr>
        <w:ind w:left="3105" w:hanging="735"/>
      </w:pPr>
      <w:rPr>
        <w:rFonts w:hint="default"/>
      </w:rPr>
    </w:lvl>
    <w:lvl w:ilvl="6">
      <w:start w:val="0"/>
      <w:numFmt w:val="bullet"/>
      <w:lvlText w:val="•"/>
      <w:lvlJc w:val="left"/>
      <w:pPr>
        <w:ind w:left="2948" w:hanging="735"/>
      </w:pPr>
      <w:rPr>
        <w:rFonts w:hint="default"/>
      </w:rPr>
    </w:lvl>
    <w:lvl w:ilvl="7">
      <w:start w:val="0"/>
      <w:numFmt w:val="bullet"/>
      <w:lvlText w:val="•"/>
      <w:lvlJc w:val="left"/>
      <w:pPr>
        <w:ind w:left="2791" w:hanging="735"/>
      </w:pPr>
      <w:rPr>
        <w:rFonts w:hint="default"/>
      </w:rPr>
    </w:lvl>
    <w:lvl w:ilvl="8">
      <w:start w:val="0"/>
      <w:numFmt w:val="bullet"/>
      <w:lvlText w:val="•"/>
      <w:lvlJc w:val="left"/>
      <w:pPr>
        <w:ind w:left="2634" w:hanging="735"/>
      </w:pPr>
      <w:rPr>
        <w:rFonts w:hint="default"/>
      </w:rPr>
    </w:lvl>
  </w:abstractNum>
  <w:abstractNum w:abstractNumId="6">
    <w:multiLevelType w:val="hybridMultilevel"/>
    <w:lvl w:ilvl="0">
      <w:start w:val="1"/>
      <w:numFmt w:val="decimal"/>
      <w:lvlText w:val="（%1）"/>
      <w:lvlJc w:val="left"/>
      <w:pPr>
        <w:ind w:left="845" w:hanging="735"/>
        <w:jc w:val="left"/>
      </w:pPr>
      <w:rPr>
        <w:rFonts w:hint="default" w:ascii="宋体" w:hAnsi="宋体" w:eastAsia="宋体" w:cs="宋体"/>
        <w:spacing w:val="-1"/>
        <w:w w:val="99"/>
        <w:sz w:val="21"/>
        <w:szCs w:val="21"/>
      </w:rPr>
    </w:lvl>
    <w:lvl w:ilvl="1">
      <w:start w:val="1"/>
      <w:numFmt w:val="decimal"/>
      <w:lvlText w:val="（%2）"/>
      <w:lvlJc w:val="left"/>
      <w:pPr>
        <w:ind w:left="3414" w:hanging="735"/>
        <w:jc w:val="left"/>
      </w:pPr>
      <w:rPr>
        <w:rFonts w:hint="default" w:ascii="宋体" w:hAnsi="宋体" w:eastAsia="宋体" w:cs="宋体"/>
        <w:spacing w:val="-1"/>
        <w:w w:val="99"/>
        <w:sz w:val="21"/>
        <w:szCs w:val="21"/>
      </w:rPr>
    </w:lvl>
    <w:lvl w:ilvl="2">
      <w:start w:val="0"/>
      <w:numFmt w:val="bullet"/>
      <w:lvlText w:val="•"/>
      <w:lvlJc w:val="left"/>
      <w:pPr>
        <w:ind w:left="3741" w:hanging="735"/>
      </w:pPr>
      <w:rPr>
        <w:rFonts w:hint="default"/>
      </w:rPr>
    </w:lvl>
    <w:lvl w:ilvl="3">
      <w:start w:val="0"/>
      <w:numFmt w:val="bullet"/>
      <w:lvlText w:val="•"/>
      <w:lvlJc w:val="left"/>
      <w:pPr>
        <w:ind w:left="4062" w:hanging="735"/>
      </w:pPr>
      <w:rPr>
        <w:rFonts w:hint="default"/>
      </w:rPr>
    </w:lvl>
    <w:lvl w:ilvl="4">
      <w:start w:val="0"/>
      <w:numFmt w:val="bullet"/>
      <w:lvlText w:val="•"/>
      <w:lvlJc w:val="left"/>
      <w:pPr>
        <w:ind w:left="4383" w:hanging="735"/>
      </w:pPr>
      <w:rPr>
        <w:rFonts w:hint="default"/>
      </w:rPr>
    </w:lvl>
    <w:lvl w:ilvl="5">
      <w:start w:val="0"/>
      <w:numFmt w:val="bullet"/>
      <w:lvlText w:val="•"/>
      <w:lvlJc w:val="left"/>
      <w:pPr>
        <w:ind w:left="4704" w:hanging="735"/>
      </w:pPr>
      <w:rPr>
        <w:rFonts w:hint="default"/>
      </w:rPr>
    </w:lvl>
    <w:lvl w:ilvl="6">
      <w:start w:val="0"/>
      <w:numFmt w:val="bullet"/>
      <w:lvlText w:val="•"/>
      <w:lvlJc w:val="left"/>
      <w:pPr>
        <w:ind w:left="5026" w:hanging="735"/>
      </w:pPr>
      <w:rPr>
        <w:rFonts w:hint="default"/>
      </w:rPr>
    </w:lvl>
    <w:lvl w:ilvl="7">
      <w:start w:val="0"/>
      <w:numFmt w:val="bullet"/>
      <w:lvlText w:val="•"/>
      <w:lvlJc w:val="left"/>
      <w:pPr>
        <w:ind w:left="5347" w:hanging="735"/>
      </w:pPr>
      <w:rPr>
        <w:rFonts w:hint="default"/>
      </w:rPr>
    </w:lvl>
    <w:lvl w:ilvl="8">
      <w:start w:val="0"/>
      <w:numFmt w:val="bullet"/>
      <w:lvlText w:val="•"/>
      <w:lvlJc w:val="left"/>
      <w:pPr>
        <w:ind w:left="5668" w:hanging="735"/>
      </w:pPr>
      <w:rPr>
        <w:rFonts w:hint="default"/>
      </w:rPr>
    </w:lvl>
  </w:abstractNum>
  <w:abstractNum w:abstractNumId="5">
    <w:multiLevelType w:val="hybridMultilevel"/>
    <w:lvl w:ilvl="0">
      <w:start w:val="1"/>
      <w:numFmt w:val="decimal"/>
      <w:lvlText w:val="（%1）"/>
      <w:lvlJc w:val="left"/>
      <w:pPr>
        <w:ind w:left="3534" w:hanging="735"/>
        <w:jc w:val="left"/>
      </w:pPr>
      <w:rPr>
        <w:rFonts w:hint="default" w:ascii="宋体" w:hAnsi="宋体" w:eastAsia="宋体" w:cs="宋体"/>
        <w:spacing w:val="-1"/>
        <w:w w:val="99"/>
        <w:sz w:val="21"/>
        <w:szCs w:val="21"/>
      </w:rPr>
    </w:lvl>
    <w:lvl w:ilvl="1">
      <w:start w:val="0"/>
      <w:numFmt w:val="bullet"/>
      <w:lvlText w:val="•"/>
      <w:lvlJc w:val="left"/>
      <w:pPr>
        <w:ind w:left="4094" w:hanging="735"/>
      </w:pPr>
      <w:rPr>
        <w:rFonts w:hint="default"/>
      </w:rPr>
    </w:lvl>
    <w:lvl w:ilvl="2">
      <w:start w:val="0"/>
      <w:numFmt w:val="bullet"/>
      <w:lvlText w:val="•"/>
      <w:lvlJc w:val="left"/>
      <w:pPr>
        <w:ind w:left="4648" w:hanging="735"/>
      </w:pPr>
      <w:rPr>
        <w:rFonts w:hint="default"/>
      </w:rPr>
    </w:lvl>
    <w:lvl w:ilvl="3">
      <w:start w:val="0"/>
      <w:numFmt w:val="bullet"/>
      <w:lvlText w:val="•"/>
      <w:lvlJc w:val="left"/>
      <w:pPr>
        <w:ind w:left="5202" w:hanging="735"/>
      </w:pPr>
      <w:rPr>
        <w:rFonts w:hint="default"/>
      </w:rPr>
    </w:lvl>
    <w:lvl w:ilvl="4">
      <w:start w:val="0"/>
      <w:numFmt w:val="bullet"/>
      <w:lvlText w:val="•"/>
      <w:lvlJc w:val="left"/>
      <w:pPr>
        <w:ind w:left="5756" w:hanging="735"/>
      </w:pPr>
      <w:rPr>
        <w:rFonts w:hint="default"/>
      </w:rPr>
    </w:lvl>
    <w:lvl w:ilvl="5">
      <w:start w:val="0"/>
      <w:numFmt w:val="bullet"/>
      <w:lvlText w:val="•"/>
      <w:lvlJc w:val="left"/>
      <w:pPr>
        <w:ind w:left="6310" w:hanging="735"/>
      </w:pPr>
      <w:rPr>
        <w:rFonts w:hint="default"/>
      </w:rPr>
    </w:lvl>
    <w:lvl w:ilvl="6">
      <w:start w:val="0"/>
      <w:numFmt w:val="bullet"/>
      <w:lvlText w:val="•"/>
      <w:lvlJc w:val="left"/>
      <w:pPr>
        <w:ind w:left="6864" w:hanging="735"/>
      </w:pPr>
      <w:rPr>
        <w:rFonts w:hint="default"/>
      </w:rPr>
    </w:lvl>
    <w:lvl w:ilvl="7">
      <w:start w:val="0"/>
      <w:numFmt w:val="bullet"/>
      <w:lvlText w:val="•"/>
      <w:lvlJc w:val="left"/>
      <w:pPr>
        <w:ind w:left="7418" w:hanging="735"/>
      </w:pPr>
      <w:rPr>
        <w:rFonts w:hint="default"/>
      </w:rPr>
    </w:lvl>
    <w:lvl w:ilvl="8">
      <w:start w:val="0"/>
      <w:numFmt w:val="bullet"/>
      <w:lvlText w:val="•"/>
      <w:lvlJc w:val="left"/>
      <w:pPr>
        <w:ind w:left="7972" w:hanging="735"/>
      </w:pPr>
      <w:rPr>
        <w:rFonts w:hint="default"/>
      </w:rPr>
    </w:lvl>
  </w:abstractNum>
  <w:abstractNum w:abstractNumId="4">
    <w:multiLevelType w:val="hybridMultilevel"/>
    <w:lvl w:ilvl="0">
      <w:start w:val="1"/>
      <w:numFmt w:val="decimal"/>
      <w:lvlText w:val="（%1）"/>
      <w:lvlJc w:val="left"/>
      <w:pPr>
        <w:ind w:left="3414" w:hanging="735"/>
        <w:jc w:val="left"/>
      </w:pPr>
      <w:rPr>
        <w:rFonts w:hint="default" w:ascii="黑体" w:hAnsi="黑体" w:eastAsia="黑体" w:cs="黑体"/>
        <w:spacing w:val="-1"/>
        <w:w w:val="99"/>
        <w:sz w:val="21"/>
        <w:szCs w:val="21"/>
      </w:rPr>
    </w:lvl>
    <w:lvl w:ilvl="1">
      <w:start w:val="0"/>
      <w:numFmt w:val="bullet"/>
      <w:lvlText w:val="•"/>
      <w:lvlJc w:val="left"/>
      <w:pPr>
        <w:ind w:left="3974" w:hanging="735"/>
      </w:pPr>
      <w:rPr>
        <w:rFonts w:hint="default"/>
      </w:rPr>
    </w:lvl>
    <w:lvl w:ilvl="2">
      <w:start w:val="0"/>
      <w:numFmt w:val="bullet"/>
      <w:lvlText w:val="•"/>
      <w:lvlJc w:val="left"/>
      <w:pPr>
        <w:ind w:left="4528" w:hanging="735"/>
      </w:pPr>
      <w:rPr>
        <w:rFonts w:hint="default"/>
      </w:rPr>
    </w:lvl>
    <w:lvl w:ilvl="3">
      <w:start w:val="0"/>
      <w:numFmt w:val="bullet"/>
      <w:lvlText w:val="•"/>
      <w:lvlJc w:val="left"/>
      <w:pPr>
        <w:ind w:left="5082" w:hanging="735"/>
      </w:pPr>
      <w:rPr>
        <w:rFonts w:hint="default"/>
      </w:rPr>
    </w:lvl>
    <w:lvl w:ilvl="4">
      <w:start w:val="0"/>
      <w:numFmt w:val="bullet"/>
      <w:lvlText w:val="•"/>
      <w:lvlJc w:val="left"/>
      <w:pPr>
        <w:ind w:left="5636" w:hanging="735"/>
      </w:pPr>
      <w:rPr>
        <w:rFonts w:hint="default"/>
      </w:rPr>
    </w:lvl>
    <w:lvl w:ilvl="5">
      <w:start w:val="0"/>
      <w:numFmt w:val="bullet"/>
      <w:lvlText w:val="•"/>
      <w:lvlJc w:val="left"/>
      <w:pPr>
        <w:ind w:left="6190" w:hanging="735"/>
      </w:pPr>
      <w:rPr>
        <w:rFonts w:hint="default"/>
      </w:rPr>
    </w:lvl>
    <w:lvl w:ilvl="6">
      <w:start w:val="0"/>
      <w:numFmt w:val="bullet"/>
      <w:lvlText w:val="•"/>
      <w:lvlJc w:val="left"/>
      <w:pPr>
        <w:ind w:left="6744" w:hanging="735"/>
      </w:pPr>
      <w:rPr>
        <w:rFonts w:hint="default"/>
      </w:rPr>
    </w:lvl>
    <w:lvl w:ilvl="7">
      <w:start w:val="0"/>
      <w:numFmt w:val="bullet"/>
      <w:lvlText w:val="•"/>
      <w:lvlJc w:val="left"/>
      <w:pPr>
        <w:ind w:left="7298" w:hanging="735"/>
      </w:pPr>
      <w:rPr>
        <w:rFonts w:hint="default"/>
      </w:rPr>
    </w:lvl>
    <w:lvl w:ilvl="8">
      <w:start w:val="0"/>
      <w:numFmt w:val="bullet"/>
      <w:lvlText w:val="•"/>
      <w:lvlJc w:val="left"/>
      <w:pPr>
        <w:ind w:left="7852" w:hanging="735"/>
      </w:pPr>
      <w:rPr>
        <w:rFonts w:hint="default"/>
      </w:rPr>
    </w:lvl>
  </w:abstractNum>
  <w:abstractNum w:abstractNumId="3">
    <w:multiLevelType w:val="hybridMultilevel"/>
    <w:lvl w:ilvl="0">
      <w:start w:val="2"/>
      <w:numFmt w:val="decimal"/>
      <w:lvlText w:val="%1."/>
      <w:lvlJc w:val="left"/>
      <w:pPr>
        <w:ind w:left="966" w:hanging="747"/>
        <w:jc w:val="left"/>
      </w:pPr>
      <w:rPr>
        <w:rFonts w:hint="default" w:ascii="宋体" w:hAnsi="宋体" w:eastAsia="宋体" w:cs="宋体"/>
        <w:b/>
        <w:bCs/>
        <w:spacing w:val="0"/>
        <w:w w:val="99"/>
        <w:sz w:val="24"/>
        <w:szCs w:val="24"/>
      </w:rPr>
    </w:lvl>
    <w:lvl w:ilvl="1">
      <w:start w:val="1"/>
      <w:numFmt w:val="decimal"/>
      <w:lvlText w:val="%1.%2"/>
      <w:lvlJc w:val="left"/>
      <w:pPr>
        <w:ind w:left="2800" w:hanging="747"/>
        <w:jc w:val="right"/>
      </w:pPr>
      <w:rPr>
        <w:rFonts w:hint="default" w:ascii="宋体" w:hAnsi="宋体" w:eastAsia="宋体" w:cs="宋体"/>
        <w:b/>
        <w:bCs/>
        <w:spacing w:val="0"/>
        <w:w w:val="98"/>
        <w:sz w:val="21"/>
        <w:szCs w:val="21"/>
      </w:rPr>
    </w:lvl>
    <w:lvl w:ilvl="2">
      <w:start w:val="1"/>
      <w:numFmt w:val="decimal"/>
      <w:lvlText w:val="%1.%2.%3"/>
      <w:lvlJc w:val="left"/>
      <w:pPr>
        <w:ind w:left="2680" w:hanging="747"/>
        <w:jc w:val="left"/>
      </w:pPr>
      <w:rPr>
        <w:rFonts w:hint="default"/>
        <w:b/>
        <w:bCs/>
        <w:spacing w:val="0"/>
        <w:w w:val="98"/>
      </w:rPr>
    </w:lvl>
    <w:lvl w:ilvl="3">
      <w:start w:val="1"/>
      <w:numFmt w:val="decimal"/>
      <w:lvlText w:val="（%4）"/>
      <w:lvlJc w:val="left"/>
      <w:pPr>
        <w:ind w:left="3400" w:hanging="720"/>
        <w:jc w:val="left"/>
      </w:pPr>
      <w:rPr>
        <w:rFonts w:hint="default" w:ascii="宋体" w:hAnsi="宋体" w:eastAsia="宋体" w:cs="宋体"/>
        <w:spacing w:val="-1"/>
        <w:w w:val="99"/>
        <w:sz w:val="21"/>
        <w:szCs w:val="21"/>
      </w:rPr>
    </w:lvl>
    <w:lvl w:ilvl="4">
      <w:start w:val="1"/>
      <w:numFmt w:val="lowerLetter"/>
      <w:lvlText w:val="%5）"/>
      <w:lvlJc w:val="left"/>
      <w:pPr>
        <w:ind w:left="3760" w:hanging="360"/>
        <w:jc w:val="left"/>
      </w:pPr>
      <w:rPr>
        <w:rFonts w:hint="default" w:ascii="宋体" w:hAnsi="宋体" w:eastAsia="宋体" w:cs="宋体"/>
        <w:spacing w:val="-2"/>
        <w:w w:val="99"/>
        <w:sz w:val="21"/>
        <w:szCs w:val="21"/>
      </w:rPr>
    </w:lvl>
    <w:lvl w:ilvl="5">
      <w:start w:val="0"/>
      <w:numFmt w:val="bullet"/>
      <w:lvlText w:val="•"/>
      <w:lvlJc w:val="left"/>
      <w:pPr>
        <w:ind w:left="4613" w:hanging="360"/>
      </w:pPr>
      <w:rPr>
        <w:rFonts w:hint="default"/>
      </w:rPr>
    </w:lvl>
    <w:lvl w:ilvl="6">
      <w:start w:val="0"/>
      <w:numFmt w:val="bullet"/>
      <w:lvlText w:val="•"/>
      <w:lvlJc w:val="left"/>
      <w:pPr>
        <w:ind w:left="5466" w:hanging="360"/>
      </w:pPr>
      <w:rPr>
        <w:rFonts w:hint="default"/>
      </w:rPr>
    </w:lvl>
    <w:lvl w:ilvl="7">
      <w:start w:val="0"/>
      <w:numFmt w:val="bullet"/>
      <w:lvlText w:val="•"/>
      <w:lvlJc w:val="left"/>
      <w:pPr>
        <w:ind w:left="6320" w:hanging="360"/>
      </w:pPr>
      <w:rPr>
        <w:rFonts w:hint="default"/>
      </w:rPr>
    </w:lvl>
    <w:lvl w:ilvl="8">
      <w:start w:val="0"/>
      <w:numFmt w:val="bullet"/>
      <w:lvlText w:val="•"/>
      <w:lvlJc w:val="left"/>
      <w:pPr>
        <w:ind w:left="7173" w:hanging="360"/>
      </w:pPr>
      <w:rPr>
        <w:rFonts w:hint="default"/>
      </w:rPr>
    </w:lvl>
  </w:abstractNum>
  <w:abstractNum w:abstractNumId="2">
    <w:multiLevelType w:val="hybridMultilevel"/>
    <w:lvl w:ilvl="0">
      <w:start w:val="1"/>
      <w:numFmt w:val="decimal"/>
      <w:lvlText w:val="（%1）"/>
      <w:lvlJc w:val="left"/>
      <w:pPr>
        <w:ind w:left="3640" w:hanging="840"/>
        <w:jc w:val="left"/>
      </w:pPr>
      <w:rPr>
        <w:rFonts w:hint="default" w:ascii="宋体" w:hAnsi="宋体" w:eastAsia="宋体" w:cs="宋体"/>
        <w:spacing w:val="-1"/>
        <w:w w:val="99"/>
        <w:sz w:val="21"/>
        <w:szCs w:val="21"/>
      </w:rPr>
    </w:lvl>
    <w:lvl w:ilvl="1">
      <w:start w:val="0"/>
      <w:numFmt w:val="bullet"/>
      <w:lvlText w:val="•"/>
      <w:lvlJc w:val="left"/>
      <w:pPr>
        <w:ind w:left="4184" w:hanging="840"/>
      </w:pPr>
      <w:rPr>
        <w:rFonts w:hint="default"/>
      </w:rPr>
    </w:lvl>
    <w:lvl w:ilvl="2">
      <w:start w:val="0"/>
      <w:numFmt w:val="bullet"/>
      <w:lvlText w:val="•"/>
      <w:lvlJc w:val="left"/>
      <w:pPr>
        <w:ind w:left="4728" w:hanging="840"/>
      </w:pPr>
      <w:rPr>
        <w:rFonts w:hint="default"/>
      </w:rPr>
    </w:lvl>
    <w:lvl w:ilvl="3">
      <w:start w:val="0"/>
      <w:numFmt w:val="bullet"/>
      <w:lvlText w:val="•"/>
      <w:lvlJc w:val="left"/>
      <w:pPr>
        <w:ind w:left="5272" w:hanging="840"/>
      </w:pPr>
      <w:rPr>
        <w:rFonts w:hint="default"/>
      </w:rPr>
    </w:lvl>
    <w:lvl w:ilvl="4">
      <w:start w:val="0"/>
      <w:numFmt w:val="bullet"/>
      <w:lvlText w:val="•"/>
      <w:lvlJc w:val="left"/>
      <w:pPr>
        <w:ind w:left="5816" w:hanging="840"/>
      </w:pPr>
      <w:rPr>
        <w:rFonts w:hint="default"/>
      </w:rPr>
    </w:lvl>
    <w:lvl w:ilvl="5">
      <w:start w:val="0"/>
      <w:numFmt w:val="bullet"/>
      <w:lvlText w:val="•"/>
      <w:lvlJc w:val="left"/>
      <w:pPr>
        <w:ind w:left="6360" w:hanging="840"/>
      </w:pPr>
      <w:rPr>
        <w:rFonts w:hint="default"/>
      </w:rPr>
    </w:lvl>
    <w:lvl w:ilvl="6">
      <w:start w:val="0"/>
      <w:numFmt w:val="bullet"/>
      <w:lvlText w:val="•"/>
      <w:lvlJc w:val="left"/>
      <w:pPr>
        <w:ind w:left="6904" w:hanging="840"/>
      </w:pPr>
      <w:rPr>
        <w:rFonts w:hint="default"/>
      </w:rPr>
    </w:lvl>
    <w:lvl w:ilvl="7">
      <w:start w:val="0"/>
      <w:numFmt w:val="bullet"/>
      <w:lvlText w:val="•"/>
      <w:lvlJc w:val="left"/>
      <w:pPr>
        <w:ind w:left="7448" w:hanging="840"/>
      </w:pPr>
      <w:rPr>
        <w:rFonts w:hint="default"/>
      </w:rPr>
    </w:lvl>
    <w:lvl w:ilvl="8">
      <w:start w:val="0"/>
      <w:numFmt w:val="bullet"/>
      <w:lvlText w:val="•"/>
      <w:lvlJc w:val="left"/>
      <w:pPr>
        <w:ind w:left="7992" w:hanging="840"/>
      </w:pPr>
      <w:rPr>
        <w:rFonts w:hint="default"/>
      </w:rPr>
    </w:lvl>
  </w:abstractNum>
  <w:abstractNum w:abstractNumId="1">
    <w:multiLevelType w:val="hybridMultilevel"/>
    <w:lvl w:ilvl="0">
      <w:start w:val="1"/>
      <w:numFmt w:val="decimal"/>
      <w:lvlText w:val="（%1）"/>
      <w:lvlJc w:val="left"/>
      <w:pPr>
        <w:ind w:left="3640" w:hanging="840"/>
        <w:jc w:val="left"/>
      </w:pPr>
      <w:rPr>
        <w:rFonts w:hint="default" w:ascii="宋体" w:hAnsi="宋体" w:eastAsia="宋体" w:cs="宋体"/>
        <w:spacing w:val="-1"/>
        <w:w w:val="99"/>
        <w:sz w:val="21"/>
        <w:szCs w:val="21"/>
      </w:rPr>
    </w:lvl>
    <w:lvl w:ilvl="1">
      <w:start w:val="0"/>
      <w:numFmt w:val="bullet"/>
      <w:lvlText w:val="•"/>
      <w:lvlJc w:val="left"/>
      <w:pPr>
        <w:ind w:left="4184" w:hanging="840"/>
      </w:pPr>
      <w:rPr>
        <w:rFonts w:hint="default"/>
      </w:rPr>
    </w:lvl>
    <w:lvl w:ilvl="2">
      <w:start w:val="0"/>
      <w:numFmt w:val="bullet"/>
      <w:lvlText w:val="•"/>
      <w:lvlJc w:val="left"/>
      <w:pPr>
        <w:ind w:left="4728" w:hanging="840"/>
      </w:pPr>
      <w:rPr>
        <w:rFonts w:hint="default"/>
      </w:rPr>
    </w:lvl>
    <w:lvl w:ilvl="3">
      <w:start w:val="0"/>
      <w:numFmt w:val="bullet"/>
      <w:lvlText w:val="•"/>
      <w:lvlJc w:val="left"/>
      <w:pPr>
        <w:ind w:left="5272" w:hanging="840"/>
      </w:pPr>
      <w:rPr>
        <w:rFonts w:hint="default"/>
      </w:rPr>
    </w:lvl>
    <w:lvl w:ilvl="4">
      <w:start w:val="0"/>
      <w:numFmt w:val="bullet"/>
      <w:lvlText w:val="•"/>
      <w:lvlJc w:val="left"/>
      <w:pPr>
        <w:ind w:left="5816" w:hanging="840"/>
      </w:pPr>
      <w:rPr>
        <w:rFonts w:hint="default"/>
      </w:rPr>
    </w:lvl>
    <w:lvl w:ilvl="5">
      <w:start w:val="0"/>
      <w:numFmt w:val="bullet"/>
      <w:lvlText w:val="•"/>
      <w:lvlJc w:val="left"/>
      <w:pPr>
        <w:ind w:left="6360" w:hanging="840"/>
      </w:pPr>
      <w:rPr>
        <w:rFonts w:hint="default"/>
      </w:rPr>
    </w:lvl>
    <w:lvl w:ilvl="6">
      <w:start w:val="0"/>
      <w:numFmt w:val="bullet"/>
      <w:lvlText w:val="•"/>
      <w:lvlJc w:val="left"/>
      <w:pPr>
        <w:ind w:left="6904" w:hanging="840"/>
      </w:pPr>
      <w:rPr>
        <w:rFonts w:hint="default"/>
      </w:rPr>
    </w:lvl>
    <w:lvl w:ilvl="7">
      <w:start w:val="0"/>
      <w:numFmt w:val="bullet"/>
      <w:lvlText w:val="•"/>
      <w:lvlJc w:val="left"/>
      <w:pPr>
        <w:ind w:left="7448" w:hanging="840"/>
      </w:pPr>
      <w:rPr>
        <w:rFonts w:hint="default"/>
      </w:rPr>
    </w:lvl>
    <w:lvl w:ilvl="8">
      <w:start w:val="0"/>
      <w:numFmt w:val="bullet"/>
      <w:lvlText w:val="•"/>
      <w:lvlJc w:val="left"/>
      <w:pPr>
        <w:ind w:left="7992" w:hanging="840"/>
      </w:pPr>
      <w:rPr>
        <w:rFonts w:hint="default"/>
      </w:rPr>
    </w:lvl>
  </w:abstractNum>
  <w:abstractNum w:abstractNumId="0">
    <w:multiLevelType w:val="hybridMultilevel"/>
    <w:lvl w:ilvl="0">
      <w:start w:val="0"/>
      <w:numFmt w:val="bullet"/>
      <w:lvlText w:val=""/>
      <w:lvlJc w:val="left"/>
      <w:pPr>
        <w:ind w:left="1126" w:hanging="389"/>
      </w:pPr>
      <w:rPr>
        <w:rFonts w:hint="default" w:ascii="Wingdings" w:hAnsi="Wingdings" w:eastAsia="Wingdings" w:cs="Wingdings"/>
        <w:w w:val="99"/>
        <w:sz w:val="21"/>
        <w:szCs w:val="21"/>
      </w:rPr>
    </w:lvl>
    <w:lvl w:ilvl="1">
      <w:start w:val="0"/>
      <w:numFmt w:val="bullet"/>
      <w:lvlText w:val="•"/>
      <w:lvlJc w:val="left"/>
      <w:pPr>
        <w:ind w:left="2059" w:hanging="389"/>
      </w:pPr>
      <w:rPr>
        <w:rFonts w:hint="default"/>
      </w:rPr>
    </w:lvl>
    <w:lvl w:ilvl="2">
      <w:start w:val="0"/>
      <w:numFmt w:val="bullet"/>
      <w:lvlText w:val="•"/>
      <w:lvlJc w:val="left"/>
      <w:pPr>
        <w:ind w:left="2998" w:hanging="389"/>
      </w:pPr>
      <w:rPr>
        <w:rFonts w:hint="default"/>
      </w:rPr>
    </w:lvl>
    <w:lvl w:ilvl="3">
      <w:start w:val="0"/>
      <w:numFmt w:val="bullet"/>
      <w:lvlText w:val="•"/>
      <w:lvlJc w:val="left"/>
      <w:pPr>
        <w:ind w:left="3937" w:hanging="389"/>
      </w:pPr>
      <w:rPr>
        <w:rFonts w:hint="default"/>
      </w:rPr>
    </w:lvl>
    <w:lvl w:ilvl="4">
      <w:start w:val="0"/>
      <w:numFmt w:val="bullet"/>
      <w:lvlText w:val="•"/>
      <w:lvlJc w:val="left"/>
      <w:pPr>
        <w:ind w:left="4876" w:hanging="389"/>
      </w:pPr>
      <w:rPr>
        <w:rFonts w:hint="default"/>
      </w:rPr>
    </w:lvl>
    <w:lvl w:ilvl="5">
      <w:start w:val="0"/>
      <w:numFmt w:val="bullet"/>
      <w:lvlText w:val="•"/>
      <w:lvlJc w:val="left"/>
      <w:pPr>
        <w:ind w:left="5815" w:hanging="389"/>
      </w:pPr>
      <w:rPr>
        <w:rFonts w:hint="default"/>
      </w:rPr>
    </w:lvl>
    <w:lvl w:ilvl="6">
      <w:start w:val="0"/>
      <w:numFmt w:val="bullet"/>
      <w:lvlText w:val="•"/>
      <w:lvlJc w:val="left"/>
      <w:pPr>
        <w:ind w:left="6754" w:hanging="389"/>
      </w:pPr>
      <w:rPr>
        <w:rFonts w:hint="default"/>
      </w:rPr>
    </w:lvl>
    <w:lvl w:ilvl="7">
      <w:start w:val="0"/>
      <w:numFmt w:val="bullet"/>
      <w:lvlText w:val="•"/>
      <w:lvlJc w:val="left"/>
      <w:pPr>
        <w:ind w:left="7693" w:hanging="389"/>
      </w:pPr>
      <w:rPr>
        <w:rFonts w:hint="default"/>
      </w:rPr>
    </w:lvl>
    <w:lvl w:ilvl="8">
      <w:start w:val="0"/>
      <w:numFmt w:val="bullet"/>
      <w:lvlText w:val="•"/>
      <w:lvlJc w:val="left"/>
      <w:pPr>
        <w:ind w:left="8632" w:hanging="389"/>
      </w:pPr>
      <w:rPr>
        <w:rFonts w:hint="default"/>
      </w:rPr>
    </w:lvl>
  </w:abstract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56"/>
    </w:pPr>
    <w:rPr>
      <w:rFonts w:ascii="宋体" w:hAnsi="宋体" w:eastAsia="宋体" w:cs="宋体"/>
      <w:sz w:val="21"/>
      <w:szCs w:val="21"/>
    </w:rPr>
  </w:style>
  <w:style w:styleId="Heading1" w:type="paragraph">
    <w:name w:val="Heading 1"/>
    <w:basedOn w:val="Normal"/>
    <w:uiPriority w:val="1"/>
    <w:qFormat/>
    <w:pPr>
      <w:ind w:left="966" w:hanging="746"/>
      <w:outlineLvl w:val="1"/>
    </w:pPr>
    <w:rPr>
      <w:rFonts w:ascii="宋体" w:hAnsi="宋体" w:eastAsia="宋体" w:cs="宋体"/>
      <w:b/>
      <w:bCs/>
      <w:sz w:val="24"/>
      <w:szCs w:val="24"/>
    </w:rPr>
  </w:style>
  <w:style w:styleId="Heading2" w:type="paragraph">
    <w:name w:val="Heading 2"/>
    <w:basedOn w:val="Normal"/>
    <w:uiPriority w:val="1"/>
    <w:qFormat/>
    <w:pPr>
      <w:spacing w:line="273" w:lineRule="exact"/>
      <w:ind w:left="846"/>
      <w:outlineLvl w:val="2"/>
    </w:pPr>
    <w:rPr>
      <w:rFonts w:ascii="宋体" w:hAnsi="宋体" w:eastAsia="宋体" w:cs="宋体"/>
      <w:b/>
      <w:bCs/>
      <w:sz w:val="21"/>
      <w:szCs w:val="21"/>
    </w:rPr>
  </w:style>
  <w:style w:styleId="ListParagraph" w:type="paragraph">
    <w:name w:val="List Paragraph"/>
    <w:basedOn w:val="Normal"/>
    <w:uiPriority w:val="1"/>
    <w:qFormat/>
    <w:pPr>
      <w:spacing w:before="56"/>
      <w:ind w:left="846" w:hanging="73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杨东风</dc:creator>
  <dcterms:created xsi:type="dcterms:W3CDTF">2018-10-20T03:22:11Z</dcterms:created>
  <dcterms:modified xsi:type="dcterms:W3CDTF">2018-10-20T03:22:11Z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WPS Office</vt:lpwstr>
  </property>
  <property fmtid="{D5CDD505-2E9C-101B-9397-08002B2CF9AE}" pid="4" name="LastSaved">
    <vt:filetime>2018-10-19T00:00:00Z</vt:filetime>
  </property>
</Properties>
</file>