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p>
    <w:p>
      <w:pPr>
        <w:pStyle w:val="BodyText"/>
        <w:spacing w:before="3"/>
        <w:ind w:left="0"/>
        <w:rPr>
          <w:rFonts w:ascii="Times New Roman"/>
          <w:sz w:val="23"/>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9"/>
        <w:gridCol w:w="4662"/>
      </w:tblGrid>
      <w:tr>
        <w:trPr>
          <w:trHeight w:val="292" w:hRule="atLeast"/>
        </w:trPr>
        <w:tc>
          <w:tcPr>
            <w:tcW w:w="4659" w:type="dxa"/>
          </w:tcPr>
          <w:p>
            <w:pPr>
              <w:pStyle w:val="TableParagraph"/>
              <w:ind w:left="0"/>
              <w:rPr>
                <w:rFonts w:ascii="Times New Roman"/>
                <w:sz w:val="20"/>
              </w:rPr>
            </w:pPr>
          </w:p>
        </w:tc>
        <w:tc>
          <w:tcPr>
            <w:tcW w:w="4662" w:type="dxa"/>
          </w:tcPr>
          <w:p>
            <w:pPr>
              <w:pStyle w:val="TableParagraph"/>
              <w:spacing w:line="211" w:lineRule="exact"/>
              <w:ind w:left="1190"/>
              <w:rPr>
                <w:rFonts w:ascii="仿宋" w:eastAsia="仿宋" w:hint="eastAsia"/>
                <w:sz w:val="21"/>
              </w:rPr>
            </w:pPr>
            <w:r>
              <w:rPr>
                <w:rFonts w:ascii="仿宋" w:eastAsia="仿宋" w:hint="eastAsia"/>
                <w:sz w:val="21"/>
              </w:rPr>
              <w:t>中银三星人寿[2015]疾病保险 105 号</w:t>
            </w:r>
          </w:p>
        </w:tc>
      </w:tr>
      <w:tr>
        <w:trPr>
          <w:trHeight w:val="2388" w:hRule="atLeast"/>
        </w:trPr>
        <w:tc>
          <w:tcPr>
            <w:tcW w:w="9321" w:type="dxa"/>
            <w:gridSpan w:val="2"/>
          </w:tcPr>
          <w:p>
            <w:pPr>
              <w:pStyle w:val="TableParagraph"/>
              <w:tabs>
                <w:tab w:pos="6736" w:val="left" w:leader="none"/>
              </w:tabs>
              <w:spacing w:before="81"/>
              <w:ind w:left="2009"/>
              <w:jc w:val="center"/>
              <w:rPr>
                <w:b/>
                <w:sz w:val="32"/>
              </w:rPr>
            </w:pPr>
            <w:r>
              <w:rPr>
                <w:b/>
                <w:w w:val="95"/>
                <w:sz w:val="32"/>
              </w:rPr>
              <w:t>中银三星人寿保险有限公司</w:t>
              <w:tab/>
            </w:r>
            <w:r>
              <w:rPr>
                <w:b/>
                <w:sz w:val="32"/>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b/>
                <w:sz w:val="32"/>
              </w:rPr>
            </w:r>
          </w:p>
          <w:p>
            <w:pPr>
              <w:pStyle w:val="TableParagraph"/>
              <w:tabs>
                <w:tab w:pos="6919" w:val="left" w:leader="none"/>
              </w:tabs>
              <w:spacing w:before="32"/>
              <w:ind w:left="1847"/>
              <w:jc w:val="center"/>
              <w:rPr>
                <w:rFonts w:ascii="仿宋" w:eastAsia="仿宋" w:hint="eastAsia"/>
                <w:sz w:val="21"/>
              </w:rPr>
            </w:pPr>
            <w:r>
              <w:rPr>
                <w:b/>
                <w:sz w:val="24"/>
              </w:rPr>
              <w:t>中银三星附加康平提前给付重大疾病保险条款</w:t>
              <w:tab/>
            </w:r>
            <w:r>
              <w:rPr>
                <w:rFonts w:ascii="仿宋" w:eastAsia="仿宋" w:hint="eastAsia"/>
                <w:sz w:val="21"/>
              </w:rPr>
              <w:t>请扫</w:t>
            </w:r>
            <w:r>
              <w:rPr>
                <w:rFonts w:ascii="仿宋" w:eastAsia="仿宋" w:hint="eastAsia"/>
                <w:spacing w:val="-3"/>
                <w:sz w:val="21"/>
              </w:rPr>
              <w:t>描</w:t>
            </w:r>
            <w:r>
              <w:rPr>
                <w:rFonts w:ascii="仿宋" w:eastAsia="仿宋" w:hint="eastAsia"/>
                <w:sz w:val="21"/>
              </w:rPr>
              <w:t>以</w:t>
            </w:r>
            <w:r>
              <w:rPr>
                <w:rFonts w:ascii="仿宋" w:eastAsia="仿宋" w:hint="eastAsia"/>
                <w:spacing w:val="-3"/>
                <w:sz w:val="21"/>
              </w:rPr>
              <w:t>查</w:t>
            </w:r>
            <w:r>
              <w:rPr>
                <w:rFonts w:ascii="仿宋" w:eastAsia="仿宋" w:hint="eastAsia"/>
                <w:sz w:val="21"/>
              </w:rPr>
              <w:t>询</w:t>
            </w:r>
            <w:r>
              <w:rPr>
                <w:rFonts w:ascii="仿宋" w:eastAsia="仿宋" w:hint="eastAsia"/>
                <w:spacing w:val="-3"/>
                <w:sz w:val="21"/>
              </w:rPr>
              <w:t>验</w:t>
            </w:r>
            <w:r>
              <w:rPr>
                <w:rFonts w:ascii="仿宋" w:eastAsia="仿宋" w:hint="eastAsia"/>
                <w:sz w:val="21"/>
              </w:rPr>
              <w:t>证</w:t>
            </w:r>
            <w:r>
              <w:rPr>
                <w:rFonts w:ascii="仿宋" w:eastAsia="仿宋" w:hint="eastAsia"/>
                <w:spacing w:val="-3"/>
                <w:sz w:val="21"/>
              </w:rPr>
              <w:t>条</w:t>
            </w:r>
            <w:r>
              <w:rPr>
                <w:rFonts w:ascii="仿宋" w:eastAsia="仿宋" w:hint="eastAsia"/>
                <w:sz w:val="21"/>
              </w:rPr>
              <w:t>款</w:t>
            </w:r>
          </w:p>
          <w:p>
            <w:pPr>
              <w:pStyle w:val="TableParagraph"/>
              <w:spacing w:before="29"/>
              <w:ind w:left="2"/>
              <w:jc w:val="center"/>
              <w:rPr>
                <w:b/>
                <w:sz w:val="24"/>
              </w:rPr>
            </w:pPr>
            <w:r>
              <w:rPr>
                <w:b/>
                <w:sz w:val="24"/>
              </w:rPr>
              <w:t>（2015 年 9 月）</w:t>
            </w:r>
          </w:p>
        </w:tc>
      </w:tr>
      <w:tr>
        <w:trPr>
          <w:trHeight w:val="1096" w:hRule="atLeast"/>
        </w:trPr>
        <w:tc>
          <w:tcPr>
            <w:tcW w:w="9321" w:type="dxa"/>
            <w:gridSpan w:val="2"/>
          </w:tcPr>
          <w:p>
            <w:pPr>
              <w:pStyle w:val="TableParagraph"/>
              <w:ind w:left="0"/>
              <w:rPr>
                <w:rFonts w:ascii="Times New Roman"/>
                <w:sz w:val="20"/>
              </w:rPr>
            </w:pPr>
          </w:p>
          <w:p>
            <w:pPr>
              <w:pStyle w:val="TableParagraph"/>
              <w:spacing w:before="138"/>
              <w:ind w:left="1075"/>
              <w:rPr>
                <w:b/>
                <w:sz w:val="21"/>
              </w:rPr>
            </w:pPr>
            <w:r>
              <w:rPr>
                <w:b/>
                <w:sz w:val="21"/>
              </w:rPr>
              <w:t>在阅读条款正文之前，浏览一下条款目录有助于对条款结构有一个大致了解。</w:t>
            </w:r>
          </w:p>
        </w:tc>
      </w:tr>
      <w:tr>
        <w:trPr>
          <w:trHeight w:val="434" w:hRule="atLeast"/>
        </w:trPr>
        <w:tc>
          <w:tcPr>
            <w:tcW w:w="9321" w:type="dxa"/>
            <w:gridSpan w:val="2"/>
            <w:shd w:val="clear" w:color="auto" w:fill="CCCCCC"/>
          </w:tcPr>
          <w:p>
            <w:pPr>
              <w:pStyle w:val="TableParagraph"/>
              <w:spacing w:before="47"/>
              <w:ind w:left="1"/>
              <w:jc w:val="center"/>
              <w:rPr>
                <w:b/>
                <w:sz w:val="21"/>
              </w:rPr>
            </w:pPr>
            <w:r>
              <w:rPr>
                <w:b/>
                <w:sz w:val="21"/>
              </w:rPr>
              <w:t>条款目录</w:t>
            </w:r>
          </w:p>
        </w:tc>
      </w:tr>
      <w:tr>
        <w:trPr>
          <w:trHeight w:val="6956" w:hRule="atLeast"/>
        </w:trPr>
        <w:tc>
          <w:tcPr>
            <w:tcW w:w="4659" w:type="dxa"/>
            <w:tcBorders>
              <w:right w:val="single" w:sz="4" w:space="0" w:color="000000"/>
            </w:tcBorders>
          </w:tcPr>
          <w:p>
            <w:pPr>
              <w:pStyle w:val="TableParagraph"/>
              <w:tabs>
                <w:tab w:pos="1579" w:val="left" w:leader="none"/>
              </w:tabs>
              <w:spacing w:line="300" w:lineRule="auto" w:before="47"/>
              <w:ind w:left="528" w:right="1380" w:hanging="420"/>
              <w:rPr>
                <w:sz w:val="21"/>
              </w:rPr>
            </w:pPr>
            <w:r>
              <w:rPr>
                <w:b/>
                <w:sz w:val="21"/>
              </w:rPr>
              <w:t>第一章</w:t>
              <w:tab/>
              <w:t>附</w:t>
            </w:r>
            <w:r>
              <w:rPr>
                <w:b/>
                <w:spacing w:val="-3"/>
                <w:sz w:val="21"/>
              </w:rPr>
              <w:t>加</w:t>
            </w:r>
            <w:r>
              <w:rPr>
                <w:b/>
                <w:sz w:val="21"/>
              </w:rPr>
              <w:t>保</w:t>
            </w:r>
            <w:r>
              <w:rPr>
                <w:b/>
                <w:spacing w:val="-3"/>
                <w:sz w:val="21"/>
              </w:rPr>
              <w:t>险</w:t>
            </w:r>
            <w:r>
              <w:rPr>
                <w:b/>
                <w:sz w:val="21"/>
              </w:rPr>
              <w:t>合同订立 </w:t>
            </w:r>
            <w:r>
              <w:rPr>
                <w:sz w:val="21"/>
              </w:rPr>
              <w:t>第一条</w:t>
              <w:tab/>
              <w:t>附</w:t>
            </w:r>
            <w:r>
              <w:rPr>
                <w:spacing w:val="-3"/>
                <w:sz w:val="21"/>
              </w:rPr>
              <w:t>加</w:t>
            </w:r>
            <w:r>
              <w:rPr>
                <w:sz w:val="21"/>
              </w:rPr>
              <w:t>保</w:t>
            </w:r>
            <w:r>
              <w:rPr>
                <w:spacing w:val="-3"/>
                <w:sz w:val="21"/>
              </w:rPr>
              <w:t>险</w:t>
            </w:r>
            <w:r>
              <w:rPr>
                <w:sz w:val="21"/>
              </w:rPr>
              <w:t>合</w:t>
            </w:r>
            <w:r>
              <w:rPr>
                <w:spacing w:val="-3"/>
                <w:sz w:val="21"/>
              </w:rPr>
              <w:t>同</w:t>
            </w:r>
            <w:r>
              <w:rPr>
                <w:sz w:val="21"/>
              </w:rPr>
              <w:t>订立</w:t>
            </w:r>
          </w:p>
          <w:p>
            <w:pPr>
              <w:pStyle w:val="TableParagraph"/>
              <w:tabs>
                <w:tab w:pos="1579" w:val="left" w:leader="none"/>
              </w:tabs>
              <w:spacing w:line="300" w:lineRule="auto" w:before="15"/>
              <w:ind w:left="528" w:right="1169" w:hanging="420"/>
              <w:rPr>
                <w:sz w:val="21"/>
              </w:rPr>
            </w:pPr>
            <w:r>
              <w:rPr>
                <w:b/>
                <w:sz w:val="21"/>
              </w:rPr>
              <w:t>第二章</w:t>
              <w:tab/>
              <w:t>保</w:t>
            </w:r>
            <w:r>
              <w:rPr>
                <w:b/>
                <w:spacing w:val="-3"/>
                <w:sz w:val="21"/>
              </w:rPr>
              <w:t>险</w:t>
            </w:r>
            <w:r>
              <w:rPr>
                <w:b/>
                <w:sz w:val="21"/>
              </w:rPr>
              <w:t>责</w:t>
            </w:r>
            <w:r>
              <w:rPr>
                <w:b/>
                <w:spacing w:val="-3"/>
                <w:sz w:val="21"/>
              </w:rPr>
              <w:t>任</w:t>
            </w:r>
            <w:r>
              <w:rPr>
                <w:b/>
                <w:sz w:val="21"/>
              </w:rPr>
              <w:t>及责任免除 </w:t>
            </w:r>
            <w:r>
              <w:rPr>
                <w:sz w:val="21"/>
              </w:rPr>
              <w:t>第二条</w:t>
              <w:tab/>
              <w:t>保</w:t>
            </w:r>
            <w:r>
              <w:rPr>
                <w:spacing w:val="-3"/>
                <w:sz w:val="21"/>
              </w:rPr>
              <w:t>险</w:t>
            </w:r>
            <w:r>
              <w:rPr>
                <w:sz w:val="21"/>
              </w:rPr>
              <w:t>责任</w:t>
            </w:r>
          </w:p>
          <w:p>
            <w:pPr>
              <w:pStyle w:val="TableParagraph"/>
              <w:tabs>
                <w:tab w:pos="1579" w:val="left" w:leader="none"/>
              </w:tabs>
              <w:spacing w:before="15"/>
              <w:ind w:left="528"/>
              <w:rPr>
                <w:sz w:val="21"/>
              </w:rPr>
            </w:pPr>
            <w:r>
              <w:rPr>
                <w:sz w:val="21"/>
              </w:rPr>
              <w:t>第三条</w:t>
              <w:tab/>
              <w:t>责</w:t>
            </w:r>
            <w:r>
              <w:rPr>
                <w:spacing w:val="-3"/>
                <w:sz w:val="21"/>
              </w:rPr>
              <w:t>任</w:t>
            </w:r>
            <w:r>
              <w:rPr>
                <w:sz w:val="21"/>
              </w:rPr>
              <w:t>免除</w:t>
            </w:r>
          </w:p>
          <w:p>
            <w:pPr>
              <w:pStyle w:val="TableParagraph"/>
              <w:tabs>
                <w:tab w:pos="1579" w:val="left" w:leader="none"/>
              </w:tabs>
              <w:spacing w:line="300" w:lineRule="auto" w:before="68"/>
              <w:ind w:left="528" w:right="1380" w:hanging="420"/>
              <w:rPr>
                <w:sz w:val="21"/>
              </w:rPr>
            </w:pPr>
            <w:r>
              <w:rPr>
                <w:b/>
                <w:sz w:val="21"/>
              </w:rPr>
              <w:t>第三章</w:t>
              <w:tab/>
              <w:t>保</w:t>
            </w:r>
            <w:r>
              <w:rPr>
                <w:b/>
                <w:spacing w:val="-3"/>
                <w:sz w:val="21"/>
              </w:rPr>
              <w:t>险</w:t>
            </w:r>
            <w:r>
              <w:rPr>
                <w:b/>
                <w:sz w:val="21"/>
              </w:rPr>
              <w:t>金</w:t>
            </w:r>
            <w:r>
              <w:rPr>
                <w:b/>
                <w:spacing w:val="-3"/>
                <w:sz w:val="21"/>
              </w:rPr>
              <w:t>额</w:t>
            </w:r>
            <w:r>
              <w:rPr>
                <w:b/>
                <w:sz w:val="21"/>
              </w:rPr>
              <w:t>及保险费 </w:t>
            </w:r>
            <w:r>
              <w:rPr>
                <w:sz w:val="21"/>
              </w:rPr>
              <w:t>第四条</w:t>
              <w:tab/>
              <w:t>基</w:t>
            </w:r>
            <w:r>
              <w:rPr>
                <w:spacing w:val="-3"/>
                <w:sz w:val="21"/>
              </w:rPr>
              <w:t>本</w:t>
            </w:r>
            <w:r>
              <w:rPr>
                <w:sz w:val="21"/>
              </w:rPr>
              <w:t>保</w:t>
            </w:r>
            <w:r>
              <w:rPr>
                <w:spacing w:val="-3"/>
                <w:sz w:val="21"/>
              </w:rPr>
              <w:t>险</w:t>
            </w:r>
            <w:r>
              <w:rPr>
                <w:sz w:val="21"/>
              </w:rPr>
              <w:t>金额</w:t>
            </w:r>
          </w:p>
          <w:p>
            <w:pPr>
              <w:pStyle w:val="TableParagraph"/>
              <w:tabs>
                <w:tab w:pos="1579" w:val="left" w:leader="none"/>
              </w:tabs>
              <w:spacing w:before="16"/>
              <w:ind w:left="528"/>
              <w:rPr>
                <w:sz w:val="21"/>
              </w:rPr>
            </w:pPr>
            <w:r>
              <w:rPr>
                <w:sz w:val="21"/>
              </w:rPr>
              <w:t>第五条</w:t>
              <w:tab/>
              <w:t>保</w:t>
            </w:r>
            <w:r>
              <w:rPr>
                <w:spacing w:val="-3"/>
                <w:sz w:val="21"/>
              </w:rPr>
              <w:t>险</w:t>
            </w:r>
            <w:r>
              <w:rPr>
                <w:sz w:val="21"/>
              </w:rPr>
              <w:t>金额</w:t>
            </w:r>
          </w:p>
          <w:p>
            <w:pPr>
              <w:pStyle w:val="TableParagraph"/>
              <w:tabs>
                <w:tab w:pos="1579" w:val="left" w:leader="none"/>
              </w:tabs>
              <w:spacing w:line="300" w:lineRule="auto" w:before="68"/>
              <w:ind w:left="528" w:right="1390"/>
              <w:rPr>
                <w:sz w:val="21"/>
              </w:rPr>
            </w:pPr>
            <w:r>
              <w:rPr>
                <w:sz w:val="21"/>
              </w:rPr>
              <w:t>第六条</w:t>
              <w:tab/>
              <w:t>基</w:t>
            </w:r>
            <w:r>
              <w:rPr>
                <w:spacing w:val="-3"/>
                <w:sz w:val="21"/>
              </w:rPr>
              <w:t>本</w:t>
            </w:r>
            <w:r>
              <w:rPr>
                <w:sz w:val="21"/>
              </w:rPr>
              <w:t>保</w:t>
            </w:r>
            <w:r>
              <w:rPr>
                <w:spacing w:val="-3"/>
                <w:sz w:val="21"/>
              </w:rPr>
              <w:t>险</w:t>
            </w:r>
            <w:r>
              <w:rPr>
                <w:sz w:val="21"/>
              </w:rPr>
              <w:t>金</w:t>
            </w:r>
            <w:r>
              <w:rPr>
                <w:spacing w:val="-3"/>
                <w:sz w:val="21"/>
              </w:rPr>
              <w:t>额</w:t>
            </w:r>
            <w:r>
              <w:rPr>
                <w:sz w:val="21"/>
              </w:rPr>
              <w:t>变更 第七条</w:t>
              <w:tab/>
              <w:t>保</w:t>
            </w:r>
            <w:r>
              <w:rPr>
                <w:spacing w:val="-3"/>
                <w:sz w:val="21"/>
              </w:rPr>
              <w:t>险</w:t>
            </w:r>
            <w:r>
              <w:rPr>
                <w:sz w:val="21"/>
              </w:rPr>
              <w:t>费</w:t>
            </w:r>
          </w:p>
          <w:p>
            <w:pPr>
              <w:pStyle w:val="TableParagraph"/>
              <w:tabs>
                <w:tab w:pos="1579" w:val="left" w:leader="none"/>
              </w:tabs>
              <w:spacing w:before="15"/>
              <w:ind w:left="528"/>
              <w:rPr>
                <w:sz w:val="21"/>
              </w:rPr>
            </w:pPr>
            <w:r>
              <w:rPr>
                <w:sz w:val="21"/>
              </w:rPr>
              <w:t>第八条</w:t>
              <w:tab/>
              <w:t>保</w:t>
            </w:r>
            <w:r>
              <w:rPr>
                <w:spacing w:val="-3"/>
                <w:sz w:val="21"/>
              </w:rPr>
              <w:t>险</w:t>
            </w:r>
            <w:r>
              <w:rPr>
                <w:sz w:val="21"/>
              </w:rPr>
              <w:t>费</w:t>
            </w:r>
            <w:r>
              <w:rPr>
                <w:spacing w:val="-3"/>
                <w:sz w:val="21"/>
              </w:rPr>
              <w:t>率</w:t>
            </w:r>
            <w:r>
              <w:rPr>
                <w:sz w:val="21"/>
              </w:rPr>
              <w:t>调整</w:t>
            </w:r>
          </w:p>
          <w:p>
            <w:pPr>
              <w:pStyle w:val="TableParagraph"/>
              <w:tabs>
                <w:tab w:pos="1579" w:val="left" w:leader="none"/>
              </w:tabs>
              <w:spacing w:line="300" w:lineRule="auto" w:before="68"/>
              <w:ind w:left="528" w:right="115" w:hanging="420"/>
              <w:rPr>
                <w:sz w:val="21"/>
              </w:rPr>
            </w:pPr>
            <w:r>
              <w:rPr>
                <w:b/>
                <w:sz w:val="21"/>
              </w:rPr>
              <w:t>第四章</w:t>
              <w:tab/>
              <w:t>保</w:t>
            </w:r>
            <w:r>
              <w:rPr>
                <w:b/>
                <w:spacing w:val="-3"/>
                <w:sz w:val="21"/>
              </w:rPr>
              <w:t>险</w:t>
            </w:r>
            <w:r>
              <w:rPr>
                <w:b/>
                <w:sz w:val="21"/>
              </w:rPr>
              <w:t>合</w:t>
            </w:r>
            <w:r>
              <w:rPr>
                <w:b/>
                <w:spacing w:val="-3"/>
                <w:sz w:val="21"/>
              </w:rPr>
              <w:t>同</w:t>
            </w:r>
            <w:r>
              <w:rPr>
                <w:b/>
                <w:sz w:val="21"/>
              </w:rPr>
              <w:t>成立与生效、合同</w:t>
            </w:r>
            <w:r>
              <w:rPr>
                <w:b/>
                <w:spacing w:val="-3"/>
                <w:sz w:val="21"/>
              </w:rPr>
              <w:t>终</w:t>
            </w:r>
            <w:r>
              <w:rPr>
                <w:b/>
                <w:sz w:val="21"/>
              </w:rPr>
              <w:t>止 </w:t>
            </w:r>
            <w:r>
              <w:rPr>
                <w:sz w:val="21"/>
              </w:rPr>
              <w:t>第九条</w:t>
              <w:tab/>
              <w:t>保</w:t>
            </w:r>
            <w:r>
              <w:rPr>
                <w:spacing w:val="-3"/>
                <w:sz w:val="21"/>
              </w:rPr>
              <w:t>险</w:t>
            </w:r>
            <w:r>
              <w:rPr>
                <w:sz w:val="21"/>
              </w:rPr>
              <w:t>合</w:t>
            </w:r>
            <w:r>
              <w:rPr>
                <w:spacing w:val="-3"/>
                <w:sz w:val="21"/>
              </w:rPr>
              <w:t>同</w:t>
            </w:r>
            <w:r>
              <w:rPr>
                <w:sz w:val="21"/>
              </w:rPr>
              <w:t>成</w:t>
            </w:r>
            <w:r>
              <w:rPr>
                <w:spacing w:val="-3"/>
                <w:sz w:val="21"/>
              </w:rPr>
              <w:t>立</w:t>
            </w:r>
            <w:r>
              <w:rPr>
                <w:sz w:val="21"/>
              </w:rPr>
              <w:t>与生效</w:t>
            </w:r>
          </w:p>
          <w:p>
            <w:pPr>
              <w:pStyle w:val="TableParagraph"/>
              <w:tabs>
                <w:tab w:pos="1579" w:val="left" w:leader="none"/>
              </w:tabs>
              <w:spacing w:before="15"/>
              <w:ind w:left="528"/>
              <w:rPr>
                <w:sz w:val="21"/>
              </w:rPr>
            </w:pPr>
            <w:r>
              <w:rPr>
                <w:sz w:val="21"/>
              </w:rPr>
              <w:t>第十条</w:t>
              <w:tab/>
              <w:t>保</w:t>
            </w:r>
            <w:r>
              <w:rPr>
                <w:spacing w:val="-3"/>
                <w:sz w:val="21"/>
              </w:rPr>
              <w:t>险</w:t>
            </w:r>
            <w:r>
              <w:rPr>
                <w:sz w:val="21"/>
              </w:rPr>
              <w:t>期间</w:t>
            </w:r>
          </w:p>
          <w:p>
            <w:pPr>
              <w:pStyle w:val="TableParagraph"/>
              <w:tabs>
                <w:tab w:pos="1579" w:val="left" w:leader="none"/>
              </w:tabs>
              <w:spacing w:line="300" w:lineRule="auto" w:before="67"/>
              <w:ind w:left="108" w:right="1810" w:firstLine="420"/>
              <w:rPr>
                <w:b/>
                <w:sz w:val="21"/>
              </w:rPr>
            </w:pPr>
            <w:r>
              <w:rPr>
                <w:sz w:val="21"/>
              </w:rPr>
              <w:t>第十</w:t>
            </w:r>
            <w:r>
              <w:rPr>
                <w:spacing w:val="-3"/>
                <w:sz w:val="21"/>
              </w:rPr>
              <w:t>一</w:t>
            </w:r>
            <w:r>
              <w:rPr>
                <w:sz w:val="21"/>
              </w:rPr>
              <w:t>条</w:t>
              <w:tab/>
              <w:t>附</w:t>
            </w:r>
            <w:r>
              <w:rPr>
                <w:spacing w:val="-3"/>
                <w:sz w:val="21"/>
              </w:rPr>
              <w:t>加</w:t>
            </w:r>
            <w:r>
              <w:rPr>
                <w:sz w:val="21"/>
              </w:rPr>
              <w:t>合</w:t>
            </w:r>
            <w:r>
              <w:rPr>
                <w:spacing w:val="-3"/>
                <w:sz w:val="21"/>
              </w:rPr>
              <w:t>同</w:t>
            </w:r>
            <w:r>
              <w:rPr>
                <w:sz w:val="21"/>
              </w:rPr>
              <w:t>终止 </w:t>
            </w:r>
            <w:r>
              <w:rPr>
                <w:b/>
                <w:sz w:val="21"/>
              </w:rPr>
              <w:t>第五章</w:t>
              <w:tab/>
              <w:t>保</w:t>
            </w:r>
            <w:r>
              <w:rPr>
                <w:b/>
                <w:spacing w:val="-3"/>
                <w:sz w:val="21"/>
              </w:rPr>
              <w:t>险</w:t>
            </w:r>
            <w:r>
              <w:rPr>
                <w:b/>
                <w:sz w:val="21"/>
              </w:rPr>
              <w:t>金</w:t>
            </w:r>
            <w:r>
              <w:rPr>
                <w:b/>
                <w:spacing w:val="-3"/>
                <w:sz w:val="21"/>
              </w:rPr>
              <w:t>申</w:t>
            </w:r>
            <w:r>
              <w:rPr>
                <w:b/>
                <w:sz w:val="21"/>
              </w:rPr>
              <w:t>请</w:t>
            </w:r>
          </w:p>
          <w:p>
            <w:pPr>
              <w:pStyle w:val="TableParagraph"/>
              <w:tabs>
                <w:tab w:pos="1579" w:val="left" w:leader="none"/>
              </w:tabs>
              <w:spacing w:line="300" w:lineRule="auto" w:before="15"/>
              <w:ind w:left="528" w:right="2021"/>
              <w:rPr>
                <w:sz w:val="21"/>
              </w:rPr>
            </w:pPr>
            <w:r>
              <w:rPr>
                <w:sz w:val="21"/>
              </w:rPr>
              <w:t>第十</w:t>
            </w:r>
            <w:r>
              <w:rPr>
                <w:spacing w:val="-3"/>
                <w:sz w:val="21"/>
              </w:rPr>
              <w:t>二</w:t>
            </w:r>
            <w:r>
              <w:rPr>
                <w:sz w:val="21"/>
              </w:rPr>
              <w:t>条</w:t>
              <w:tab/>
              <w:t>保</w:t>
            </w:r>
            <w:r>
              <w:rPr>
                <w:spacing w:val="-3"/>
                <w:sz w:val="21"/>
              </w:rPr>
              <w:t>险</w:t>
            </w:r>
            <w:r>
              <w:rPr>
                <w:sz w:val="21"/>
              </w:rPr>
              <w:t>金</w:t>
            </w:r>
            <w:r>
              <w:rPr>
                <w:spacing w:val="-3"/>
                <w:sz w:val="21"/>
              </w:rPr>
              <w:t>申</w:t>
            </w:r>
            <w:r>
              <w:rPr>
                <w:sz w:val="21"/>
              </w:rPr>
              <w:t>请 第十</w:t>
            </w:r>
            <w:r>
              <w:rPr>
                <w:spacing w:val="-3"/>
                <w:sz w:val="21"/>
              </w:rPr>
              <w:t>三</w:t>
            </w:r>
            <w:r>
              <w:rPr>
                <w:sz w:val="21"/>
              </w:rPr>
              <w:t>条</w:t>
              <w:tab/>
              <w:t>保</w:t>
            </w:r>
            <w:r>
              <w:rPr>
                <w:spacing w:val="-3"/>
                <w:sz w:val="21"/>
              </w:rPr>
              <w:t>险</w:t>
            </w:r>
            <w:r>
              <w:rPr>
                <w:sz w:val="21"/>
              </w:rPr>
              <w:t>金</w:t>
            </w:r>
            <w:r>
              <w:rPr>
                <w:spacing w:val="-3"/>
                <w:sz w:val="21"/>
              </w:rPr>
              <w:t>给</w:t>
            </w:r>
            <w:r>
              <w:rPr>
                <w:sz w:val="21"/>
              </w:rPr>
              <w:t>付</w:t>
            </w:r>
          </w:p>
          <w:p>
            <w:pPr>
              <w:pStyle w:val="TableParagraph"/>
              <w:tabs>
                <w:tab w:pos="1579" w:val="left" w:leader="none"/>
              </w:tabs>
              <w:spacing w:line="300" w:lineRule="auto" w:before="15"/>
              <w:ind w:left="528" w:right="550"/>
              <w:rPr>
                <w:sz w:val="21"/>
              </w:rPr>
            </w:pPr>
            <w:r>
              <w:rPr>
                <w:sz w:val="21"/>
              </w:rPr>
              <w:t>第十</w:t>
            </w:r>
            <w:r>
              <w:rPr>
                <w:spacing w:val="-3"/>
                <w:sz w:val="21"/>
              </w:rPr>
              <w:t>四</w:t>
            </w:r>
            <w:r>
              <w:rPr>
                <w:sz w:val="21"/>
              </w:rPr>
              <w:t>条</w:t>
              <w:tab/>
              <w:t>主</w:t>
            </w:r>
            <w:r>
              <w:rPr>
                <w:spacing w:val="-3"/>
                <w:sz w:val="21"/>
              </w:rPr>
              <w:t>合</w:t>
            </w:r>
            <w:r>
              <w:rPr>
                <w:sz w:val="21"/>
              </w:rPr>
              <w:t>同</w:t>
            </w:r>
            <w:r>
              <w:rPr>
                <w:spacing w:val="-3"/>
                <w:sz w:val="21"/>
              </w:rPr>
              <w:t>提</w:t>
            </w:r>
            <w:r>
              <w:rPr>
                <w:sz w:val="21"/>
              </w:rPr>
              <w:t>前</w:t>
            </w:r>
            <w:r>
              <w:rPr>
                <w:spacing w:val="-3"/>
                <w:sz w:val="21"/>
              </w:rPr>
              <w:t>给</w:t>
            </w:r>
            <w:r>
              <w:rPr>
                <w:sz w:val="21"/>
              </w:rPr>
              <w:t>付保</w:t>
            </w:r>
            <w:r>
              <w:rPr>
                <w:spacing w:val="-3"/>
                <w:sz w:val="21"/>
              </w:rPr>
              <w:t>险</w:t>
            </w:r>
            <w:r>
              <w:rPr>
                <w:sz w:val="21"/>
              </w:rPr>
              <w:t>金</w:t>
            </w:r>
            <w:r>
              <w:rPr>
                <w:spacing w:val="-3"/>
                <w:sz w:val="21"/>
              </w:rPr>
              <w:t>申</w:t>
            </w:r>
            <w:r>
              <w:rPr>
                <w:sz w:val="21"/>
              </w:rPr>
              <w:t>请 第十</w:t>
            </w:r>
            <w:r>
              <w:rPr>
                <w:spacing w:val="-3"/>
                <w:sz w:val="21"/>
              </w:rPr>
              <w:t>五</w:t>
            </w:r>
            <w:r>
              <w:rPr>
                <w:sz w:val="21"/>
              </w:rPr>
              <w:t>条</w:t>
              <w:tab/>
              <w:t>诉</w:t>
            </w:r>
            <w:r>
              <w:rPr>
                <w:spacing w:val="-3"/>
                <w:sz w:val="21"/>
              </w:rPr>
              <w:t>讼</w:t>
            </w:r>
            <w:r>
              <w:rPr>
                <w:sz w:val="21"/>
              </w:rPr>
              <w:t>时效</w:t>
            </w:r>
          </w:p>
        </w:tc>
        <w:tc>
          <w:tcPr>
            <w:tcW w:w="4662" w:type="dxa"/>
            <w:tcBorders>
              <w:left w:val="single" w:sz="4" w:space="0" w:color="000000"/>
            </w:tcBorders>
          </w:tcPr>
          <w:p>
            <w:pPr>
              <w:pStyle w:val="TableParagraph"/>
              <w:tabs>
                <w:tab w:pos="1574" w:val="left" w:leader="none"/>
              </w:tabs>
              <w:spacing w:line="300" w:lineRule="auto" w:before="47"/>
              <w:ind w:left="102" w:right="2449" w:firstLine="420"/>
              <w:rPr>
                <w:b/>
                <w:sz w:val="21"/>
              </w:rPr>
            </w:pPr>
            <w:r>
              <w:rPr>
                <w:sz w:val="21"/>
              </w:rPr>
              <w:t>第十</w:t>
            </w:r>
            <w:r>
              <w:rPr>
                <w:spacing w:val="-3"/>
                <w:sz w:val="21"/>
              </w:rPr>
              <w:t>六</w:t>
            </w:r>
            <w:r>
              <w:rPr>
                <w:sz w:val="21"/>
              </w:rPr>
              <w:t>条</w:t>
              <w:tab/>
              <w:t>受</w:t>
            </w:r>
            <w:r>
              <w:rPr>
                <w:spacing w:val="-3"/>
                <w:sz w:val="21"/>
              </w:rPr>
              <w:t>益</w:t>
            </w:r>
            <w:r>
              <w:rPr>
                <w:sz w:val="21"/>
              </w:rPr>
              <w:t>人 </w:t>
            </w:r>
            <w:r>
              <w:rPr>
                <w:b/>
                <w:sz w:val="21"/>
              </w:rPr>
              <w:t>第六章</w:t>
              <w:tab/>
              <w:t>释义</w:t>
            </w:r>
          </w:p>
          <w:p>
            <w:pPr>
              <w:pStyle w:val="TableParagraph"/>
              <w:tabs>
                <w:tab w:pos="1574" w:val="left" w:leader="none"/>
              </w:tabs>
              <w:spacing w:line="300" w:lineRule="auto" w:before="15"/>
              <w:ind w:left="523" w:right="2449"/>
              <w:rPr>
                <w:sz w:val="21"/>
              </w:rPr>
            </w:pPr>
            <w:r>
              <w:rPr>
                <w:sz w:val="21"/>
              </w:rPr>
              <w:t>第十</w:t>
            </w:r>
            <w:r>
              <w:rPr>
                <w:spacing w:val="-3"/>
                <w:sz w:val="21"/>
              </w:rPr>
              <w:t>七</w:t>
            </w:r>
            <w:r>
              <w:rPr>
                <w:sz w:val="21"/>
              </w:rPr>
              <w:t>条</w:t>
              <w:tab/>
              <w:t>释义 一</w:t>
              <w:tab/>
              <w:t>本</w:t>
            </w:r>
            <w:r>
              <w:rPr>
                <w:spacing w:val="-3"/>
                <w:sz w:val="21"/>
              </w:rPr>
              <w:t>公</w:t>
            </w:r>
            <w:r>
              <w:rPr>
                <w:sz w:val="21"/>
              </w:rPr>
              <w:t>司</w:t>
            </w:r>
          </w:p>
          <w:p>
            <w:pPr>
              <w:pStyle w:val="TableParagraph"/>
              <w:tabs>
                <w:tab w:pos="1574" w:val="left" w:leader="none"/>
              </w:tabs>
              <w:spacing w:before="15"/>
              <w:ind w:left="523"/>
              <w:rPr>
                <w:sz w:val="21"/>
              </w:rPr>
            </w:pPr>
            <w:r>
              <w:rPr>
                <w:sz w:val="21"/>
              </w:rPr>
              <w:t>二</w:t>
              <w:tab/>
              <w:t>医院</w:t>
            </w:r>
          </w:p>
          <w:p>
            <w:pPr>
              <w:pStyle w:val="TableParagraph"/>
              <w:tabs>
                <w:tab w:pos="1574" w:val="left" w:leader="none"/>
              </w:tabs>
              <w:spacing w:before="68"/>
              <w:ind w:left="523"/>
              <w:rPr>
                <w:sz w:val="21"/>
              </w:rPr>
            </w:pPr>
            <w:r>
              <w:rPr>
                <w:sz w:val="21"/>
              </w:rPr>
              <w:t>三</w:t>
              <w:tab/>
              <w:t>重</w:t>
            </w:r>
            <w:r>
              <w:rPr>
                <w:spacing w:val="-3"/>
                <w:sz w:val="21"/>
              </w:rPr>
              <w:t>大</w:t>
            </w:r>
            <w:r>
              <w:rPr>
                <w:sz w:val="21"/>
              </w:rPr>
              <w:t>疾病</w:t>
            </w:r>
          </w:p>
          <w:p>
            <w:pPr>
              <w:pStyle w:val="TableParagraph"/>
              <w:tabs>
                <w:tab w:pos="1574" w:val="left" w:leader="none"/>
              </w:tabs>
              <w:spacing w:before="68"/>
              <w:ind w:left="523"/>
              <w:rPr>
                <w:sz w:val="21"/>
              </w:rPr>
            </w:pPr>
            <w:r>
              <w:rPr>
                <w:sz w:val="21"/>
              </w:rPr>
              <w:t>四</w:t>
              <w:tab/>
              <w:t>意</w:t>
            </w:r>
            <w:r>
              <w:rPr>
                <w:spacing w:val="-3"/>
                <w:sz w:val="21"/>
              </w:rPr>
              <w:t>外</w:t>
            </w:r>
            <w:r>
              <w:rPr>
                <w:sz w:val="21"/>
              </w:rPr>
              <w:t>伤害</w:t>
            </w:r>
          </w:p>
          <w:p>
            <w:pPr>
              <w:pStyle w:val="TableParagraph"/>
              <w:tabs>
                <w:tab w:pos="1574" w:val="left" w:leader="none"/>
              </w:tabs>
              <w:spacing w:before="68"/>
              <w:ind w:left="523"/>
              <w:rPr>
                <w:sz w:val="21"/>
              </w:rPr>
            </w:pPr>
            <w:r>
              <w:rPr>
                <w:sz w:val="21"/>
              </w:rPr>
              <w:t>五</w:t>
              <w:tab/>
              <w:t>毒品</w:t>
            </w:r>
          </w:p>
          <w:p>
            <w:pPr>
              <w:pStyle w:val="TableParagraph"/>
              <w:tabs>
                <w:tab w:pos="1574" w:val="left" w:leader="none"/>
              </w:tabs>
              <w:spacing w:before="69"/>
              <w:ind w:left="523"/>
              <w:rPr>
                <w:sz w:val="21"/>
              </w:rPr>
            </w:pPr>
            <w:r>
              <w:rPr>
                <w:sz w:val="21"/>
              </w:rPr>
              <w:t>六</w:t>
              <w:tab/>
              <w:t>酒</w:t>
            </w:r>
            <w:r>
              <w:rPr>
                <w:spacing w:val="-3"/>
                <w:sz w:val="21"/>
              </w:rPr>
              <w:t>后</w:t>
            </w:r>
            <w:r>
              <w:rPr>
                <w:sz w:val="21"/>
              </w:rPr>
              <w:t>驾驶</w:t>
            </w:r>
          </w:p>
          <w:p>
            <w:pPr>
              <w:pStyle w:val="TableParagraph"/>
              <w:tabs>
                <w:tab w:pos="1574" w:val="left" w:leader="none"/>
              </w:tabs>
              <w:spacing w:before="68"/>
              <w:ind w:left="523"/>
              <w:rPr>
                <w:sz w:val="21"/>
              </w:rPr>
            </w:pPr>
            <w:r>
              <w:rPr>
                <w:sz w:val="21"/>
              </w:rPr>
              <w:t>七</w:t>
              <w:tab/>
              <w:t>无</w:t>
            </w:r>
            <w:r>
              <w:rPr>
                <w:spacing w:val="-3"/>
                <w:sz w:val="21"/>
              </w:rPr>
              <w:t>合</w:t>
            </w:r>
            <w:r>
              <w:rPr>
                <w:sz w:val="21"/>
              </w:rPr>
              <w:t>法</w:t>
            </w:r>
            <w:r>
              <w:rPr>
                <w:spacing w:val="-3"/>
                <w:sz w:val="21"/>
              </w:rPr>
              <w:t>有</w:t>
            </w:r>
            <w:r>
              <w:rPr>
                <w:sz w:val="21"/>
              </w:rPr>
              <w:t>效</w:t>
            </w:r>
            <w:r>
              <w:rPr>
                <w:spacing w:val="-3"/>
                <w:sz w:val="21"/>
              </w:rPr>
              <w:t>驾</w:t>
            </w:r>
            <w:r>
              <w:rPr>
                <w:sz w:val="21"/>
              </w:rPr>
              <w:t>驶证</w:t>
            </w:r>
            <w:r>
              <w:rPr>
                <w:spacing w:val="-3"/>
                <w:sz w:val="21"/>
              </w:rPr>
              <w:t>驾</w:t>
            </w:r>
            <w:r>
              <w:rPr>
                <w:sz w:val="21"/>
              </w:rPr>
              <w:t>驶</w:t>
            </w:r>
          </w:p>
          <w:p>
            <w:pPr>
              <w:pStyle w:val="TableParagraph"/>
              <w:tabs>
                <w:tab w:pos="1574" w:val="left" w:leader="none"/>
              </w:tabs>
              <w:spacing w:before="68"/>
              <w:ind w:left="523"/>
              <w:rPr>
                <w:sz w:val="21"/>
              </w:rPr>
            </w:pPr>
            <w:r>
              <w:rPr>
                <w:sz w:val="21"/>
              </w:rPr>
              <w:t>八</w:t>
              <w:tab/>
            </w:r>
            <w:r>
              <w:rPr>
                <w:spacing w:val="-1"/>
                <w:sz w:val="21"/>
              </w:rPr>
              <w:t>无</w:t>
            </w:r>
            <w:r>
              <w:rPr>
                <w:spacing w:val="-3"/>
                <w:sz w:val="21"/>
              </w:rPr>
              <w:t>有</w:t>
            </w:r>
            <w:r>
              <w:rPr>
                <w:sz w:val="21"/>
              </w:rPr>
              <w:t>效</w:t>
            </w:r>
            <w:r>
              <w:rPr>
                <w:spacing w:val="-3"/>
                <w:sz w:val="21"/>
              </w:rPr>
              <w:t>行</w:t>
            </w:r>
            <w:r>
              <w:rPr>
                <w:sz w:val="21"/>
              </w:rPr>
              <w:t>驶证</w:t>
            </w:r>
          </w:p>
          <w:p>
            <w:pPr>
              <w:pStyle w:val="TableParagraph"/>
              <w:tabs>
                <w:tab w:pos="1574" w:val="left" w:leader="none"/>
              </w:tabs>
              <w:spacing w:before="68"/>
              <w:ind w:left="523"/>
              <w:rPr>
                <w:sz w:val="21"/>
              </w:rPr>
            </w:pPr>
            <w:r>
              <w:rPr>
                <w:sz w:val="21"/>
              </w:rPr>
              <w:t>九</w:t>
              <w:tab/>
              <w:t>先</w:t>
            </w:r>
            <w:r>
              <w:rPr>
                <w:spacing w:val="-3"/>
                <w:sz w:val="21"/>
              </w:rPr>
              <w:t>天</w:t>
            </w:r>
            <w:r>
              <w:rPr>
                <w:sz w:val="21"/>
              </w:rPr>
              <w:t>性</w:t>
            </w:r>
            <w:r>
              <w:rPr>
                <w:spacing w:val="-3"/>
                <w:sz w:val="21"/>
              </w:rPr>
              <w:t>畸</w:t>
            </w:r>
            <w:r>
              <w:rPr>
                <w:sz w:val="21"/>
              </w:rPr>
              <w:t>形</w:t>
            </w:r>
            <w:r>
              <w:rPr>
                <w:spacing w:val="-3"/>
                <w:sz w:val="21"/>
              </w:rPr>
              <w:t>、</w:t>
            </w:r>
            <w:r>
              <w:rPr>
                <w:sz w:val="21"/>
              </w:rPr>
              <w:t>变形</w:t>
            </w:r>
            <w:r>
              <w:rPr>
                <w:spacing w:val="-3"/>
                <w:sz w:val="21"/>
              </w:rPr>
              <w:t>或</w:t>
            </w:r>
            <w:r>
              <w:rPr>
                <w:sz w:val="21"/>
              </w:rPr>
              <w:t>染</w:t>
            </w:r>
            <w:r>
              <w:rPr>
                <w:spacing w:val="-3"/>
                <w:sz w:val="21"/>
              </w:rPr>
              <w:t>色</w:t>
            </w:r>
            <w:r>
              <w:rPr>
                <w:sz w:val="21"/>
              </w:rPr>
              <w:t>体</w:t>
            </w:r>
            <w:r>
              <w:rPr>
                <w:spacing w:val="-3"/>
                <w:sz w:val="21"/>
              </w:rPr>
              <w:t>异</w:t>
            </w:r>
            <w:r>
              <w:rPr>
                <w:sz w:val="21"/>
              </w:rPr>
              <w:t>常</w:t>
            </w:r>
          </w:p>
          <w:p>
            <w:pPr>
              <w:pStyle w:val="TableParagraph"/>
              <w:tabs>
                <w:tab w:pos="1574" w:val="left" w:leader="none"/>
              </w:tabs>
              <w:spacing w:before="68"/>
              <w:ind w:left="523"/>
              <w:rPr>
                <w:sz w:val="21"/>
              </w:rPr>
            </w:pPr>
            <w:r>
              <w:rPr>
                <w:sz w:val="21"/>
              </w:rPr>
              <w:t>十</w:t>
              <w:tab/>
              <w:t>现</w:t>
            </w:r>
            <w:r>
              <w:rPr>
                <w:spacing w:val="-3"/>
                <w:sz w:val="21"/>
              </w:rPr>
              <w:t>金</w:t>
            </w:r>
            <w:r>
              <w:rPr>
                <w:sz w:val="21"/>
              </w:rPr>
              <w:t>价值</w:t>
            </w:r>
          </w:p>
          <w:p>
            <w:pPr>
              <w:pStyle w:val="TableParagraph"/>
              <w:tabs>
                <w:tab w:pos="1574" w:val="left" w:leader="none"/>
              </w:tabs>
              <w:spacing w:before="68"/>
              <w:ind w:left="523"/>
              <w:rPr>
                <w:sz w:val="21"/>
              </w:rPr>
            </w:pPr>
            <w:r>
              <w:rPr>
                <w:sz w:val="21"/>
              </w:rPr>
              <w:t>十一</w:t>
              <w:tab/>
              <w:t>专</w:t>
            </w:r>
            <w:r>
              <w:rPr>
                <w:spacing w:val="-3"/>
                <w:sz w:val="21"/>
              </w:rPr>
              <w:t>科</w:t>
            </w:r>
            <w:r>
              <w:rPr>
                <w:sz w:val="21"/>
              </w:rPr>
              <w:t>医生</w:t>
            </w:r>
          </w:p>
          <w:p>
            <w:pPr>
              <w:pStyle w:val="TableParagraph"/>
              <w:tabs>
                <w:tab w:pos="1574" w:val="left" w:leader="none"/>
              </w:tabs>
              <w:spacing w:before="68"/>
              <w:ind w:left="523"/>
              <w:rPr>
                <w:sz w:val="21"/>
              </w:rPr>
            </w:pPr>
            <w:r>
              <w:rPr>
                <w:sz w:val="21"/>
              </w:rPr>
              <w:t>十二</w:t>
              <w:tab/>
              <w:t>肢</w:t>
            </w:r>
            <w:r>
              <w:rPr>
                <w:spacing w:val="-3"/>
                <w:sz w:val="21"/>
              </w:rPr>
              <w:t>体</w:t>
            </w:r>
            <w:r>
              <w:rPr>
                <w:sz w:val="21"/>
              </w:rPr>
              <w:t>机</w:t>
            </w:r>
            <w:r>
              <w:rPr>
                <w:spacing w:val="-3"/>
                <w:sz w:val="21"/>
              </w:rPr>
              <w:t>能</w:t>
            </w:r>
            <w:r>
              <w:rPr>
                <w:sz w:val="21"/>
              </w:rPr>
              <w:t>完</w:t>
            </w:r>
            <w:r>
              <w:rPr>
                <w:spacing w:val="-3"/>
                <w:sz w:val="21"/>
              </w:rPr>
              <w:t>全</w:t>
            </w:r>
            <w:r>
              <w:rPr>
                <w:sz w:val="21"/>
              </w:rPr>
              <w:t>丧失</w:t>
            </w:r>
          </w:p>
          <w:p>
            <w:pPr>
              <w:pStyle w:val="TableParagraph"/>
              <w:tabs>
                <w:tab w:pos="1586" w:val="left" w:leader="none"/>
              </w:tabs>
              <w:spacing w:line="300" w:lineRule="auto" w:before="68"/>
              <w:ind w:left="1574" w:right="105" w:hanging="1052"/>
              <w:rPr>
                <w:sz w:val="21"/>
              </w:rPr>
            </w:pPr>
            <w:r>
              <w:rPr>
                <w:sz w:val="21"/>
              </w:rPr>
              <w:t>十三</w:t>
              <w:tab/>
              <w:tab/>
              <w:t>语言能力或咀嚼吞咽能力完全丧 失</w:t>
            </w:r>
          </w:p>
          <w:p>
            <w:pPr>
              <w:pStyle w:val="TableParagraph"/>
              <w:tabs>
                <w:tab w:pos="1574" w:val="left" w:leader="none"/>
              </w:tabs>
              <w:spacing w:line="300" w:lineRule="auto" w:before="15"/>
              <w:ind w:left="523" w:right="977"/>
              <w:rPr>
                <w:sz w:val="21"/>
              </w:rPr>
            </w:pPr>
            <w:r>
              <w:rPr>
                <w:sz w:val="21"/>
              </w:rPr>
              <w:t>十四</w:t>
              <w:tab/>
              <w:t>六</w:t>
            </w:r>
            <w:r>
              <w:rPr>
                <w:spacing w:val="-3"/>
                <w:sz w:val="21"/>
              </w:rPr>
              <w:t>项</w:t>
            </w:r>
            <w:r>
              <w:rPr>
                <w:sz w:val="21"/>
              </w:rPr>
              <w:t>基</w:t>
            </w:r>
            <w:r>
              <w:rPr>
                <w:spacing w:val="-3"/>
                <w:sz w:val="21"/>
              </w:rPr>
              <w:t>本</w:t>
            </w:r>
            <w:r>
              <w:rPr>
                <w:sz w:val="21"/>
              </w:rPr>
              <w:t>日</w:t>
            </w:r>
            <w:r>
              <w:rPr>
                <w:spacing w:val="-3"/>
                <w:sz w:val="21"/>
              </w:rPr>
              <w:t>常</w:t>
            </w:r>
            <w:r>
              <w:rPr>
                <w:sz w:val="21"/>
              </w:rPr>
              <w:t>生活</w:t>
            </w:r>
            <w:r>
              <w:rPr>
                <w:spacing w:val="-3"/>
                <w:sz w:val="21"/>
              </w:rPr>
              <w:t>活</w:t>
            </w:r>
            <w:r>
              <w:rPr>
                <w:sz w:val="21"/>
              </w:rPr>
              <w:t>动 十五</w:t>
              <w:tab/>
              <w:t>永</w:t>
            </w:r>
            <w:r>
              <w:rPr>
                <w:spacing w:val="-3"/>
                <w:sz w:val="21"/>
              </w:rPr>
              <w:t>久</w:t>
            </w:r>
            <w:r>
              <w:rPr>
                <w:sz w:val="21"/>
              </w:rPr>
              <w:t>不</w:t>
            </w:r>
            <w:r>
              <w:rPr>
                <w:spacing w:val="-3"/>
                <w:sz w:val="21"/>
              </w:rPr>
              <w:t>可</w:t>
            </w:r>
            <w:r>
              <w:rPr>
                <w:sz w:val="21"/>
              </w:rPr>
              <w:t>逆</w:t>
            </w:r>
          </w:p>
          <w:p>
            <w:pPr>
              <w:pStyle w:val="TableParagraph"/>
              <w:tabs>
                <w:tab w:pos="1574" w:val="left" w:leader="none"/>
              </w:tabs>
              <w:spacing w:before="16"/>
              <w:ind w:left="523"/>
              <w:rPr>
                <w:sz w:val="21"/>
              </w:rPr>
            </w:pPr>
            <w:r>
              <w:rPr>
                <w:sz w:val="21"/>
              </w:rPr>
              <w:t>十六</w:t>
              <w:tab/>
              <w:t>周岁</w:t>
            </w:r>
          </w:p>
        </w:tc>
      </w:tr>
    </w:tbl>
    <w:p>
      <w:pPr>
        <w:spacing w:after="0"/>
        <w:rPr>
          <w:sz w:val="21"/>
        </w:rPr>
        <w:sectPr>
          <w:footerReference w:type="default" r:id="rId5"/>
          <w:type w:val="continuous"/>
          <w:pgSz w:w="11910" w:h="16840"/>
          <w:pgMar w:footer="919" w:top="1580" w:bottom="1100" w:left="1180" w:right="1180"/>
          <w:pgNumType w:start="1"/>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7" w:after="1"/>
        <w:ind w:left="0"/>
        <w:rPr>
          <w:rFonts w:ascii="Times New Roman"/>
          <w:sz w:val="15"/>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0"/>
        <w:gridCol w:w="1740"/>
        <w:gridCol w:w="6562"/>
      </w:tblGrid>
      <w:tr>
        <w:trPr>
          <w:trHeight w:val="399" w:hRule="atLeast"/>
        </w:trPr>
        <w:tc>
          <w:tcPr>
            <w:tcW w:w="1070" w:type="dxa"/>
          </w:tcPr>
          <w:p>
            <w:pPr>
              <w:pStyle w:val="TableParagraph"/>
              <w:ind w:left="0"/>
              <w:rPr>
                <w:rFonts w:ascii="Times New Roman"/>
                <w:sz w:val="20"/>
              </w:rPr>
            </w:pPr>
          </w:p>
        </w:tc>
        <w:tc>
          <w:tcPr>
            <w:tcW w:w="1740" w:type="dxa"/>
          </w:tcPr>
          <w:p>
            <w:pPr>
              <w:pStyle w:val="TableParagraph"/>
              <w:ind w:left="0"/>
              <w:rPr>
                <w:rFonts w:ascii="Times New Roman"/>
                <w:sz w:val="20"/>
              </w:rPr>
            </w:pPr>
          </w:p>
        </w:tc>
        <w:tc>
          <w:tcPr>
            <w:tcW w:w="6562" w:type="dxa"/>
          </w:tcPr>
          <w:p>
            <w:pPr>
              <w:pStyle w:val="TableParagraph"/>
              <w:spacing w:line="281" w:lineRule="exact"/>
              <w:ind w:left="1313"/>
              <w:rPr>
                <w:b/>
                <w:sz w:val="28"/>
              </w:rPr>
            </w:pPr>
            <w:r>
              <w:rPr>
                <w:b/>
                <w:sz w:val="28"/>
              </w:rPr>
              <w:t>条款正文</w:t>
            </w:r>
          </w:p>
        </w:tc>
      </w:tr>
      <w:tr>
        <w:trPr>
          <w:trHeight w:val="708" w:hRule="atLeast"/>
        </w:trPr>
        <w:tc>
          <w:tcPr>
            <w:tcW w:w="9372" w:type="dxa"/>
            <w:gridSpan w:val="3"/>
          </w:tcPr>
          <w:p>
            <w:pPr>
              <w:pStyle w:val="TableParagraph"/>
              <w:spacing w:before="55"/>
              <w:ind w:left="1207"/>
              <w:rPr>
                <w:b/>
                <w:sz w:val="21"/>
              </w:rPr>
            </w:pPr>
            <w:r>
              <w:rPr>
                <w:b/>
                <w:sz w:val="21"/>
              </w:rPr>
              <w:t>条款是保险合同的重要组成部分，请投保人、被保险人、受益人仔细阅读。</w:t>
            </w:r>
          </w:p>
        </w:tc>
      </w:tr>
      <w:tr>
        <w:trPr>
          <w:trHeight w:val="311" w:hRule="atLeast"/>
        </w:trPr>
        <w:tc>
          <w:tcPr>
            <w:tcW w:w="1070" w:type="dxa"/>
            <w:shd w:val="clear" w:color="auto" w:fill="BEBEBE"/>
          </w:tcPr>
          <w:p>
            <w:pPr>
              <w:pStyle w:val="TableParagraph"/>
              <w:spacing w:line="262" w:lineRule="exact"/>
              <w:ind w:left="108"/>
              <w:rPr>
                <w:b/>
                <w:sz w:val="21"/>
              </w:rPr>
            </w:pPr>
            <w:r>
              <w:rPr>
                <w:b/>
                <w:sz w:val="21"/>
              </w:rPr>
              <w:t>第一章</w:t>
            </w:r>
          </w:p>
        </w:tc>
        <w:tc>
          <w:tcPr>
            <w:tcW w:w="8302" w:type="dxa"/>
            <w:gridSpan w:val="2"/>
            <w:shd w:val="clear" w:color="auto" w:fill="BEBEBE"/>
          </w:tcPr>
          <w:p>
            <w:pPr>
              <w:pStyle w:val="TableParagraph"/>
              <w:spacing w:line="262" w:lineRule="exact"/>
              <w:ind w:left="329"/>
              <w:rPr>
                <w:b/>
                <w:sz w:val="21"/>
              </w:rPr>
            </w:pPr>
            <w:r>
              <w:rPr>
                <w:b/>
                <w:sz w:val="21"/>
              </w:rPr>
              <w:t>附加保险合同订立</w:t>
            </w:r>
          </w:p>
        </w:tc>
      </w:tr>
      <w:tr>
        <w:trPr>
          <w:trHeight w:val="1872" w:hRule="atLeast"/>
        </w:trPr>
        <w:tc>
          <w:tcPr>
            <w:tcW w:w="1070" w:type="dxa"/>
          </w:tcPr>
          <w:p>
            <w:pPr>
              <w:pStyle w:val="TableParagraph"/>
              <w:spacing w:line="262" w:lineRule="exact"/>
              <w:ind w:left="108"/>
              <w:rPr>
                <w:sz w:val="21"/>
              </w:rPr>
            </w:pPr>
            <w:r>
              <w:rPr>
                <w:sz w:val="21"/>
              </w:rPr>
              <w:t>第一条</w:t>
            </w:r>
          </w:p>
        </w:tc>
        <w:tc>
          <w:tcPr>
            <w:tcW w:w="1740" w:type="dxa"/>
          </w:tcPr>
          <w:p>
            <w:pPr>
              <w:pStyle w:val="TableParagraph"/>
              <w:spacing w:line="273" w:lineRule="auto"/>
              <w:ind w:left="329" w:right="146"/>
              <w:rPr>
                <w:sz w:val="21"/>
              </w:rPr>
            </w:pPr>
            <w:r>
              <w:rPr>
                <w:sz w:val="21"/>
              </w:rPr>
              <w:t>附加保险合同订立</w:t>
            </w:r>
          </w:p>
        </w:tc>
        <w:tc>
          <w:tcPr>
            <w:tcW w:w="6562" w:type="dxa"/>
          </w:tcPr>
          <w:p>
            <w:pPr>
              <w:pStyle w:val="TableParagraph"/>
              <w:spacing w:line="273" w:lineRule="auto"/>
              <w:ind w:left="149" w:right="-15"/>
              <w:rPr>
                <w:sz w:val="21"/>
              </w:rPr>
            </w:pPr>
            <w:r>
              <w:rPr>
                <w:spacing w:val="-3"/>
                <w:sz w:val="21"/>
              </w:rPr>
              <w:t>《中银三星附加康平提前给付重大疾病保险》合同</w:t>
            </w:r>
            <w:r>
              <w:rPr>
                <w:sz w:val="21"/>
              </w:rPr>
              <w:t>（</w:t>
            </w:r>
            <w:r>
              <w:rPr>
                <w:spacing w:val="-3"/>
                <w:sz w:val="21"/>
              </w:rPr>
              <w:t>以下简称“本附加合同”</w:t>
            </w:r>
            <w:r>
              <w:rPr>
                <w:sz w:val="21"/>
              </w:rPr>
              <w:t>）</w:t>
            </w:r>
            <w:r>
              <w:rPr>
                <w:spacing w:val="-3"/>
                <w:sz w:val="21"/>
              </w:rPr>
              <w:t>，依主保险合同</w:t>
            </w:r>
            <w:r>
              <w:rPr>
                <w:sz w:val="21"/>
              </w:rPr>
              <w:t>（</w:t>
            </w:r>
            <w:r>
              <w:rPr>
                <w:spacing w:val="-3"/>
                <w:sz w:val="21"/>
              </w:rPr>
              <w:t>以下简称“主合同”</w:t>
            </w:r>
            <w:r>
              <w:rPr>
                <w:sz w:val="21"/>
              </w:rPr>
              <w:t>）</w:t>
            </w:r>
            <w:r>
              <w:rPr>
                <w:spacing w:val="-3"/>
                <w:sz w:val="21"/>
              </w:rPr>
              <w:t>投保人的申请， 经</w:t>
            </w:r>
            <w:r>
              <w:rPr>
                <w:b/>
                <w:sz w:val="21"/>
              </w:rPr>
              <w:t>本公司</w:t>
            </w:r>
            <w:r>
              <w:rPr>
                <w:spacing w:val="-3"/>
                <w:sz w:val="21"/>
              </w:rPr>
              <w:t>（见释义一</w:t>
            </w:r>
            <w:r>
              <w:rPr>
                <w:sz w:val="21"/>
              </w:rPr>
              <w:t>）</w:t>
            </w:r>
            <w:r>
              <w:rPr>
                <w:spacing w:val="-3"/>
                <w:sz w:val="21"/>
              </w:rPr>
              <w:t>同意而订立。本附加合同须附加于主合同。主</w:t>
            </w:r>
            <w:r>
              <w:rPr>
                <w:spacing w:val="-10"/>
                <w:sz w:val="21"/>
              </w:rPr>
              <w:t>合同的条款也适用于本附加合同，若主合同与本附加合同条款不一致， </w:t>
            </w:r>
            <w:r>
              <w:rPr>
                <w:spacing w:val="-5"/>
                <w:sz w:val="21"/>
              </w:rPr>
              <w:t>则以本附加合同的条款为准。</w:t>
            </w:r>
          </w:p>
        </w:tc>
      </w:tr>
      <w:tr>
        <w:trPr>
          <w:trHeight w:val="311" w:hRule="atLeast"/>
        </w:trPr>
        <w:tc>
          <w:tcPr>
            <w:tcW w:w="1070" w:type="dxa"/>
            <w:shd w:val="clear" w:color="auto" w:fill="BEBEBE"/>
          </w:tcPr>
          <w:p>
            <w:pPr>
              <w:pStyle w:val="TableParagraph"/>
              <w:spacing w:line="262" w:lineRule="exact"/>
              <w:ind w:left="108"/>
              <w:rPr>
                <w:b/>
                <w:sz w:val="21"/>
              </w:rPr>
            </w:pPr>
            <w:r>
              <w:rPr>
                <w:b/>
                <w:sz w:val="21"/>
              </w:rPr>
              <w:t>第二章</w:t>
            </w:r>
          </w:p>
        </w:tc>
        <w:tc>
          <w:tcPr>
            <w:tcW w:w="8302" w:type="dxa"/>
            <w:gridSpan w:val="2"/>
            <w:shd w:val="clear" w:color="auto" w:fill="BEBEBE"/>
          </w:tcPr>
          <w:p>
            <w:pPr>
              <w:pStyle w:val="TableParagraph"/>
              <w:spacing w:line="262" w:lineRule="exact"/>
              <w:ind w:left="329"/>
              <w:rPr>
                <w:b/>
                <w:sz w:val="21"/>
              </w:rPr>
            </w:pPr>
            <w:r>
              <w:rPr>
                <w:b/>
                <w:sz w:val="21"/>
              </w:rPr>
              <w:t>保险责任及责任免除</w:t>
            </w:r>
          </w:p>
        </w:tc>
      </w:tr>
      <w:tr>
        <w:trPr>
          <w:trHeight w:val="4837" w:hRule="atLeast"/>
        </w:trPr>
        <w:tc>
          <w:tcPr>
            <w:tcW w:w="1070" w:type="dxa"/>
          </w:tcPr>
          <w:p>
            <w:pPr>
              <w:pStyle w:val="TableParagraph"/>
              <w:spacing w:line="262" w:lineRule="exact"/>
              <w:ind w:left="108"/>
              <w:rPr>
                <w:sz w:val="21"/>
              </w:rPr>
            </w:pPr>
            <w:r>
              <w:rPr>
                <w:sz w:val="21"/>
              </w:rPr>
              <w:t>第二条</w:t>
            </w:r>
          </w:p>
        </w:tc>
        <w:tc>
          <w:tcPr>
            <w:tcW w:w="1740" w:type="dxa"/>
          </w:tcPr>
          <w:p>
            <w:pPr>
              <w:pStyle w:val="TableParagraph"/>
              <w:spacing w:line="262" w:lineRule="exact"/>
              <w:ind w:left="329"/>
              <w:rPr>
                <w:sz w:val="21"/>
              </w:rPr>
            </w:pPr>
            <w:r>
              <w:rPr>
                <w:sz w:val="21"/>
              </w:rPr>
              <w:t>保险责任</w:t>
            </w:r>
          </w:p>
        </w:tc>
        <w:tc>
          <w:tcPr>
            <w:tcW w:w="6562" w:type="dxa"/>
          </w:tcPr>
          <w:p>
            <w:pPr>
              <w:pStyle w:val="TableParagraph"/>
              <w:spacing w:line="273" w:lineRule="auto"/>
              <w:ind w:left="149" w:right="104"/>
              <w:jc w:val="both"/>
              <w:rPr>
                <w:b/>
                <w:sz w:val="21"/>
              </w:rPr>
            </w:pPr>
            <w:r>
              <w:rPr>
                <w:spacing w:val="-3"/>
                <w:sz w:val="21"/>
              </w:rPr>
              <w:t>在本附加合同有效期内，若被保险人于本附加合同生效日</w:t>
            </w:r>
            <w:r>
              <w:rPr>
                <w:sz w:val="21"/>
              </w:rPr>
              <w:t>（</w:t>
            </w:r>
            <w:r>
              <w:rPr>
                <w:spacing w:val="-3"/>
                <w:sz w:val="21"/>
              </w:rPr>
              <w:t>对于恢复</w:t>
            </w:r>
            <w:r>
              <w:rPr>
                <w:spacing w:val="-9"/>
                <w:sz w:val="21"/>
              </w:rPr>
              <w:t>效力的合同，则为最后一次效力恢复日</w:t>
            </w:r>
            <w:r>
              <w:rPr>
                <w:spacing w:val="-51"/>
                <w:sz w:val="21"/>
              </w:rPr>
              <w:t>）</w:t>
            </w:r>
            <w:r>
              <w:rPr>
                <w:spacing w:val="-19"/>
                <w:sz w:val="21"/>
              </w:rPr>
              <w:t>起 </w:t>
            </w:r>
            <w:r>
              <w:rPr>
                <w:sz w:val="21"/>
              </w:rPr>
              <w:t>90</w:t>
            </w:r>
            <w:r>
              <w:rPr>
                <w:spacing w:val="-8"/>
                <w:sz w:val="21"/>
              </w:rPr>
              <w:t> 日后初次发病并经</w:t>
            </w:r>
            <w:r>
              <w:rPr>
                <w:b/>
                <w:sz w:val="21"/>
              </w:rPr>
              <w:t>医院</w:t>
            </w:r>
          </w:p>
          <w:p>
            <w:pPr>
              <w:pStyle w:val="TableParagraph"/>
              <w:spacing w:line="273" w:lineRule="auto" w:before="20"/>
              <w:ind w:left="149" w:right="101"/>
              <w:jc w:val="both"/>
              <w:rPr>
                <w:b/>
                <w:sz w:val="21"/>
              </w:rPr>
            </w:pPr>
            <w:r>
              <w:rPr>
                <w:sz w:val="21"/>
              </w:rPr>
              <w:t>（见释义二）确诊患本附加合同所定义的</w:t>
            </w:r>
            <w:r>
              <w:rPr>
                <w:b/>
                <w:sz w:val="21"/>
              </w:rPr>
              <w:t>重大疾病</w:t>
            </w:r>
            <w:r>
              <w:rPr>
                <w:sz w:val="21"/>
              </w:rPr>
              <w:t>（见释义三）（无论一种或多种），本公司按本附加合同的基本保险金额给付重大疾病保险金，本附加合同终止。但因本附加合同有效期内发生的</w:t>
            </w:r>
            <w:r>
              <w:rPr>
                <w:b/>
                <w:sz w:val="21"/>
              </w:rPr>
              <w:t>意外伤害</w:t>
            </w:r>
          </w:p>
          <w:p>
            <w:pPr>
              <w:pStyle w:val="TableParagraph"/>
              <w:spacing w:before="7"/>
              <w:ind w:left="149"/>
              <w:rPr>
                <w:sz w:val="21"/>
              </w:rPr>
            </w:pPr>
            <w:r>
              <w:rPr>
                <w:sz w:val="21"/>
              </w:rPr>
              <w:t>（见释义四）导致重大疾病不受上述 90 日的限制。</w:t>
            </w:r>
          </w:p>
          <w:p>
            <w:pPr>
              <w:pStyle w:val="TableParagraph"/>
              <w:spacing w:line="273" w:lineRule="auto" w:before="36"/>
              <w:ind w:left="149" w:right="99"/>
              <w:jc w:val="both"/>
              <w:rPr>
                <w:sz w:val="21"/>
              </w:rPr>
            </w:pPr>
            <w:r>
              <w:rPr>
                <w:spacing w:val="-7"/>
                <w:sz w:val="21"/>
              </w:rPr>
              <w:t>若被保险人于本附加合同生效日</w:t>
            </w:r>
            <w:r>
              <w:rPr>
                <w:sz w:val="21"/>
              </w:rPr>
              <w:t>（</w:t>
            </w:r>
            <w:r>
              <w:rPr>
                <w:spacing w:val="-3"/>
                <w:sz w:val="21"/>
              </w:rPr>
              <w:t>或效力恢复日</w:t>
            </w:r>
            <w:r>
              <w:rPr>
                <w:spacing w:val="-53"/>
                <w:sz w:val="21"/>
              </w:rPr>
              <w:t>）</w:t>
            </w:r>
            <w:r>
              <w:rPr>
                <w:spacing w:val="-18"/>
                <w:sz w:val="21"/>
              </w:rPr>
              <w:t>起 </w:t>
            </w:r>
            <w:r>
              <w:rPr>
                <w:sz w:val="21"/>
              </w:rPr>
              <w:t>90</w:t>
            </w:r>
            <w:r>
              <w:rPr>
                <w:spacing w:val="-9"/>
                <w:sz w:val="21"/>
              </w:rPr>
              <w:t> 日内发病并经</w:t>
            </w:r>
            <w:r>
              <w:rPr>
                <w:spacing w:val="-5"/>
                <w:sz w:val="21"/>
              </w:rPr>
              <w:t>医院确诊患本附加合同所定义的重大疾病，本公司无息返还本附加合</w:t>
            </w:r>
            <w:r>
              <w:rPr>
                <w:spacing w:val="-4"/>
                <w:sz w:val="21"/>
              </w:rPr>
              <w:t>同所交保险费，本附加合同终止。</w:t>
            </w:r>
          </w:p>
          <w:p>
            <w:pPr>
              <w:pStyle w:val="TableParagraph"/>
              <w:spacing w:line="273" w:lineRule="auto" w:before="7"/>
              <w:ind w:left="149" w:right="104"/>
              <w:jc w:val="both"/>
              <w:rPr>
                <w:sz w:val="21"/>
              </w:rPr>
            </w:pPr>
            <w:r>
              <w:rPr>
                <w:sz w:val="21"/>
              </w:rPr>
              <w:t>给付重大疾病保险金后，主合同的基本保险金额变更为原基本保险金额减去本附加合同已给付的重大疾病保险金后的余额，若主合同的基本保险金额减少至 0，主合同终止。自给付重大疾病保险金后，主合同各项权利义务按照变更后的基本保险金额核算。</w:t>
            </w:r>
          </w:p>
          <w:p>
            <w:pPr>
              <w:pStyle w:val="TableParagraph"/>
              <w:spacing w:line="273" w:lineRule="auto" w:before="7"/>
              <w:ind w:left="149" w:right="104"/>
              <w:jc w:val="both"/>
              <w:rPr>
                <w:sz w:val="21"/>
              </w:rPr>
            </w:pPr>
            <w:r>
              <w:rPr>
                <w:sz w:val="21"/>
              </w:rPr>
              <w:t>本公司按本附加合同约定给付的重大疾病保险金以本附加合同基本保险金额为限。</w:t>
            </w:r>
          </w:p>
        </w:tc>
      </w:tr>
      <w:tr>
        <w:trPr>
          <w:trHeight w:val="3850" w:hRule="atLeast"/>
        </w:trPr>
        <w:tc>
          <w:tcPr>
            <w:tcW w:w="1070" w:type="dxa"/>
          </w:tcPr>
          <w:p>
            <w:pPr>
              <w:pStyle w:val="TableParagraph"/>
              <w:spacing w:before="142"/>
              <w:ind w:left="108"/>
              <w:rPr>
                <w:sz w:val="21"/>
              </w:rPr>
            </w:pPr>
            <w:r>
              <w:rPr>
                <w:sz w:val="21"/>
              </w:rPr>
              <w:t>第三条</w:t>
            </w:r>
          </w:p>
        </w:tc>
        <w:tc>
          <w:tcPr>
            <w:tcW w:w="1740" w:type="dxa"/>
          </w:tcPr>
          <w:p>
            <w:pPr>
              <w:pStyle w:val="TableParagraph"/>
              <w:spacing w:before="142"/>
              <w:ind w:left="329"/>
              <w:rPr>
                <w:sz w:val="21"/>
              </w:rPr>
            </w:pPr>
            <w:r>
              <w:rPr>
                <w:sz w:val="21"/>
              </w:rPr>
              <w:t>责任免除</w:t>
            </w:r>
          </w:p>
        </w:tc>
        <w:tc>
          <w:tcPr>
            <w:tcW w:w="6562" w:type="dxa"/>
          </w:tcPr>
          <w:p>
            <w:pPr>
              <w:pStyle w:val="TableParagraph"/>
              <w:spacing w:line="273" w:lineRule="auto" w:before="142"/>
              <w:ind w:left="149" w:right="104"/>
              <w:rPr>
                <w:sz w:val="21"/>
              </w:rPr>
            </w:pPr>
            <w:r>
              <w:rPr>
                <w:sz w:val="21"/>
              </w:rPr>
              <w:t>因下列情形之一或在效力中止期间被保险人患重大疾病、达到疾病状态或进行手术的，本公司不承担保险责任：</w:t>
            </w:r>
          </w:p>
          <w:p>
            <w:pPr>
              <w:pStyle w:val="TableParagraph"/>
              <w:spacing w:before="7"/>
              <w:ind w:left="149"/>
              <w:rPr>
                <w:sz w:val="21"/>
              </w:rPr>
            </w:pPr>
            <w:r>
              <w:rPr>
                <w:sz w:val="21"/>
              </w:rPr>
              <w:t>一、投保人对被保险人的故意杀害、故意伤害；</w:t>
            </w:r>
          </w:p>
          <w:p>
            <w:pPr>
              <w:pStyle w:val="TableParagraph"/>
              <w:spacing w:line="273" w:lineRule="auto" w:before="37"/>
              <w:ind w:left="608" w:right="275" w:hanging="459"/>
              <w:rPr>
                <w:sz w:val="21"/>
              </w:rPr>
            </w:pPr>
            <w:r>
              <w:rPr>
                <w:sz w:val="21"/>
              </w:rPr>
              <w:t>二、被保险人故意自伤、故意犯罪或者抗拒依法采取的刑事强制措施；</w:t>
            </w:r>
          </w:p>
          <w:p>
            <w:pPr>
              <w:pStyle w:val="TableParagraph"/>
              <w:spacing w:before="7"/>
              <w:ind w:left="149"/>
              <w:rPr>
                <w:sz w:val="21"/>
              </w:rPr>
            </w:pPr>
            <w:r>
              <w:rPr>
                <w:sz w:val="21"/>
              </w:rPr>
              <w:t>三、被保险人主动吸食或注射</w:t>
            </w:r>
            <w:r>
              <w:rPr>
                <w:b/>
                <w:sz w:val="21"/>
              </w:rPr>
              <w:t>毒品</w:t>
            </w:r>
            <w:r>
              <w:rPr>
                <w:sz w:val="21"/>
              </w:rPr>
              <w:t>（见释义五）；</w:t>
            </w:r>
          </w:p>
          <w:p>
            <w:pPr>
              <w:pStyle w:val="TableParagraph"/>
              <w:spacing w:line="273" w:lineRule="auto" w:before="37"/>
              <w:ind w:left="608" w:right="59" w:hanging="459"/>
              <w:rPr>
                <w:sz w:val="21"/>
              </w:rPr>
            </w:pPr>
            <w:r>
              <w:rPr>
                <w:sz w:val="21"/>
              </w:rPr>
              <w:t>四、被保险人</w:t>
            </w:r>
            <w:r>
              <w:rPr>
                <w:b/>
                <w:sz w:val="21"/>
              </w:rPr>
              <w:t>酒后驾驶</w:t>
            </w:r>
            <w:r>
              <w:rPr>
                <w:sz w:val="21"/>
              </w:rPr>
              <w:t>（见释义六），</w:t>
            </w:r>
            <w:r>
              <w:rPr>
                <w:b/>
                <w:sz w:val="21"/>
              </w:rPr>
              <w:t>无合法有效驾驶证驾驶</w:t>
            </w:r>
            <w:r>
              <w:rPr>
                <w:sz w:val="21"/>
              </w:rPr>
              <w:t>（见释义七），或驾驶</w:t>
            </w:r>
            <w:r>
              <w:rPr>
                <w:b/>
                <w:sz w:val="21"/>
              </w:rPr>
              <w:t>无有效行驶证</w:t>
            </w:r>
            <w:r>
              <w:rPr>
                <w:sz w:val="21"/>
              </w:rPr>
              <w:t>（见释义八）的机动车；</w:t>
            </w:r>
          </w:p>
          <w:p>
            <w:pPr>
              <w:pStyle w:val="TableParagraph"/>
              <w:spacing w:line="273" w:lineRule="auto" w:before="7"/>
              <w:ind w:left="149" w:right="68"/>
              <w:rPr>
                <w:sz w:val="21"/>
              </w:rPr>
            </w:pPr>
            <w:r>
              <w:rPr>
                <w:sz w:val="21"/>
              </w:rPr>
              <w:t>五、战争、军事冲突、暴乱或武装叛乱；核爆炸、核辐射或核污染； 六、</w:t>
            </w:r>
            <w:r>
              <w:rPr>
                <w:b/>
                <w:sz w:val="21"/>
              </w:rPr>
              <w:t>先天性畸形、变形或染色体异常</w:t>
            </w:r>
            <w:r>
              <w:rPr>
                <w:sz w:val="21"/>
              </w:rPr>
              <w:t>(见释义九)。</w:t>
            </w:r>
          </w:p>
          <w:p>
            <w:pPr>
              <w:pStyle w:val="TableParagraph"/>
              <w:spacing w:line="312" w:lineRule="exact" w:before="2"/>
              <w:ind w:left="149" w:right="104"/>
              <w:rPr>
                <w:b/>
                <w:sz w:val="21"/>
              </w:rPr>
            </w:pPr>
            <w:r>
              <w:rPr>
                <w:sz w:val="21"/>
              </w:rPr>
              <w:t>发生上述第一项情形导致被保险人患重大疾病、达到疾病状态或进行手术的，本附加合同终止，本公司向其他权利人退还本附加合同的</w:t>
            </w:r>
            <w:r>
              <w:rPr>
                <w:b/>
                <w:sz w:val="21"/>
              </w:rPr>
              <w:t>现</w:t>
            </w:r>
          </w:p>
        </w:tc>
      </w:tr>
    </w:tbl>
    <w:p>
      <w:pPr>
        <w:spacing w:after="0" w:line="312"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1"/>
        <w:ind w:left="0"/>
        <w:rPr>
          <w:rFonts w:ascii="Times New Roman"/>
          <w:sz w:val="18"/>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636"/>
        <w:gridCol w:w="6563"/>
      </w:tblGrid>
      <w:tr>
        <w:trPr>
          <w:trHeight w:val="1196" w:hRule="atLeast"/>
        </w:trPr>
        <w:tc>
          <w:tcPr>
            <w:tcW w:w="1175" w:type="dxa"/>
          </w:tcPr>
          <w:p>
            <w:pPr>
              <w:pStyle w:val="TableParagraph"/>
              <w:ind w:left="0"/>
              <w:rPr>
                <w:rFonts w:ascii="Times New Roman"/>
                <w:sz w:val="20"/>
              </w:rPr>
            </w:pPr>
          </w:p>
        </w:tc>
        <w:tc>
          <w:tcPr>
            <w:tcW w:w="1636" w:type="dxa"/>
          </w:tcPr>
          <w:p>
            <w:pPr>
              <w:pStyle w:val="TableParagraph"/>
              <w:ind w:left="0"/>
              <w:rPr>
                <w:rFonts w:ascii="Times New Roman"/>
                <w:sz w:val="20"/>
              </w:rPr>
            </w:pPr>
          </w:p>
        </w:tc>
        <w:tc>
          <w:tcPr>
            <w:tcW w:w="6563" w:type="dxa"/>
          </w:tcPr>
          <w:p>
            <w:pPr>
              <w:pStyle w:val="TableParagraph"/>
              <w:spacing w:line="211" w:lineRule="exact"/>
              <w:rPr>
                <w:sz w:val="21"/>
              </w:rPr>
            </w:pPr>
            <w:r>
              <w:rPr>
                <w:b/>
                <w:sz w:val="21"/>
              </w:rPr>
              <w:t>金价值</w:t>
            </w:r>
            <w:r>
              <w:rPr>
                <w:sz w:val="21"/>
              </w:rPr>
              <w:t>（见释义十）。</w:t>
            </w:r>
          </w:p>
          <w:p>
            <w:pPr>
              <w:pStyle w:val="TableParagraph"/>
              <w:spacing w:line="273" w:lineRule="auto" w:before="37"/>
              <w:rPr>
                <w:sz w:val="21"/>
              </w:rPr>
            </w:pPr>
            <w:r>
              <w:rPr>
                <w:spacing w:val="-3"/>
                <w:sz w:val="21"/>
              </w:rPr>
              <w:t>发生上述其他情形导致被保险人患重大疾病、达到疾病状态或进行手</w:t>
            </w:r>
            <w:r>
              <w:rPr>
                <w:spacing w:val="-12"/>
                <w:sz w:val="21"/>
              </w:rPr>
              <w:t>术的，本附加合同终止，本公司向投保人退还本附加合同的现金价值。</w:t>
            </w:r>
          </w:p>
        </w:tc>
      </w:tr>
      <w:tr>
        <w:trPr>
          <w:trHeight w:val="311" w:hRule="atLeast"/>
        </w:trPr>
        <w:tc>
          <w:tcPr>
            <w:tcW w:w="1175" w:type="dxa"/>
            <w:shd w:val="clear" w:color="auto" w:fill="BEBEBE"/>
          </w:tcPr>
          <w:p>
            <w:pPr>
              <w:pStyle w:val="TableParagraph"/>
              <w:spacing w:line="262" w:lineRule="exact"/>
              <w:ind w:left="108"/>
              <w:rPr>
                <w:b/>
                <w:sz w:val="21"/>
              </w:rPr>
            </w:pPr>
            <w:r>
              <w:rPr>
                <w:b/>
                <w:sz w:val="21"/>
              </w:rPr>
              <w:t>第三章</w:t>
            </w:r>
          </w:p>
        </w:tc>
        <w:tc>
          <w:tcPr>
            <w:tcW w:w="8199" w:type="dxa"/>
            <w:gridSpan w:val="2"/>
            <w:shd w:val="clear" w:color="auto" w:fill="BEBEBE"/>
          </w:tcPr>
          <w:p>
            <w:pPr>
              <w:pStyle w:val="TableParagraph"/>
              <w:spacing w:line="262" w:lineRule="exact"/>
              <w:ind w:left="224"/>
              <w:rPr>
                <w:b/>
                <w:sz w:val="21"/>
              </w:rPr>
            </w:pPr>
            <w:r>
              <w:rPr>
                <w:b/>
                <w:sz w:val="21"/>
              </w:rPr>
              <w:t>保险金额及保险费</w:t>
            </w:r>
          </w:p>
        </w:tc>
      </w:tr>
      <w:tr>
        <w:trPr>
          <w:trHeight w:val="780" w:hRule="atLeast"/>
        </w:trPr>
        <w:tc>
          <w:tcPr>
            <w:tcW w:w="1175" w:type="dxa"/>
          </w:tcPr>
          <w:p>
            <w:pPr>
              <w:pStyle w:val="TableParagraph"/>
              <w:spacing w:line="262" w:lineRule="exact"/>
              <w:ind w:left="108"/>
              <w:rPr>
                <w:sz w:val="21"/>
              </w:rPr>
            </w:pPr>
            <w:r>
              <w:rPr>
                <w:sz w:val="21"/>
              </w:rPr>
              <w:t>第四条</w:t>
            </w:r>
          </w:p>
        </w:tc>
        <w:tc>
          <w:tcPr>
            <w:tcW w:w="1636" w:type="dxa"/>
          </w:tcPr>
          <w:p>
            <w:pPr>
              <w:pStyle w:val="TableParagraph"/>
              <w:spacing w:line="262" w:lineRule="exact"/>
              <w:ind w:left="224"/>
              <w:rPr>
                <w:sz w:val="21"/>
              </w:rPr>
            </w:pPr>
            <w:r>
              <w:rPr>
                <w:sz w:val="21"/>
              </w:rPr>
              <w:t>基本保险金额</w:t>
            </w:r>
          </w:p>
        </w:tc>
        <w:tc>
          <w:tcPr>
            <w:tcW w:w="6563" w:type="dxa"/>
          </w:tcPr>
          <w:p>
            <w:pPr>
              <w:pStyle w:val="TableParagraph"/>
              <w:spacing w:line="273" w:lineRule="auto"/>
              <w:ind w:right="315"/>
              <w:rPr>
                <w:sz w:val="21"/>
              </w:rPr>
            </w:pPr>
            <w:r>
              <w:rPr>
                <w:sz w:val="21"/>
              </w:rPr>
              <w:t>本附加合同的基本保险金额由投保人与本公司约定并于保险单上载明。</w:t>
            </w:r>
          </w:p>
        </w:tc>
      </w:tr>
      <w:tr>
        <w:trPr>
          <w:trHeight w:val="936" w:hRule="atLeast"/>
        </w:trPr>
        <w:tc>
          <w:tcPr>
            <w:tcW w:w="1175" w:type="dxa"/>
          </w:tcPr>
          <w:p>
            <w:pPr>
              <w:pStyle w:val="TableParagraph"/>
              <w:spacing w:before="142"/>
              <w:ind w:left="108"/>
              <w:rPr>
                <w:sz w:val="21"/>
              </w:rPr>
            </w:pPr>
            <w:r>
              <w:rPr>
                <w:sz w:val="21"/>
              </w:rPr>
              <w:t>第五条</w:t>
            </w:r>
          </w:p>
        </w:tc>
        <w:tc>
          <w:tcPr>
            <w:tcW w:w="1636" w:type="dxa"/>
          </w:tcPr>
          <w:p>
            <w:pPr>
              <w:pStyle w:val="TableParagraph"/>
              <w:spacing w:before="142"/>
              <w:ind w:left="224"/>
              <w:rPr>
                <w:sz w:val="21"/>
              </w:rPr>
            </w:pPr>
            <w:r>
              <w:rPr>
                <w:sz w:val="21"/>
              </w:rPr>
              <w:t>保险金额</w:t>
            </w:r>
          </w:p>
        </w:tc>
        <w:tc>
          <w:tcPr>
            <w:tcW w:w="6563" w:type="dxa"/>
          </w:tcPr>
          <w:p>
            <w:pPr>
              <w:pStyle w:val="TableParagraph"/>
              <w:spacing w:line="273" w:lineRule="auto" w:before="142"/>
              <w:ind w:right="106"/>
              <w:rPr>
                <w:sz w:val="21"/>
              </w:rPr>
            </w:pPr>
            <w:r>
              <w:rPr>
                <w:sz w:val="21"/>
              </w:rPr>
              <w:t>本附加合同的保险金额是指本公司承担赔偿或者给付保险金责任的最高限额。</w:t>
            </w:r>
          </w:p>
        </w:tc>
      </w:tr>
      <w:tr>
        <w:trPr>
          <w:trHeight w:val="1560" w:hRule="atLeast"/>
        </w:trPr>
        <w:tc>
          <w:tcPr>
            <w:tcW w:w="1175" w:type="dxa"/>
          </w:tcPr>
          <w:p>
            <w:pPr>
              <w:pStyle w:val="TableParagraph"/>
              <w:spacing w:before="143"/>
              <w:ind w:left="108"/>
              <w:rPr>
                <w:sz w:val="21"/>
              </w:rPr>
            </w:pPr>
            <w:r>
              <w:rPr>
                <w:sz w:val="21"/>
              </w:rPr>
              <w:t>第六条</w:t>
            </w:r>
          </w:p>
        </w:tc>
        <w:tc>
          <w:tcPr>
            <w:tcW w:w="1636" w:type="dxa"/>
          </w:tcPr>
          <w:p>
            <w:pPr>
              <w:pStyle w:val="TableParagraph"/>
              <w:spacing w:line="273" w:lineRule="auto" w:before="143"/>
              <w:ind w:left="224" w:right="147"/>
              <w:rPr>
                <w:sz w:val="21"/>
              </w:rPr>
            </w:pPr>
            <w:r>
              <w:rPr>
                <w:sz w:val="21"/>
              </w:rPr>
              <w:t>基本保险金额变更</w:t>
            </w:r>
          </w:p>
        </w:tc>
        <w:tc>
          <w:tcPr>
            <w:tcW w:w="6563" w:type="dxa"/>
          </w:tcPr>
          <w:p>
            <w:pPr>
              <w:pStyle w:val="TableParagraph"/>
              <w:spacing w:line="273" w:lineRule="auto" w:before="143"/>
              <w:ind w:right="106"/>
              <w:jc w:val="both"/>
              <w:rPr>
                <w:sz w:val="21"/>
              </w:rPr>
            </w:pPr>
            <w:r>
              <w:rPr>
                <w:sz w:val="21"/>
              </w:rPr>
              <w:t>在本附加合同有效期内，投保人可以书面申请减少本附加合同的基本保险金额，但减少后的基本保险金额不得低于变更时本公司规定的最低基本保险金额，基本保险金额减少的部分视为退保。本公司按减少部分对应的比例向投保人退还本附加合同当时的现金价值。</w:t>
            </w:r>
          </w:p>
        </w:tc>
      </w:tr>
      <w:tr>
        <w:trPr>
          <w:trHeight w:val="1247" w:hRule="atLeast"/>
        </w:trPr>
        <w:tc>
          <w:tcPr>
            <w:tcW w:w="1175" w:type="dxa"/>
          </w:tcPr>
          <w:p>
            <w:pPr>
              <w:pStyle w:val="TableParagraph"/>
              <w:spacing w:before="142"/>
              <w:ind w:left="108"/>
              <w:rPr>
                <w:sz w:val="21"/>
              </w:rPr>
            </w:pPr>
            <w:r>
              <w:rPr>
                <w:sz w:val="21"/>
              </w:rPr>
              <w:t>第七条</w:t>
            </w:r>
          </w:p>
        </w:tc>
        <w:tc>
          <w:tcPr>
            <w:tcW w:w="1636" w:type="dxa"/>
          </w:tcPr>
          <w:p>
            <w:pPr>
              <w:pStyle w:val="TableParagraph"/>
              <w:spacing w:before="142"/>
              <w:ind w:left="224"/>
              <w:rPr>
                <w:sz w:val="21"/>
              </w:rPr>
            </w:pPr>
            <w:r>
              <w:rPr>
                <w:sz w:val="21"/>
              </w:rPr>
              <w:t>保险费</w:t>
            </w:r>
          </w:p>
        </w:tc>
        <w:tc>
          <w:tcPr>
            <w:tcW w:w="6563" w:type="dxa"/>
          </w:tcPr>
          <w:p>
            <w:pPr>
              <w:pStyle w:val="TableParagraph"/>
              <w:spacing w:before="142"/>
              <w:rPr>
                <w:sz w:val="21"/>
              </w:rPr>
            </w:pPr>
            <w:r>
              <w:rPr>
                <w:sz w:val="21"/>
              </w:rPr>
              <w:t>本附加合同的保险费按照基本保险金额和约定的费率标准确定。</w:t>
            </w:r>
          </w:p>
          <w:p>
            <w:pPr>
              <w:pStyle w:val="TableParagraph"/>
              <w:spacing w:line="273" w:lineRule="auto" w:before="36"/>
              <w:ind w:right="106"/>
              <w:rPr>
                <w:sz w:val="21"/>
              </w:rPr>
            </w:pPr>
            <w:r>
              <w:rPr>
                <w:sz w:val="21"/>
              </w:rPr>
              <w:t>本附加合同的保险费交付方式、交费日期与主合同一致，本附加合同的保险费应与主合同一并交付。</w:t>
            </w:r>
          </w:p>
        </w:tc>
      </w:tr>
      <w:tr>
        <w:trPr>
          <w:trHeight w:val="2651" w:hRule="atLeast"/>
        </w:trPr>
        <w:tc>
          <w:tcPr>
            <w:tcW w:w="1175" w:type="dxa"/>
          </w:tcPr>
          <w:p>
            <w:pPr>
              <w:pStyle w:val="TableParagraph"/>
              <w:spacing w:before="142"/>
              <w:ind w:left="108"/>
              <w:rPr>
                <w:sz w:val="21"/>
              </w:rPr>
            </w:pPr>
            <w:r>
              <w:rPr>
                <w:sz w:val="21"/>
              </w:rPr>
              <w:t>第八条</w:t>
            </w:r>
          </w:p>
        </w:tc>
        <w:tc>
          <w:tcPr>
            <w:tcW w:w="1636" w:type="dxa"/>
          </w:tcPr>
          <w:p>
            <w:pPr>
              <w:pStyle w:val="TableParagraph"/>
              <w:spacing w:before="142"/>
              <w:ind w:left="224"/>
              <w:rPr>
                <w:sz w:val="21"/>
              </w:rPr>
            </w:pPr>
            <w:r>
              <w:rPr>
                <w:sz w:val="21"/>
              </w:rPr>
              <w:t>保险费率调整</w:t>
            </w:r>
          </w:p>
        </w:tc>
        <w:tc>
          <w:tcPr>
            <w:tcW w:w="6563" w:type="dxa"/>
          </w:tcPr>
          <w:p>
            <w:pPr>
              <w:pStyle w:val="TableParagraph"/>
              <w:spacing w:line="273" w:lineRule="auto" w:before="142"/>
              <w:ind w:right="106"/>
              <w:jc w:val="both"/>
              <w:rPr>
                <w:sz w:val="21"/>
              </w:rPr>
            </w:pPr>
            <w:r>
              <w:rPr>
                <w:sz w:val="21"/>
              </w:rPr>
              <w:t>在本附加合同有效期内，若本附加合同费率厘定所用的定价假设与实际情况相比有实质性的改变，本公司保留调整保险费率的权利。</w:t>
            </w:r>
          </w:p>
          <w:p>
            <w:pPr>
              <w:pStyle w:val="TableParagraph"/>
              <w:spacing w:line="273" w:lineRule="auto" w:before="7"/>
              <w:ind w:right="106"/>
              <w:jc w:val="both"/>
              <w:rPr>
                <w:sz w:val="21"/>
              </w:rPr>
            </w:pPr>
            <w:r>
              <w:rPr>
                <w:sz w:val="21"/>
              </w:rPr>
              <w:t>若本公司决定调整保险费率，须向保险监管机关备案。保险费率的调整适用于本产品项下的所有被保险人或同一投保年龄和性别的所有被保险人。</w:t>
            </w:r>
          </w:p>
          <w:p>
            <w:pPr>
              <w:pStyle w:val="TableParagraph"/>
              <w:spacing w:line="273" w:lineRule="auto" w:before="7"/>
              <w:ind w:right="106"/>
              <w:jc w:val="both"/>
              <w:rPr>
                <w:sz w:val="21"/>
              </w:rPr>
            </w:pPr>
            <w:r>
              <w:rPr>
                <w:sz w:val="21"/>
              </w:rPr>
              <w:t>如有保险费率调整，本公司将以书面形式通知投保人，自保险费率调整之日起，投保人按调整后保险费率交纳续期保险费。</w:t>
            </w:r>
          </w:p>
        </w:tc>
      </w:tr>
      <w:tr>
        <w:trPr>
          <w:trHeight w:val="312" w:hRule="atLeast"/>
        </w:trPr>
        <w:tc>
          <w:tcPr>
            <w:tcW w:w="1175" w:type="dxa"/>
            <w:shd w:val="clear" w:color="auto" w:fill="BEBEBE"/>
          </w:tcPr>
          <w:p>
            <w:pPr>
              <w:pStyle w:val="TableParagraph"/>
              <w:spacing w:line="262" w:lineRule="exact"/>
              <w:ind w:left="108"/>
              <w:rPr>
                <w:b/>
                <w:sz w:val="21"/>
              </w:rPr>
            </w:pPr>
            <w:r>
              <w:rPr>
                <w:b/>
                <w:sz w:val="21"/>
              </w:rPr>
              <w:t>第四章</w:t>
            </w:r>
          </w:p>
        </w:tc>
        <w:tc>
          <w:tcPr>
            <w:tcW w:w="8199" w:type="dxa"/>
            <w:gridSpan w:val="2"/>
            <w:shd w:val="clear" w:color="auto" w:fill="BEBEBE"/>
          </w:tcPr>
          <w:p>
            <w:pPr>
              <w:pStyle w:val="TableParagraph"/>
              <w:spacing w:line="262" w:lineRule="exact"/>
              <w:ind w:left="224"/>
              <w:rPr>
                <w:b/>
                <w:sz w:val="21"/>
              </w:rPr>
            </w:pPr>
            <w:r>
              <w:rPr>
                <w:b/>
                <w:sz w:val="21"/>
              </w:rPr>
              <w:t>保险合同成立与生效、合同终止</w:t>
            </w:r>
          </w:p>
        </w:tc>
      </w:tr>
      <w:tr>
        <w:trPr>
          <w:trHeight w:val="2029" w:hRule="atLeast"/>
        </w:trPr>
        <w:tc>
          <w:tcPr>
            <w:tcW w:w="1175" w:type="dxa"/>
          </w:tcPr>
          <w:p>
            <w:pPr>
              <w:pStyle w:val="TableParagraph"/>
              <w:spacing w:line="262" w:lineRule="exact"/>
              <w:ind w:left="108"/>
              <w:rPr>
                <w:sz w:val="21"/>
              </w:rPr>
            </w:pPr>
            <w:r>
              <w:rPr>
                <w:sz w:val="21"/>
              </w:rPr>
              <w:t>第九条</w:t>
            </w:r>
          </w:p>
        </w:tc>
        <w:tc>
          <w:tcPr>
            <w:tcW w:w="1636" w:type="dxa"/>
          </w:tcPr>
          <w:p>
            <w:pPr>
              <w:pStyle w:val="TableParagraph"/>
              <w:spacing w:line="273" w:lineRule="auto"/>
              <w:ind w:left="224" w:right="147"/>
              <w:rPr>
                <w:sz w:val="21"/>
              </w:rPr>
            </w:pPr>
            <w:r>
              <w:rPr>
                <w:sz w:val="21"/>
              </w:rPr>
              <w:t>保险合同成立与生效</w:t>
            </w:r>
          </w:p>
        </w:tc>
        <w:tc>
          <w:tcPr>
            <w:tcW w:w="6563" w:type="dxa"/>
          </w:tcPr>
          <w:p>
            <w:pPr>
              <w:pStyle w:val="TableParagraph"/>
              <w:spacing w:line="273" w:lineRule="auto"/>
              <w:rPr>
                <w:sz w:val="21"/>
              </w:rPr>
            </w:pPr>
            <w:r>
              <w:rPr>
                <w:spacing w:val="-8"/>
                <w:sz w:val="21"/>
              </w:rPr>
              <w:t>投保人于申请签订主合同同时申请签订本附加合同，本公司同意承保， </w:t>
            </w:r>
            <w:r>
              <w:rPr>
                <w:spacing w:val="-5"/>
                <w:sz w:val="21"/>
              </w:rPr>
              <w:t>本附加合同成立，合同成立日期载明于保险单上。</w:t>
            </w:r>
          </w:p>
          <w:p>
            <w:pPr>
              <w:pStyle w:val="TableParagraph"/>
              <w:spacing w:line="273" w:lineRule="auto" w:before="20"/>
              <w:ind w:right="106"/>
              <w:jc w:val="both"/>
              <w:rPr>
                <w:sz w:val="21"/>
              </w:rPr>
            </w:pPr>
            <w:r>
              <w:rPr>
                <w:sz w:val="21"/>
              </w:rPr>
              <w:t>若投保人于申请签订主合同同时申请签订本附加合同，在本附加合同成立且投保人交付本附加合同第一期保险费后，本附加合同自成立日零时开始生效。本公司签发保险单作为同意承保的凭证。本附加合同的生效日载明于保险单上。</w:t>
            </w:r>
          </w:p>
        </w:tc>
      </w:tr>
      <w:tr>
        <w:trPr>
          <w:trHeight w:val="936" w:hRule="atLeast"/>
        </w:trPr>
        <w:tc>
          <w:tcPr>
            <w:tcW w:w="1175" w:type="dxa"/>
          </w:tcPr>
          <w:p>
            <w:pPr>
              <w:pStyle w:val="TableParagraph"/>
              <w:spacing w:before="143"/>
              <w:ind w:left="108"/>
              <w:rPr>
                <w:sz w:val="21"/>
              </w:rPr>
            </w:pPr>
            <w:r>
              <w:rPr>
                <w:sz w:val="21"/>
              </w:rPr>
              <w:t>第十条</w:t>
            </w:r>
          </w:p>
        </w:tc>
        <w:tc>
          <w:tcPr>
            <w:tcW w:w="1636" w:type="dxa"/>
          </w:tcPr>
          <w:p>
            <w:pPr>
              <w:pStyle w:val="TableParagraph"/>
              <w:spacing w:before="143"/>
              <w:ind w:left="224"/>
              <w:rPr>
                <w:sz w:val="21"/>
              </w:rPr>
            </w:pPr>
            <w:r>
              <w:rPr>
                <w:sz w:val="21"/>
              </w:rPr>
              <w:t>保险期间</w:t>
            </w:r>
          </w:p>
        </w:tc>
        <w:tc>
          <w:tcPr>
            <w:tcW w:w="6563" w:type="dxa"/>
          </w:tcPr>
          <w:p>
            <w:pPr>
              <w:pStyle w:val="TableParagraph"/>
              <w:spacing w:line="273" w:lineRule="auto" w:before="143"/>
              <w:ind w:right="106"/>
              <w:rPr>
                <w:sz w:val="21"/>
              </w:rPr>
            </w:pPr>
            <w:r>
              <w:rPr>
                <w:sz w:val="21"/>
              </w:rPr>
              <w:t>本附加合同的保险期间载明于保险单上，保险期间自本附加合同生效时起算。</w:t>
            </w:r>
          </w:p>
        </w:tc>
      </w:tr>
      <w:tr>
        <w:trPr>
          <w:trHeight w:val="729" w:hRule="atLeast"/>
        </w:trPr>
        <w:tc>
          <w:tcPr>
            <w:tcW w:w="1175" w:type="dxa"/>
          </w:tcPr>
          <w:p>
            <w:pPr>
              <w:pStyle w:val="TableParagraph"/>
              <w:spacing w:before="142"/>
              <w:ind w:left="108"/>
              <w:rPr>
                <w:sz w:val="21"/>
              </w:rPr>
            </w:pPr>
            <w:r>
              <w:rPr>
                <w:sz w:val="21"/>
              </w:rPr>
              <w:t>第十一条</w:t>
            </w:r>
          </w:p>
        </w:tc>
        <w:tc>
          <w:tcPr>
            <w:tcW w:w="1636" w:type="dxa"/>
          </w:tcPr>
          <w:p>
            <w:pPr>
              <w:pStyle w:val="TableParagraph"/>
              <w:spacing w:before="142"/>
              <w:ind w:left="224"/>
              <w:rPr>
                <w:sz w:val="21"/>
              </w:rPr>
            </w:pPr>
            <w:r>
              <w:rPr>
                <w:sz w:val="21"/>
              </w:rPr>
              <w:t>附加合同终止</w:t>
            </w:r>
          </w:p>
        </w:tc>
        <w:tc>
          <w:tcPr>
            <w:tcW w:w="6563" w:type="dxa"/>
          </w:tcPr>
          <w:p>
            <w:pPr>
              <w:pStyle w:val="TableParagraph"/>
              <w:spacing w:before="142"/>
              <w:rPr>
                <w:sz w:val="21"/>
              </w:rPr>
            </w:pPr>
            <w:r>
              <w:rPr>
                <w:sz w:val="21"/>
              </w:rPr>
              <w:t>发生下列情形之一时，本附加合同终止：</w:t>
            </w:r>
          </w:p>
          <w:p>
            <w:pPr>
              <w:pStyle w:val="TableParagraph"/>
              <w:spacing w:line="255" w:lineRule="exact" w:before="36"/>
              <w:rPr>
                <w:sz w:val="21"/>
              </w:rPr>
            </w:pPr>
            <w:r>
              <w:rPr>
                <w:sz w:val="21"/>
              </w:rPr>
              <w:t>一、主合同保险期间届满、终止或变更为减额交清保险；</w:t>
            </w:r>
          </w:p>
        </w:tc>
      </w:tr>
    </w:tbl>
    <w:p>
      <w:pPr>
        <w:spacing w:after="0" w:line="255"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1"/>
        <w:ind w:left="0"/>
        <w:rPr>
          <w:rFonts w:ascii="Times New Roman"/>
          <w:sz w:val="18"/>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636"/>
        <w:gridCol w:w="6563"/>
      </w:tblGrid>
      <w:tr>
        <w:trPr>
          <w:trHeight w:val="1508" w:hRule="atLeast"/>
        </w:trPr>
        <w:tc>
          <w:tcPr>
            <w:tcW w:w="1175" w:type="dxa"/>
          </w:tcPr>
          <w:p>
            <w:pPr>
              <w:pStyle w:val="TableParagraph"/>
              <w:ind w:left="0"/>
              <w:rPr>
                <w:rFonts w:ascii="Times New Roman"/>
                <w:sz w:val="20"/>
              </w:rPr>
            </w:pPr>
          </w:p>
        </w:tc>
        <w:tc>
          <w:tcPr>
            <w:tcW w:w="1636" w:type="dxa"/>
          </w:tcPr>
          <w:p>
            <w:pPr>
              <w:pStyle w:val="TableParagraph"/>
              <w:ind w:left="0"/>
              <w:rPr>
                <w:rFonts w:ascii="Times New Roman"/>
                <w:sz w:val="20"/>
              </w:rPr>
            </w:pPr>
          </w:p>
        </w:tc>
        <w:tc>
          <w:tcPr>
            <w:tcW w:w="6563" w:type="dxa"/>
          </w:tcPr>
          <w:p>
            <w:pPr>
              <w:pStyle w:val="TableParagraph"/>
              <w:spacing w:line="211" w:lineRule="exact"/>
              <w:rPr>
                <w:sz w:val="21"/>
              </w:rPr>
            </w:pPr>
            <w:r>
              <w:rPr>
                <w:sz w:val="21"/>
              </w:rPr>
              <w:t>二、投保人申请解除本附加合同；申请解除本附加合同时，需同时解</w:t>
            </w:r>
          </w:p>
          <w:p>
            <w:pPr>
              <w:pStyle w:val="TableParagraph"/>
              <w:spacing w:before="37"/>
              <w:rPr>
                <w:sz w:val="21"/>
              </w:rPr>
            </w:pPr>
            <w:r>
              <w:rPr>
                <w:sz w:val="21"/>
              </w:rPr>
              <w:t>除主合同；</w:t>
            </w:r>
          </w:p>
          <w:p>
            <w:pPr>
              <w:pStyle w:val="TableParagraph"/>
              <w:spacing w:before="37"/>
              <w:rPr>
                <w:sz w:val="21"/>
              </w:rPr>
            </w:pPr>
            <w:r>
              <w:rPr>
                <w:sz w:val="21"/>
              </w:rPr>
              <w:t>三、本附加合同保险期间届满；</w:t>
            </w:r>
          </w:p>
          <w:p>
            <w:pPr>
              <w:pStyle w:val="TableParagraph"/>
              <w:spacing w:before="37"/>
              <w:rPr>
                <w:sz w:val="21"/>
              </w:rPr>
            </w:pPr>
            <w:r>
              <w:rPr>
                <w:sz w:val="21"/>
              </w:rPr>
              <w:t>四、主合同或本附加合同约定的其他终止情形。</w:t>
            </w:r>
          </w:p>
        </w:tc>
      </w:tr>
      <w:tr>
        <w:trPr>
          <w:trHeight w:val="311" w:hRule="atLeast"/>
        </w:trPr>
        <w:tc>
          <w:tcPr>
            <w:tcW w:w="1175" w:type="dxa"/>
            <w:shd w:val="clear" w:color="auto" w:fill="BEBEBE"/>
          </w:tcPr>
          <w:p>
            <w:pPr>
              <w:pStyle w:val="TableParagraph"/>
              <w:spacing w:line="262" w:lineRule="exact"/>
              <w:ind w:left="108"/>
              <w:rPr>
                <w:b/>
                <w:sz w:val="21"/>
              </w:rPr>
            </w:pPr>
            <w:r>
              <w:rPr>
                <w:b/>
                <w:sz w:val="21"/>
              </w:rPr>
              <w:t>第五章</w:t>
            </w:r>
          </w:p>
        </w:tc>
        <w:tc>
          <w:tcPr>
            <w:tcW w:w="1636" w:type="dxa"/>
            <w:shd w:val="clear" w:color="auto" w:fill="BEBEBE"/>
          </w:tcPr>
          <w:p>
            <w:pPr>
              <w:pStyle w:val="TableParagraph"/>
              <w:spacing w:line="262" w:lineRule="exact"/>
              <w:ind w:left="224"/>
              <w:rPr>
                <w:b/>
                <w:sz w:val="21"/>
              </w:rPr>
            </w:pPr>
            <w:r>
              <w:rPr>
                <w:b/>
                <w:sz w:val="21"/>
              </w:rPr>
              <w:t>保险金申请</w:t>
            </w:r>
          </w:p>
        </w:tc>
        <w:tc>
          <w:tcPr>
            <w:tcW w:w="6563" w:type="dxa"/>
            <w:shd w:val="clear" w:color="auto" w:fill="BEBEBE"/>
          </w:tcPr>
          <w:p>
            <w:pPr>
              <w:pStyle w:val="TableParagraph"/>
              <w:ind w:left="0"/>
              <w:rPr>
                <w:rFonts w:ascii="Times New Roman"/>
                <w:sz w:val="20"/>
              </w:rPr>
            </w:pPr>
          </w:p>
        </w:tc>
      </w:tr>
      <w:tr>
        <w:trPr>
          <w:trHeight w:val="3277" w:hRule="atLeast"/>
        </w:trPr>
        <w:tc>
          <w:tcPr>
            <w:tcW w:w="1175" w:type="dxa"/>
          </w:tcPr>
          <w:p>
            <w:pPr>
              <w:pStyle w:val="TableParagraph"/>
              <w:spacing w:line="262" w:lineRule="exact"/>
              <w:ind w:left="108"/>
              <w:rPr>
                <w:sz w:val="21"/>
              </w:rPr>
            </w:pPr>
            <w:r>
              <w:rPr>
                <w:sz w:val="21"/>
              </w:rPr>
              <w:t>第十二条</w:t>
            </w:r>
          </w:p>
        </w:tc>
        <w:tc>
          <w:tcPr>
            <w:tcW w:w="1636" w:type="dxa"/>
          </w:tcPr>
          <w:p>
            <w:pPr>
              <w:pStyle w:val="TableParagraph"/>
              <w:spacing w:line="262" w:lineRule="exact"/>
              <w:ind w:left="224"/>
              <w:rPr>
                <w:sz w:val="21"/>
              </w:rPr>
            </w:pPr>
            <w:r>
              <w:rPr>
                <w:sz w:val="21"/>
              </w:rPr>
              <w:t>保险金申请</w:t>
            </w:r>
          </w:p>
        </w:tc>
        <w:tc>
          <w:tcPr>
            <w:tcW w:w="6563" w:type="dxa"/>
          </w:tcPr>
          <w:p>
            <w:pPr>
              <w:pStyle w:val="TableParagraph"/>
              <w:spacing w:line="273" w:lineRule="auto"/>
              <w:ind w:right="106"/>
              <w:rPr>
                <w:sz w:val="21"/>
              </w:rPr>
            </w:pPr>
            <w:r>
              <w:rPr>
                <w:sz w:val="21"/>
              </w:rPr>
              <w:t>在申请重大疾病保险金时，重大疾病保险金受益人须填写保险金给付申请书，并提供下列证明和资料：</w:t>
            </w:r>
          </w:p>
          <w:p>
            <w:pPr>
              <w:pStyle w:val="TableParagraph"/>
              <w:spacing w:before="20"/>
              <w:rPr>
                <w:sz w:val="21"/>
              </w:rPr>
            </w:pPr>
            <w:r>
              <w:rPr>
                <w:sz w:val="21"/>
              </w:rPr>
              <w:t>一、保险合同；</w:t>
            </w:r>
          </w:p>
          <w:p>
            <w:pPr>
              <w:pStyle w:val="TableParagraph"/>
              <w:spacing w:before="37"/>
              <w:rPr>
                <w:sz w:val="21"/>
              </w:rPr>
            </w:pPr>
            <w:r>
              <w:rPr>
                <w:sz w:val="21"/>
              </w:rPr>
              <w:t>二、重大疾病保险金受益人的有效身份证件；</w:t>
            </w:r>
          </w:p>
          <w:p>
            <w:pPr>
              <w:pStyle w:val="TableParagraph"/>
              <w:spacing w:line="273" w:lineRule="auto" w:before="37"/>
              <w:ind w:left="607" w:right="104" w:hanging="459"/>
              <w:rPr>
                <w:sz w:val="21"/>
              </w:rPr>
            </w:pPr>
            <w:r>
              <w:rPr>
                <w:sz w:val="21"/>
              </w:rPr>
              <w:t>三、医院出具的被保险人病历资料，诊断证明，病理、血液及其他科学检验方法的检验报告；</w:t>
            </w:r>
          </w:p>
          <w:p>
            <w:pPr>
              <w:pStyle w:val="TableParagraph"/>
              <w:spacing w:line="273" w:lineRule="auto" w:before="7"/>
              <w:ind w:left="607" w:right="277" w:hanging="459"/>
              <w:rPr>
                <w:sz w:val="21"/>
              </w:rPr>
            </w:pPr>
            <w:r>
              <w:rPr>
                <w:sz w:val="21"/>
              </w:rPr>
              <w:t>四、重大疾病保险金受益人所能提供的与确认保险事故的时间、性质、原因、损失程度等相关的其他证明和资料。</w:t>
            </w:r>
          </w:p>
          <w:p>
            <w:pPr>
              <w:pStyle w:val="TableParagraph"/>
              <w:spacing w:line="273" w:lineRule="auto" w:before="7"/>
              <w:ind w:left="182" w:right="67"/>
              <w:rPr>
                <w:sz w:val="21"/>
              </w:rPr>
            </w:pPr>
            <w:r>
              <w:rPr>
                <w:sz w:val="21"/>
              </w:rPr>
              <w:t>以上证明和资料不完整的，本公司将及时一次性通知申请人补充提供有关证明和资料。</w:t>
            </w:r>
          </w:p>
        </w:tc>
      </w:tr>
      <w:tr>
        <w:trPr>
          <w:trHeight w:val="3744" w:hRule="atLeast"/>
        </w:trPr>
        <w:tc>
          <w:tcPr>
            <w:tcW w:w="1175" w:type="dxa"/>
          </w:tcPr>
          <w:p>
            <w:pPr>
              <w:pStyle w:val="TableParagraph"/>
              <w:spacing w:before="142"/>
              <w:ind w:left="108"/>
              <w:rPr>
                <w:sz w:val="21"/>
              </w:rPr>
            </w:pPr>
            <w:r>
              <w:rPr>
                <w:sz w:val="21"/>
              </w:rPr>
              <w:t>第十三条</w:t>
            </w:r>
          </w:p>
        </w:tc>
        <w:tc>
          <w:tcPr>
            <w:tcW w:w="1636" w:type="dxa"/>
          </w:tcPr>
          <w:p>
            <w:pPr>
              <w:pStyle w:val="TableParagraph"/>
              <w:spacing w:before="142"/>
              <w:ind w:left="224"/>
              <w:rPr>
                <w:sz w:val="21"/>
              </w:rPr>
            </w:pPr>
            <w:r>
              <w:rPr>
                <w:sz w:val="21"/>
              </w:rPr>
              <w:t>保险金给付</w:t>
            </w:r>
          </w:p>
        </w:tc>
        <w:tc>
          <w:tcPr>
            <w:tcW w:w="6563" w:type="dxa"/>
          </w:tcPr>
          <w:p>
            <w:pPr>
              <w:pStyle w:val="TableParagraph"/>
              <w:spacing w:line="273" w:lineRule="auto" w:before="142"/>
              <w:ind w:right="106"/>
              <w:jc w:val="both"/>
              <w:rPr>
                <w:sz w:val="21"/>
              </w:rPr>
            </w:pPr>
            <w:r>
              <w:rPr>
                <w:sz w:val="21"/>
              </w:rPr>
              <w:t>本公司在收到保险金给付申请书及本附加合同约定的证明和资料后， 将在 5 日内作出核定；情形复杂的，在 30 日内作出核定。</w:t>
            </w:r>
          </w:p>
          <w:p>
            <w:pPr>
              <w:pStyle w:val="TableParagraph"/>
              <w:spacing w:line="273" w:lineRule="auto" w:before="7"/>
              <w:ind w:right="203"/>
              <w:rPr>
                <w:sz w:val="21"/>
              </w:rPr>
            </w:pPr>
            <w:r>
              <w:rPr>
                <w:sz w:val="21"/>
              </w:rPr>
              <w:t>对属于保险责任的，本公司在与受益人达成给付保险金的协议后 10 日内，履行给付保险金义务。</w:t>
            </w:r>
          </w:p>
          <w:p>
            <w:pPr>
              <w:pStyle w:val="TableParagraph"/>
              <w:spacing w:line="273" w:lineRule="auto" w:before="7"/>
              <w:ind w:right="106"/>
              <w:jc w:val="both"/>
              <w:rPr>
                <w:sz w:val="21"/>
              </w:rPr>
            </w:pPr>
            <w:r>
              <w:rPr>
                <w:sz w:val="21"/>
              </w:rPr>
              <w:t>本公司未及时履行前款规定义务的，除支付保险金外，应当赔偿受益人因此受到的损失。</w:t>
            </w:r>
          </w:p>
          <w:p>
            <w:pPr>
              <w:pStyle w:val="TableParagraph"/>
              <w:spacing w:line="273" w:lineRule="auto" w:before="7"/>
              <w:ind w:right="106"/>
              <w:jc w:val="both"/>
              <w:rPr>
                <w:sz w:val="21"/>
              </w:rPr>
            </w:pPr>
            <w:r>
              <w:rPr>
                <w:spacing w:val="-5"/>
                <w:sz w:val="21"/>
              </w:rPr>
              <w:t>对不属于保险责任的，本公司自作出核定之日起 </w:t>
            </w:r>
            <w:r>
              <w:rPr>
                <w:sz w:val="21"/>
              </w:rPr>
              <w:t>3</w:t>
            </w:r>
            <w:r>
              <w:rPr>
                <w:spacing w:val="-8"/>
                <w:sz w:val="21"/>
              </w:rPr>
              <w:t> 日内向受益人发出</w:t>
            </w:r>
            <w:r>
              <w:rPr>
                <w:spacing w:val="-5"/>
                <w:sz w:val="21"/>
              </w:rPr>
              <w:t>拒绝给付保险金通知书并说明理由。</w:t>
            </w:r>
          </w:p>
          <w:p>
            <w:pPr>
              <w:pStyle w:val="TableParagraph"/>
              <w:spacing w:line="273" w:lineRule="auto" w:before="7"/>
              <w:ind w:right="102"/>
              <w:jc w:val="both"/>
              <w:rPr>
                <w:sz w:val="21"/>
              </w:rPr>
            </w:pPr>
            <w:r>
              <w:rPr>
                <w:spacing w:val="-5"/>
                <w:sz w:val="21"/>
              </w:rPr>
              <w:t>本公司自收到有关证明和资料之日起 </w:t>
            </w:r>
            <w:r>
              <w:rPr>
                <w:sz w:val="21"/>
              </w:rPr>
              <w:t>60</w:t>
            </w:r>
            <w:r>
              <w:rPr>
                <w:spacing w:val="-14"/>
                <w:sz w:val="21"/>
              </w:rPr>
              <w:t> 日内，对属于保险责任而给付</w:t>
            </w:r>
            <w:r>
              <w:rPr>
                <w:spacing w:val="-7"/>
                <w:sz w:val="21"/>
              </w:rPr>
              <w:t>保险金的数额不能确定的，根据已有证明和资料可以确定的数额先予</w:t>
            </w:r>
            <w:r>
              <w:rPr>
                <w:spacing w:val="-5"/>
                <w:sz w:val="21"/>
              </w:rPr>
              <w:t>支付；本公司最终确定给付保险金的数额后，将支付相应的差额。</w:t>
            </w:r>
          </w:p>
        </w:tc>
      </w:tr>
      <w:tr>
        <w:trPr>
          <w:trHeight w:val="1560" w:hRule="atLeast"/>
        </w:trPr>
        <w:tc>
          <w:tcPr>
            <w:tcW w:w="1175" w:type="dxa"/>
          </w:tcPr>
          <w:p>
            <w:pPr>
              <w:pStyle w:val="TableParagraph"/>
              <w:spacing w:before="142"/>
              <w:ind w:left="108"/>
              <w:rPr>
                <w:sz w:val="21"/>
              </w:rPr>
            </w:pPr>
            <w:r>
              <w:rPr>
                <w:sz w:val="21"/>
              </w:rPr>
              <w:t>第十四条</w:t>
            </w:r>
          </w:p>
        </w:tc>
        <w:tc>
          <w:tcPr>
            <w:tcW w:w="1636" w:type="dxa"/>
          </w:tcPr>
          <w:p>
            <w:pPr>
              <w:pStyle w:val="TableParagraph"/>
              <w:spacing w:line="273" w:lineRule="auto" w:before="142"/>
              <w:ind w:left="224" w:right="147"/>
              <w:rPr>
                <w:sz w:val="21"/>
              </w:rPr>
            </w:pPr>
            <w:r>
              <w:rPr>
                <w:sz w:val="21"/>
              </w:rPr>
              <w:t>主合同提前给付保险金申请</w:t>
            </w:r>
          </w:p>
        </w:tc>
        <w:tc>
          <w:tcPr>
            <w:tcW w:w="6563" w:type="dxa"/>
          </w:tcPr>
          <w:p>
            <w:pPr>
              <w:pStyle w:val="TableParagraph"/>
              <w:spacing w:line="273" w:lineRule="auto" w:before="142"/>
              <w:ind w:right="106"/>
              <w:jc w:val="both"/>
              <w:rPr>
                <w:sz w:val="21"/>
              </w:rPr>
            </w:pPr>
            <w:r>
              <w:rPr>
                <w:sz w:val="21"/>
              </w:rPr>
              <w:t>若对于本附加合同所依附的主合同，被保险人可以申请其他提前给付保险金，且被保险人的情况属于本附加合同保险责任，则保险金受益人必须先申请本附加合同的重大疾病保险金，然后根据主合同的剩余保险金额，申请其他提前给付保险金。</w:t>
            </w:r>
          </w:p>
        </w:tc>
      </w:tr>
      <w:tr>
        <w:trPr>
          <w:trHeight w:val="936" w:hRule="atLeast"/>
        </w:trPr>
        <w:tc>
          <w:tcPr>
            <w:tcW w:w="1175" w:type="dxa"/>
          </w:tcPr>
          <w:p>
            <w:pPr>
              <w:pStyle w:val="TableParagraph"/>
              <w:spacing w:before="142"/>
              <w:ind w:left="108"/>
              <w:rPr>
                <w:sz w:val="21"/>
              </w:rPr>
            </w:pPr>
            <w:r>
              <w:rPr>
                <w:sz w:val="21"/>
              </w:rPr>
              <w:t>第十五条</w:t>
            </w:r>
          </w:p>
        </w:tc>
        <w:tc>
          <w:tcPr>
            <w:tcW w:w="1636" w:type="dxa"/>
          </w:tcPr>
          <w:p>
            <w:pPr>
              <w:pStyle w:val="TableParagraph"/>
              <w:spacing w:before="142"/>
              <w:ind w:left="224"/>
              <w:rPr>
                <w:sz w:val="21"/>
              </w:rPr>
            </w:pPr>
            <w:r>
              <w:rPr>
                <w:sz w:val="21"/>
              </w:rPr>
              <w:t>诉讼时效</w:t>
            </w:r>
          </w:p>
        </w:tc>
        <w:tc>
          <w:tcPr>
            <w:tcW w:w="6563" w:type="dxa"/>
          </w:tcPr>
          <w:p>
            <w:pPr>
              <w:pStyle w:val="TableParagraph"/>
              <w:spacing w:line="273" w:lineRule="auto" w:before="142"/>
              <w:ind w:right="106"/>
              <w:rPr>
                <w:sz w:val="21"/>
              </w:rPr>
            </w:pPr>
            <w:r>
              <w:rPr>
                <w:sz w:val="21"/>
              </w:rPr>
              <w:t>被保险人或受益人向本公司请求给付重大疾病保险金的诉讼时效期间为 2 年,自其知道或者应当知道保险事故发生之日起计算。</w:t>
            </w:r>
          </w:p>
        </w:tc>
      </w:tr>
      <w:tr>
        <w:trPr>
          <w:trHeight w:val="1353" w:hRule="atLeast"/>
        </w:trPr>
        <w:tc>
          <w:tcPr>
            <w:tcW w:w="1175" w:type="dxa"/>
          </w:tcPr>
          <w:p>
            <w:pPr>
              <w:pStyle w:val="TableParagraph"/>
              <w:spacing w:before="142"/>
              <w:ind w:left="108"/>
              <w:rPr>
                <w:sz w:val="21"/>
              </w:rPr>
            </w:pPr>
            <w:r>
              <w:rPr>
                <w:sz w:val="21"/>
              </w:rPr>
              <w:t>第十六条</w:t>
            </w:r>
          </w:p>
        </w:tc>
        <w:tc>
          <w:tcPr>
            <w:tcW w:w="1636" w:type="dxa"/>
          </w:tcPr>
          <w:p>
            <w:pPr>
              <w:pStyle w:val="TableParagraph"/>
              <w:spacing w:before="142"/>
              <w:ind w:left="224"/>
              <w:rPr>
                <w:sz w:val="21"/>
              </w:rPr>
            </w:pPr>
            <w:r>
              <w:rPr>
                <w:sz w:val="21"/>
              </w:rPr>
              <w:t>受益人</w:t>
            </w:r>
          </w:p>
        </w:tc>
        <w:tc>
          <w:tcPr>
            <w:tcW w:w="6563" w:type="dxa"/>
          </w:tcPr>
          <w:p>
            <w:pPr>
              <w:pStyle w:val="TableParagraph"/>
              <w:spacing w:line="273" w:lineRule="auto" w:before="142"/>
              <w:ind w:right="106"/>
              <w:rPr>
                <w:sz w:val="21"/>
              </w:rPr>
            </w:pPr>
            <w:r>
              <w:rPr>
                <w:sz w:val="21"/>
              </w:rPr>
              <w:t>投保人或者被保险人可以指定一人或多人为受益人。除另有约定外， 重大疾病保险金的受益人为被保险人本人。</w:t>
            </w:r>
          </w:p>
          <w:p>
            <w:pPr>
              <w:pStyle w:val="TableParagraph"/>
              <w:spacing w:line="312" w:lineRule="exact" w:before="3"/>
              <w:ind w:right="-15"/>
              <w:rPr>
                <w:sz w:val="21"/>
              </w:rPr>
            </w:pPr>
            <w:r>
              <w:rPr>
                <w:spacing w:val="-11"/>
                <w:sz w:val="21"/>
              </w:rPr>
              <w:t>受益人为多人时，可以确定受益顺序和受益份额；如果没有确定份额， </w:t>
            </w:r>
            <w:r>
              <w:rPr>
                <w:spacing w:val="-6"/>
                <w:sz w:val="21"/>
              </w:rPr>
              <w:t>各受益人按照相等份额享有受益权。</w:t>
            </w:r>
          </w:p>
        </w:tc>
      </w:tr>
    </w:tbl>
    <w:p>
      <w:pPr>
        <w:spacing w:after="0" w:line="312"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1"/>
        <w:ind w:left="0"/>
        <w:rPr>
          <w:rFonts w:ascii="Times New Roman"/>
          <w:sz w:val="18"/>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426"/>
        <w:gridCol w:w="6773"/>
      </w:tblGrid>
      <w:tr>
        <w:trPr>
          <w:trHeight w:val="2756" w:hRule="atLeast"/>
        </w:trPr>
        <w:tc>
          <w:tcPr>
            <w:tcW w:w="1175" w:type="dxa"/>
          </w:tcPr>
          <w:p>
            <w:pPr>
              <w:pStyle w:val="TableParagraph"/>
              <w:ind w:left="0"/>
              <w:rPr>
                <w:rFonts w:ascii="Times New Roman"/>
                <w:sz w:val="20"/>
              </w:rPr>
            </w:pPr>
          </w:p>
        </w:tc>
        <w:tc>
          <w:tcPr>
            <w:tcW w:w="1426" w:type="dxa"/>
          </w:tcPr>
          <w:p>
            <w:pPr>
              <w:pStyle w:val="TableParagraph"/>
              <w:ind w:left="0"/>
              <w:rPr>
                <w:rFonts w:ascii="Times New Roman"/>
                <w:sz w:val="20"/>
              </w:rPr>
            </w:pPr>
          </w:p>
        </w:tc>
        <w:tc>
          <w:tcPr>
            <w:tcW w:w="6773" w:type="dxa"/>
          </w:tcPr>
          <w:p>
            <w:pPr>
              <w:pStyle w:val="TableParagraph"/>
              <w:spacing w:line="211" w:lineRule="exact"/>
              <w:ind w:left="358"/>
              <w:rPr>
                <w:sz w:val="21"/>
              </w:rPr>
            </w:pPr>
            <w:r>
              <w:rPr>
                <w:sz w:val="21"/>
              </w:rPr>
              <w:t>被保险人为无民事行为能力人或限制民事行为能力人的，可以由其监</w:t>
            </w:r>
          </w:p>
          <w:p>
            <w:pPr>
              <w:pStyle w:val="TableParagraph"/>
              <w:spacing w:before="37"/>
              <w:ind w:left="358"/>
              <w:rPr>
                <w:sz w:val="21"/>
              </w:rPr>
            </w:pPr>
            <w:r>
              <w:rPr>
                <w:sz w:val="21"/>
              </w:rPr>
              <w:t>护人指定受益人。</w:t>
            </w:r>
          </w:p>
          <w:p>
            <w:pPr>
              <w:pStyle w:val="TableParagraph"/>
              <w:spacing w:line="273" w:lineRule="auto" w:before="37"/>
              <w:ind w:left="358" w:right="106"/>
              <w:jc w:val="both"/>
              <w:rPr>
                <w:sz w:val="21"/>
              </w:rPr>
            </w:pPr>
            <w:r>
              <w:rPr>
                <w:sz w:val="21"/>
              </w:rPr>
              <w:t>投保人或者被保险人可以变更受益人并书面通知本公司。本公司收到变更受益人的书面通知后，在保险单或其他保险凭证上批注或者附贴批单。</w:t>
            </w:r>
          </w:p>
          <w:p>
            <w:pPr>
              <w:pStyle w:val="TableParagraph"/>
              <w:spacing w:before="7"/>
              <w:ind w:left="358"/>
              <w:rPr>
                <w:sz w:val="21"/>
              </w:rPr>
            </w:pPr>
            <w:r>
              <w:rPr>
                <w:sz w:val="21"/>
              </w:rPr>
              <w:t>投保人指定和变更受益人时须经被保险人同意。</w:t>
            </w:r>
          </w:p>
          <w:p>
            <w:pPr>
              <w:pStyle w:val="TableParagraph"/>
              <w:spacing w:line="273" w:lineRule="auto" w:before="36"/>
              <w:ind w:left="358" w:right="106"/>
              <w:rPr>
                <w:sz w:val="21"/>
              </w:rPr>
            </w:pPr>
            <w:r>
              <w:rPr>
                <w:sz w:val="21"/>
              </w:rPr>
              <w:t>受益人故意造成被保险人身故、伤残、疾病的，或者故意杀害被保险人未遂的，该受益人丧失受益权。</w:t>
            </w:r>
          </w:p>
        </w:tc>
      </w:tr>
      <w:tr>
        <w:trPr>
          <w:trHeight w:val="311" w:hRule="atLeast"/>
        </w:trPr>
        <w:tc>
          <w:tcPr>
            <w:tcW w:w="1175" w:type="dxa"/>
            <w:shd w:val="clear" w:color="auto" w:fill="BEBEBE"/>
          </w:tcPr>
          <w:p>
            <w:pPr>
              <w:pStyle w:val="TableParagraph"/>
              <w:spacing w:line="262" w:lineRule="exact"/>
              <w:ind w:left="108"/>
              <w:rPr>
                <w:b/>
                <w:sz w:val="21"/>
              </w:rPr>
            </w:pPr>
            <w:r>
              <w:rPr>
                <w:b/>
                <w:sz w:val="21"/>
              </w:rPr>
              <w:t>第六章</w:t>
            </w:r>
          </w:p>
        </w:tc>
        <w:tc>
          <w:tcPr>
            <w:tcW w:w="1426" w:type="dxa"/>
            <w:shd w:val="clear" w:color="auto" w:fill="BEBEBE"/>
          </w:tcPr>
          <w:p>
            <w:pPr>
              <w:pStyle w:val="TableParagraph"/>
              <w:spacing w:line="262" w:lineRule="exact"/>
              <w:ind w:left="224"/>
              <w:rPr>
                <w:b/>
                <w:sz w:val="21"/>
              </w:rPr>
            </w:pPr>
            <w:r>
              <w:rPr>
                <w:b/>
                <w:sz w:val="21"/>
              </w:rPr>
              <w:t>释义</w:t>
            </w:r>
          </w:p>
        </w:tc>
        <w:tc>
          <w:tcPr>
            <w:tcW w:w="6773" w:type="dxa"/>
            <w:shd w:val="clear" w:color="auto" w:fill="BEBEBE"/>
          </w:tcPr>
          <w:p>
            <w:pPr>
              <w:pStyle w:val="TableParagraph"/>
              <w:ind w:left="0"/>
              <w:rPr>
                <w:rFonts w:ascii="Times New Roman"/>
                <w:sz w:val="20"/>
              </w:rPr>
            </w:pPr>
          </w:p>
        </w:tc>
      </w:tr>
      <w:tr>
        <w:trPr>
          <w:trHeight w:val="313" w:hRule="atLeast"/>
        </w:trPr>
        <w:tc>
          <w:tcPr>
            <w:tcW w:w="1175" w:type="dxa"/>
          </w:tcPr>
          <w:p>
            <w:pPr>
              <w:pStyle w:val="TableParagraph"/>
              <w:spacing w:line="262" w:lineRule="exact"/>
              <w:ind w:left="108"/>
              <w:rPr>
                <w:sz w:val="21"/>
              </w:rPr>
            </w:pPr>
            <w:r>
              <w:rPr>
                <w:sz w:val="21"/>
              </w:rPr>
              <w:t>第十七条</w:t>
            </w:r>
          </w:p>
        </w:tc>
        <w:tc>
          <w:tcPr>
            <w:tcW w:w="1426" w:type="dxa"/>
          </w:tcPr>
          <w:p>
            <w:pPr>
              <w:pStyle w:val="TableParagraph"/>
              <w:spacing w:line="262" w:lineRule="exact"/>
              <w:ind w:left="224"/>
              <w:rPr>
                <w:sz w:val="21"/>
              </w:rPr>
            </w:pPr>
            <w:r>
              <w:rPr>
                <w:sz w:val="21"/>
              </w:rPr>
              <w:t>释义</w:t>
            </w:r>
          </w:p>
        </w:tc>
        <w:tc>
          <w:tcPr>
            <w:tcW w:w="6773" w:type="dxa"/>
          </w:tcPr>
          <w:p>
            <w:pPr>
              <w:pStyle w:val="TableParagraph"/>
              <w:ind w:left="0"/>
              <w:rPr>
                <w:rFonts w:ascii="Times New Roman"/>
                <w:sz w:val="20"/>
              </w:rPr>
            </w:pPr>
          </w:p>
        </w:tc>
      </w:tr>
      <w:tr>
        <w:trPr>
          <w:trHeight w:val="468" w:hRule="atLeast"/>
        </w:trPr>
        <w:tc>
          <w:tcPr>
            <w:tcW w:w="1175" w:type="dxa"/>
          </w:tcPr>
          <w:p>
            <w:pPr>
              <w:pStyle w:val="TableParagraph"/>
              <w:spacing w:line="262" w:lineRule="exact"/>
              <w:ind w:left="116"/>
              <w:jc w:val="center"/>
              <w:rPr>
                <w:sz w:val="21"/>
              </w:rPr>
            </w:pPr>
            <w:r>
              <w:rPr>
                <w:w w:val="100"/>
                <w:sz w:val="21"/>
              </w:rPr>
              <w:t>一</w:t>
            </w:r>
          </w:p>
        </w:tc>
        <w:tc>
          <w:tcPr>
            <w:tcW w:w="1426" w:type="dxa"/>
          </w:tcPr>
          <w:p>
            <w:pPr>
              <w:pStyle w:val="TableParagraph"/>
              <w:spacing w:line="262" w:lineRule="exact"/>
              <w:ind w:left="224"/>
              <w:rPr>
                <w:sz w:val="21"/>
              </w:rPr>
            </w:pPr>
            <w:r>
              <w:rPr>
                <w:sz w:val="21"/>
              </w:rPr>
              <w:t>本公司</w:t>
            </w:r>
          </w:p>
        </w:tc>
        <w:tc>
          <w:tcPr>
            <w:tcW w:w="6773" w:type="dxa"/>
          </w:tcPr>
          <w:p>
            <w:pPr>
              <w:pStyle w:val="TableParagraph"/>
              <w:spacing w:line="262" w:lineRule="exact"/>
              <w:ind w:left="358"/>
              <w:rPr>
                <w:sz w:val="21"/>
              </w:rPr>
            </w:pPr>
            <w:r>
              <w:rPr>
                <w:sz w:val="21"/>
              </w:rPr>
              <w:t>指中银三星人寿保险有限公司。</w:t>
            </w:r>
          </w:p>
        </w:tc>
      </w:tr>
      <w:tr>
        <w:trPr>
          <w:trHeight w:val="1248" w:hRule="atLeast"/>
        </w:trPr>
        <w:tc>
          <w:tcPr>
            <w:tcW w:w="1175" w:type="dxa"/>
          </w:tcPr>
          <w:p>
            <w:pPr>
              <w:pStyle w:val="TableParagraph"/>
              <w:spacing w:before="142"/>
              <w:ind w:left="116"/>
              <w:jc w:val="center"/>
              <w:rPr>
                <w:sz w:val="21"/>
              </w:rPr>
            </w:pPr>
            <w:r>
              <w:rPr>
                <w:w w:val="100"/>
                <w:sz w:val="21"/>
              </w:rPr>
              <w:t>二</w:t>
            </w:r>
          </w:p>
        </w:tc>
        <w:tc>
          <w:tcPr>
            <w:tcW w:w="1426" w:type="dxa"/>
          </w:tcPr>
          <w:p>
            <w:pPr>
              <w:pStyle w:val="TableParagraph"/>
              <w:spacing w:before="142"/>
              <w:ind w:left="224"/>
              <w:rPr>
                <w:sz w:val="21"/>
              </w:rPr>
            </w:pPr>
            <w:r>
              <w:rPr>
                <w:sz w:val="21"/>
              </w:rPr>
              <w:t>医院</w:t>
            </w:r>
          </w:p>
        </w:tc>
        <w:tc>
          <w:tcPr>
            <w:tcW w:w="6773" w:type="dxa"/>
          </w:tcPr>
          <w:p>
            <w:pPr>
              <w:pStyle w:val="TableParagraph"/>
              <w:spacing w:line="273" w:lineRule="auto" w:before="142"/>
              <w:ind w:left="358" w:right="106"/>
              <w:jc w:val="both"/>
              <w:rPr>
                <w:sz w:val="21"/>
              </w:rPr>
            </w:pPr>
            <w:r>
              <w:rPr>
                <w:sz w:val="21"/>
              </w:rPr>
              <w:t>指在本附加合同中列明的医院。本附加合同未列明的，则指国家卫生行政部门评定的二级或二级以上公立医院，但不包括康复、护理、疗养、戒酒、戒毒或类似性质的医疗机构。</w:t>
            </w:r>
          </w:p>
        </w:tc>
      </w:tr>
      <w:tr>
        <w:trPr>
          <w:trHeight w:val="7515" w:hRule="atLeast"/>
        </w:trPr>
        <w:tc>
          <w:tcPr>
            <w:tcW w:w="1175" w:type="dxa"/>
          </w:tcPr>
          <w:p>
            <w:pPr>
              <w:pStyle w:val="TableParagraph"/>
              <w:spacing w:before="142"/>
              <w:ind w:left="116"/>
              <w:jc w:val="center"/>
              <w:rPr>
                <w:sz w:val="21"/>
              </w:rPr>
            </w:pPr>
            <w:r>
              <w:rPr>
                <w:w w:val="100"/>
                <w:sz w:val="21"/>
              </w:rPr>
              <w:t>三</w:t>
            </w:r>
          </w:p>
        </w:tc>
        <w:tc>
          <w:tcPr>
            <w:tcW w:w="1426" w:type="dxa"/>
          </w:tcPr>
          <w:p>
            <w:pPr>
              <w:pStyle w:val="TableParagraph"/>
              <w:spacing w:before="142"/>
              <w:ind w:left="224"/>
              <w:rPr>
                <w:sz w:val="21"/>
              </w:rPr>
            </w:pPr>
            <w:r>
              <w:rPr>
                <w:sz w:val="21"/>
              </w:rPr>
              <w:t>重大疾病</w:t>
            </w:r>
          </w:p>
        </w:tc>
        <w:tc>
          <w:tcPr>
            <w:tcW w:w="6773" w:type="dxa"/>
          </w:tcPr>
          <w:p>
            <w:pPr>
              <w:pStyle w:val="TableParagraph"/>
              <w:spacing w:line="273" w:lineRule="auto" w:before="142"/>
              <w:ind w:left="358" w:right="106"/>
              <w:jc w:val="both"/>
              <w:rPr>
                <w:sz w:val="21"/>
              </w:rPr>
            </w:pPr>
            <w:r>
              <w:rPr>
                <w:spacing w:val="-6"/>
                <w:sz w:val="21"/>
              </w:rPr>
              <w:t>本附加合同所称的重大疾病共包含 </w:t>
            </w:r>
            <w:r>
              <w:rPr>
                <w:sz w:val="21"/>
              </w:rPr>
              <w:t>30</w:t>
            </w:r>
            <w:r>
              <w:rPr>
                <w:spacing w:val="-12"/>
                <w:sz w:val="21"/>
              </w:rPr>
              <w:t> 种重大疾病，其中 </w:t>
            </w:r>
            <w:r>
              <w:rPr>
                <w:sz w:val="21"/>
              </w:rPr>
              <w:t>24</w:t>
            </w:r>
            <w:r>
              <w:rPr>
                <w:spacing w:val="-12"/>
                <w:sz w:val="21"/>
              </w:rPr>
              <w:t> 种为中国</w:t>
            </w:r>
            <w:r>
              <w:rPr>
                <w:spacing w:val="-6"/>
                <w:sz w:val="21"/>
              </w:rPr>
              <w:t>保险行业协会推荐的疾病</w:t>
            </w:r>
            <w:r>
              <w:rPr>
                <w:sz w:val="21"/>
              </w:rPr>
              <w:t>，6</w:t>
            </w:r>
            <w:r>
              <w:rPr>
                <w:spacing w:val="-8"/>
                <w:sz w:val="21"/>
              </w:rPr>
              <w:t> 种为中国保险行业协会推荐范围以外的</w:t>
            </w:r>
            <w:r>
              <w:rPr>
                <w:spacing w:val="-5"/>
                <w:sz w:val="21"/>
              </w:rPr>
              <w:t>疾病。被保险人发生符合以下疾病定义所述条件的疾病，须由专科医</w:t>
            </w:r>
            <w:r>
              <w:rPr>
                <w:spacing w:val="-4"/>
                <w:sz w:val="21"/>
              </w:rPr>
              <w:t>生明确诊断。</w:t>
            </w:r>
          </w:p>
          <w:p>
            <w:pPr>
              <w:pStyle w:val="TableParagraph"/>
              <w:tabs>
                <w:tab w:pos="778" w:val="left" w:leader="none"/>
              </w:tabs>
              <w:spacing w:before="21"/>
              <w:ind w:left="358"/>
              <w:rPr>
                <w:sz w:val="21"/>
              </w:rPr>
            </w:pPr>
            <w:r>
              <w:rPr>
                <w:sz w:val="21"/>
              </w:rPr>
              <w:t>1.</w:t>
              <w:tab/>
              <w:t>24</w:t>
            </w:r>
            <w:r>
              <w:rPr>
                <w:spacing w:val="-6"/>
                <w:sz w:val="21"/>
              </w:rPr>
              <w:t> 种由中国保险行业协会推荐的疾病是指符合下列条件的疾病：</w:t>
            </w:r>
          </w:p>
          <w:p>
            <w:pPr>
              <w:pStyle w:val="TableParagraph"/>
              <w:ind w:left="0"/>
              <w:rPr>
                <w:rFonts w:ascii="Times New Roman"/>
                <w:sz w:val="20"/>
              </w:rPr>
            </w:pPr>
          </w:p>
          <w:p>
            <w:pPr>
              <w:pStyle w:val="TableParagraph"/>
              <w:spacing w:before="8"/>
              <w:ind w:left="0"/>
              <w:rPr>
                <w:rFonts w:ascii="Times New Roman"/>
                <w:sz w:val="15"/>
              </w:rPr>
            </w:pPr>
          </w:p>
          <w:p>
            <w:pPr>
              <w:pStyle w:val="TableParagraph"/>
              <w:numPr>
                <w:ilvl w:val="0"/>
                <w:numId w:val="1"/>
              </w:numPr>
              <w:tabs>
                <w:tab w:pos="779" w:val="left" w:leader="none"/>
              </w:tabs>
              <w:spacing w:line="240" w:lineRule="auto" w:before="1" w:after="0"/>
              <w:ind w:left="778" w:right="0" w:hanging="420"/>
              <w:jc w:val="left"/>
              <w:rPr>
                <w:sz w:val="21"/>
              </w:rPr>
            </w:pPr>
            <w:r>
              <w:rPr>
                <w:spacing w:val="-1"/>
                <w:sz w:val="21"/>
              </w:rPr>
              <w:t>恶性肿瘤</w:t>
            </w:r>
          </w:p>
          <w:p>
            <w:pPr>
              <w:pStyle w:val="TableParagraph"/>
              <w:spacing w:line="300" w:lineRule="auto" w:before="68"/>
              <w:ind w:left="358"/>
              <w:rPr>
                <w:sz w:val="21"/>
              </w:rPr>
            </w:pPr>
            <w:r>
              <w:rPr>
                <w:spacing w:val="-9"/>
                <w:sz w:val="21"/>
              </w:rPr>
              <w:t>指恶性细胞不受控制的进行性增长和扩散，浸润和破坏周围正常组织， </w:t>
            </w:r>
            <w:r>
              <w:rPr>
                <w:spacing w:val="-5"/>
                <w:sz w:val="21"/>
              </w:rPr>
              <w:t>可以经血管、淋巴管和体腔扩散转移到身体其它部位的疾病。经病理</w:t>
            </w:r>
            <w:r>
              <w:rPr>
                <w:spacing w:val="-4"/>
                <w:sz w:val="21"/>
              </w:rPr>
              <w:t>学检查结果明确诊断，临床诊断属于世界卫生组织《疾病和有关健康</w:t>
            </w:r>
            <w:r>
              <w:rPr>
                <w:spacing w:val="-14"/>
                <w:sz w:val="21"/>
              </w:rPr>
              <w:t>问题的国际统计分类》</w:t>
            </w:r>
            <w:r>
              <w:rPr>
                <w:spacing w:val="-1"/>
                <w:sz w:val="21"/>
              </w:rPr>
              <w:t>（ICD-10）</w:t>
            </w:r>
            <w:r>
              <w:rPr>
                <w:spacing w:val="-3"/>
                <w:sz w:val="21"/>
              </w:rPr>
              <w:t>的恶性肿瘤范畴。</w:t>
            </w:r>
          </w:p>
          <w:p>
            <w:pPr>
              <w:pStyle w:val="TableParagraph"/>
              <w:spacing w:before="15"/>
              <w:ind w:left="358"/>
              <w:rPr>
                <w:sz w:val="21"/>
              </w:rPr>
            </w:pPr>
            <w:r>
              <w:rPr>
                <w:sz w:val="21"/>
              </w:rPr>
              <w:t>下列疾病不在保障范围内：</w:t>
            </w:r>
          </w:p>
          <w:p>
            <w:pPr>
              <w:pStyle w:val="TableParagraph"/>
              <w:spacing w:before="68"/>
              <w:ind w:left="358"/>
              <w:rPr>
                <w:sz w:val="21"/>
              </w:rPr>
            </w:pPr>
            <w:r>
              <w:rPr>
                <w:sz w:val="21"/>
              </w:rPr>
              <w:t>① 原位癌；</w:t>
            </w:r>
          </w:p>
          <w:p>
            <w:pPr>
              <w:pStyle w:val="TableParagraph"/>
              <w:spacing w:before="68"/>
              <w:ind w:left="358"/>
              <w:rPr>
                <w:sz w:val="21"/>
              </w:rPr>
            </w:pPr>
            <w:r>
              <w:rPr>
                <w:sz w:val="21"/>
              </w:rPr>
              <w:t>② 相当于 Binet 分期方案 A 期程度的慢性淋巴细胞白血病；</w:t>
            </w:r>
          </w:p>
          <w:p>
            <w:pPr>
              <w:pStyle w:val="TableParagraph"/>
              <w:spacing w:before="68"/>
              <w:ind w:left="358"/>
              <w:rPr>
                <w:sz w:val="21"/>
              </w:rPr>
            </w:pPr>
            <w:r>
              <w:rPr>
                <w:sz w:val="21"/>
              </w:rPr>
              <w:t>③ 相当于 Ann Arbor 分期方案 I 期程度的何杰金氏病；</w:t>
            </w:r>
          </w:p>
          <w:p>
            <w:pPr>
              <w:pStyle w:val="TableParagraph"/>
              <w:spacing w:before="68"/>
              <w:ind w:left="358"/>
              <w:rPr>
                <w:sz w:val="21"/>
              </w:rPr>
            </w:pPr>
            <w:r>
              <w:rPr>
                <w:w w:val="100"/>
                <w:sz w:val="21"/>
              </w:rPr>
              <w:t>④</w:t>
            </w:r>
            <w:r>
              <w:rPr>
                <w:spacing w:val="42"/>
                <w:sz w:val="21"/>
              </w:rPr>
              <w:t> </w:t>
            </w: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spacing w:before="68"/>
              <w:ind w:left="358"/>
              <w:rPr>
                <w:sz w:val="21"/>
              </w:rPr>
            </w:pPr>
            <w:r>
              <w:rPr>
                <w:w w:val="100"/>
                <w:sz w:val="21"/>
              </w:rPr>
              <w:t>⑤</w:t>
            </w:r>
            <w:r>
              <w:rPr>
                <w:spacing w:val="42"/>
                <w:sz w:val="21"/>
              </w:rPr>
              <w:t> </w:t>
            </w:r>
            <w:r>
              <w:rPr>
                <w:w w:val="100"/>
                <w:sz w:val="21"/>
              </w:rPr>
              <w:t>TNM</w:t>
            </w:r>
            <w:r>
              <w:rPr>
                <w:spacing w:val="-53"/>
                <w:sz w:val="21"/>
              </w:rPr>
              <w:t> </w:t>
            </w:r>
            <w:r>
              <w:rPr>
                <w:spacing w:val="-2"/>
                <w:w w:val="100"/>
                <w:sz w:val="21"/>
              </w:rPr>
              <w:t>分期为</w:t>
            </w:r>
            <w:r>
              <w:rPr>
                <w:spacing w:val="-55"/>
                <w:sz w:val="21"/>
              </w:rPr>
              <w:t> </w:t>
            </w:r>
            <w:r>
              <w:rPr>
                <w:w w:val="100"/>
                <w:sz w:val="21"/>
              </w:rPr>
              <w:t>T</w:t>
            </w:r>
            <w:r>
              <w:rPr>
                <w:w w:val="100"/>
                <w:sz w:val="10"/>
              </w:rPr>
              <w:t>1</w:t>
            </w:r>
            <w:r>
              <w:rPr>
                <w:w w:val="100"/>
                <w:sz w:val="21"/>
              </w:rPr>
              <w:t>N</w:t>
            </w:r>
            <w:r>
              <w:rPr>
                <w:spacing w:val="-3"/>
                <w:w w:val="100"/>
                <w:sz w:val="10"/>
              </w:rPr>
              <w:t>0</w:t>
            </w:r>
            <w:r>
              <w:rPr>
                <w:w w:val="100"/>
                <w:sz w:val="21"/>
              </w:rPr>
              <w:t>M</w:t>
            </w:r>
            <w:r>
              <w:rPr>
                <w:w w:val="100"/>
                <w:sz w:val="10"/>
              </w:rPr>
              <w:t>0</w:t>
            </w:r>
            <w:r>
              <w:rPr>
                <w:spacing w:val="-26"/>
                <w:sz w:val="10"/>
              </w:rPr>
              <w:t> </w:t>
            </w:r>
            <w:r>
              <w:rPr>
                <w:spacing w:val="-3"/>
                <w:w w:val="100"/>
                <w:sz w:val="21"/>
              </w:rPr>
              <w:t>期或更轻分期的前列腺癌；</w:t>
            </w:r>
          </w:p>
          <w:p>
            <w:pPr>
              <w:pStyle w:val="TableParagraph"/>
              <w:spacing w:before="69"/>
              <w:ind w:left="358"/>
              <w:rPr>
                <w:sz w:val="21"/>
              </w:rPr>
            </w:pPr>
            <w:r>
              <w:rPr>
                <w:sz w:val="21"/>
              </w:rPr>
              <w:t>⑥ 感染艾滋病病毒或患艾滋病期间所患恶性肿瘤。</w:t>
            </w:r>
          </w:p>
          <w:p>
            <w:pPr>
              <w:pStyle w:val="TableParagraph"/>
              <w:ind w:left="0"/>
              <w:rPr>
                <w:rFonts w:ascii="Times New Roman"/>
                <w:sz w:val="20"/>
              </w:rPr>
            </w:pPr>
          </w:p>
          <w:p>
            <w:pPr>
              <w:pStyle w:val="TableParagraph"/>
              <w:spacing w:before="9"/>
              <w:ind w:left="0"/>
              <w:rPr>
                <w:rFonts w:ascii="Times New Roman"/>
                <w:sz w:val="15"/>
              </w:rPr>
            </w:pPr>
          </w:p>
          <w:p>
            <w:pPr>
              <w:pStyle w:val="TableParagraph"/>
              <w:numPr>
                <w:ilvl w:val="0"/>
                <w:numId w:val="1"/>
              </w:numPr>
              <w:tabs>
                <w:tab w:pos="779" w:val="left" w:leader="none"/>
              </w:tabs>
              <w:spacing w:line="240" w:lineRule="auto" w:before="0" w:after="0"/>
              <w:ind w:left="778" w:right="0" w:hanging="420"/>
              <w:jc w:val="left"/>
              <w:rPr>
                <w:sz w:val="21"/>
              </w:rPr>
            </w:pPr>
            <w:r>
              <w:rPr>
                <w:spacing w:val="-2"/>
                <w:sz w:val="21"/>
              </w:rPr>
              <w:t>急性心肌梗塞</w:t>
            </w:r>
          </w:p>
          <w:p>
            <w:pPr>
              <w:pStyle w:val="TableParagraph"/>
              <w:spacing w:line="340" w:lineRule="atLeast" w:before="3"/>
              <w:ind w:left="358" w:right="106"/>
              <w:rPr>
                <w:sz w:val="21"/>
              </w:rPr>
            </w:pPr>
            <w:r>
              <w:rPr>
                <w:sz w:val="21"/>
              </w:rPr>
              <w:t>指因冠状动脉阻塞导致的相应区域供血不足造成部分心肌坏死。须满足下列至少三项条件：</w:t>
            </w:r>
          </w:p>
        </w:tc>
      </w:tr>
    </w:tbl>
    <w:p>
      <w:pPr>
        <w:spacing w:after="0" w:line="340" w:lineRule="atLeas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158"/>
      </w:pPr>
      <w:r>
        <w:rPr/>
        <w:t>① 典型临床表现，例如急性胸痛等；</w:t>
      </w:r>
    </w:p>
    <w:p>
      <w:pPr>
        <w:pStyle w:val="BodyText"/>
        <w:spacing w:before="67"/>
      </w:pPr>
      <w:r>
        <w:rPr/>
        <w:t>② 新近的心电图改变提示急性心肌梗塞；</w:t>
      </w:r>
    </w:p>
    <w:p>
      <w:pPr>
        <w:pStyle w:val="BodyText"/>
        <w:spacing w:line="300" w:lineRule="auto" w:before="67"/>
        <w:ind w:left="3409" w:right="169" w:hanging="360"/>
      </w:pPr>
      <w:r>
        <w:rPr/>
        <w:t>③ 心肌酶或肌钙蛋白有诊断意义的升高，或呈符合急性心肌梗塞的动态性变化；</w:t>
      </w:r>
    </w:p>
    <w:p>
      <w:pPr>
        <w:pStyle w:val="BodyText"/>
        <w:spacing w:line="300" w:lineRule="auto" w:before="15"/>
        <w:ind w:left="3409" w:right="107" w:hanging="360"/>
      </w:pPr>
      <w:r>
        <w:rPr>
          <w:spacing w:val="1"/>
        </w:rPr>
        <w:t>④ 发病 </w:t>
      </w:r>
      <w:r>
        <w:rPr/>
        <w:t>90</w:t>
      </w:r>
      <w:r>
        <w:rPr>
          <w:spacing w:val="-11"/>
        </w:rPr>
        <w:t> 天后，经检查证实左心室功能降低，如左心室射血分数低</w:t>
      </w:r>
      <w:r>
        <w:rPr>
          <w:spacing w:val="-32"/>
        </w:rPr>
        <w:t>于 </w:t>
      </w:r>
      <w:r>
        <w:rPr/>
        <w:t>50%。</w:t>
      </w:r>
    </w:p>
    <w:p>
      <w:pPr>
        <w:pStyle w:val="BodyText"/>
        <w:spacing w:before="5"/>
        <w:ind w:left="0"/>
        <w:rPr>
          <w:sz w:val="27"/>
        </w:rPr>
      </w:pPr>
    </w:p>
    <w:p>
      <w:pPr>
        <w:pStyle w:val="ListParagraph"/>
        <w:numPr>
          <w:ilvl w:val="0"/>
          <w:numId w:val="2"/>
        </w:numPr>
        <w:tabs>
          <w:tab w:pos="3469" w:val="left" w:leader="none"/>
        </w:tabs>
        <w:spacing w:line="240" w:lineRule="auto" w:before="0" w:after="0"/>
        <w:ind w:left="3469" w:right="0" w:hanging="420"/>
        <w:jc w:val="left"/>
        <w:rPr>
          <w:sz w:val="21"/>
        </w:rPr>
      </w:pPr>
      <w:r>
        <w:rPr>
          <w:spacing w:val="-2"/>
          <w:sz w:val="21"/>
        </w:rPr>
        <w:t>脑中风后遗症</w:t>
      </w:r>
    </w:p>
    <w:p>
      <w:pPr>
        <w:pStyle w:val="BodyText"/>
        <w:spacing w:line="300" w:lineRule="auto" w:before="67"/>
        <w:ind w:right="109"/>
        <w:jc w:val="both"/>
      </w:pPr>
      <w:r>
        <w:rPr/>
        <w:t>指因脑血管的突发病变引起脑血管出血、栓塞或梗塞，并导致神经系统永久性的功能障碍。神经系统永久性的功能障碍，指疾病确诊 180 天后，仍遗留下列一种或一种以上障碍：</w:t>
      </w:r>
    </w:p>
    <w:p>
      <w:pPr>
        <w:pStyle w:val="BodyText"/>
        <w:spacing w:before="15"/>
      </w:pPr>
      <w:r>
        <w:rPr/>
        <w:t>① 一肢或一肢以上肢体机能完全丧失；</w:t>
      </w:r>
    </w:p>
    <w:p>
      <w:pPr>
        <w:pStyle w:val="BodyText"/>
      </w:pPr>
      <w:r>
        <w:rPr/>
        <w:t>② 语言能力或咀嚼吞咽能力完全丧失；</w:t>
      </w:r>
    </w:p>
    <w:p>
      <w:pPr>
        <w:pStyle w:val="BodyText"/>
        <w:spacing w:line="300" w:lineRule="auto"/>
        <w:ind w:left="3409" w:right="1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2"/>
        </w:numPr>
        <w:tabs>
          <w:tab w:pos="3469" w:val="left" w:leader="none"/>
        </w:tabs>
        <w:spacing w:line="240" w:lineRule="auto" w:before="0" w:after="0"/>
        <w:ind w:left="3469" w:right="0" w:hanging="420"/>
        <w:jc w:val="left"/>
        <w:rPr>
          <w:sz w:val="21"/>
        </w:rPr>
      </w:pPr>
      <w:r>
        <w:rPr>
          <w:spacing w:val="-3"/>
          <w:sz w:val="21"/>
        </w:rPr>
        <w:t>重大器官移植术或造血干细胞移植术</w:t>
      </w:r>
    </w:p>
    <w:p>
      <w:pPr>
        <w:pStyle w:val="BodyText"/>
        <w:spacing w:line="300" w:lineRule="auto" w:before="67"/>
        <w:ind w:right="109"/>
      </w:pPr>
      <w:r>
        <w:rPr/>
        <w:t>重大器官移植术，指因相应器官功能衰竭，已经实施了肾脏、肝脏、心脏或肺脏的异体移植手术。</w:t>
      </w:r>
    </w:p>
    <w:p>
      <w:pPr>
        <w:pStyle w:val="BodyText"/>
        <w:spacing w:line="300" w:lineRule="auto" w:before="15"/>
        <w:ind w:right="109"/>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5"/>
        <w:ind w:left="0"/>
        <w:rPr>
          <w:sz w:val="27"/>
        </w:rPr>
      </w:pPr>
    </w:p>
    <w:p>
      <w:pPr>
        <w:pStyle w:val="ListParagraph"/>
        <w:numPr>
          <w:ilvl w:val="0"/>
          <w:numId w:val="2"/>
        </w:numPr>
        <w:tabs>
          <w:tab w:pos="3469" w:val="left" w:leader="none"/>
        </w:tabs>
        <w:spacing w:line="240" w:lineRule="auto" w:before="0" w:after="0"/>
        <w:ind w:left="3469" w:right="0" w:hanging="420"/>
        <w:jc w:val="left"/>
        <w:rPr>
          <w:sz w:val="21"/>
        </w:rPr>
      </w:pPr>
      <w:r>
        <w:rPr>
          <w:spacing w:val="-2"/>
          <w:sz w:val="21"/>
        </w:rPr>
        <w:t>冠状动脉搭桥术</w:t>
      </w:r>
    </w:p>
    <w:p>
      <w:pPr>
        <w:pStyle w:val="BodyText"/>
        <w:spacing w:line="300" w:lineRule="auto" w:before="67"/>
        <w:ind w:right="109"/>
      </w:pPr>
      <w:r>
        <w:rPr/>
        <w:t>指为治疗严重的冠心病，实际实施了开胸进行的冠状动脉血管旁路移植的手术。</w:t>
      </w:r>
    </w:p>
    <w:p>
      <w:pPr>
        <w:pStyle w:val="BodyText"/>
        <w:spacing w:line="300" w:lineRule="auto" w:before="15"/>
        <w:ind w:right="109"/>
      </w:pPr>
      <w:r>
        <w:rPr/>
        <w:t>冠状动脉支架植入术、心导管球囊扩张术、激光射频技术及其它非开胸的介入手术、腔镜手术不在保障范围内。</w:t>
      </w:r>
    </w:p>
    <w:p>
      <w:pPr>
        <w:pStyle w:val="BodyText"/>
        <w:spacing w:before="5"/>
        <w:ind w:left="0"/>
        <w:rPr>
          <w:sz w:val="27"/>
        </w:rPr>
      </w:pPr>
    </w:p>
    <w:p>
      <w:pPr>
        <w:pStyle w:val="ListParagraph"/>
        <w:numPr>
          <w:ilvl w:val="0"/>
          <w:numId w:val="2"/>
        </w:numPr>
        <w:tabs>
          <w:tab w:pos="3469" w:val="left" w:leader="none"/>
        </w:tabs>
        <w:spacing w:line="240" w:lineRule="auto" w:before="0" w:after="0"/>
        <w:ind w:left="3469" w:right="0" w:hanging="420"/>
        <w:jc w:val="left"/>
        <w:rPr>
          <w:sz w:val="21"/>
        </w:rPr>
      </w:pPr>
      <w:r>
        <w:rPr>
          <w:spacing w:val="-1"/>
          <w:sz w:val="21"/>
        </w:rPr>
        <w:t>终末期肾病</w:t>
      </w:r>
    </w:p>
    <w:p>
      <w:pPr>
        <w:pStyle w:val="BodyText"/>
        <w:spacing w:line="300" w:lineRule="auto" w:before="67"/>
        <w:ind w:right="109"/>
      </w:pPr>
      <w:r>
        <w:rPr/>
        <w:t>指双肾功能慢性不可逆性衰竭，达到尿毒症期，经诊断后已经进行了至少 90 天的规律性透析治疗或实施了肾脏移植手术。</w:t>
      </w:r>
    </w:p>
    <w:p>
      <w:pPr>
        <w:pStyle w:val="BodyText"/>
        <w:spacing w:before="5"/>
        <w:ind w:left="0"/>
        <w:rPr>
          <w:sz w:val="27"/>
        </w:rPr>
      </w:pPr>
    </w:p>
    <w:p>
      <w:pPr>
        <w:pStyle w:val="ListParagraph"/>
        <w:numPr>
          <w:ilvl w:val="0"/>
          <w:numId w:val="2"/>
        </w:numPr>
        <w:tabs>
          <w:tab w:pos="3469" w:val="left" w:leader="none"/>
        </w:tabs>
        <w:spacing w:line="240" w:lineRule="auto" w:before="0" w:after="0"/>
        <w:ind w:left="3469" w:right="0" w:hanging="420"/>
        <w:jc w:val="left"/>
        <w:rPr>
          <w:sz w:val="21"/>
        </w:rPr>
      </w:pPr>
      <w:r>
        <w:rPr>
          <w:spacing w:val="-2"/>
          <w:sz w:val="21"/>
        </w:rPr>
        <w:t>多个肢体缺失</w:t>
      </w:r>
    </w:p>
    <w:p>
      <w:pPr>
        <w:pStyle w:val="BodyText"/>
        <w:spacing w:before="67"/>
      </w:pPr>
      <w:r>
        <w:rPr/>
        <w:t>指因疾病或意外伤害导致两个或两个以上肢体自腕关节或踝关节近端</w:t>
      </w:r>
    </w:p>
    <w:p>
      <w:pPr>
        <w:pStyle w:val="BodyText"/>
        <w:spacing w:before="67"/>
      </w:pPr>
      <w:r>
        <w:rPr/>
        <w:t>（靠近躯干端）以上完全性断离。</w:t>
      </w:r>
    </w:p>
    <w:p>
      <w:pPr>
        <w:spacing w:after="0"/>
        <w:sectPr>
          <w:pgSz w:w="11910" w:h="16840"/>
          <w:pgMar w:header="0" w:footer="919" w:top="1580" w:bottom="1100" w:left="1200" w:right="1240"/>
        </w:sectPr>
      </w:pPr>
    </w:p>
    <w:p>
      <w:pPr>
        <w:pStyle w:val="BodyText"/>
        <w:spacing w:before="12"/>
        <w:ind w:left="0"/>
        <w:rPr>
          <w:sz w:val="26"/>
        </w:rPr>
      </w:pPr>
    </w:p>
    <w:p>
      <w:pPr>
        <w:pStyle w:val="ListParagraph"/>
        <w:numPr>
          <w:ilvl w:val="0"/>
          <w:numId w:val="2"/>
        </w:numPr>
        <w:tabs>
          <w:tab w:pos="3469" w:val="left" w:leader="none"/>
        </w:tabs>
        <w:spacing w:line="240" w:lineRule="auto" w:before="36" w:after="0"/>
        <w:ind w:left="3469" w:right="0" w:hanging="420"/>
        <w:jc w:val="left"/>
        <w:rPr>
          <w:sz w:val="21"/>
        </w:rPr>
      </w:pPr>
      <w:r>
        <w:rPr>
          <w:spacing w:val="-3"/>
          <w:sz w:val="21"/>
        </w:rPr>
        <w:t>急性或亚急性重症肝炎</w:t>
      </w:r>
    </w:p>
    <w:p>
      <w:pPr>
        <w:pStyle w:val="BodyText"/>
        <w:spacing w:line="300" w:lineRule="auto"/>
        <w:ind w:right="209"/>
      </w:pPr>
      <w:r>
        <w:rPr/>
        <w:t>指因肝炎病毒感染引起肝脏组织弥漫性坏死，导致急性肝功能衰竭， 且经血清学或病毒学检查证实，并须满足下列全部条件：</w:t>
      </w:r>
    </w:p>
    <w:p>
      <w:pPr>
        <w:pStyle w:val="BodyText"/>
        <w:spacing w:before="16"/>
      </w:pPr>
      <w:r>
        <w:rPr/>
        <w:t>① 重度黄疸或黄疸迅速加重；</w:t>
      </w:r>
    </w:p>
    <w:p>
      <w:pPr>
        <w:pStyle w:val="BodyText"/>
      </w:pPr>
      <w:r>
        <w:rPr/>
        <w:t>② 肝性脑病；</w:t>
      </w:r>
    </w:p>
    <w:p>
      <w:pPr>
        <w:pStyle w:val="BodyText"/>
      </w:pPr>
      <w:r>
        <w:rPr/>
        <w:t>③ B 超或其它影像学检查显示肝脏体积急速萎缩；</w:t>
      </w:r>
    </w:p>
    <w:p>
      <w:pPr>
        <w:pStyle w:val="BodyText"/>
      </w:pPr>
      <w:r>
        <w:rPr/>
        <w:t>④ 肝功能指标进行性恶化。</w:t>
      </w:r>
    </w:p>
    <w:p>
      <w:pPr>
        <w:pStyle w:val="BodyText"/>
        <w:spacing w:before="0"/>
        <w:ind w:left="0"/>
        <w:rPr>
          <w:sz w:val="20"/>
        </w:rPr>
      </w:pPr>
    </w:p>
    <w:p>
      <w:pPr>
        <w:pStyle w:val="ListParagraph"/>
        <w:numPr>
          <w:ilvl w:val="0"/>
          <w:numId w:val="2"/>
        </w:numPr>
        <w:tabs>
          <w:tab w:pos="3469" w:val="left" w:leader="none"/>
        </w:tabs>
        <w:spacing w:line="240" w:lineRule="auto" w:before="149" w:after="0"/>
        <w:ind w:left="3469" w:right="0" w:hanging="420"/>
        <w:jc w:val="left"/>
        <w:rPr>
          <w:sz w:val="21"/>
        </w:rPr>
      </w:pPr>
      <w:r>
        <w:rPr>
          <w:spacing w:val="-1"/>
          <w:sz w:val="21"/>
        </w:rPr>
        <w:t>良性脑肿瘤</w:t>
      </w:r>
    </w:p>
    <w:p>
      <w:pPr>
        <w:pStyle w:val="BodyText"/>
        <w:spacing w:line="300" w:lineRule="auto"/>
        <w:ind w:right="99"/>
      </w:pPr>
      <w:r>
        <w:rPr>
          <w:spacing w:val="-12"/>
        </w:rPr>
        <w:t>指脑的良性肿瘤，已经引起颅内压增高，临床表现为视神经乳头水肿、</w:t>
      </w:r>
      <w:r>
        <w:rPr>
          <w:spacing w:val="-6"/>
        </w:rPr>
        <w:t>精神症状、癫痫及运动感觉障碍等，并危及生命。须由头颅断层扫描</w:t>
      </w:r>
    </w:p>
    <w:p>
      <w:pPr>
        <w:pStyle w:val="BodyText"/>
        <w:spacing w:line="300" w:lineRule="auto" w:before="16"/>
        <w:ind w:right="204"/>
      </w:pPr>
      <w:r>
        <w:rPr>
          <w:w w:val="100"/>
        </w:rPr>
        <w:t>（CT</w:t>
      </w:r>
      <w:r>
        <w:rPr>
          <w:spacing w:val="-108"/>
          <w:w w:val="100"/>
        </w:rPr>
        <w:t>）</w:t>
      </w:r>
      <w:r>
        <w:rPr>
          <w:spacing w:val="-9"/>
          <w:w w:val="100"/>
        </w:rPr>
        <w:t>、核磁共振检查</w:t>
      </w:r>
      <w:r>
        <w:rPr>
          <w:w w:val="100"/>
        </w:rPr>
        <w:t>（M</w:t>
      </w:r>
      <w:r>
        <w:rPr>
          <w:spacing w:val="-3"/>
          <w:w w:val="100"/>
        </w:rPr>
        <w:t>R</w:t>
      </w:r>
      <w:r>
        <w:rPr>
          <w:spacing w:val="-1"/>
          <w:w w:val="100"/>
        </w:rPr>
        <w:t>I</w:t>
      </w:r>
      <w:r>
        <w:rPr>
          <w:spacing w:val="-22"/>
          <w:w w:val="100"/>
        </w:rPr>
        <w:t>）</w:t>
      </w:r>
      <w:r>
        <w:rPr>
          <w:spacing w:val="-5"/>
          <w:w w:val="100"/>
        </w:rPr>
        <w:t>或正电子发射断层扫描</w:t>
      </w:r>
      <w:r>
        <w:rPr>
          <w:w w:val="100"/>
        </w:rPr>
        <w:t>（P</w:t>
      </w:r>
      <w:r>
        <w:rPr>
          <w:spacing w:val="-3"/>
          <w:w w:val="100"/>
        </w:rPr>
        <w:t>E</w:t>
      </w:r>
      <w:r>
        <w:rPr>
          <w:spacing w:val="-1"/>
          <w:w w:val="100"/>
        </w:rPr>
        <w:t>T</w:t>
      </w:r>
      <w:r>
        <w:rPr>
          <w:spacing w:val="-22"/>
          <w:w w:val="100"/>
        </w:rPr>
        <w:t>）</w:t>
      </w:r>
      <w:r>
        <w:rPr>
          <w:spacing w:val="-2"/>
          <w:w w:val="100"/>
        </w:rPr>
        <w:t>等影像学</w:t>
      </w:r>
      <w:r>
        <w:rPr>
          <w:spacing w:val="-3"/>
        </w:rPr>
        <w:t>检查证实，并须满足下列至少一项条件：</w:t>
      </w:r>
    </w:p>
    <w:p>
      <w:pPr>
        <w:pStyle w:val="BodyText"/>
        <w:spacing w:before="16"/>
      </w:pPr>
      <w:r>
        <w:rPr/>
        <w:t>① 实际实施了开颅进行的脑肿瘤完全切除或部分切除的手术；</w:t>
      </w:r>
    </w:p>
    <w:p>
      <w:pPr>
        <w:pStyle w:val="BodyText"/>
      </w:pPr>
      <w:r>
        <w:rPr/>
        <w:t>② 实际实施了对脑肿瘤进行的放射治疗。</w:t>
      </w:r>
    </w:p>
    <w:p>
      <w:pPr>
        <w:pStyle w:val="BodyText"/>
      </w:pPr>
      <w:r>
        <w:rPr/>
        <w:t>脑垂体瘤、脑囊肿、脑血管性疾病不在保障范围内。</w:t>
      </w:r>
    </w:p>
    <w:p>
      <w:pPr>
        <w:pStyle w:val="BodyText"/>
        <w:spacing w:before="0"/>
        <w:ind w:left="0"/>
        <w:rPr>
          <w:sz w:val="20"/>
        </w:rPr>
      </w:pPr>
    </w:p>
    <w:p>
      <w:pPr>
        <w:pStyle w:val="ListParagraph"/>
        <w:numPr>
          <w:ilvl w:val="0"/>
          <w:numId w:val="2"/>
        </w:numPr>
        <w:tabs>
          <w:tab w:pos="3888" w:val="left" w:leader="none"/>
          <w:tab w:pos="3889" w:val="left" w:leader="none"/>
        </w:tabs>
        <w:spacing w:line="240" w:lineRule="auto" w:before="150" w:after="0"/>
        <w:ind w:left="3889" w:right="0" w:hanging="840"/>
        <w:jc w:val="left"/>
        <w:rPr>
          <w:sz w:val="21"/>
        </w:rPr>
      </w:pPr>
      <w:r>
        <w:rPr>
          <w:spacing w:val="-3"/>
          <w:sz w:val="21"/>
        </w:rPr>
        <w:t>脑炎后遗症或脑膜炎后遗症</w:t>
      </w:r>
    </w:p>
    <w:p>
      <w:pPr>
        <w:pStyle w:val="BodyText"/>
        <w:spacing w:line="300" w:lineRule="auto"/>
        <w:ind w:right="209"/>
        <w:jc w:val="both"/>
      </w:pPr>
      <w:r>
        <w:rPr>
          <w:spacing w:val="-3"/>
        </w:rPr>
        <w:t>指因患脑炎或脑膜炎导致的神经系统永久性的功能障碍。神经系统永</w:t>
      </w:r>
      <w:r>
        <w:rPr>
          <w:spacing w:val="-6"/>
        </w:rPr>
        <w:t>久性的功能障碍，指疾病确诊 </w:t>
      </w:r>
      <w:r>
        <w:rPr/>
        <w:t>180</w:t>
      </w:r>
      <w:r>
        <w:rPr>
          <w:spacing w:val="-8"/>
        </w:rPr>
        <w:t> 天后，仍遗留下列一种或一种以上障碍：</w:t>
      </w:r>
    </w:p>
    <w:p>
      <w:pPr>
        <w:pStyle w:val="BodyText"/>
        <w:spacing w:before="16"/>
      </w:pPr>
      <w:r>
        <w:rPr/>
        <w:t>① 一肢或一肢以上肢体机能完全丧失；</w:t>
      </w:r>
    </w:p>
    <w:p>
      <w:pPr>
        <w:pStyle w:val="BodyText"/>
      </w:pPr>
      <w:r>
        <w:rPr/>
        <w:t>② 语言能力或咀嚼吞咽能力完全丧失；</w:t>
      </w:r>
    </w:p>
    <w:p>
      <w:pPr>
        <w:pStyle w:val="BodyText"/>
        <w:spacing w:line="300" w:lineRule="auto"/>
        <w:ind w:left="3409" w:right="2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1" w:after="0"/>
        <w:ind w:left="3889" w:right="0" w:hanging="840"/>
        <w:jc w:val="left"/>
        <w:rPr>
          <w:sz w:val="21"/>
        </w:rPr>
      </w:pPr>
      <w:r>
        <w:rPr>
          <w:spacing w:val="-1"/>
          <w:sz w:val="21"/>
        </w:rPr>
        <w:t>深度昏迷</w:t>
      </w:r>
    </w:p>
    <w:p>
      <w:pPr>
        <w:pStyle w:val="BodyText"/>
        <w:spacing w:line="300" w:lineRule="auto"/>
        <w:ind w:right="101"/>
      </w:pPr>
      <w:r>
        <w:rPr>
          <w:spacing w:val="-3"/>
        </w:rPr>
        <w:t>指因疾病或意外伤害导致意识丧失,对外界刺激和体内需求均无反应, 昏迷程度按照格拉斯哥昏迷分级</w:t>
      </w:r>
      <w:r>
        <w:rPr/>
        <w:t>（Glasgow</w:t>
      </w:r>
      <w:r>
        <w:rPr>
          <w:spacing w:val="2"/>
        </w:rPr>
        <w:t> </w:t>
      </w:r>
      <w:r>
        <w:rPr/>
        <w:t>coma</w:t>
      </w:r>
      <w:r>
        <w:rPr>
          <w:spacing w:val="2"/>
        </w:rPr>
        <w:t> </w:t>
      </w:r>
      <w:r>
        <w:rPr/>
        <w:t>scale）</w:t>
      </w:r>
      <w:r>
        <w:rPr>
          <w:spacing w:val="-15"/>
        </w:rPr>
        <w:t>结果为 </w:t>
      </w:r>
      <w:r>
        <w:rPr/>
        <w:t>5</w:t>
      </w:r>
      <w:r>
        <w:rPr>
          <w:spacing w:val="-27"/>
        </w:rPr>
        <w:t> 分</w:t>
      </w:r>
      <w:r>
        <w:rPr>
          <w:spacing w:val="25"/>
        </w:rPr>
        <w:t>或</w:t>
      </w:r>
      <w:r>
        <w:rPr/>
        <w:t>5</w:t>
      </w:r>
      <w:r>
        <w:rPr>
          <w:spacing w:val="-15"/>
        </w:rPr>
        <w:t> 分以下，且已经持续使用呼吸机及其它生命维持系统</w:t>
      </w:r>
      <w:r>
        <w:rPr/>
        <w:t>96</w:t>
      </w:r>
      <w:r>
        <w:rPr>
          <w:spacing w:val="-13"/>
        </w:rPr>
        <w:t> 小时以上。</w:t>
      </w:r>
      <w:r>
        <w:rPr>
          <w:spacing w:val="-6"/>
        </w:rPr>
        <w:t>因酗酒或药物滥用导致的深度昏迷不在保障范围内。</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1" w:after="0"/>
        <w:ind w:left="3889" w:right="0" w:hanging="840"/>
        <w:jc w:val="left"/>
        <w:rPr>
          <w:sz w:val="21"/>
        </w:rPr>
      </w:pPr>
      <w:r>
        <w:rPr>
          <w:spacing w:val="-1"/>
          <w:sz w:val="21"/>
        </w:rPr>
        <w:t>双耳失聪</w:t>
      </w:r>
    </w:p>
    <w:p>
      <w:pPr>
        <w:pStyle w:val="BodyText"/>
      </w:pPr>
      <w:r>
        <w:rPr/>
        <w:t>指因疾病或意外伤害导致双耳听力永久不可逆性丧失，在 500 赫兹、</w:t>
      </w:r>
    </w:p>
    <w:p>
      <w:pPr>
        <w:pStyle w:val="BodyText"/>
        <w:spacing w:line="300" w:lineRule="auto"/>
        <w:ind w:right="207"/>
      </w:pPr>
      <w:r>
        <w:rPr/>
        <w:t>1000</w:t>
      </w:r>
      <w:r>
        <w:rPr>
          <w:spacing w:val="-21"/>
        </w:rPr>
        <w:t> 赫兹和 </w:t>
      </w:r>
      <w:r>
        <w:rPr/>
        <w:t>2000</w:t>
      </w:r>
      <w:r>
        <w:rPr>
          <w:spacing w:val="-13"/>
        </w:rPr>
        <w:t> 赫兹语音频率下，平均听阈大于 </w:t>
      </w:r>
      <w:r>
        <w:rPr/>
        <w:t>90</w:t>
      </w:r>
      <w:r>
        <w:rPr>
          <w:spacing w:val="-12"/>
        </w:rPr>
        <w:t> 分贝，且经纯音</w:t>
      </w:r>
      <w:r>
        <w:rPr>
          <w:spacing w:val="-6"/>
        </w:rPr>
        <w:t>听力测试、声导抗检测或听觉诱发电位检测等证实。</w:t>
      </w:r>
    </w:p>
    <w:p>
      <w:pPr>
        <w:spacing w:after="0" w:line="300" w:lineRule="auto"/>
        <w:sectPr>
          <w:pgSz w:w="11910" w:h="16840"/>
          <w:pgMar w:header="0" w:footer="919" w:top="1580" w:bottom="1180" w:left="1200" w:right="1140"/>
        </w:sectPr>
      </w:pPr>
    </w:p>
    <w:p>
      <w:pPr>
        <w:pStyle w:val="BodyText"/>
        <w:spacing w:before="12"/>
        <w:ind w:left="0"/>
        <w:rPr>
          <w:sz w:val="26"/>
        </w:rPr>
      </w:pPr>
    </w:p>
    <w:p>
      <w:pPr>
        <w:pStyle w:val="ListParagraph"/>
        <w:numPr>
          <w:ilvl w:val="0"/>
          <w:numId w:val="2"/>
        </w:numPr>
        <w:tabs>
          <w:tab w:pos="3888" w:val="left" w:leader="none"/>
          <w:tab w:pos="3889" w:val="left" w:leader="none"/>
        </w:tabs>
        <w:spacing w:line="240" w:lineRule="auto" w:before="36" w:after="0"/>
        <w:ind w:left="3889" w:right="0" w:hanging="840"/>
        <w:jc w:val="left"/>
        <w:rPr>
          <w:sz w:val="21"/>
        </w:rPr>
      </w:pPr>
      <w:r>
        <w:rPr>
          <w:spacing w:val="-1"/>
          <w:sz w:val="21"/>
        </w:rPr>
        <w:t>双目失明</w:t>
      </w:r>
    </w:p>
    <w:p>
      <w:pPr>
        <w:pStyle w:val="BodyText"/>
        <w:spacing w:line="300" w:lineRule="auto"/>
        <w:ind w:right="207" w:firstLine="105"/>
      </w:pPr>
      <w:r>
        <w:rPr>
          <w:spacing w:val="-8"/>
        </w:rPr>
        <w:t>指因疾病或意外伤害导致双眼视力永久不可逆性丧失，双眼中较好眼</w:t>
      </w:r>
      <w:r>
        <w:rPr>
          <w:spacing w:val="-5"/>
        </w:rPr>
        <w:t>须满足下列至少一项条件：</w:t>
      </w:r>
    </w:p>
    <w:p>
      <w:pPr>
        <w:pStyle w:val="BodyText"/>
        <w:spacing w:before="16"/>
      </w:pPr>
      <w:r>
        <w:rPr/>
        <w:t>① 眼球缺失或摘除；</w:t>
      </w:r>
    </w:p>
    <w:p>
      <w:pPr>
        <w:pStyle w:val="BodyText"/>
        <w:spacing w:line="300" w:lineRule="auto"/>
        <w:ind w:left="3409" w:right="219" w:hanging="360"/>
      </w:pPr>
      <w:r>
        <w:rPr/>
        <w:t>② 矫正视力低于 0.02（</w:t>
      </w:r>
      <w:r>
        <w:rPr>
          <w:spacing w:val="-3"/>
        </w:rPr>
        <w:t>采用国际标准视力表，如果使用其它视力表</w:t>
      </w:r>
      <w:r>
        <w:rPr>
          <w:spacing w:val="-3"/>
          <w:w w:val="100"/>
        </w:rPr>
        <w:t>应进行换算</w:t>
      </w:r>
      <w:r>
        <w:rPr>
          <w:spacing w:val="-106"/>
          <w:w w:val="100"/>
        </w:rPr>
        <w:t>）</w:t>
      </w:r>
      <w:r>
        <w:rPr>
          <w:w w:val="100"/>
        </w:rPr>
        <w:t>；</w:t>
      </w:r>
    </w:p>
    <w:p>
      <w:pPr>
        <w:pStyle w:val="BodyText"/>
        <w:spacing w:before="15"/>
      </w:pPr>
      <w:r>
        <w:rPr/>
        <w:t>③ 视野半径小于 5 度。</w:t>
      </w:r>
    </w:p>
    <w:p>
      <w:pPr>
        <w:pStyle w:val="BodyText"/>
        <w:spacing w:before="0"/>
        <w:ind w:left="0"/>
        <w:rPr>
          <w:sz w:val="20"/>
        </w:rPr>
      </w:pPr>
    </w:p>
    <w:p>
      <w:pPr>
        <w:pStyle w:val="BodyText"/>
        <w:spacing w:before="7"/>
        <w:ind w:left="0"/>
        <w:rPr>
          <w:sz w:val="20"/>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z w:val="21"/>
        </w:rPr>
        <w:t>瘫痪</w:t>
      </w:r>
    </w:p>
    <w:p>
      <w:pPr>
        <w:pStyle w:val="BodyText"/>
        <w:spacing w:line="300" w:lineRule="auto" w:before="67"/>
        <w:ind w:right="101"/>
      </w:pPr>
      <w:r>
        <w:rPr>
          <w:spacing w:val="-3"/>
        </w:rPr>
        <w:t>指因疾病或意外伤害导致两肢或两肢以上肢体机能永久完全丧失。肢</w:t>
      </w:r>
      <w:r>
        <w:rPr>
          <w:spacing w:val="-15"/>
        </w:rPr>
        <w:t>体机能永久完全丧失，指疾病确诊 </w:t>
      </w:r>
      <w:r>
        <w:rPr/>
        <w:t>180</w:t>
      </w:r>
      <w:r>
        <w:rPr>
          <w:spacing w:val="-12"/>
        </w:rPr>
        <w:t> 天后或意外伤害发生 </w:t>
      </w:r>
      <w:r>
        <w:rPr/>
        <w:t>180</w:t>
      </w:r>
      <w:r>
        <w:rPr>
          <w:spacing w:val="-13"/>
        </w:rPr>
        <w:t> 天后， </w:t>
      </w:r>
      <w:r>
        <w:rPr>
          <w:spacing w:val="-6"/>
        </w:rPr>
        <w:t>每肢三大关节中的两大关节仍然完全僵硬，或不能随意识活动。</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2"/>
          <w:sz w:val="21"/>
        </w:rPr>
        <w:t>心脏瓣膜手术</w:t>
      </w:r>
    </w:p>
    <w:p>
      <w:pPr>
        <w:pStyle w:val="BodyText"/>
        <w:spacing w:line="300" w:lineRule="auto"/>
        <w:ind w:right="209"/>
      </w:pPr>
      <w:r>
        <w:rPr/>
        <w:t>指为治疗心脏瓣膜疾病，实际实施了开胸进行的心脏瓣膜置换或修复的手术。</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3"/>
          <w:sz w:val="21"/>
        </w:rPr>
        <w:t>严重阿尔茨海默病</w:t>
      </w:r>
    </w:p>
    <w:p>
      <w:pPr>
        <w:pStyle w:val="BodyText"/>
        <w:spacing w:line="300" w:lineRule="auto"/>
        <w:ind w:right="207"/>
      </w:pPr>
      <w:r>
        <w:rPr>
          <w:spacing w:val="-3"/>
        </w:rPr>
        <w:t>指因大脑进行性、不可逆性改变导致智能严重衰退或丧失，临床表现为明显的认知能力障碍、行为异常和社交能力减退，其日常生活必须</w:t>
      </w:r>
      <w:r>
        <w:rPr>
          <w:spacing w:val="-3"/>
          <w:w w:val="100"/>
        </w:rPr>
        <w:t>持续受到他人监护。须由头颅断层扫描（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9"/>
        </w:rPr>
        <w:t>（PET）</w:t>
      </w:r>
      <w:r>
        <w:rPr>
          <w:spacing w:val="-7"/>
        </w:rPr>
        <w:t>等影像学检查证实，且自主生活能力完</w:t>
      </w:r>
      <w:r>
        <w:rPr>
          <w:spacing w:val="-5"/>
        </w:rPr>
        <w:t>全丧失，无法独立完成六项基本日常生活活动中的三项或三项以上。</w:t>
      </w:r>
      <w:r>
        <w:rPr>
          <w:spacing w:val="-7"/>
        </w:rPr>
        <w:t>上述诊断必须在被保险人年满 </w:t>
      </w:r>
      <w:r>
        <w:rPr/>
        <w:t>65</w:t>
      </w:r>
      <w:r>
        <w:rPr>
          <w:spacing w:val="-9"/>
        </w:rPr>
        <w:t> 周岁后的首个保险单周年日前由专</w:t>
      </w:r>
      <w:r>
        <w:rPr>
          <w:spacing w:val="-5"/>
        </w:rPr>
        <w:t>科医生明确诊断。</w:t>
      </w:r>
    </w:p>
    <w:p>
      <w:pPr>
        <w:pStyle w:val="BodyText"/>
        <w:spacing w:before="16"/>
      </w:pPr>
      <w:r>
        <w:rPr/>
        <w:t>神经官能症和精神疾病不在保障范围内。</w:t>
      </w:r>
    </w:p>
    <w:p>
      <w:pPr>
        <w:pStyle w:val="BodyText"/>
        <w:spacing w:before="0"/>
        <w:ind w:left="0"/>
        <w:rPr>
          <w:sz w:val="20"/>
        </w:rPr>
      </w:pPr>
    </w:p>
    <w:p>
      <w:pPr>
        <w:pStyle w:val="ListParagraph"/>
        <w:numPr>
          <w:ilvl w:val="0"/>
          <w:numId w:val="2"/>
        </w:numPr>
        <w:tabs>
          <w:tab w:pos="3888" w:val="left" w:leader="none"/>
          <w:tab w:pos="3889" w:val="left" w:leader="none"/>
        </w:tabs>
        <w:spacing w:line="240" w:lineRule="auto" w:before="150" w:after="0"/>
        <w:ind w:left="3889" w:right="0" w:hanging="840"/>
        <w:jc w:val="left"/>
        <w:rPr>
          <w:sz w:val="21"/>
        </w:rPr>
      </w:pPr>
      <w:r>
        <w:rPr>
          <w:spacing w:val="-1"/>
          <w:sz w:val="21"/>
        </w:rPr>
        <w:t>严重脑损伤</w:t>
      </w:r>
    </w:p>
    <w:p>
      <w:pPr>
        <w:pStyle w:val="BodyText"/>
        <w:spacing w:line="300" w:lineRule="auto"/>
        <w:ind w:right="204"/>
        <w:jc w:val="both"/>
      </w:pPr>
      <w:r>
        <w:rPr>
          <w:spacing w:val="-3"/>
        </w:rPr>
        <w:t>指因头部遭受机械性外力，引起脑重要部位损伤，导致神经系统永久</w:t>
      </w:r>
      <w:r>
        <w:rPr>
          <w:spacing w:val="-3"/>
          <w:w w:val="100"/>
        </w:rPr>
        <w:t>性的功能障碍。须由头颅断层扫描（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2"/>
          <w:w w:val="100"/>
        </w:rPr>
        <w:t>或正</w:t>
      </w:r>
      <w:r>
        <w:rPr>
          <w:spacing w:val="-7"/>
        </w:rPr>
        <w:t>电子发射断层扫描</w:t>
      </w:r>
      <w:r>
        <w:rPr>
          <w:spacing w:val="-8"/>
        </w:rPr>
        <w:t>（PET）</w:t>
      </w:r>
      <w:r>
        <w:rPr>
          <w:spacing w:val="-7"/>
        </w:rPr>
        <w:t>等影像学检查证实。神经系统永久性的功能</w:t>
      </w:r>
      <w:r>
        <w:rPr>
          <w:spacing w:val="-9"/>
        </w:rPr>
        <w:t>障碍，指脑损伤 </w:t>
      </w:r>
      <w:r>
        <w:rPr/>
        <w:t>180</w:t>
      </w:r>
      <w:r>
        <w:rPr>
          <w:spacing w:val="-8"/>
        </w:rPr>
        <w:t> 天后，仍遗留下列一种或一种以上障碍：</w:t>
      </w:r>
    </w:p>
    <w:p>
      <w:pPr>
        <w:pStyle w:val="BodyText"/>
        <w:spacing w:before="16"/>
      </w:pPr>
      <w:r>
        <w:rPr/>
        <w:t>① 一肢或一肢以上肢体机能完全丧失；</w:t>
      </w:r>
    </w:p>
    <w:p>
      <w:pPr>
        <w:pStyle w:val="BodyText"/>
      </w:pPr>
      <w:r>
        <w:rPr/>
        <w:t>② 语言能力或咀嚼吞咽能力完全丧失；</w:t>
      </w:r>
    </w:p>
    <w:p>
      <w:pPr>
        <w:pStyle w:val="BodyText"/>
        <w:spacing w:line="300" w:lineRule="auto"/>
        <w:ind w:left="3409" w:right="269" w:hanging="360"/>
      </w:pPr>
      <w:r>
        <w:rPr/>
        <w:t>③ 自主生活能力完全丧失，无法独立完成六项基本日常生活活动中的三项或三项以上。</w:t>
      </w:r>
    </w:p>
    <w:p>
      <w:pPr>
        <w:spacing w:after="0" w:line="300" w:lineRule="auto"/>
        <w:sectPr>
          <w:pgSz w:w="11910" w:h="16840"/>
          <w:pgMar w:header="0" w:footer="919" w:top="1580" w:bottom="1180" w:left="1200" w:right="1140"/>
        </w:sectPr>
      </w:pPr>
    </w:p>
    <w:p>
      <w:pPr>
        <w:pStyle w:val="BodyText"/>
        <w:spacing w:before="12"/>
        <w:ind w:left="0"/>
        <w:rPr>
          <w:sz w:val="26"/>
        </w:rPr>
      </w:pPr>
    </w:p>
    <w:p>
      <w:pPr>
        <w:pStyle w:val="ListParagraph"/>
        <w:numPr>
          <w:ilvl w:val="0"/>
          <w:numId w:val="2"/>
        </w:numPr>
        <w:tabs>
          <w:tab w:pos="3888" w:val="left" w:leader="none"/>
          <w:tab w:pos="3889" w:val="left" w:leader="none"/>
        </w:tabs>
        <w:spacing w:line="240" w:lineRule="auto" w:before="36" w:after="0"/>
        <w:ind w:left="3889" w:right="0" w:hanging="840"/>
        <w:jc w:val="left"/>
        <w:rPr>
          <w:sz w:val="21"/>
        </w:rPr>
      </w:pPr>
      <w:r>
        <w:rPr>
          <w:spacing w:val="-2"/>
          <w:sz w:val="21"/>
        </w:rPr>
        <w:t>严重帕金森病</w:t>
      </w:r>
    </w:p>
    <w:p>
      <w:pPr>
        <w:pStyle w:val="BodyText"/>
        <w:spacing w:line="300" w:lineRule="auto"/>
        <w:ind w:right="209"/>
      </w:pPr>
      <w:r>
        <w:rPr/>
        <w:t>是指一种中枢神经系统的退行性疾病，临床表现为震颤麻痹、共济失调等。须满足下列全部条件：</w:t>
      </w:r>
    </w:p>
    <w:p>
      <w:pPr>
        <w:pStyle w:val="BodyText"/>
        <w:spacing w:before="16"/>
      </w:pPr>
      <w:r>
        <w:rPr/>
        <w:t>① 药物治疗无法控制病情；</w:t>
      </w:r>
    </w:p>
    <w:p>
      <w:pPr>
        <w:pStyle w:val="BodyText"/>
        <w:spacing w:line="300" w:lineRule="auto"/>
        <w:ind w:left="3409" w:right="269" w:hanging="360"/>
      </w:pPr>
      <w:r>
        <w:rPr/>
        <w:t>② 自主生活能力完全丧失，无法独立完成六项基本日常生活活动中的三项或三项以上。</w:t>
      </w:r>
    </w:p>
    <w:p>
      <w:pPr>
        <w:pStyle w:val="BodyText"/>
        <w:spacing w:line="300" w:lineRule="auto" w:before="15"/>
        <w:ind w:right="315"/>
      </w:pPr>
      <w:r>
        <w:rPr>
          <w:spacing w:val="-6"/>
        </w:rPr>
        <w:t>上述诊断必须在被保险人年满 </w:t>
      </w:r>
      <w:r>
        <w:rPr/>
        <w:t>65</w:t>
      </w:r>
      <w:r>
        <w:rPr>
          <w:spacing w:val="-8"/>
        </w:rPr>
        <w:t> 周岁后的首个保险单周年日前由专</w:t>
      </w:r>
      <w:r>
        <w:rPr>
          <w:spacing w:val="-5"/>
        </w:rPr>
        <w:t>科医生明确诊断。</w:t>
      </w:r>
    </w:p>
    <w:p>
      <w:pPr>
        <w:pStyle w:val="BodyText"/>
        <w:spacing w:before="15"/>
      </w:pPr>
      <w:r>
        <w:rPr/>
        <w:t>继发性帕金森综合征不在保障范围内。</w:t>
      </w:r>
    </w:p>
    <w:p>
      <w:pPr>
        <w:pStyle w:val="BodyText"/>
        <w:spacing w:before="0"/>
        <w:ind w:left="0"/>
        <w:rPr>
          <w:sz w:val="20"/>
        </w:rPr>
      </w:pPr>
    </w:p>
    <w:p>
      <w:pPr>
        <w:pStyle w:val="ListParagraph"/>
        <w:numPr>
          <w:ilvl w:val="0"/>
          <w:numId w:val="2"/>
        </w:numPr>
        <w:tabs>
          <w:tab w:pos="3888" w:val="left" w:leader="none"/>
          <w:tab w:pos="3889" w:val="left" w:leader="none"/>
        </w:tabs>
        <w:spacing w:line="240" w:lineRule="auto" w:before="150" w:after="0"/>
        <w:ind w:left="3889" w:right="0" w:hanging="840"/>
        <w:jc w:val="left"/>
        <w:rPr>
          <w:sz w:val="21"/>
        </w:rPr>
      </w:pPr>
      <w:r>
        <w:rPr>
          <w:spacing w:val="-2"/>
          <w:sz w:val="21"/>
        </w:rPr>
        <w:t>严重Ⅲ度烧伤</w:t>
      </w:r>
    </w:p>
    <w:p>
      <w:pPr>
        <w:pStyle w:val="BodyText"/>
      </w:pPr>
      <w:r>
        <w:rPr/>
        <w:t>指烧伤程度为Ⅲ度，且Ⅲ度烧伤的面积达到全身体表面积的 20％或</w:t>
      </w:r>
    </w:p>
    <w:p>
      <w:pPr>
        <w:pStyle w:val="BodyText"/>
      </w:pPr>
      <w:r>
        <w:rPr/>
        <w:t>20％以上。体表面积根据《中国新九分法》计算。</w:t>
      </w:r>
    </w:p>
    <w:p>
      <w:pPr>
        <w:pStyle w:val="BodyText"/>
        <w:spacing w:before="0"/>
        <w:ind w:left="0"/>
        <w:rPr>
          <w:sz w:val="20"/>
        </w:rPr>
      </w:pPr>
    </w:p>
    <w:p>
      <w:pPr>
        <w:pStyle w:val="ListParagraph"/>
        <w:numPr>
          <w:ilvl w:val="0"/>
          <w:numId w:val="2"/>
        </w:numPr>
        <w:tabs>
          <w:tab w:pos="3888" w:val="left" w:leader="none"/>
          <w:tab w:pos="3889" w:val="left" w:leader="none"/>
        </w:tabs>
        <w:spacing w:line="240" w:lineRule="auto" w:before="150" w:after="0"/>
        <w:ind w:left="3889" w:right="0" w:hanging="840"/>
        <w:jc w:val="left"/>
        <w:rPr>
          <w:sz w:val="21"/>
        </w:rPr>
      </w:pPr>
      <w:r>
        <w:rPr>
          <w:spacing w:val="-3"/>
          <w:sz w:val="21"/>
        </w:rPr>
        <w:t>严重原发性肺动脉高压</w:t>
      </w:r>
    </w:p>
    <w:p>
      <w:pPr>
        <w:pStyle w:val="BodyText"/>
        <w:spacing w:line="300" w:lineRule="auto"/>
        <w:ind w:right="101"/>
      </w:pPr>
      <w:r>
        <w:rPr>
          <w:spacing w:val="-9"/>
        </w:rPr>
        <w:t>指不明原因的肺动脉压力持续性增高，进行性发展而导致的慢性疾病， </w:t>
      </w:r>
      <w:r>
        <w:rPr>
          <w:spacing w:val="-5"/>
        </w:rPr>
        <w:t>已经造成永久不可逆性的体力活动能力受限，达到美国纽约心脏病学</w:t>
      </w:r>
      <w:r>
        <w:rPr>
          <w:spacing w:val="-9"/>
        </w:rPr>
        <w:t>会心功能状态分级 </w:t>
      </w:r>
      <w:r>
        <w:rPr/>
        <w:t>IV</w:t>
      </w:r>
      <w:r>
        <w:rPr>
          <w:spacing w:val="-11"/>
        </w:rPr>
        <w:t> 级，且静息状态下肺动脉平均压超过 </w:t>
      </w:r>
      <w:r>
        <w:rPr/>
        <w:t>30mmHg。</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3"/>
          <w:sz w:val="21"/>
        </w:rPr>
        <w:t>严重运动神经元病</w:t>
      </w:r>
    </w:p>
    <w:p>
      <w:pPr>
        <w:pStyle w:val="BodyText"/>
        <w:spacing w:line="300" w:lineRule="auto"/>
        <w:ind w:right="20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2"/>
          <w:sz w:val="21"/>
        </w:rPr>
        <w:t>语言能力丧失</w:t>
      </w:r>
    </w:p>
    <w:p>
      <w:pPr>
        <w:pStyle w:val="BodyText"/>
        <w:spacing w:line="300" w:lineRule="auto"/>
        <w:ind w:right="101"/>
      </w:pPr>
      <w:r>
        <w:rPr>
          <w:spacing w:val="-1"/>
        </w:rPr>
        <w:t>指因疾病或意外伤害导致完全丧失语言能力，经过积极治疗至少 </w:t>
      </w:r>
      <w:r>
        <w:rPr>
          <w:spacing w:val="-3"/>
        </w:rPr>
        <w:t>12 </w:t>
      </w:r>
      <w:r>
        <w:rPr>
          <w:spacing w:val="-52"/>
        </w:rPr>
        <w:t>个月</w:t>
      </w:r>
      <w:r>
        <w:rPr>
          <w:spacing w:val="-3"/>
        </w:rPr>
        <w:t>（声带完全切除不受此时间限制</w:t>
      </w:r>
      <w:r>
        <w:rPr>
          <w:spacing w:val="-106"/>
        </w:rPr>
        <w:t>），</w:t>
      </w:r>
      <w:r>
        <w:rPr>
          <w:spacing w:val="-3"/>
        </w:rPr>
        <w:t>仍无法通过现有医疗手段恢复。精神心理因素所致的语言能力丧失不在保障范围内。</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1" w:after="0"/>
        <w:ind w:left="3889" w:right="0" w:hanging="840"/>
        <w:jc w:val="left"/>
        <w:rPr>
          <w:sz w:val="21"/>
        </w:rPr>
      </w:pPr>
      <w:r>
        <w:rPr>
          <w:spacing w:val="-3"/>
          <w:sz w:val="21"/>
        </w:rPr>
        <w:t>重型再生障碍性贫血</w:t>
      </w:r>
    </w:p>
    <w:p>
      <w:pPr>
        <w:pStyle w:val="BodyText"/>
        <w:spacing w:line="300" w:lineRule="auto"/>
        <w:ind w:right="209"/>
      </w:pPr>
      <w:r>
        <w:rPr/>
        <w:t>指因骨髓造血功能慢性持续性衰竭导致的贫血、中性粒细胞减少及血小板减少。须满足下列全部条件：</w:t>
      </w:r>
    </w:p>
    <w:p>
      <w:pPr>
        <w:pStyle w:val="BodyText"/>
        <w:spacing w:before="15"/>
      </w:pPr>
      <w:r>
        <w:rPr/>
        <w:t>① 骨髓穿刺检查或骨髓活检结果支持诊断；</w:t>
      </w:r>
    </w:p>
    <w:p>
      <w:pPr>
        <w:pStyle w:val="BodyText"/>
      </w:pPr>
      <w:r>
        <w:rPr/>
        <w:t>② 外周血象须具备以下三项条件：</w:t>
      </w:r>
    </w:p>
    <w:p>
      <w:pPr>
        <w:pStyle w:val="ListParagraph"/>
        <w:numPr>
          <w:ilvl w:val="0"/>
          <w:numId w:val="3"/>
        </w:numPr>
        <w:tabs>
          <w:tab w:pos="3468" w:val="left" w:leader="none"/>
          <w:tab w:pos="3469" w:val="left" w:leader="none"/>
        </w:tabs>
        <w:spacing w:line="240" w:lineRule="auto" w:before="68" w:after="0"/>
        <w:ind w:left="3469" w:right="0" w:hanging="420"/>
        <w:jc w:val="left"/>
        <w:rPr>
          <w:sz w:val="21"/>
        </w:rPr>
      </w:pPr>
      <w:r>
        <w:rPr>
          <w:spacing w:val="-3"/>
          <w:sz w:val="21"/>
        </w:rPr>
        <w:t>中性粒细胞绝对值≤</w:t>
      </w:r>
      <w:r>
        <w:rPr>
          <w:sz w:val="21"/>
        </w:rPr>
        <w:t>0.5×10</w:t>
      </w:r>
      <w:r>
        <w:rPr>
          <w:position w:val="11"/>
          <w:sz w:val="11"/>
        </w:rPr>
        <w:t>9</w:t>
      </w:r>
      <w:r>
        <w:rPr>
          <w:sz w:val="21"/>
        </w:rPr>
        <w:t>/L</w:t>
      </w:r>
      <w:r>
        <w:rPr>
          <w:spacing w:val="2"/>
          <w:sz w:val="21"/>
        </w:rPr>
        <w:t> ；</w:t>
      </w:r>
    </w:p>
    <w:p>
      <w:pPr>
        <w:pStyle w:val="ListParagraph"/>
        <w:numPr>
          <w:ilvl w:val="0"/>
          <w:numId w:val="3"/>
        </w:numPr>
        <w:tabs>
          <w:tab w:pos="3468" w:val="left" w:leader="none"/>
          <w:tab w:pos="3469" w:val="left" w:leader="none"/>
        </w:tabs>
        <w:spacing w:line="240" w:lineRule="auto" w:before="68" w:after="0"/>
        <w:ind w:left="3469" w:right="0" w:hanging="420"/>
        <w:jc w:val="left"/>
        <w:rPr>
          <w:sz w:val="21"/>
        </w:rPr>
      </w:pPr>
      <w:r>
        <w:rPr>
          <w:spacing w:val="-3"/>
          <w:sz w:val="21"/>
        </w:rPr>
        <w:t>网织红细胞＜</w:t>
      </w:r>
      <w:r>
        <w:rPr>
          <w:spacing w:val="-1"/>
          <w:sz w:val="21"/>
        </w:rPr>
        <w:t>1%；</w:t>
      </w:r>
    </w:p>
    <w:p>
      <w:pPr>
        <w:spacing w:after="0" w:line="240" w:lineRule="auto"/>
        <w:jc w:val="left"/>
        <w:rPr>
          <w:sz w:val="21"/>
        </w:rPr>
        <w:sectPr>
          <w:pgSz w:w="11910" w:h="16840"/>
          <w:pgMar w:header="0" w:footer="919" w:top="1580" w:bottom="1180" w:left="1200" w:right="1140"/>
        </w:sectPr>
      </w:pPr>
    </w:p>
    <w:p>
      <w:pPr>
        <w:pStyle w:val="BodyText"/>
        <w:spacing w:before="1"/>
        <w:ind w:left="0"/>
        <w:rPr>
          <w:sz w:val="25"/>
        </w:rPr>
      </w:pPr>
    </w:p>
    <w:p>
      <w:pPr>
        <w:pStyle w:val="ListParagraph"/>
        <w:numPr>
          <w:ilvl w:val="0"/>
          <w:numId w:val="3"/>
        </w:numPr>
        <w:tabs>
          <w:tab w:pos="3468" w:val="left" w:leader="none"/>
          <w:tab w:pos="3469" w:val="left" w:leader="none"/>
        </w:tabs>
        <w:spacing w:line="240" w:lineRule="auto" w:before="60" w:after="0"/>
        <w:ind w:left="3469" w:right="0" w:hanging="420"/>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before="5"/>
        <w:ind w:left="0"/>
        <w:rPr>
          <w:sz w:val="31"/>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1"/>
          <w:sz w:val="21"/>
        </w:rPr>
        <w:t>主动脉手术</w:t>
      </w:r>
    </w:p>
    <w:p>
      <w:pPr>
        <w:pStyle w:val="BodyText"/>
        <w:spacing w:line="300" w:lineRule="auto"/>
        <w:ind w:right="109"/>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6"/>
      </w:pPr>
      <w:r>
        <w:rPr/>
        <w:t>动脉内血管成形术不在保障范围内。</w:t>
      </w:r>
    </w:p>
    <w:p>
      <w:pPr>
        <w:pStyle w:val="BodyText"/>
        <w:spacing w:before="0"/>
        <w:ind w:left="0"/>
        <w:rPr>
          <w:sz w:val="20"/>
        </w:rPr>
      </w:pPr>
    </w:p>
    <w:p>
      <w:pPr>
        <w:pStyle w:val="BodyText"/>
        <w:tabs>
          <w:tab w:pos="3468" w:val="left" w:leader="none"/>
        </w:tabs>
        <w:spacing w:line="300" w:lineRule="auto" w:before="150"/>
        <w:ind w:left="3469" w:right="162" w:hanging="420"/>
      </w:pPr>
      <w:r>
        <w:rPr/>
        <w:t>2.</w:t>
        <w:tab/>
        <w:t>6</w:t>
      </w:r>
      <w:r>
        <w:rPr>
          <w:spacing w:val="-5"/>
        </w:rPr>
        <w:t> 种中国保险行业协会推荐范围以外的疾病是指符合下列条件的疾病：</w:t>
      </w:r>
    </w:p>
    <w:p>
      <w:pPr>
        <w:pStyle w:val="BodyText"/>
        <w:spacing w:before="6"/>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2"/>
          <w:sz w:val="21"/>
        </w:rPr>
        <w:t>严重多发性硬化</w:t>
      </w:r>
    </w:p>
    <w:p>
      <w:pPr>
        <w:pStyle w:val="BodyText"/>
        <w:spacing w:line="300" w:lineRule="auto"/>
        <w:ind w:right="109"/>
        <w:jc w:val="both"/>
      </w:pPr>
      <w:r>
        <w:rPr>
          <w:spacing w:val="-3"/>
        </w:rPr>
        <w:t>指一种中枢神经系统脱髓鞘性疾病而导致的身体部位永久不可逆的功</w:t>
      </w:r>
      <w:r>
        <w:rPr>
          <w:spacing w:val="-6"/>
        </w:rPr>
        <w:t>能障碍。永久性功能障碍是指被保险人 </w:t>
      </w:r>
      <w:r>
        <w:rPr/>
        <w:t>180</w:t>
      </w:r>
      <w:r>
        <w:rPr>
          <w:spacing w:val="-8"/>
        </w:rPr>
        <w:t> 天以上持续性的自主生活</w:t>
      </w:r>
      <w:r>
        <w:rPr>
          <w:spacing w:val="-5"/>
        </w:rPr>
        <w:t>能力完全丧失，从而无法独立完成六项基本日常生活活动的三项或三</w:t>
      </w:r>
      <w:r>
        <w:rPr>
          <w:spacing w:val="-4"/>
        </w:rPr>
        <w:t>项以上。</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3"/>
          <w:sz w:val="21"/>
        </w:rPr>
        <w:t>严重肌营养不良症</w:t>
      </w:r>
    </w:p>
    <w:p>
      <w:pPr>
        <w:pStyle w:val="BodyText"/>
        <w:spacing w:line="300" w:lineRule="auto" w:before="67"/>
        <w:ind w:right="109"/>
      </w:pPr>
      <w:r>
        <w:rPr/>
        <w:t>是一组以与神经系统无关的肌肉无力及萎缩为特征的遗传性疾病，并导致永久性运动功能障碍。须满足下列全部条件：</w:t>
      </w:r>
    </w:p>
    <w:p>
      <w:pPr>
        <w:pStyle w:val="BodyText"/>
        <w:tabs>
          <w:tab w:pos="3468" w:val="left" w:leader="none"/>
        </w:tabs>
        <w:spacing w:before="15"/>
      </w:pPr>
      <w:r>
        <w:rPr/>
        <w:t>①</w:t>
        <w:tab/>
      </w:r>
      <w:r>
        <w:rPr>
          <w:spacing w:val="-3"/>
        </w:rPr>
        <w:t>肌电图显示肌营养不良症的特征性改变；</w:t>
      </w:r>
    </w:p>
    <w:p>
      <w:pPr>
        <w:pStyle w:val="BodyText"/>
        <w:tabs>
          <w:tab w:pos="3468" w:val="left" w:leader="none"/>
        </w:tabs>
        <w:spacing w:line="300" w:lineRule="auto"/>
        <w:ind w:left="3469" w:right="109" w:hanging="420"/>
      </w:pPr>
      <w:r>
        <w:rPr/>
        <w:t>②</w:t>
        <w:tab/>
      </w:r>
      <w:r>
        <w:rPr>
          <w:spacing w:val="-3"/>
        </w:rPr>
        <w:t>肌肉活体组织检查的病理学诊断符合肌营养不良症的肌肉细胞变 性、坏死等阳性改变；</w:t>
      </w:r>
    </w:p>
    <w:p>
      <w:pPr>
        <w:pStyle w:val="BodyText"/>
        <w:tabs>
          <w:tab w:pos="3468" w:val="left" w:leader="none"/>
        </w:tabs>
        <w:spacing w:line="300" w:lineRule="auto" w:before="15"/>
        <w:ind w:left="3469" w:right="109" w:hanging="420"/>
      </w:pPr>
      <w:r>
        <w:rPr/>
        <w:t>③</w:t>
        <w:tab/>
      </w:r>
      <w:r>
        <w:rPr>
          <w:spacing w:val="-9"/>
        </w:rPr>
        <w:t>被保险人 </w:t>
      </w:r>
      <w:r>
        <w:rPr/>
        <w:t>180</w:t>
      </w:r>
      <w:r>
        <w:rPr>
          <w:spacing w:val="-7"/>
        </w:rPr>
        <w:t> 天以上持续性的自主生活能力完全丧失，从而无法</w:t>
      </w:r>
      <w:r>
        <w:rPr>
          <w:spacing w:val="-5"/>
        </w:rPr>
        <w:t>独立完成六项基本日常生活活动的三项或三项以上。</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2"/>
          <w:sz w:val="21"/>
        </w:rPr>
        <w:t>去皮质综合征</w:t>
      </w:r>
      <w:r>
        <w:rPr>
          <w:spacing w:val="-3"/>
          <w:sz w:val="21"/>
        </w:rPr>
        <w:t>（植物人状态</w:t>
      </w:r>
      <w:r>
        <w:rPr>
          <w:sz w:val="21"/>
        </w:rPr>
        <w:t>）</w:t>
      </w:r>
    </w:p>
    <w:p>
      <w:pPr>
        <w:pStyle w:val="BodyText"/>
        <w:spacing w:line="300" w:lineRule="auto"/>
        <w:ind w:right="106"/>
      </w:pPr>
      <w:r>
        <w:rPr>
          <w:spacing w:val="-3"/>
        </w:rPr>
        <w:t>是指脑皮质广泛性坏死而导致对自身及周边的认知能力完全丧失,但</w:t>
      </w:r>
      <w:r>
        <w:rPr>
          <w:spacing w:val="-3"/>
          <w:w w:val="100"/>
        </w:rPr>
        <w:t>脑干功能依然存在。须由头颅断层扫描（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9"/>
        </w:rPr>
        <w:t>（PET）</w:t>
      </w:r>
      <w:r>
        <w:rPr>
          <w:spacing w:val="-7"/>
        </w:rPr>
        <w:t>等影像学检查证实。上述情况必须有至</w:t>
      </w:r>
      <w:r>
        <w:rPr>
          <w:spacing w:val="-5"/>
        </w:rPr>
        <w:t>少一个月的病历记录加以证实。</w:t>
      </w:r>
    </w:p>
    <w:p>
      <w:pPr>
        <w:pStyle w:val="BodyText"/>
        <w:spacing w:before="6"/>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2"/>
          <w:sz w:val="21"/>
        </w:rPr>
        <w:t>系统性红斑狼疮</w:t>
      </w:r>
    </w:p>
    <w:p>
      <w:pPr>
        <w:pStyle w:val="BodyText"/>
        <w:spacing w:line="300" w:lineRule="auto"/>
        <w:ind w:right="107"/>
        <w:jc w:val="both"/>
      </w:pPr>
      <w:r>
        <w:rPr>
          <w:spacing w:val="-3"/>
        </w:rPr>
        <w:t>系统性红斑狼疮是指由于病理性自身抗体和免疫复合物的沉积破坏了血管和细胞而导致的累及多系统损害的一种自体免疫性疾病。本疾病</w:t>
      </w:r>
      <w:r>
        <w:rPr>
          <w:spacing w:val="-12"/>
        </w:rPr>
        <w:t>应符合 </w:t>
      </w:r>
      <w:r>
        <w:rPr/>
        <w:t>1997</w:t>
      </w:r>
      <w:r>
        <w:rPr>
          <w:spacing w:val="-13"/>
        </w:rPr>
        <w:t> 年美国风湿病学会修订的系统性红斑狼疮标准，同时本保</w:t>
      </w:r>
      <w:r>
        <w:rPr>
          <w:spacing w:val="-6"/>
        </w:rPr>
        <w:t>障仅限于被保险人因系统性红斑狼疮并发狼疮性肾炎并引起肾功能损</w:t>
      </w:r>
    </w:p>
    <w:p>
      <w:pPr>
        <w:spacing w:after="0" w:line="300" w:lineRule="auto"/>
        <w:jc w:val="both"/>
        <w:sectPr>
          <w:pgSz w:w="11910" w:h="16840"/>
          <w:pgMar w:header="0" w:footer="919" w:top="1580" w:bottom="1180" w:left="1200" w:right="12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525"/>
        <w:gridCol w:w="6972"/>
      </w:tblGrid>
      <w:tr>
        <w:trPr>
          <w:trHeight w:val="10379" w:hRule="atLeast"/>
        </w:trPr>
        <w:tc>
          <w:tcPr>
            <w:tcW w:w="735" w:type="dxa"/>
          </w:tcPr>
          <w:p>
            <w:pPr>
              <w:pStyle w:val="TableParagraph"/>
              <w:ind w:left="0"/>
              <w:rPr>
                <w:rFonts w:ascii="Times New Roman"/>
                <w:sz w:val="20"/>
              </w:rPr>
            </w:pPr>
          </w:p>
        </w:tc>
        <w:tc>
          <w:tcPr>
            <w:tcW w:w="1525" w:type="dxa"/>
          </w:tcPr>
          <w:p>
            <w:pPr>
              <w:pStyle w:val="TableParagraph"/>
              <w:ind w:left="0"/>
              <w:rPr>
                <w:rFonts w:ascii="Times New Roman"/>
                <w:sz w:val="20"/>
              </w:rPr>
            </w:pPr>
          </w:p>
        </w:tc>
        <w:tc>
          <w:tcPr>
            <w:tcW w:w="6972" w:type="dxa"/>
          </w:tcPr>
          <w:p>
            <w:pPr>
              <w:pStyle w:val="TableParagraph"/>
              <w:spacing w:line="211" w:lineRule="exact"/>
              <w:ind w:left="359"/>
              <w:rPr>
                <w:sz w:val="21"/>
              </w:rPr>
            </w:pPr>
            <w:r>
              <w:rPr>
                <w:sz w:val="21"/>
              </w:rPr>
              <w:t>害，且肾脏病理诊断符合以下列明的世界卫生组织（WHO）对狼疮性肾</w:t>
            </w:r>
          </w:p>
          <w:p>
            <w:pPr>
              <w:pStyle w:val="TableParagraph"/>
              <w:spacing w:line="300" w:lineRule="auto" w:before="68"/>
              <w:ind w:left="359" w:right="302"/>
              <w:rPr>
                <w:sz w:val="21"/>
              </w:rPr>
            </w:pPr>
            <w:r>
              <w:rPr>
                <w:spacing w:val="-8"/>
                <w:sz w:val="21"/>
              </w:rPr>
              <w:t>炎所分类中的第 </w:t>
            </w:r>
            <w:r>
              <w:rPr>
                <w:sz w:val="21"/>
              </w:rPr>
              <w:t>III</w:t>
            </w:r>
            <w:r>
              <w:rPr>
                <w:spacing w:val="-24"/>
                <w:sz w:val="21"/>
              </w:rPr>
              <w:t>、</w:t>
            </w:r>
            <w:r>
              <w:rPr>
                <w:spacing w:val="-3"/>
                <w:sz w:val="21"/>
              </w:rPr>
              <w:t>IV</w:t>
            </w:r>
            <w:r>
              <w:rPr>
                <w:spacing w:val="-27"/>
                <w:sz w:val="21"/>
              </w:rPr>
              <w:t>、</w:t>
            </w:r>
            <w:r>
              <w:rPr>
                <w:sz w:val="21"/>
              </w:rPr>
              <w:t>V</w:t>
            </w:r>
            <w:r>
              <w:rPr>
                <w:spacing w:val="-24"/>
                <w:sz w:val="21"/>
              </w:rPr>
              <w:t>、</w:t>
            </w:r>
            <w:r>
              <w:rPr>
                <w:sz w:val="21"/>
              </w:rPr>
              <w:t>VI</w:t>
            </w:r>
            <w:r>
              <w:rPr>
                <w:spacing w:val="-10"/>
                <w:sz w:val="21"/>
              </w:rPr>
              <w:t> 型。诊断须由有资格的风湿和免疫病</w:t>
            </w:r>
            <w:r>
              <w:rPr>
                <w:spacing w:val="-5"/>
                <w:sz w:val="21"/>
              </w:rPr>
              <w:t>专科医生确认。</w:t>
            </w:r>
          </w:p>
          <w:p>
            <w:pPr>
              <w:pStyle w:val="TableParagraph"/>
              <w:spacing w:before="15"/>
              <w:ind w:left="359"/>
              <w:rPr>
                <w:sz w:val="21"/>
              </w:rPr>
            </w:pPr>
            <w:r>
              <w:rPr>
                <w:sz w:val="21"/>
              </w:rPr>
              <w:t>世界卫生组织（WHO）对狼疮性肾炎的分类标准：</w:t>
            </w:r>
          </w:p>
          <w:p>
            <w:pPr>
              <w:pStyle w:val="TableParagraph"/>
              <w:numPr>
                <w:ilvl w:val="0"/>
                <w:numId w:val="4"/>
              </w:numPr>
              <w:tabs>
                <w:tab w:pos="571" w:val="left" w:leader="none"/>
              </w:tabs>
              <w:spacing w:line="240" w:lineRule="auto" w:before="68" w:after="0"/>
              <w:ind w:left="570" w:right="0" w:hanging="211"/>
              <w:jc w:val="left"/>
              <w:rPr>
                <w:sz w:val="21"/>
              </w:rPr>
            </w:pPr>
            <w:r>
              <w:rPr>
                <w:spacing w:val="-3"/>
                <w:sz w:val="21"/>
              </w:rPr>
              <w:t>型–正常肾小球型；</w:t>
            </w:r>
          </w:p>
          <w:p>
            <w:pPr>
              <w:pStyle w:val="TableParagraph"/>
              <w:numPr>
                <w:ilvl w:val="0"/>
                <w:numId w:val="4"/>
              </w:numPr>
              <w:tabs>
                <w:tab w:pos="624" w:val="left" w:leader="none"/>
              </w:tabs>
              <w:spacing w:line="240" w:lineRule="auto" w:before="68" w:after="0"/>
              <w:ind w:left="623" w:right="0" w:hanging="264"/>
              <w:jc w:val="left"/>
              <w:rPr>
                <w:sz w:val="21"/>
              </w:rPr>
            </w:pPr>
            <w:r>
              <w:rPr>
                <w:spacing w:val="-3"/>
                <w:sz w:val="21"/>
              </w:rPr>
              <w:t>型–系膜增生型；</w:t>
            </w:r>
          </w:p>
          <w:p>
            <w:pPr>
              <w:pStyle w:val="TableParagraph"/>
              <w:numPr>
                <w:ilvl w:val="0"/>
                <w:numId w:val="4"/>
              </w:numPr>
              <w:tabs>
                <w:tab w:pos="730" w:val="left" w:leader="none"/>
              </w:tabs>
              <w:spacing w:line="240" w:lineRule="auto" w:before="68" w:after="0"/>
              <w:ind w:left="729" w:right="0" w:hanging="370"/>
              <w:jc w:val="left"/>
              <w:rPr>
                <w:sz w:val="21"/>
              </w:rPr>
            </w:pPr>
            <w:r>
              <w:rPr>
                <w:spacing w:val="-3"/>
                <w:sz w:val="21"/>
              </w:rPr>
              <w:t>型–局灶节段增生型；</w:t>
            </w:r>
          </w:p>
          <w:p>
            <w:pPr>
              <w:pStyle w:val="TableParagraph"/>
              <w:numPr>
                <w:ilvl w:val="0"/>
                <w:numId w:val="4"/>
              </w:numPr>
              <w:tabs>
                <w:tab w:pos="624" w:val="left" w:leader="none"/>
              </w:tabs>
              <w:spacing w:line="240" w:lineRule="auto" w:before="68" w:after="0"/>
              <w:ind w:left="623" w:right="0" w:hanging="264"/>
              <w:jc w:val="left"/>
              <w:rPr>
                <w:sz w:val="21"/>
              </w:rPr>
            </w:pPr>
            <w:r>
              <w:rPr>
                <w:spacing w:val="-3"/>
                <w:sz w:val="21"/>
              </w:rPr>
              <w:t>型–弥漫增生型；</w:t>
            </w:r>
          </w:p>
          <w:p>
            <w:pPr>
              <w:pStyle w:val="TableParagraph"/>
              <w:numPr>
                <w:ilvl w:val="0"/>
                <w:numId w:val="4"/>
              </w:numPr>
              <w:tabs>
                <w:tab w:pos="519" w:val="left" w:leader="none"/>
              </w:tabs>
              <w:spacing w:line="240" w:lineRule="auto" w:before="68" w:after="0"/>
              <w:ind w:left="518" w:right="0" w:hanging="159"/>
              <w:jc w:val="left"/>
              <w:rPr>
                <w:sz w:val="21"/>
              </w:rPr>
            </w:pPr>
            <w:r>
              <w:rPr>
                <w:spacing w:val="-3"/>
                <w:sz w:val="21"/>
              </w:rPr>
              <w:t>型–膜型；</w:t>
            </w:r>
          </w:p>
          <w:p>
            <w:pPr>
              <w:pStyle w:val="TableParagraph"/>
              <w:numPr>
                <w:ilvl w:val="0"/>
                <w:numId w:val="4"/>
              </w:numPr>
              <w:tabs>
                <w:tab w:pos="624" w:val="left" w:leader="none"/>
              </w:tabs>
              <w:spacing w:line="240" w:lineRule="auto" w:before="68" w:after="0"/>
              <w:ind w:left="623" w:right="0" w:hanging="264"/>
              <w:jc w:val="left"/>
              <w:rPr>
                <w:sz w:val="21"/>
              </w:rPr>
            </w:pPr>
            <w:r>
              <w:rPr>
                <w:spacing w:val="-3"/>
                <w:sz w:val="21"/>
              </w:rPr>
              <w:t>型–肾小球硬化型。</w:t>
            </w:r>
          </w:p>
          <w:p>
            <w:pPr>
              <w:pStyle w:val="TableParagraph"/>
              <w:ind w:left="0"/>
              <w:rPr>
                <w:rFonts w:ascii="Times New Roman"/>
                <w:sz w:val="20"/>
              </w:rPr>
            </w:pPr>
          </w:p>
          <w:p>
            <w:pPr>
              <w:pStyle w:val="TableParagraph"/>
              <w:spacing w:before="9"/>
              <w:ind w:left="0"/>
              <w:rPr>
                <w:rFonts w:ascii="Times New Roman"/>
                <w:sz w:val="15"/>
              </w:rPr>
            </w:pPr>
          </w:p>
          <w:p>
            <w:pPr>
              <w:pStyle w:val="TableParagraph"/>
              <w:numPr>
                <w:ilvl w:val="0"/>
                <w:numId w:val="5"/>
              </w:numPr>
              <w:tabs>
                <w:tab w:pos="1199" w:val="left" w:leader="none"/>
                <w:tab w:pos="1200" w:val="left" w:leader="none"/>
              </w:tabs>
              <w:spacing w:line="240" w:lineRule="auto" w:before="0" w:after="0"/>
              <w:ind w:left="1199" w:right="0" w:hanging="840"/>
              <w:jc w:val="left"/>
              <w:rPr>
                <w:sz w:val="21"/>
              </w:rPr>
            </w:pPr>
            <w:r>
              <w:rPr>
                <w:spacing w:val="-3"/>
                <w:sz w:val="21"/>
              </w:rPr>
              <w:t>严重类风湿性关节炎</w:t>
            </w:r>
          </w:p>
          <w:p>
            <w:pPr>
              <w:pStyle w:val="TableParagraph"/>
              <w:spacing w:line="300" w:lineRule="auto" w:before="68"/>
              <w:ind w:left="359" w:right="304"/>
              <w:rPr>
                <w:sz w:val="21"/>
              </w:rPr>
            </w:pPr>
            <w:r>
              <w:rPr>
                <w:sz w:val="21"/>
              </w:rPr>
              <w:t>是指广泛的慢性渐进性的关节损害，伴有明显的关节畸形，必须具有下列所有情况：</w:t>
            </w:r>
          </w:p>
          <w:p>
            <w:pPr>
              <w:pStyle w:val="TableParagraph"/>
              <w:tabs>
                <w:tab w:pos="779" w:val="left" w:leader="none"/>
              </w:tabs>
              <w:spacing w:before="15"/>
              <w:ind w:left="359"/>
              <w:rPr>
                <w:sz w:val="21"/>
              </w:rPr>
            </w:pPr>
            <w:r>
              <w:rPr>
                <w:sz w:val="21"/>
              </w:rPr>
              <w:t>①</w:t>
              <w:tab/>
            </w:r>
            <w:r>
              <w:rPr>
                <w:spacing w:val="-7"/>
                <w:sz w:val="21"/>
              </w:rPr>
              <w:t>符合美国风湿病学学会的 </w:t>
            </w:r>
            <w:r>
              <w:rPr>
                <w:sz w:val="21"/>
              </w:rPr>
              <w:t>1987</w:t>
            </w:r>
            <w:r>
              <w:rPr>
                <w:spacing w:val="-9"/>
                <w:sz w:val="21"/>
              </w:rPr>
              <w:t> 年诊断标准；</w:t>
            </w:r>
          </w:p>
          <w:p>
            <w:pPr>
              <w:pStyle w:val="TableParagraph"/>
              <w:tabs>
                <w:tab w:pos="779" w:val="left" w:leader="none"/>
              </w:tabs>
              <w:spacing w:line="300" w:lineRule="auto" w:before="67"/>
              <w:ind w:left="779" w:right="304" w:hanging="420"/>
              <w:rPr>
                <w:sz w:val="21"/>
              </w:rPr>
            </w:pPr>
            <w:r>
              <w:rPr>
                <w:sz w:val="21"/>
              </w:rPr>
              <w:t>②</w:t>
              <w:tab/>
            </w:r>
            <w:r>
              <w:rPr>
                <w:spacing w:val="-7"/>
                <w:sz w:val="21"/>
              </w:rPr>
              <w:t>广泛性关节损害及下列 </w:t>
            </w:r>
            <w:r>
              <w:rPr>
                <w:sz w:val="21"/>
              </w:rPr>
              <w:t>6</w:t>
            </w:r>
            <w:r>
              <w:rPr>
                <w:spacing w:val="-8"/>
                <w:sz w:val="21"/>
              </w:rPr>
              <w:t> 个关节部位有三个或以上出现严重临床</w:t>
            </w:r>
            <w:r>
              <w:rPr>
                <w:spacing w:val="-3"/>
                <w:sz w:val="21"/>
              </w:rPr>
              <w:t>变形: 手、腕、肘、膝、髋、踝；</w:t>
            </w:r>
          </w:p>
          <w:p>
            <w:pPr>
              <w:pStyle w:val="TableParagraph"/>
              <w:tabs>
                <w:tab w:pos="779" w:val="left" w:leader="none"/>
              </w:tabs>
              <w:spacing w:line="300" w:lineRule="auto" w:before="15"/>
              <w:ind w:left="779" w:right="304" w:hanging="420"/>
              <w:rPr>
                <w:sz w:val="21"/>
              </w:rPr>
            </w:pPr>
            <w:r>
              <w:rPr>
                <w:sz w:val="21"/>
              </w:rPr>
              <w:t>③</w:t>
              <w:tab/>
            </w:r>
            <w:r>
              <w:rPr>
                <w:spacing w:val="-3"/>
                <w:sz w:val="21"/>
              </w:rPr>
              <w:t>自主生活能力完全丧失，无法独立完成六项基本日常生活活动中 的三项或三项以上。</w:t>
            </w:r>
          </w:p>
          <w:p>
            <w:pPr>
              <w:pStyle w:val="TableParagraph"/>
              <w:spacing w:line="300" w:lineRule="auto" w:before="15"/>
              <w:ind w:left="359" w:right="304"/>
              <w:rPr>
                <w:sz w:val="21"/>
              </w:rPr>
            </w:pPr>
            <w:r>
              <w:rPr>
                <w:sz w:val="21"/>
              </w:rPr>
              <w:t>上述疾病需由专科医生确诊，并提供相应医疗记录以证实上述病情已经存在至少 3 个月。</w:t>
            </w:r>
          </w:p>
          <w:p>
            <w:pPr>
              <w:pStyle w:val="TableParagraph"/>
              <w:ind w:left="0"/>
              <w:rPr>
                <w:rFonts w:ascii="Times New Roman"/>
                <w:sz w:val="20"/>
              </w:rPr>
            </w:pPr>
          </w:p>
          <w:p>
            <w:pPr>
              <w:pStyle w:val="TableParagraph"/>
              <w:numPr>
                <w:ilvl w:val="0"/>
                <w:numId w:val="5"/>
              </w:numPr>
              <w:tabs>
                <w:tab w:pos="1199" w:val="left" w:leader="none"/>
                <w:tab w:pos="1200" w:val="left" w:leader="none"/>
              </w:tabs>
              <w:spacing w:line="240" w:lineRule="auto" w:before="129" w:after="0"/>
              <w:ind w:left="1199" w:right="0" w:hanging="840"/>
              <w:jc w:val="left"/>
              <w:rPr>
                <w:sz w:val="21"/>
              </w:rPr>
            </w:pPr>
            <w:r>
              <w:rPr>
                <w:spacing w:val="-3"/>
                <w:sz w:val="21"/>
              </w:rPr>
              <w:t>全身性重症肌无力</w:t>
            </w:r>
          </w:p>
          <w:p>
            <w:pPr>
              <w:pStyle w:val="TableParagraph"/>
              <w:spacing w:line="300" w:lineRule="auto" w:before="68"/>
              <w:ind w:left="359" w:right="196"/>
              <w:rPr>
                <w:sz w:val="21"/>
              </w:rPr>
            </w:pPr>
            <w:r>
              <w:rPr>
                <w:spacing w:val="-3"/>
                <w:sz w:val="21"/>
              </w:rPr>
              <w:t>是指一种神经与肌肉接头部位传递障碍的自身免疫性疾病。临床特征</w:t>
            </w:r>
            <w:r>
              <w:rPr>
                <w:spacing w:val="-9"/>
                <w:sz w:val="21"/>
              </w:rPr>
              <w:t>是局部或全身横纹肌于活动时易于疲劳无力，颅神经眼外肌最易累及， </w:t>
            </w:r>
            <w:r>
              <w:rPr>
                <w:spacing w:val="-5"/>
                <w:sz w:val="21"/>
              </w:rPr>
              <w:t>也可涉及呼吸肌、下肢近端肌群乃至全身肌肉，需经腾喜龙试验，反</w:t>
            </w:r>
            <w:r>
              <w:rPr>
                <w:spacing w:val="-10"/>
                <w:sz w:val="21"/>
              </w:rPr>
              <w:t>复刺激神经, </w:t>
            </w:r>
            <w:r>
              <w:rPr>
                <w:sz w:val="21"/>
              </w:rPr>
              <w:t>sf-EMG</w:t>
            </w:r>
            <w:r>
              <w:rPr>
                <w:spacing w:val="-8"/>
                <w:sz w:val="21"/>
              </w:rPr>
              <w:t> 或者血清乙酰胆碱酯酶抗体检查，同时需经神经</w:t>
            </w:r>
            <w:r>
              <w:rPr>
                <w:spacing w:val="-5"/>
                <w:sz w:val="21"/>
              </w:rPr>
              <w:t>专科医师确诊。其诊断必须满足下列情况：经药物、胸腺手术治疗一</w:t>
            </w:r>
            <w:r>
              <w:rPr>
                <w:spacing w:val="-4"/>
                <w:sz w:val="21"/>
              </w:rPr>
              <w:t>年以上无法控制病情，完全丧失自主生活能力，无法独立完成六项基</w:t>
            </w:r>
            <w:r>
              <w:rPr>
                <w:spacing w:val="-3"/>
                <w:sz w:val="21"/>
              </w:rPr>
              <w:t>本日常生活活动中的三项或三项以上。</w:t>
            </w:r>
          </w:p>
        </w:tc>
      </w:tr>
      <w:tr>
        <w:trPr>
          <w:trHeight w:val="632" w:hRule="atLeast"/>
        </w:trPr>
        <w:tc>
          <w:tcPr>
            <w:tcW w:w="735" w:type="dxa"/>
          </w:tcPr>
          <w:p>
            <w:pPr>
              <w:pStyle w:val="TableParagraph"/>
              <w:spacing w:before="151"/>
              <w:ind w:left="200"/>
              <w:rPr>
                <w:sz w:val="21"/>
              </w:rPr>
            </w:pPr>
            <w:r>
              <w:rPr>
                <w:w w:val="100"/>
                <w:sz w:val="21"/>
              </w:rPr>
              <w:t>四</w:t>
            </w:r>
          </w:p>
        </w:tc>
        <w:tc>
          <w:tcPr>
            <w:tcW w:w="1525" w:type="dxa"/>
          </w:tcPr>
          <w:p>
            <w:pPr>
              <w:pStyle w:val="TableParagraph"/>
              <w:spacing w:before="151"/>
              <w:ind w:left="324"/>
              <w:rPr>
                <w:sz w:val="21"/>
              </w:rPr>
            </w:pPr>
            <w:r>
              <w:rPr>
                <w:sz w:val="21"/>
              </w:rPr>
              <w:t>意外伤害</w:t>
            </w:r>
          </w:p>
        </w:tc>
        <w:tc>
          <w:tcPr>
            <w:tcW w:w="6972" w:type="dxa"/>
          </w:tcPr>
          <w:p>
            <w:pPr>
              <w:pStyle w:val="TableParagraph"/>
              <w:spacing w:before="151"/>
              <w:ind w:left="359"/>
              <w:rPr>
                <w:sz w:val="21"/>
              </w:rPr>
            </w:pPr>
            <w:r>
              <w:rPr>
                <w:sz w:val="21"/>
              </w:rPr>
              <w:t>指外来的、突然的、非本意的、非疾病的使身体受到伤害的客观事件。</w:t>
            </w:r>
          </w:p>
        </w:tc>
      </w:tr>
      <w:tr>
        <w:trPr>
          <w:trHeight w:val="1353" w:hRule="atLeast"/>
        </w:trPr>
        <w:tc>
          <w:tcPr>
            <w:tcW w:w="735" w:type="dxa"/>
          </w:tcPr>
          <w:p>
            <w:pPr>
              <w:pStyle w:val="TableParagraph"/>
              <w:spacing w:before="143"/>
              <w:ind w:left="200"/>
              <w:rPr>
                <w:sz w:val="21"/>
              </w:rPr>
            </w:pPr>
            <w:r>
              <w:rPr>
                <w:w w:val="100"/>
                <w:sz w:val="21"/>
              </w:rPr>
              <w:t>五</w:t>
            </w:r>
          </w:p>
        </w:tc>
        <w:tc>
          <w:tcPr>
            <w:tcW w:w="1525" w:type="dxa"/>
          </w:tcPr>
          <w:p>
            <w:pPr>
              <w:pStyle w:val="TableParagraph"/>
              <w:spacing w:before="143"/>
              <w:ind w:left="324"/>
              <w:rPr>
                <w:sz w:val="21"/>
              </w:rPr>
            </w:pPr>
            <w:r>
              <w:rPr>
                <w:sz w:val="21"/>
              </w:rPr>
              <w:t>毒品</w:t>
            </w:r>
          </w:p>
        </w:tc>
        <w:tc>
          <w:tcPr>
            <w:tcW w:w="6972" w:type="dxa"/>
          </w:tcPr>
          <w:p>
            <w:pPr>
              <w:pStyle w:val="TableParagraph"/>
              <w:spacing w:line="310" w:lineRule="atLeast" w:before="107"/>
              <w:ind w:left="359" w:right="304"/>
              <w:jc w:val="both"/>
              <w:rPr>
                <w:sz w:val="21"/>
              </w:rPr>
            </w:pPr>
            <w:r>
              <w:rPr>
                <w:sz w:val="21"/>
              </w:rPr>
              <w:t>指中华人民共和国刑法规定的鸦片、海洛因、甲基苯丙胺（冰毒）、吗啡、大麻、可卡因以及国家规定管制的其他能够使人形成瘾癖的精神药品，但不包括由医生开具并遵医嘱使用的用于治疗疾病但含有毒品成分的处方药品。</w:t>
            </w:r>
          </w:p>
        </w:tc>
      </w:tr>
    </w:tbl>
    <w:p>
      <w:pPr>
        <w:spacing w:after="0" w:line="310" w:lineRule="atLeast"/>
        <w:jc w:val="both"/>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1"/>
        <w:ind w:left="0"/>
        <w:rPr>
          <w:rFonts w:ascii="Times New Roman"/>
          <w:sz w:val="18"/>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5"/>
      </w:tblGrid>
      <w:tr>
        <w:trPr>
          <w:trHeight w:val="1041" w:hRule="atLeast"/>
        </w:trPr>
        <w:tc>
          <w:tcPr>
            <w:tcW w:w="894" w:type="dxa"/>
          </w:tcPr>
          <w:p>
            <w:pPr>
              <w:pStyle w:val="TableParagraph"/>
              <w:spacing w:line="211" w:lineRule="exact"/>
              <w:ind w:left="0" w:right="69"/>
              <w:jc w:val="center"/>
              <w:rPr>
                <w:sz w:val="21"/>
              </w:rPr>
            </w:pPr>
            <w:r>
              <w:rPr>
                <w:w w:val="100"/>
                <w:sz w:val="21"/>
              </w:rPr>
              <w:t>六</w:t>
            </w:r>
          </w:p>
        </w:tc>
        <w:tc>
          <w:tcPr>
            <w:tcW w:w="1683" w:type="dxa"/>
          </w:tcPr>
          <w:p>
            <w:pPr>
              <w:pStyle w:val="TableParagraph"/>
              <w:spacing w:line="211" w:lineRule="exact"/>
              <w:ind w:left="270"/>
              <w:rPr>
                <w:sz w:val="21"/>
              </w:rPr>
            </w:pPr>
            <w:r>
              <w:rPr>
                <w:sz w:val="21"/>
              </w:rPr>
              <w:t>酒后驾驶</w:t>
            </w:r>
          </w:p>
        </w:tc>
        <w:tc>
          <w:tcPr>
            <w:tcW w:w="6765" w:type="dxa"/>
          </w:tcPr>
          <w:p>
            <w:pPr>
              <w:pStyle w:val="TableParagraph"/>
              <w:spacing w:line="211" w:lineRule="exact"/>
              <w:rPr>
                <w:sz w:val="21"/>
              </w:rPr>
            </w:pPr>
            <w:r>
              <w:rPr>
                <w:sz w:val="21"/>
              </w:rPr>
              <w:t>指经检测或鉴定，发生事故时车辆驾驶人员每百毫升血液中的酒精含</w:t>
            </w:r>
          </w:p>
          <w:p>
            <w:pPr>
              <w:pStyle w:val="TableParagraph"/>
              <w:spacing w:line="273" w:lineRule="auto" w:before="37"/>
              <w:ind w:right="308"/>
              <w:rPr>
                <w:sz w:val="21"/>
              </w:rPr>
            </w:pPr>
            <w:r>
              <w:rPr>
                <w:sz w:val="21"/>
              </w:rPr>
              <w:t>量达到或超过一定的标准，公安机关交通管理部门依据《道路交通安全法》的规定认定为酒后驾驶或醉酒后驾驶。</w:t>
            </w:r>
          </w:p>
        </w:tc>
      </w:tr>
      <w:tr>
        <w:trPr>
          <w:trHeight w:val="2184" w:hRule="atLeast"/>
        </w:trPr>
        <w:tc>
          <w:tcPr>
            <w:tcW w:w="894" w:type="dxa"/>
          </w:tcPr>
          <w:p>
            <w:pPr>
              <w:pStyle w:val="TableParagraph"/>
              <w:spacing w:before="142"/>
              <w:ind w:left="0" w:right="69"/>
              <w:jc w:val="center"/>
              <w:rPr>
                <w:sz w:val="21"/>
              </w:rPr>
            </w:pPr>
            <w:r>
              <w:rPr>
                <w:w w:val="100"/>
                <w:sz w:val="21"/>
              </w:rPr>
              <w:t>七</w:t>
            </w:r>
          </w:p>
        </w:tc>
        <w:tc>
          <w:tcPr>
            <w:tcW w:w="1683" w:type="dxa"/>
          </w:tcPr>
          <w:p>
            <w:pPr>
              <w:pStyle w:val="TableParagraph"/>
              <w:spacing w:line="273" w:lineRule="auto" w:before="142"/>
              <w:ind w:left="270" w:right="147"/>
              <w:rPr>
                <w:sz w:val="21"/>
              </w:rPr>
            </w:pPr>
            <w:r>
              <w:rPr>
                <w:sz w:val="21"/>
              </w:rPr>
              <w:t>无合法有效驾驶证驾驶</w:t>
            </w:r>
          </w:p>
        </w:tc>
        <w:tc>
          <w:tcPr>
            <w:tcW w:w="6765" w:type="dxa"/>
          </w:tcPr>
          <w:p>
            <w:pPr>
              <w:pStyle w:val="TableParagraph"/>
              <w:spacing w:before="142"/>
              <w:rPr>
                <w:sz w:val="21"/>
              </w:rPr>
            </w:pPr>
            <w:r>
              <w:rPr>
                <w:sz w:val="21"/>
              </w:rPr>
              <w:t>指下列情形之一：</w:t>
            </w:r>
          </w:p>
          <w:p>
            <w:pPr>
              <w:pStyle w:val="TableParagraph"/>
              <w:numPr>
                <w:ilvl w:val="0"/>
                <w:numId w:val="6"/>
              </w:numPr>
              <w:tabs>
                <w:tab w:pos="509" w:val="left" w:leader="none"/>
              </w:tabs>
              <w:spacing w:line="240" w:lineRule="auto" w:before="36" w:after="0"/>
              <w:ind w:left="508" w:right="0" w:hanging="360"/>
              <w:jc w:val="left"/>
              <w:rPr>
                <w:sz w:val="21"/>
              </w:rPr>
            </w:pPr>
            <w:r>
              <w:rPr>
                <w:spacing w:val="-3"/>
                <w:sz w:val="21"/>
              </w:rPr>
              <w:t>没有取得驾驶资格；</w:t>
            </w:r>
          </w:p>
          <w:p>
            <w:pPr>
              <w:pStyle w:val="TableParagraph"/>
              <w:numPr>
                <w:ilvl w:val="0"/>
                <w:numId w:val="6"/>
              </w:numPr>
              <w:tabs>
                <w:tab w:pos="509" w:val="left" w:leader="none"/>
              </w:tabs>
              <w:spacing w:line="240" w:lineRule="auto" w:before="36" w:after="0"/>
              <w:ind w:left="508" w:right="0" w:hanging="360"/>
              <w:jc w:val="left"/>
              <w:rPr>
                <w:sz w:val="21"/>
              </w:rPr>
            </w:pPr>
            <w:r>
              <w:rPr>
                <w:spacing w:val="-3"/>
                <w:sz w:val="21"/>
              </w:rPr>
              <w:t>驾驶与驾驶证准驾车型不相符合的车辆；</w:t>
            </w:r>
          </w:p>
          <w:p>
            <w:pPr>
              <w:pStyle w:val="TableParagraph"/>
              <w:numPr>
                <w:ilvl w:val="0"/>
                <w:numId w:val="6"/>
              </w:numPr>
              <w:tabs>
                <w:tab w:pos="509" w:val="left" w:leader="none"/>
              </w:tabs>
              <w:spacing w:line="240" w:lineRule="auto" w:before="36" w:after="0"/>
              <w:ind w:left="508" w:right="0" w:hanging="360"/>
              <w:jc w:val="left"/>
              <w:rPr>
                <w:sz w:val="21"/>
              </w:rPr>
            </w:pPr>
            <w:r>
              <w:rPr>
                <w:spacing w:val="-3"/>
                <w:sz w:val="21"/>
              </w:rPr>
              <w:t>持审验不合格的驾驶证驾驶；</w:t>
            </w:r>
          </w:p>
          <w:p>
            <w:pPr>
              <w:pStyle w:val="TableParagraph"/>
              <w:numPr>
                <w:ilvl w:val="0"/>
                <w:numId w:val="6"/>
              </w:numPr>
              <w:tabs>
                <w:tab w:pos="509" w:val="left" w:leader="none"/>
              </w:tabs>
              <w:spacing w:line="273" w:lineRule="auto" w:before="36" w:after="0"/>
              <w:ind w:left="508" w:right="198" w:hanging="360"/>
              <w:jc w:val="left"/>
              <w:rPr>
                <w:sz w:val="21"/>
              </w:rPr>
            </w:pPr>
            <w:r>
              <w:rPr>
                <w:spacing w:val="-6"/>
                <w:sz w:val="21"/>
              </w:rPr>
              <w:t>持学习驾驶证学习驾车时，无教练员随车指导，或不按指定时间、</w:t>
            </w:r>
            <w:r>
              <w:rPr>
                <w:spacing w:val="-4"/>
                <w:sz w:val="21"/>
              </w:rPr>
              <w:t>路线学习驾车。</w:t>
            </w:r>
          </w:p>
        </w:tc>
      </w:tr>
      <w:tr>
        <w:trPr>
          <w:trHeight w:val="1248" w:hRule="atLeast"/>
        </w:trPr>
        <w:tc>
          <w:tcPr>
            <w:tcW w:w="894" w:type="dxa"/>
          </w:tcPr>
          <w:p>
            <w:pPr>
              <w:pStyle w:val="TableParagraph"/>
              <w:spacing w:before="143"/>
              <w:ind w:left="0" w:right="69"/>
              <w:jc w:val="center"/>
              <w:rPr>
                <w:sz w:val="21"/>
              </w:rPr>
            </w:pPr>
            <w:r>
              <w:rPr>
                <w:w w:val="100"/>
                <w:sz w:val="21"/>
              </w:rPr>
              <w:t>八</w:t>
            </w:r>
          </w:p>
        </w:tc>
        <w:tc>
          <w:tcPr>
            <w:tcW w:w="1683" w:type="dxa"/>
          </w:tcPr>
          <w:p>
            <w:pPr>
              <w:pStyle w:val="TableParagraph"/>
              <w:spacing w:before="143"/>
              <w:ind w:left="270"/>
              <w:rPr>
                <w:sz w:val="21"/>
              </w:rPr>
            </w:pPr>
            <w:r>
              <w:rPr>
                <w:sz w:val="21"/>
              </w:rPr>
              <w:t>无有效行驶证</w:t>
            </w:r>
          </w:p>
        </w:tc>
        <w:tc>
          <w:tcPr>
            <w:tcW w:w="6765" w:type="dxa"/>
          </w:tcPr>
          <w:p>
            <w:pPr>
              <w:pStyle w:val="TableParagraph"/>
              <w:spacing w:before="143"/>
              <w:rPr>
                <w:sz w:val="21"/>
              </w:rPr>
            </w:pPr>
            <w:r>
              <w:rPr>
                <w:sz w:val="21"/>
              </w:rPr>
              <w:t>指下列情形之一：</w:t>
            </w:r>
          </w:p>
          <w:p>
            <w:pPr>
              <w:pStyle w:val="TableParagraph"/>
              <w:numPr>
                <w:ilvl w:val="0"/>
                <w:numId w:val="7"/>
              </w:numPr>
              <w:tabs>
                <w:tab w:pos="509" w:val="left" w:leader="none"/>
              </w:tabs>
              <w:spacing w:line="240" w:lineRule="auto" w:before="37" w:after="0"/>
              <w:ind w:left="508" w:right="0" w:hanging="360"/>
              <w:jc w:val="left"/>
              <w:rPr>
                <w:sz w:val="21"/>
              </w:rPr>
            </w:pPr>
            <w:r>
              <w:rPr>
                <w:spacing w:val="-3"/>
                <w:sz w:val="21"/>
              </w:rPr>
              <w:t>机动车被依法注销登记的；</w:t>
            </w:r>
          </w:p>
          <w:p>
            <w:pPr>
              <w:pStyle w:val="TableParagraph"/>
              <w:numPr>
                <w:ilvl w:val="0"/>
                <w:numId w:val="7"/>
              </w:numPr>
              <w:tabs>
                <w:tab w:pos="509" w:val="left" w:leader="none"/>
              </w:tabs>
              <w:spacing w:line="240" w:lineRule="auto" w:before="37" w:after="0"/>
              <w:ind w:left="508" w:right="0" w:hanging="360"/>
              <w:jc w:val="left"/>
              <w:rPr>
                <w:sz w:val="21"/>
              </w:rPr>
            </w:pPr>
            <w:r>
              <w:rPr>
                <w:spacing w:val="-3"/>
                <w:sz w:val="21"/>
              </w:rPr>
              <w:t>未依法按时进行或通过机动车安全技术检验。</w:t>
            </w:r>
          </w:p>
        </w:tc>
      </w:tr>
      <w:tr>
        <w:trPr>
          <w:trHeight w:val="1247" w:hRule="atLeast"/>
        </w:trPr>
        <w:tc>
          <w:tcPr>
            <w:tcW w:w="894" w:type="dxa"/>
          </w:tcPr>
          <w:p>
            <w:pPr>
              <w:pStyle w:val="TableParagraph"/>
              <w:spacing w:before="142"/>
              <w:ind w:left="0" w:right="69"/>
              <w:jc w:val="center"/>
              <w:rPr>
                <w:sz w:val="21"/>
              </w:rPr>
            </w:pPr>
            <w:r>
              <w:rPr>
                <w:w w:val="100"/>
                <w:sz w:val="21"/>
              </w:rPr>
              <w:t>九</w:t>
            </w:r>
          </w:p>
        </w:tc>
        <w:tc>
          <w:tcPr>
            <w:tcW w:w="1683" w:type="dxa"/>
          </w:tcPr>
          <w:p>
            <w:pPr>
              <w:pStyle w:val="TableParagraph"/>
              <w:spacing w:line="273" w:lineRule="auto" w:before="142"/>
              <w:ind w:left="270" w:right="147"/>
              <w:jc w:val="both"/>
              <w:rPr>
                <w:sz w:val="21"/>
              </w:rPr>
            </w:pPr>
            <w:r>
              <w:rPr>
                <w:sz w:val="21"/>
              </w:rPr>
              <w:t>先天性畸形、变形或染色体异常</w:t>
            </w:r>
          </w:p>
        </w:tc>
        <w:tc>
          <w:tcPr>
            <w:tcW w:w="6765" w:type="dxa"/>
          </w:tcPr>
          <w:p>
            <w:pPr>
              <w:pStyle w:val="TableParagraph"/>
              <w:spacing w:line="273" w:lineRule="auto" w:before="142"/>
              <w:ind w:right="308"/>
              <w:jc w:val="both"/>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936" w:hRule="atLeast"/>
        </w:trPr>
        <w:tc>
          <w:tcPr>
            <w:tcW w:w="894" w:type="dxa"/>
          </w:tcPr>
          <w:p>
            <w:pPr>
              <w:pStyle w:val="TableParagraph"/>
              <w:spacing w:before="142"/>
              <w:ind w:left="0" w:right="69"/>
              <w:jc w:val="center"/>
              <w:rPr>
                <w:sz w:val="21"/>
              </w:rPr>
            </w:pPr>
            <w:r>
              <w:rPr>
                <w:w w:val="100"/>
                <w:sz w:val="21"/>
              </w:rPr>
              <w:t>十</w:t>
            </w:r>
          </w:p>
        </w:tc>
        <w:tc>
          <w:tcPr>
            <w:tcW w:w="1683" w:type="dxa"/>
          </w:tcPr>
          <w:p>
            <w:pPr>
              <w:pStyle w:val="TableParagraph"/>
              <w:spacing w:before="142"/>
              <w:ind w:left="270"/>
              <w:rPr>
                <w:sz w:val="21"/>
              </w:rPr>
            </w:pPr>
            <w:r>
              <w:rPr>
                <w:sz w:val="21"/>
              </w:rPr>
              <w:t>现金价值</w:t>
            </w:r>
          </w:p>
        </w:tc>
        <w:tc>
          <w:tcPr>
            <w:tcW w:w="6765" w:type="dxa"/>
          </w:tcPr>
          <w:p>
            <w:pPr>
              <w:pStyle w:val="TableParagraph"/>
              <w:spacing w:line="273" w:lineRule="auto" w:before="142"/>
              <w:ind w:right="308"/>
              <w:rPr>
                <w:sz w:val="21"/>
              </w:rPr>
            </w:pPr>
            <w:r>
              <w:rPr>
                <w:sz w:val="21"/>
              </w:rPr>
              <w:t>指保险单所具有的价值，通常体现为解除合同时，根据精算原理计算的，由本公司退还的那部分金额。</w:t>
            </w:r>
          </w:p>
        </w:tc>
      </w:tr>
      <w:tr>
        <w:trPr>
          <w:trHeight w:val="2496" w:hRule="atLeast"/>
        </w:trPr>
        <w:tc>
          <w:tcPr>
            <w:tcW w:w="894" w:type="dxa"/>
          </w:tcPr>
          <w:p>
            <w:pPr>
              <w:pStyle w:val="TableParagraph"/>
              <w:spacing w:before="142"/>
              <w:ind w:left="182" w:right="251"/>
              <w:jc w:val="center"/>
              <w:rPr>
                <w:sz w:val="21"/>
              </w:rPr>
            </w:pPr>
            <w:r>
              <w:rPr>
                <w:sz w:val="21"/>
              </w:rPr>
              <w:t>十一</w:t>
            </w:r>
          </w:p>
        </w:tc>
        <w:tc>
          <w:tcPr>
            <w:tcW w:w="1683" w:type="dxa"/>
          </w:tcPr>
          <w:p>
            <w:pPr>
              <w:pStyle w:val="TableParagraph"/>
              <w:spacing w:before="142"/>
              <w:ind w:left="270"/>
              <w:rPr>
                <w:sz w:val="21"/>
              </w:rPr>
            </w:pPr>
            <w:r>
              <w:rPr>
                <w:sz w:val="21"/>
              </w:rPr>
              <w:t>专科医生</w:t>
            </w:r>
          </w:p>
        </w:tc>
        <w:tc>
          <w:tcPr>
            <w:tcW w:w="6765" w:type="dxa"/>
          </w:tcPr>
          <w:p>
            <w:pPr>
              <w:pStyle w:val="TableParagraph"/>
              <w:spacing w:before="142"/>
              <w:rPr>
                <w:sz w:val="21"/>
              </w:rPr>
            </w:pPr>
            <w:r>
              <w:rPr>
                <w:sz w:val="21"/>
              </w:rPr>
              <w:t>专科医生应当同时满足以下四项资格条件：</w:t>
            </w:r>
          </w:p>
          <w:p>
            <w:pPr>
              <w:pStyle w:val="TableParagraph"/>
              <w:numPr>
                <w:ilvl w:val="0"/>
                <w:numId w:val="8"/>
              </w:numPr>
              <w:tabs>
                <w:tab w:pos="509" w:val="left" w:leader="none"/>
              </w:tabs>
              <w:spacing w:line="240" w:lineRule="auto" w:before="37" w:after="0"/>
              <w:ind w:left="508" w:right="0" w:hanging="360"/>
              <w:jc w:val="left"/>
              <w:rPr>
                <w:sz w:val="21"/>
              </w:rPr>
            </w:pPr>
            <w:r>
              <w:rPr>
                <w:spacing w:val="-3"/>
                <w:sz w:val="21"/>
              </w:rPr>
              <w:t>具有有效的中华人民共和国《医师资格证书》；</w:t>
            </w:r>
          </w:p>
          <w:p>
            <w:pPr>
              <w:pStyle w:val="TableParagraph"/>
              <w:numPr>
                <w:ilvl w:val="0"/>
                <w:numId w:val="8"/>
              </w:numPr>
              <w:tabs>
                <w:tab w:pos="509" w:val="left" w:leader="none"/>
              </w:tabs>
              <w:spacing w:line="273" w:lineRule="auto" w:before="37" w:after="0"/>
              <w:ind w:left="508" w:right="368" w:hanging="360"/>
              <w:jc w:val="left"/>
              <w:rPr>
                <w:sz w:val="21"/>
              </w:rPr>
            </w:pPr>
            <w:r>
              <w:rPr>
                <w:spacing w:val="-3"/>
                <w:sz w:val="21"/>
              </w:rPr>
              <w:t>具有有效的中华人民共和国《医师执业证书》，并按期到相关部门登记注册；</w:t>
            </w:r>
          </w:p>
          <w:p>
            <w:pPr>
              <w:pStyle w:val="TableParagraph"/>
              <w:numPr>
                <w:ilvl w:val="0"/>
                <w:numId w:val="8"/>
              </w:numPr>
              <w:tabs>
                <w:tab w:pos="509" w:val="left" w:leader="none"/>
              </w:tabs>
              <w:spacing w:line="273" w:lineRule="auto" w:before="7" w:after="0"/>
              <w:ind w:left="508" w:right="368" w:hanging="360"/>
              <w:jc w:val="left"/>
              <w:rPr>
                <w:sz w:val="21"/>
              </w:rPr>
            </w:pPr>
            <w:r>
              <w:rPr>
                <w:spacing w:val="-3"/>
                <w:sz w:val="21"/>
              </w:rPr>
              <w:t>具有有效的中华人民共和国主治医师或主治医师以上职称的《医师职称证书》；</w:t>
            </w:r>
          </w:p>
          <w:p>
            <w:pPr>
              <w:pStyle w:val="TableParagraph"/>
              <w:numPr>
                <w:ilvl w:val="0"/>
                <w:numId w:val="8"/>
              </w:numPr>
              <w:tabs>
                <w:tab w:pos="509" w:val="left" w:leader="none"/>
              </w:tabs>
              <w:spacing w:line="240" w:lineRule="auto" w:before="7" w:after="0"/>
              <w:ind w:left="508" w:right="0" w:hanging="360"/>
              <w:jc w:val="left"/>
              <w:rPr>
                <w:sz w:val="21"/>
              </w:rPr>
            </w:pPr>
            <w:r>
              <w:rPr>
                <w:spacing w:val="-3"/>
                <w:sz w:val="21"/>
              </w:rPr>
              <w:t>在二级或二级以上医院的相应科室从事临床工作三年以上。</w:t>
            </w:r>
          </w:p>
        </w:tc>
      </w:tr>
      <w:tr>
        <w:trPr>
          <w:trHeight w:val="936" w:hRule="atLeast"/>
        </w:trPr>
        <w:tc>
          <w:tcPr>
            <w:tcW w:w="894" w:type="dxa"/>
          </w:tcPr>
          <w:p>
            <w:pPr>
              <w:pStyle w:val="TableParagraph"/>
              <w:spacing w:before="142"/>
              <w:ind w:left="182" w:right="251"/>
              <w:jc w:val="center"/>
              <w:rPr>
                <w:sz w:val="21"/>
              </w:rPr>
            </w:pPr>
            <w:r>
              <w:rPr>
                <w:sz w:val="21"/>
              </w:rPr>
              <w:t>十二</w:t>
            </w:r>
          </w:p>
        </w:tc>
        <w:tc>
          <w:tcPr>
            <w:tcW w:w="1683" w:type="dxa"/>
          </w:tcPr>
          <w:p>
            <w:pPr>
              <w:pStyle w:val="TableParagraph"/>
              <w:spacing w:line="273" w:lineRule="auto" w:before="142"/>
              <w:ind w:left="270" w:right="147"/>
              <w:rPr>
                <w:sz w:val="21"/>
              </w:rPr>
            </w:pPr>
            <w:r>
              <w:rPr>
                <w:sz w:val="21"/>
              </w:rPr>
              <w:t>肢体机能完全丧失</w:t>
            </w:r>
          </w:p>
        </w:tc>
        <w:tc>
          <w:tcPr>
            <w:tcW w:w="6765" w:type="dxa"/>
          </w:tcPr>
          <w:p>
            <w:pPr>
              <w:pStyle w:val="TableParagraph"/>
              <w:spacing w:line="273" w:lineRule="auto" w:before="142"/>
              <w:ind w:right="308"/>
              <w:rPr>
                <w:sz w:val="21"/>
              </w:rPr>
            </w:pPr>
            <w:r>
              <w:rPr>
                <w:sz w:val="21"/>
              </w:rPr>
              <w:t>指肢体的三大关节中的两大关节僵硬，或不能随意识活动。肢体是指包括肩关节的整个上肢或包括髋关节的整个下肢。</w:t>
            </w:r>
          </w:p>
        </w:tc>
      </w:tr>
      <w:tr>
        <w:trPr>
          <w:trHeight w:val="1872" w:hRule="atLeast"/>
        </w:trPr>
        <w:tc>
          <w:tcPr>
            <w:tcW w:w="894" w:type="dxa"/>
          </w:tcPr>
          <w:p>
            <w:pPr>
              <w:pStyle w:val="TableParagraph"/>
              <w:spacing w:before="142"/>
              <w:ind w:left="182" w:right="251"/>
              <w:jc w:val="center"/>
              <w:rPr>
                <w:sz w:val="21"/>
              </w:rPr>
            </w:pPr>
            <w:r>
              <w:rPr>
                <w:sz w:val="21"/>
              </w:rPr>
              <w:t>十三</w:t>
            </w:r>
          </w:p>
        </w:tc>
        <w:tc>
          <w:tcPr>
            <w:tcW w:w="1683" w:type="dxa"/>
          </w:tcPr>
          <w:p>
            <w:pPr>
              <w:pStyle w:val="TableParagraph"/>
              <w:spacing w:line="273" w:lineRule="auto" w:before="142"/>
              <w:ind w:left="270" w:right="147"/>
              <w:jc w:val="both"/>
              <w:rPr>
                <w:sz w:val="21"/>
              </w:rPr>
            </w:pPr>
            <w:r>
              <w:rPr>
                <w:sz w:val="21"/>
              </w:rPr>
              <w:t>语言能力或咀嚼吞咽能力完全丧失</w:t>
            </w:r>
          </w:p>
        </w:tc>
        <w:tc>
          <w:tcPr>
            <w:tcW w:w="6765" w:type="dxa"/>
          </w:tcPr>
          <w:p>
            <w:pPr>
              <w:pStyle w:val="TableParagraph"/>
              <w:spacing w:line="273" w:lineRule="auto" w:before="142"/>
              <w:ind w:right="308"/>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7"/>
              <w:ind w:right="200"/>
              <w:rPr>
                <w:sz w:val="21"/>
              </w:rPr>
            </w:pPr>
            <w:r>
              <w:rPr>
                <w:spacing w:val="-3"/>
                <w:sz w:val="21"/>
              </w:rPr>
              <w:t>咀嚼吞咽能力完全丧失，指因牙齿以外的原因导致器质障碍或机能障</w:t>
            </w:r>
            <w:r>
              <w:rPr>
                <w:spacing w:val="-13"/>
                <w:sz w:val="21"/>
              </w:rPr>
              <w:t>碍，以致不能作咀嚼吞咽运动，除流质食物外不能摄取或吞咽的状态。</w:t>
            </w:r>
          </w:p>
        </w:tc>
      </w:tr>
      <w:tr>
        <w:trPr>
          <w:trHeight w:val="729" w:hRule="atLeast"/>
        </w:trPr>
        <w:tc>
          <w:tcPr>
            <w:tcW w:w="894" w:type="dxa"/>
          </w:tcPr>
          <w:p>
            <w:pPr>
              <w:pStyle w:val="TableParagraph"/>
              <w:spacing w:before="142"/>
              <w:ind w:left="182" w:right="251"/>
              <w:jc w:val="center"/>
              <w:rPr>
                <w:sz w:val="21"/>
              </w:rPr>
            </w:pPr>
            <w:r>
              <w:rPr>
                <w:sz w:val="21"/>
              </w:rPr>
              <w:t>十四</w:t>
            </w:r>
          </w:p>
        </w:tc>
        <w:tc>
          <w:tcPr>
            <w:tcW w:w="1683" w:type="dxa"/>
          </w:tcPr>
          <w:p>
            <w:pPr>
              <w:pStyle w:val="TableParagraph"/>
              <w:spacing w:line="310" w:lineRule="atLeast" w:before="107"/>
              <w:ind w:left="270" w:right="147"/>
              <w:rPr>
                <w:sz w:val="21"/>
              </w:rPr>
            </w:pPr>
            <w:r>
              <w:rPr>
                <w:sz w:val="21"/>
              </w:rPr>
              <w:t>六项基本日常生活活动</w:t>
            </w:r>
          </w:p>
        </w:tc>
        <w:tc>
          <w:tcPr>
            <w:tcW w:w="6765" w:type="dxa"/>
          </w:tcPr>
          <w:p>
            <w:pPr>
              <w:pStyle w:val="TableParagraph"/>
              <w:spacing w:before="142"/>
              <w:rPr>
                <w:sz w:val="21"/>
              </w:rPr>
            </w:pPr>
            <w:r>
              <w:rPr>
                <w:sz w:val="21"/>
              </w:rPr>
              <w:t>六项基本日常生活活动是指：</w:t>
            </w:r>
          </w:p>
          <w:p>
            <w:pPr>
              <w:pStyle w:val="TableParagraph"/>
              <w:tabs>
                <w:tab w:pos="568" w:val="left" w:leader="none"/>
              </w:tabs>
              <w:spacing w:line="255" w:lineRule="exact" w:before="36"/>
              <w:rPr>
                <w:sz w:val="21"/>
              </w:rPr>
            </w:pPr>
            <w:r>
              <w:rPr>
                <w:sz w:val="21"/>
              </w:rPr>
              <w:t>1.</w:t>
              <w:tab/>
            </w:r>
            <w:r>
              <w:rPr>
                <w:spacing w:val="-3"/>
                <w:sz w:val="21"/>
              </w:rPr>
              <w:t>穿衣：自己能够穿衣及脱衣；</w:t>
            </w:r>
          </w:p>
        </w:tc>
      </w:tr>
    </w:tbl>
    <w:p>
      <w:pPr>
        <w:spacing w:after="0" w:line="255" w:lineRule="exac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1"/>
        <w:ind w:left="0"/>
        <w:rPr>
          <w:rFonts w:ascii="Times New Roman"/>
          <w:sz w:val="18"/>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579"/>
        <w:gridCol w:w="6760"/>
      </w:tblGrid>
      <w:tr>
        <w:trPr>
          <w:trHeight w:val="1665" w:hRule="atLeast"/>
        </w:trPr>
        <w:tc>
          <w:tcPr>
            <w:tcW w:w="894" w:type="dxa"/>
          </w:tcPr>
          <w:p>
            <w:pPr>
              <w:pStyle w:val="TableParagraph"/>
              <w:ind w:left="0"/>
              <w:rPr>
                <w:rFonts w:ascii="Times New Roman"/>
                <w:sz w:val="20"/>
              </w:rPr>
            </w:pPr>
          </w:p>
        </w:tc>
        <w:tc>
          <w:tcPr>
            <w:tcW w:w="1579" w:type="dxa"/>
          </w:tcPr>
          <w:p>
            <w:pPr>
              <w:pStyle w:val="TableParagraph"/>
              <w:ind w:left="0"/>
              <w:rPr>
                <w:rFonts w:ascii="Times New Roman"/>
                <w:sz w:val="20"/>
              </w:rPr>
            </w:pPr>
          </w:p>
        </w:tc>
        <w:tc>
          <w:tcPr>
            <w:tcW w:w="6760" w:type="dxa"/>
          </w:tcPr>
          <w:p>
            <w:pPr>
              <w:pStyle w:val="TableParagraph"/>
              <w:numPr>
                <w:ilvl w:val="0"/>
                <w:numId w:val="9"/>
              </w:numPr>
              <w:tabs>
                <w:tab w:pos="672" w:val="left" w:leader="none"/>
                <w:tab w:pos="673" w:val="left" w:leader="none"/>
              </w:tabs>
              <w:spacing w:line="211" w:lineRule="exact" w:before="0" w:after="0"/>
              <w:ind w:left="672" w:right="0" w:hanging="420"/>
              <w:jc w:val="left"/>
              <w:rPr>
                <w:sz w:val="21"/>
              </w:rPr>
            </w:pPr>
            <w:r>
              <w:rPr>
                <w:spacing w:val="-3"/>
                <w:sz w:val="21"/>
              </w:rPr>
              <w:t>移动：自己从一个房间到另一个房间；</w:t>
            </w:r>
          </w:p>
          <w:p>
            <w:pPr>
              <w:pStyle w:val="TableParagraph"/>
              <w:numPr>
                <w:ilvl w:val="0"/>
                <w:numId w:val="9"/>
              </w:numPr>
              <w:tabs>
                <w:tab w:pos="672" w:val="left" w:leader="none"/>
                <w:tab w:pos="673" w:val="left" w:leader="none"/>
              </w:tabs>
              <w:spacing w:line="240" w:lineRule="auto" w:before="37" w:after="0"/>
              <w:ind w:left="672" w:right="0" w:hanging="420"/>
              <w:jc w:val="left"/>
              <w:rPr>
                <w:sz w:val="21"/>
              </w:rPr>
            </w:pPr>
            <w:r>
              <w:rPr>
                <w:spacing w:val="-3"/>
                <w:sz w:val="21"/>
              </w:rPr>
              <w:t>行动：自己上下床或上下轮椅；</w:t>
            </w:r>
          </w:p>
          <w:p>
            <w:pPr>
              <w:pStyle w:val="TableParagraph"/>
              <w:numPr>
                <w:ilvl w:val="0"/>
                <w:numId w:val="9"/>
              </w:numPr>
              <w:tabs>
                <w:tab w:pos="672" w:val="left" w:leader="none"/>
                <w:tab w:pos="673" w:val="left" w:leader="none"/>
              </w:tabs>
              <w:spacing w:line="240" w:lineRule="auto" w:before="37" w:after="0"/>
              <w:ind w:left="672" w:right="0" w:hanging="420"/>
              <w:jc w:val="left"/>
              <w:rPr>
                <w:sz w:val="21"/>
              </w:rPr>
            </w:pPr>
            <w:r>
              <w:rPr>
                <w:spacing w:val="-3"/>
                <w:sz w:val="21"/>
              </w:rPr>
              <w:t>如厕：自己控制进行大小便；</w:t>
            </w:r>
          </w:p>
          <w:p>
            <w:pPr>
              <w:pStyle w:val="TableParagraph"/>
              <w:numPr>
                <w:ilvl w:val="0"/>
                <w:numId w:val="9"/>
              </w:numPr>
              <w:tabs>
                <w:tab w:pos="672" w:val="left" w:leader="none"/>
                <w:tab w:pos="673" w:val="left" w:leader="none"/>
              </w:tabs>
              <w:spacing w:line="240" w:lineRule="auto" w:before="37" w:after="0"/>
              <w:ind w:left="672" w:right="0" w:hanging="420"/>
              <w:jc w:val="left"/>
              <w:rPr>
                <w:sz w:val="21"/>
              </w:rPr>
            </w:pPr>
            <w:r>
              <w:rPr>
                <w:spacing w:val="-3"/>
                <w:sz w:val="21"/>
              </w:rPr>
              <w:t>进食：自己从已准备好的碗或碟中取食物放入口中；</w:t>
            </w:r>
          </w:p>
          <w:p>
            <w:pPr>
              <w:pStyle w:val="TableParagraph"/>
              <w:numPr>
                <w:ilvl w:val="0"/>
                <w:numId w:val="9"/>
              </w:numPr>
              <w:tabs>
                <w:tab w:pos="672" w:val="left" w:leader="none"/>
                <w:tab w:pos="673" w:val="left" w:leader="none"/>
              </w:tabs>
              <w:spacing w:line="240" w:lineRule="auto" w:before="37" w:after="0"/>
              <w:ind w:left="672" w:right="0" w:hanging="420"/>
              <w:jc w:val="left"/>
              <w:rPr>
                <w:sz w:val="21"/>
              </w:rPr>
            </w:pPr>
            <w:r>
              <w:rPr>
                <w:spacing w:val="-3"/>
                <w:sz w:val="21"/>
              </w:rPr>
              <w:t>洗澡：自己进行淋浴或盆浴。</w:t>
            </w:r>
          </w:p>
        </w:tc>
      </w:tr>
      <w:tr>
        <w:trPr>
          <w:trHeight w:val="935" w:hRule="atLeast"/>
        </w:trPr>
        <w:tc>
          <w:tcPr>
            <w:tcW w:w="894" w:type="dxa"/>
          </w:tcPr>
          <w:p>
            <w:pPr>
              <w:pStyle w:val="TableParagraph"/>
              <w:spacing w:before="142"/>
              <w:ind w:left="182" w:right="251"/>
              <w:jc w:val="center"/>
              <w:rPr>
                <w:sz w:val="21"/>
              </w:rPr>
            </w:pPr>
            <w:r>
              <w:rPr>
                <w:sz w:val="21"/>
              </w:rPr>
              <w:t>十五</w:t>
            </w:r>
          </w:p>
        </w:tc>
        <w:tc>
          <w:tcPr>
            <w:tcW w:w="1579" w:type="dxa"/>
          </w:tcPr>
          <w:p>
            <w:pPr>
              <w:pStyle w:val="TableParagraph"/>
              <w:spacing w:before="142"/>
              <w:ind w:left="270"/>
              <w:rPr>
                <w:sz w:val="21"/>
              </w:rPr>
            </w:pPr>
            <w:r>
              <w:rPr>
                <w:sz w:val="21"/>
              </w:rPr>
              <w:t>永久不可逆</w:t>
            </w:r>
          </w:p>
        </w:tc>
        <w:tc>
          <w:tcPr>
            <w:tcW w:w="6760" w:type="dxa"/>
          </w:tcPr>
          <w:p>
            <w:pPr>
              <w:pStyle w:val="TableParagraph"/>
              <w:spacing w:line="273" w:lineRule="auto" w:before="142"/>
              <w:ind w:left="252" w:right="199"/>
              <w:rPr>
                <w:sz w:val="21"/>
              </w:rPr>
            </w:pPr>
            <w:r>
              <w:rPr>
                <w:spacing w:val="-5"/>
                <w:sz w:val="21"/>
              </w:rPr>
              <w:t>指自疾病确诊或意外伤害发生之日起，经过积极治疗 </w:t>
            </w:r>
            <w:r>
              <w:rPr>
                <w:sz w:val="21"/>
              </w:rPr>
              <w:t>180</w:t>
            </w:r>
            <w:r>
              <w:rPr>
                <w:spacing w:val="-10"/>
                <w:sz w:val="21"/>
              </w:rPr>
              <w:t> 天后，仍无</w:t>
            </w:r>
            <w:r>
              <w:rPr>
                <w:spacing w:val="-5"/>
                <w:sz w:val="21"/>
              </w:rPr>
              <w:t>法通过现有医疗手段恢复。</w:t>
            </w:r>
          </w:p>
        </w:tc>
      </w:tr>
      <w:tr>
        <w:trPr>
          <w:trHeight w:val="729" w:hRule="atLeast"/>
        </w:trPr>
        <w:tc>
          <w:tcPr>
            <w:tcW w:w="894" w:type="dxa"/>
          </w:tcPr>
          <w:p>
            <w:pPr>
              <w:pStyle w:val="TableParagraph"/>
              <w:spacing w:before="142"/>
              <w:ind w:left="182" w:right="251"/>
              <w:jc w:val="center"/>
              <w:rPr>
                <w:sz w:val="21"/>
              </w:rPr>
            </w:pPr>
            <w:r>
              <w:rPr>
                <w:sz w:val="21"/>
              </w:rPr>
              <w:t>十六</w:t>
            </w:r>
          </w:p>
        </w:tc>
        <w:tc>
          <w:tcPr>
            <w:tcW w:w="1579" w:type="dxa"/>
          </w:tcPr>
          <w:p>
            <w:pPr>
              <w:pStyle w:val="TableParagraph"/>
              <w:spacing w:before="142"/>
              <w:ind w:left="270"/>
              <w:rPr>
                <w:sz w:val="21"/>
              </w:rPr>
            </w:pPr>
            <w:r>
              <w:rPr>
                <w:sz w:val="21"/>
              </w:rPr>
              <w:t>周岁</w:t>
            </w:r>
          </w:p>
        </w:tc>
        <w:tc>
          <w:tcPr>
            <w:tcW w:w="6760" w:type="dxa"/>
          </w:tcPr>
          <w:p>
            <w:pPr>
              <w:pStyle w:val="TableParagraph"/>
              <w:spacing w:line="310" w:lineRule="atLeast" w:before="107"/>
              <w:ind w:left="252" w:right="199"/>
              <w:rPr>
                <w:sz w:val="21"/>
              </w:rPr>
            </w:pPr>
            <w:r>
              <w:rPr>
                <w:sz w:val="21"/>
              </w:rPr>
              <w:t>按照公历的年、月、日计算，从周岁生日的第二天起，为年满××周岁。</w:t>
            </w:r>
          </w:p>
        </w:tc>
      </w:tr>
    </w:tbl>
    <w:sectPr>
      <w:pgSz w:w="11910" w:h="16840"/>
      <w:pgMar w:header="0" w:footer="919" w:top="1580" w:bottom="1100" w:left="120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64.183998pt;margin-top:780.961609pt;width:164pt;height:11pt;mso-position-horizontal-relative:page;mso-position-vertical-relative:page;z-index:-19888" type="#_x0000_t202" filled="false" stroked="false">
          <v:textbox inset="0,0,0,0">
            <w:txbxContent>
              <w:p>
                <w:pPr>
                  <w:spacing w:line="200" w:lineRule="exact" w:before="0"/>
                  <w:ind w:left="20" w:right="0" w:firstLine="0"/>
                  <w:jc w:val="left"/>
                  <w:rPr>
                    <w:sz w:val="18"/>
                  </w:rPr>
                </w:pPr>
                <w:r>
                  <w:rPr>
                    <w:sz w:val="18"/>
                  </w:rPr>
                  <w:t>中银三星附加康平提前给付重大疾病保险</w:t>
                </w:r>
              </w:p>
            </w:txbxContent>
          </v:textbox>
          <w10:wrap type="none"/>
        </v:shape>
      </w:pict>
    </w:r>
    <w:r>
      <w:rPr/>
      <w:pict>
        <v:shape style="position:absolute;margin-left:302.769989pt;margin-top:780.961609pt;width:20pt;height:11pt;mso-position-horizontal-relative:page;mso-position-vertical-relative:page;z-index:-19864"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42.5pt;margin-top:780.961609pt;width:83pt;height:11pt;mso-position-horizontal-relative:page;mso-position-vertical-relative:page;z-index:-19840"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页，共 13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2"/>
      <w:numFmt w:val="decimal"/>
      <w:lvlText w:val="%1."/>
      <w:lvlJc w:val="left"/>
      <w:pPr>
        <w:ind w:left="672" w:hanging="420"/>
        <w:jc w:val="left"/>
      </w:pPr>
      <w:rPr>
        <w:rFonts w:hint="default" w:ascii="宋体" w:hAnsi="宋体" w:eastAsia="宋体" w:cs="宋体"/>
        <w:w w:val="100"/>
        <w:sz w:val="21"/>
        <w:szCs w:val="21"/>
      </w:rPr>
    </w:lvl>
    <w:lvl w:ilvl="1">
      <w:start w:val="0"/>
      <w:numFmt w:val="bullet"/>
      <w:lvlText w:val="•"/>
      <w:lvlJc w:val="left"/>
      <w:pPr>
        <w:ind w:left="1288" w:hanging="420"/>
      </w:pPr>
      <w:rPr>
        <w:rFonts w:hint="default"/>
      </w:rPr>
    </w:lvl>
    <w:lvl w:ilvl="2">
      <w:start w:val="0"/>
      <w:numFmt w:val="bullet"/>
      <w:lvlText w:val="•"/>
      <w:lvlJc w:val="left"/>
      <w:pPr>
        <w:ind w:left="1896" w:hanging="420"/>
      </w:pPr>
      <w:rPr>
        <w:rFonts w:hint="default"/>
      </w:rPr>
    </w:lvl>
    <w:lvl w:ilvl="3">
      <w:start w:val="0"/>
      <w:numFmt w:val="bullet"/>
      <w:lvlText w:val="•"/>
      <w:lvlJc w:val="left"/>
      <w:pPr>
        <w:ind w:left="2504" w:hanging="420"/>
      </w:pPr>
      <w:rPr>
        <w:rFonts w:hint="default"/>
      </w:rPr>
    </w:lvl>
    <w:lvl w:ilvl="4">
      <w:start w:val="0"/>
      <w:numFmt w:val="bullet"/>
      <w:lvlText w:val="•"/>
      <w:lvlJc w:val="left"/>
      <w:pPr>
        <w:ind w:left="3112" w:hanging="420"/>
      </w:pPr>
      <w:rPr>
        <w:rFonts w:hint="default"/>
      </w:rPr>
    </w:lvl>
    <w:lvl w:ilvl="5">
      <w:start w:val="0"/>
      <w:numFmt w:val="bullet"/>
      <w:lvlText w:val="•"/>
      <w:lvlJc w:val="left"/>
      <w:pPr>
        <w:ind w:left="3720" w:hanging="420"/>
      </w:pPr>
      <w:rPr>
        <w:rFonts w:hint="default"/>
      </w:rPr>
    </w:lvl>
    <w:lvl w:ilvl="6">
      <w:start w:val="0"/>
      <w:numFmt w:val="bullet"/>
      <w:lvlText w:val="•"/>
      <w:lvlJc w:val="left"/>
      <w:pPr>
        <w:ind w:left="4328" w:hanging="420"/>
      </w:pPr>
      <w:rPr>
        <w:rFonts w:hint="default"/>
      </w:rPr>
    </w:lvl>
    <w:lvl w:ilvl="7">
      <w:start w:val="0"/>
      <w:numFmt w:val="bullet"/>
      <w:lvlText w:val="•"/>
      <w:lvlJc w:val="left"/>
      <w:pPr>
        <w:ind w:left="4936" w:hanging="420"/>
      </w:pPr>
      <w:rPr>
        <w:rFonts w:hint="default"/>
      </w:rPr>
    </w:lvl>
    <w:lvl w:ilvl="8">
      <w:start w:val="0"/>
      <w:numFmt w:val="bullet"/>
      <w:lvlText w:val="•"/>
      <w:lvlJc w:val="left"/>
      <w:pPr>
        <w:ind w:left="5544" w:hanging="420"/>
      </w:pPr>
      <w:rPr>
        <w:rFonts w:hint="default"/>
      </w:rPr>
    </w:lvl>
  </w:abstractNum>
  <w:abstractNum w:abstractNumId="7">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6">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5">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4">
    <w:multiLevelType w:val="hybridMultilevel"/>
    <w:lvl w:ilvl="0">
      <w:start w:val="29"/>
      <w:numFmt w:val="decimal"/>
      <w:lvlText w:val="(%1)"/>
      <w:lvlJc w:val="left"/>
      <w:pPr>
        <w:ind w:left="1199" w:hanging="840"/>
        <w:jc w:val="left"/>
      </w:pPr>
      <w:rPr>
        <w:rFonts w:hint="default" w:ascii="宋体" w:hAnsi="宋体" w:eastAsia="宋体" w:cs="宋体"/>
        <w:w w:val="100"/>
        <w:sz w:val="21"/>
        <w:szCs w:val="21"/>
      </w:rPr>
    </w:lvl>
    <w:lvl w:ilvl="1">
      <w:start w:val="0"/>
      <w:numFmt w:val="bullet"/>
      <w:lvlText w:val="•"/>
      <w:lvlJc w:val="left"/>
      <w:pPr>
        <w:ind w:left="1777" w:hanging="840"/>
      </w:pPr>
      <w:rPr>
        <w:rFonts w:hint="default"/>
      </w:rPr>
    </w:lvl>
    <w:lvl w:ilvl="2">
      <w:start w:val="0"/>
      <w:numFmt w:val="bullet"/>
      <w:lvlText w:val="•"/>
      <w:lvlJc w:val="left"/>
      <w:pPr>
        <w:ind w:left="2354" w:hanging="840"/>
      </w:pPr>
      <w:rPr>
        <w:rFonts w:hint="default"/>
      </w:rPr>
    </w:lvl>
    <w:lvl w:ilvl="3">
      <w:start w:val="0"/>
      <w:numFmt w:val="bullet"/>
      <w:lvlText w:val="•"/>
      <w:lvlJc w:val="left"/>
      <w:pPr>
        <w:ind w:left="2931" w:hanging="840"/>
      </w:pPr>
      <w:rPr>
        <w:rFonts w:hint="default"/>
      </w:rPr>
    </w:lvl>
    <w:lvl w:ilvl="4">
      <w:start w:val="0"/>
      <w:numFmt w:val="bullet"/>
      <w:lvlText w:val="•"/>
      <w:lvlJc w:val="left"/>
      <w:pPr>
        <w:ind w:left="3508" w:hanging="840"/>
      </w:pPr>
      <w:rPr>
        <w:rFonts w:hint="default"/>
      </w:rPr>
    </w:lvl>
    <w:lvl w:ilvl="5">
      <w:start w:val="0"/>
      <w:numFmt w:val="bullet"/>
      <w:lvlText w:val="•"/>
      <w:lvlJc w:val="left"/>
      <w:pPr>
        <w:ind w:left="4086" w:hanging="840"/>
      </w:pPr>
      <w:rPr>
        <w:rFonts w:hint="default"/>
      </w:rPr>
    </w:lvl>
    <w:lvl w:ilvl="6">
      <w:start w:val="0"/>
      <w:numFmt w:val="bullet"/>
      <w:lvlText w:val="•"/>
      <w:lvlJc w:val="left"/>
      <w:pPr>
        <w:ind w:left="4663" w:hanging="840"/>
      </w:pPr>
      <w:rPr>
        <w:rFonts w:hint="default"/>
      </w:rPr>
    </w:lvl>
    <w:lvl w:ilvl="7">
      <w:start w:val="0"/>
      <w:numFmt w:val="bullet"/>
      <w:lvlText w:val="•"/>
      <w:lvlJc w:val="left"/>
      <w:pPr>
        <w:ind w:left="5240" w:hanging="840"/>
      </w:pPr>
      <w:rPr>
        <w:rFonts w:hint="default"/>
      </w:rPr>
    </w:lvl>
    <w:lvl w:ilvl="8">
      <w:start w:val="0"/>
      <w:numFmt w:val="bullet"/>
      <w:lvlText w:val="•"/>
      <w:lvlJc w:val="left"/>
      <w:pPr>
        <w:ind w:left="5817" w:hanging="840"/>
      </w:pPr>
      <w:rPr>
        <w:rFonts w:hint="default"/>
      </w:rPr>
    </w:lvl>
  </w:abstractNum>
  <w:abstractNum w:abstractNumId="3">
    <w:multiLevelType w:val="hybridMultilevel"/>
    <w:lvl w:ilvl="0">
      <w:start w:val="1"/>
      <w:numFmt w:val="upperRoman"/>
      <w:lvlText w:val="%1"/>
      <w:lvlJc w:val="left"/>
      <w:pPr>
        <w:ind w:left="570" w:hanging="212"/>
        <w:jc w:val="left"/>
      </w:pPr>
      <w:rPr>
        <w:rFonts w:hint="default" w:ascii="宋体" w:hAnsi="宋体" w:eastAsia="宋体" w:cs="宋体"/>
        <w:w w:val="100"/>
        <w:sz w:val="21"/>
        <w:szCs w:val="21"/>
      </w:rPr>
    </w:lvl>
    <w:lvl w:ilvl="1">
      <w:start w:val="0"/>
      <w:numFmt w:val="bullet"/>
      <w:lvlText w:val="•"/>
      <w:lvlJc w:val="left"/>
      <w:pPr>
        <w:ind w:left="1219" w:hanging="212"/>
      </w:pPr>
      <w:rPr>
        <w:rFonts w:hint="default"/>
      </w:rPr>
    </w:lvl>
    <w:lvl w:ilvl="2">
      <w:start w:val="0"/>
      <w:numFmt w:val="bullet"/>
      <w:lvlText w:val="•"/>
      <w:lvlJc w:val="left"/>
      <w:pPr>
        <w:ind w:left="1858" w:hanging="212"/>
      </w:pPr>
      <w:rPr>
        <w:rFonts w:hint="default"/>
      </w:rPr>
    </w:lvl>
    <w:lvl w:ilvl="3">
      <w:start w:val="0"/>
      <w:numFmt w:val="bullet"/>
      <w:lvlText w:val="•"/>
      <w:lvlJc w:val="left"/>
      <w:pPr>
        <w:ind w:left="2497" w:hanging="212"/>
      </w:pPr>
      <w:rPr>
        <w:rFonts w:hint="default"/>
      </w:rPr>
    </w:lvl>
    <w:lvl w:ilvl="4">
      <w:start w:val="0"/>
      <w:numFmt w:val="bullet"/>
      <w:lvlText w:val="•"/>
      <w:lvlJc w:val="left"/>
      <w:pPr>
        <w:ind w:left="3136" w:hanging="212"/>
      </w:pPr>
      <w:rPr>
        <w:rFonts w:hint="default"/>
      </w:rPr>
    </w:lvl>
    <w:lvl w:ilvl="5">
      <w:start w:val="0"/>
      <w:numFmt w:val="bullet"/>
      <w:lvlText w:val="•"/>
      <w:lvlJc w:val="left"/>
      <w:pPr>
        <w:ind w:left="3776" w:hanging="212"/>
      </w:pPr>
      <w:rPr>
        <w:rFonts w:hint="default"/>
      </w:rPr>
    </w:lvl>
    <w:lvl w:ilvl="6">
      <w:start w:val="0"/>
      <w:numFmt w:val="bullet"/>
      <w:lvlText w:val="•"/>
      <w:lvlJc w:val="left"/>
      <w:pPr>
        <w:ind w:left="4415" w:hanging="212"/>
      </w:pPr>
      <w:rPr>
        <w:rFonts w:hint="default"/>
      </w:rPr>
    </w:lvl>
    <w:lvl w:ilvl="7">
      <w:start w:val="0"/>
      <w:numFmt w:val="bullet"/>
      <w:lvlText w:val="•"/>
      <w:lvlJc w:val="left"/>
      <w:pPr>
        <w:ind w:left="5054" w:hanging="212"/>
      </w:pPr>
      <w:rPr>
        <w:rFonts w:hint="default"/>
      </w:rPr>
    </w:lvl>
    <w:lvl w:ilvl="8">
      <w:start w:val="0"/>
      <w:numFmt w:val="bullet"/>
      <w:lvlText w:val="•"/>
      <w:lvlJc w:val="left"/>
      <w:pPr>
        <w:ind w:left="5693" w:hanging="212"/>
      </w:pPr>
      <w:rPr>
        <w:rFonts w:hint="default"/>
      </w:rPr>
    </w:lvl>
  </w:abstractNum>
  <w:abstractNum w:abstractNumId="2">
    <w:multiLevelType w:val="hybridMultilevel"/>
    <w:lvl w:ilvl="0">
      <w:start w:val="1"/>
      <w:numFmt w:val="lowerLetter"/>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70" w:hanging="420"/>
      </w:pPr>
      <w:rPr>
        <w:rFonts w:hint="default"/>
      </w:rPr>
    </w:lvl>
    <w:lvl w:ilvl="2">
      <w:start w:val="0"/>
      <w:numFmt w:val="bullet"/>
      <w:lvlText w:val="•"/>
      <w:lvlJc w:val="left"/>
      <w:pPr>
        <w:ind w:left="4681" w:hanging="420"/>
      </w:pPr>
      <w:rPr>
        <w:rFonts w:hint="default"/>
      </w:rPr>
    </w:lvl>
    <w:lvl w:ilvl="3">
      <w:start w:val="0"/>
      <w:numFmt w:val="bullet"/>
      <w:lvlText w:val="•"/>
      <w:lvlJc w:val="left"/>
      <w:pPr>
        <w:ind w:left="5291" w:hanging="420"/>
      </w:pPr>
      <w:rPr>
        <w:rFonts w:hint="default"/>
      </w:rPr>
    </w:lvl>
    <w:lvl w:ilvl="4">
      <w:start w:val="0"/>
      <w:numFmt w:val="bullet"/>
      <w:lvlText w:val="•"/>
      <w:lvlJc w:val="left"/>
      <w:pPr>
        <w:ind w:left="5902"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123"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345" w:hanging="420"/>
      </w:pPr>
      <w:rPr>
        <w:rFonts w:hint="default"/>
      </w:rPr>
    </w:lvl>
  </w:abstractNum>
  <w:abstractNum w:abstractNumId="1">
    <w:multiLevelType w:val="hybridMultilevel"/>
    <w:lvl w:ilvl="0">
      <w:start w:val="3"/>
      <w:numFmt w:val="decimal"/>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60" w:hanging="420"/>
      </w:pPr>
      <w:rPr>
        <w:rFonts w:hint="default"/>
      </w:rPr>
    </w:lvl>
    <w:lvl w:ilvl="2">
      <w:start w:val="0"/>
      <w:numFmt w:val="bullet"/>
      <w:lvlText w:val="•"/>
      <w:lvlJc w:val="left"/>
      <w:pPr>
        <w:ind w:left="4661" w:hanging="420"/>
      </w:pPr>
      <w:rPr>
        <w:rFonts w:hint="default"/>
      </w:rPr>
    </w:lvl>
    <w:lvl w:ilvl="3">
      <w:start w:val="0"/>
      <w:numFmt w:val="bullet"/>
      <w:lvlText w:val="•"/>
      <w:lvlJc w:val="left"/>
      <w:pPr>
        <w:ind w:left="5261" w:hanging="420"/>
      </w:pPr>
      <w:rPr>
        <w:rFonts w:hint="default"/>
      </w:rPr>
    </w:lvl>
    <w:lvl w:ilvl="4">
      <w:start w:val="0"/>
      <w:numFmt w:val="bullet"/>
      <w:lvlText w:val="•"/>
      <w:lvlJc w:val="left"/>
      <w:pPr>
        <w:ind w:left="5862" w:hanging="420"/>
      </w:pPr>
      <w:rPr>
        <w:rFonts w:hint="default"/>
      </w:rPr>
    </w:lvl>
    <w:lvl w:ilvl="5">
      <w:start w:val="0"/>
      <w:numFmt w:val="bullet"/>
      <w:lvlText w:val="•"/>
      <w:lvlJc w:val="left"/>
      <w:pPr>
        <w:ind w:left="6463" w:hanging="420"/>
      </w:pPr>
      <w:rPr>
        <w:rFonts w:hint="default"/>
      </w:rPr>
    </w:lvl>
    <w:lvl w:ilvl="6">
      <w:start w:val="0"/>
      <w:numFmt w:val="bullet"/>
      <w:lvlText w:val="•"/>
      <w:lvlJc w:val="left"/>
      <w:pPr>
        <w:ind w:left="7063" w:hanging="420"/>
      </w:pPr>
      <w:rPr>
        <w:rFonts w:hint="default"/>
      </w:rPr>
    </w:lvl>
    <w:lvl w:ilvl="7">
      <w:start w:val="0"/>
      <w:numFmt w:val="bullet"/>
      <w:lvlText w:val="•"/>
      <w:lvlJc w:val="left"/>
      <w:pPr>
        <w:ind w:left="7664" w:hanging="420"/>
      </w:pPr>
      <w:rPr>
        <w:rFonts w:hint="default"/>
      </w:rPr>
    </w:lvl>
    <w:lvl w:ilvl="8">
      <w:start w:val="0"/>
      <w:numFmt w:val="bullet"/>
      <w:lvlText w:val="•"/>
      <w:lvlJc w:val="left"/>
      <w:pPr>
        <w:ind w:left="8265" w:hanging="420"/>
      </w:pPr>
      <w:rPr>
        <w:rFonts w:hint="default"/>
      </w:rPr>
    </w:lvl>
  </w:abstractNum>
  <w:abstractNum w:abstractNumId="0">
    <w:multiLevelType w:val="hybridMultilevel"/>
    <w:lvl w:ilvl="0">
      <w:start w:val="1"/>
      <w:numFmt w:val="decimal"/>
      <w:lvlText w:val="(%1)"/>
      <w:lvlJc w:val="left"/>
      <w:pPr>
        <w:ind w:left="778" w:hanging="420"/>
        <w:jc w:val="left"/>
      </w:pPr>
      <w:rPr>
        <w:rFonts w:hint="default" w:ascii="宋体" w:hAnsi="宋体" w:eastAsia="宋体" w:cs="宋体"/>
        <w:w w:val="100"/>
        <w:sz w:val="21"/>
        <w:szCs w:val="21"/>
      </w:rPr>
    </w:lvl>
    <w:lvl w:ilvl="1">
      <w:start w:val="0"/>
      <w:numFmt w:val="bullet"/>
      <w:lvlText w:val="•"/>
      <w:lvlJc w:val="left"/>
      <w:pPr>
        <w:ind w:left="1379" w:hanging="420"/>
      </w:pPr>
      <w:rPr>
        <w:rFonts w:hint="default"/>
      </w:rPr>
    </w:lvl>
    <w:lvl w:ilvl="2">
      <w:start w:val="0"/>
      <w:numFmt w:val="bullet"/>
      <w:lvlText w:val="•"/>
      <w:lvlJc w:val="left"/>
      <w:pPr>
        <w:ind w:left="1978" w:hanging="420"/>
      </w:pPr>
      <w:rPr>
        <w:rFonts w:hint="default"/>
      </w:rPr>
    </w:lvl>
    <w:lvl w:ilvl="3">
      <w:start w:val="0"/>
      <w:numFmt w:val="bullet"/>
      <w:lvlText w:val="•"/>
      <w:lvlJc w:val="left"/>
      <w:pPr>
        <w:ind w:left="2577" w:hanging="420"/>
      </w:pPr>
      <w:rPr>
        <w:rFonts w:hint="default"/>
      </w:rPr>
    </w:lvl>
    <w:lvl w:ilvl="4">
      <w:start w:val="0"/>
      <w:numFmt w:val="bullet"/>
      <w:lvlText w:val="•"/>
      <w:lvlJc w:val="left"/>
      <w:pPr>
        <w:ind w:left="3177" w:hanging="420"/>
      </w:pPr>
      <w:rPr>
        <w:rFonts w:hint="default"/>
      </w:rPr>
    </w:lvl>
    <w:lvl w:ilvl="5">
      <w:start w:val="0"/>
      <w:numFmt w:val="bullet"/>
      <w:lvlText w:val="•"/>
      <w:lvlJc w:val="left"/>
      <w:pPr>
        <w:ind w:left="3776" w:hanging="420"/>
      </w:pPr>
      <w:rPr>
        <w:rFonts w:hint="default"/>
      </w:rPr>
    </w:lvl>
    <w:lvl w:ilvl="6">
      <w:start w:val="0"/>
      <w:numFmt w:val="bullet"/>
      <w:lvlText w:val="•"/>
      <w:lvlJc w:val="left"/>
      <w:pPr>
        <w:ind w:left="4375" w:hanging="420"/>
      </w:pPr>
      <w:rPr>
        <w:rFonts w:hint="default"/>
      </w:rPr>
    </w:lvl>
    <w:lvl w:ilvl="7">
      <w:start w:val="0"/>
      <w:numFmt w:val="bullet"/>
      <w:lvlText w:val="•"/>
      <w:lvlJc w:val="left"/>
      <w:pPr>
        <w:ind w:left="4975" w:hanging="420"/>
      </w:pPr>
      <w:rPr>
        <w:rFonts w:hint="default"/>
      </w:rPr>
    </w:lvl>
    <w:lvl w:ilvl="8">
      <w:start w:val="0"/>
      <w:numFmt w:val="bullet"/>
      <w:lvlText w:val="•"/>
      <w:lvlJc w:val="left"/>
      <w:pPr>
        <w:ind w:left="5574" w:hanging="42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8"/>
      <w:ind w:left="3049"/>
    </w:pPr>
    <w:rPr>
      <w:rFonts w:ascii="宋体" w:hAnsi="宋体" w:eastAsia="宋体" w:cs="宋体"/>
      <w:sz w:val="21"/>
      <w:szCs w:val="21"/>
    </w:rPr>
  </w:style>
  <w:style w:styleId="ListParagraph" w:type="paragraph">
    <w:name w:val="List Paragraph"/>
    <w:basedOn w:val="Normal"/>
    <w:uiPriority w:val="1"/>
    <w:qFormat/>
    <w:pPr>
      <w:ind w:left="3889" w:hanging="840"/>
    </w:pPr>
    <w:rPr>
      <w:rFonts w:ascii="宋体" w:hAnsi="宋体" w:eastAsia="宋体" w:cs="宋体"/>
    </w:rPr>
  </w:style>
  <w:style w:styleId="TableParagraph" w:type="paragraph">
    <w:name w:val="Table Paragraph"/>
    <w:basedOn w:val="Normal"/>
    <w:uiPriority w:val="1"/>
    <w:qFormat/>
    <w:pPr>
      <w:ind w:left="14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WangYL</dc:creator>
  <dc:title>中航三星人寿保险有限公司</dc:title>
  <dcterms:created xsi:type="dcterms:W3CDTF">2018-10-20T03:23:51Z</dcterms:created>
  <dcterms:modified xsi:type="dcterms:W3CDTF">2018-10-20T03:23:51Z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2015-09-11T00:00:00Z</vt:filetime>
  </property>
  <property fmtid="{D5CDD505-2E9C-101B-9397-08002B2CF9AE}" pid="3" name="Creator">
    <vt:lpwstr>Microsoft® Word 2010</vt:lpwstr>
  </property>
  <property fmtid="{D5CDD505-2E9C-101B-9397-08002B2CF9AE}" pid="4" name="LastSaved">
    <vt:filetime>2018-10-19T00:00:00Z</vt:filetime>
  </property>
</Properties>
</file>