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4775">
            <wp:simplePos x="0" y="0"/>
            <wp:positionH relativeFrom="page">
              <wp:posOffset>5763259</wp:posOffset>
            </wp:positionH>
            <wp:positionV relativeFrom="page">
              <wp:posOffset>1580514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3"/>
        <w:ind w:left="0"/>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63" w:hRule="atLeast"/>
        </w:trPr>
        <w:tc>
          <w:tcPr>
            <w:tcW w:w="4659" w:type="dxa"/>
          </w:tcPr>
          <w:p>
            <w:pPr>
              <w:pStyle w:val="TableParagraph"/>
              <w:spacing w:before="0"/>
              <w:ind w:left="0"/>
              <w:rPr>
                <w:rFonts w:ascii="Times New Roman"/>
                <w:sz w:val="20"/>
              </w:rPr>
            </w:pPr>
          </w:p>
        </w:tc>
        <w:tc>
          <w:tcPr>
            <w:tcW w:w="4662" w:type="dxa"/>
          </w:tcPr>
          <w:p>
            <w:pPr>
              <w:pStyle w:val="TableParagraph"/>
              <w:spacing w:line="211" w:lineRule="exact" w:before="0"/>
              <w:ind w:left="1190"/>
              <w:rPr>
                <w:rFonts w:ascii="仿宋" w:eastAsia="仿宋" w:hint="eastAsia"/>
                <w:sz w:val="21"/>
              </w:rPr>
            </w:pPr>
            <w:r>
              <w:rPr>
                <w:rFonts w:ascii="仿宋" w:eastAsia="仿宋" w:hint="eastAsia"/>
                <w:sz w:val="21"/>
              </w:rPr>
              <w:t>中银三星人寿[2015]疾病保险 032 号</w:t>
            </w:r>
          </w:p>
        </w:tc>
      </w:tr>
      <w:tr>
        <w:trPr>
          <w:trHeight w:val="1857" w:hRule="atLeast"/>
        </w:trPr>
        <w:tc>
          <w:tcPr>
            <w:tcW w:w="9321" w:type="dxa"/>
            <w:gridSpan w:val="2"/>
          </w:tcPr>
          <w:p>
            <w:pPr>
              <w:pStyle w:val="TableParagraph"/>
              <w:spacing w:before="53"/>
              <w:ind w:left="2005" w:right="2008"/>
              <w:jc w:val="center"/>
              <w:rPr>
                <w:b/>
                <w:sz w:val="32"/>
              </w:rPr>
            </w:pPr>
            <w:r>
              <w:rPr>
                <w:b/>
                <w:w w:val="95"/>
                <w:sz w:val="32"/>
              </w:rPr>
              <w:t>中银三星人寿保险有限公司</w:t>
            </w:r>
          </w:p>
          <w:p>
            <w:pPr>
              <w:pStyle w:val="TableParagraph"/>
              <w:spacing w:before="130"/>
              <w:ind w:left="2008" w:right="2008"/>
              <w:jc w:val="center"/>
              <w:rPr>
                <w:b/>
                <w:sz w:val="24"/>
              </w:rPr>
            </w:pPr>
            <w:r>
              <w:rPr>
                <w:b/>
                <w:w w:val="95"/>
                <w:sz w:val="24"/>
              </w:rPr>
              <w:t>中银三星附加家诺保险费豁免定期重大疾病保险条款</w:t>
            </w:r>
          </w:p>
          <w:p>
            <w:pPr>
              <w:pStyle w:val="TableParagraph"/>
              <w:spacing w:before="29"/>
              <w:ind w:left="2008" w:right="2006"/>
              <w:jc w:val="center"/>
              <w:rPr>
                <w:b/>
                <w:sz w:val="24"/>
              </w:rPr>
            </w:pPr>
            <w:r>
              <w:rPr>
                <w:b/>
                <w:sz w:val="24"/>
              </w:rPr>
              <w:t>（2015 年 9 月）</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321" w:type="dxa"/>
            <w:gridSpan w:val="2"/>
          </w:tcPr>
          <w:p>
            <w:pPr>
              <w:pStyle w:val="TableParagraph"/>
              <w:spacing w:before="8"/>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7"/>
              <w:ind w:left="2008" w:right="2007"/>
              <w:jc w:val="center"/>
              <w:rPr>
                <w:b/>
                <w:sz w:val="21"/>
              </w:rPr>
            </w:pPr>
            <w:r>
              <w:rPr>
                <w:b/>
                <w:sz w:val="21"/>
              </w:rPr>
              <w:t>条款目录</w:t>
            </w:r>
          </w:p>
        </w:tc>
      </w:tr>
      <w:tr>
        <w:trPr>
          <w:trHeight w:val="6955" w:hRule="atLeast"/>
        </w:trPr>
        <w:tc>
          <w:tcPr>
            <w:tcW w:w="4659" w:type="dxa"/>
            <w:tcBorders>
              <w:right w:val="single" w:sz="4" w:space="0" w:color="000000"/>
            </w:tcBorders>
          </w:tcPr>
          <w:p>
            <w:pPr>
              <w:pStyle w:val="TableParagraph"/>
              <w:spacing w:line="300" w:lineRule="auto" w:before="47"/>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第五条</w:t>
              <w:tab/>
              <w:t>保</w:t>
            </w:r>
            <w:r>
              <w:rPr>
                <w:spacing w:val="-3"/>
                <w:sz w:val="21"/>
              </w:rPr>
              <w:t>险</w:t>
            </w:r>
            <w:r>
              <w:rPr>
                <w:sz w:val="21"/>
              </w:rPr>
              <w:t>金额</w:t>
            </w:r>
          </w:p>
          <w:p>
            <w:pPr>
              <w:pStyle w:val="TableParagraph"/>
              <w:tabs>
                <w:tab w:pos="1579" w:val="left" w:leader="none"/>
              </w:tabs>
              <w:spacing w:before="16"/>
              <w:ind w:left="528"/>
              <w:rPr>
                <w:sz w:val="21"/>
              </w:rPr>
            </w:pPr>
            <w:r>
              <w:rPr>
                <w:sz w:val="21"/>
              </w:rPr>
              <w:t>第六条</w:t>
              <w:tab/>
              <w:t>保</w:t>
            </w:r>
            <w:r>
              <w:rPr>
                <w:spacing w:val="-3"/>
                <w:sz w:val="21"/>
              </w:rPr>
              <w:t>险</w:t>
            </w:r>
            <w:r>
              <w:rPr>
                <w:sz w:val="21"/>
              </w:rPr>
              <w:t>费</w:t>
            </w:r>
          </w:p>
          <w:p>
            <w:pPr>
              <w:pStyle w:val="TableParagraph"/>
              <w:tabs>
                <w:tab w:pos="1579" w:val="left" w:leader="none"/>
              </w:tabs>
              <w:ind w:left="528"/>
              <w:rPr>
                <w:sz w:val="21"/>
              </w:rPr>
            </w:pPr>
            <w:r>
              <w:rPr>
                <w:sz w:val="21"/>
              </w:rPr>
              <w:t>第七条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ind w:left="108" w:right="159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豁</w:t>
            </w:r>
            <w:r>
              <w:rPr>
                <w:b/>
                <w:spacing w:val="-3"/>
                <w:sz w:val="21"/>
              </w:rPr>
              <w:t>免</w:t>
            </w:r>
            <w:r>
              <w:rPr>
                <w:b/>
                <w:sz w:val="21"/>
              </w:rPr>
              <w:t>保</w:t>
            </w:r>
            <w:r>
              <w:rPr>
                <w:b/>
                <w:spacing w:val="-3"/>
                <w:sz w:val="21"/>
              </w:rPr>
              <w:t>险</w:t>
            </w:r>
            <w:r>
              <w:rPr>
                <w:b/>
                <w:sz w:val="21"/>
              </w:rPr>
              <w:t>费申请</w:t>
            </w:r>
          </w:p>
          <w:p>
            <w:pPr>
              <w:pStyle w:val="TableParagraph"/>
              <w:tabs>
                <w:tab w:pos="1579" w:val="left" w:leader="none"/>
              </w:tabs>
              <w:spacing w:line="300" w:lineRule="auto" w:before="16"/>
              <w:ind w:left="528" w:right="1603"/>
              <w:rPr>
                <w:sz w:val="21"/>
              </w:rPr>
            </w:pPr>
            <w:r>
              <w:rPr>
                <w:sz w:val="21"/>
              </w:rPr>
              <w:t>第十</w:t>
            </w:r>
            <w:r>
              <w:rPr>
                <w:spacing w:val="-3"/>
                <w:sz w:val="21"/>
              </w:rPr>
              <w:t>一</w:t>
            </w:r>
            <w:r>
              <w:rPr>
                <w:sz w:val="21"/>
              </w:rPr>
              <w:t>条</w:t>
              <w:tab/>
              <w:t>豁</w:t>
            </w:r>
            <w:r>
              <w:rPr>
                <w:spacing w:val="-3"/>
                <w:sz w:val="21"/>
              </w:rPr>
              <w:t>免</w:t>
            </w:r>
            <w:r>
              <w:rPr>
                <w:sz w:val="21"/>
              </w:rPr>
              <w:t>保</w:t>
            </w:r>
            <w:r>
              <w:rPr>
                <w:spacing w:val="-3"/>
                <w:sz w:val="21"/>
              </w:rPr>
              <w:t>险</w:t>
            </w:r>
            <w:r>
              <w:rPr>
                <w:sz w:val="21"/>
              </w:rPr>
              <w:t>费</w:t>
            </w:r>
            <w:r>
              <w:rPr>
                <w:spacing w:val="-3"/>
                <w:sz w:val="21"/>
              </w:rPr>
              <w:t>申请 </w:t>
            </w:r>
            <w:r>
              <w:rPr>
                <w:sz w:val="21"/>
              </w:rPr>
              <w:t>第十</w:t>
            </w:r>
            <w:r>
              <w:rPr>
                <w:spacing w:val="-3"/>
                <w:sz w:val="21"/>
              </w:rPr>
              <w:t>二</w:t>
            </w:r>
            <w:r>
              <w:rPr>
                <w:sz w:val="21"/>
              </w:rPr>
              <w:t>条</w:t>
              <w:tab/>
              <w:t>诉</w:t>
            </w:r>
            <w:r>
              <w:rPr>
                <w:spacing w:val="-3"/>
                <w:sz w:val="21"/>
              </w:rPr>
              <w:t>讼</w:t>
            </w:r>
            <w:r>
              <w:rPr>
                <w:sz w:val="21"/>
              </w:rPr>
              <w:t>时效</w:t>
            </w:r>
          </w:p>
          <w:p>
            <w:pPr>
              <w:pStyle w:val="TableParagraph"/>
              <w:tabs>
                <w:tab w:pos="1579" w:val="left" w:leader="none"/>
              </w:tabs>
              <w:spacing w:line="300" w:lineRule="auto" w:before="16"/>
              <w:ind w:left="108" w:right="2223" w:firstLine="420"/>
              <w:rPr>
                <w:b/>
                <w:sz w:val="21"/>
              </w:rPr>
            </w:pPr>
            <w:r>
              <w:rPr>
                <w:sz w:val="21"/>
              </w:rPr>
              <w:t>第十</w:t>
            </w:r>
            <w:r>
              <w:rPr>
                <w:spacing w:val="-3"/>
                <w:sz w:val="21"/>
              </w:rPr>
              <w:t>三</w:t>
            </w:r>
            <w:r>
              <w:rPr>
                <w:sz w:val="21"/>
              </w:rPr>
              <w:t>条</w:t>
              <w:tab/>
              <w:t>欠</w:t>
            </w:r>
            <w:r>
              <w:rPr>
                <w:spacing w:val="-3"/>
                <w:sz w:val="21"/>
              </w:rPr>
              <w:t>款</w:t>
            </w:r>
            <w:r>
              <w:rPr>
                <w:sz w:val="21"/>
              </w:rPr>
              <w:t>扣除 </w:t>
            </w:r>
            <w:r>
              <w:rPr>
                <w:b/>
                <w:sz w:val="21"/>
              </w:rPr>
              <w:t>第六章</w:t>
              <w:tab/>
              <w:t>一</w:t>
            </w:r>
            <w:r>
              <w:rPr>
                <w:b/>
                <w:spacing w:val="-3"/>
                <w:sz w:val="21"/>
              </w:rPr>
              <w:t>般</w:t>
            </w:r>
            <w:r>
              <w:rPr>
                <w:b/>
                <w:sz w:val="21"/>
              </w:rPr>
              <w:t>条款</w:t>
            </w:r>
          </w:p>
          <w:p>
            <w:pPr>
              <w:pStyle w:val="TableParagraph"/>
              <w:tabs>
                <w:tab w:pos="1581" w:val="left" w:leader="none"/>
              </w:tabs>
              <w:spacing w:before="16"/>
              <w:ind w:left="530"/>
              <w:rPr>
                <w:sz w:val="21"/>
              </w:rPr>
            </w:pPr>
            <w:r>
              <w:rPr>
                <w:sz w:val="21"/>
              </w:rPr>
              <w:t>第</w:t>
            </w:r>
            <w:r>
              <w:rPr>
                <w:spacing w:val="-3"/>
                <w:sz w:val="21"/>
              </w:rPr>
              <w:t>十</w:t>
            </w:r>
            <w:r>
              <w:rPr>
                <w:sz w:val="21"/>
              </w:rPr>
              <w:t>四条</w:t>
              <w:tab/>
            </w:r>
            <w:r>
              <w:rPr>
                <w:spacing w:val="-3"/>
                <w:sz w:val="21"/>
              </w:rPr>
              <w:t>投</w:t>
            </w:r>
            <w:r>
              <w:rPr>
                <w:sz w:val="21"/>
              </w:rPr>
              <w:t>保</w:t>
            </w:r>
            <w:r>
              <w:rPr>
                <w:spacing w:val="-3"/>
                <w:sz w:val="21"/>
              </w:rPr>
              <w:t>年龄</w:t>
            </w:r>
            <w:r>
              <w:rPr>
                <w:sz w:val="21"/>
              </w:rPr>
              <w:t>范围</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第七章</w:t>
              <w:tab/>
              <w:t>释义</w:t>
            </w:r>
            <w:r>
              <w:rPr>
                <w:sz w:val="21"/>
              </w:rPr>
              <w:t>第十</w:t>
            </w:r>
            <w:r>
              <w:rPr>
                <w:spacing w:val="-3"/>
                <w:sz w:val="21"/>
              </w:rPr>
              <w:t>五</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身</w:t>
            </w:r>
            <w:r>
              <w:rPr>
                <w:spacing w:val="-3"/>
                <w:sz w:val="21"/>
              </w:rPr>
              <w:t>体</w:t>
            </w:r>
            <w:r>
              <w:rPr>
                <w:sz w:val="21"/>
              </w:rPr>
              <w:t>高</w:t>
            </w:r>
            <w:r>
              <w:rPr>
                <w:spacing w:val="-3"/>
                <w:sz w:val="21"/>
              </w:rPr>
              <w:t>度</w:t>
            </w:r>
            <w:r>
              <w:rPr>
                <w:sz w:val="21"/>
              </w:rPr>
              <w:t>残疾</w:t>
            </w:r>
          </w:p>
          <w:p>
            <w:pPr>
              <w:pStyle w:val="TableParagraph"/>
              <w:tabs>
                <w:tab w:pos="1574" w:val="left" w:leader="none"/>
              </w:tabs>
              <w:ind w:left="523"/>
              <w:rPr>
                <w:sz w:val="21"/>
              </w:rPr>
            </w:pPr>
            <w:r>
              <w:rPr>
                <w:sz w:val="21"/>
              </w:rPr>
              <w:t>六</w:t>
              <w:tab/>
              <w:t>毒品</w:t>
            </w:r>
          </w:p>
          <w:p>
            <w:pPr>
              <w:pStyle w:val="TableParagraph"/>
              <w:tabs>
                <w:tab w:pos="1574" w:val="left" w:leader="none"/>
              </w:tabs>
              <w:ind w:left="523"/>
              <w:rPr>
                <w:sz w:val="21"/>
              </w:rPr>
            </w:pPr>
            <w:r>
              <w:rPr>
                <w:sz w:val="21"/>
              </w:rPr>
              <w:t>七</w:t>
              <w:tab/>
              <w:t>酒</w:t>
            </w:r>
            <w:r>
              <w:rPr>
                <w:spacing w:val="-3"/>
                <w:sz w:val="21"/>
              </w:rPr>
              <w:t>后</w:t>
            </w:r>
            <w:r>
              <w:rPr>
                <w:sz w:val="21"/>
              </w:rPr>
              <w:t>驾驶</w:t>
            </w:r>
          </w:p>
          <w:p>
            <w:pPr>
              <w:pStyle w:val="TableParagraph"/>
              <w:tabs>
                <w:tab w:pos="1574" w:val="left" w:leader="none"/>
              </w:tabs>
              <w:ind w:left="523"/>
              <w:rPr>
                <w:sz w:val="21"/>
              </w:rPr>
            </w:pPr>
            <w:r>
              <w:rPr>
                <w:sz w:val="21"/>
              </w:rPr>
              <w:t>八</w:t>
              <w:tab/>
              <w:t>无</w:t>
            </w:r>
            <w:r>
              <w:rPr>
                <w:spacing w:val="-3"/>
                <w:sz w:val="21"/>
              </w:rPr>
              <w:t>合</w:t>
            </w:r>
            <w:r>
              <w:rPr>
                <w:sz w:val="21"/>
              </w:rPr>
              <w:t>法</w:t>
            </w:r>
            <w:r>
              <w:rPr>
                <w:spacing w:val="-3"/>
                <w:sz w:val="21"/>
              </w:rPr>
              <w:t>有</w:t>
            </w:r>
            <w:r>
              <w:rPr>
                <w:sz w:val="21"/>
              </w:rPr>
              <w:t>效</w:t>
            </w:r>
            <w:r>
              <w:rPr>
                <w:spacing w:val="-3"/>
                <w:sz w:val="21"/>
              </w:rPr>
              <w:t>驾</w:t>
            </w:r>
            <w:r>
              <w:rPr>
                <w:sz w:val="21"/>
              </w:rPr>
              <w:t>驶证驾</w:t>
            </w:r>
          </w:p>
          <w:p>
            <w:pPr>
              <w:pStyle w:val="TableParagraph"/>
              <w:tabs>
                <w:tab w:pos="1574" w:val="left" w:leader="none"/>
              </w:tabs>
              <w:ind w:left="523"/>
              <w:rPr>
                <w:sz w:val="21"/>
              </w:rPr>
            </w:pPr>
            <w:r>
              <w:rPr>
                <w:sz w:val="21"/>
              </w:rPr>
              <w:t>九</w:t>
              <w:tab/>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十</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十一</w:t>
              <w:tab/>
              <w:t>现</w:t>
            </w:r>
            <w:r>
              <w:rPr>
                <w:spacing w:val="-3"/>
                <w:sz w:val="21"/>
              </w:rPr>
              <w:t>金</w:t>
            </w:r>
            <w:r>
              <w:rPr>
                <w:sz w:val="21"/>
              </w:rPr>
              <w:t>价值</w:t>
            </w:r>
          </w:p>
          <w:p>
            <w:pPr>
              <w:pStyle w:val="TableParagraph"/>
              <w:tabs>
                <w:tab w:pos="1574" w:val="left" w:leader="none"/>
              </w:tabs>
              <w:ind w:left="523"/>
              <w:rPr>
                <w:sz w:val="21"/>
              </w:rPr>
            </w:pPr>
            <w:r>
              <w:rPr>
                <w:sz w:val="21"/>
              </w:rPr>
              <w:t>十二</w:t>
              <w:tab/>
              <w:t>专</w:t>
            </w:r>
            <w:r>
              <w:rPr>
                <w:spacing w:val="-3"/>
                <w:sz w:val="21"/>
              </w:rPr>
              <w:t>科</w:t>
            </w:r>
            <w:r>
              <w:rPr>
                <w:sz w:val="21"/>
              </w:rPr>
              <w:t>医生</w:t>
            </w:r>
          </w:p>
          <w:p>
            <w:pPr>
              <w:pStyle w:val="TableParagraph"/>
              <w:tabs>
                <w:tab w:pos="1574" w:val="left" w:leader="none"/>
              </w:tabs>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十四</w:t>
              <w:tab/>
              <w:tab/>
              <w:t>语言能力或咀嚼吞咽能力完全丧 失</w:t>
            </w:r>
          </w:p>
          <w:p>
            <w:pPr>
              <w:pStyle w:val="TableParagraph"/>
              <w:tabs>
                <w:tab w:pos="1574" w:val="left" w:leader="none"/>
              </w:tabs>
              <w:spacing w:line="300" w:lineRule="auto" w:before="16"/>
              <w:ind w:left="523" w:right="977"/>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十七</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470"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49" w:hRule="atLeast"/>
        </w:trPr>
        <w:tc>
          <w:tcPr>
            <w:tcW w:w="9372"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1887"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before="2"/>
              <w:ind w:left="149"/>
              <w:rPr>
                <w:sz w:val="21"/>
              </w:rPr>
            </w:pPr>
            <w:r>
              <w:rPr>
                <w:sz w:val="21"/>
              </w:rPr>
              <w:t>《中银三星附加家诺保险费豁免定期重大疾病保险》合同（以下简称</w:t>
            </w:r>
          </w:p>
          <w:p>
            <w:pPr>
              <w:pStyle w:val="TableParagraph"/>
              <w:spacing w:line="300" w:lineRule="auto"/>
              <w:ind w:left="149" w:right="102"/>
              <w:jc w:val="both"/>
              <w:rPr>
                <w:sz w:val="21"/>
              </w:rPr>
            </w:pPr>
            <w:r>
              <w:rPr>
                <w:sz w:val="21"/>
              </w:rPr>
              <w:t>“本附加合同”），依主保险合同（以下简称“主合同”）投保人的申请，经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858" w:hRule="atLeast"/>
        </w:trPr>
        <w:tc>
          <w:tcPr>
            <w:tcW w:w="1070" w:type="dxa"/>
          </w:tcPr>
          <w:p>
            <w:pPr>
              <w:pStyle w:val="TableParagraph"/>
              <w:spacing w:before="174"/>
              <w:ind w:left="108"/>
              <w:rPr>
                <w:sz w:val="21"/>
              </w:rPr>
            </w:pPr>
            <w:r>
              <w:rPr>
                <w:sz w:val="21"/>
              </w:rPr>
              <w:t>第二条</w:t>
            </w:r>
          </w:p>
        </w:tc>
        <w:tc>
          <w:tcPr>
            <w:tcW w:w="1740" w:type="dxa"/>
          </w:tcPr>
          <w:p>
            <w:pPr>
              <w:pStyle w:val="TableParagraph"/>
              <w:spacing w:before="174"/>
              <w:ind w:left="329"/>
              <w:rPr>
                <w:sz w:val="21"/>
              </w:rPr>
            </w:pPr>
            <w:r>
              <w:rPr>
                <w:sz w:val="21"/>
              </w:rPr>
              <w:t>投保对象</w:t>
            </w:r>
          </w:p>
        </w:tc>
        <w:tc>
          <w:tcPr>
            <w:tcW w:w="6562" w:type="dxa"/>
          </w:tcPr>
          <w:p>
            <w:pPr>
              <w:pStyle w:val="TableParagraph"/>
              <w:spacing w:before="174"/>
              <w:ind w:left="149"/>
              <w:rPr>
                <w:sz w:val="21"/>
              </w:rPr>
            </w:pPr>
            <w:r>
              <w:rPr>
                <w:sz w:val="21"/>
              </w:rPr>
              <w:t>主合同的投保人可作为本附加合同的被保险人投保本附加合同。</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7485" w:hRule="atLeast"/>
        </w:trPr>
        <w:tc>
          <w:tcPr>
            <w:tcW w:w="1070" w:type="dxa"/>
          </w:tcPr>
          <w:p>
            <w:pPr>
              <w:pStyle w:val="TableParagraph"/>
              <w:spacing w:before="2"/>
              <w:ind w:left="108"/>
              <w:rPr>
                <w:sz w:val="21"/>
              </w:rPr>
            </w:pPr>
            <w:r>
              <w:rPr>
                <w:sz w:val="21"/>
              </w:rPr>
              <w:t>第三条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left="149" w:right="1575"/>
              <w:rPr>
                <w:sz w:val="21"/>
              </w:rPr>
            </w:pPr>
            <w:r>
              <w:rPr>
                <w:sz w:val="21"/>
              </w:rPr>
              <w:t>在本附加合同有效期内，本公司承担下列保险责任： 一、重大疾病豁免保险费</w:t>
            </w:r>
          </w:p>
          <w:p>
            <w:pPr>
              <w:pStyle w:val="TableParagraph"/>
              <w:spacing w:line="300" w:lineRule="auto" w:before="16"/>
              <w:ind w:left="149" w:right="-15"/>
              <w:rPr>
                <w:sz w:val="21"/>
              </w:rPr>
            </w:pPr>
            <w:r>
              <w:rPr>
                <w:spacing w:val="-3"/>
                <w:sz w:val="21"/>
              </w:rPr>
              <w:t>若被保险人于本附加合同生效日</w:t>
            </w:r>
            <w:r>
              <w:rPr>
                <w:sz w:val="21"/>
              </w:rPr>
              <w:t>（</w:t>
            </w:r>
            <w:r>
              <w:rPr>
                <w:spacing w:val="-3"/>
                <w:sz w:val="21"/>
              </w:rPr>
              <w:t>对于恢复效力的合同，则为最后一次效力恢复日</w:t>
            </w:r>
            <w:r>
              <w:rPr>
                <w:spacing w:val="-34"/>
                <w:sz w:val="21"/>
              </w:rPr>
              <w:t>）</w:t>
            </w:r>
            <w:r>
              <w:rPr>
                <w:spacing w:val="-24"/>
                <w:sz w:val="21"/>
              </w:rPr>
              <w:t>起 </w:t>
            </w:r>
            <w:r>
              <w:rPr>
                <w:sz w:val="21"/>
              </w:rPr>
              <w:t>90</w:t>
            </w:r>
            <w:r>
              <w:rPr>
                <w:spacing w:val="-10"/>
                <w:sz w:val="21"/>
              </w:rPr>
              <w:t> 日后初次发病并经</w:t>
            </w:r>
            <w:r>
              <w:rPr>
                <w:b/>
                <w:spacing w:val="-17"/>
                <w:sz w:val="21"/>
              </w:rPr>
              <w:t>医院</w:t>
            </w:r>
            <w:r>
              <w:rPr>
                <w:sz w:val="21"/>
              </w:rPr>
              <w:t>（</w:t>
            </w:r>
            <w:r>
              <w:rPr>
                <w:spacing w:val="-2"/>
                <w:sz w:val="21"/>
              </w:rPr>
              <w:t>见释义二</w:t>
            </w:r>
            <w:r>
              <w:rPr>
                <w:spacing w:val="-34"/>
                <w:sz w:val="21"/>
              </w:rPr>
              <w:t>）</w:t>
            </w:r>
            <w:r>
              <w:rPr>
                <w:spacing w:val="-3"/>
                <w:sz w:val="21"/>
              </w:rPr>
              <w:t>确诊患本附加合同所定义的</w:t>
            </w:r>
            <w:r>
              <w:rPr>
                <w:b/>
                <w:sz w:val="21"/>
              </w:rPr>
              <w:t>重大疾病</w:t>
            </w:r>
            <w:r>
              <w:rPr>
                <w:sz w:val="21"/>
              </w:rPr>
              <w:t>（</w:t>
            </w:r>
            <w:r>
              <w:rPr>
                <w:spacing w:val="-3"/>
                <w:sz w:val="21"/>
              </w:rPr>
              <w:t>见释义三</w:t>
            </w:r>
            <w:r>
              <w:rPr>
                <w:sz w:val="21"/>
              </w:rPr>
              <w:t>）（</w:t>
            </w:r>
            <w:r>
              <w:rPr>
                <w:spacing w:val="-3"/>
                <w:sz w:val="21"/>
              </w:rPr>
              <w:t>无论一种或多种</w:t>
            </w:r>
            <w:r>
              <w:rPr>
                <w:sz w:val="21"/>
              </w:rPr>
              <w:t>）</w:t>
            </w:r>
            <w:r>
              <w:rPr>
                <w:spacing w:val="-1"/>
                <w:sz w:val="21"/>
              </w:rPr>
              <w:t>，自重大</w:t>
            </w:r>
            <w:r>
              <w:rPr>
                <w:spacing w:val="-3"/>
                <w:sz w:val="21"/>
              </w:rPr>
              <w:t>疾病确诊后的首个保险费应付日开始，本公司豁免主合同及其所附保</w:t>
            </w:r>
            <w:r>
              <w:rPr>
                <w:spacing w:val="-8"/>
                <w:sz w:val="21"/>
              </w:rPr>
              <w:t>险期间超过一年的有效附加合同的以后各期保险费，本附加合同终止。</w:t>
            </w:r>
            <w:r>
              <w:rPr>
                <w:spacing w:val="-3"/>
                <w:sz w:val="21"/>
              </w:rPr>
              <w:t>但因本附加合同有效期内发生的意外伤害导致重大疾病不受上述 90 </w:t>
            </w:r>
            <w:r>
              <w:rPr>
                <w:spacing w:val="-1"/>
                <w:sz w:val="21"/>
              </w:rPr>
              <w:t>日的限制。</w:t>
            </w:r>
          </w:p>
          <w:p>
            <w:pPr>
              <w:pStyle w:val="TableParagraph"/>
              <w:spacing w:before="16"/>
              <w:ind w:left="149"/>
              <w:rPr>
                <w:sz w:val="21"/>
              </w:rPr>
            </w:pPr>
            <w:r>
              <w:rPr>
                <w:sz w:val="21"/>
              </w:rPr>
              <w:t>二、高残豁免保险费</w:t>
            </w:r>
          </w:p>
          <w:p>
            <w:pPr>
              <w:pStyle w:val="TableParagraph"/>
              <w:spacing w:line="300" w:lineRule="auto"/>
              <w:ind w:left="149" w:right="99"/>
              <w:jc w:val="both"/>
              <w:rPr>
                <w:sz w:val="21"/>
              </w:rPr>
            </w:pPr>
            <w:r>
              <w:rPr>
                <w:spacing w:val="-3"/>
                <w:sz w:val="21"/>
              </w:rPr>
              <w:t>若被保险人因遭受的</w:t>
            </w:r>
            <w:r>
              <w:rPr>
                <w:b/>
                <w:spacing w:val="-2"/>
                <w:sz w:val="21"/>
              </w:rPr>
              <w:t>意外伤害</w:t>
            </w:r>
            <w:r>
              <w:rPr>
                <w:sz w:val="21"/>
              </w:rPr>
              <w:t>（</w:t>
            </w:r>
            <w:r>
              <w:rPr>
                <w:spacing w:val="-3"/>
                <w:sz w:val="21"/>
              </w:rPr>
              <w:t>见释义四）或初次确诊的疾病导致</w:t>
            </w:r>
            <w:r>
              <w:rPr>
                <w:b/>
                <w:sz w:val="21"/>
              </w:rPr>
              <w:t>身</w:t>
            </w:r>
            <w:r>
              <w:rPr>
                <w:b/>
                <w:spacing w:val="-11"/>
                <w:sz w:val="21"/>
              </w:rPr>
              <w:t>体高度残疾</w:t>
            </w:r>
            <w:r>
              <w:rPr>
                <w:sz w:val="21"/>
              </w:rPr>
              <w:t>（</w:t>
            </w:r>
            <w:r>
              <w:rPr>
                <w:spacing w:val="-3"/>
                <w:sz w:val="21"/>
              </w:rPr>
              <w:t>见释义五</w:t>
            </w:r>
            <w:r>
              <w:rPr>
                <w:spacing w:val="-81"/>
                <w:sz w:val="21"/>
              </w:rPr>
              <w:t>）</w:t>
            </w:r>
            <w:r>
              <w:rPr>
                <w:spacing w:val="-11"/>
                <w:sz w:val="21"/>
              </w:rPr>
              <w:t>，自被保险人确定为身体高度残疾后的首个保</w:t>
            </w:r>
            <w:r>
              <w:rPr>
                <w:spacing w:val="-6"/>
                <w:sz w:val="21"/>
              </w:rPr>
              <w:t>险费应付日开始，本公司豁免主合同及其所附保险期间超过一年的有</w:t>
            </w:r>
            <w:r>
              <w:rPr>
                <w:spacing w:val="-4"/>
                <w:sz w:val="21"/>
              </w:rPr>
              <w:t>效附加合同的以后各期保险费，本附加合同终止。</w:t>
            </w:r>
          </w:p>
          <w:p>
            <w:pPr>
              <w:pStyle w:val="TableParagraph"/>
              <w:spacing w:before="15"/>
              <w:ind w:left="149"/>
              <w:rPr>
                <w:sz w:val="21"/>
              </w:rPr>
            </w:pPr>
            <w:r>
              <w:rPr>
                <w:sz w:val="21"/>
              </w:rPr>
              <w:t>三、身故豁免保险费</w:t>
            </w:r>
          </w:p>
          <w:p>
            <w:pPr>
              <w:pStyle w:val="TableParagraph"/>
              <w:spacing w:line="300" w:lineRule="auto"/>
              <w:ind w:left="149" w:right="104"/>
              <w:jc w:val="both"/>
              <w:rPr>
                <w:sz w:val="21"/>
              </w:rPr>
            </w:pPr>
            <w:r>
              <w:rPr>
                <w:sz w:val="21"/>
              </w:rPr>
              <w:t>若被保险人身故，自被保险人身故日后的首个保险费应付日开始，本公司豁免主合同及其所附保险期间超过一年的有效附加合同的以后各期保险费，本附加合同终止。</w:t>
            </w:r>
          </w:p>
          <w:p>
            <w:pPr>
              <w:pStyle w:val="TableParagraph"/>
              <w:spacing w:before="16"/>
              <w:ind w:left="149"/>
              <w:rPr>
                <w:sz w:val="21"/>
              </w:rPr>
            </w:pPr>
            <w:r>
              <w:rPr>
                <w:sz w:val="21"/>
              </w:rPr>
              <w:t>本公司只承担以上三项责任的其中一项。</w:t>
            </w:r>
          </w:p>
          <w:p>
            <w:pPr>
              <w:pStyle w:val="TableParagraph"/>
              <w:spacing w:line="340" w:lineRule="atLeast" w:before="3"/>
              <w:ind w:left="149" w:right="104"/>
              <w:jc w:val="both"/>
              <w:rPr>
                <w:sz w:val="21"/>
              </w:rPr>
            </w:pPr>
            <w:r>
              <w:rPr>
                <w:sz w:val="21"/>
              </w:rPr>
              <w:t>保险费豁免后，主合同及其所附保险期间超过一年的有效附加合同不得变更交费方式、交费期间或基本保险金额，不得申请险种转换和保单借款。</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3"/>
      </w:tblGrid>
      <w:tr>
        <w:trPr>
          <w:trHeight w:val="6455" w:hRule="atLeast"/>
        </w:trPr>
        <w:tc>
          <w:tcPr>
            <w:tcW w:w="1070" w:type="dxa"/>
          </w:tcPr>
          <w:p>
            <w:pPr>
              <w:pStyle w:val="TableParagraph"/>
              <w:spacing w:line="211" w:lineRule="exact" w:before="0"/>
              <w:ind w:left="108"/>
              <w:rPr>
                <w:sz w:val="21"/>
              </w:rPr>
            </w:pPr>
            <w:r>
              <w:rPr>
                <w:sz w:val="21"/>
              </w:rPr>
              <w:t>第四条</w:t>
            </w:r>
          </w:p>
        </w:tc>
        <w:tc>
          <w:tcPr>
            <w:tcW w:w="1740" w:type="dxa"/>
          </w:tcPr>
          <w:p>
            <w:pPr>
              <w:pStyle w:val="TableParagraph"/>
              <w:spacing w:line="211" w:lineRule="exact" w:before="0"/>
              <w:ind w:left="329"/>
              <w:rPr>
                <w:sz w:val="21"/>
              </w:rPr>
            </w:pPr>
            <w:r>
              <w:rPr>
                <w:sz w:val="21"/>
              </w:rPr>
              <w:t>责任免除</w:t>
            </w:r>
          </w:p>
        </w:tc>
        <w:tc>
          <w:tcPr>
            <w:tcW w:w="6563" w:type="dxa"/>
          </w:tcPr>
          <w:p>
            <w:pPr>
              <w:pStyle w:val="TableParagraph"/>
              <w:spacing w:line="211" w:lineRule="exact" w:before="0"/>
              <w:ind w:left="149"/>
              <w:rPr>
                <w:sz w:val="21"/>
              </w:rPr>
            </w:pPr>
            <w:r>
              <w:rPr>
                <w:sz w:val="21"/>
              </w:rPr>
              <w:t>因下列情形之一或在效力中止期间被保险人身故、身体高度残疾、患</w:t>
            </w:r>
          </w:p>
          <w:p>
            <w:pPr>
              <w:pStyle w:val="TableParagraph"/>
              <w:spacing w:line="300" w:lineRule="auto"/>
              <w:ind w:left="149" w:right="314"/>
              <w:rPr>
                <w:sz w:val="21"/>
              </w:rPr>
            </w:pPr>
            <w:r>
              <w:rPr>
                <w:sz w:val="21"/>
              </w:rPr>
              <w:t>重大疾病、达到疾病状态或进行手术的，本公司不承担保险责任： 一、投保人对被保险人的故意杀害、故意伤害；</w:t>
            </w:r>
          </w:p>
          <w:p>
            <w:pPr>
              <w:pStyle w:val="TableParagraph"/>
              <w:spacing w:line="300" w:lineRule="auto" w:before="15"/>
              <w:ind w:left="608" w:right="276" w:hanging="459"/>
              <w:rPr>
                <w:sz w:val="21"/>
              </w:rPr>
            </w:pPr>
            <w:r>
              <w:rPr>
                <w:sz w:val="21"/>
              </w:rPr>
              <w:t>二、被保险人故意自伤、故意犯罪或者抗拒依法采取的刑事强制措施；</w:t>
            </w:r>
          </w:p>
          <w:p>
            <w:pPr>
              <w:pStyle w:val="TableParagraph"/>
              <w:spacing w:line="300" w:lineRule="auto" w:before="15"/>
              <w:ind w:left="608" w:right="69" w:hanging="459"/>
              <w:rPr>
                <w:sz w:val="21"/>
              </w:rPr>
            </w:pPr>
            <w:r>
              <w:rPr>
                <w:spacing w:val="-3"/>
                <w:sz w:val="21"/>
              </w:rPr>
              <w:t>三、被保险人自本附加合同成立或者本附加合同最后效力恢复之日 </w:t>
            </w:r>
            <w:r>
              <w:rPr>
                <w:spacing w:val="-20"/>
                <w:sz w:val="21"/>
              </w:rPr>
              <w:t>起 </w:t>
            </w:r>
            <w:r>
              <w:rPr>
                <w:sz w:val="21"/>
              </w:rPr>
              <w:t>2</w:t>
            </w:r>
            <w:r>
              <w:rPr>
                <w:spacing w:val="-8"/>
                <w:sz w:val="21"/>
              </w:rPr>
              <w:t> 年内自杀，但被保险人自杀时为无民事行为能力人的除外；</w:t>
            </w:r>
          </w:p>
          <w:p>
            <w:pPr>
              <w:pStyle w:val="TableParagraph"/>
              <w:spacing w:before="15"/>
              <w:ind w:left="149"/>
              <w:rPr>
                <w:sz w:val="21"/>
              </w:rPr>
            </w:pPr>
            <w:r>
              <w:rPr>
                <w:sz w:val="21"/>
              </w:rPr>
              <w:t>四、被保险人主动吸食或注射</w:t>
            </w:r>
            <w:r>
              <w:rPr>
                <w:b/>
                <w:sz w:val="21"/>
              </w:rPr>
              <w:t>毒品</w:t>
            </w:r>
            <w:r>
              <w:rPr>
                <w:sz w:val="21"/>
              </w:rPr>
              <w:t>（见释义六）；</w:t>
            </w:r>
          </w:p>
          <w:p>
            <w:pPr>
              <w:pStyle w:val="TableParagraph"/>
              <w:spacing w:line="300" w:lineRule="auto"/>
              <w:ind w:left="608" w:right="60" w:hanging="459"/>
              <w:rPr>
                <w:sz w:val="21"/>
              </w:rPr>
            </w:pPr>
            <w:r>
              <w:rPr>
                <w:sz w:val="21"/>
              </w:rPr>
              <w:t>五、被保险人</w:t>
            </w:r>
            <w:r>
              <w:rPr>
                <w:b/>
                <w:sz w:val="21"/>
              </w:rPr>
              <w:t>酒后驾驶</w:t>
            </w:r>
            <w:r>
              <w:rPr>
                <w:sz w:val="21"/>
              </w:rPr>
              <w:t>（见释义七），</w:t>
            </w:r>
            <w:r>
              <w:rPr>
                <w:b/>
                <w:sz w:val="21"/>
              </w:rPr>
              <w:t>无合法有效驾驶证驾驶</w:t>
            </w:r>
            <w:r>
              <w:rPr>
                <w:sz w:val="21"/>
              </w:rPr>
              <w:t>（见释义八），或驾驶</w:t>
            </w:r>
            <w:r>
              <w:rPr>
                <w:b/>
                <w:sz w:val="21"/>
              </w:rPr>
              <w:t>无有效行驶证</w:t>
            </w:r>
            <w:r>
              <w:rPr>
                <w:sz w:val="21"/>
              </w:rPr>
              <w:t>（见释义九）的机动车；</w:t>
            </w:r>
          </w:p>
          <w:p>
            <w:pPr>
              <w:pStyle w:val="TableParagraph"/>
              <w:spacing w:line="300" w:lineRule="auto" w:before="16"/>
              <w:ind w:left="149" w:right="71"/>
              <w:rPr>
                <w:sz w:val="21"/>
              </w:rPr>
            </w:pPr>
            <w:r>
              <w:rPr>
                <w:sz w:val="21"/>
              </w:rPr>
              <w:t>六、战争、军事冲突、暴乱或武装叛乱；核爆炸、核辐射或核污染； 七、</w:t>
            </w:r>
            <w:r>
              <w:rPr>
                <w:b/>
                <w:sz w:val="21"/>
              </w:rPr>
              <w:t>先天性畸形、变形或染色体异常</w:t>
            </w:r>
            <w:r>
              <w:rPr>
                <w:sz w:val="21"/>
              </w:rPr>
              <w:t>(见释义十)。</w:t>
            </w:r>
          </w:p>
          <w:p>
            <w:pPr>
              <w:pStyle w:val="TableParagraph"/>
              <w:spacing w:line="300" w:lineRule="auto" w:before="16"/>
              <w:ind w:left="149" w:right="-15"/>
              <w:rPr>
                <w:sz w:val="21"/>
              </w:rPr>
            </w:pPr>
            <w:r>
              <w:rPr>
                <w:spacing w:val="-8"/>
                <w:sz w:val="21"/>
              </w:rPr>
              <w:t>发生上述第一项情形导致被保险人身故、身体高度残疾、患重大疾病、</w:t>
            </w:r>
            <w:r>
              <w:rPr>
                <w:spacing w:val="-5"/>
                <w:sz w:val="21"/>
              </w:rPr>
              <w:t>达到疾病状态或进行手术的，本附加合同终止，本公司向其他权利人</w:t>
            </w:r>
            <w:r>
              <w:rPr>
                <w:spacing w:val="-3"/>
                <w:sz w:val="21"/>
              </w:rPr>
              <w:t>退还本附加合同的</w:t>
            </w:r>
            <w:r>
              <w:rPr>
                <w:b/>
                <w:sz w:val="21"/>
              </w:rPr>
              <w:t>现金价值</w:t>
            </w:r>
            <w:r>
              <w:rPr>
                <w:sz w:val="21"/>
              </w:rPr>
              <w:t>（</w:t>
            </w:r>
            <w:r>
              <w:rPr>
                <w:spacing w:val="-3"/>
                <w:sz w:val="21"/>
              </w:rPr>
              <w:t>见释义十一</w:t>
            </w:r>
            <w:r>
              <w:rPr>
                <w:sz w:val="21"/>
              </w:rPr>
              <w:t>）。</w:t>
            </w:r>
          </w:p>
          <w:p>
            <w:pPr>
              <w:pStyle w:val="TableParagraph"/>
              <w:spacing w:line="300" w:lineRule="auto" w:before="16"/>
              <w:ind w:left="149" w:right="105"/>
              <w:jc w:val="both"/>
              <w:rPr>
                <w:sz w:val="21"/>
              </w:rPr>
            </w:pPr>
            <w:r>
              <w:rPr>
                <w:sz w:val="21"/>
              </w:rPr>
              <w:t>发生上述其他情形导致被保险人身故、身体高度残疾、患重大疾病、达到疾病状态或进行手术的，本附加合同终止，本公司向投保人退还本附加合同的现金价值。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9"/>
              <w:rPr>
                <w:b/>
                <w:sz w:val="21"/>
              </w:rPr>
            </w:pPr>
            <w:r>
              <w:rPr>
                <w:b/>
                <w:sz w:val="21"/>
              </w:rPr>
              <w:t>保险金额及保险费</w:t>
            </w:r>
          </w:p>
        </w:tc>
      </w:tr>
      <w:tr>
        <w:trPr>
          <w:trHeight w:val="858" w:hRule="atLeast"/>
        </w:trPr>
        <w:tc>
          <w:tcPr>
            <w:tcW w:w="1070" w:type="dxa"/>
          </w:tcPr>
          <w:p>
            <w:pPr>
              <w:pStyle w:val="TableParagraph"/>
              <w:spacing w:before="2"/>
              <w:ind w:left="108"/>
              <w:rPr>
                <w:sz w:val="21"/>
              </w:rPr>
            </w:pPr>
            <w:r>
              <w:rPr>
                <w:sz w:val="21"/>
              </w:rPr>
              <w:t>第五条</w:t>
            </w:r>
          </w:p>
        </w:tc>
        <w:tc>
          <w:tcPr>
            <w:tcW w:w="1740" w:type="dxa"/>
          </w:tcPr>
          <w:p>
            <w:pPr>
              <w:pStyle w:val="TableParagraph"/>
              <w:spacing w:before="2"/>
              <w:ind w:left="329"/>
              <w:rPr>
                <w:sz w:val="21"/>
              </w:rPr>
            </w:pPr>
            <w:r>
              <w:rPr>
                <w:sz w:val="21"/>
              </w:rPr>
              <w:t>保险金额</w:t>
            </w:r>
          </w:p>
        </w:tc>
        <w:tc>
          <w:tcPr>
            <w:tcW w:w="6563" w:type="dxa"/>
          </w:tcPr>
          <w:p>
            <w:pPr>
              <w:pStyle w:val="TableParagraph"/>
              <w:spacing w:line="300" w:lineRule="auto" w:before="2"/>
              <w:ind w:left="149" w:right="105"/>
              <w:rPr>
                <w:sz w:val="21"/>
              </w:rPr>
            </w:pPr>
            <w:r>
              <w:rPr>
                <w:sz w:val="21"/>
              </w:rPr>
              <w:t>本附加合同的保险金额是指本公司承担赔偿或者给付保险金责任的最高限额。</w:t>
            </w:r>
          </w:p>
        </w:tc>
      </w:tr>
      <w:tr>
        <w:trPr>
          <w:trHeight w:val="1716"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before="174"/>
              <w:ind w:left="329"/>
              <w:rPr>
                <w:sz w:val="21"/>
              </w:rPr>
            </w:pPr>
            <w:r>
              <w:rPr>
                <w:sz w:val="21"/>
              </w:rPr>
              <w:t>保险费</w:t>
            </w:r>
          </w:p>
        </w:tc>
        <w:tc>
          <w:tcPr>
            <w:tcW w:w="6563" w:type="dxa"/>
          </w:tcPr>
          <w:p>
            <w:pPr>
              <w:pStyle w:val="TableParagraph"/>
              <w:spacing w:line="300" w:lineRule="auto" w:before="174"/>
              <w:ind w:left="149" w:right="105"/>
              <w:rPr>
                <w:sz w:val="21"/>
              </w:rPr>
            </w:pPr>
            <w:r>
              <w:rPr>
                <w:sz w:val="21"/>
              </w:rPr>
              <w:t>本附加合同的保险费交付方式、交费日期与主合同一致，本附加合同的保险费应与主合同一并交付。</w:t>
            </w:r>
          </w:p>
          <w:p>
            <w:pPr>
              <w:pStyle w:val="TableParagraph"/>
              <w:spacing w:line="300" w:lineRule="auto" w:before="16"/>
              <w:ind w:left="149" w:right="105"/>
              <w:rPr>
                <w:sz w:val="21"/>
              </w:rPr>
            </w:pPr>
            <w:r>
              <w:rPr>
                <w:sz w:val="21"/>
              </w:rPr>
              <w:t>在本附加合同有效期内，主合同的保险费发生变化的，本附加合同保险费也相应调整。</w:t>
            </w:r>
          </w:p>
        </w:tc>
      </w:tr>
      <w:tr>
        <w:trPr>
          <w:trHeight w:val="2508"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保险费率调整</w:t>
            </w:r>
          </w:p>
        </w:tc>
        <w:tc>
          <w:tcPr>
            <w:tcW w:w="6563" w:type="dxa"/>
          </w:tcPr>
          <w:p>
            <w:pPr>
              <w:pStyle w:val="TableParagraph"/>
              <w:spacing w:line="300" w:lineRule="auto" w:before="174"/>
              <w:ind w:left="149"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left="149"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before="16"/>
              <w:ind w:left="149"/>
              <w:jc w:val="both"/>
              <w:rPr>
                <w:sz w:val="21"/>
              </w:rPr>
            </w:pPr>
            <w:r>
              <w:rPr>
                <w:sz w:val="21"/>
              </w:rPr>
              <w:t>如有保险费率调整，本公司将以书面形式通知投保人，自保险费率调</w:t>
            </w:r>
          </w:p>
          <w:p>
            <w:pPr>
              <w:pStyle w:val="TableParagraph"/>
              <w:spacing w:line="255" w:lineRule="exact"/>
              <w:ind w:left="149"/>
              <w:jc w:val="both"/>
              <w:rPr>
                <w:sz w:val="21"/>
              </w:rPr>
            </w:pPr>
            <w:r>
              <w:rPr>
                <w:sz w:val="21"/>
              </w:rPr>
              <w:t>整之日起，投保人按调整后保险费率交纳续期保险费。</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7"/>
        <w:ind w:left="0"/>
        <w:rPr>
          <w:rFonts w:ascii="Times New Roman"/>
          <w:sz w:val="1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230" w:hRule="atLeast"/>
        </w:trPr>
        <w:tc>
          <w:tcPr>
            <w:tcW w:w="1175" w:type="dxa"/>
          </w:tcPr>
          <w:p>
            <w:pPr>
              <w:pStyle w:val="TableParagraph"/>
              <w:spacing w:before="2"/>
              <w:ind w:left="108"/>
              <w:rPr>
                <w:sz w:val="21"/>
              </w:rPr>
            </w:pPr>
            <w:r>
              <w:rPr>
                <w:sz w:val="21"/>
              </w:rPr>
              <w:t>第八条</w:t>
            </w:r>
          </w:p>
        </w:tc>
        <w:tc>
          <w:tcPr>
            <w:tcW w:w="1636" w:type="dxa"/>
          </w:tcPr>
          <w:p>
            <w:pPr>
              <w:pStyle w:val="TableParagraph"/>
              <w:spacing w:line="300" w:lineRule="auto" w:before="2"/>
              <w:ind w:left="224" w:right="147"/>
              <w:rPr>
                <w:sz w:val="21"/>
              </w:rPr>
            </w:pPr>
            <w:r>
              <w:rPr>
                <w:sz w:val="21"/>
              </w:rPr>
              <w:t>保险合同成立与生效</w:t>
            </w:r>
          </w:p>
        </w:tc>
        <w:tc>
          <w:tcPr>
            <w:tcW w:w="6563" w:type="dxa"/>
          </w:tcPr>
          <w:p>
            <w:pPr>
              <w:pStyle w:val="TableParagraph"/>
              <w:spacing w:line="300" w:lineRule="auto" w:before="2"/>
              <w:ind w:right="106"/>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175" w:type="dxa"/>
          </w:tcPr>
          <w:p>
            <w:pPr>
              <w:pStyle w:val="TableParagraph"/>
              <w:spacing w:before="174"/>
              <w:ind w:left="108"/>
              <w:rPr>
                <w:sz w:val="21"/>
              </w:rPr>
            </w:pPr>
            <w:r>
              <w:rPr>
                <w:sz w:val="21"/>
              </w:rPr>
              <w:t>第九条</w:t>
            </w:r>
          </w:p>
        </w:tc>
        <w:tc>
          <w:tcPr>
            <w:tcW w:w="1636" w:type="dxa"/>
          </w:tcPr>
          <w:p>
            <w:pPr>
              <w:pStyle w:val="TableParagraph"/>
              <w:spacing w:before="174"/>
              <w:ind w:left="224"/>
              <w:rPr>
                <w:sz w:val="21"/>
              </w:rPr>
            </w:pPr>
            <w:r>
              <w:rPr>
                <w:sz w:val="21"/>
              </w:rPr>
              <w:t>保险期间</w:t>
            </w:r>
          </w:p>
        </w:tc>
        <w:tc>
          <w:tcPr>
            <w:tcW w:w="6563" w:type="dxa"/>
          </w:tcPr>
          <w:p>
            <w:pPr>
              <w:pStyle w:val="TableParagraph"/>
              <w:spacing w:line="300" w:lineRule="auto" w:before="174"/>
              <w:ind w:right="106"/>
              <w:rPr>
                <w:sz w:val="21"/>
              </w:rPr>
            </w:pPr>
            <w:r>
              <w:rPr>
                <w:sz w:val="21"/>
              </w:rPr>
              <w:t>本附加合同的保险期间载明于保险单上，保险期间自本附加合同生效时起算。</w:t>
            </w:r>
          </w:p>
        </w:tc>
      </w:tr>
      <w:tr>
        <w:trPr>
          <w:trHeight w:val="2231" w:hRule="atLeast"/>
        </w:trPr>
        <w:tc>
          <w:tcPr>
            <w:tcW w:w="1175" w:type="dxa"/>
          </w:tcPr>
          <w:p>
            <w:pPr>
              <w:pStyle w:val="TableParagraph"/>
              <w:spacing w:before="174"/>
              <w:ind w:left="108"/>
              <w:rPr>
                <w:sz w:val="21"/>
              </w:rPr>
            </w:pPr>
            <w:r>
              <w:rPr>
                <w:sz w:val="21"/>
              </w:rPr>
              <w:t>第十条</w:t>
            </w:r>
          </w:p>
        </w:tc>
        <w:tc>
          <w:tcPr>
            <w:tcW w:w="1636" w:type="dxa"/>
          </w:tcPr>
          <w:p>
            <w:pPr>
              <w:pStyle w:val="TableParagraph"/>
              <w:spacing w:before="174"/>
              <w:ind w:left="224"/>
              <w:rPr>
                <w:sz w:val="21"/>
              </w:rPr>
            </w:pPr>
            <w:r>
              <w:rPr>
                <w:sz w:val="21"/>
              </w:rPr>
              <w:t>附加合同终止</w:t>
            </w:r>
          </w:p>
        </w:tc>
        <w:tc>
          <w:tcPr>
            <w:tcW w:w="6563" w:type="dxa"/>
          </w:tcPr>
          <w:p>
            <w:pPr>
              <w:pStyle w:val="TableParagraph"/>
              <w:spacing w:before="174"/>
              <w:rPr>
                <w:sz w:val="21"/>
              </w:rPr>
            </w:pPr>
            <w:r>
              <w:rPr>
                <w:sz w:val="21"/>
              </w:rPr>
              <w:t>发生下列情形之一时，本附加合同终止：</w:t>
            </w:r>
          </w:p>
          <w:p>
            <w:pPr>
              <w:pStyle w:val="TableParagraph"/>
              <w:spacing w:line="300" w:lineRule="auto"/>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7"/>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8199" w:type="dxa"/>
            <w:gridSpan w:val="2"/>
            <w:shd w:val="clear" w:color="auto" w:fill="BEBEBE"/>
          </w:tcPr>
          <w:p>
            <w:pPr>
              <w:pStyle w:val="TableParagraph"/>
              <w:spacing w:before="2"/>
              <w:ind w:left="224"/>
              <w:rPr>
                <w:b/>
                <w:sz w:val="21"/>
              </w:rPr>
            </w:pPr>
            <w:r>
              <w:rPr>
                <w:b/>
                <w:sz w:val="21"/>
              </w:rPr>
              <w:t>豁免保险费申请</w:t>
            </w:r>
          </w:p>
        </w:tc>
      </w:tr>
      <w:tr>
        <w:trPr>
          <w:trHeight w:val="6455"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line="300" w:lineRule="auto" w:before="2"/>
              <w:ind w:left="224" w:right="147"/>
              <w:rPr>
                <w:sz w:val="21"/>
              </w:rPr>
            </w:pPr>
            <w:r>
              <w:rPr>
                <w:sz w:val="21"/>
              </w:rPr>
              <w:t>豁免保险费申请</w:t>
            </w:r>
          </w:p>
        </w:tc>
        <w:tc>
          <w:tcPr>
            <w:tcW w:w="6563" w:type="dxa"/>
          </w:tcPr>
          <w:p>
            <w:pPr>
              <w:pStyle w:val="TableParagraph"/>
              <w:spacing w:before="2"/>
              <w:rPr>
                <w:sz w:val="21"/>
              </w:rPr>
            </w:pPr>
            <w:r>
              <w:rPr>
                <w:sz w:val="21"/>
              </w:rPr>
              <w:t>一、重大疾病豁免保险费</w:t>
            </w:r>
          </w:p>
          <w:p>
            <w:pPr>
              <w:pStyle w:val="TableParagraph"/>
              <w:spacing w:line="300" w:lineRule="auto"/>
              <w:rPr>
                <w:sz w:val="21"/>
              </w:rPr>
            </w:pPr>
            <w:r>
              <w:rPr>
                <w:spacing w:val="-3"/>
                <w:sz w:val="21"/>
              </w:rPr>
              <w:t>若被保险人患重大疾病，在申请豁免保险费时，被保险人或主合同的</w:t>
            </w:r>
            <w:r>
              <w:rPr>
                <w:spacing w:val="-12"/>
                <w:sz w:val="21"/>
              </w:rPr>
              <w:t>被保险人、受益人须填写保险金给付申请书，并提供下列证明和资料：</w:t>
            </w:r>
          </w:p>
          <w:p>
            <w:pPr>
              <w:pStyle w:val="TableParagraph"/>
              <w:numPr>
                <w:ilvl w:val="0"/>
                <w:numId w:val="1"/>
              </w:numPr>
              <w:tabs>
                <w:tab w:pos="568" w:val="left" w:leader="none"/>
                <w:tab w:pos="569" w:val="left" w:leader="none"/>
              </w:tabs>
              <w:spacing w:line="240" w:lineRule="auto" w:before="16" w:after="0"/>
              <w:ind w:left="568" w:right="0" w:hanging="420"/>
              <w:jc w:val="left"/>
              <w:rPr>
                <w:sz w:val="21"/>
              </w:rPr>
            </w:pPr>
            <w:r>
              <w:rPr>
                <w:spacing w:val="-1"/>
                <w:sz w:val="21"/>
              </w:rPr>
              <w:t>保险合同；</w:t>
            </w:r>
          </w:p>
          <w:p>
            <w:pPr>
              <w:pStyle w:val="TableParagraph"/>
              <w:numPr>
                <w:ilvl w:val="0"/>
                <w:numId w:val="1"/>
              </w:numPr>
              <w:tabs>
                <w:tab w:pos="568" w:val="left" w:leader="none"/>
                <w:tab w:pos="569" w:val="left" w:leader="none"/>
              </w:tabs>
              <w:spacing w:line="240" w:lineRule="auto" w:before="68" w:after="0"/>
              <w:ind w:left="568" w:right="0" w:hanging="420"/>
              <w:jc w:val="left"/>
              <w:rPr>
                <w:sz w:val="21"/>
              </w:rPr>
            </w:pPr>
            <w:r>
              <w:rPr>
                <w:spacing w:val="-3"/>
                <w:sz w:val="21"/>
              </w:rPr>
              <w:t>申请人的有效身份证件；</w:t>
            </w:r>
          </w:p>
          <w:p>
            <w:pPr>
              <w:pStyle w:val="TableParagraph"/>
              <w:numPr>
                <w:ilvl w:val="0"/>
                <w:numId w:val="1"/>
              </w:numPr>
              <w:tabs>
                <w:tab w:pos="568" w:val="left" w:leader="none"/>
                <w:tab w:pos="569" w:val="left" w:leader="none"/>
              </w:tabs>
              <w:spacing w:line="300" w:lineRule="auto" w:before="68" w:after="0"/>
              <w:ind w:left="568" w:right="106" w:hanging="420"/>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568" w:val="left" w:leader="none"/>
                <w:tab w:pos="569" w:val="left" w:leader="none"/>
              </w:tabs>
              <w:spacing w:line="300" w:lineRule="auto" w:before="16" w:after="0"/>
              <w:ind w:left="568" w:right="106" w:hanging="420"/>
              <w:jc w:val="left"/>
              <w:rPr>
                <w:sz w:val="21"/>
              </w:rPr>
            </w:pPr>
            <w:r>
              <w:rPr>
                <w:spacing w:val="-3"/>
                <w:sz w:val="21"/>
              </w:rPr>
              <w:t>申请人所能提供的与确认保险事故的时间、性质、原因、损失程度等相关的其他证明和资料。</w:t>
            </w:r>
          </w:p>
          <w:p>
            <w:pPr>
              <w:pStyle w:val="TableParagraph"/>
              <w:spacing w:before="16"/>
              <w:rPr>
                <w:sz w:val="21"/>
              </w:rPr>
            </w:pPr>
            <w:r>
              <w:rPr>
                <w:sz w:val="21"/>
              </w:rPr>
              <w:t>二、高残豁免保险费</w:t>
            </w:r>
          </w:p>
          <w:p>
            <w:pPr>
              <w:pStyle w:val="TableParagraph"/>
              <w:spacing w:line="300" w:lineRule="auto"/>
              <w:ind w:right="104"/>
              <w:jc w:val="both"/>
              <w:rPr>
                <w:sz w:val="21"/>
              </w:rPr>
            </w:pPr>
            <w:r>
              <w:rPr>
                <w:sz w:val="21"/>
              </w:rPr>
              <w:t>若被保险人身体高度残疾，在申请豁免保险费时，被保险人或主合同的被保险人、受益人须填写保险金给付申请书，并提供下列证明和资料：</w:t>
            </w:r>
          </w:p>
          <w:p>
            <w:pPr>
              <w:pStyle w:val="TableParagraph"/>
              <w:numPr>
                <w:ilvl w:val="0"/>
                <w:numId w:val="2"/>
              </w:numPr>
              <w:tabs>
                <w:tab w:pos="568" w:val="left" w:leader="none"/>
                <w:tab w:pos="569" w:val="left" w:leader="none"/>
              </w:tabs>
              <w:spacing w:line="240" w:lineRule="auto" w:before="15" w:after="0"/>
              <w:ind w:left="568" w:right="0" w:hanging="420"/>
              <w:jc w:val="left"/>
              <w:rPr>
                <w:sz w:val="21"/>
              </w:rPr>
            </w:pPr>
            <w:r>
              <w:rPr>
                <w:spacing w:val="-1"/>
                <w:sz w:val="21"/>
              </w:rPr>
              <w:t>保险合同；</w:t>
            </w:r>
          </w:p>
          <w:p>
            <w:pPr>
              <w:pStyle w:val="TableParagraph"/>
              <w:numPr>
                <w:ilvl w:val="0"/>
                <w:numId w:val="2"/>
              </w:numPr>
              <w:tabs>
                <w:tab w:pos="568" w:val="left" w:leader="none"/>
                <w:tab w:pos="569" w:val="left" w:leader="none"/>
              </w:tabs>
              <w:spacing w:line="240" w:lineRule="auto" w:before="68" w:after="0"/>
              <w:ind w:left="568" w:right="0" w:hanging="420"/>
              <w:jc w:val="left"/>
              <w:rPr>
                <w:sz w:val="21"/>
              </w:rPr>
            </w:pPr>
            <w:r>
              <w:rPr>
                <w:spacing w:val="-3"/>
                <w:sz w:val="21"/>
              </w:rPr>
              <w:t>申请人的有效身份证件；</w:t>
            </w:r>
          </w:p>
          <w:p>
            <w:pPr>
              <w:pStyle w:val="TableParagraph"/>
              <w:numPr>
                <w:ilvl w:val="0"/>
                <w:numId w:val="2"/>
              </w:numPr>
              <w:tabs>
                <w:tab w:pos="568" w:val="left" w:leader="none"/>
                <w:tab w:pos="569" w:val="left" w:leader="none"/>
              </w:tabs>
              <w:spacing w:line="300" w:lineRule="auto" w:before="67" w:after="0"/>
              <w:ind w:left="568" w:right="106" w:hanging="420"/>
              <w:jc w:val="left"/>
              <w:rPr>
                <w:sz w:val="21"/>
              </w:rPr>
            </w:pPr>
            <w:r>
              <w:rPr>
                <w:spacing w:val="-3"/>
                <w:sz w:val="21"/>
              </w:rPr>
              <w:t>由具有合法资质或国家有关机关指定或认可的伤残鉴定机构出具的被保险人残疾程度鉴定书；</w:t>
            </w:r>
          </w:p>
          <w:p>
            <w:pPr>
              <w:pStyle w:val="TableParagraph"/>
              <w:numPr>
                <w:ilvl w:val="0"/>
                <w:numId w:val="2"/>
              </w:numPr>
              <w:tabs>
                <w:tab w:pos="568" w:val="left" w:leader="none"/>
                <w:tab w:pos="569" w:val="left" w:leader="none"/>
              </w:tabs>
              <w:spacing w:line="240" w:lineRule="auto" w:before="15" w:after="0"/>
              <w:ind w:left="568" w:right="0" w:hanging="420"/>
              <w:jc w:val="left"/>
              <w:rPr>
                <w:sz w:val="21"/>
              </w:rPr>
            </w:pPr>
            <w:r>
              <w:rPr>
                <w:spacing w:val="-3"/>
                <w:sz w:val="21"/>
              </w:rPr>
              <w:t>申请人所能提供的与确认保险事故的时间、性质、原因、损失程</w:t>
            </w:r>
          </w:p>
          <w:p>
            <w:pPr>
              <w:pStyle w:val="TableParagraph"/>
              <w:spacing w:line="255" w:lineRule="exact"/>
              <w:ind w:left="568"/>
              <w:rPr>
                <w:sz w:val="21"/>
              </w:rPr>
            </w:pPr>
            <w:r>
              <w:rPr>
                <w:sz w:val="21"/>
              </w:rPr>
              <w:t>度等相关的其他证明和资料。</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6627"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本公司如果认为需要，可对被保险人进行身体检查，检查费用由本公</w:t>
            </w:r>
          </w:p>
          <w:p>
            <w:pPr>
              <w:pStyle w:val="TableParagraph"/>
              <w:rPr>
                <w:sz w:val="21"/>
              </w:rPr>
            </w:pPr>
            <w:r>
              <w:rPr>
                <w:sz w:val="21"/>
              </w:rPr>
              <w:t>司承担。</w:t>
            </w:r>
          </w:p>
          <w:p>
            <w:pPr>
              <w:pStyle w:val="TableParagraph"/>
              <w:rPr>
                <w:sz w:val="21"/>
              </w:rPr>
            </w:pPr>
            <w:r>
              <w:rPr>
                <w:sz w:val="21"/>
              </w:rPr>
              <w:t>三、身故豁免保险费</w:t>
            </w:r>
          </w:p>
          <w:p>
            <w:pPr>
              <w:pStyle w:val="TableParagraph"/>
              <w:spacing w:line="300" w:lineRule="auto"/>
              <w:ind w:right="104"/>
              <w:rPr>
                <w:sz w:val="21"/>
              </w:rPr>
            </w:pPr>
            <w:r>
              <w:rPr>
                <w:sz w:val="21"/>
              </w:rPr>
              <w:t>若被保险人身故，在申请豁免保险费时，主合同的被保险人、受益人须填写保险金给付申请书，并提供下列证明和资料：</w:t>
            </w:r>
          </w:p>
          <w:p>
            <w:pPr>
              <w:pStyle w:val="TableParagraph"/>
              <w:numPr>
                <w:ilvl w:val="0"/>
                <w:numId w:val="3"/>
              </w:numPr>
              <w:tabs>
                <w:tab w:pos="568" w:val="left" w:leader="none"/>
                <w:tab w:pos="569" w:val="left" w:leader="none"/>
              </w:tabs>
              <w:spacing w:line="240" w:lineRule="auto" w:before="15" w:after="0"/>
              <w:ind w:left="568" w:right="0" w:hanging="420"/>
              <w:jc w:val="left"/>
              <w:rPr>
                <w:sz w:val="21"/>
              </w:rPr>
            </w:pPr>
            <w:r>
              <w:rPr>
                <w:spacing w:val="-1"/>
                <w:sz w:val="21"/>
              </w:rPr>
              <w:t>保险合同；</w:t>
            </w:r>
          </w:p>
          <w:p>
            <w:pPr>
              <w:pStyle w:val="TableParagraph"/>
              <w:numPr>
                <w:ilvl w:val="0"/>
                <w:numId w:val="3"/>
              </w:numPr>
              <w:tabs>
                <w:tab w:pos="568" w:val="left" w:leader="none"/>
                <w:tab w:pos="569" w:val="left" w:leader="none"/>
              </w:tabs>
              <w:spacing w:line="240" w:lineRule="auto" w:before="68" w:after="0"/>
              <w:ind w:left="568" w:right="0" w:hanging="420"/>
              <w:jc w:val="left"/>
              <w:rPr>
                <w:sz w:val="21"/>
              </w:rPr>
            </w:pPr>
            <w:r>
              <w:rPr>
                <w:spacing w:val="-3"/>
                <w:sz w:val="21"/>
              </w:rPr>
              <w:t>申请人的有效身份证件；</w:t>
            </w:r>
          </w:p>
          <w:p>
            <w:pPr>
              <w:pStyle w:val="TableParagraph"/>
              <w:numPr>
                <w:ilvl w:val="0"/>
                <w:numId w:val="3"/>
              </w:numPr>
              <w:tabs>
                <w:tab w:pos="568" w:val="left" w:leader="none"/>
                <w:tab w:pos="569" w:val="left" w:leader="none"/>
              </w:tabs>
              <w:spacing w:line="300" w:lineRule="auto" w:before="68" w:after="0"/>
              <w:ind w:left="568" w:right="106" w:hanging="420"/>
              <w:jc w:val="left"/>
              <w:rPr>
                <w:sz w:val="21"/>
              </w:rPr>
            </w:pPr>
            <w:r>
              <w:rPr>
                <w:spacing w:val="-3"/>
                <w:sz w:val="21"/>
              </w:rPr>
              <w:t>国家卫生行政部门认定的医疗机构、公安部门或其他相关机构出具的被保险人的死亡证明及户口注销证明；</w:t>
            </w:r>
          </w:p>
          <w:p>
            <w:pPr>
              <w:pStyle w:val="TableParagraph"/>
              <w:numPr>
                <w:ilvl w:val="0"/>
                <w:numId w:val="3"/>
              </w:numPr>
              <w:tabs>
                <w:tab w:pos="568" w:val="left" w:leader="none"/>
                <w:tab w:pos="569" w:val="left" w:leader="none"/>
              </w:tabs>
              <w:spacing w:line="300" w:lineRule="auto" w:before="15" w:after="0"/>
              <w:ind w:left="568" w:right="106" w:hanging="420"/>
              <w:jc w:val="left"/>
              <w:rPr>
                <w:sz w:val="21"/>
              </w:rPr>
            </w:pPr>
            <w:r>
              <w:rPr>
                <w:spacing w:val="-3"/>
                <w:sz w:val="21"/>
              </w:rPr>
              <w:t>如被保险人为宣告死亡，申请人须提供人民法院出具的宣告死亡证明文件；</w:t>
            </w:r>
          </w:p>
          <w:p>
            <w:pPr>
              <w:pStyle w:val="TableParagraph"/>
              <w:numPr>
                <w:ilvl w:val="0"/>
                <w:numId w:val="3"/>
              </w:numPr>
              <w:tabs>
                <w:tab w:pos="568" w:val="left" w:leader="none"/>
                <w:tab w:pos="569" w:val="left" w:leader="none"/>
              </w:tabs>
              <w:spacing w:line="300" w:lineRule="auto" w:before="15" w:after="0"/>
              <w:ind w:left="568" w:right="106" w:hanging="420"/>
              <w:jc w:val="left"/>
              <w:rPr>
                <w:sz w:val="21"/>
              </w:rPr>
            </w:pPr>
            <w:r>
              <w:rPr>
                <w:spacing w:val="-3"/>
                <w:sz w:val="21"/>
              </w:rPr>
              <w:t>申请人所能提供的与确认保险事故的时间、性质、原因等相关的其他证明和资料。</w:t>
            </w:r>
          </w:p>
          <w:p>
            <w:pPr>
              <w:pStyle w:val="TableParagraph"/>
              <w:spacing w:line="300" w:lineRule="auto" w:before="15"/>
              <w:ind w:right="104"/>
              <w:rPr>
                <w:sz w:val="21"/>
              </w:rPr>
            </w:pPr>
            <w:r>
              <w:rPr>
                <w:sz w:val="21"/>
              </w:rPr>
              <w:t>以上证明和资料不完整的，本公司将及时一次性通知申请人补充提供有关证明和资料。</w:t>
            </w:r>
          </w:p>
          <w:p>
            <w:pPr>
              <w:pStyle w:val="TableParagraph"/>
              <w:spacing w:before="15"/>
              <w:rPr>
                <w:sz w:val="21"/>
              </w:rPr>
            </w:pPr>
            <w:r>
              <w:rPr>
                <w:sz w:val="21"/>
              </w:rPr>
              <w:t>本公司在收到保险金给付申请书及合同约定的证明和资料后，将在 5</w:t>
            </w:r>
          </w:p>
          <w:p>
            <w:pPr>
              <w:pStyle w:val="TableParagraph"/>
              <w:rPr>
                <w:sz w:val="21"/>
              </w:rPr>
            </w:pPr>
            <w:r>
              <w:rPr>
                <w:sz w:val="21"/>
              </w:rPr>
              <w:t>日内作出核定；情形复杂的，在 30 日内作出核定。</w:t>
            </w:r>
          </w:p>
          <w:p>
            <w:pPr>
              <w:pStyle w:val="TableParagraph"/>
              <w:spacing w:line="300" w:lineRule="auto"/>
              <w:ind w:right="101"/>
              <w:rPr>
                <w:sz w:val="21"/>
              </w:rPr>
            </w:pPr>
            <w:r>
              <w:rPr>
                <w:spacing w:val="-5"/>
                <w:sz w:val="21"/>
              </w:rPr>
              <w:t>对不属于保险责任的，本公司自作出核定之日起 </w:t>
            </w:r>
            <w:r>
              <w:rPr>
                <w:sz w:val="21"/>
              </w:rPr>
              <w:t>3</w:t>
            </w:r>
            <w:r>
              <w:rPr>
                <w:spacing w:val="-7"/>
                <w:sz w:val="21"/>
              </w:rPr>
              <w:t> 日内向受益人发出</w:t>
            </w:r>
            <w:r>
              <w:rPr>
                <w:spacing w:val="-5"/>
                <w:sz w:val="21"/>
              </w:rPr>
              <w:t>拒绝豁免保险费通知书并说明理由。</w:t>
            </w:r>
          </w:p>
        </w:tc>
      </w:tr>
      <w:tr>
        <w:trPr>
          <w:trHeight w:val="1716" w:hRule="atLeast"/>
        </w:trPr>
        <w:tc>
          <w:tcPr>
            <w:tcW w:w="1175" w:type="dxa"/>
          </w:tcPr>
          <w:p>
            <w:pPr>
              <w:pStyle w:val="TableParagraph"/>
              <w:spacing w:before="174"/>
              <w:ind w:left="108"/>
              <w:rPr>
                <w:sz w:val="21"/>
              </w:rPr>
            </w:pPr>
            <w:r>
              <w:rPr>
                <w:sz w:val="21"/>
              </w:rPr>
              <w:t>第十二条</w:t>
            </w:r>
          </w:p>
        </w:tc>
        <w:tc>
          <w:tcPr>
            <w:tcW w:w="1636" w:type="dxa"/>
          </w:tcPr>
          <w:p>
            <w:pPr>
              <w:pStyle w:val="TableParagraph"/>
              <w:spacing w:before="174"/>
              <w:ind w:left="224"/>
              <w:rPr>
                <w:sz w:val="21"/>
              </w:rPr>
            </w:pPr>
            <w:r>
              <w:rPr>
                <w:sz w:val="21"/>
              </w:rPr>
              <w:t>诉讼时效</w:t>
            </w:r>
          </w:p>
        </w:tc>
        <w:tc>
          <w:tcPr>
            <w:tcW w:w="6563" w:type="dxa"/>
          </w:tcPr>
          <w:p>
            <w:pPr>
              <w:pStyle w:val="TableParagraph"/>
              <w:spacing w:line="300" w:lineRule="auto" w:before="174"/>
              <w:ind w:right="106"/>
              <w:jc w:val="both"/>
              <w:rPr>
                <w:sz w:val="21"/>
              </w:rPr>
            </w:pPr>
            <w:r>
              <w:rPr>
                <w:spacing w:val="-3"/>
                <w:sz w:val="21"/>
              </w:rPr>
              <w:t>被保险人或受益人向本公司请求身故豁免保险费或高残豁免保险费的</w:t>
            </w:r>
            <w:r>
              <w:rPr>
                <w:spacing w:val="-8"/>
                <w:sz w:val="21"/>
              </w:rPr>
              <w:t>诉讼时效期间为 </w:t>
            </w:r>
            <w:r>
              <w:rPr>
                <w:sz w:val="21"/>
              </w:rPr>
              <w:t>5</w:t>
            </w:r>
            <w:r>
              <w:rPr>
                <w:spacing w:val="-8"/>
                <w:sz w:val="21"/>
              </w:rPr>
              <w:t> 年，自其知道或者应当知道保险事故发生之日起计</w:t>
            </w:r>
            <w:r>
              <w:rPr>
                <w:spacing w:val="-5"/>
                <w:sz w:val="21"/>
              </w:rPr>
              <w:t>算。被保险人或受益人向本公司请求重大疾病豁免保险费的诉讼时效</w:t>
            </w:r>
            <w:r>
              <w:rPr>
                <w:spacing w:val="-12"/>
                <w:sz w:val="21"/>
              </w:rPr>
              <w:t>期间为 </w:t>
            </w:r>
            <w:r>
              <w:rPr>
                <w:sz w:val="21"/>
              </w:rPr>
              <w:t>2</w:t>
            </w:r>
            <w:r>
              <w:rPr>
                <w:spacing w:val="-8"/>
                <w:sz w:val="21"/>
              </w:rPr>
              <w:t> 年，自其知道或者应当知道保险事故发生之日起计算。</w:t>
            </w:r>
          </w:p>
        </w:tc>
      </w:tr>
      <w:tr>
        <w:trPr>
          <w:trHeight w:val="1887" w:hRule="atLeast"/>
        </w:trPr>
        <w:tc>
          <w:tcPr>
            <w:tcW w:w="1175" w:type="dxa"/>
          </w:tcPr>
          <w:p>
            <w:pPr>
              <w:pStyle w:val="TableParagraph"/>
              <w:spacing w:before="174"/>
              <w:ind w:left="108"/>
              <w:rPr>
                <w:sz w:val="21"/>
              </w:rPr>
            </w:pPr>
            <w:r>
              <w:rPr>
                <w:sz w:val="21"/>
              </w:rPr>
              <w:t>第十三条</w:t>
            </w:r>
          </w:p>
        </w:tc>
        <w:tc>
          <w:tcPr>
            <w:tcW w:w="1636" w:type="dxa"/>
          </w:tcPr>
          <w:p>
            <w:pPr>
              <w:pStyle w:val="TableParagraph"/>
              <w:spacing w:before="174"/>
              <w:ind w:left="224"/>
              <w:rPr>
                <w:sz w:val="21"/>
              </w:rPr>
            </w:pPr>
            <w:r>
              <w:rPr>
                <w:sz w:val="21"/>
              </w:rPr>
              <w:t>欠款扣除</w:t>
            </w:r>
          </w:p>
        </w:tc>
        <w:tc>
          <w:tcPr>
            <w:tcW w:w="6563" w:type="dxa"/>
          </w:tcPr>
          <w:p>
            <w:pPr>
              <w:pStyle w:val="TableParagraph"/>
              <w:spacing w:line="300" w:lineRule="auto" w:before="174"/>
              <w:ind w:right="106"/>
              <w:rPr>
                <w:sz w:val="21"/>
              </w:rPr>
            </w:pPr>
            <w:r>
              <w:rPr>
                <w:sz w:val="21"/>
              </w:rPr>
              <w:t>本公司在豁免保险费时，如投保人有保单借款（包括自动借款）或欠交保险费等款项尚未还清，应先补交上述欠款及利息。</w:t>
            </w:r>
          </w:p>
          <w:p>
            <w:pPr>
              <w:pStyle w:val="TableParagraph"/>
              <w:spacing w:line="300" w:lineRule="auto" w:before="16"/>
              <w:ind w:right="106"/>
              <w:rPr>
                <w:sz w:val="21"/>
              </w:rPr>
            </w:pPr>
            <w:r>
              <w:rPr>
                <w:sz w:val="21"/>
              </w:rPr>
              <w:t>本公司退还现金价值或退还保险费时，应先扣除保单借款（包括自动借款）及利息、欠交保险费。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一般条款</w:t>
            </w:r>
          </w:p>
        </w:tc>
        <w:tc>
          <w:tcPr>
            <w:tcW w:w="6563" w:type="dxa"/>
            <w:shd w:val="clear" w:color="auto" w:fill="BEBEBE"/>
          </w:tcPr>
          <w:p>
            <w:pPr>
              <w:pStyle w:val="TableParagraph"/>
              <w:spacing w:before="0"/>
              <w:ind w:left="0"/>
              <w:rPr>
                <w:rFonts w:ascii="Times New Roman"/>
                <w:sz w:val="20"/>
              </w:rPr>
            </w:pPr>
          </w:p>
        </w:tc>
      </w:tr>
      <w:tr>
        <w:trPr>
          <w:trHeight w:val="687"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before="2"/>
              <w:ind w:left="224"/>
              <w:rPr>
                <w:sz w:val="21"/>
              </w:rPr>
            </w:pPr>
            <w:r>
              <w:rPr>
                <w:sz w:val="21"/>
              </w:rPr>
              <w:t>投保年龄范围</w:t>
            </w:r>
          </w:p>
        </w:tc>
        <w:tc>
          <w:tcPr>
            <w:tcW w:w="6563" w:type="dxa"/>
          </w:tcPr>
          <w:p>
            <w:pPr>
              <w:pStyle w:val="TableParagraph"/>
              <w:spacing w:before="2"/>
              <w:rPr>
                <w:sz w:val="21"/>
              </w:rPr>
            </w:pPr>
            <w:r>
              <w:rPr>
                <w:sz w:val="21"/>
              </w:rPr>
              <w:t>本附加合同接受的被保险人投保年龄为 18 周岁至 60 周岁。</w:t>
            </w:r>
          </w:p>
        </w:tc>
      </w:tr>
      <w:tr>
        <w:trPr>
          <w:trHeight w:val="343" w:hRule="atLeast"/>
        </w:trPr>
        <w:tc>
          <w:tcPr>
            <w:tcW w:w="1175" w:type="dxa"/>
            <w:shd w:val="clear" w:color="auto" w:fill="BEBEBE"/>
          </w:tcPr>
          <w:p>
            <w:pPr>
              <w:pStyle w:val="TableParagraph"/>
              <w:spacing w:before="2"/>
              <w:ind w:left="108"/>
              <w:rPr>
                <w:b/>
                <w:sz w:val="21"/>
              </w:rPr>
            </w:pPr>
            <w:r>
              <w:rPr>
                <w:b/>
                <w:sz w:val="21"/>
              </w:rPr>
              <w:t>第七章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第十五条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277" w:hRule="atLeast"/>
        </w:trPr>
        <w:tc>
          <w:tcPr>
            <w:tcW w:w="1175" w:type="dxa"/>
          </w:tcPr>
          <w:p>
            <w:pPr>
              <w:pStyle w:val="TableParagraph"/>
              <w:spacing w:line="255" w:lineRule="exact" w:before="2"/>
              <w:ind w:left="116"/>
              <w:jc w:val="center"/>
              <w:rPr>
                <w:sz w:val="21"/>
              </w:rPr>
            </w:pPr>
            <w:r>
              <w:rPr>
                <w:w w:val="100"/>
                <w:sz w:val="21"/>
              </w:rPr>
              <w:t>一</w:t>
            </w:r>
          </w:p>
        </w:tc>
        <w:tc>
          <w:tcPr>
            <w:tcW w:w="1636" w:type="dxa"/>
          </w:tcPr>
          <w:p>
            <w:pPr>
              <w:pStyle w:val="TableParagraph"/>
              <w:spacing w:line="255" w:lineRule="exact" w:before="2"/>
              <w:ind w:left="224"/>
              <w:rPr>
                <w:sz w:val="21"/>
              </w:rPr>
            </w:pPr>
            <w:r>
              <w:rPr>
                <w:sz w:val="21"/>
              </w:rPr>
              <w:t>本公司</w:t>
            </w:r>
          </w:p>
        </w:tc>
        <w:tc>
          <w:tcPr>
            <w:tcW w:w="6563" w:type="dxa"/>
          </w:tcPr>
          <w:p>
            <w:pPr>
              <w:pStyle w:val="TableParagraph"/>
              <w:spacing w:line="255" w:lineRule="exact" w:before="2"/>
              <w:rPr>
                <w:sz w:val="21"/>
              </w:rPr>
            </w:pPr>
            <w:r>
              <w:rPr>
                <w:sz w:val="21"/>
              </w:rPr>
              <w:t>指中银三星人寿保险有限公司。</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3"/>
      </w:tblGrid>
      <w:tr>
        <w:trPr>
          <w:trHeight w:val="1135" w:hRule="atLeast"/>
        </w:trPr>
        <w:tc>
          <w:tcPr>
            <w:tcW w:w="735" w:type="dxa"/>
          </w:tcPr>
          <w:p>
            <w:pPr>
              <w:pStyle w:val="TableParagraph"/>
              <w:spacing w:line="211" w:lineRule="exact" w:before="0"/>
              <w:ind w:left="200"/>
              <w:rPr>
                <w:sz w:val="21"/>
              </w:rPr>
            </w:pPr>
            <w:r>
              <w:rPr>
                <w:w w:val="100"/>
                <w:sz w:val="21"/>
              </w:rPr>
              <w:t>二</w:t>
            </w:r>
          </w:p>
        </w:tc>
        <w:tc>
          <w:tcPr>
            <w:tcW w:w="1525" w:type="dxa"/>
          </w:tcPr>
          <w:p>
            <w:pPr>
              <w:pStyle w:val="TableParagraph"/>
              <w:spacing w:line="211" w:lineRule="exact" w:before="0"/>
              <w:ind w:left="324"/>
              <w:rPr>
                <w:sz w:val="21"/>
              </w:rPr>
            </w:pPr>
            <w:r>
              <w:rPr>
                <w:sz w:val="21"/>
              </w:rPr>
              <w:t>医院</w:t>
            </w:r>
          </w:p>
        </w:tc>
        <w:tc>
          <w:tcPr>
            <w:tcW w:w="6973" w:type="dxa"/>
          </w:tcPr>
          <w:p>
            <w:pPr>
              <w:pStyle w:val="TableParagraph"/>
              <w:spacing w:line="211" w:lineRule="exact" w:before="0"/>
              <w:ind w:left="359"/>
              <w:rPr>
                <w:sz w:val="21"/>
              </w:rPr>
            </w:pPr>
            <w:r>
              <w:rPr>
                <w:sz w:val="21"/>
              </w:rPr>
              <w:t>指在本附加合同中列明的医院。本附加合同未列明的，则指国家卫生</w:t>
            </w:r>
          </w:p>
          <w:p>
            <w:pPr>
              <w:pStyle w:val="TableParagraph"/>
              <w:spacing w:line="300" w:lineRule="auto"/>
              <w:ind w:left="359" w:right="305"/>
              <w:rPr>
                <w:sz w:val="21"/>
              </w:rPr>
            </w:pPr>
            <w:r>
              <w:rPr>
                <w:sz w:val="21"/>
              </w:rPr>
              <w:t>行政部门评定的二级或二级以上公立医院，但不包括康复、护理、疗养、戒酒、戒毒或类似性质的医疗机构。</w:t>
            </w:r>
          </w:p>
        </w:tc>
      </w:tr>
      <w:tr>
        <w:trPr>
          <w:trHeight w:val="11432" w:hRule="atLeast"/>
        </w:trPr>
        <w:tc>
          <w:tcPr>
            <w:tcW w:w="735" w:type="dxa"/>
          </w:tcPr>
          <w:p>
            <w:pPr>
              <w:pStyle w:val="TableParagraph"/>
              <w:spacing w:before="174"/>
              <w:ind w:left="200"/>
              <w:rPr>
                <w:sz w:val="21"/>
              </w:rPr>
            </w:pPr>
            <w:r>
              <w:rPr>
                <w:w w:val="100"/>
                <w:sz w:val="21"/>
              </w:rPr>
              <w:t>三</w:t>
            </w:r>
          </w:p>
        </w:tc>
        <w:tc>
          <w:tcPr>
            <w:tcW w:w="1525" w:type="dxa"/>
          </w:tcPr>
          <w:p>
            <w:pPr>
              <w:pStyle w:val="TableParagraph"/>
              <w:spacing w:before="174"/>
              <w:ind w:left="324"/>
              <w:rPr>
                <w:sz w:val="21"/>
              </w:rPr>
            </w:pPr>
            <w:r>
              <w:rPr>
                <w:sz w:val="21"/>
              </w:rPr>
              <w:t>重大疾病</w:t>
            </w:r>
          </w:p>
        </w:tc>
        <w:tc>
          <w:tcPr>
            <w:tcW w:w="6973" w:type="dxa"/>
          </w:tcPr>
          <w:p>
            <w:pPr>
              <w:pStyle w:val="TableParagraph"/>
              <w:spacing w:line="300" w:lineRule="auto" w:before="174"/>
              <w:ind w:left="359" w:right="305"/>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4"/>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7"/>
              <w:ind w:left="359" w:right="197"/>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ind w:left="359"/>
              <w:rPr>
                <w:sz w:val="21"/>
              </w:rPr>
            </w:pPr>
            <w:r>
              <w:rPr>
                <w:sz w:val="21"/>
              </w:rPr>
              <w:t>① 原位癌；</w:t>
            </w:r>
          </w:p>
          <w:p>
            <w:pPr>
              <w:pStyle w:val="TableParagraph"/>
              <w:ind w:left="359"/>
              <w:rPr>
                <w:sz w:val="21"/>
              </w:rPr>
            </w:pPr>
            <w:r>
              <w:rPr>
                <w:sz w:val="21"/>
              </w:rPr>
              <w:t>② 相当于 Binet 分期方案 A 期程度的慢性淋巴细胞白血病；</w:t>
            </w:r>
          </w:p>
          <w:p>
            <w:pPr>
              <w:pStyle w:val="TableParagraph"/>
              <w:ind w:left="359"/>
              <w:rPr>
                <w:sz w:val="21"/>
              </w:rPr>
            </w:pPr>
            <w:r>
              <w:rPr>
                <w:sz w:val="21"/>
              </w:rPr>
              <w:t>③ 相当于 Ann Arbor 分期方案 I 期程度的何杰金氏病；</w:t>
            </w:r>
          </w:p>
          <w:p>
            <w:pPr>
              <w:pStyle w:val="TableParagraph"/>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4"/>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ind w:left="359" w:right="305"/>
              <w:rPr>
                <w:sz w:val="21"/>
              </w:rPr>
            </w:pPr>
            <w:r>
              <w:rPr>
                <w:sz w:val="21"/>
              </w:rPr>
              <w:t>指因冠状动脉阻塞导致的相应区域供血不足造成部分心肌坏死。须满足下列至少三项条件：</w:t>
            </w:r>
          </w:p>
          <w:p>
            <w:pPr>
              <w:pStyle w:val="TableParagraph"/>
              <w:spacing w:before="16"/>
              <w:ind w:left="359"/>
              <w:rPr>
                <w:sz w:val="21"/>
              </w:rPr>
            </w:pPr>
            <w:r>
              <w:rPr>
                <w:sz w:val="21"/>
              </w:rPr>
              <w:t>① 典型临床表现，例如急性胸痛等；</w:t>
            </w:r>
          </w:p>
          <w:p>
            <w:pPr>
              <w:pStyle w:val="TableParagraph"/>
              <w:ind w:left="359"/>
              <w:rPr>
                <w:sz w:val="21"/>
              </w:rPr>
            </w:pPr>
            <w:r>
              <w:rPr>
                <w:sz w:val="21"/>
              </w:rPr>
              <w:t>② 新近的心电图改变提示急性心肌梗塞；</w:t>
            </w:r>
          </w:p>
          <w:p>
            <w:pPr>
              <w:pStyle w:val="TableParagraph"/>
              <w:spacing w:line="300" w:lineRule="auto"/>
              <w:ind w:left="719" w:right="365" w:hanging="360"/>
              <w:rPr>
                <w:sz w:val="21"/>
              </w:rPr>
            </w:pPr>
            <w:r>
              <w:rPr>
                <w:sz w:val="21"/>
              </w:rPr>
              <w:t>③ 心肌酶或肌钙蛋白有诊断意义的升高，或呈符合急性心肌梗塞的动态性变化；</w:t>
            </w:r>
          </w:p>
          <w:p>
            <w:pPr>
              <w:pStyle w:val="TableParagraph"/>
              <w:spacing w:line="300" w:lineRule="auto" w:before="16"/>
              <w:ind w:left="719" w:right="303"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4"/>
              </w:numPr>
              <w:tabs>
                <w:tab w:pos="780" w:val="left" w:leader="none"/>
              </w:tabs>
              <w:spacing w:line="240" w:lineRule="auto" w:before="130" w:after="0"/>
              <w:ind w:left="779" w:right="0" w:hanging="420"/>
              <w:jc w:val="left"/>
              <w:rPr>
                <w:sz w:val="21"/>
              </w:rPr>
            </w:pPr>
            <w:r>
              <w:rPr>
                <w:spacing w:val="-2"/>
                <w:sz w:val="21"/>
              </w:rPr>
              <w:t>脑中风后遗症</w:t>
            </w:r>
          </w:p>
          <w:p>
            <w:pPr>
              <w:pStyle w:val="TableParagraph"/>
              <w:spacing w:line="340" w:lineRule="atLeast" w:before="3"/>
              <w:ind w:left="359" w:right="305"/>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tc>
      </w:tr>
    </w:tbl>
    <w:p>
      <w:pPr>
        <w:spacing w:after="0" w:line="340" w:lineRule="atLeas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158"/>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ind w:right="209"/>
      </w:pPr>
      <w:r>
        <w:rPr/>
        <w:t>重大器官移植术，指因相应器官功能衰竭，已经实施了肾脏、肝脏、心脏或肺脏的异体移植手术。</w:t>
      </w:r>
    </w:p>
    <w:p>
      <w:pPr>
        <w:pStyle w:val="BodyText"/>
        <w:spacing w:line="300" w:lineRule="auto" w:before="15"/>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ind w:right="209"/>
      </w:pPr>
      <w:r>
        <w:rPr/>
        <w:t>指为治疗严重的冠心病，实际实施了开胸进行的冠状动脉血管旁路移植的手术。</w:t>
      </w:r>
    </w:p>
    <w:p>
      <w:pPr>
        <w:pStyle w:val="BodyText"/>
        <w:spacing w:line="300" w:lineRule="auto" w:before="15"/>
        <w:ind w:right="2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5"/>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5"/>
        </w:numPr>
        <w:tabs>
          <w:tab w:pos="3469" w:val="left" w:leader="none"/>
        </w:tabs>
        <w:spacing w:line="240" w:lineRule="auto" w:before="1"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5"/>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5"/>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spacing w:after="0" w:line="300" w:lineRule="auto"/>
        <w:sectPr>
          <w:pgSz w:w="11910" w:h="16840"/>
          <w:pgMar w:header="0" w:footer="919" w:top="1580" w:bottom="1100" w:left="1200" w:right="1140"/>
        </w:sectPr>
      </w:pPr>
    </w:p>
    <w:p>
      <w:pPr>
        <w:pStyle w:val="BodyText"/>
        <w:spacing w:before="12"/>
        <w:ind w:left="0"/>
        <w:rPr>
          <w:sz w:val="26"/>
        </w:rPr>
      </w:pPr>
    </w:p>
    <w:p>
      <w:pPr>
        <w:pStyle w:val="BodyText"/>
        <w:spacing w:line="300" w:lineRule="auto" w:before="3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7"/>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pPr>
      <w:r>
        <w:rPr/>
        <w:t>③ 视野半径小于 5 度。</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4"/>
        </w:rPr>
        <w:t>体机能永久完全丧失，指疾病确诊 </w:t>
      </w:r>
      <w:r>
        <w:rPr/>
        <w:t>180</w:t>
      </w:r>
      <w:r>
        <w:rPr>
          <w:spacing w:val="-12"/>
        </w:rPr>
        <w:t> 天后或意外伤害发生 </w:t>
      </w:r>
      <w:r>
        <w:rPr/>
        <w:t>180</w:t>
      </w:r>
      <w:r>
        <w:rPr>
          <w:spacing w:val="-13"/>
        </w:rPr>
        <w:t> 天后，</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每肢三大关节中的两大关节仍然完全僵硬，或不能随意识活动。</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2"/>
          <w:sz w:val="21"/>
        </w:rPr>
        <w:t>心脏瓣膜手术</w:t>
      </w:r>
    </w:p>
    <w:p>
      <w:pPr>
        <w:pStyle w:val="BodyText"/>
        <w:spacing w:line="300" w:lineRule="auto"/>
        <w:ind w:right="129"/>
      </w:pPr>
      <w:r>
        <w:rPr/>
        <w:t>指为治疗心脏瓣膜疾病，实际实施了开胸进行的心脏瓣膜置换或修复的手术。</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before="67"/>
        <w:ind w:right="12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before="67"/>
        <w:ind w:right="12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8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12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before="67"/>
        <w:ind w:left="3409" w:right="189" w:hanging="360"/>
      </w:pPr>
      <w:r>
        <w:rPr/>
        <w:t>② 自主生活能力完全丧失，无法独立完成六项基本日常生活活动中的三项或三项以上。</w:t>
      </w:r>
    </w:p>
    <w:p>
      <w:pPr>
        <w:pStyle w:val="BodyText"/>
        <w:spacing w:line="300" w:lineRule="auto" w:before="16"/>
        <w:ind w:right="23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spacing w:after="0" w:line="240" w:lineRule="auto"/>
        <w:jc w:val="left"/>
        <w:rPr>
          <w:sz w:val="21"/>
        </w:rPr>
        <w:sectPr>
          <w:pgSz w:w="11910" w:h="16840"/>
          <w:pgMar w:header="0" w:footer="919" w:top="1580" w:bottom="1180" w:left="1200" w:right="1220"/>
        </w:sectPr>
      </w:pPr>
    </w:p>
    <w:p>
      <w:pPr>
        <w:pStyle w:val="BodyText"/>
        <w:spacing w:before="12"/>
        <w:ind w:left="0"/>
        <w:rPr>
          <w:sz w:val="26"/>
        </w:rPr>
      </w:pPr>
    </w:p>
    <w:p>
      <w:pPr>
        <w:pStyle w:val="BodyText"/>
        <w:spacing w:before="36"/>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5"/>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before="67"/>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spacing w:before="67"/>
      </w:pPr>
      <w:r>
        <w:rPr/>
        <w:t>② 外周血象须具备以下三项条件：</w:t>
      </w:r>
    </w:p>
    <w:p>
      <w:pPr>
        <w:pStyle w:val="ListParagraph"/>
        <w:numPr>
          <w:ilvl w:val="0"/>
          <w:numId w:val="6"/>
        </w:numPr>
        <w:tabs>
          <w:tab w:pos="3468" w:val="left" w:leader="none"/>
          <w:tab w:pos="3469" w:val="left" w:leader="none"/>
        </w:tabs>
        <w:spacing w:line="240" w:lineRule="auto" w:before="67"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6"/>
        </w:numPr>
        <w:tabs>
          <w:tab w:pos="3468" w:val="left" w:leader="none"/>
          <w:tab w:pos="3469" w:val="left" w:leader="none"/>
        </w:tabs>
        <w:spacing w:line="240" w:lineRule="auto" w:before="67" w:after="0"/>
        <w:ind w:left="3469" w:right="0" w:hanging="420"/>
        <w:jc w:val="left"/>
        <w:rPr>
          <w:sz w:val="21"/>
        </w:rPr>
      </w:pPr>
      <w:r>
        <w:rPr>
          <w:spacing w:val="-3"/>
          <w:sz w:val="21"/>
        </w:rPr>
        <w:t>网织红细胞＜</w:t>
      </w:r>
      <w:r>
        <w:rPr>
          <w:spacing w:val="-1"/>
          <w:sz w:val="21"/>
        </w:rPr>
        <w:t>1%；</w:t>
      </w:r>
    </w:p>
    <w:p>
      <w:pPr>
        <w:pStyle w:val="ListParagraph"/>
        <w:numPr>
          <w:ilvl w:val="0"/>
          <w:numId w:val="6"/>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262" w:hanging="420"/>
      </w:pPr>
      <w:r>
        <w:rPr/>
        <w:t>2.</w:t>
        <w:tab/>
        <w:t>6</w:t>
      </w:r>
      <w:r>
        <w:rPr>
          <w:spacing w:val="-5"/>
        </w:rPr>
        <w:t> 种中国保险行业协会推荐范围以外的疾病是指符合下列条件的疾病：</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5"/>
        </w:numPr>
        <w:tabs>
          <w:tab w:pos="3888" w:val="left" w:leader="none"/>
          <w:tab w:pos="3889" w:val="left" w:leader="none"/>
        </w:tabs>
        <w:spacing w:line="240" w:lineRule="auto" w:before="36" w:after="0"/>
        <w:ind w:left="3889" w:right="0" w:hanging="840"/>
        <w:jc w:val="left"/>
        <w:rPr>
          <w:sz w:val="21"/>
        </w:rPr>
      </w:pPr>
      <w:r>
        <w:rPr>
          <w:spacing w:val="-2"/>
          <w:sz w:val="21"/>
        </w:rPr>
        <w:t>严重多发性硬化</w:t>
      </w:r>
    </w:p>
    <w:p>
      <w:pPr>
        <w:pStyle w:val="BodyText"/>
        <w:spacing w:line="300" w:lineRule="auto"/>
        <w:ind w:right="14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1" w:after="0"/>
        <w:ind w:left="3889" w:right="0" w:hanging="840"/>
        <w:jc w:val="left"/>
        <w:rPr>
          <w:sz w:val="21"/>
        </w:rPr>
      </w:pPr>
      <w:r>
        <w:rPr>
          <w:spacing w:val="-3"/>
          <w:sz w:val="21"/>
        </w:rPr>
        <w:t>严重肌营养不良症</w:t>
      </w:r>
    </w:p>
    <w:p>
      <w:pPr>
        <w:pStyle w:val="BodyText"/>
        <w:spacing w:line="300" w:lineRule="auto"/>
        <w:ind w:right="14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ind w:left="3469" w:right="14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4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4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6"/>
        <w:ind w:left="0"/>
        <w:rPr>
          <w:sz w:val="27"/>
        </w:rPr>
      </w:pPr>
    </w:p>
    <w:p>
      <w:pPr>
        <w:pStyle w:val="ListParagraph"/>
        <w:numPr>
          <w:ilvl w:val="0"/>
          <w:numId w:val="5"/>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4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7"/>
        </w:numPr>
        <w:tabs>
          <w:tab w:pos="3261" w:val="left" w:leader="none"/>
        </w:tabs>
        <w:spacing w:line="240" w:lineRule="auto" w:before="67" w:after="0"/>
        <w:ind w:left="3260" w:right="0" w:hanging="211"/>
        <w:jc w:val="left"/>
        <w:rPr>
          <w:sz w:val="21"/>
        </w:rPr>
      </w:pPr>
      <w:r>
        <w:rPr>
          <w:spacing w:val="-3"/>
          <w:sz w:val="21"/>
        </w:rPr>
        <w:t>型–正常肾小球型；</w:t>
      </w:r>
    </w:p>
    <w:p>
      <w:pPr>
        <w:pStyle w:val="ListParagraph"/>
        <w:numPr>
          <w:ilvl w:val="0"/>
          <w:numId w:val="7"/>
        </w:numPr>
        <w:tabs>
          <w:tab w:pos="3313" w:val="left" w:leader="none"/>
        </w:tabs>
        <w:spacing w:line="240" w:lineRule="auto" w:before="67" w:after="0"/>
        <w:ind w:left="3313" w:right="0" w:hanging="264"/>
        <w:jc w:val="left"/>
        <w:rPr>
          <w:sz w:val="21"/>
        </w:rPr>
      </w:pPr>
      <w:r>
        <w:rPr>
          <w:spacing w:val="-3"/>
          <w:sz w:val="21"/>
        </w:rPr>
        <w:t>型–系膜增生型；</w:t>
      </w:r>
    </w:p>
    <w:p>
      <w:pPr>
        <w:pStyle w:val="ListParagraph"/>
        <w:numPr>
          <w:ilvl w:val="0"/>
          <w:numId w:val="7"/>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7"/>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7"/>
        </w:numPr>
        <w:tabs>
          <w:tab w:pos="3313" w:val="left" w:leader="none"/>
        </w:tabs>
        <w:spacing w:line="240" w:lineRule="auto" w:before="68" w:after="0"/>
        <w:ind w:left="3313" w:right="0" w:hanging="264"/>
        <w:jc w:val="left"/>
        <w:rPr>
          <w:sz w:val="21"/>
        </w:rPr>
      </w:pPr>
      <w:r>
        <w:rPr>
          <w:spacing w:val="-3"/>
          <w:sz w:val="21"/>
        </w:rPr>
        <w:t>型–肾小球硬化型。</w:t>
      </w:r>
    </w:p>
    <w:p>
      <w:pPr>
        <w:spacing w:after="0" w:line="240" w:lineRule="auto"/>
        <w:jc w:val="left"/>
        <w:rPr>
          <w:sz w:val="21"/>
        </w:rPr>
        <w:sectPr>
          <w:pgSz w:w="11910" w:h="16840"/>
          <w:pgMar w:header="0" w:footer="919" w:top="1580" w:bottom="1180" w:left="1200" w:right="120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732"/>
        <w:gridCol w:w="6763"/>
      </w:tblGrid>
      <w:tr>
        <w:trPr>
          <w:trHeight w:val="6627" w:hRule="atLeast"/>
        </w:trPr>
        <w:tc>
          <w:tcPr>
            <w:tcW w:w="739" w:type="dxa"/>
          </w:tcPr>
          <w:p>
            <w:pPr>
              <w:pStyle w:val="TableParagraph"/>
              <w:spacing w:before="0"/>
              <w:ind w:left="0"/>
              <w:rPr>
                <w:rFonts w:ascii="Times New Roman"/>
                <w:sz w:val="20"/>
              </w:rPr>
            </w:pPr>
          </w:p>
        </w:tc>
        <w:tc>
          <w:tcPr>
            <w:tcW w:w="1732" w:type="dxa"/>
          </w:tcPr>
          <w:p>
            <w:pPr>
              <w:pStyle w:val="TableParagraph"/>
              <w:spacing w:before="0"/>
              <w:ind w:left="0"/>
              <w:rPr>
                <w:rFonts w:ascii="Times New Roman"/>
                <w:sz w:val="20"/>
              </w:rPr>
            </w:pPr>
          </w:p>
        </w:tc>
        <w:tc>
          <w:tcPr>
            <w:tcW w:w="6763" w:type="dxa"/>
          </w:tcPr>
          <w:p>
            <w:pPr>
              <w:pStyle w:val="TableParagraph"/>
              <w:numPr>
                <w:ilvl w:val="0"/>
                <w:numId w:val="8"/>
              </w:numPr>
              <w:tabs>
                <w:tab w:pos="988" w:val="left" w:leader="none"/>
                <w:tab w:pos="989" w:val="left" w:leader="none"/>
              </w:tabs>
              <w:spacing w:line="211" w:lineRule="exact" w:before="0" w:after="0"/>
              <w:ind w:left="988" w:right="0" w:hanging="840"/>
              <w:jc w:val="left"/>
              <w:rPr>
                <w:sz w:val="21"/>
              </w:rPr>
            </w:pPr>
            <w:r>
              <w:rPr>
                <w:spacing w:val="-3"/>
                <w:sz w:val="21"/>
              </w:rPr>
              <w:t>严重类风湿性关节炎</w:t>
            </w:r>
          </w:p>
          <w:p>
            <w:pPr>
              <w:pStyle w:val="TableParagraph"/>
              <w:spacing w:line="300" w:lineRule="auto"/>
              <w:ind w:right="306"/>
              <w:rPr>
                <w:sz w:val="21"/>
              </w:rPr>
            </w:pPr>
            <w:r>
              <w:rPr>
                <w:sz w:val="21"/>
              </w:rPr>
              <w:t>是指广泛的慢性渐进性的关节损害，伴有明显的关节畸形，必须具有下列所有情况：</w:t>
            </w:r>
          </w:p>
          <w:p>
            <w:pPr>
              <w:pStyle w:val="TableParagraph"/>
              <w:tabs>
                <w:tab w:pos="568" w:val="left" w:leader="none"/>
              </w:tabs>
              <w:spacing w:before="15"/>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568" w:val="left" w:leader="none"/>
              </w:tabs>
              <w:spacing w:line="300" w:lineRule="auto"/>
              <w:ind w:left="568" w:right="306"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568" w:val="left" w:leader="none"/>
              </w:tabs>
              <w:spacing w:line="300" w:lineRule="auto" w:before="16"/>
              <w:ind w:left="568" w:right="306"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right="306"/>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numPr>
                <w:ilvl w:val="0"/>
                <w:numId w:val="8"/>
              </w:numPr>
              <w:tabs>
                <w:tab w:pos="988" w:val="left" w:leader="none"/>
                <w:tab w:pos="989" w:val="left" w:leader="none"/>
              </w:tabs>
              <w:spacing w:line="240" w:lineRule="auto" w:before="130" w:after="0"/>
              <w:ind w:left="988" w:right="0" w:hanging="840"/>
              <w:jc w:val="left"/>
              <w:rPr>
                <w:sz w:val="21"/>
              </w:rPr>
            </w:pPr>
            <w:r>
              <w:rPr>
                <w:spacing w:val="-3"/>
                <w:sz w:val="21"/>
              </w:rPr>
              <w:t>全身性重症肌无力</w:t>
            </w:r>
          </w:p>
          <w:p>
            <w:pPr>
              <w:pStyle w:val="TableParagraph"/>
              <w:spacing w:line="300" w:lineRule="auto"/>
              <w:ind w:right="198"/>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739" w:type="dxa"/>
          </w:tcPr>
          <w:p>
            <w:pPr>
              <w:pStyle w:val="TableParagraph"/>
              <w:spacing w:before="174"/>
              <w:ind w:left="200"/>
              <w:rPr>
                <w:sz w:val="21"/>
              </w:rPr>
            </w:pPr>
            <w:r>
              <w:rPr>
                <w:w w:val="100"/>
                <w:sz w:val="21"/>
              </w:rPr>
              <w:t>四</w:t>
            </w:r>
          </w:p>
        </w:tc>
        <w:tc>
          <w:tcPr>
            <w:tcW w:w="1732" w:type="dxa"/>
          </w:tcPr>
          <w:p>
            <w:pPr>
              <w:pStyle w:val="TableParagraph"/>
              <w:spacing w:before="174"/>
              <w:ind w:left="320"/>
              <w:rPr>
                <w:sz w:val="21"/>
              </w:rPr>
            </w:pPr>
            <w:r>
              <w:rPr>
                <w:sz w:val="21"/>
              </w:rPr>
              <w:t>意外伤害</w:t>
            </w:r>
          </w:p>
        </w:tc>
        <w:tc>
          <w:tcPr>
            <w:tcW w:w="6763" w:type="dxa"/>
          </w:tcPr>
          <w:p>
            <w:pPr>
              <w:pStyle w:val="TableParagraph"/>
              <w:spacing w:before="174"/>
              <w:rPr>
                <w:sz w:val="21"/>
              </w:rPr>
            </w:pPr>
            <w:r>
              <w:rPr>
                <w:sz w:val="21"/>
              </w:rPr>
              <w:t>指外来的、突然的、非本意的、非疾病的使身体受到伤害的客观事件。</w:t>
            </w:r>
          </w:p>
        </w:tc>
      </w:tr>
      <w:tr>
        <w:trPr>
          <w:trHeight w:val="5254" w:hRule="atLeast"/>
        </w:trPr>
        <w:tc>
          <w:tcPr>
            <w:tcW w:w="739" w:type="dxa"/>
          </w:tcPr>
          <w:p>
            <w:pPr>
              <w:pStyle w:val="TableParagraph"/>
              <w:spacing w:before="174"/>
              <w:ind w:left="207"/>
              <w:rPr>
                <w:sz w:val="21"/>
              </w:rPr>
            </w:pPr>
            <w:r>
              <w:rPr>
                <w:w w:val="100"/>
                <w:sz w:val="21"/>
              </w:rPr>
              <w:t>五</w:t>
            </w:r>
          </w:p>
        </w:tc>
        <w:tc>
          <w:tcPr>
            <w:tcW w:w="1732" w:type="dxa"/>
          </w:tcPr>
          <w:p>
            <w:pPr>
              <w:pStyle w:val="TableParagraph"/>
              <w:spacing w:before="174"/>
              <w:ind w:left="320"/>
              <w:rPr>
                <w:sz w:val="21"/>
              </w:rPr>
            </w:pPr>
            <w:r>
              <w:rPr>
                <w:sz w:val="21"/>
              </w:rPr>
              <w:t>身体高度残疾</w:t>
            </w:r>
          </w:p>
        </w:tc>
        <w:tc>
          <w:tcPr>
            <w:tcW w:w="6763" w:type="dxa"/>
          </w:tcPr>
          <w:p>
            <w:pPr>
              <w:pStyle w:val="TableParagraph"/>
              <w:spacing w:before="174"/>
              <w:rPr>
                <w:sz w:val="21"/>
              </w:rPr>
            </w:pPr>
            <w:r>
              <w:rPr>
                <w:sz w:val="21"/>
              </w:rPr>
              <w:t>本附加合同所称的身体高度残疾是指下列情形之一：</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双目永久完全失明（</w:t>
            </w:r>
            <w:r>
              <w:rPr>
                <w:spacing w:val="-21"/>
                <w:sz w:val="21"/>
              </w:rPr>
              <w:t>注 </w:t>
            </w:r>
            <w:r>
              <w:rPr>
                <w:sz w:val="21"/>
              </w:rPr>
              <w:t>1）；</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两上肢腕关节以上或两下肢踝关节以上缺失；</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一上肢腕关节以上及一下肢踝关节以上缺失；</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一目永久完全失明及一上肢腕关节以上缺失；</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一目永久完全失明及一下肢踝关节以上缺失；</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四肢关节机能永久完全丧失（</w:t>
            </w:r>
            <w:r>
              <w:rPr>
                <w:spacing w:val="-20"/>
                <w:sz w:val="21"/>
              </w:rPr>
              <w:t>注 </w:t>
            </w:r>
            <w:r>
              <w:rPr>
                <w:sz w:val="21"/>
              </w:rPr>
              <w:t>2）；</w:t>
            </w:r>
          </w:p>
          <w:p>
            <w:pPr>
              <w:pStyle w:val="TableParagraph"/>
              <w:numPr>
                <w:ilvl w:val="0"/>
                <w:numId w:val="9"/>
              </w:numPr>
              <w:tabs>
                <w:tab w:pos="569" w:val="left" w:leader="none"/>
              </w:tabs>
              <w:spacing w:line="240" w:lineRule="auto" w:before="68" w:after="0"/>
              <w:ind w:left="602" w:right="0" w:hanging="420"/>
              <w:jc w:val="left"/>
              <w:rPr>
                <w:sz w:val="21"/>
              </w:rPr>
            </w:pPr>
            <w:r>
              <w:rPr>
                <w:spacing w:val="-3"/>
                <w:sz w:val="21"/>
              </w:rPr>
              <w:t>咀嚼、吞咽机能永久完全丧失（</w:t>
            </w:r>
            <w:r>
              <w:rPr>
                <w:spacing w:val="-18"/>
                <w:sz w:val="21"/>
              </w:rPr>
              <w:t>注 </w:t>
            </w:r>
            <w:r>
              <w:rPr>
                <w:sz w:val="21"/>
              </w:rPr>
              <w:t>3）；</w:t>
            </w:r>
          </w:p>
          <w:p>
            <w:pPr>
              <w:pStyle w:val="TableParagraph"/>
              <w:numPr>
                <w:ilvl w:val="0"/>
                <w:numId w:val="9"/>
              </w:numPr>
              <w:tabs>
                <w:tab w:pos="569" w:val="left" w:leader="none"/>
              </w:tabs>
              <w:spacing w:line="300" w:lineRule="auto" w:before="68" w:after="0"/>
              <w:ind w:left="602" w:right="301" w:hanging="420"/>
              <w:jc w:val="both"/>
              <w:rPr>
                <w:sz w:val="21"/>
              </w:rPr>
            </w:pPr>
            <w:r>
              <w:rPr>
                <w:spacing w:val="-3"/>
                <w:sz w:val="21"/>
              </w:rPr>
              <w:t>中枢神经系统机能或胸、腹部脏器机能极度障碍，终身不能从事</w:t>
            </w:r>
            <w:r>
              <w:rPr>
                <w:spacing w:val="-7"/>
                <w:sz w:val="21"/>
              </w:rPr>
              <w:t>任何工作，为维持生命必要的日常生活活动，全需他人扶助</w:t>
            </w:r>
            <w:r>
              <w:rPr>
                <w:spacing w:val="-3"/>
                <w:sz w:val="21"/>
              </w:rPr>
              <w:t>（</w:t>
            </w:r>
            <w:r>
              <w:rPr>
                <w:sz w:val="21"/>
              </w:rPr>
              <w:t>注4）。</w:t>
            </w:r>
          </w:p>
          <w:p>
            <w:pPr>
              <w:pStyle w:val="TableParagraph"/>
              <w:spacing w:line="300" w:lineRule="auto" w:before="16"/>
              <w:ind w:left="681" w:right="301" w:hanging="533"/>
              <w:jc w:val="both"/>
              <w:rPr>
                <w:sz w:val="21"/>
              </w:rPr>
            </w:pPr>
            <w:r>
              <w:rPr>
                <w:sz w:val="21"/>
              </w:rPr>
              <w:t>注 1：失明包括眼球缺失或摘除、或不能辨别明暗、或仅能辨别眼前手动者。最佳矫正视力低于国际标准视力表 0.02，或视野半径小于 5 度，并由保险公司指定有资格的眼科医师出具医疗诊断</w:t>
            </w:r>
          </w:p>
          <w:p>
            <w:pPr>
              <w:pStyle w:val="TableParagraph"/>
              <w:spacing w:line="255" w:lineRule="exact" w:before="16"/>
              <w:ind w:left="681"/>
              <w:rPr>
                <w:sz w:val="21"/>
              </w:rPr>
            </w:pPr>
            <w:r>
              <w:rPr>
                <w:sz w:val="21"/>
              </w:rPr>
              <w:t>证明。</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4911"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spacing w:line="211" w:lineRule="exact" w:before="0"/>
              <w:ind w:left="149"/>
              <w:rPr>
                <w:sz w:val="21"/>
              </w:rPr>
            </w:pPr>
            <w:r>
              <w:rPr>
                <w:sz w:val="21"/>
              </w:rPr>
              <w:t>注 2：关节机能的丧失系指关节永久完全僵硬、或麻痹、或关节不能</w:t>
            </w:r>
          </w:p>
          <w:p>
            <w:pPr>
              <w:pStyle w:val="TableParagraph"/>
              <w:ind w:left="682"/>
              <w:rPr>
                <w:sz w:val="21"/>
              </w:rPr>
            </w:pPr>
            <w:r>
              <w:rPr>
                <w:sz w:val="21"/>
              </w:rPr>
              <w:t>随意识活动。</w:t>
            </w:r>
          </w:p>
          <w:p>
            <w:pPr>
              <w:pStyle w:val="TableParagraph"/>
              <w:spacing w:line="300" w:lineRule="auto"/>
              <w:ind w:left="682" w:right="305" w:hanging="533"/>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6"/>
              <w:ind w:left="682" w:right="305" w:hanging="533"/>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6"/>
              <w:ind w:left="149" w:right="302"/>
              <w:jc w:val="both"/>
              <w:rPr>
                <w:sz w:val="21"/>
              </w:rPr>
            </w:pPr>
            <w:r>
              <w:rPr>
                <w:spacing w:val="-5"/>
                <w:sz w:val="21"/>
              </w:rPr>
              <w:t>所谓永久完全系指自以上情况发生之日起经过 </w:t>
            </w:r>
            <w:r>
              <w:rPr>
                <w:sz w:val="21"/>
              </w:rPr>
              <w:t>180</w:t>
            </w:r>
            <w:r>
              <w:rPr>
                <w:spacing w:val="-7"/>
                <w:sz w:val="21"/>
              </w:rPr>
              <w:t> 日的治疗，机能仍</w:t>
            </w:r>
            <w:r>
              <w:rPr>
                <w:spacing w:val="-5"/>
                <w:sz w:val="21"/>
              </w:rPr>
              <w:t>然完全丧失，但眼球摘除等明显无法复原之情况，不在此限。</w:t>
            </w:r>
          </w:p>
          <w:p>
            <w:pPr>
              <w:pStyle w:val="TableParagraph"/>
              <w:spacing w:line="300" w:lineRule="auto" w:before="16"/>
              <w:ind w:left="149" w:right="304"/>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7"/>
                <w:sz w:val="21"/>
              </w:rPr>
              <w:t>之日或疾病确诊之日起 </w:t>
            </w:r>
            <w:r>
              <w:rPr>
                <w:sz w:val="21"/>
              </w:rPr>
              <w:t>180</w:t>
            </w:r>
            <w:r>
              <w:rPr>
                <w:spacing w:val="-12"/>
                <w:sz w:val="21"/>
              </w:rPr>
              <w:t> 日治疗仍未结束，按第 </w:t>
            </w:r>
            <w:r>
              <w:rPr>
                <w:sz w:val="21"/>
              </w:rPr>
              <w:t>180</w:t>
            </w:r>
            <w:r>
              <w:rPr>
                <w:spacing w:val="-9"/>
                <w:sz w:val="21"/>
              </w:rPr>
              <w:t> 日的身体情况</w:t>
            </w:r>
            <w:r>
              <w:rPr>
                <w:spacing w:val="-5"/>
                <w:sz w:val="21"/>
              </w:rPr>
              <w:t>进行鉴定。</w:t>
            </w:r>
          </w:p>
        </w:tc>
      </w:tr>
      <w:tr>
        <w:trPr>
          <w:trHeight w:val="1716"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毒品</w:t>
            </w:r>
          </w:p>
        </w:tc>
        <w:tc>
          <w:tcPr>
            <w:tcW w:w="6765" w:type="dxa"/>
          </w:tcPr>
          <w:p>
            <w:pPr>
              <w:pStyle w:val="TableParagraph"/>
              <w:spacing w:line="300" w:lineRule="auto" w:before="174"/>
              <w:ind w:left="149" w:right="307"/>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3"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before="174"/>
              <w:ind w:left="324"/>
              <w:rPr>
                <w:sz w:val="21"/>
              </w:rPr>
            </w:pPr>
            <w:r>
              <w:rPr>
                <w:sz w:val="21"/>
              </w:rPr>
              <w:t>酒后驾驶</w:t>
            </w:r>
          </w:p>
        </w:tc>
        <w:tc>
          <w:tcPr>
            <w:tcW w:w="6765" w:type="dxa"/>
          </w:tcPr>
          <w:p>
            <w:pPr>
              <w:pStyle w:val="TableParagraph"/>
              <w:spacing w:line="300" w:lineRule="auto" w:before="174"/>
              <w:ind w:left="149"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line="300" w:lineRule="auto" w:before="174"/>
              <w:ind w:left="324" w:right="146"/>
              <w:rPr>
                <w:sz w:val="21"/>
              </w:rPr>
            </w:pPr>
            <w:r>
              <w:rPr>
                <w:sz w:val="21"/>
              </w:rPr>
              <w:t>无合法有效驾驶证驾驶</w:t>
            </w:r>
          </w:p>
        </w:tc>
        <w:tc>
          <w:tcPr>
            <w:tcW w:w="6765" w:type="dxa"/>
          </w:tcPr>
          <w:p>
            <w:pPr>
              <w:pStyle w:val="TableParagraph"/>
              <w:spacing w:before="174"/>
              <w:ind w:left="149"/>
              <w:rPr>
                <w:sz w:val="21"/>
              </w:rPr>
            </w:pPr>
            <w:r>
              <w:rPr>
                <w:sz w:val="21"/>
              </w:rPr>
              <w:t>指下列情形之一：</w:t>
            </w:r>
          </w:p>
          <w:p>
            <w:pPr>
              <w:pStyle w:val="TableParagraph"/>
              <w:numPr>
                <w:ilvl w:val="0"/>
                <w:numId w:val="10"/>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10"/>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10"/>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10"/>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before="174"/>
              <w:ind w:left="324"/>
              <w:rPr>
                <w:sz w:val="21"/>
              </w:rPr>
            </w:pPr>
            <w:r>
              <w:rPr>
                <w:sz w:val="21"/>
              </w:rPr>
              <w:t>无有效行驶证</w:t>
            </w:r>
          </w:p>
        </w:tc>
        <w:tc>
          <w:tcPr>
            <w:tcW w:w="6765" w:type="dxa"/>
          </w:tcPr>
          <w:p>
            <w:pPr>
              <w:pStyle w:val="TableParagraph"/>
              <w:spacing w:before="174"/>
              <w:ind w:left="149"/>
              <w:rPr>
                <w:sz w:val="21"/>
              </w:rPr>
            </w:pPr>
            <w:r>
              <w:rPr>
                <w:sz w:val="21"/>
              </w:rPr>
              <w:t>指下列情形之一：</w:t>
            </w:r>
          </w:p>
          <w:p>
            <w:pPr>
              <w:pStyle w:val="TableParagraph"/>
              <w:numPr>
                <w:ilvl w:val="0"/>
                <w:numId w:val="11"/>
              </w:numPr>
              <w:tabs>
                <w:tab w:pos="510" w:val="left" w:leader="none"/>
              </w:tabs>
              <w:spacing w:line="240" w:lineRule="auto" w:before="69" w:after="0"/>
              <w:ind w:left="509" w:right="0" w:hanging="360"/>
              <w:jc w:val="left"/>
              <w:rPr>
                <w:sz w:val="21"/>
              </w:rPr>
            </w:pPr>
            <w:r>
              <w:rPr>
                <w:spacing w:val="-3"/>
                <w:sz w:val="21"/>
              </w:rPr>
              <w:t>机动车被依法注销登记的；</w:t>
            </w:r>
          </w:p>
          <w:p>
            <w:pPr>
              <w:pStyle w:val="TableParagraph"/>
              <w:numPr>
                <w:ilvl w:val="0"/>
                <w:numId w:val="11"/>
              </w:numPr>
              <w:tabs>
                <w:tab w:pos="510" w:val="left" w:leader="none"/>
              </w:tabs>
              <w:spacing w:line="240" w:lineRule="auto" w:before="68" w:after="0"/>
              <w:ind w:left="509" w:right="0" w:hanging="360"/>
              <w:jc w:val="left"/>
              <w:rPr>
                <w:sz w:val="21"/>
              </w:rPr>
            </w:pPr>
            <w:r>
              <w:rPr>
                <w:spacing w:val="-3"/>
                <w:sz w:val="21"/>
              </w:rPr>
              <w:t>未依法按时进行或通过机动车安全技术检验。</w:t>
            </w:r>
          </w:p>
        </w:tc>
      </w:tr>
      <w:tr>
        <w:trPr>
          <w:trHeight w:val="791"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line="340" w:lineRule="atLeast" w:before="108"/>
              <w:ind w:left="324" w:right="146"/>
              <w:rPr>
                <w:sz w:val="21"/>
              </w:rPr>
            </w:pPr>
            <w:r>
              <w:rPr>
                <w:sz w:val="21"/>
              </w:rPr>
              <w:t>先天性畸形、变形或染色体</w:t>
            </w:r>
          </w:p>
        </w:tc>
        <w:tc>
          <w:tcPr>
            <w:tcW w:w="6765" w:type="dxa"/>
          </w:tcPr>
          <w:p>
            <w:pPr>
              <w:pStyle w:val="TableParagraph"/>
              <w:spacing w:line="340" w:lineRule="atLeast" w:before="108"/>
              <w:ind w:left="149" w:right="307"/>
              <w:rPr>
                <w:sz w:val="21"/>
              </w:rPr>
            </w:pPr>
            <w:r>
              <w:rPr>
                <w:sz w:val="21"/>
              </w:rPr>
              <w:t>指被保险人出生时就具有的畸形、变形或染色体异常。先天性畸形、变形和染色体异常依照世界卫生组织《疾病和有关健康问题的国际统</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448" w:hRule="atLeast"/>
        </w:trPr>
        <w:tc>
          <w:tcPr>
            <w:tcW w:w="894" w:type="dxa"/>
          </w:tcPr>
          <w:p>
            <w:pPr>
              <w:pStyle w:val="TableParagraph"/>
              <w:spacing w:before="0"/>
              <w:ind w:left="0"/>
              <w:rPr>
                <w:rFonts w:ascii="Times New Roman"/>
                <w:sz w:val="20"/>
              </w:rPr>
            </w:pPr>
          </w:p>
        </w:tc>
        <w:tc>
          <w:tcPr>
            <w:tcW w:w="1683" w:type="dxa"/>
          </w:tcPr>
          <w:p>
            <w:pPr>
              <w:pStyle w:val="TableParagraph"/>
              <w:spacing w:line="211" w:lineRule="exact" w:before="0"/>
              <w:ind w:left="270"/>
              <w:rPr>
                <w:sz w:val="21"/>
              </w:rPr>
            </w:pPr>
            <w:r>
              <w:rPr>
                <w:sz w:val="21"/>
              </w:rPr>
              <w:t>异常</w:t>
            </w:r>
          </w:p>
        </w:tc>
        <w:tc>
          <w:tcPr>
            <w:tcW w:w="6763" w:type="dxa"/>
          </w:tcPr>
          <w:p>
            <w:pPr>
              <w:pStyle w:val="TableParagraph"/>
              <w:spacing w:line="211" w:lineRule="exact" w:before="0"/>
              <w:rPr>
                <w:sz w:val="21"/>
              </w:rPr>
            </w:pPr>
            <w:r>
              <w:rPr>
                <w:sz w:val="21"/>
              </w:rPr>
              <w:t>计分类》（ICD-10）确定。</w:t>
            </w:r>
          </w:p>
        </w:tc>
      </w:tr>
      <w:tr>
        <w:trPr>
          <w:trHeight w:val="1029"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现金价值</w:t>
            </w:r>
          </w:p>
        </w:tc>
        <w:tc>
          <w:tcPr>
            <w:tcW w:w="6763" w:type="dxa"/>
          </w:tcPr>
          <w:p>
            <w:pPr>
              <w:pStyle w:val="TableParagraph"/>
              <w:spacing w:line="300" w:lineRule="auto" w:before="174"/>
              <w:ind w:right="198"/>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6"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rPr>
                <w:sz w:val="21"/>
              </w:rPr>
            </w:pPr>
            <w:r>
              <w:rPr>
                <w:sz w:val="21"/>
              </w:rPr>
              <w:t>专科医生应当同时满足以下四项资格条件：</w:t>
            </w:r>
          </w:p>
          <w:p>
            <w:pPr>
              <w:pStyle w:val="TableParagraph"/>
              <w:numPr>
                <w:ilvl w:val="0"/>
                <w:numId w:val="12"/>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2"/>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2"/>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2"/>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rPr>
                <w:sz w:val="21"/>
              </w:rPr>
            </w:pPr>
            <w:r>
              <w:rPr>
                <w:sz w:val="21"/>
              </w:rPr>
              <w:t>六项基本日常生活活动是指：</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行动：自己上下床或上下轮椅；</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进食：自己从已准备好的碗或碟中取食物放入口中；</w:t>
            </w:r>
          </w:p>
          <w:p>
            <w:pPr>
              <w:pStyle w:val="TableParagraph"/>
              <w:numPr>
                <w:ilvl w:val="0"/>
                <w:numId w:val="13"/>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1029"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00" w:lineRule="auto" w:before="174"/>
              <w:ind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spacing w:before="174"/>
              <w:ind w:left="182" w:right="251"/>
              <w:jc w:val="center"/>
              <w:rPr>
                <w:sz w:val="21"/>
              </w:rPr>
            </w:pPr>
            <w:r>
              <w:rPr>
                <w:sz w:val="21"/>
              </w:rPr>
              <w:t>十七</w:t>
            </w:r>
          </w:p>
        </w:tc>
        <w:tc>
          <w:tcPr>
            <w:tcW w:w="1683" w:type="dxa"/>
          </w:tcPr>
          <w:p>
            <w:pPr>
              <w:pStyle w:val="TableParagraph"/>
              <w:spacing w:before="174"/>
              <w:ind w:left="270"/>
              <w:rPr>
                <w:sz w:val="21"/>
              </w:rPr>
            </w:pPr>
            <w:r>
              <w:rPr>
                <w:sz w:val="21"/>
              </w:rPr>
              <w:t>周岁</w:t>
            </w:r>
          </w:p>
        </w:tc>
        <w:tc>
          <w:tcPr>
            <w:tcW w:w="6763" w:type="dxa"/>
          </w:tcPr>
          <w:p>
            <w:pPr>
              <w:pStyle w:val="TableParagraph"/>
              <w:spacing w:line="340" w:lineRule="atLeast" w:before="109"/>
              <w:ind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91pt;height:11pt;mso-position-horizontal-relative:page;mso-position-vertical-relative:page;z-index:-20680" type="#_x0000_t202" filled="false" stroked="false">
          <v:textbox inset="0,0,0,0">
            <w:txbxContent>
              <w:p>
                <w:pPr>
                  <w:spacing w:line="200" w:lineRule="exact" w:before="0"/>
                  <w:ind w:left="20" w:right="0" w:firstLine="0"/>
                  <w:jc w:val="left"/>
                  <w:rPr>
                    <w:sz w:val="18"/>
                  </w:rPr>
                </w:pPr>
                <w:r>
                  <w:rPr>
                    <w:sz w:val="18"/>
                  </w:rPr>
                  <w:t>中银三星附加家诺保险费豁免定期重大疾病保险</w:t>
                </w:r>
              </w:p>
            </w:txbxContent>
          </v:textbox>
          <w10:wrap type="none"/>
        </v:shape>
      </w:pict>
    </w:r>
    <w:r>
      <w:rPr/>
      <w:pict>
        <v:shape style="position:absolute;margin-left:325.470001pt;margin-top:780.961609pt;width:20pt;height:11pt;mso-position-horizontal-relative:page;mso-position-vertical-relative:page;z-index:-2065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1.5pt;margin-top:780.961609pt;width:79.8pt;height:11pt;mso-position-horizontal-relative:page;mso-position-vertical-relative:page;z-index:-20632"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14"/>
                    <w:sz w:val="18"/>
                  </w:rPr>
                  <w:t> 页，共 </w:t>
                </w:r>
                <w:r>
                  <w:rPr>
                    <w:sz w:val="18"/>
                  </w:rPr>
                  <w:t>14</w:t>
                </w:r>
                <w:r>
                  <w:rPr>
                    <w:spacing w:val="-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0">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9">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8">
    <w:multiLevelType w:val="hybridMultilevel"/>
    <w:lvl w:ilvl="0">
      <w:start w:val="1"/>
      <w:numFmt w:val="decimal"/>
      <w:lvlText w:val="%1."/>
      <w:lvlJc w:val="left"/>
      <w:pPr>
        <w:ind w:left="602" w:hanging="387"/>
        <w:jc w:val="left"/>
      </w:pPr>
      <w:rPr>
        <w:rFonts w:hint="default" w:ascii="宋体" w:hAnsi="宋体" w:eastAsia="宋体" w:cs="宋体"/>
        <w:w w:val="100"/>
        <w:sz w:val="21"/>
        <w:szCs w:val="21"/>
      </w:rPr>
    </w:lvl>
    <w:lvl w:ilvl="1">
      <w:start w:val="0"/>
      <w:numFmt w:val="bullet"/>
      <w:lvlText w:val="•"/>
      <w:lvlJc w:val="left"/>
      <w:pPr>
        <w:ind w:left="1216" w:hanging="387"/>
      </w:pPr>
      <w:rPr>
        <w:rFonts w:hint="default"/>
      </w:rPr>
    </w:lvl>
    <w:lvl w:ilvl="2">
      <w:start w:val="0"/>
      <w:numFmt w:val="bullet"/>
      <w:lvlText w:val="•"/>
      <w:lvlJc w:val="left"/>
      <w:pPr>
        <w:ind w:left="1832" w:hanging="387"/>
      </w:pPr>
      <w:rPr>
        <w:rFonts w:hint="default"/>
      </w:rPr>
    </w:lvl>
    <w:lvl w:ilvl="3">
      <w:start w:val="0"/>
      <w:numFmt w:val="bullet"/>
      <w:lvlText w:val="•"/>
      <w:lvlJc w:val="left"/>
      <w:pPr>
        <w:ind w:left="2448" w:hanging="387"/>
      </w:pPr>
      <w:rPr>
        <w:rFonts w:hint="default"/>
      </w:rPr>
    </w:lvl>
    <w:lvl w:ilvl="4">
      <w:start w:val="0"/>
      <w:numFmt w:val="bullet"/>
      <w:lvlText w:val="•"/>
      <w:lvlJc w:val="left"/>
      <w:pPr>
        <w:ind w:left="3065" w:hanging="387"/>
      </w:pPr>
      <w:rPr>
        <w:rFonts w:hint="default"/>
      </w:rPr>
    </w:lvl>
    <w:lvl w:ilvl="5">
      <w:start w:val="0"/>
      <w:numFmt w:val="bullet"/>
      <w:lvlText w:val="•"/>
      <w:lvlJc w:val="left"/>
      <w:pPr>
        <w:ind w:left="3681" w:hanging="387"/>
      </w:pPr>
      <w:rPr>
        <w:rFonts w:hint="default"/>
      </w:rPr>
    </w:lvl>
    <w:lvl w:ilvl="6">
      <w:start w:val="0"/>
      <w:numFmt w:val="bullet"/>
      <w:lvlText w:val="•"/>
      <w:lvlJc w:val="left"/>
      <w:pPr>
        <w:ind w:left="4297" w:hanging="387"/>
      </w:pPr>
      <w:rPr>
        <w:rFonts w:hint="default"/>
      </w:rPr>
    </w:lvl>
    <w:lvl w:ilvl="7">
      <w:start w:val="0"/>
      <w:numFmt w:val="bullet"/>
      <w:lvlText w:val="•"/>
      <w:lvlJc w:val="left"/>
      <w:pPr>
        <w:ind w:left="4914" w:hanging="387"/>
      </w:pPr>
      <w:rPr>
        <w:rFonts w:hint="default"/>
      </w:rPr>
    </w:lvl>
    <w:lvl w:ilvl="8">
      <w:start w:val="0"/>
      <w:numFmt w:val="bullet"/>
      <w:lvlText w:val="•"/>
      <w:lvlJc w:val="left"/>
      <w:pPr>
        <w:ind w:left="5530" w:hanging="387"/>
      </w:pPr>
      <w:rPr>
        <w:rFonts w:hint="default"/>
      </w:rPr>
    </w:lvl>
  </w:abstractNum>
  <w:abstractNum w:abstractNumId="7">
    <w:multiLevelType w:val="hybridMultilevel"/>
    <w:lvl w:ilvl="0">
      <w:start w:val="29"/>
      <w:numFmt w:val="decimal"/>
      <w:lvlText w:val="(%1)"/>
      <w:lvlJc w:val="left"/>
      <w:pPr>
        <w:ind w:left="988"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3"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8" w:hanging="840"/>
      </w:pPr>
      <w:rPr>
        <w:rFonts w:hint="default"/>
      </w:rPr>
    </w:lvl>
    <w:lvl w:ilvl="8">
      <w:start w:val="0"/>
      <w:numFmt w:val="bullet"/>
      <w:lvlText w:val="•"/>
      <w:lvlJc w:val="left"/>
      <w:pPr>
        <w:ind w:left="5606" w:hanging="840"/>
      </w:pPr>
      <w:rPr>
        <w:rFonts w:hint="default"/>
      </w:rPr>
    </w:lvl>
  </w:abstractNum>
  <w:abstractNum w:abstractNumId="6">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5">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4">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7"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5" w:hanging="420"/>
      </w:pPr>
      <w:rPr>
        <w:rFonts w:hint="default"/>
      </w:rPr>
    </w:lvl>
    <w:lvl w:ilvl="8">
      <w:start w:val="0"/>
      <w:numFmt w:val="bullet"/>
      <w:lvlText w:val="•"/>
      <w:lvlJc w:val="left"/>
      <w:pPr>
        <w:ind w:left="5734" w:hanging="420"/>
      </w:pPr>
      <w:rPr>
        <w:rFonts w:hint="default"/>
      </w:rPr>
    </w:lvl>
  </w:abstractNum>
  <w:abstractNum w:abstractNumId="2">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60" w:hanging="420"/>
      </w:pPr>
      <w:rPr>
        <w:rFonts w:hint="default"/>
      </w:rPr>
    </w:lvl>
    <w:lvl w:ilvl="3">
      <w:start w:val="0"/>
      <w:numFmt w:val="bullet"/>
      <w:lvlText w:val="•"/>
      <w:lvlJc w:val="left"/>
      <w:pPr>
        <w:ind w:left="2360" w:hanging="420"/>
      </w:pPr>
      <w:rPr>
        <w:rFonts w:hint="default"/>
      </w:rPr>
    </w:lvl>
    <w:lvl w:ilvl="4">
      <w:start w:val="0"/>
      <w:numFmt w:val="bullet"/>
      <w:lvlText w:val="•"/>
      <w:lvlJc w:val="left"/>
      <w:pPr>
        <w:ind w:left="2961" w:hanging="420"/>
      </w:pPr>
      <w:rPr>
        <w:rFonts w:hint="default"/>
      </w:rPr>
    </w:lvl>
    <w:lvl w:ilvl="5">
      <w:start w:val="0"/>
      <w:numFmt w:val="bullet"/>
      <w:lvlText w:val="•"/>
      <w:lvlJc w:val="left"/>
      <w:pPr>
        <w:ind w:left="3561" w:hanging="420"/>
      </w:pPr>
      <w:rPr>
        <w:rFonts w:hint="default"/>
      </w:rPr>
    </w:lvl>
    <w:lvl w:ilvl="6">
      <w:start w:val="0"/>
      <w:numFmt w:val="bullet"/>
      <w:lvlText w:val="•"/>
      <w:lvlJc w:val="left"/>
      <w:pPr>
        <w:ind w:left="4161" w:hanging="420"/>
      </w:pPr>
      <w:rPr>
        <w:rFonts w:hint="default"/>
      </w:rPr>
    </w:lvl>
    <w:lvl w:ilvl="7">
      <w:start w:val="0"/>
      <w:numFmt w:val="bullet"/>
      <w:lvlText w:val="•"/>
      <w:lvlJc w:val="left"/>
      <w:pPr>
        <w:ind w:left="4762" w:hanging="420"/>
      </w:pPr>
      <w:rPr>
        <w:rFonts w:hint="default"/>
      </w:rPr>
    </w:lvl>
    <w:lvl w:ilvl="8">
      <w:start w:val="0"/>
      <w:numFmt w:val="bullet"/>
      <w:lvlText w:val="•"/>
      <w:lvlJc w:val="left"/>
      <w:pPr>
        <w:ind w:left="5362" w:hanging="420"/>
      </w:pPr>
      <w:rPr>
        <w:rFonts w:hint="default"/>
      </w:rPr>
    </w:lvl>
  </w:abstractNum>
  <w:abstractNum w:abstractNumId="1">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60" w:hanging="420"/>
      </w:pPr>
      <w:rPr>
        <w:rFonts w:hint="default"/>
      </w:rPr>
    </w:lvl>
    <w:lvl w:ilvl="3">
      <w:start w:val="0"/>
      <w:numFmt w:val="bullet"/>
      <w:lvlText w:val="•"/>
      <w:lvlJc w:val="left"/>
      <w:pPr>
        <w:ind w:left="2360" w:hanging="420"/>
      </w:pPr>
      <w:rPr>
        <w:rFonts w:hint="default"/>
      </w:rPr>
    </w:lvl>
    <w:lvl w:ilvl="4">
      <w:start w:val="0"/>
      <w:numFmt w:val="bullet"/>
      <w:lvlText w:val="•"/>
      <w:lvlJc w:val="left"/>
      <w:pPr>
        <w:ind w:left="2961" w:hanging="420"/>
      </w:pPr>
      <w:rPr>
        <w:rFonts w:hint="default"/>
      </w:rPr>
    </w:lvl>
    <w:lvl w:ilvl="5">
      <w:start w:val="0"/>
      <w:numFmt w:val="bullet"/>
      <w:lvlText w:val="•"/>
      <w:lvlJc w:val="left"/>
      <w:pPr>
        <w:ind w:left="3561" w:hanging="420"/>
      </w:pPr>
      <w:rPr>
        <w:rFonts w:hint="default"/>
      </w:rPr>
    </w:lvl>
    <w:lvl w:ilvl="6">
      <w:start w:val="0"/>
      <w:numFmt w:val="bullet"/>
      <w:lvlText w:val="•"/>
      <w:lvlJc w:val="left"/>
      <w:pPr>
        <w:ind w:left="4161" w:hanging="420"/>
      </w:pPr>
      <w:rPr>
        <w:rFonts w:hint="default"/>
      </w:rPr>
    </w:lvl>
    <w:lvl w:ilvl="7">
      <w:start w:val="0"/>
      <w:numFmt w:val="bullet"/>
      <w:lvlText w:val="•"/>
      <w:lvlJc w:val="left"/>
      <w:pPr>
        <w:ind w:left="4762" w:hanging="420"/>
      </w:pPr>
      <w:rPr>
        <w:rFonts w:hint="default"/>
      </w:rPr>
    </w:lvl>
    <w:lvl w:ilvl="8">
      <w:start w:val="0"/>
      <w:numFmt w:val="bullet"/>
      <w:lvlText w:val="•"/>
      <w:lvlJc w:val="left"/>
      <w:pPr>
        <w:ind w:left="5362" w:hanging="420"/>
      </w:pPr>
      <w:rPr>
        <w:rFonts w:hint="default"/>
      </w:rPr>
    </w:lvl>
  </w:abstractNum>
  <w:abstractNum w:abstractNumId="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60" w:hanging="420"/>
      </w:pPr>
      <w:rPr>
        <w:rFonts w:hint="default"/>
      </w:rPr>
    </w:lvl>
    <w:lvl w:ilvl="3">
      <w:start w:val="0"/>
      <w:numFmt w:val="bullet"/>
      <w:lvlText w:val="•"/>
      <w:lvlJc w:val="left"/>
      <w:pPr>
        <w:ind w:left="2360" w:hanging="420"/>
      </w:pPr>
      <w:rPr>
        <w:rFonts w:hint="default"/>
      </w:rPr>
    </w:lvl>
    <w:lvl w:ilvl="4">
      <w:start w:val="0"/>
      <w:numFmt w:val="bullet"/>
      <w:lvlText w:val="•"/>
      <w:lvlJc w:val="left"/>
      <w:pPr>
        <w:ind w:left="2961" w:hanging="420"/>
      </w:pPr>
      <w:rPr>
        <w:rFonts w:hint="default"/>
      </w:rPr>
    </w:lvl>
    <w:lvl w:ilvl="5">
      <w:start w:val="0"/>
      <w:numFmt w:val="bullet"/>
      <w:lvlText w:val="•"/>
      <w:lvlJc w:val="left"/>
      <w:pPr>
        <w:ind w:left="3561" w:hanging="420"/>
      </w:pPr>
      <w:rPr>
        <w:rFonts w:hint="default"/>
      </w:rPr>
    </w:lvl>
    <w:lvl w:ilvl="6">
      <w:start w:val="0"/>
      <w:numFmt w:val="bullet"/>
      <w:lvlText w:val="•"/>
      <w:lvlJc w:val="left"/>
      <w:pPr>
        <w:ind w:left="4161" w:hanging="420"/>
      </w:pPr>
      <w:rPr>
        <w:rFonts w:hint="default"/>
      </w:rPr>
    </w:lvl>
    <w:lvl w:ilvl="7">
      <w:start w:val="0"/>
      <w:numFmt w:val="bullet"/>
      <w:lvlText w:val="•"/>
      <w:lvlJc w:val="left"/>
      <w:pPr>
        <w:ind w:left="4762" w:hanging="420"/>
      </w:pPr>
      <w:rPr>
        <w:rFonts w:hint="default"/>
      </w:rPr>
    </w:lvl>
    <w:lvl w:ilvl="8">
      <w:start w:val="0"/>
      <w:numFmt w:val="bullet"/>
      <w:lvlText w:val="•"/>
      <w:lvlJc w:val="left"/>
      <w:pPr>
        <w:ind w:left="5362"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2018-10-20T03:36:41Z</dcterms:created>
  <dcterms:modified xsi:type="dcterms:W3CDTF">2018-10-20T03:36:41Z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