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7"/>
        <w:ind w:right="117"/>
        <w:jc w:val="right"/>
      </w:pPr>
      <w:r>
        <w:rPr/>
        <w:drawing>
          <wp:anchor distT="0" distB="0" distL="0" distR="0" allowOverlap="1" layoutInCell="1" locked="0" behindDoc="0" simplePos="0" relativeHeight="1048">
            <wp:simplePos x="0" y="0"/>
            <wp:positionH relativeFrom="page">
              <wp:posOffset>5925311</wp:posOffset>
            </wp:positionH>
            <wp:positionV relativeFrom="paragraph">
              <wp:posOffset>267127</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泰康人寿〔2017〕疾病保险 035 号</w:t>
      </w:r>
    </w:p>
    <w:p>
      <w:pPr>
        <w:pStyle w:val="BodyText"/>
        <w:spacing w:before="0"/>
        <w:rPr>
          <w:sz w:val="20"/>
        </w:rPr>
      </w:pPr>
    </w:p>
    <w:p>
      <w:pPr>
        <w:pStyle w:val="BodyText"/>
        <w:spacing w:before="4"/>
        <w:rPr>
          <w:sz w:val="29"/>
        </w:rPr>
      </w:pPr>
    </w:p>
    <w:p>
      <w:pPr>
        <w:spacing w:after="0"/>
        <w:rPr>
          <w:sz w:val="29"/>
        </w:rPr>
        <w:sectPr>
          <w:type w:val="continuous"/>
          <w:pgSz w:w="11900" w:h="16840"/>
          <w:pgMar w:top="560" w:bottom="280" w:left="640" w:right="280"/>
        </w:sectPr>
      </w:pPr>
    </w:p>
    <w:p>
      <w:pPr>
        <w:spacing w:line="218" w:lineRule="auto" w:before="5"/>
        <w:ind w:left="4428" w:right="0" w:hanging="1522"/>
        <w:jc w:val="left"/>
        <w:rPr>
          <w:rFonts w:ascii="微软雅黑" w:eastAsia="微软雅黑" w:hint="eastAsia"/>
          <w:b/>
          <w:sz w:val="32"/>
        </w:rPr>
      </w:pPr>
      <w:r>
        <w:rPr>
          <w:rFonts w:ascii="微软雅黑" w:eastAsia="微软雅黑" w:hint="eastAsia"/>
          <w:b/>
          <w:sz w:val="32"/>
        </w:rPr>
        <w:t>泰康健康保豁免重大疾病保险条款阅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2"/>
        <w:rPr>
          <w:rFonts w:ascii="微软雅黑"/>
          <w:b/>
          <w:sz w:val="18"/>
        </w:rPr>
      </w:pPr>
    </w:p>
    <w:p>
      <w:pPr>
        <w:pStyle w:val="BodyText"/>
        <w:spacing w:before="0"/>
        <w:ind w:left="464"/>
      </w:pPr>
      <w:r>
        <w:rPr/>
        <w:t>请扫描以查询验证条款</w:t>
      </w:r>
    </w:p>
    <w:p>
      <w:pPr>
        <w:spacing w:after="0"/>
        <w:sectPr>
          <w:type w:val="continuous"/>
          <w:pgSz w:w="11900" w:h="16840"/>
          <w:pgMar w:top="560" w:bottom="280" w:left="640" w:right="280"/>
          <w:cols w:num="2" w:equalWidth="0">
            <w:col w:w="7717" w:space="40"/>
            <w:col w:w="3223"/>
          </w:cols>
        </w:sectPr>
      </w:pPr>
    </w:p>
    <w:p>
      <w:pPr>
        <w:pStyle w:val="BodyText"/>
        <w:spacing w:before="8"/>
        <w:rPr>
          <w:sz w:val="14"/>
        </w:rPr>
      </w:pPr>
    </w:p>
    <w:p>
      <w:pPr>
        <w:pStyle w:val="BodyText"/>
        <w:spacing w:before="36"/>
        <w:ind w:left="1111"/>
      </w:pPr>
      <w:r>
        <w:rPr/>
        <w:drawing>
          <wp:anchor distT="0" distB="0" distL="0" distR="0" allowOverlap="1" layoutInCell="1" locked="0" behindDoc="1" simplePos="0" relativeHeight="268399511">
            <wp:simplePos x="0" y="0"/>
            <wp:positionH relativeFrom="page">
              <wp:posOffset>475487</wp:posOffset>
            </wp:positionH>
            <wp:positionV relativeFrom="paragraph">
              <wp:posOffset>270048</wp:posOffset>
            </wp:positionV>
            <wp:extent cx="6608063" cy="78028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08063" cy="780288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55" w:val="left" w:leader="none"/>
        </w:tabs>
        <w:spacing w:before="84"/>
        <w:ind w:left="247" w:firstLine="0"/>
      </w:pPr>
      <w:r>
        <w:rPr>
          <w:rFonts w:ascii="Arial" w:hAnsi="Arial" w:eastAsia="Arial"/>
          <w:w w:val="105"/>
          <w:position w:val="-11"/>
          <w:sz w:val="52"/>
        </w:rPr>
        <w:t></w:t>
        <w:tab/>
      </w:r>
      <w:r>
        <w:rPr/>
        <w:t>您拥有的重要权益</w:t>
      </w:r>
    </w:p>
    <w:p>
      <w:pPr>
        <w:pStyle w:val="ListParagraph"/>
        <w:numPr>
          <w:ilvl w:val="0"/>
          <w:numId w:val="1"/>
        </w:numPr>
        <w:tabs>
          <w:tab w:pos="1279" w:val="left" w:leader="none"/>
          <w:tab w:pos="1280" w:val="left" w:leader="none"/>
          <w:tab w:pos="9569" w:val="right" w:leader="dot"/>
        </w:tabs>
        <w:spacing w:line="240" w:lineRule="auto" w:before="24" w:after="0"/>
        <w:ind w:left="1280" w:right="0" w:hanging="399"/>
        <w:jc w:val="left"/>
        <w:rPr>
          <w:sz w:val="21"/>
        </w:rPr>
      </w:pPr>
      <w:r>
        <w:rPr>
          <w:spacing w:val="-5"/>
          <w:sz w:val="21"/>
        </w:rPr>
        <w:t>犹</w:t>
      </w:r>
      <w:r>
        <w:rPr>
          <w:sz w:val="21"/>
        </w:rPr>
        <w:t>豫期内</w:t>
      </w:r>
      <w:r>
        <w:rPr>
          <w:spacing w:val="-5"/>
          <w:sz w:val="21"/>
        </w:rPr>
        <w:t>您</w:t>
      </w:r>
      <w:r>
        <w:rPr>
          <w:sz w:val="21"/>
        </w:rPr>
        <w:t>若要求</w:t>
      </w:r>
      <w:r>
        <w:rPr>
          <w:spacing w:val="-5"/>
          <w:sz w:val="21"/>
        </w:rPr>
        <w:t>解</w:t>
      </w:r>
      <w:r>
        <w:rPr>
          <w:sz w:val="21"/>
        </w:rPr>
        <w:t>除合同</w:t>
      </w:r>
      <w:r>
        <w:rPr>
          <w:spacing w:val="-5"/>
          <w:sz w:val="21"/>
        </w:rPr>
        <w:t>，</w:t>
      </w:r>
      <w:r>
        <w:rPr>
          <w:sz w:val="21"/>
        </w:rPr>
        <w:t>我们仅</w:t>
      </w:r>
      <w:r>
        <w:rPr>
          <w:spacing w:val="-5"/>
          <w:sz w:val="21"/>
        </w:rPr>
        <w:t>扣除</w:t>
      </w:r>
      <w:r>
        <w:rPr>
          <w:sz w:val="21"/>
        </w:rPr>
        <w:t>工本费</w:t>
        <w:tab/>
        <w:t>1.4</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pacing w:val="-5"/>
          <w:sz w:val="21"/>
        </w:rPr>
        <w:t>本</w:t>
      </w:r>
      <w:r>
        <w:rPr>
          <w:sz w:val="21"/>
        </w:rPr>
        <w:t>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2.2</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55" w:val="left" w:leader="none"/>
        </w:tabs>
        <w:spacing w:before="25"/>
        <w:ind w:left="247" w:firstLine="0"/>
      </w:pPr>
      <w:r>
        <w:rPr>
          <w:rFonts w:ascii="Arial" w:hAnsi="Arial" w:eastAsia="Arial"/>
          <w:w w:val="105"/>
          <w:position w:val="-11"/>
          <w:sz w:val="52"/>
        </w:rPr>
        <w:t></w:t>
        <w:tab/>
      </w:r>
      <w:r>
        <w:rPr/>
        <w:t>您应当特别注意的事项</w:t>
      </w:r>
    </w:p>
    <w:p>
      <w:pPr>
        <w:pStyle w:val="ListParagraph"/>
        <w:numPr>
          <w:ilvl w:val="0"/>
          <w:numId w:val="1"/>
        </w:numPr>
        <w:tabs>
          <w:tab w:pos="1279" w:val="left" w:leader="none"/>
          <w:tab w:pos="1280" w:val="left" w:leader="none"/>
          <w:tab w:pos="9574" w:val="right" w:leader="dot"/>
        </w:tabs>
        <w:spacing w:line="240" w:lineRule="auto" w:before="24" w:after="0"/>
        <w:ind w:left="1280" w:right="0" w:hanging="399"/>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2.3</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3.1</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9" w:val="left" w:leader="none"/>
          <w:tab w:pos="1280" w:val="left" w:leader="none"/>
          <w:tab w:pos="9569" w:val="right" w:leader="dot"/>
        </w:tabs>
        <w:spacing w:line="240" w:lineRule="auto" w:before="22" w:after="0"/>
        <w:ind w:left="1280" w:right="0" w:hanging="399"/>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9" w:val="left" w:leader="none"/>
          <w:tab w:pos="1280" w:val="left" w:leader="none"/>
          <w:tab w:pos="9574" w:val="right" w:leader="dot"/>
        </w:tabs>
        <w:spacing w:line="240" w:lineRule="auto" w:before="22" w:after="0"/>
        <w:ind w:left="1280" w:right="0" w:hanging="399"/>
        <w:jc w:val="left"/>
        <w:rPr>
          <w:sz w:val="21"/>
        </w:rPr>
      </w:pPr>
      <w:r>
        <w:rPr>
          <w:spacing w:val="-5"/>
          <w:sz w:val="21"/>
        </w:rPr>
        <w:t>您</w:t>
      </w:r>
      <w:r>
        <w:rPr>
          <w:sz w:val="21"/>
        </w:rPr>
        <w:t>有如实</w:t>
      </w:r>
      <w:r>
        <w:rPr>
          <w:spacing w:val="-5"/>
          <w:sz w:val="21"/>
        </w:rPr>
        <w:t>告</w:t>
      </w:r>
      <w:r>
        <w:rPr>
          <w:sz w:val="21"/>
        </w:rPr>
        <w:t>知的义务</w:t>
        <w:tab/>
        <w:t>8.2</w:t>
      </w:r>
    </w:p>
    <w:p>
      <w:pPr>
        <w:pStyle w:val="ListParagraph"/>
        <w:numPr>
          <w:ilvl w:val="0"/>
          <w:numId w:val="1"/>
        </w:numPr>
        <w:tabs>
          <w:tab w:pos="1279" w:val="left" w:leader="none"/>
          <w:tab w:pos="1280" w:val="left" w:leader="none"/>
          <w:tab w:pos="9363" w:val="right" w:leader="dot"/>
        </w:tabs>
        <w:spacing w:line="240" w:lineRule="auto" w:before="22" w:after="0"/>
        <w:ind w:left="1280" w:right="0" w:hanging="399"/>
        <w:jc w:val="left"/>
        <w:rPr>
          <w:sz w:val="21"/>
        </w:rPr>
      </w:pPr>
      <w:r>
        <w:rPr>
          <w:spacing w:val="-5"/>
          <w:sz w:val="21"/>
        </w:rPr>
        <w:t>本</w:t>
      </w:r>
      <w:r>
        <w:rPr>
          <w:sz w:val="21"/>
        </w:rPr>
        <w:t>合同对</w:t>
      </w:r>
      <w:r>
        <w:rPr>
          <w:spacing w:val="-5"/>
          <w:sz w:val="21"/>
        </w:rPr>
        <w:t>重</w:t>
      </w:r>
      <w:r>
        <w:rPr>
          <w:sz w:val="21"/>
        </w:rPr>
        <w:t>大疾病</w:t>
      </w:r>
      <w:r>
        <w:rPr>
          <w:spacing w:val="-5"/>
          <w:sz w:val="21"/>
        </w:rPr>
        <w:t>进</w:t>
      </w:r>
      <w:r>
        <w:rPr>
          <w:sz w:val="21"/>
        </w:rPr>
        <w:t>行了明</w:t>
      </w:r>
      <w:r>
        <w:rPr>
          <w:spacing w:val="-5"/>
          <w:sz w:val="21"/>
        </w:rPr>
        <w:t>确</w:t>
      </w:r>
      <w:r>
        <w:rPr>
          <w:sz w:val="21"/>
        </w:rPr>
        <w:t>定义，</w:t>
      </w:r>
      <w:r>
        <w:rPr>
          <w:spacing w:val="-5"/>
          <w:sz w:val="21"/>
        </w:rPr>
        <w:t>请您</w:t>
      </w:r>
      <w:r>
        <w:rPr>
          <w:sz w:val="21"/>
        </w:rPr>
        <w:t>仔细阅读</w:t>
        <w:tab/>
        <w:t>9</w:t>
      </w:r>
    </w:p>
    <w:p>
      <w:pPr>
        <w:pStyle w:val="ListParagraph"/>
        <w:numPr>
          <w:ilvl w:val="0"/>
          <w:numId w:val="1"/>
        </w:numPr>
        <w:tabs>
          <w:tab w:pos="1279" w:val="left" w:leader="none"/>
          <w:tab w:pos="1280" w:val="left" w:leader="none"/>
          <w:tab w:pos="9468" w:val="right" w:leader="dot"/>
        </w:tabs>
        <w:spacing w:line="240" w:lineRule="auto" w:before="22" w:after="0"/>
        <w:ind w:left="1280"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55" w:val="left" w:leader="none"/>
        </w:tabs>
        <w:spacing w:before="25"/>
        <w:ind w:left="247"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55" w:val="left" w:leader="none"/>
        </w:tabs>
        <w:spacing w:before="26"/>
        <w:ind w:left="247"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spacing w:after="0"/>
        <w:jc w:val="left"/>
        <w:rPr>
          <w:rFonts w:ascii="Microsoft JhengHei" w:hAnsi="Microsoft JhengHei" w:eastAsia="Microsoft JhengHei" w:hint="eastAsia"/>
          <w:sz w:val="21"/>
        </w:rPr>
        <w:sectPr>
          <w:type w:val="continuous"/>
          <w:pgSz w:w="11900" w:h="16840"/>
          <w:pgMar w:top="560" w:bottom="280" w:left="640" w:right="280"/>
        </w:sectPr>
      </w:pPr>
    </w:p>
    <w:p>
      <w:pPr>
        <w:pStyle w:val="Heading2"/>
        <w:numPr>
          <w:ilvl w:val="0"/>
          <w:numId w:val="2"/>
        </w:numPr>
        <w:tabs>
          <w:tab w:pos="930" w:val="left" w:leader="none"/>
        </w:tabs>
        <w:spacing w:line="322" w:lineRule="exact" w:before="0" w:after="0"/>
        <w:ind w:left="929" w:right="0" w:hanging="317"/>
        <w:jc w:val="left"/>
      </w:pPr>
      <w:r>
        <w:rPr/>
        <w:t>您与我们订立的合同</w:t>
      </w:r>
    </w:p>
    <w:p>
      <w:pPr>
        <w:pStyle w:val="ListParagraph"/>
        <w:numPr>
          <w:ilvl w:val="1"/>
          <w:numId w:val="2"/>
        </w:numPr>
        <w:tabs>
          <w:tab w:pos="1146" w:val="left" w:leader="none"/>
        </w:tabs>
        <w:spacing w:line="240" w:lineRule="auto" w:before="13" w:after="0"/>
        <w:ind w:left="1145" w:right="0" w:hanging="422"/>
        <w:jc w:val="left"/>
        <w:rPr>
          <w:sz w:val="21"/>
        </w:rPr>
      </w:pPr>
      <w:r>
        <w:rPr>
          <w:spacing w:val="-2"/>
          <w:sz w:val="21"/>
        </w:rPr>
        <w:t>合同构成</w:t>
      </w:r>
    </w:p>
    <w:p>
      <w:pPr>
        <w:pStyle w:val="ListParagraph"/>
        <w:numPr>
          <w:ilvl w:val="1"/>
          <w:numId w:val="2"/>
        </w:numPr>
        <w:tabs>
          <w:tab w:pos="1146" w:val="left" w:leader="none"/>
        </w:tabs>
        <w:spacing w:line="240" w:lineRule="auto" w:before="37" w:after="0"/>
        <w:ind w:left="1145" w:right="0" w:hanging="422"/>
        <w:jc w:val="left"/>
        <w:rPr>
          <w:sz w:val="21"/>
        </w:rPr>
      </w:pPr>
      <w:r>
        <w:rPr>
          <w:spacing w:val="-3"/>
          <w:sz w:val="21"/>
        </w:rPr>
        <w:t>合同成立及生效</w:t>
      </w:r>
    </w:p>
    <w:p>
      <w:pPr>
        <w:pStyle w:val="Heading2"/>
        <w:numPr>
          <w:ilvl w:val="0"/>
          <w:numId w:val="3"/>
        </w:numPr>
        <w:tabs>
          <w:tab w:pos="930" w:val="left" w:leader="none"/>
        </w:tabs>
        <w:spacing w:line="322" w:lineRule="exact" w:before="0" w:after="0"/>
        <w:ind w:left="929" w:right="0" w:hanging="317"/>
        <w:jc w:val="left"/>
      </w:pPr>
      <w:r>
        <w:rPr>
          <w:w w:val="100"/>
        </w:rPr>
        <w:br w:type="column"/>
      </w:r>
      <w:r>
        <w:rPr/>
        <w:t>合同解除</w:t>
      </w:r>
    </w:p>
    <w:p>
      <w:pPr>
        <w:pStyle w:val="BodyText"/>
        <w:spacing w:line="260" w:lineRule="exact" w:before="13"/>
        <w:ind w:left="723"/>
      </w:pPr>
      <w:r>
        <w:rPr/>
        <w:t>7.1 您解除合同的手续及风险</w:t>
      </w:r>
    </w:p>
    <w:p>
      <w:pPr>
        <w:pStyle w:val="Heading2"/>
        <w:numPr>
          <w:ilvl w:val="0"/>
          <w:numId w:val="3"/>
        </w:numPr>
        <w:tabs>
          <w:tab w:pos="930" w:val="left" w:leader="none"/>
        </w:tabs>
        <w:spacing w:line="351" w:lineRule="exact" w:before="0" w:after="0"/>
        <w:ind w:left="929" w:right="0" w:hanging="317"/>
        <w:jc w:val="left"/>
      </w:pPr>
      <w:r>
        <w:rPr/>
        <w:t>其他需要关注的事项</w:t>
      </w:r>
    </w:p>
    <w:p>
      <w:pPr>
        <w:pStyle w:val="ListParagraph"/>
        <w:numPr>
          <w:ilvl w:val="1"/>
          <w:numId w:val="4"/>
        </w:numPr>
        <w:tabs>
          <w:tab w:pos="916" w:val="left" w:leader="none"/>
        </w:tabs>
        <w:spacing w:line="240" w:lineRule="auto" w:before="23" w:after="0"/>
        <w:ind w:left="915" w:right="0" w:hanging="528"/>
        <w:jc w:val="left"/>
        <w:rPr>
          <w:sz w:val="21"/>
        </w:rPr>
      </w:pPr>
      <w:r>
        <w:rPr>
          <w:w w:val="100"/>
          <w:sz w:val="21"/>
        </w:rPr>
        <w:br w:type="column"/>
      </w:r>
      <w:r>
        <w:rPr>
          <w:spacing w:val="-2"/>
          <w:sz w:val="21"/>
        </w:rPr>
        <w:t>意外伤害</w:t>
      </w:r>
    </w:p>
    <w:p>
      <w:pPr>
        <w:pStyle w:val="ListParagraph"/>
        <w:numPr>
          <w:ilvl w:val="1"/>
          <w:numId w:val="4"/>
        </w:numPr>
        <w:tabs>
          <w:tab w:pos="916" w:val="left" w:leader="none"/>
        </w:tabs>
        <w:spacing w:line="240" w:lineRule="auto" w:before="36" w:after="0"/>
        <w:ind w:left="915" w:right="0" w:hanging="528"/>
        <w:jc w:val="left"/>
        <w:rPr>
          <w:sz w:val="21"/>
        </w:rPr>
      </w:pPr>
      <w:r>
        <w:rPr>
          <w:sz w:val="21"/>
        </w:rPr>
        <w:t>毒品</w:t>
      </w:r>
    </w:p>
    <w:p>
      <w:pPr>
        <w:pStyle w:val="ListParagraph"/>
        <w:numPr>
          <w:ilvl w:val="1"/>
          <w:numId w:val="4"/>
        </w:numPr>
        <w:tabs>
          <w:tab w:pos="1021" w:val="left" w:leader="none"/>
        </w:tabs>
        <w:spacing w:line="240" w:lineRule="auto" w:before="36" w:after="0"/>
        <w:ind w:left="1020" w:right="0" w:hanging="633"/>
        <w:jc w:val="left"/>
        <w:rPr>
          <w:sz w:val="21"/>
        </w:rPr>
      </w:pPr>
      <w:r>
        <w:rPr>
          <w:spacing w:val="-2"/>
          <w:sz w:val="21"/>
        </w:rPr>
        <w:t>酒后驾驶</w:t>
      </w:r>
    </w:p>
    <w:p>
      <w:pPr>
        <w:spacing w:after="0" w:line="240" w:lineRule="auto"/>
        <w:jc w:val="left"/>
        <w:rPr>
          <w:sz w:val="21"/>
        </w:rPr>
        <w:sectPr>
          <w:type w:val="continuous"/>
          <w:pgSz w:w="11900" w:h="16840"/>
          <w:pgMar w:top="560" w:bottom="280" w:left="640" w:right="280"/>
          <w:cols w:num="3" w:equalWidth="0">
            <w:col w:w="2831" w:space="40"/>
            <w:col w:w="3455" w:space="39"/>
            <w:col w:w="4615"/>
          </w:cols>
        </w:sectPr>
      </w:pPr>
    </w:p>
    <w:p>
      <w:pPr>
        <w:pStyle w:val="BodyText"/>
        <w:spacing w:before="11"/>
        <w:rPr>
          <w:sz w:val="5"/>
        </w:rPr>
      </w:pPr>
    </w:p>
    <w:tbl>
      <w:tblPr>
        <w:tblW w:w="0" w:type="auto"/>
        <w:jc w:val="lef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3173"/>
        <w:gridCol w:w="893"/>
        <w:gridCol w:w="2839"/>
      </w:tblGrid>
      <w:tr>
        <w:trPr>
          <w:trHeight w:val="261" w:hRule="atLeast"/>
        </w:trPr>
        <w:tc>
          <w:tcPr>
            <w:tcW w:w="2699" w:type="dxa"/>
          </w:tcPr>
          <w:p>
            <w:pPr>
              <w:pStyle w:val="TableParagraph"/>
              <w:spacing w:line="211" w:lineRule="exact"/>
              <w:ind w:left="160"/>
              <w:rPr>
                <w:sz w:val="21"/>
              </w:rPr>
            </w:pPr>
            <w:r>
              <w:rPr>
                <w:sz w:val="21"/>
              </w:rPr>
              <w:t>1.3 投保年龄</w:t>
            </w:r>
          </w:p>
        </w:tc>
        <w:tc>
          <w:tcPr>
            <w:tcW w:w="3173" w:type="dxa"/>
          </w:tcPr>
          <w:p>
            <w:pPr>
              <w:pStyle w:val="TableParagraph"/>
              <w:spacing w:line="211" w:lineRule="exact"/>
              <w:ind w:left="331"/>
              <w:rPr>
                <w:sz w:val="21"/>
              </w:rPr>
            </w:pPr>
            <w:r>
              <w:rPr>
                <w:sz w:val="21"/>
              </w:rPr>
              <w:t>8.1 效力终止</w:t>
            </w:r>
          </w:p>
        </w:tc>
        <w:tc>
          <w:tcPr>
            <w:tcW w:w="893" w:type="dxa"/>
          </w:tcPr>
          <w:p>
            <w:pPr>
              <w:pStyle w:val="TableParagraph"/>
              <w:spacing w:line="211" w:lineRule="exact"/>
              <w:ind w:right="45"/>
              <w:jc w:val="right"/>
              <w:rPr>
                <w:sz w:val="21"/>
              </w:rPr>
            </w:pPr>
            <w:r>
              <w:rPr>
                <w:sz w:val="21"/>
              </w:rPr>
              <w:t>10.11</w:t>
            </w:r>
          </w:p>
        </w:tc>
        <w:tc>
          <w:tcPr>
            <w:tcW w:w="2839" w:type="dxa"/>
          </w:tcPr>
          <w:p>
            <w:pPr>
              <w:pStyle w:val="TableParagraph"/>
              <w:spacing w:line="211" w:lineRule="exact"/>
              <w:ind w:left="57"/>
              <w:rPr>
                <w:sz w:val="21"/>
              </w:rPr>
            </w:pPr>
            <w:r>
              <w:rPr>
                <w:sz w:val="21"/>
              </w:rPr>
              <w:t>无合法有效驾驶证驾驶</w:t>
            </w:r>
          </w:p>
        </w:tc>
      </w:tr>
      <w:tr>
        <w:trPr>
          <w:trHeight w:val="311" w:hRule="atLeast"/>
        </w:trPr>
        <w:tc>
          <w:tcPr>
            <w:tcW w:w="2699" w:type="dxa"/>
          </w:tcPr>
          <w:p>
            <w:pPr>
              <w:pStyle w:val="TableParagraph"/>
              <w:spacing w:line="261" w:lineRule="exact"/>
              <w:ind w:left="160"/>
              <w:rPr>
                <w:sz w:val="21"/>
              </w:rPr>
            </w:pPr>
            <w:r>
              <w:rPr>
                <w:sz w:val="21"/>
              </w:rPr>
              <w:t>1.4 犹豫期</w:t>
            </w:r>
          </w:p>
        </w:tc>
        <w:tc>
          <w:tcPr>
            <w:tcW w:w="3173" w:type="dxa"/>
          </w:tcPr>
          <w:p>
            <w:pPr>
              <w:pStyle w:val="TableParagraph"/>
              <w:spacing w:line="261" w:lineRule="exact"/>
              <w:ind w:left="331"/>
              <w:rPr>
                <w:sz w:val="21"/>
              </w:rPr>
            </w:pPr>
            <w:r>
              <w:rPr>
                <w:sz w:val="21"/>
              </w:rPr>
              <w:t>8.2 明确说明与如实告知</w:t>
            </w:r>
          </w:p>
        </w:tc>
        <w:tc>
          <w:tcPr>
            <w:tcW w:w="893" w:type="dxa"/>
          </w:tcPr>
          <w:p>
            <w:pPr>
              <w:pStyle w:val="TableParagraph"/>
              <w:spacing w:line="261" w:lineRule="exact"/>
              <w:ind w:right="45"/>
              <w:jc w:val="right"/>
              <w:rPr>
                <w:sz w:val="21"/>
              </w:rPr>
            </w:pPr>
            <w:r>
              <w:rPr>
                <w:sz w:val="21"/>
              </w:rPr>
              <w:t>10.12</w:t>
            </w:r>
          </w:p>
        </w:tc>
        <w:tc>
          <w:tcPr>
            <w:tcW w:w="2839" w:type="dxa"/>
          </w:tcPr>
          <w:p>
            <w:pPr>
              <w:pStyle w:val="TableParagraph"/>
              <w:spacing w:line="261" w:lineRule="exact"/>
              <w:ind w:left="57"/>
              <w:rPr>
                <w:sz w:val="21"/>
              </w:rPr>
            </w:pPr>
            <w:r>
              <w:rPr>
                <w:sz w:val="21"/>
              </w:rPr>
              <w:t>无合法有效行驶证</w:t>
            </w:r>
          </w:p>
        </w:tc>
      </w:tr>
      <w:tr>
        <w:trPr>
          <w:trHeight w:val="311" w:hRule="atLeast"/>
        </w:trPr>
        <w:tc>
          <w:tcPr>
            <w:tcW w:w="269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173" w:type="dxa"/>
          </w:tcPr>
          <w:p>
            <w:pPr>
              <w:pStyle w:val="TableParagraph"/>
              <w:spacing w:line="261" w:lineRule="exact"/>
              <w:ind w:left="331"/>
              <w:rPr>
                <w:sz w:val="21"/>
              </w:rPr>
            </w:pPr>
            <w:r>
              <w:rPr>
                <w:sz w:val="21"/>
              </w:rPr>
              <w:t>8.3 我们合同解除权的限制</w:t>
            </w:r>
          </w:p>
        </w:tc>
        <w:tc>
          <w:tcPr>
            <w:tcW w:w="893" w:type="dxa"/>
          </w:tcPr>
          <w:p>
            <w:pPr>
              <w:pStyle w:val="TableParagraph"/>
              <w:spacing w:line="261" w:lineRule="exact"/>
              <w:ind w:right="45"/>
              <w:jc w:val="right"/>
              <w:rPr>
                <w:sz w:val="21"/>
              </w:rPr>
            </w:pPr>
            <w:r>
              <w:rPr>
                <w:sz w:val="21"/>
              </w:rPr>
              <w:t>10.13</w:t>
            </w:r>
          </w:p>
        </w:tc>
        <w:tc>
          <w:tcPr>
            <w:tcW w:w="2839" w:type="dxa"/>
          </w:tcPr>
          <w:p>
            <w:pPr>
              <w:pStyle w:val="TableParagraph"/>
              <w:spacing w:line="261" w:lineRule="exact"/>
              <w:ind w:left="57"/>
              <w:rPr>
                <w:sz w:val="21"/>
              </w:rPr>
            </w:pPr>
            <w:r>
              <w:rPr>
                <w:sz w:val="21"/>
              </w:rPr>
              <w:t>机动车</w:t>
            </w:r>
          </w:p>
        </w:tc>
      </w:tr>
      <w:tr>
        <w:trPr>
          <w:trHeight w:val="312" w:hRule="atLeast"/>
        </w:trPr>
        <w:tc>
          <w:tcPr>
            <w:tcW w:w="2699" w:type="dxa"/>
          </w:tcPr>
          <w:p>
            <w:pPr>
              <w:pStyle w:val="TableParagraph"/>
              <w:spacing w:line="261" w:lineRule="exact"/>
              <w:ind w:left="160"/>
              <w:rPr>
                <w:sz w:val="21"/>
              </w:rPr>
            </w:pPr>
            <w:r>
              <w:rPr>
                <w:sz w:val="21"/>
              </w:rPr>
              <w:t>2.1 保险期间</w:t>
            </w:r>
          </w:p>
        </w:tc>
        <w:tc>
          <w:tcPr>
            <w:tcW w:w="3173" w:type="dxa"/>
          </w:tcPr>
          <w:p>
            <w:pPr>
              <w:pStyle w:val="TableParagraph"/>
              <w:spacing w:line="261" w:lineRule="exact"/>
              <w:ind w:left="331"/>
              <w:rPr>
                <w:sz w:val="21"/>
              </w:rPr>
            </w:pPr>
            <w:r>
              <w:rPr>
                <w:sz w:val="21"/>
              </w:rPr>
              <w:t>8.4 年龄性别错误</w:t>
            </w:r>
          </w:p>
        </w:tc>
        <w:tc>
          <w:tcPr>
            <w:tcW w:w="893" w:type="dxa"/>
          </w:tcPr>
          <w:p>
            <w:pPr>
              <w:pStyle w:val="TableParagraph"/>
              <w:spacing w:line="261" w:lineRule="exact"/>
              <w:ind w:right="45"/>
              <w:jc w:val="right"/>
              <w:rPr>
                <w:sz w:val="21"/>
              </w:rPr>
            </w:pPr>
            <w:r>
              <w:rPr>
                <w:sz w:val="21"/>
              </w:rPr>
              <w:t>10.14</w:t>
            </w:r>
          </w:p>
        </w:tc>
        <w:tc>
          <w:tcPr>
            <w:tcW w:w="2839" w:type="dxa"/>
          </w:tcPr>
          <w:p>
            <w:pPr>
              <w:pStyle w:val="TableParagraph"/>
              <w:spacing w:line="261" w:lineRule="exact"/>
              <w:ind w:left="57"/>
              <w:rPr>
                <w:sz w:val="21"/>
              </w:rPr>
            </w:pPr>
            <w:r>
              <w:rPr>
                <w:sz w:val="21"/>
              </w:rPr>
              <w:t>感染艾滋病病毒或者患艾滋病</w:t>
            </w:r>
          </w:p>
        </w:tc>
      </w:tr>
      <w:tr>
        <w:trPr>
          <w:trHeight w:val="312" w:hRule="atLeast"/>
        </w:trPr>
        <w:tc>
          <w:tcPr>
            <w:tcW w:w="2699" w:type="dxa"/>
          </w:tcPr>
          <w:p>
            <w:pPr>
              <w:pStyle w:val="TableParagraph"/>
              <w:spacing w:line="261" w:lineRule="exact"/>
              <w:ind w:left="160"/>
              <w:rPr>
                <w:sz w:val="21"/>
              </w:rPr>
            </w:pPr>
            <w:r>
              <w:rPr>
                <w:sz w:val="21"/>
              </w:rPr>
              <w:t>2.2 保险责任</w:t>
            </w:r>
          </w:p>
        </w:tc>
        <w:tc>
          <w:tcPr>
            <w:tcW w:w="3173" w:type="dxa"/>
          </w:tcPr>
          <w:p>
            <w:pPr>
              <w:pStyle w:val="TableParagraph"/>
              <w:spacing w:line="261" w:lineRule="exact"/>
              <w:ind w:left="331"/>
              <w:rPr>
                <w:sz w:val="21"/>
              </w:rPr>
            </w:pPr>
            <w:r>
              <w:rPr>
                <w:sz w:val="21"/>
              </w:rPr>
              <w:t>8.5 未还款项</w:t>
            </w:r>
          </w:p>
        </w:tc>
        <w:tc>
          <w:tcPr>
            <w:tcW w:w="893" w:type="dxa"/>
          </w:tcPr>
          <w:p>
            <w:pPr>
              <w:pStyle w:val="TableParagraph"/>
              <w:spacing w:line="261" w:lineRule="exact"/>
              <w:ind w:right="45"/>
              <w:jc w:val="right"/>
              <w:rPr>
                <w:sz w:val="21"/>
              </w:rPr>
            </w:pPr>
            <w:r>
              <w:rPr>
                <w:sz w:val="21"/>
              </w:rPr>
              <w:t>10.15</w:t>
            </w:r>
          </w:p>
        </w:tc>
        <w:tc>
          <w:tcPr>
            <w:tcW w:w="2839" w:type="dxa"/>
          </w:tcPr>
          <w:p>
            <w:pPr>
              <w:pStyle w:val="TableParagraph"/>
              <w:spacing w:line="261" w:lineRule="exact"/>
              <w:ind w:left="57"/>
              <w:rPr>
                <w:sz w:val="21"/>
              </w:rPr>
            </w:pPr>
            <w:r>
              <w:rPr>
                <w:sz w:val="21"/>
              </w:rPr>
              <w:t>遗传性疾病</w:t>
            </w:r>
          </w:p>
        </w:tc>
      </w:tr>
      <w:tr>
        <w:trPr>
          <w:trHeight w:val="311" w:hRule="atLeast"/>
        </w:trPr>
        <w:tc>
          <w:tcPr>
            <w:tcW w:w="2699" w:type="dxa"/>
          </w:tcPr>
          <w:p>
            <w:pPr>
              <w:pStyle w:val="TableParagraph"/>
              <w:spacing w:line="261" w:lineRule="exact"/>
              <w:ind w:left="160"/>
              <w:rPr>
                <w:sz w:val="21"/>
              </w:rPr>
            </w:pPr>
            <w:r>
              <w:rPr>
                <w:sz w:val="21"/>
              </w:rPr>
              <w:t>2.3 责任免除</w:t>
            </w:r>
          </w:p>
        </w:tc>
        <w:tc>
          <w:tcPr>
            <w:tcW w:w="3173" w:type="dxa"/>
          </w:tcPr>
          <w:p>
            <w:pPr>
              <w:pStyle w:val="TableParagraph"/>
              <w:spacing w:line="261" w:lineRule="exact"/>
              <w:ind w:left="331"/>
              <w:rPr>
                <w:sz w:val="21"/>
              </w:rPr>
            </w:pPr>
            <w:r>
              <w:rPr>
                <w:sz w:val="21"/>
              </w:rPr>
              <w:t>8.6 合同内容变更</w:t>
            </w:r>
          </w:p>
        </w:tc>
        <w:tc>
          <w:tcPr>
            <w:tcW w:w="893" w:type="dxa"/>
          </w:tcPr>
          <w:p>
            <w:pPr>
              <w:pStyle w:val="TableParagraph"/>
              <w:spacing w:line="261" w:lineRule="exact"/>
              <w:ind w:right="45"/>
              <w:jc w:val="right"/>
              <w:rPr>
                <w:sz w:val="21"/>
              </w:rPr>
            </w:pPr>
            <w:r>
              <w:rPr>
                <w:sz w:val="21"/>
              </w:rPr>
              <w:t>10.16</w:t>
            </w:r>
          </w:p>
        </w:tc>
        <w:tc>
          <w:tcPr>
            <w:tcW w:w="2839" w:type="dxa"/>
          </w:tcPr>
          <w:p>
            <w:pPr>
              <w:pStyle w:val="TableParagraph"/>
              <w:spacing w:line="261" w:lineRule="exact"/>
              <w:ind w:left="57"/>
              <w:rPr>
                <w:sz w:val="21"/>
              </w:rPr>
            </w:pPr>
            <w:r>
              <w:rPr>
                <w:sz w:val="21"/>
              </w:rPr>
              <w:t>先天性畸形、变形或者染色体</w:t>
            </w:r>
          </w:p>
        </w:tc>
      </w:tr>
      <w:tr>
        <w:trPr>
          <w:trHeight w:val="312" w:hRule="atLeast"/>
        </w:trPr>
        <w:tc>
          <w:tcPr>
            <w:tcW w:w="269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173" w:type="dxa"/>
          </w:tcPr>
          <w:p>
            <w:pPr>
              <w:pStyle w:val="TableParagraph"/>
              <w:spacing w:line="261" w:lineRule="exact"/>
              <w:ind w:left="331"/>
              <w:rPr>
                <w:sz w:val="21"/>
              </w:rPr>
            </w:pPr>
            <w:r>
              <w:rPr>
                <w:sz w:val="21"/>
              </w:rPr>
              <w:t>8.7 联系方式变更</w:t>
            </w:r>
          </w:p>
        </w:tc>
        <w:tc>
          <w:tcPr>
            <w:tcW w:w="893" w:type="dxa"/>
          </w:tcPr>
          <w:p>
            <w:pPr>
              <w:pStyle w:val="TableParagraph"/>
              <w:rPr>
                <w:rFonts w:ascii="Times New Roman"/>
                <w:sz w:val="20"/>
              </w:rPr>
            </w:pPr>
          </w:p>
        </w:tc>
        <w:tc>
          <w:tcPr>
            <w:tcW w:w="2839" w:type="dxa"/>
          </w:tcPr>
          <w:p>
            <w:pPr>
              <w:pStyle w:val="TableParagraph"/>
              <w:spacing w:line="261" w:lineRule="exact"/>
              <w:ind w:left="53"/>
              <w:rPr>
                <w:sz w:val="21"/>
              </w:rPr>
            </w:pPr>
            <w:r>
              <w:rPr>
                <w:sz w:val="21"/>
              </w:rPr>
              <w:t>异常</w:t>
            </w:r>
          </w:p>
        </w:tc>
      </w:tr>
      <w:tr>
        <w:trPr>
          <w:trHeight w:val="311" w:hRule="atLeast"/>
        </w:trPr>
        <w:tc>
          <w:tcPr>
            <w:tcW w:w="2699" w:type="dxa"/>
          </w:tcPr>
          <w:p>
            <w:pPr>
              <w:pStyle w:val="TableParagraph"/>
              <w:spacing w:line="261" w:lineRule="exact"/>
              <w:ind w:left="160"/>
              <w:rPr>
                <w:sz w:val="21"/>
              </w:rPr>
            </w:pPr>
            <w:r>
              <w:rPr>
                <w:sz w:val="21"/>
              </w:rPr>
              <w:t>3.1 保险事故通知</w:t>
            </w:r>
          </w:p>
        </w:tc>
        <w:tc>
          <w:tcPr>
            <w:tcW w:w="3173" w:type="dxa"/>
          </w:tcPr>
          <w:p>
            <w:pPr>
              <w:pStyle w:val="TableParagraph"/>
              <w:spacing w:line="261" w:lineRule="exact"/>
              <w:ind w:left="331"/>
              <w:rPr>
                <w:sz w:val="21"/>
              </w:rPr>
            </w:pPr>
            <w:r>
              <w:rPr>
                <w:sz w:val="21"/>
              </w:rPr>
              <w:t>8.8 争议处理</w:t>
            </w:r>
          </w:p>
        </w:tc>
        <w:tc>
          <w:tcPr>
            <w:tcW w:w="893" w:type="dxa"/>
          </w:tcPr>
          <w:p>
            <w:pPr>
              <w:pStyle w:val="TableParagraph"/>
              <w:spacing w:line="261" w:lineRule="exact"/>
              <w:ind w:right="45"/>
              <w:jc w:val="right"/>
              <w:rPr>
                <w:sz w:val="21"/>
              </w:rPr>
            </w:pPr>
            <w:r>
              <w:rPr>
                <w:sz w:val="21"/>
              </w:rPr>
              <w:t>10.17</w:t>
            </w:r>
          </w:p>
        </w:tc>
        <w:tc>
          <w:tcPr>
            <w:tcW w:w="2839" w:type="dxa"/>
          </w:tcPr>
          <w:p>
            <w:pPr>
              <w:pStyle w:val="TableParagraph"/>
              <w:spacing w:line="261" w:lineRule="exact"/>
              <w:ind w:left="57"/>
              <w:rPr>
                <w:sz w:val="21"/>
              </w:rPr>
            </w:pPr>
            <w:r>
              <w:rPr>
                <w:sz w:val="21"/>
              </w:rPr>
              <w:t>现金价值</w:t>
            </w:r>
          </w:p>
        </w:tc>
      </w:tr>
      <w:tr>
        <w:trPr>
          <w:trHeight w:val="311" w:hRule="atLeast"/>
        </w:trPr>
        <w:tc>
          <w:tcPr>
            <w:tcW w:w="2699" w:type="dxa"/>
          </w:tcPr>
          <w:p>
            <w:pPr>
              <w:pStyle w:val="TableParagraph"/>
              <w:spacing w:line="261" w:lineRule="exact"/>
              <w:ind w:left="160"/>
              <w:rPr>
                <w:sz w:val="21"/>
              </w:rPr>
            </w:pPr>
            <w:r>
              <w:rPr>
                <w:sz w:val="21"/>
              </w:rPr>
              <w:t>3.2 豁免保险费申请</w:t>
            </w:r>
          </w:p>
        </w:tc>
        <w:tc>
          <w:tcPr>
            <w:tcW w:w="3173" w:type="dxa"/>
          </w:tcPr>
          <w:p>
            <w:pPr>
              <w:pStyle w:val="TableParagraph"/>
              <w:spacing w:line="261" w:lineRule="exact"/>
              <w:ind w:left="331"/>
              <w:rPr>
                <w:sz w:val="21"/>
              </w:rPr>
            </w:pPr>
            <w:r>
              <w:rPr>
                <w:sz w:val="21"/>
              </w:rPr>
              <w:t>8.9 保险事故鉴定</w:t>
            </w:r>
          </w:p>
        </w:tc>
        <w:tc>
          <w:tcPr>
            <w:tcW w:w="893" w:type="dxa"/>
          </w:tcPr>
          <w:p>
            <w:pPr>
              <w:pStyle w:val="TableParagraph"/>
              <w:spacing w:line="261" w:lineRule="exact"/>
              <w:ind w:right="45"/>
              <w:jc w:val="right"/>
              <w:rPr>
                <w:sz w:val="21"/>
              </w:rPr>
            </w:pPr>
            <w:r>
              <w:rPr>
                <w:sz w:val="21"/>
              </w:rPr>
              <w:t>10.18</w:t>
            </w:r>
          </w:p>
        </w:tc>
        <w:tc>
          <w:tcPr>
            <w:tcW w:w="2839" w:type="dxa"/>
          </w:tcPr>
          <w:p>
            <w:pPr>
              <w:pStyle w:val="TableParagraph"/>
              <w:spacing w:line="261" w:lineRule="exact"/>
              <w:ind w:left="57"/>
              <w:rPr>
                <w:sz w:val="21"/>
              </w:rPr>
            </w:pPr>
            <w:r>
              <w:rPr>
                <w:sz w:val="21"/>
              </w:rPr>
              <w:t>专科医生</w:t>
            </w:r>
          </w:p>
        </w:tc>
      </w:tr>
      <w:tr>
        <w:trPr>
          <w:trHeight w:val="312" w:hRule="atLeast"/>
        </w:trPr>
        <w:tc>
          <w:tcPr>
            <w:tcW w:w="2699" w:type="dxa"/>
          </w:tcPr>
          <w:p>
            <w:pPr>
              <w:pStyle w:val="TableParagraph"/>
              <w:spacing w:line="261" w:lineRule="exact"/>
              <w:ind w:left="160"/>
              <w:rPr>
                <w:sz w:val="21"/>
              </w:rPr>
            </w:pPr>
            <w:r>
              <w:rPr>
                <w:sz w:val="21"/>
              </w:rPr>
              <w:t>3.3 诉讼时效</w:t>
            </w:r>
          </w:p>
        </w:tc>
        <w:tc>
          <w:tcPr>
            <w:tcW w:w="3173" w:type="dxa"/>
          </w:tcPr>
          <w:p>
            <w:pPr>
              <w:pStyle w:val="TableParagraph"/>
              <w:spacing w:line="285" w:lineRule="exact"/>
              <w:ind w:left="221"/>
              <w:rPr>
                <w:rFonts w:ascii="Microsoft JhengHei" w:eastAsia="Microsoft JhengHei" w:hint="eastAsia"/>
                <w:b/>
                <w:sz w:val="21"/>
              </w:rPr>
            </w:pPr>
            <w:r>
              <w:rPr>
                <w:rFonts w:ascii="Microsoft JhengHei" w:eastAsia="Microsoft JhengHei" w:hint="eastAsia"/>
                <w:b/>
                <w:w w:val="105"/>
                <w:sz w:val="21"/>
              </w:rPr>
              <w:t>9. 重大疾病定义</w:t>
            </w:r>
          </w:p>
        </w:tc>
        <w:tc>
          <w:tcPr>
            <w:tcW w:w="893" w:type="dxa"/>
          </w:tcPr>
          <w:p>
            <w:pPr>
              <w:pStyle w:val="TableParagraph"/>
              <w:spacing w:line="261" w:lineRule="exact"/>
              <w:ind w:right="45"/>
              <w:jc w:val="right"/>
              <w:rPr>
                <w:sz w:val="21"/>
              </w:rPr>
            </w:pPr>
            <w:r>
              <w:rPr>
                <w:sz w:val="21"/>
              </w:rPr>
              <w:t>10.19</w:t>
            </w:r>
          </w:p>
        </w:tc>
        <w:tc>
          <w:tcPr>
            <w:tcW w:w="2839" w:type="dxa"/>
          </w:tcPr>
          <w:p>
            <w:pPr>
              <w:pStyle w:val="TableParagraph"/>
              <w:spacing w:line="261" w:lineRule="exact"/>
              <w:ind w:left="57"/>
              <w:rPr>
                <w:sz w:val="21"/>
              </w:rPr>
            </w:pPr>
            <w:r>
              <w:rPr>
                <w:sz w:val="21"/>
              </w:rPr>
              <w:t>欠交保险费的次数</w:t>
            </w:r>
          </w:p>
        </w:tc>
      </w:tr>
      <w:tr>
        <w:trPr>
          <w:trHeight w:val="311" w:hRule="atLeast"/>
        </w:trPr>
        <w:tc>
          <w:tcPr>
            <w:tcW w:w="269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173" w:type="dxa"/>
          </w:tcPr>
          <w:p>
            <w:pPr>
              <w:pStyle w:val="TableParagraph"/>
              <w:spacing w:line="285" w:lineRule="exact"/>
              <w:ind w:left="221"/>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893" w:type="dxa"/>
          </w:tcPr>
          <w:p>
            <w:pPr>
              <w:pStyle w:val="TableParagraph"/>
              <w:spacing w:line="261" w:lineRule="exact"/>
              <w:ind w:right="45"/>
              <w:jc w:val="right"/>
              <w:rPr>
                <w:sz w:val="21"/>
              </w:rPr>
            </w:pPr>
            <w:r>
              <w:rPr>
                <w:sz w:val="21"/>
              </w:rPr>
              <w:t>10.20</w:t>
            </w:r>
          </w:p>
        </w:tc>
        <w:tc>
          <w:tcPr>
            <w:tcW w:w="2839" w:type="dxa"/>
          </w:tcPr>
          <w:p>
            <w:pPr>
              <w:pStyle w:val="TableParagraph"/>
              <w:spacing w:line="261" w:lineRule="exact"/>
              <w:ind w:left="57"/>
              <w:rPr>
                <w:sz w:val="21"/>
              </w:rPr>
            </w:pPr>
            <w:r>
              <w:rPr>
                <w:sz w:val="21"/>
              </w:rPr>
              <w:t>肢体机能完全丧失</w:t>
            </w:r>
          </w:p>
        </w:tc>
      </w:tr>
      <w:tr>
        <w:trPr>
          <w:trHeight w:val="312" w:hRule="atLeast"/>
        </w:trPr>
        <w:tc>
          <w:tcPr>
            <w:tcW w:w="2699" w:type="dxa"/>
          </w:tcPr>
          <w:p>
            <w:pPr>
              <w:pStyle w:val="TableParagraph"/>
              <w:spacing w:line="261" w:lineRule="exact"/>
              <w:ind w:left="160"/>
              <w:rPr>
                <w:sz w:val="21"/>
              </w:rPr>
            </w:pPr>
            <w:r>
              <w:rPr>
                <w:sz w:val="21"/>
              </w:rPr>
              <w:t>4.1 保险费的交纳</w:t>
            </w:r>
          </w:p>
        </w:tc>
        <w:tc>
          <w:tcPr>
            <w:tcW w:w="3173" w:type="dxa"/>
          </w:tcPr>
          <w:p>
            <w:pPr>
              <w:pStyle w:val="TableParagraph"/>
              <w:spacing w:line="261" w:lineRule="exact"/>
              <w:ind w:left="331"/>
              <w:rPr>
                <w:sz w:val="21"/>
              </w:rPr>
            </w:pPr>
            <w:r>
              <w:rPr>
                <w:sz w:val="21"/>
              </w:rPr>
              <w:t>10.1 合法有效</w:t>
            </w:r>
          </w:p>
        </w:tc>
        <w:tc>
          <w:tcPr>
            <w:tcW w:w="893" w:type="dxa"/>
          </w:tcPr>
          <w:p>
            <w:pPr>
              <w:pStyle w:val="TableParagraph"/>
              <w:spacing w:line="261" w:lineRule="exact"/>
              <w:ind w:right="45"/>
              <w:jc w:val="right"/>
              <w:rPr>
                <w:sz w:val="21"/>
              </w:rPr>
            </w:pPr>
            <w:r>
              <w:rPr>
                <w:sz w:val="21"/>
              </w:rPr>
              <w:t>10.21</w:t>
            </w:r>
          </w:p>
        </w:tc>
        <w:tc>
          <w:tcPr>
            <w:tcW w:w="2839" w:type="dxa"/>
          </w:tcPr>
          <w:p>
            <w:pPr>
              <w:pStyle w:val="TableParagraph"/>
              <w:spacing w:line="261" w:lineRule="exact"/>
              <w:ind w:left="57"/>
              <w:rPr>
                <w:sz w:val="21"/>
              </w:rPr>
            </w:pPr>
            <w:r>
              <w:rPr>
                <w:sz w:val="21"/>
              </w:rPr>
              <w:t>语言能力或者咀嚼吞咽能力完</w:t>
            </w:r>
          </w:p>
        </w:tc>
      </w:tr>
      <w:tr>
        <w:trPr>
          <w:trHeight w:val="311" w:hRule="atLeast"/>
        </w:trPr>
        <w:tc>
          <w:tcPr>
            <w:tcW w:w="2699" w:type="dxa"/>
          </w:tcPr>
          <w:p>
            <w:pPr>
              <w:pStyle w:val="TableParagraph"/>
              <w:spacing w:line="261" w:lineRule="exact"/>
              <w:ind w:left="160"/>
              <w:rPr>
                <w:sz w:val="21"/>
              </w:rPr>
            </w:pPr>
            <w:r>
              <w:rPr>
                <w:sz w:val="21"/>
              </w:rPr>
              <w:t>4.2 宽限期</w:t>
            </w:r>
          </w:p>
        </w:tc>
        <w:tc>
          <w:tcPr>
            <w:tcW w:w="3173" w:type="dxa"/>
          </w:tcPr>
          <w:p>
            <w:pPr>
              <w:pStyle w:val="TableParagraph"/>
              <w:spacing w:line="261" w:lineRule="exact"/>
              <w:ind w:left="331"/>
              <w:rPr>
                <w:sz w:val="21"/>
              </w:rPr>
            </w:pPr>
            <w:r>
              <w:rPr>
                <w:sz w:val="21"/>
              </w:rPr>
              <w:t>10.2 保单年度</w:t>
            </w:r>
          </w:p>
        </w:tc>
        <w:tc>
          <w:tcPr>
            <w:tcW w:w="893" w:type="dxa"/>
          </w:tcPr>
          <w:p>
            <w:pPr>
              <w:pStyle w:val="TableParagraph"/>
              <w:rPr>
                <w:rFonts w:ascii="Times New Roman"/>
                <w:sz w:val="20"/>
              </w:rPr>
            </w:pPr>
          </w:p>
        </w:tc>
        <w:tc>
          <w:tcPr>
            <w:tcW w:w="2839" w:type="dxa"/>
          </w:tcPr>
          <w:p>
            <w:pPr>
              <w:pStyle w:val="TableParagraph"/>
              <w:spacing w:line="261" w:lineRule="exact"/>
              <w:ind w:left="48"/>
              <w:rPr>
                <w:sz w:val="21"/>
              </w:rPr>
            </w:pPr>
            <w:r>
              <w:rPr>
                <w:sz w:val="21"/>
              </w:rPr>
              <w:t>全丧失</w:t>
            </w:r>
          </w:p>
        </w:tc>
      </w:tr>
      <w:tr>
        <w:trPr>
          <w:trHeight w:val="311" w:hRule="atLeast"/>
        </w:trPr>
        <w:tc>
          <w:tcPr>
            <w:tcW w:w="2699" w:type="dxa"/>
          </w:tcPr>
          <w:p>
            <w:pPr>
              <w:pStyle w:val="TableParagraph"/>
              <w:spacing w:line="285" w:lineRule="exact"/>
              <w:ind w:left="54"/>
              <w:rPr>
                <w:rFonts w:ascii="Microsoft JhengHei" w:eastAsia="Microsoft JhengHei" w:hint="eastAsia"/>
                <w:b/>
                <w:sz w:val="21"/>
              </w:rPr>
            </w:pPr>
            <w:r>
              <w:rPr>
                <w:rFonts w:ascii="Microsoft JhengHei" w:eastAsia="Microsoft JhengHei" w:hint="eastAsia"/>
                <w:b/>
                <w:w w:val="105"/>
                <w:sz w:val="21"/>
              </w:rPr>
              <w:t>5. 现金价值权益</w:t>
            </w:r>
          </w:p>
        </w:tc>
        <w:tc>
          <w:tcPr>
            <w:tcW w:w="3173" w:type="dxa"/>
          </w:tcPr>
          <w:p>
            <w:pPr>
              <w:pStyle w:val="TableParagraph"/>
              <w:spacing w:line="261" w:lineRule="exact"/>
              <w:ind w:left="331"/>
              <w:rPr>
                <w:sz w:val="21"/>
              </w:rPr>
            </w:pPr>
            <w:r>
              <w:rPr>
                <w:sz w:val="21"/>
              </w:rPr>
              <w:t>10.3 保险费约定交纳日</w:t>
            </w:r>
          </w:p>
        </w:tc>
        <w:tc>
          <w:tcPr>
            <w:tcW w:w="893" w:type="dxa"/>
          </w:tcPr>
          <w:p>
            <w:pPr>
              <w:pStyle w:val="TableParagraph"/>
              <w:spacing w:line="261" w:lineRule="exact"/>
              <w:ind w:right="45"/>
              <w:jc w:val="right"/>
              <w:rPr>
                <w:sz w:val="21"/>
              </w:rPr>
            </w:pPr>
            <w:r>
              <w:rPr>
                <w:sz w:val="21"/>
              </w:rPr>
              <w:t>10.22</w:t>
            </w:r>
          </w:p>
        </w:tc>
        <w:tc>
          <w:tcPr>
            <w:tcW w:w="2839" w:type="dxa"/>
          </w:tcPr>
          <w:p>
            <w:pPr>
              <w:pStyle w:val="TableParagraph"/>
              <w:spacing w:line="261" w:lineRule="exact"/>
              <w:ind w:left="57"/>
              <w:rPr>
                <w:sz w:val="21"/>
              </w:rPr>
            </w:pPr>
            <w:r>
              <w:rPr>
                <w:sz w:val="21"/>
              </w:rPr>
              <w:t>六项基本日常生活活动</w:t>
            </w:r>
          </w:p>
        </w:tc>
      </w:tr>
      <w:tr>
        <w:trPr>
          <w:trHeight w:val="311" w:hRule="atLeast"/>
        </w:trPr>
        <w:tc>
          <w:tcPr>
            <w:tcW w:w="2699" w:type="dxa"/>
          </w:tcPr>
          <w:p>
            <w:pPr>
              <w:pStyle w:val="TableParagraph"/>
              <w:spacing w:line="261" w:lineRule="exact"/>
              <w:ind w:left="160"/>
              <w:rPr>
                <w:sz w:val="21"/>
              </w:rPr>
            </w:pPr>
            <w:r>
              <w:rPr>
                <w:sz w:val="21"/>
              </w:rPr>
              <w:t>5.1 现金价值</w:t>
            </w:r>
          </w:p>
        </w:tc>
        <w:tc>
          <w:tcPr>
            <w:tcW w:w="3173" w:type="dxa"/>
          </w:tcPr>
          <w:p>
            <w:pPr>
              <w:pStyle w:val="TableParagraph"/>
              <w:spacing w:line="261" w:lineRule="exact"/>
              <w:ind w:left="331"/>
              <w:rPr>
                <w:sz w:val="21"/>
              </w:rPr>
            </w:pPr>
            <w:r>
              <w:rPr>
                <w:sz w:val="21"/>
              </w:rPr>
              <w:t>10.4 周岁</w:t>
            </w:r>
          </w:p>
        </w:tc>
        <w:tc>
          <w:tcPr>
            <w:tcW w:w="893" w:type="dxa"/>
          </w:tcPr>
          <w:p>
            <w:pPr>
              <w:pStyle w:val="TableParagraph"/>
              <w:spacing w:line="261" w:lineRule="exact"/>
              <w:ind w:right="45"/>
              <w:jc w:val="right"/>
              <w:rPr>
                <w:sz w:val="21"/>
              </w:rPr>
            </w:pPr>
            <w:r>
              <w:rPr>
                <w:sz w:val="21"/>
              </w:rPr>
              <w:t>10.23</w:t>
            </w:r>
          </w:p>
        </w:tc>
        <w:tc>
          <w:tcPr>
            <w:tcW w:w="2839" w:type="dxa"/>
          </w:tcPr>
          <w:p>
            <w:pPr>
              <w:pStyle w:val="TableParagraph"/>
              <w:spacing w:line="261" w:lineRule="exact"/>
              <w:ind w:left="57"/>
              <w:rPr>
                <w:sz w:val="21"/>
              </w:rPr>
            </w:pPr>
            <w:r>
              <w:rPr>
                <w:sz w:val="21"/>
              </w:rPr>
              <w:t>永久不可逆</w:t>
            </w:r>
          </w:p>
        </w:tc>
      </w:tr>
      <w:tr>
        <w:trPr>
          <w:trHeight w:val="311" w:hRule="atLeast"/>
        </w:trPr>
        <w:tc>
          <w:tcPr>
            <w:tcW w:w="2699"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6.  合同效力的中止及恢复</w:t>
            </w:r>
          </w:p>
        </w:tc>
        <w:tc>
          <w:tcPr>
            <w:tcW w:w="3173" w:type="dxa"/>
          </w:tcPr>
          <w:p>
            <w:pPr>
              <w:pStyle w:val="TableParagraph"/>
              <w:spacing w:line="261" w:lineRule="exact"/>
              <w:ind w:left="331"/>
              <w:rPr>
                <w:sz w:val="21"/>
              </w:rPr>
            </w:pPr>
            <w:r>
              <w:rPr>
                <w:sz w:val="21"/>
              </w:rPr>
              <w:t>10.5 有效身份证件</w:t>
            </w:r>
          </w:p>
        </w:tc>
        <w:tc>
          <w:tcPr>
            <w:tcW w:w="893" w:type="dxa"/>
          </w:tcPr>
          <w:p>
            <w:pPr>
              <w:pStyle w:val="TableParagraph"/>
              <w:spacing w:line="261" w:lineRule="exact"/>
              <w:ind w:right="45"/>
              <w:jc w:val="right"/>
              <w:rPr>
                <w:sz w:val="21"/>
              </w:rPr>
            </w:pPr>
            <w:r>
              <w:rPr>
                <w:sz w:val="21"/>
              </w:rPr>
              <w:t>10.24</w:t>
            </w:r>
          </w:p>
        </w:tc>
        <w:tc>
          <w:tcPr>
            <w:tcW w:w="2839" w:type="dxa"/>
          </w:tcPr>
          <w:p>
            <w:pPr>
              <w:pStyle w:val="TableParagraph"/>
              <w:spacing w:line="261" w:lineRule="exact"/>
              <w:ind w:left="57"/>
              <w:rPr>
                <w:sz w:val="21"/>
              </w:rPr>
            </w:pPr>
            <w:r>
              <w:rPr>
                <w:sz w:val="21"/>
              </w:rPr>
              <w:t>本公司认可的医院</w:t>
            </w:r>
          </w:p>
        </w:tc>
      </w:tr>
      <w:tr>
        <w:trPr>
          <w:trHeight w:val="311" w:hRule="atLeast"/>
        </w:trPr>
        <w:tc>
          <w:tcPr>
            <w:tcW w:w="2699" w:type="dxa"/>
          </w:tcPr>
          <w:p>
            <w:pPr>
              <w:pStyle w:val="TableParagraph"/>
              <w:spacing w:line="261" w:lineRule="exact"/>
              <w:ind w:left="160"/>
              <w:rPr>
                <w:sz w:val="21"/>
              </w:rPr>
            </w:pPr>
            <w:r>
              <w:rPr>
                <w:sz w:val="21"/>
              </w:rPr>
              <w:t>6.1 效力中止</w:t>
            </w:r>
          </w:p>
        </w:tc>
        <w:tc>
          <w:tcPr>
            <w:tcW w:w="3173" w:type="dxa"/>
          </w:tcPr>
          <w:p>
            <w:pPr>
              <w:pStyle w:val="TableParagraph"/>
              <w:spacing w:line="261" w:lineRule="exact"/>
              <w:ind w:left="331"/>
              <w:rPr>
                <w:sz w:val="21"/>
              </w:rPr>
            </w:pPr>
            <w:r>
              <w:rPr>
                <w:sz w:val="21"/>
              </w:rPr>
              <w:t>10.6 医院</w:t>
            </w:r>
          </w:p>
        </w:tc>
        <w:tc>
          <w:tcPr>
            <w:tcW w:w="893" w:type="dxa"/>
          </w:tcPr>
          <w:p>
            <w:pPr>
              <w:pStyle w:val="TableParagraph"/>
              <w:spacing w:line="261" w:lineRule="exact"/>
              <w:ind w:right="45"/>
              <w:jc w:val="right"/>
              <w:rPr>
                <w:sz w:val="21"/>
              </w:rPr>
            </w:pPr>
            <w:r>
              <w:rPr>
                <w:sz w:val="21"/>
              </w:rPr>
              <w:t>10.25</w:t>
            </w:r>
          </w:p>
        </w:tc>
        <w:tc>
          <w:tcPr>
            <w:tcW w:w="2839" w:type="dxa"/>
          </w:tcPr>
          <w:p>
            <w:pPr>
              <w:pStyle w:val="TableParagraph"/>
              <w:spacing w:line="261" w:lineRule="exact"/>
              <w:ind w:left="57"/>
              <w:rPr>
                <w:sz w:val="21"/>
              </w:rPr>
            </w:pPr>
            <w:r>
              <w:rPr>
                <w:sz w:val="21"/>
              </w:rPr>
              <w:t>医生</w:t>
            </w:r>
          </w:p>
        </w:tc>
      </w:tr>
      <w:tr>
        <w:trPr>
          <w:trHeight w:val="261" w:hRule="atLeast"/>
        </w:trPr>
        <w:tc>
          <w:tcPr>
            <w:tcW w:w="2699" w:type="dxa"/>
          </w:tcPr>
          <w:p>
            <w:pPr>
              <w:pStyle w:val="TableParagraph"/>
              <w:spacing w:line="242" w:lineRule="exact"/>
              <w:ind w:left="160"/>
              <w:rPr>
                <w:sz w:val="21"/>
              </w:rPr>
            </w:pPr>
            <w:r>
              <w:rPr>
                <w:sz w:val="21"/>
              </w:rPr>
              <w:t>6.2 效力恢复</w:t>
            </w:r>
          </w:p>
        </w:tc>
        <w:tc>
          <w:tcPr>
            <w:tcW w:w="3173" w:type="dxa"/>
          </w:tcPr>
          <w:p>
            <w:pPr>
              <w:pStyle w:val="TableParagraph"/>
              <w:spacing w:line="242" w:lineRule="exact"/>
              <w:ind w:left="331"/>
              <w:rPr>
                <w:sz w:val="21"/>
              </w:rPr>
            </w:pPr>
            <w:r>
              <w:rPr>
                <w:sz w:val="21"/>
              </w:rPr>
              <w:t>10.7 初次确诊</w:t>
            </w:r>
          </w:p>
        </w:tc>
        <w:tc>
          <w:tcPr>
            <w:tcW w:w="893" w:type="dxa"/>
          </w:tcPr>
          <w:p>
            <w:pPr>
              <w:pStyle w:val="TableParagraph"/>
              <w:rPr>
                <w:rFonts w:ascii="Times New Roman"/>
                <w:sz w:val="18"/>
              </w:rPr>
            </w:pPr>
          </w:p>
        </w:tc>
        <w:tc>
          <w:tcPr>
            <w:tcW w:w="2839" w:type="dxa"/>
          </w:tcPr>
          <w:p>
            <w:pPr>
              <w:pStyle w:val="TableParagraph"/>
              <w:rPr>
                <w:rFonts w:ascii="Times New Roman"/>
                <w:sz w:val="18"/>
              </w:rPr>
            </w:pPr>
          </w:p>
        </w:tc>
      </w:tr>
    </w:tbl>
    <w:p>
      <w:pPr>
        <w:spacing w:after="0"/>
        <w:rPr>
          <w:rFonts w:ascii="Times New Roman"/>
          <w:sz w:val="18"/>
        </w:rPr>
        <w:sectPr>
          <w:type w:val="continuous"/>
          <w:pgSz w:w="11900" w:h="16840"/>
          <w:pgMar w:top="560" w:bottom="280" w:left="640" w:right="280"/>
        </w:sectPr>
      </w:pPr>
    </w:p>
    <w:p>
      <w:pPr>
        <w:spacing w:line="481" w:lineRule="exact" w:before="0"/>
        <w:ind w:left="3107" w:right="0" w:firstLine="0"/>
        <w:jc w:val="left"/>
        <w:rPr>
          <w:rFonts w:ascii="微软雅黑" w:eastAsia="微软雅黑" w:hint="eastAsia"/>
          <w:b/>
          <w:sz w:val="32"/>
        </w:rPr>
      </w:pPr>
      <w:r>
        <w:rPr>
          <w:rFonts w:ascii="微软雅黑" w:eastAsia="微软雅黑" w:hint="eastAsia"/>
          <w:b/>
          <w:sz w:val="32"/>
        </w:rPr>
        <w:t>泰康人寿保险有限责任公司</w:t>
      </w:r>
    </w:p>
    <w:p>
      <w:pPr>
        <w:spacing w:before="71"/>
        <w:ind w:left="2627" w:right="0" w:firstLine="0"/>
        <w:jc w:val="left"/>
        <w:rPr>
          <w:rFonts w:ascii="微软雅黑" w:eastAsia="微软雅黑" w:hint="eastAsia"/>
          <w:b/>
          <w:sz w:val="32"/>
        </w:rPr>
      </w:pPr>
      <w:r>
        <w:rPr>
          <w:rFonts w:ascii="微软雅黑" w:eastAsia="微软雅黑" w:hint="eastAsia"/>
          <w:b/>
          <w:sz w:val="32"/>
        </w:rPr>
        <w:t>泰康健康保豁免重大疾病保险条款</w:t>
      </w:r>
    </w:p>
    <w:p>
      <w:pPr>
        <w:pStyle w:val="BodyText"/>
        <w:spacing w:before="0"/>
        <w:rPr>
          <w:rFonts w:ascii="微软雅黑"/>
          <w:b/>
          <w:sz w:val="24"/>
        </w:rPr>
      </w:pPr>
    </w:p>
    <w:p>
      <w:pPr>
        <w:pStyle w:val="BodyText"/>
        <w:spacing w:line="273" w:lineRule="auto" w:before="0"/>
        <w:ind w:left="212" w:right="522"/>
        <w:jc w:val="both"/>
      </w:pPr>
      <w:r>
        <w:rPr>
          <w:spacing w:val="-6"/>
        </w:rPr>
        <w:t>在本条款中，“您”指投保人，“我们”、“本公司”均指在保险单上签章的泰康人寿保险有限责任公司的分公司，“本合同”指您与我们之间订立的“泰康健康保豁免重大疾病保险合同”，“被保险人”指本</w:t>
      </w:r>
      <w:r>
        <w:rPr>
          <w:spacing w:val="-8"/>
        </w:rPr>
        <w:t>合同的被保险人，本合同的被保险人及本合同所豁免保险费的保险合同的被保险人为同一人，其姓名在保</w:t>
      </w:r>
      <w:r>
        <w:rPr>
          <w:spacing w:val="-7"/>
        </w:rPr>
        <w:t>险单上载明。</w:t>
      </w:r>
    </w:p>
    <w:p>
      <w:pPr>
        <w:pStyle w:val="BodyText"/>
        <w:spacing w:before="7"/>
        <w:rPr>
          <w:sz w:val="26"/>
        </w:rPr>
      </w:pPr>
    </w:p>
    <w:p>
      <w:pPr>
        <w:pStyle w:val="Heading1"/>
        <w:numPr>
          <w:ilvl w:val="0"/>
          <w:numId w:val="5"/>
        </w:numPr>
        <w:tabs>
          <w:tab w:pos="1244" w:val="left" w:leader="none"/>
          <w:tab w:pos="1245" w:val="left" w:leader="none"/>
        </w:tabs>
        <w:spacing w:line="240" w:lineRule="auto" w:before="0" w:after="0"/>
        <w:ind w:left="1244" w:right="0" w:hanging="1032"/>
        <w:jc w:val="both"/>
      </w:pPr>
      <w:r>
        <w:rPr/>
        <w:pict>
          <v:group style="position:absolute;margin-left:51.119999pt;margin-top:27.673637pt;width:508.8pt;height:.5pt;mso-position-horizontal-relative:page;mso-position-vertical-relative:paragraph;z-index:1072;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您与我们订立的合同</w:t>
      </w:r>
    </w:p>
    <w:p>
      <w:pPr>
        <w:pStyle w:val="BodyText"/>
        <w:spacing w:before="7"/>
        <w:rPr>
          <w:rFonts w:ascii="Microsoft JhengHei"/>
          <w:b/>
          <w:sz w:val="9"/>
        </w:rPr>
      </w:pPr>
    </w:p>
    <w:p>
      <w:pPr>
        <w:pStyle w:val="ListParagraph"/>
        <w:numPr>
          <w:ilvl w:val="1"/>
          <w:numId w:val="5"/>
        </w:numPr>
        <w:tabs>
          <w:tab w:pos="1244" w:val="left" w:leader="none"/>
          <w:tab w:pos="1245" w:val="left" w:leader="none"/>
          <w:tab w:pos="3015" w:val="left" w:leader="none"/>
        </w:tabs>
        <w:spacing w:line="201" w:lineRule="auto" w:before="28" w:after="0"/>
        <w:ind w:left="3016" w:right="200" w:hanging="2804"/>
        <w:jc w:val="left"/>
        <w:rPr>
          <w:sz w:val="21"/>
        </w:rPr>
      </w:pPr>
      <w:r>
        <w:rPr>
          <w:rFonts w:ascii="Microsoft JhengHei" w:eastAsia="Microsoft JhengHei" w:hint="eastAsia"/>
          <w:b/>
          <w:sz w:val="21"/>
        </w:rPr>
        <w:t>合同构成</w:t>
        <w:tab/>
      </w:r>
      <w:r>
        <w:rPr>
          <w:spacing w:val="-1"/>
          <w:sz w:val="21"/>
        </w:rPr>
        <w:t>本合</w:t>
      </w:r>
      <w:r>
        <w:rPr>
          <w:sz w:val="21"/>
        </w:rPr>
        <w:t>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z w:val="21"/>
        </w:rPr>
        <w:t>，</w:t>
      </w:r>
      <w:r>
        <w:rPr>
          <w:spacing w:val="-5"/>
          <w:sz w:val="21"/>
        </w:rPr>
        <w:t>包</w:t>
      </w:r>
      <w:r>
        <w:rPr>
          <w:sz w:val="21"/>
        </w:rPr>
        <w:t>括本保险</w:t>
      </w:r>
      <w:r>
        <w:rPr>
          <w:spacing w:val="-5"/>
          <w:sz w:val="21"/>
        </w:rPr>
        <w:t>条</w:t>
      </w:r>
      <w:r>
        <w:rPr>
          <w:sz w:val="21"/>
        </w:rPr>
        <w:t>款、保</w:t>
      </w:r>
      <w:r>
        <w:rPr>
          <w:spacing w:val="-5"/>
          <w:sz w:val="21"/>
        </w:rPr>
        <w:t>险</w:t>
      </w:r>
      <w:r>
        <w:rPr>
          <w:sz w:val="21"/>
        </w:rPr>
        <w:t>单或 者其他保</w:t>
      </w:r>
      <w:r>
        <w:rPr>
          <w:spacing w:val="-5"/>
          <w:sz w:val="21"/>
        </w:rPr>
        <w:t>险</w:t>
      </w:r>
      <w:r>
        <w:rPr>
          <w:sz w:val="21"/>
        </w:rPr>
        <w:t>凭证</w:t>
      </w:r>
      <w:r>
        <w:rPr>
          <w:spacing w:val="-10"/>
          <w:sz w:val="21"/>
        </w:rPr>
        <w:t>、</w:t>
      </w:r>
      <w:r>
        <w:rPr>
          <w:sz w:val="21"/>
        </w:rPr>
        <w:t>投</w:t>
      </w:r>
      <w:r>
        <w:rPr>
          <w:spacing w:val="-5"/>
          <w:sz w:val="21"/>
        </w:rPr>
        <w:t>保</w:t>
      </w:r>
      <w:r>
        <w:rPr>
          <w:sz w:val="21"/>
        </w:rPr>
        <w:t>单</w:t>
      </w:r>
      <w:r>
        <w:rPr>
          <w:spacing w:val="-10"/>
          <w:sz w:val="21"/>
        </w:rPr>
        <w:t>、</w:t>
      </w:r>
      <w:r>
        <w:rPr>
          <w:sz w:val="21"/>
        </w:rPr>
        <w:t>与本</w:t>
      </w:r>
      <w:r>
        <w:rPr>
          <w:spacing w:val="-5"/>
          <w:sz w:val="21"/>
        </w:rPr>
        <w:t>合</w:t>
      </w:r>
      <w:r>
        <w:rPr>
          <w:sz w:val="21"/>
        </w:rPr>
        <w:t>同有关</w:t>
      </w:r>
      <w:r>
        <w:rPr>
          <w:spacing w:val="-5"/>
          <w:sz w:val="21"/>
        </w:rPr>
        <w:t>的</w:t>
      </w:r>
      <w:r>
        <w:rPr>
          <w:sz w:val="21"/>
        </w:rPr>
        <w:t>投保文</w:t>
      </w:r>
      <w:r>
        <w:rPr>
          <w:spacing w:val="-5"/>
          <w:sz w:val="21"/>
        </w:rPr>
        <w:t>件</w:t>
      </w:r>
      <w:r>
        <w:rPr>
          <w:spacing w:val="-10"/>
          <w:sz w:val="21"/>
        </w:rPr>
        <w:t>、</w:t>
      </w:r>
      <w:r>
        <w:rPr>
          <w:rFonts w:ascii="Microsoft JhengHei" w:eastAsia="Microsoft JhengHei" w:hint="eastAsia"/>
          <w:b/>
          <w:sz w:val="21"/>
        </w:rPr>
        <w:t>合法有</w:t>
      </w:r>
      <w:r>
        <w:rPr>
          <w:rFonts w:ascii="Microsoft JhengHei" w:eastAsia="Microsoft JhengHei" w:hint="eastAsia"/>
          <w:b/>
          <w:spacing w:val="-5"/>
          <w:sz w:val="21"/>
        </w:rPr>
        <w:t>效</w:t>
      </w:r>
      <w:r>
        <w:rPr>
          <w:spacing w:val="-5"/>
          <w:sz w:val="21"/>
        </w:rPr>
        <w:t>（</w:t>
      </w:r>
      <w:r>
        <w:rPr>
          <w:sz w:val="21"/>
        </w:rPr>
        <w:t>见</w:t>
      </w:r>
      <w:r>
        <w:rPr>
          <w:spacing w:val="-25"/>
          <w:sz w:val="21"/>
        </w:rPr>
        <w:t> </w:t>
      </w:r>
      <w:r>
        <w:rPr>
          <w:sz w:val="21"/>
        </w:rPr>
        <w:t>10.1）的</w:t>
      </w:r>
    </w:p>
    <w:p>
      <w:pPr>
        <w:pStyle w:val="BodyText"/>
        <w:spacing w:before="12"/>
        <w:ind w:left="3016"/>
      </w:pPr>
      <w:r>
        <w:rPr/>
        <w:t>声明、批注、批单及其他您与我们共同认可的书面或者电子协议。</w:t>
      </w:r>
    </w:p>
    <w:p>
      <w:pPr>
        <w:pStyle w:val="BodyText"/>
        <w:spacing w:before="10"/>
        <w:rPr>
          <w:sz w:val="16"/>
        </w:rPr>
      </w:pPr>
    </w:p>
    <w:p>
      <w:pPr>
        <w:pStyle w:val="ListParagraph"/>
        <w:numPr>
          <w:ilvl w:val="1"/>
          <w:numId w:val="5"/>
        </w:numPr>
        <w:tabs>
          <w:tab w:pos="1244" w:val="left" w:leader="none"/>
          <w:tab w:pos="1245" w:val="left" w:leader="none"/>
          <w:tab w:pos="3015" w:val="left" w:leader="none"/>
        </w:tabs>
        <w:spacing w:line="240" w:lineRule="auto" w:before="0" w:after="0"/>
        <w:ind w:left="3016" w:right="0" w:hanging="2804"/>
        <w:jc w:val="left"/>
        <w:rPr>
          <w:sz w:val="21"/>
        </w:rPr>
      </w:pPr>
      <w:r>
        <w:rPr>
          <w:rFonts w:ascii="Microsoft JhengHei" w:eastAsia="Microsoft JhengHei" w:hint="eastAsia"/>
          <w:b/>
          <w:sz w:val="21"/>
        </w:rPr>
        <w:t>合同成立及生效</w:t>
        <w:tab/>
      </w:r>
      <w:r>
        <w:rPr>
          <w:sz w:val="21"/>
        </w:rPr>
        <w:t>您提出保</w:t>
      </w:r>
      <w:r>
        <w:rPr>
          <w:spacing w:val="-5"/>
          <w:sz w:val="21"/>
        </w:rPr>
        <w:t>险</w:t>
      </w:r>
      <w:r>
        <w:rPr>
          <w:sz w:val="21"/>
        </w:rPr>
        <w:t>申请且</w:t>
      </w:r>
      <w:r>
        <w:rPr>
          <w:spacing w:val="-5"/>
          <w:sz w:val="21"/>
        </w:rPr>
        <w:t>我</w:t>
      </w:r>
      <w:r>
        <w:rPr>
          <w:sz w:val="21"/>
        </w:rPr>
        <w:t>们同意</w:t>
      </w:r>
      <w:r>
        <w:rPr>
          <w:spacing w:val="-5"/>
          <w:sz w:val="21"/>
        </w:rPr>
        <w:t>承</w:t>
      </w:r>
      <w:r>
        <w:rPr>
          <w:sz w:val="21"/>
        </w:rPr>
        <w:t>保，本</w:t>
      </w:r>
      <w:r>
        <w:rPr>
          <w:spacing w:val="-5"/>
          <w:sz w:val="21"/>
        </w:rPr>
        <w:t>合</w:t>
      </w:r>
      <w:r>
        <w:rPr>
          <w:sz w:val="21"/>
        </w:rPr>
        <w:t>同成立。</w:t>
      </w:r>
    </w:p>
    <w:p>
      <w:pPr>
        <w:pStyle w:val="BodyText"/>
        <w:spacing w:line="204" w:lineRule="auto" w:before="83"/>
        <w:ind w:left="3016" w:right="272"/>
      </w:pPr>
      <w:r>
        <w:rPr>
          <w:spacing w:val="-5"/>
          <w:w w:val="100"/>
        </w:rPr>
        <w:t>本合同的成立日、生效日以保险单记载的日期为准。</w:t>
      </w:r>
      <w:r>
        <w:rPr>
          <w:rFonts w:ascii="Microsoft JhengHei" w:eastAsia="Microsoft JhengHei" w:hint="eastAsia"/>
          <w:b/>
          <w:w w:val="100"/>
        </w:rPr>
        <w:t>保单年度</w:t>
      </w:r>
      <w:r>
        <w:rPr>
          <w:w w:val="100"/>
        </w:rPr>
        <w:t>（见</w:t>
      </w:r>
      <w:r>
        <w:rPr>
          <w:spacing w:val="-53"/>
        </w:rPr>
        <w:t> </w:t>
      </w:r>
      <w:r>
        <w:rPr>
          <w:w w:val="100"/>
        </w:rPr>
        <w:t>10.</w:t>
      </w:r>
      <w:r>
        <w:rPr>
          <w:spacing w:val="-5"/>
          <w:w w:val="100"/>
        </w:rPr>
        <w:t>2</w:t>
      </w:r>
      <w:r>
        <w:rPr>
          <w:spacing w:val="-106"/>
          <w:w w:val="100"/>
        </w:rPr>
        <w:t>）</w:t>
      </w:r>
      <w:r>
        <w:rPr>
          <w:spacing w:val="-5"/>
          <w:w w:val="100"/>
        </w:rPr>
        <w:t>、</w:t>
      </w:r>
      <w:r>
        <w:rPr>
          <w:rFonts w:ascii="Microsoft JhengHei" w:eastAsia="Microsoft JhengHei" w:hint="eastAsia"/>
          <w:b/>
          <w:w w:val="100"/>
        </w:rPr>
        <w:t>保</w:t>
      </w:r>
      <w:r>
        <w:rPr>
          <w:rFonts w:ascii="Microsoft JhengHei" w:eastAsia="Microsoft JhengHei" w:hint="eastAsia"/>
          <w:b/>
        </w:rPr>
        <w:t>险费约定交纳日</w:t>
      </w:r>
      <w:r>
        <w:rPr/>
        <w:t>（</w:t>
      </w:r>
      <w:r>
        <w:rPr>
          <w:spacing w:val="-13"/>
        </w:rPr>
        <w:t>见 </w:t>
      </w:r>
      <w:r>
        <w:rPr/>
        <w:t>10.3）</w:t>
      </w:r>
      <w:r>
        <w:rPr>
          <w:spacing w:val="-5"/>
        </w:rPr>
        <w:t>均依据本合同的生效日为基础进行计算。</w:t>
      </w:r>
    </w:p>
    <w:p>
      <w:pPr>
        <w:pStyle w:val="BodyText"/>
        <w:spacing w:line="273" w:lineRule="auto" w:before="85"/>
        <w:ind w:left="3016" w:right="99"/>
        <w:jc w:val="both"/>
        <w:rPr>
          <w:rFonts w:ascii="黑体" w:eastAsia="黑体" w:hint="eastAsia"/>
        </w:rPr>
      </w:pPr>
      <w:r>
        <w:rPr>
          <w:spacing w:val="-11"/>
        </w:rPr>
        <w:t>在保险期间内，我们自收到您交纳的首次保险费的次日零时开始承担保险责任。</w:t>
      </w:r>
      <w:r>
        <w:rPr>
          <w:rFonts w:ascii="黑体" w:eastAsia="黑体" w:hint="eastAsia"/>
          <w:spacing w:val="-12"/>
        </w:rPr>
        <w:t>如果我们未收到您交纳的首次保险费，我们将不承担本保险单载明的保险责任。</w:t>
      </w:r>
      <w:r>
        <w:rPr>
          <w:rFonts w:ascii="黑体" w:eastAsia="黑体" w:hint="eastAsia"/>
          <w:spacing w:val="-11"/>
        </w:rPr>
        <w:t>自保险合同</w:t>
      </w:r>
      <w:r>
        <w:rPr>
          <w:rFonts w:ascii="黑体" w:eastAsia="黑体" w:hint="eastAsia"/>
        </w:rPr>
        <w:t>Th</w:t>
      </w:r>
      <w:r>
        <w:rPr>
          <w:rFonts w:ascii="黑体" w:eastAsia="黑体" w:hint="eastAsia"/>
          <w:spacing w:val="-9"/>
        </w:rPr>
        <w:t>效之日起 </w:t>
      </w:r>
      <w:r>
        <w:rPr>
          <w:rFonts w:ascii="黑体" w:eastAsia="黑体" w:hint="eastAsia"/>
        </w:rPr>
        <w:t>15</w:t>
      </w:r>
      <w:r>
        <w:rPr>
          <w:rFonts w:ascii="黑体" w:eastAsia="黑体" w:hint="eastAsia"/>
          <w:spacing w:val="-12"/>
        </w:rPr>
        <w:t> 日内，如果本公司未收到首次保险费，则本合同于</w:t>
      </w:r>
      <w:r>
        <w:rPr>
          <w:rFonts w:ascii="黑体" w:eastAsia="黑体" w:hint="eastAsia"/>
        </w:rPr>
        <w:t>Th</w:t>
      </w:r>
    </w:p>
    <w:p>
      <w:pPr>
        <w:pStyle w:val="BodyText"/>
        <w:spacing w:before="7"/>
        <w:ind w:left="3016"/>
        <w:rPr>
          <w:rFonts w:ascii="黑体" w:eastAsia="黑体" w:hint="eastAsia"/>
        </w:rPr>
      </w:pPr>
      <w:r>
        <w:rPr>
          <w:rFonts w:ascii="黑体" w:eastAsia="黑体" w:hint="eastAsia"/>
        </w:rPr>
        <w:t>效后第 15 日的 24 时自动终止。</w:t>
      </w:r>
    </w:p>
    <w:p>
      <w:pPr>
        <w:pStyle w:val="ListParagraph"/>
        <w:numPr>
          <w:ilvl w:val="1"/>
          <w:numId w:val="5"/>
        </w:numPr>
        <w:tabs>
          <w:tab w:pos="1244" w:val="left" w:leader="none"/>
          <w:tab w:pos="1245" w:val="left" w:leader="none"/>
          <w:tab w:pos="3015" w:val="left" w:leader="none"/>
        </w:tabs>
        <w:spacing w:line="240" w:lineRule="auto" w:before="143" w:after="0"/>
        <w:ind w:left="3016" w:right="0" w:hanging="280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10.4）计算。</w:t>
      </w:r>
    </w:p>
    <w:p>
      <w:pPr>
        <w:pStyle w:val="BodyText"/>
        <w:spacing w:before="13"/>
        <w:rPr>
          <w:sz w:val="14"/>
        </w:rPr>
      </w:pPr>
    </w:p>
    <w:p>
      <w:pPr>
        <w:pStyle w:val="ListParagraph"/>
        <w:numPr>
          <w:ilvl w:val="1"/>
          <w:numId w:val="5"/>
        </w:numPr>
        <w:tabs>
          <w:tab w:pos="1244" w:val="left" w:leader="none"/>
          <w:tab w:pos="1245" w:val="left" w:leader="none"/>
          <w:tab w:pos="3015" w:val="left" w:leader="none"/>
        </w:tabs>
        <w:spacing w:line="261" w:lineRule="auto" w:before="0" w:after="0"/>
        <w:ind w:left="3016" w:right="205" w:hanging="2804"/>
        <w:jc w:val="both"/>
        <w:rPr>
          <w:sz w:val="21"/>
        </w:rPr>
      </w:pPr>
      <w:r>
        <w:rPr>
          <w:rFonts w:ascii="Microsoft JhengHei" w:eastAsia="Microsoft JhengHei" w:hint="eastAsia"/>
          <w:b/>
          <w:sz w:val="21"/>
        </w:rPr>
        <w:t>犹豫期</w:t>
        <w:tab/>
      </w:r>
      <w:r>
        <w:rPr>
          <w:sz w:val="21"/>
        </w:rPr>
        <w:t>犹豫期是指自您签</w:t>
      </w:r>
      <w:r>
        <w:rPr>
          <w:spacing w:val="-5"/>
          <w:sz w:val="21"/>
        </w:rPr>
        <w:t>收</w:t>
      </w:r>
      <w:r>
        <w:rPr>
          <w:sz w:val="21"/>
        </w:rPr>
        <w:t>本合同且我</w:t>
      </w:r>
      <w:r>
        <w:rPr>
          <w:spacing w:val="-5"/>
          <w:sz w:val="21"/>
        </w:rPr>
        <w:t>们</w:t>
      </w:r>
      <w:r>
        <w:rPr>
          <w:sz w:val="21"/>
        </w:rPr>
        <w:t>收到首次保</w:t>
      </w:r>
      <w:r>
        <w:rPr>
          <w:spacing w:val="-5"/>
          <w:sz w:val="21"/>
        </w:rPr>
        <w:t>险</w:t>
      </w:r>
      <w:r>
        <w:rPr>
          <w:sz w:val="21"/>
        </w:rPr>
        <w:t>费</w:t>
      </w:r>
      <w:r>
        <w:rPr>
          <w:spacing w:val="-5"/>
          <w:sz w:val="21"/>
        </w:rPr>
        <w:t>的</w:t>
      </w:r>
      <w:r>
        <w:rPr>
          <w:sz w:val="21"/>
        </w:rPr>
        <w:t>次日零时起的一段</w:t>
      </w:r>
      <w:r>
        <w:rPr>
          <w:spacing w:val="-5"/>
          <w:sz w:val="21"/>
        </w:rPr>
        <w:t>时</w:t>
      </w:r>
      <w:r>
        <w:rPr>
          <w:sz w:val="21"/>
        </w:rPr>
        <w:t>期， 该时期以保险单上</w:t>
      </w:r>
      <w:r>
        <w:rPr>
          <w:spacing w:val="-5"/>
          <w:sz w:val="21"/>
        </w:rPr>
        <w:t>载</w:t>
      </w:r>
      <w:r>
        <w:rPr>
          <w:sz w:val="21"/>
        </w:rPr>
        <w:t>明的日数为</w:t>
      </w:r>
      <w:r>
        <w:rPr>
          <w:spacing w:val="-5"/>
          <w:sz w:val="21"/>
        </w:rPr>
        <w:t>准</w:t>
      </w:r>
      <w:r>
        <w:rPr>
          <w:sz w:val="21"/>
        </w:rPr>
        <w:t>。在此期间</w:t>
      </w:r>
      <w:r>
        <w:rPr>
          <w:spacing w:val="-5"/>
          <w:sz w:val="21"/>
        </w:rPr>
        <w:t>，</w:t>
      </w:r>
      <w:r>
        <w:rPr>
          <w:sz w:val="21"/>
        </w:rPr>
        <w:t>请</w:t>
      </w:r>
      <w:r>
        <w:rPr>
          <w:spacing w:val="-5"/>
          <w:sz w:val="21"/>
        </w:rPr>
        <w:t>您</w:t>
      </w:r>
      <w:r>
        <w:rPr>
          <w:sz w:val="21"/>
        </w:rPr>
        <w:t>认真审视本合同，</w:t>
      </w:r>
      <w:r>
        <w:rPr>
          <w:spacing w:val="-5"/>
          <w:sz w:val="21"/>
        </w:rPr>
        <w:t>如</w:t>
      </w:r>
      <w:r>
        <w:rPr>
          <w:sz w:val="21"/>
        </w:rPr>
        <w:t>果您认为本合同与您的</w:t>
      </w:r>
      <w:r>
        <w:rPr>
          <w:spacing w:val="-5"/>
          <w:sz w:val="21"/>
        </w:rPr>
        <w:t>需</w:t>
      </w:r>
      <w:r>
        <w:rPr>
          <w:sz w:val="21"/>
        </w:rPr>
        <w:t>求不相符，</w:t>
      </w:r>
      <w:r>
        <w:rPr>
          <w:spacing w:val="-5"/>
          <w:sz w:val="21"/>
        </w:rPr>
        <w:t>您</w:t>
      </w:r>
      <w:r>
        <w:rPr>
          <w:sz w:val="21"/>
        </w:rPr>
        <w:t>可以在此期</w:t>
      </w:r>
      <w:r>
        <w:rPr>
          <w:spacing w:val="-5"/>
          <w:sz w:val="21"/>
        </w:rPr>
        <w:t>间</w:t>
      </w:r>
      <w:r>
        <w:rPr>
          <w:sz w:val="21"/>
        </w:rPr>
        <w:t>提</w:t>
      </w:r>
      <w:r>
        <w:rPr>
          <w:spacing w:val="-5"/>
          <w:sz w:val="21"/>
        </w:rPr>
        <w:t>出</w:t>
      </w:r>
      <w:r>
        <w:rPr>
          <w:sz w:val="21"/>
        </w:rPr>
        <w:t>解除本合同，</w:t>
      </w:r>
      <w:r>
        <w:rPr>
          <w:rFonts w:ascii="黑体" w:eastAsia="黑体" w:hint="eastAsia"/>
          <w:sz w:val="21"/>
        </w:rPr>
        <w:t>我们</w:t>
      </w:r>
      <w:r>
        <w:rPr>
          <w:rFonts w:ascii="黑体" w:eastAsia="黑体" w:hint="eastAsia"/>
          <w:spacing w:val="-5"/>
          <w:sz w:val="21"/>
        </w:rPr>
        <w:t>将</w:t>
      </w:r>
      <w:r>
        <w:rPr>
          <w:rFonts w:ascii="黑体" w:eastAsia="黑体" w:hint="eastAsia"/>
          <w:sz w:val="21"/>
        </w:rPr>
        <w:t>在扣除不超过</w:t>
      </w:r>
      <w:r>
        <w:rPr>
          <w:rFonts w:ascii="黑体" w:eastAsia="黑体" w:hint="eastAsia"/>
          <w:spacing w:val="-41"/>
          <w:sz w:val="21"/>
        </w:rPr>
        <w:t> </w:t>
      </w:r>
      <w:r>
        <w:rPr>
          <w:rFonts w:ascii="黑体" w:eastAsia="黑体" w:hint="eastAsia"/>
          <w:sz w:val="21"/>
        </w:rPr>
        <w:t>10</w:t>
      </w:r>
      <w:r>
        <w:rPr>
          <w:rFonts w:ascii="黑体" w:eastAsia="黑体" w:hint="eastAsia"/>
          <w:spacing w:val="-46"/>
          <w:sz w:val="21"/>
        </w:rPr>
        <w:t> </w:t>
      </w:r>
      <w:r>
        <w:rPr>
          <w:rFonts w:ascii="黑体" w:eastAsia="黑体" w:hint="eastAsia"/>
          <w:sz w:val="21"/>
        </w:rPr>
        <w:t>元的工</w:t>
      </w:r>
      <w:r>
        <w:rPr>
          <w:rFonts w:ascii="黑体" w:eastAsia="黑体" w:hint="eastAsia"/>
          <w:spacing w:val="-5"/>
          <w:sz w:val="21"/>
        </w:rPr>
        <w:t>本</w:t>
      </w:r>
      <w:r>
        <w:rPr>
          <w:rFonts w:ascii="黑体" w:eastAsia="黑体" w:hint="eastAsia"/>
          <w:sz w:val="21"/>
        </w:rPr>
        <w:t>费后向</w:t>
      </w:r>
      <w:r>
        <w:rPr>
          <w:rFonts w:ascii="黑体" w:eastAsia="黑体" w:hint="eastAsia"/>
          <w:spacing w:val="-5"/>
          <w:sz w:val="21"/>
        </w:rPr>
        <w:t>您</w:t>
      </w:r>
      <w:r>
        <w:rPr>
          <w:rFonts w:ascii="黑体" w:eastAsia="黑体" w:hint="eastAsia"/>
          <w:sz w:val="21"/>
        </w:rPr>
        <w:t>无息退</w:t>
      </w:r>
      <w:r>
        <w:rPr>
          <w:rFonts w:ascii="黑体" w:eastAsia="黑体" w:hint="eastAsia"/>
          <w:spacing w:val="-5"/>
          <w:sz w:val="21"/>
        </w:rPr>
        <w:t>还</w:t>
      </w:r>
      <w:r>
        <w:rPr>
          <w:rFonts w:ascii="黑体" w:eastAsia="黑体" w:hint="eastAsia"/>
          <w:sz w:val="21"/>
        </w:rPr>
        <w:t>保险</w:t>
      </w:r>
      <w:r>
        <w:rPr>
          <w:rFonts w:ascii="黑体" w:eastAsia="黑体" w:hint="eastAsia"/>
          <w:spacing w:val="-5"/>
          <w:sz w:val="21"/>
        </w:rPr>
        <w:t>费</w:t>
      </w:r>
      <w:r>
        <w:rPr>
          <w:sz w:val="21"/>
        </w:rPr>
        <w:t>。</w:t>
      </w:r>
    </w:p>
    <w:p>
      <w:pPr>
        <w:pStyle w:val="BodyText"/>
        <w:spacing w:before="33"/>
        <w:ind w:left="3016"/>
        <w:rPr>
          <w:rFonts w:ascii="Microsoft JhengHei" w:eastAsia="Microsoft JhengHei" w:hint="eastAsia"/>
          <w:b/>
        </w:rPr>
      </w:pPr>
      <w:r>
        <w:rPr/>
        <w:t>解除本合同时，您须填写解除合同申请书，并提供本合同、您的</w:t>
      </w:r>
      <w:r>
        <w:rPr>
          <w:rFonts w:ascii="Microsoft JhengHei" w:eastAsia="Microsoft JhengHei" w:hint="eastAsia"/>
          <w:b/>
        </w:rPr>
        <w:t>有效身份证件</w:t>
      </w:r>
    </w:p>
    <w:p>
      <w:pPr>
        <w:pStyle w:val="BodyText"/>
        <w:spacing w:line="273" w:lineRule="auto" w:before="13"/>
        <w:ind w:left="3016" w:right="200"/>
        <w:rPr>
          <w:rFonts w:ascii="黑体" w:eastAsia="黑体" w:hint="eastAsia"/>
        </w:rPr>
      </w:pPr>
      <w:r>
        <w:rPr/>
        <w:t>（</w:t>
      </w:r>
      <w:r>
        <w:rPr>
          <w:spacing w:val="-11"/>
        </w:rPr>
        <w:t>见 </w:t>
      </w:r>
      <w:r>
        <w:rPr>
          <w:spacing w:val="-3"/>
        </w:rPr>
        <w:t>10.5）</w:t>
      </w:r>
      <w:r>
        <w:rPr>
          <w:spacing w:val="-5"/>
        </w:rPr>
        <w:t>及您所交保险费的发票。</w:t>
      </w:r>
      <w:r>
        <w:rPr>
          <w:rFonts w:ascii="黑体" w:eastAsia="黑体" w:hint="eastAsia"/>
          <w:spacing w:val="-5"/>
        </w:rPr>
        <w:t>自我们收到您的解除合同申请书时起，本合同即被解除，对于本合同解除前发</w:t>
      </w:r>
      <w:r>
        <w:rPr>
          <w:rFonts w:ascii="黑体" w:eastAsia="黑体" w:hint="eastAsia"/>
          <w:spacing w:val="-3"/>
        </w:rPr>
        <w:t>Th</w:t>
      </w:r>
      <w:r>
        <w:rPr>
          <w:rFonts w:ascii="黑体" w:eastAsia="黑体" w:hint="eastAsia"/>
          <w:spacing w:val="-5"/>
        </w:rPr>
        <w:t>的保险事故，我们不承担保险责任。</w:t>
      </w:r>
    </w:p>
    <w:p>
      <w:pPr>
        <w:pStyle w:val="BodyText"/>
        <w:spacing w:before="7"/>
        <w:rPr>
          <w:rFonts w:ascii="黑体"/>
          <w:sz w:val="15"/>
        </w:rPr>
      </w:pPr>
    </w:p>
    <w:p>
      <w:pPr>
        <w:pStyle w:val="Heading1"/>
        <w:numPr>
          <w:ilvl w:val="0"/>
          <w:numId w:val="5"/>
        </w:numPr>
        <w:tabs>
          <w:tab w:pos="1244" w:val="left" w:leader="none"/>
          <w:tab w:pos="1245" w:val="left" w:leader="none"/>
        </w:tabs>
        <w:spacing w:line="240" w:lineRule="auto" w:before="0" w:after="0"/>
        <w:ind w:left="1244" w:right="0" w:hanging="1032"/>
        <w:jc w:val="left"/>
      </w:pPr>
      <w:r>
        <w:rPr/>
        <w:pict>
          <v:group style="position:absolute;margin-left:51.119999pt;margin-top:27.673641pt;width:508.8pt;height:.5pt;mso-position-horizontal-relative:page;mso-position-vertical-relative:paragraph;z-index:1096;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我们提供的保障</w:t>
      </w:r>
    </w:p>
    <w:p>
      <w:pPr>
        <w:pStyle w:val="BodyText"/>
        <w:spacing w:before="3"/>
        <w:rPr>
          <w:rFonts w:ascii="Microsoft JhengHei"/>
          <w:b/>
          <w:sz w:val="9"/>
        </w:rPr>
      </w:pPr>
    </w:p>
    <w:p>
      <w:pPr>
        <w:pStyle w:val="ListParagraph"/>
        <w:numPr>
          <w:ilvl w:val="1"/>
          <w:numId w:val="5"/>
        </w:numPr>
        <w:tabs>
          <w:tab w:pos="1244" w:val="left" w:leader="none"/>
          <w:tab w:pos="1245" w:val="left" w:leader="none"/>
          <w:tab w:pos="3015" w:val="left" w:leader="none"/>
        </w:tabs>
        <w:spacing w:line="312" w:lineRule="exact" w:before="32" w:after="0"/>
        <w:ind w:left="3016" w:right="99" w:hanging="2804"/>
        <w:jc w:val="left"/>
        <w:rPr>
          <w:sz w:val="21"/>
        </w:rPr>
      </w:pPr>
      <w:r>
        <w:rPr>
          <w:rFonts w:ascii="Microsoft JhengHei" w:hAnsi="Microsoft JhengHei" w:eastAsia="Microsoft JhengHei" w:hint="eastAsia"/>
          <w:b/>
          <w:w w:val="100"/>
          <w:sz w:val="21"/>
        </w:rPr>
        <w:t>保险期间</w:t>
      </w:r>
      <w:r>
        <w:rPr>
          <w:rFonts w:ascii="Microsoft JhengHei" w:hAnsi="Microsoft JhengHei" w:eastAsia="Microsoft JhengHei" w:hint="eastAsia"/>
          <w:b/>
          <w:sz w:val="21"/>
        </w:rPr>
        <w:tab/>
      </w:r>
      <w:r>
        <w:rPr>
          <w:w w:val="100"/>
          <w:sz w:val="21"/>
        </w:rPr>
        <w:t>本合同的</w:t>
      </w:r>
      <w:r>
        <w:rPr>
          <w:spacing w:val="-5"/>
          <w:w w:val="100"/>
          <w:sz w:val="21"/>
        </w:rPr>
        <w:t>保</w:t>
      </w:r>
      <w:r>
        <w:rPr>
          <w:w w:val="100"/>
          <w:sz w:val="21"/>
        </w:rPr>
        <w:t>险期间</w:t>
      </w:r>
      <w:r>
        <w:rPr>
          <w:spacing w:val="-5"/>
          <w:w w:val="100"/>
          <w:sz w:val="21"/>
        </w:rPr>
        <w:t>与</w:t>
      </w:r>
      <w:r>
        <w:rPr>
          <w:w w:val="100"/>
          <w:sz w:val="21"/>
        </w:rPr>
        <w:t>本合同</w:t>
      </w:r>
      <w:r>
        <w:rPr>
          <w:spacing w:val="-5"/>
          <w:w w:val="100"/>
          <w:sz w:val="21"/>
        </w:rPr>
        <w:t>所</w:t>
      </w:r>
      <w:r>
        <w:rPr>
          <w:w w:val="100"/>
          <w:sz w:val="21"/>
        </w:rPr>
        <w:t>豁免保</w:t>
      </w:r>
      <w:r>
        <w:rPr>
          <w:spacing w:val="-5"/>
          <w:w w:val="100"/>
          <w:sz w:val="21"/>
        </w:rPr>
        <w:t>险</w:t>
      </w:r>
      <w:r>
        <w:rPr>
          <w:w w:val="100"/>
          <w:sz w:val="21"/>
        </w:rPr>
        <w:t>费的保</w:t>
      </w:r>
      <w:r>
        <w:rPr>
          <w:spacing w:val="-5"/>
          <w:w w:val="100"/>
          <w:sz w:val="21"/>
        </w:rPr>
        <w:t>险</w:t>
      </w:r>
      <w:r>
        <w:rPr>
          <w:w w:val="100"/>
          <w:sz w:val="21"/>
        </w:rPr>
        <w:t>合</w:t>
      </w:r>
      <w:r>
        <w:rPr>
          <w:spacing w:val="-101"/>
          <w:w w:val="100"/>
          <w:sz w:val="21"/>
        </w:rPr>
        <w:t>同</w:t>
      </w:r>
      <w:r>
        <w:rPr>
          <w:w w:val="100"/>
          <w:sz w:val="21"/>
        </w:rPr>
        <w:t>（以下</w:t>
      </w:r>
      <w:r>
        <w:rPr>
          <w:spacing w:val="-5"/>
          <w:w w:val="100"/>
          <w:sz w:val="21"/>
        </w:rPr>
        <w:t>简</w:t>
      </w:r>
      <w:r>
        <w:rPr>
          <w:spacing w:val="-96"/>
          <w:w w:val="100"/>
          <w:sz w:val="21"/>
        </w:rPr>
        <w:t>称</w:t>
      </w:r>
      <w:r>
        <w:rPr>
          <w:w w:val="100"/>
          <w:sz w:val="21"/>
        </w:rPr>
        <w:t>“</w:t>
      </w:r>
      <w:r>
        <w:rPr>
          <w:spacing w:val="-5"/>
          <w:w w:val="100"/>
          <w:sz w:val="21"/>
        </w:rPr>
        <w:t>被</w:t>
      </w:r>
      <w:r>
        <w:rPr>
          <w:w w:val="100"/>
          <w:sz w:val="21"/>
        </w:rPr>
        <w:t>豁免合</w:t>
      </w:r>
      <w:r>
        <w:rPr>
          <w:spacing w:val="-5"/>
          <w:w w:val="100"/>
          <w:sz w:val="21"/>
        </w:rPr>
        <w:t>同</w:t>
      </w:r>
      <w:r>
        <w:rPr>
          <w:spacing w:val="-106"/>
          <w:w w:val="100"/>
          <w:sz w:val="21"/>
        </w:rPr>
        <w:t>”</w:t>
      </w:r>
      <w:r>
        <w:rPr>
          <w:w w:val="100"/>
          <w:sz w:val="21"/>
        </w:rPr>
        <w:t>）</w:t>
      </w:r>
      <w:r>
        <w:rPr>
          <w:sz w:val="21"/>
        </w:rPr>
        <w:t>的交费期</w:t>
      </w:r>
      <w:r>
        <w:rPr>
          <w:spacing w:val="-5"/>
          <w:sz w:val="21"/>
        </w:rPr>
        <w:t>间</w:t>
      </w:r>
      <w:r>
        <w:rPr>
          <w:sz w:val="21"/>
        </w:rPr>
        <w:t>相同，</w:t>
      </w:r>
      <w:r>
        <w:rPr>
          <w:spacing w:val="-5"/>
          <w:sz w:val="21"/>
        </w:rPr>
        <w:t>并</w:t>
      </w:r>
      <w:r>
        <w:rPr>
          <w:sz w:val="21"/>
        </w:rPr>
        <w:t>在保险</w:t>
      </w:r>
      <w:r>
        <w:rPr>
          <w:spacing w:val="-5"/>
          <w:sz w:val="21"/>
        </w:rPr>
        <w:t>单</w:t>
      </w:r>
      <w:r>
        <w:rPr>
          <w:sz w:val="21"/>
        </w:rPr>
        <w:t>上载明。</w:t>
      </w:r>
    </w:p>
    <w:p>
      <w:pPr>
        <w:pStyle w:val="BodyText"/>
        <w:spacing w:before="3"/>
        <w:rPr>
          <w:sz w:val="14"/>
        </w:rPr>
      </w:pPr>
    </w:p>
    <w:p>
      <w:pPr>
        <w:pStyle w:val="ListParagraph"/>
        <w:numPr>
          <w:ilvl w:val="1"/>
          <w:numId w:val="5"/>
        </w:numPr>
        <w:tabs>
          <w:tab w:pos="1244" w:val="left" w:leader="none"/>
          <w:tab w:pos="1245" w:val="left" w:leader="none"/>
          <w:tab w:pos="3015" w:val="left" w:leader="none"/>
        </w:tabs>
        <w:spacing w:line="240" w:lineRule="auto" w:before="1" w:after="0"/>
        <w:ind w:left="3016" w:right="0" w:hanging="2804"/>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line="218" w:lineRule="auto" w:before="115"/>
        <w:ind w:left="3016" w:right="200"/>
      </w:pPr>
      <w:r>
        <w:rPr>
          <w:rFonts w:ascii="黑体" w:eastAsia="黑体" w:hint="eastAsia"/>
          <w:spacing w:val="-5"/>
        </w:rPr>
        <w:t>自我们收到首次保险费的次日零时起 </w:t>
      </w:r>
      <w:r>
        <w:rPr>
          <w:rFonts w:ascii="黑体" w:eastAsia="黑体" w:hint="eastAsia"/>
        </w:rPr>
        <w:t>90</w:t>
      </w:r>
      <w:r>
        <w:rPr>
          <w:rFonts w:ascii="黑体" w:eastAsia="黑体" w:hint="eastAsia"/>
          <w:spacing w:val="-30"/>
        </w:rPr>
        <w:t> 日内</w:t>
      </w:r>
      <w:r>
        <w:rPr>
          <w:rFonts w:ascii="黑体" w:eastAsia="黑体" w:hint="eastAsia"/>
        </w:rPr>
        <w:t>（</w:t>
      </w:r>
      <w:r>
        <w:rPr>
          <w:rFonts w:ascii="黑体" w:eastAsia="黑体" w:hint="eastAsia"/>
          <w:spacing w:val="-8"/>
        </w:rPr>
        <w:t>若曾复效，则自本合同最后复效</w:t>
      </w:r>
      <w:r>
        <w:rPr>
          <w:rFonts w:ascii="黑体" w:eastAsia="黑体" w:hint="eastAsia"/>
          <w:spacing w:val="2"/>
        </w:rPr>
        <w:t>之日起</w:t>
      </w:r>
      <w:r>
        <w:rPr>
          <w:rFonts w:ascii="黑体" w:eastAsia="黑体" w:hint="eastAsia"/>
        </w:rPr>
        <w:t>90</w:t>
      </w:r>
      <w:r>
        <w:rPr>
          <w:rFonts w:ascii="黑体" w:eastAsia="黑体" w:hint="eastAsia"/>
          <w:spacing w:val="-16"/>
        </w:rPr>
        <w:t> 日内</w:t>
      </w:r>
      <w:r>
        <w:rPr>
          <w:rFonts w:ascii="黑体" w:eastAsia="黑体" w:hint="eastAsia"/>
          <w:spacing w:val="-106"/>
        </w:rPr>
        <w:t>）</w:t>
      </w:r>
      <w:r>
        <w:rPr>
          <w:spacing w:val="-21"/>
        </w:rPr>
        <w:t>，被保险人经</w:t>
      </w:r>
      <w:r>
        <w:rPr>
          <w:rFonts w:ascii="Microsoft JhengHei" w:eastAsia="Microsoft JhengHei" w:hint="eastAsia"/>
          <w:b/>
        </w:rPr>
        <w:t>医院</w:t>
      </w:r>
      <w:r>
        <w:rPr>
          <w:spacing w:val="12"/>
        </w:rPr>
        <w:t>(见</w:t>
      </w:r>
      <w:r>
        <w:rPr/>
        <w:t>10.6)</w:t>
      </w:r>
      <w:r>
        <w:rPr>
          <w:rFonts w:ascii="Microsoft JhengHei" w:eastAsia="Microsoft JhengHei" w:hint="eastAsia"/>
          <w:b/>
        </w:rPr>
        <w:t>初次确诊</w:t>
      </w:r>
      <w:r>
        <w:rPr>
          <w:spacing w:val="10"/>
        </w:rPr>
        <w:t>(见</w:t>
      </w:r>
      <w:r>
        <w:rPr/>
        <w:t>10.7)</w:t>
      </w:r>
      <w:r>
        <w:rPr>
          <w:spacing w:val="-5"/>
        </w:rPr>
        <w:t>非因</w:t>
      </w:r>
      <w:r>
        <w:rPr>
          <w:rFonts w:ascii="Microsoft JhengHei" w:eastAsia="Microsoft JhengHei" w:hint="eastAsia"/>
          <w:b/>
        </w:rPr>
        <w:t>意外伤害</w:t>
      </w:r>
      <w:r>
        <w:rPr/>
        <w:t>(见</w:t>
      </w:r>
    </w:p>
    <w:p>
      <w:pPr>
        <w:pStyle w:val="BodyText"/>
        <w:spacing w:line="273" w:lineRule="auto" w:before="13"/>
        <w:ind w:left="3016" w:right="219"/>
        <w:rPr>
          <w:rFonts w:ascii="黑体" w:eastAsia="黑体" w:hint="eastAsia"/>
        </w:rPr>
      </w:pPr>
      <w:r>
        <w:rPr>
          <w:w w:val="100"/>
        </w:rPr>
        <w:t>10.8)</w:t>
      </w:r>
      <w:r>
        <w:rPr>
          <w:spacing w:val="-5"/>
          <w:w w:val="100"/>
        </w:rPr>
        <w:t>导致罹患本合同所定义的重大疾病</w:t>
      </w:r>
      <w:r>
        <w:rPr>
          <w:w w:val="100"/>
        </w:rPr>
        <w:t>（</w:t>
      </w:r>
      <w:r>
        <w:rPr>
          <w:spacing w:val="-3"/>
          <w:w w:val="100"/>
        </w:rPr>
        <w:t>无论一种或者多种</w:t>
      </w:r>
      <w:r>
        <w:rPr>
          <w:spacing w:val="-106"/>
          <w:w w:val="100"/>
        </w:rPr>
        <w:t>）</w:t>
      </w:r>
      <w:r>
        <w:rPr>
          <w:spacing w:val="-5"/>
          <w:w w:val="100"/>
        </w:rPr>
        <w:t>，</w:t>
      </w:r>
      <w:r>
        <w:rPr>
          <w:rFonts w:ascii="黑体" w:eastAsia="黑体" w:hint="eastAsia"/>
          <w:spacing w:val="-2"/>
          <w:w w:val="100"/>
        </w:rPr>
        <w:t>我们向您无息</w:t>
      </w:r>
      <w:r>
        <w:rPr>
          <w:rFonts w:ascii="黑体" w:eastAsia="黑体" w:hint="eastAsia"/>
          <w:spacing w:val="-5"/>
        </w:rPr>
        <w:t>退还累计已交纳的本合同的保险费，本合同终止。</w:t>
      </w:r>
    </w:p>
    <w:p>
      <w:pPr>
        <w:pStyle w:val="BodyText"/>
        <w:spacing w:before="89"/>
        <w:ind w:left="3016"/>
      </w:pPr>
      <w:r>
        <w:rPr/>
        <w:t>被保险人经医院初次确诊因意外伤害导致罹患本合同所定义的重大疾病（无论</w:t>
      </w:r>
    </w:p>
    <w:p>
      <w:pPr>
        <w:spacing w:after="0"/>
        <w:sectPr>
          <w:pgSz w:w="11900" w:h="16840"/>
          <w:pgMar w:top="1160" w:bottom="280" w:left="920" w:right="600"/>
        </w:sectPr>
      </w:pPr>
    </w:p>
    <w:p>
      <w:pPr>
        <w:pStyle w:val="BodyText"/>
        <w:spacing w:before="19"/>
        <w:ind w:left="3016"/>
      </w:pPr>
      <w:r>
        <w:rPr>
          <w:spacing w:val="-1"/>
        </w:rPr>
        <w:t>一种或者多种</w:t>
      </w:r>
      <w:r>
        <w:rPr>
          <w:spacing w:val="-77"/>
        </w:rPr>
        <w:t>）</w:t>
      </w:r>
      <w:r>
        <w:rPr>
          <w:spacing w:val="-12"/>
        </w:rPr>
        <w:t>，或者自我们收到首次保险费的次日零时起 </w:t>
      </w:r>
      <w:r>
        <w:rPr/>
        <w:t>90</w:t>
      </w:r>
      <w:r>
        <w:rPr>
          <w:spacing w:val="-28"/>
        </w:rPr>
        <w:t> 日后</w:t>
      </w:r>
      <w:r>
        <w:rPr/>
        <w:t>（</w:t>
      </w:r>
      <w:r>
        <w:rPr>
          <w:spacing w:val="-2"/>
        </w:rPr>
        <w:t>若曾复效，</w:t>
      </w:r>
    </w:p>
    <w:p>
      <w:pPr>
        <w:pStyle w:val="BodyText"/>
        <w:spacing w:line="273" w:lineRule="auto" w:before="36"/>
        <w:ind w:left="3016" w:right="225"/>
        <w:jc w:val="both"/>
      </w:pPr>
      <w:r>
        <w:rPr>
          <w:spacing w:val="-2"/>
          <w:w w:val="100"/>
        </w:rPr>
        <w:t>则自本合同最后复效之日起</w:t>
      </w:r>
      <w:r>
        <w:rPr>
          <w:spacing w:val="-53"/>
        </w:rPr>
        <w:t> </w:t>
      </w:r>
      <w:r>
        <w:rPr>
          <w:w w:val="100"/>
        </w:rPr>
        <w:t>90</w:t>
      </w:r>
      <w:r>
        <w:rPr>
          <w:spacing w:val="-57"/>
        </w:rPr>
        <w:t> </w:t>
      </w:r>
      <w:r>
        <w:rPr>
          <w:w w:val="100"/>
        </w:rPr>
        <w:t>日后</w:t>
      </w:r>
      <w:r>
        <w:rPr>
          <w:spacing w:val="-106"/>
          <w:w w:val="100"/>
        </w:rPr>
        <w:t>）</w:t>
      </w:r>
      <w:r>
        <w:rPr>
          <w:spacing w:val="-5"/>
          <w:w w:val="100"/>
        </w:rPr>
        <w:t>，经医院初次确诊非因意外伤害导致罹患</w:t>
      </w:r>
      <w:r>
        <w:rPr>
          <w:spacing w:val="-9"/>
        </w:rPr>
        <w:t>本合同所定义的重大疾病</w:t>
      </w:r>
      <w:r>
        <w:rPr>
          <w:spacing w:val="-5"/>
        </w:rPr>
        <w:t>（</w:t>
      </w:r>
      <w:r>
        <w:rPr>
          <w:spacing w:val="-3"/>
        </w:rPr>
        <w:t>无论一种或者多种</w:t>
      </w:r>
      <w:r>
        <w:rPr>
          <w:spacing w:val="-78"/>
        </w:rPr>
        <w:t>）</w:t>
      </w:r>
      <w:r>
        <w:rPr>
          <w:spacing w:val="-10"/>
        </w:rPr>
        <w:t>，则自确诊日后首个被豁免合同</w:t>
      </w:r>
      <w:r>
        <w:rPr>
          <w:spacing w:val="-7"/>
        </w:rPr>
        <w:t>的保险费约定交纳日开始，至被豁免合同最后一次保险费约定交纳日止，我们</w:t>
      </w:r>
      <w:r>
        <w:rPr>
          <w:spacing w:val="-6"/>
        </w:rPr>
        <w:t>豁免前述期间内被豁免合同投保人应交纳的被豁免合同的保险费。我们视豁免</w:t>
      </w:r>
      <w:r>
        <w:rPr>
          <w:spacing w:val="-5"/>
        </w:rPr>
        <w:t>的保险费为前述投保人已交纳的保险费，本合同终止。</w:t>
      </w:r>
    </w:p>
    <w:p>
      <w:pPr>
        <w:pStyle w:val="BodyText"/>
        <w:spacing w:before="88"/>
        <w:ind w:left="3016"/>
        <w:rPr>
          <w:rFonts w:ascii="黑体" w:eastAsia="黑体" w:hint="eastAsia"/>
        </w:rPr>
      </w:pPr>
      <w:r>
        <w:rPr>
          <w:rFonts w:ascii="黑体" w:eastAsia="黑体" w:hint="eastAsia"/>
        </w:rPr>
        <w:t>被豁免合同在保险单上载明。</w:t>
      </w:r>
    </w:p>
    <w:p>
      <w:pPr>
        <w:pStyle w:val="BodyText"/>
        <w:ind w:left="3016"/>
        <w:rPr>
          <w:rFonts w:ascii="黑体" w:hAnsi="黑体" w:eastAsia="黑体" w:hint="eastAsia"/>
        </w:rPr>
      </w:pPr>
      <w:r>
        <w:rPr>
          <w:rFonts w:ascii="黑体" w:hAnsi="黑体" w:eastAsia="黑体" w:hint="eastAsia"/>
        </w:rPr>
        <w:t>本合同定义的重大疾病载明于本合同“9.重大疾病定义”。</w:t>
      </w:r>
    </w:p>
    <w:p>
      <w:pPr>
        <w:pStyle w:val="BodyText"/>
        <w:spacing w:before="118"/>
        <w:ind w:left="3016"/>
        <w:rPr>
          <w:rFonts w:ascii="黑体" w:eastAsia="黑体" w:hint="eastAsia"/>
        </w:rPr>
      </w:pPr>
      <w:r>
        <w:rPr>
          <w:rFonts w:ascii="黑体" w:eastAsia="黑体" w:hint="eastAsia"/>
        </w:rPr>
        <w:t>保险费豁免开始后，我们将不接受关于保险费交费方式的变更申请。</w:t>
      </w:r>
    </w:p>
    <w:p>
      <w:pPr>
        <w:pStyle w:val="BodyText"/>
        <w:spacing w:before="5"/>
        <w:rPr>
          <w:rFonts w:ascii="黑体"/>
          <w:sz w:val="16"/>
        </w:rPr>
      </w:pPr>
    </w:p>
    <w:p>
      <w:pPr>
        <w:pStyle w:val="ListParagraph"/>
        <w:numPr>
          <w:ilvl w:val="1"/>
          <w:numId w:val="5"/>
        </w:numPr>
        <w:tabs>
          <w:tab w:pos="1244" w:val="left" w:leader="none"/>
          <w:tab w:pos="1245" w:val="left" w:leader="none"/>
          <w:tab w:pos="3015" w:val="left" w:leader="none"/>
        </w:tabs>
        <w:spacing w:line="249" w:lineRule="auto" w:before="0" w:after="0"/>
        <w:ind w:left="3016" w:right="239" w:hanging="280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合</w:t>
      </w:r>
      <w:r>
        <w:rPr>
          <w:rFonts w:ascii="黑体" w:eastAsia="黑体" w:hint="eastAsia"/>
          <w:sz w:val="21"/>
        </w:rPr>
        <w:t>同定义</w:t>
      </w:r>
      <w:r>
        <w:rPr>
          <w:rFonts w:ascii="黑体" w:eastAsia="黑体" w:hint="eastAsia"/>
          <w:spacing w:val="-5"/>
          <w:sz w:val="21"/>
        </w:rPr>
        <w:t>的</w:t>
      </w:r>
      <w:r>
        <w:rPr>
          <w:rFonts w:ascii="黑体" w:eastAsia="黑体" w:hint="eastAsia"/>
          <w:sz w:val="21"/>
        </w:rPr>
        <w:t>重</w:t>
      </w:r>
      <w:r>
        <w:rPr>
          <w:rFonts w:ascii="黑体" w:eastAsia="黑体" w:hint="eastAsia"/>
          <w:spacing w:val="-5"/>
          <w:sz w:val="21"/>
        </w:rPr>
        <w:t>大</w:t>
      </w:r>
      <w:r>
        <w:rPr>
          <w:rFonts w:ascii="黑体" w:eastAsia="黑体" w:hint="eastAsia"/>
          <w:sz w:val="21"/>
        </w:rPr>
        <w:t>疾病的，</w:t>
      </w:r>
      <w:r>
        <w:rPr>
          <w:rFonts w:ascii="黑体" w:eastAsia="黑体" w:hint="eastAsia"/>
          <w:spacing w:val="-5"/>
          <w:sz w:val="21"/>
        </w:rPr>
        <w:t>我</w:t>
      </w:r>
      <w:r>
        <w:rPr>
          <w:rFonts w:ascii="黑体" w:eastAsia="黑体" w:hint="eastAsia"/>
          <w:sz w:val="21"/>
        </w:rPr>
        <w:t>们不承</w:t>
      </w:r>
      <w:r>
        <w:rPr>
          <w:rFonts w:ascii="黑体" w:eastAsia="黑体" w:hint="eastAsia"/>
          <w:spacing w:val="-5"/>
          <w:sz w:val="21"/>
        </w:rPr>
        <w:t>担</w:t>
      </w:r>
      <w:r>
        <w:rPr>
          <w:rFonts w:ascii="黑体" w:eastAsia="黑体" w:hint="eastAsia"/>
          <w:sz w:val="21"/>
        </w:rPr>
        <w:t>豁免 </w:t>
      </w:r>
      <w:r>
        <w:rPr>
          <w:rFonts w:ascii="黑体" w:eastAsia="黑体" w:hint="eastAsia"/>
          <w:spacing w:val="-1"/>
          <w:sz w:val="21"/>
        </w:rPr>
        <w:t>保</w:t>
      </w:r>
      <w:r>
        <w:rPr>
          <w:rFonts w:ascii="黑体" w:eastAsia="黑体" w:hint="eastAsia"/>
          <w:sz w:val="21"/>
        </w:rPr>
        <w:t>险费的</w:t>
      </w:r>
      <w:r>
        <w:rPr>
          <w:rFonts w:ascii="黑体" w:eastAsia="黑体" w:hint="eastAsia"/>
          <w:spacing w:val="-5"/>
          <w:sz w:val="21"/>
        </w:rPr>
        <w:t>责</w:t>
      </w:r>
      <w:r>
        <w:rPr>
          <w:rFonts w:ascii="黑体" w:eastAsia="黑体" w:hint="eastAsia"/>
          <w:sz w:val="21"/>
        </w:rPr>
        <w:t>任：</w:t>
      </w:r>
    </w:p>
    <w:p>
      <w:pPr>
        <w:pStyle w:val="ListParagraph"/>
        <w:numPr>
          <w:ilvl w:val="2"/>
          <w:numId w:val="5"/>
        </w:numPr>
        <w:tabs>
          <w:tab w:pos="3750" w:val="left" w:leader="none"/>
          <w:tab w:pos="3751" w:val="left" w:leader="none"/>
        </w:tabs>
        <w:spacing w:line="240" w:lineRule="auto" w:before="110" w:after="0"/>
        <w:ind w:left="3750" w:right="0" w:hanging="7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5"/>
        </w:numPr>
        <w:tabs>
          <w:tab w:pos="3750" w:val="left" w:leader="none"/>
          <w:tab w:pos="3751" w:val="left" w:leader="none"/>
        </w:tabs>
        <w:spacing w:line="240" w:lineRule="auto" w:before="114" w:after="0"/>
        <w:ind w:left="3750" w:right="0" w:hanging="7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5"/>
        </w:numPr>
        <w:tabs>
          <w:tab w:pos="3750" w:val="left" w:leader="none"/>
          <w:tab w:pos="3751" w:val="left" w:leader="none"/>
        </w:tabs>
        <w:spacing w:line="240" w:lineRule="auto" w:before="47" w:after="0"/>
        <w:ind w:left="3750" w:right="0" w:hanging="734"/>
        <w:jc w:val="left"/>
        <w:rPr>
          <w:rFonts w:ascii="黑体" w:eastAsia="黑体" w:hint="eastAsia"/>
          <w:sz w:val="21"/>
        </w:rPr>
      </w:pPr>
      <w:r>
        <w:rPr>
          <w:rFonts w:ascii="黑体" w:eastAsia="黑体" w:hint="eastAsia"/>
          <w:spacing w:val="-3"/>
          <w:sz w:val="21"/>
        </w:rPr>
        <w:t>被保险人主动吸食或者注射</w:t>
      </w:r>
      <w:r>
        <w:rPr>
          <w:rFonts w:ascii="Microsoft JhengHei" w:eastAsia="Microsoft JhengHei" w:hint="eastAsia"/>
          <w:b/>
          <w:spacing w:val="0"/>
          <w:sz w:val="21"/>
        </w:rPr>
        <w:t>毒品</w:t>
      </w:r>
      <w:r>
        <w:rPr>
          <w:rFonts w:ascii="黑体" w:eastAsia="黑体" w:hint="eastAsia"/>
          <w:spacing w:val="-15"/>
          <w:sz w:val="21"/>
        </w:rPr>
        <w:t>(见 </w:t>
      </w:r>
      <w:r>
        <w:rPr>
          <w:rFonts w:ascii="黑体" w:eastAsia="黑体" w:hint="eastAsia"/>
          <w:sz w:val="21"/>
        </w:rPr>
        <w:t>10.9)；</w:t>
      </w:r>
    </w:p>
    <w:p>
      <w:pPr>
        <w:pStyle w:val="ListParagraph"/>
        <w:numPr>
          <w:ilvl w:val="2"/>
          <w:numId w:val="5"/>
        </w:numPr>
        <w:tabs>
          <w:tab w:pos="3750" w:val="left" w:leader="none"/>
          <w:tab w:pos="3751" w:val="left" w:leader="none"/>
        </w:tabs>
        <w:spacing w:line="204" w:lineRule="auto" w:before="78" w:after="0"/>
        <w:ind w:left="3750" w:right="230"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6"/>
          <w:sz w:val="21"/>
        </w:rPr>
        <w:t>(见 </w:t>
      </w:r>
      <w:r>
        <w:rPr>
          <w:rFonts w:ascii="黑体" w:eastAsia="黑体" w:hint="eastAsia"/>
          <w:sz w:val="21"/>
        </w:rPr>
        <w:t>10.10</w:t>
      </w:r>
      <w:r>
        <w:rPr>
          <w:rFonts w:ascii="黑体" w:eastAsia="黑体" w:hint="eastAsia"/>
          <w:spacing w:val="-3"/>
          <w:sz w:val="21"/>
        </w:rPr>
        <w:t>)、</w:t>
      </w:r>
      <w:r>
        <w:rPr>
          <w:rFonts w:ascii="Microsoft JhengHei" w:eastAsia="Microsoft JhengHei" w:hint="eastAsia"/>
          <w:b/>
          <w:spacing w:val="-1"/>
          <w:sz w:val="21"/>
        </w:rPr>
        <w:t>无合法有效驾驶证驾驶</w:t>
      </w:r>
      <w:r>
        <w:rPr>
          <w:rFonts w:ascii="黑体" w:eastAsia="黑体" w:hint="eastAsia"/>
          <w:spacing w:val="-16"/>
          <w:sz w:val="21"/>
        </w:rPr>
        <w:t>(见 </w:t>
      </w:r>
      <w:r>
        <w:rPr>
          <w:rFonts w:ascii="黑体" w:eastAsia="黑体" w:hint="eastAsia"/>
          <w:sz w:val="21"/>
        </w:rPr>
        <w:t>10.11)，或</w:t>
      </w:r>
      <w:r>
        <w:rPr>
          <w:rFonts w:ascii="黑体" w:eastAsia="黑体" w:hint="eastAsia"/>
          <w:spacing w:val="-2"/>
          <w:sz w:val="21"/>
        </w:rPr>
        <w:t>者驾驶</w:t>
      </w:r>
      <w:r>
        <w:rPr>
          <w:rFonts w:ascii="Microsoft JhengHei" w:eastAsia="Microsoft JhengHei" w:hint="eastAsia"/>
          <w:b/>
          <w:sz w:val="21"/>
        </w:rPr>
        <w:t>无合法有效行驶证</w:t>
      </w:r>
      <w:r>
        <w:rPr>
          <w:rFonts w:ascii="黑体" w:eastAsia="黑体" w:hint="eastAsia"/>
          <w:spacing w:val="-15"/>
          <w:sz w:val="21"/>
        </w:rPr>
        <w:t>(见 </w:t>
      </w:r>
      <w:r>
        <w:rPr>
          <w:rFonts w:ascii="黑体" w:eastAsia="黑体" w:hint="eastAsia"/>
          <w:sz w:val="21"/>
        </w:rPr>
        <w:t>10.12</w:t>
      </w:r>
      <w:r>
        <w:rPr>
          <w:rFonts w:ascii="黑体" w:eastAsia="黑体" w:hint="eastAsia"/>
          <w:spacing w:val="-3"/>
          <w:sz w:val="21"/>
        </w:rPr>
        <w:t>)的</w:t>
      </w:r>
      <w:r>
        <w:rPr>
          <w:rFonts w:ascii="Microsoft JhengHei" w:eastAsia="Microsoft JhengHei" w:hint="eastAsia"/>
          <w:b/>
          <w:sz w:val="21"/>
        </w:rPr>
        <w:t>机动车</w:t>
      </w:r>
      <w:r>
        <w:rPr>
          <w:rFonts w:ascii="黑体" w:eastAsia="黑体" w:hint="eastAsia"/>
          <w:spacing w:val="-17"/>
          <w:sz w:val="21"/>
        </w:rPr>
        <w:t>(见 </w:t>
      </w:r>
      <w:r>
        <w:rPr>
          <w:rFonts w:ascii="黑体" w:eastAsia="黑体" w:hint="eastAsia"/>
          <w:sz w:val="21"/>
        </w:rPr>
        <w:t>10.13)；</w:t>
      </w:r>
    </w:p>
    <w:p>
      <w:pPr>
        <w:pStyle w:val="ListParagraph"/>
        <w:numPr>
          <w:ilvl w:val="2"/>
          <w:numId w:val="5"/>
        </w:numPr>
        <w:tabs>
          <w:tab w:pos="3750" w:val="left" w:leader="none"/>
          <w:tab w:pos="3751" w:val="left" w:leader="none"/>
        </w:tabs>
        <w:spacing w:line="244" w:lineRule="auto" w:before="28" w:after="0"/>
        <w:ind w:left="3750" w:right="225" w:hanging="734"/>
        <w:jc w:val="left"/>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spacing w:val="-5"/>
          <w:w w:val="100"/>
          <w:sz w:val="21"/>
        </w:rPr>
        <w:t>感染艾滋病病毒或者患艾滋病</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5"/>
          <w:w w:val="100"/>
          <w:sz w:val="21"/>
        </w:rPr>
        <w:t>1</w:t>
      </w:r>
      <w:r>
        <w:rPr>
          <w:rFonts w:ascii="黑体" w:hAnsi="黑体" w:eastAsia="黑体" w:hint="eastAsia"/>
          <w:spacing w:val="-1"/>
          <w:w w:val="100"/>
          <w:sz w:val="21"/>
        </w:rPr>
        <w:t>0</w:t>
      </w:r>
      <w:r>
        <w:rPr>
          <w:rFonts w:ascii="黑体" w:hAnsi="黑体" w:eastAsia="黑体" w:hint="eastAsia"/>
          <w:w w:val="100"/>
          <w:sz w:val="21"/>
        </w:rPr>
        <w:t>.14</w:t>
      </w:r>
      <w:r>
        <w:rPr>
          <w:rFonts w:ascii="黑体" w:hAnsi="黑体" w:eastAsia="黑体" w:hint="eastAsia"/>
          <w:spacing w:val="-159"/>
          <w:w w:val="100"/>
          <w:sz w:val="21"/>
        </w:rPr>
        <w:t>）</w:t>
      </w:r>
      <w:r>
        <w:rPr>
          <w:rFonts w:ascii="黑体" w:hAnsi="黑体" w:eastAsia="黑体" w:hint="eastAsia"/>
          <w:spacing w:val="-5"/>
          <w:w w:val="100"/>
          <w:sz w:val="21"/>
        </w:rPr>
        <w:t>（</w:t>
      </w:r>
      <w:r>
        <w:rPr>
          <w:rFonts w:ascii="黑体" w:hAnsi="黑体" w:eastAsia="黑体" w:hint="eastAsia"/>
          <w:spacing w:val="-8"/>
          <w:w w:val="100"/>
          <w:sz w:val="21"/>
        </w:rPr>
        <w:t>但符合本合同“经</w:t>
      </w:r>
      <w:r>
        <w:rPr>
          <w:rFonts w:ascii="黑体" w:hAnsi="黑体" w:eastAsia="黑体" w:hint="eastAsia"/>
          <w:spacing w:val="-6"/>
          <w:w w:val="100"/>
          <w:sz w:val="21"/>
        </w:rPr>
        <w:t>输血导致的感染艾滋病病毒或者患艾滋病”定义的不在此限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5"/>
        </w:numPr>
        <w:tabs>
          <w:tab w:pos="3750" w:val="left" w:leader="none"/>
          <w:tab w:pos="3751" w:val="left" w:leader="none"/>
        </w:tabs>
        <w:spacing w:line="240" w:lineRule="auto" w:before="114" w:after="0"/>
        <w:ind w:left="3750" w:right="0" w:hanging="734"/>
        <w:jc w:val="left"/>
        <w:rPr>
          <w:rFonts w:ascii="黑体" w:eastAsia="黑体" w:hint="eastAsia"/>
          <w:sz w:val="21"/>
        </w:rPr>
      </w:pPr>
      <w:r>
        <w:rPr>
          <w:rFonts w:ascii="黑体" w:eastAsia="黑体" w:hint="eastAsia"/>
          <w:spacing w:val="-4"/>
          <w:sz w:val="21"/>
        </w:rPr>
        <w:t>战争、军事冲突、暴乱或者武装叛乱；</w:t>
      </w:r>
    </w:p>
    <w:p>
      <w:pPr>
        <w:pStyle w:val="ListParagraph"/>
        <w:numPr>
          <w:ilvl w:val="2"/>
          <w:numId w:val="5"/>
        </w:numPr>
        <w:tabs>
          <w:tab w:pos="3750" w:val="left" w:leader="none"/>
          <w:tab w:pos="3751" w:val="left" w:leader="none"/>
        </w:tabs>
        <w:spacing w:line="240" w:lineRule="auto" w:before="113" w:after="0"/>
        <w:ind w:left="3750" w:right="0" w:hanging="734"/>
        <w:jc w:val="left"/>
        <w:rPr>
          <w:rFonts w:ascii="黑体" w:eastAsia="黑体" w:hint="eastAsia"/>
          <w:sz w:val="21"/>
        </w:rPr>
      </w:pPr>
      <w:r>
        <w:rPr>
          <w:rFonts w:ascii="黑体" w:eastAsia="黑体" w:hint="eastAsia"/>
          <w:spacing w:val="-3"/>
          <w:sz w:val="21"/>
        </w:rPr>
        <w:t>核爆炸、核辐射或者核污染；</w:t>
      </w:r>
    </w:p>
    <w:p>
      <w:pPr>
        <w:pStyle w:val="ListParagraph"/>
        <w:numPr>
          <w:ilvl w:val="2"/>
          <w:numId w:val="5"/>
        </w:numPr>
        <w:tabs>
          <w:tab w:pos="3750" w:val="left" w:leader="none"/>
          <w:tab w:pos="3751" w:val="left" w:leader="none"/>
        </w:tabs>
        <w:spacing w:line="240" w:lineRule="auto" w:before="46" w:after="0"/>
        <w:ind w:left="3750" w:right="0" w:hanging="734"/>
        <w:jc w:val="left"/>
        <w:rPr>
          <w:rFonts w:ascii="黑体" w:eastAsia="黑体" w:hint="eastAsia"/>
          <w:sz w:val="21"/>
        </w:rPr>
      </w:pPr>
      <w:r>
        <w:rPr>
          <w:rFonts w:ascii="Microsoft JhengHei" w:eastAsia="Microsoft JhengHei" w:hint="eastAsia"/>
          <w:b/>
          <w:sz w:val="21"/>
        </w:rPr>
        <w:t>遗传性疾病</w:t>
      </w:r>
      <w:r>
        <w:rPr>
          <w:rFonts w:ascii="黑体" w:eastAsia="黑体" w:hint="eastAsia"/>
          <w:spacing w:val="-13"/>
          <w:sz w:val="21"/>
        </w:rPr>
        <w:t>(见 </w:t>
      </w:r>
      <w:r>
        <w:rPr>
          <w:rFonts w:ascii="黑体" w:eastAsia="黑体" w:hint="eastAsia"/>
          <w:spacing w:val="-9"/>
          <w:sz w:val="21"/>
        </w:rPr>
        <w:t>10.15)，</w:t>
      </w:r>
      <w:r>
        <w:rPr>
          <w:rFonts w:ascii="Microsoft JhengHei" w:eastAsia="Microsoft JhengHei" w:hint="eastAsia"/>
          <w:b/>
          <w:spacing w:val="-7"/>
          <w:sz w:val="21"/>
        </w:rPr>
        <w:t>先天性畸形、变形或者染色体异常</w:t>
      </w:r>
      <w:r>
        <w:rPr>
          <w:rFonts w:ascii="黑体" w:eastAsia="黑体" w:hint="eastAsia"/>
          <w:spacing w:val="-15"/>
          <w:sz w:val="21"/>
        </w:rPr>
        <w:t>(见 </w:t>
      </w:r>
      <w:r>
        <w:rPr>
          <w:rFonts w:ascii="黑体" w:eastAsia="黑体" w:hint="eastAsia"/>
          <w:sz w:val="21"/>
        </w:rPr>
        <w:t>10.16)。</w:t>
      </w:r>
    </w:p>
    <w:p>
      <w:pPr>
        <w:pStyle w:val="BodyText"/>
        <w:spacing w:line="216" w:lineRule="auto" w:before="122"/>
        <w:ind w:left="3016" w:right="114"/>
        <w:rPr>
          <w:rFonts w:ascii="黑体" w:eastAsia="黑体" w:hint="eastAsia"/>
        </w:rPr>
      </w:pPr>
      <w:r>
        <w:rPr>
          <w:rFonts w:ascii="黑体" w:eastAsia="黑体" w:hint="eastAsia"/>
          <w:spacing w:val="-17"/>
        </w:rPr>
        <w:t>因上述第</w:t>
      </w:r>
      <w:r>
        <w:rPr>
          <w:rFonts w:ascii="黑体" w:eastAsia="黑体" w:hint="eastAsia"/>
          <w:spacing w:val="-23"/>
        </w:rPr>
        <w:t>（1）</w:t>
      </w:r>
      <w:r>
        <w:rPr>
          <w:rFonts w:ascii="黑体" w:eastAsia="黑体" w:hint="eastAsia"/>
          <w:spacing w:val="-4"/>
        </w:rPr>
        <w:t>项情形导致被保险人发</w:t>
      </w:r>
      <w:r>
        <w:rPr>
          <w:rFonts w:ascii="黑体" w:eastAsia="黑体" w:hint="eastAsia"/>
        </w:rPr>
        <w:t>Th</w:t>
      </w:r>
      <w:r>
        <w:rPr>
          <w:rFonts w:ascii="黑体" w:eastAsia="黑体" w:hint="eastAsia"/>
          <w:spacing w:val="-9"/>
        </w:rPr>
        <w:t>本合同定义的重大疾病的，本合同终止， </w:t>
      </w:r>
      <w:r>
        <w:rPr>
          <w:rFonts w:ascii="黑体" w:eastAsia="黑体" w:hint="eastAsia"/>
          <w:spacing w:val="-7"/>
          <w:w w:val="100"/>
        </w:rPr>
        <w:t>我们向被保险人给付本合同终止之日的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7"/>
        </w:rPr>
        <w:t> </w:t>
      </w:r>
      <w:r>
        <w:rPr>
          <w:rFonts w:ascii="黑体" w:eastAsia="黑体" w:hint="eastAsia"/>
          <w:w w:val="100"/>
        </w:rPr>
        <w:t>10.17</w:t>
      </w:r>
      <w:r>
        <w:rPr>
          <w:rFonts w:ascii="黑体" w:eastAsia="黑体" w:hint="eastAsia"/>
          <w:spacing w:val="-106"/>
          <w:w w:val="100"/>
        </w:rPr>
        <w:t>）</w:t>
      </w:r>
      <w:r>
        <w:rPr>
          <w:rFonts w:ascii="黑体" w:eastAsia="黑体" w:hint="eastAsia"/>
          <w:w w:val="100"/>
        </w:rPr>
        <w:t>。</w:t>
      </w:r>
    </w:p>
    <w:p>
      <w:pPr>
        <w:pStyle w:val="BodyText"/>
        <w:spacing w:line="268" w:lineRule="auto" w:before="95"/>
        <w:ind w:left="3016" w:right="239"/>
        <w:rPr>
          <w:rFonts w:ascii="黑体" w:eastAsia="黑体" w:hint="eastAsia"/>
        </w:rPr>
      </w:pPr>
      <w:r>
        <w:rPr>
          <w:rFonts w:ascii="黑体" w:eastAsia="黑体" w:hint="eastAsia"/>
        </w:rPr>
        <w:t>因上述其他情形导致被保险人发Th本合同定义的重大疾病的，本合同终止，我们向您退还本合同终止之日的现金价值。</w:t>
      </w:r>
    </w:p>
    <w:p>
      <w:pPr>
        <w:pStyle w:val="BodyText"/>
        <w:spacing w:before="11"/>
        <w:rPr>
          <w:rFonts w:ascii="黑体"/>
          <w:sz w:val="15"/>
        </w:rPr>
      </w:pPr>
    </w:p>
    <w:p>
      <w:pPr>
        <w:pStyle w:val="Heading1"/>
        <w:numPr>
          <w:ilvl w:val="0"/>
          <w:numId w:val="5"/>
        </w:numPr>
        <w:tabs>
          <w:tab w:pos="1244" w:val="left" w:leader="none"/>
          <w:tab w:pos="1245" w:val="left" w:leader="none"/>
        </w:tabs>
        <w:spacing w:line="240" w:lineRule="auto" w:before="0" w:after="0"/>
        <w:ind w:left="1244" w:right="0" w:hanging="1032"/>
        <w:jc w:val="left"/>
      </w:pPr>
      <w:r>
        <w:rPr/>
        <w:t>保险金的申请</w:t>
      </w:r>
    </w:p>
    <w:p>
      <w:pPr>
        <w:pStyle w:val="BodyText"/>
        <w:spacing w:before="13"/>
        <w:rPr>
          <w:rFonts w:ascii="Microsoft JhengHei"/>
          <w:b/>
          <w:sz w:val="5"/>
        </w:rPr>
      </w:pPr>
      <w:r>
        <w:rPr/>
        <w:pict>
          <v:group style="position:absolute;margin-left:51.119999pt;margin-top:7.003238pt;width:508.8pt;height:.5pt;mso-position-horizontal-relative:page;mso-position-vertical-relative:paragraph;z-index:1120;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5"/>
        </w:numPr>
        <w:tabs>
          <w:tab w:pos="1244" w:val="left" w:leader="none"/>
          <w:tab w:pos="1245" w:val="left" w:leader="none"/>
          <w:tab w:pos="3015" w:val="left" w:leader="none"/>
        </w:tabs>
        <w:spacing w:line="308" w:lineRule="exact" w:before="35" w:after="0"/>
        <w:ind w:left="3016" w:right="225" w:hanging="2804"/>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您或者受</w:t>
      </w:r>
      <w:r>
        <w:rPr>
          <w:rFonts w:ascii="黑体" w:eastAsia="黑体" w:hint="eastAsia"/>
          <w:spacing w:val="-5"/>
          <w:sz w:val="21"/>
        </w:rPr>
        <w:t>益</w:t>
      </w:r>
      <w:r>
        <w:rPr>
          <w:rFonts w:ascii="黑体" w:eastAsia="黑体" w:hint="eastAsia"/>
          <w:sz w:val="21"/>
        </w:rPr>
        <w:t>人知道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Th后应</w:t>
      </w:r>
      <w:r>
        <w:rPr>
          <w:rFonts w:ascii="黑体" w:eastAsia="黑体" w:hint="eastAsia"/>
          <w:spacing w:val="-5"/>
          <w:sz w:val="21"/>
        </w:rPr>
        <w:t>当</w:t>
      </w:r>
      <w:r>
        <w:rPr>
          <w:rFonts w:ascii="黑体" w:eastAsia="黑体" w:hint="eastAsia"/>
          <w:sz w:val="21"/>
        </w:rPr>
        <w:t>在</w:t>
      </w:r>
      <w:r>
        <w:rPr>
          <w:rFonts w:ascii="黑体" w:eastAsia="黑体" w:hint="eastAsia"/>
          <w:spacing w:val="-34"/>
          <w:sz w:val="21"/>
        </w:rPr>
        <w:t> </w:t>
      </w:r>
      <w:r>
        <w:rPr>
          <w:rFonts w:ascii="黑体" w:eastAsia="黑体" w:hint="eastAsia"/>
          <w:sz w:val="21"/>
        </w:rPr>
        <w:t>10</w:t>
      </w:r>
      <w:r>
        <w:rPr>
          <w:rFonts w:ascii="黑体" w:eastAsia="黑体" w:hint="eastAsia"/>
          <w:spacing w:val="-34"/>
          <w:sz w:val="21"/>
        </w:rPr>
        <w:t> </w:t>
      </w:r>
      <w:r>
        <w:rPr>
          <w:rFonts w:ascii="黑体" w:eastAsia="黑体" w:hint="eastAsia"/>
          <w:spacing w:val="-5"/>
          <w:sz w:val="21"/>
        </w:rPr>
        <w:t>日</w:t>
      </w:r>
      <w:r>
        <w:rPr>
          <w:rFonts w:ascii="黑体" w:eastAsia="黑体" w:hint="eastAsia"/>
          <w:sz w:val="21"/>
        </w:rPr>
        <w:t>内</w:t>
      </w:r>
      <w:r>
        <w:rPr>
          <w:rFonts w:ascii="黑体" w:eastAsia="黑体" w:hint="eastAsia"/>
          <w:spacing w:val="-5"/>
          <w:sz w:val="21"/>
        </w:rPr>
        <w:t>通</w:t>
      </w:r>
      <w:r>
        <w:rPr>
          <w:rFonts w:ascii="黑体" w:eastAsia="黑体" w:hint="eastAsia"/>
          <w:sz w:val="21"/>
        </w:rPr>
        <w:t>知我们</w:t>
      </w:r>
      <w:r>
        <w:rPr>
          <w:rFonts w:ascii="黑体" w:eastAsia="黑体" w:hint="eastAsia"/>
          <w:spacing w:val="-92"/>
          <w:sz w:val="21"/>
        </w:rPr>
        <w:t>。</w:t>
      </w:r>
      <w:r>
        <w:rPr>
          <w:rFonts w:ascii="黑体" w:eastAsia="黑体" w:hint="eastAsia"/>
          <w:sz w:val="21"/>
        </w:rPr>
        <w:t>故</w:t>
      </w:r>
      <w:r>
        <w:rPr>
          <w:rFonts w:ascii="黑体" w:eastAsia="黑体" w:hint="eastAsia"/>
          <w:spacing w:val="-5"/>
          <w:sz w:val="21"/>
        </w:rPr>
        <w:t>意</w:t>
      </w:r>
      <w:r>
        <w:rPr>
          <w:rFonts w:ascii="黑体" w:eastAsia="黑体" w:hint="eastAsia"/>
          <w:sz w:val="21"/>
        </w:rPr>
        <w:t>或者因</w:t>
      </w:r>
      <w:r>
        <w:rPr>
          <w:rFonts w:ascii="黑体" w:eastAsia="黑体" w:hint="eastAsia"/>
          <w:spacing w:val="-5"/>
          <w:sz w:val="21"/>
        </w:rPr>
        <w:t>重</w:t>
      </w:r>
      <w:r>
        <w:rPr>
          <w:rFonts w:ascii="黑体" w:eastAsia="黑体" w:hint="eastAsia"/>
          <w:sz w:val="21"/>
        </w:rPr>
        <w:t>大过</w:t>
      </w:r>
      <w:r>
        <w:rPr>
          <w:rFonts w:ascii="黑体" w:eastAsia="黑体" w:hint="eastAsia"/>
          <w:spacing w:val="-1"/>
          <w:sz w:val="21"/>
        </w:rPr>
        <w:t>失</w:t>
      </w:r>
      <w:r>
        <w:rPr>
          <w:rFonts w:ascii="黑体" w:eastAsia="黑体" w:hint="eastAsia"/>
          <w:sz w:val="21"/>
        </w:rPr>
        <w:t>未及时</w:t>
      </w:r>
      <w:r>
        <w:rPr>
          <w:rFonts w:ascii="黑体" w:eastAsia="黑体" w:hint="eastAsia"/>
          <w:spacing w:val="-5"/>
          <w:sz w:val="21"/>
        </w:rPr>
        <w:t>通</w:t>
      </w:r>
      <w:r>
        <w:rPr>
          <w:rFonts w:ascii="黑体" w:eastAsia="黑体" w:hint="eastAsia"/>
          <w:sz w:val="21"/>
        </w:rPr>
        <w:t>知，致</w:t>
      </w:r>
      <w:r>
        <w:rPr>
          <w:rFonts w:ascii="黑体" w:eastAsia="黑体" w:hint="eastAsia"/>
          <w:spacing w:val="-5"/>
          <w:sz w:val="21"/>
        </w:rPr>
        <w:t>使</w:t>
      </w:r>
      <w:r>
        <w:rPr>
          <w:rFonts w:ascii="黑体" w:eastAsia="黑体" w:hint="eastAsia"/>
          <w:sz w:val="21"/>
        </w:rPr>
        <w:t>保险事</w:t>
      </w:r>
      <w:r>
        <w:rPr>
          <w:rFonts w:ascii="黑体" w:eastAsia="黑体" w:hint="eastAsia"/>
          <w:spacing w:val="-5"/>
          <w:sz w:val="21"/>
        </w:rPr>
        <w:t>故</w:t>
      </w:r>
      <w:r>
        <w:rPr>
          <w:rFonts w:ascii="黑体" w:eastAsia="黑体" w:hint="eastAsia"/>
          <w:sz w:val="21"/>
        </w:rPr>
        <w:t>的性质</w:t>
      </w:r>
      <w:r>
        <w:rPr>
          <w:rFonts w:ascii="黑体" w:eastAsia="黑体" w:hint="eastAsia"/>
          <w:spacing w:val="-5"/>
          <w:sz w:val="21"/>
        </w:rPr>
        <w:t>、</w:t>
      </w:r>
      <w:r>
        <w:rPr>
          <w:rFonts w:ascii="黑体" w:eastAsia="黑体" w:hint="eastAsia"/>
          <w:sz w:val="21"/>
        </w:rPr>
        <w:t>原因、</w:t>
      </w:r>
      <w:r>
        <w:rPr>
          <w:rFonts w:ascii="黑体" w:eastAsia="黑体" w:hint="eastAsia"/>
          <w:spacing w:val="-5"/>
          <w:sz w:val="21"/>
        </w:rPr>
        <w:t>损</w:t>
      </w:r>
      <w:r>
        <w:rPr>
          <w:rFonts w:ascii="黑体" w:eastAsia="黑体" w:hint="eastAsia"/>
          <w:sz w:val="21"/>
        </w:rPr>
        <w:t>失</w:t>
      </w:r>
      <w:r>
        <w:rPr>
          <w:rFonts w:ascii="黑体" w:eastAsia="黑体" w:hint="eastAsia"/>
          <w:spacing w:val="-5"/>
          <w:sz w:val="21"/>
        </w:rPr>
        <w:t>程</w:t>
      </w:r>
      <w:r>
        <w:rPr>
          <w:rFonts w:ascii="黑体" w:eastAsia="黑体" w:hint="eastAsia"/>
          <w:sz w:val="21"/>
        </w:rPr>
        <w:t>度等难以</w:t>
      </w:r>
      <w:r>
        <w:rPr>
          <w:rFonts w:ascii="黑体" w:eastAsia="黑体" w:hint="eastAsia"/>
          <w:spacing w:val="-5"/>
          <w:sz w:val="21"/>
        </w:rPr>
        <w:t>确</w:t>
      </w:r>
      <w:r>
        <w:rPr>
          <w:rFonts w:ascii="黑体" w:eastAsia="黑体" w:hint="eastAsia"/>
          <w:sz w:val="21"/>
        </w:rPr>
        <w:t>定的，</w:t>
      </w:r>
      <w:r>
        <w:rPr>
          <w:rFonts w:ascii="黑体" w:eastAsia="黑体" w:hint="eastAsia"/>
          <w:spacing w:val="-5"/>
          <w:sz w:val="21"/>
        </w:rPr>
        <w:t>我</w:t>
      </w:r>
      <w:r>
        <w:rPr>
          <w:rFonts w:ascii="黑体" w:eastAsia="黑体" w:hint="eastAsia"/>
          <w:sz w:val="21"/>
        </w:rPr>
        <w:t>们对</w:t>
      </w:r>
    </w:p>
    <w:p>
      <w:pPr>
        <w:pStyle w:val="BodyText"/>
        <w:spacing w:line="273" w:lineRule="auto" w:before="5"/>
        <w:ind w:left="3016" w:right="239"/>
        <w:jc w:val="both"/>
        <w:rPr>
          <w:rFonts w:ascii="黑体" w:eastAsia="黑体" w:hint="eastAsia"/>
        </w:rPr>
      </w:pPr>
      <w:r>
        <w:rPr>
          <w:rFonts w:ascii="黑体" w:eastAsia="黑体" w:hint="eastAsia"/>
        </w:rPr>
        <w:t>无法确定的部分不承担保险责任，但我们通过其他途径已经及时知道或者应当及时知道保险事故发Th或者虽未及时通知但不影响我们确定保险事故的性质、原因、损失程度的除外。</w:t>
      </w:r>
    </w:p>
    <w:p>
      <w:pPr>
        <w:pStyle w:val="BodyText"/>
        <w:spacing w:before="12"/>
        <w:rPr>
          <w:rFonts w:ascii="黑体"/>
          <w:sz w:val="14"/>
        </w:rPr>
      </w:pPr>
    </w:p>
    <w:p>
      <w:pPr>
        <w:pStyle w:val="ListParagraph"/>
        <w:numPr>
          <w:ilvl w:val="1"/>
          <w:numId w:val="5"/>
        </w:numPr>
        <w:tabs>
          <w:tab w:pos="1244" w:val="left" w:leader="none"/>
          <w:tab w:pos="1245" w:val="left" w:leader="none"/>
          <w:tab w:pos="3015" w:val="left" w:leader="none"/>
        </w:tabs>
        <w:spacing w:line="244" w:lineRule="auto" w:before="0" w:after="0"/>
        <w:ind w:left="3016" w:right="239" w:hanging="2804"/>
        <w:jc w:val="left"/>
        <w:rPr>
          <w:sz w:val="21"/>
        </w:rPr>
      </w:pPr>
      <w:r>
        <w:rPr>
          <w:rFonts w:ascii="Microsoft JhengHei" w:eastAsia="Microsoft JhengHei" w:hint="eastAsia"/>
          <w:b/>
          <w:sz w:val="21"/>
        </w:rPr>
        <w:t>豁免保险费申请</w:t>
        <w:tab/>
      </w:r>
      <w:r>
        <w:rPr>
          <w:spacing w:val="-1"/>
          <w:sz w:val="21"/>
        </w:rPr>
        <w:t>在</w:t>
      </w:r>
      <w:r>
        <w:rPr>
          <w:sz w:val="21"/>
        </w:rPr>
        <w:t>申请豁</w:t>
      </w:r>
      <w:r>
        <w:rPr>
          <w:spacing w:val="-5"/>
          <w:sz w:val="21"/>
        </w:rPr>
        <w:t>免</w:t>
      </w:r>
      <w:r>
        <w:rPr>
          <w:sz w:val="21"/>
        </w:rPr>
        <w:t>保险费</w:t>
      </w:r>
      <w:r>
        <w:rPr>
          <w:spacing w:val="-5"/>
          <w:sz w:val="21"/>
        </w:rPr>
        <w:t>时</w:t>
      </w:r>
      <w:r>
        <w:rPr>
          <w:sz w:val="21"/>
        </w:rPr>
        <w:t>，投保</w:t>
      </w:r>
      <w:r>
        <w:rPr>
          <w:spacing w:val="-5"/>
          <w:sz w:val="21"/>
        </w:rPr>
        <w:t>人</w:t>
      </w:r>
      <w:r>
        <w:rPr>
          <w:sz w:val="21"/>
        </w:rPr>
        <w:t>作为申</w:t>
      </w:r>
      <w:r>
        <w:rPr>
          <w:spacing w:val="-5"/>
          <w:sz w:val="21"/>
        </w:rPr>
        <w:t>请</w:t>
      </w:r>
      <w:r>
        <w:rPr>
          <w:sz w:val="21"/>
        </w:rPr>
        <w:t>人须填</w:t>
      </w:r>
      <w:r>
        <w:rPr>
          <w:spacing w:val="-5"/>
          <w:sz w:val="21"/>
        </w:rPr>
        <w:t>写</w:t>
      </w:r>
      <w:r>
        <w:rPr>
          <w:sz w:val="21"/>
        </w:rPr>
        <w:t>豁</w:t>
      </w:r>
      <w:r>
        <w:rPr>
          <w:spacing w:val="-5"/>
          <w:sz w:val="21"/>
        </w:rPr>
        <w:t>免</w:t>
      </w:r>
      <w:r>
        <w:rPr>
          <w:sz w:val="21"/>
        </w:rPr>
        <w:t>保险费申</w:t>
      </w:r>
      <w:r>
        <w:rPr>
          <w:spacing w:val="-5"/>
          <w:sz w:val="21"/>
        </w:rPr>
        <w:t>请</w:t>
      </w:r>
      <w:r>
        <w:rPr>
          <w:sz w:val="21"/>
        </w:rPr>
        <w:t>书，并</w:t>
      </w:r>
      <w:r>
        <w:rPr>
          <w:spacing w:val="-5"/>
          <w:sz w:val="21"/>
        </w:rPr>
        <w:t>须</w:t>
      </w:r>
      <w:r>
        <w:rPr>
          <w:sz w:val="21"/>
        </w:rPr>
        <w:t>提供 </w:t>
      </w:r>
      <w:r>
        <w:rPr>
          <w:spacing w:val="-1"/>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0"/>
          <w:numId w:val="6"/>
        </w:numPr>
        <w:tabs>
          <w:tab w:pos="3750" w:val="left" w:leader="none"/>
          <w:tab w:pos="3751" w:val="left" w:leader="none"/>
        </w:tabs>
        <w:spacing w:line="240" w:lineRule="auto" w:before="114" w:after="0"/>
        <w:ind w:left="3750" w:right="0" w:hanging="734"/>
        <w:jc w:val="left"/>
        <w:rPr>
          <w:sz w:val="21"/>
        </w:rPr>
      </w:pPr>
      <w:r>
        <w:rPr>
          <w:sz w:val="21"/>
        </w:rPr>
        <w:t>本合同；</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pacing w:val="-3"/>
          <w:sz w:val="21"/>
        </w:rPr>
        <w:t>申请人的有效身份证件；</w:t>
      </w:r>
    </w:p>
    <w:p>
      <w:pPr>
        <w:pStyle w:val="ListParagraph"/>
        <w:numPr>
          <w:ilvl w:val="0"/>
          <w:numId w:val="6"/>
        </w:numPr>
        <w:tabs>
          <w:tab w:pos="3751" w:val="left" w:leader="none"/>
        </w:tabs>
        <w:spacing w:line="256" w:lineRule="auto" w:before="51" w:after="0"/>
        <w:ind w:left="3750" w:right="225" w:hanging="734"/>
        <w:jc w:val="both"/>
        <w:rPr>
          <w:sz w:val="21"/>
        </w:rPr>
      </w:pPr>
      <w:r>
        <w:rPr>
          <w:spacing w:val="-2"/>
          <w:sz w:val="21"/>
        </w:rPr>
        <w:t>由医院</w:t>
      </w:r>
      <w:r>
        <w:rPr>
          <w:rFonts w:ascii="Microsoft JhengHei" w:eastAsia="Microsoft JhengHei" w:hint="eastAsia"/>
          <w:b/>
          <w:sz w:val="21"/>
        </w:rPr>
        <w:t>专科医生</w:t>
      </w:r>
      <w:r>
        <w:rPr>
          <w:spacing w:val="-11"/>
          <w:sz w:val="21"/>
        </w:rPr>
        <w:t>(见 </w:t>
      </w:r>
      <w:r>
        <w:rPr>
          <w:sz w:val="21"/>
        </w:rPr>
        <w:t>10.18</w:t>
      </w:r>
      <w:r>
        <w:rPr>
          <w:spacing w:val="-7"/>
          <w:sz w:val="21"/>
        </w:rPr>
        <w:t>)出具的被保险人的疾病诊断证明书，以及由</w:t>
      </w:r>
      <w:r>
        <w:rPr>
          <w:spacing w:val="-10"/>
          <w:sz w:val="21"/>
        </w:rPr>
        <w:t>医院出具的与该疾病诊断证明书相关的病理显微镜检查、血液检验及其</w:t>
      </w:r>
      <w:r>
        <w:rPr>
          <w:spacing w:val="-7"/>
          <w:sz w:val="21"/>
        </w:rPr>
        <w:t>他科学方法检验报告。</w:t>
      </w:r>
    </w:p>
    <w:p>
      <w:pPr>
        <w:spacing w:after="0" w:line="256" w:lineRule="auto"/>
        <w:jc w:val="both"/>
        <w:rPr>
          <w:sz w:val="21"/>
        </w:rPr>
        <w:sectPr>
          <w:pgSz w:w="11900" w:h="16840"/>
          <w:pgMar w:top="1100" w:bottom="280" w:left="92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966"/>
        <w:gridCol w:w="7426"/>
      </w:tblGrid>
      <w:tr>
        <w:trPr>
          <w:trHeight w:val="300" w:hRule="atLeast"/>
        </w:trPr>
        <w:tc>
          <w:tcPr>
            <w:tcW w:w="2751" w:type="dxa"/>
            <w:gridSpan w:val="2"/>
            <w:vMerge w:val="restart"/>
          </w:tcPr>
          <w:p>
            <w:pPr>
              <w:pStyle w:val="TableParagraph"/>
              <w:rPr>
                <w:rFonts w:ascii="Times New Roman"/>
                <w:sz w:val="20"/>
              </w:rPr>
            </w:pPr>
          </w:p>
        </w:tc>
        <w:tc>
          <w:tcPr>
            <w:tcW w:w="7426" w:type="dxa"/>
          </w:tcPr>
          <w:p>
            <w:pPr>
              <w:pStyle w:val="TableParagraph"/>
              <w:tabs>
                <w:tab w:pos="896" w:val="left" w:leader="none"/>
              </w:tabs>
              <w:spacing w:line="211" w:lineRule="exact"/>
              <w:ind w:left="162"/>
              <w:rPr>
                <w:sz w:val="21"/>
              </w:rPr>
            </w:pPr>
            <w:r>
              <w:rPr>
                <w:sz w:val="21"/>
              </w:rPr>
              <w:t>（4）</w:t>
              <w:tab/>
            </w:r>
            <w:r>
              <w:rPr>
                <w:spacing w:val="-5"/>
                <w:sz w:val="21"/>
              </w:rPr>
              <w:t>所能提供的与确认保险事故的性质、原因等有关的其他证明和资料。</w:t>
            </w:r>
          </w:p>
        </w:tc>
      </w:tr>
      <w:tr>
        <w:trPr>
          <w:trHeight w:val="703" w:hRule="atLeast"/>
        </w:trPr>
        <w:tc>
          <w:tcPr>
            <w:tcW w:w="2751" w:type="dxa"/>
            <w:gridSpan w:val="2"/>
            <w:vMerge/>
            <w:tcBorders>
              <w:top w:val="nil"/>
            </w:tcBorders>
          </w:tcPr>
          <w:p>
            <w:pPr>
              <w:rPr>
                <w:sz w:val="2"/>
                <w:szCs w:val="2"/>
              </w:rPr>
            </w:pPr>
          </w:p>
        </w:tc>
        <w:tc>
          <w:tcPr>
            <w:tcW w:w="7426" w:type="dxa"/>
          </w:tcPr>
          <w:p>
            <w:pPr>
              <w:pStyle w:val="TableParagraph"/>
              <w:spacing w:line="273" w:lineRule="auto" w:before="25"/>
              <w:ind w:left="162" w:right="119"/>
              <w:rPr>
                <w:sz w:val="21"/>
              </w:rPr>
            </w:pPr>
            <w:r>
              <w:rPr>
                <w:sz w:val="21"/>
              </w:rPr>
              <w:t>以上证明和资料不完整的，我们将及时一次性通知豁免保险费申请人补充提供有关的证明和资料。</w:t>
            </w:r>
          </w:p>
        </w:tc>
      </w:tr>
      <w:tr>
        <w:trPr>
          <w:trHeight w:val="700" w:hRule="atLeast"/>
        </w:trPr>
        <w:tc>
          <w:tcPr>
            <w:tcW w:w="2751" w:type="dxa"/>
            <w:gridSpan w:val="2"/>
            <w:vMerge/>
            <w:tcBorders>
              <w:top w:val="nil"/>
            </w:tcBorders>
          </w:tcPr>
          <w:p>
            <w:pPr>
              <w:rPr>
                <w:sz w:val="2"/>
                <w:szCs w:val="2"/>
              </w:rPr>
            </w:pPr>
          </w:p>
        </w:tc>
        <w:tc>
          <w:tcPr>
            <w:tcW w:w="7426" w:type="dxa"/>
          </w:tcPr>
          <w:p>
            <w:pPr>
              <w:pStyle w:val="TableParagraph"/>
              <w:spacing w:line="268" w:lineRule="auto" w:before="27"/>
              <w:ind w:left="162" w:right="119"/>
              <w:rPr>
                <w:sz w:val="21"/>
              </w:rPr>
            </w:pPr>
            <w:r>
              <w:rPr>
                <w:sz w:val="21"/>
              </w:rPr>
              <w:t>委托他人申请豁免保险费时，受托人还必须提供本人的有效身份证件及委托人亲笔签名的授权委托书。</w:t>
            </w:r>
          </w:p>
        </w:tc>
      </w:tr>
      <w:tr>
        <w:trPr>
          <w:trHeight w:val="1099" w:hRule="atLeast"/>
        </w:trPr>
        <w:tc>
          <w:tcPr>
            <w:tcW w:w="2751" w:type="dxa"/>
            <w:gridSpan w:val="2"/>
            <w:vMerge/>
            <w:tcBorders>
              <w:top w:val="nil"/>
            </w:tcBorders>
          </w:tcPr>
          <w:p>
            <w:pPr>
              <w:rPr>
                <w:sz w:val="2"/>
                <w:szCs w:val="2"/>
              </w:rPr>
            </w:pPr>
          </w:p>
        </w:tc>
        <w:tc>
          <w:tcPr>
            <w:tcW w:w="7426" w:type="dxa"/>
          </w:tcPr>
          <w:p>
            <w:pPr>
              <w:pStyle w:val="TableParagraph"/>
              <w:spacing w:line="271" w:lineRule="auto" w:before="27"/>
              <w:ind w:left="162" w:right="118"/>
              <w:jc w:val="both"/>
              <w:rPr>
                <w:sz w:val="21"/>
              </w:rPr>
            </w:pPr>
            <w:r>
              <w:rPr>
                <w:sz w:val="21"/>
              </w:rPr>
              <w:t>申请人为无民事行为能力人或者限制民事行为能力人时，由其合法监护人代其申请豁免保险费，其合法监护人还必须提供申请人为无民事行为能力人或者限制民事行为能力人的证明和监护人具有合法监护权的证明。</w:t>
            </w:r>
          </w:p>
        </w:tc>
      </w:tr>
      <w:tr>
        <w:trPr>
          <w:trHeight w:val="887" w:hRule="atLeast"/>
        </w:trPr>
        <w:tc>
          <w:tcPr>
            <w:tcW w:w="785" w:type="dxa"/>
          </w:tcPr>
          <w:p>
            <w:pPr>
              <w:pStyle w:val="TableParagraph"/>
              <w:spacing w:before="47"/>
              <w:ind w:left="110"/>
              <w:rPr>
                <w:rFonts w:ascii="Microsoft JhengHei"/>
                <w:b/>
                <w:sz w:val="21"/>
              </w:rPr>
            </w:pPr>
            <w:r>
              <w:rPr>
                <w:rFonts w:ascii="Microsoft JhengHei"/>
                <w:b/>
                <w:w w:val="105"/>
                <w:sz w:val="21"/>
              </w:rPr>
              <w:t>3.3</w:t>
            </w:r>
          </w:p>
        </w:tc>
        <w:tc>
          <w:tcPr>
            <w:tcW w:w="1966" w:type="dxa"/>
          </w:tcPr>
          <w:p>
            <w:pPr>
              <w:pStyle w:val="TableParagraph"/>
              <w:spacing w:before="47"/>
              <w:ind w:left="357"/>
              <w:rPr>
                <w:rFonts w:ascii="Microsoft JhengHei" w:eastAsia="Microsoft JhengHei" w:hint="eastAsia"/>
                <w:b/>
                <w:sz w:val="21"/>
              </w:rPr>
            </w:pPr>
            <w:r>
              <w:rPr>
                <w:rFonts w:ascii="Microsoft JhengHei" w:eastAsia="Microsoft JhengHei" w:hint="eastAsia"/>
                <w:b/>
                <w:sz w:val="21"/>
              </w:rPr>
              <w:t>诉讼时效</w:t>
            </w:r>
          </w:p>
        </w:tc>
        <w:tc>
          <w:tcPr>
            <w:tcW w:w="7426" w:type="dxa"/>
          </w:tcPr>
          <w:p>
            <w:pPr>
              <w:pStyle w:val="TableParagraph"/>
              <w:spacing w:line="268" w:lineRule="auto" w:before="114"/>
              <w:ind w:left="162" w:right="119"/>
              <w:rPr>
                <w:sz w:val="21"/>
              </w:rPr>
            </w:pPr>
            <w:r>
              <w:rPr>
                <w:spacing w:val="-6"/>
                <w:sz w:val="21"/>
              </w:rPr>
              <w:t>权利人向我们申请给付保险金的诉讼时效期间为 </w:t>
            </w:r>
            <w:r>
              <w:rPr>
                <w:sz w:val="21"/>
              </w:rPr>
              <w:t>2</w:t>
            </w:r>
            <w:r>
              <w:rPr>
                <w:spacing w:val="-7"/>
                <w:sz w:val="21"/>
              </w:rPr>
              <w:t> 年，自其知道或者应当知道</w:t>
            </w:r>
            <w:r>
              <w:rPr>
                <w:spacing w:val="-6"/>
                <w:sz w:val="21"/>
              </w:rPr>
              <w:t>保险事故发生之日起计算。</w:t>
            </w:r>
          </w:p>
        </w:tc>
      </w:tr>
      <w:tr>
        <w:trPr>
          <w:trHeight w:val="594"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120"/>
                <w:sz w:val="24"/>
              </w:rPr>
              <w:t>4.</w:t>
            </w:r>
          </w:p>
        </w:tc>
        <w:tc>
          <w:tcPr>
            <w:tcW w:w="1966"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sz w:val="24"/>
              </w:rPr>
              <w:t>保险费的交纳</w:t>
            </w:r>
          </w:p>
        </w:tc>
        <w:tc>
          <w:tcPr>
            <w:tcW w:w="7426" w:type="dxa"/>
            <w:tcBorders>
              <w:bottom w:val="single" w:sz="4" w:space="0" w:color="000000"/>
            </w:tcBorders>
          </w:tcPr>
          <w:p>
            <w:pPr>
              <w:pStyle w:val="TableParagraph"/>
              <w:rPr>
                <w:rFonts w:ascii="Times New Roman"/>
                <w:sz w:val="20"/>
              </w:rPr>
            </w:pPr>
          </w:p>
        </w:tc>
      </w:tr>
      <w:tr>
        <w:trPr>
          <w:trHeight w:val="593" w:hRule="atLeast"/>
        </w:trPr>
        <w:tc>
          <w:tcPr>
            <w:tcW w:w="785" w:type="dxa"/>
            <w:tcBorders>
              <w:top w:val="single" w:sz="4" w:space="0" w:color="000000"/>
            </w:tcBorders>
          </w:tcPr>
          <w:p>
            <w:pPr>
              <w:pStyle w:val="TableParagraph"/>
              <w:spacing w:before="163"/>
              <w:ind w:left="110"/>
              <w:rPr>
                <w:rFonts w:ascii="Microsoft JhengHei"/>
                <w:b/>
                <w:sz w:val="21"/>
              </w:rPr>
            </w:pPr>
            <w:r>
              <w:rPr>
                <w:rFonts w:ascii="Microsoft JhengHei"/>
                <w:b/>
                <w:w w:val="105"/>
                <w:sz w:val="21"/>
              </w:rPr>
              <w:t>4.1</w:t>
            </w:r>
          </w:p>
        </w:tc>
        <w:tc>
          <w:tcPr>
            <w:tcW w:w="1966" w:type="dxa"/>
            <w:tcBorders>
              <w:top w:val="single" w:sz="4" w:space="0" w:color="000000"/>
            </w:tcBorders>
          </w:tcPr>
          <w:p>
            <w:pPr>
              <w:pStyle w:val="TableParagraph"/>
              <w:spacing w:before="163"/>
              <w:ind w:left="357"/>
              <w:rPr>
                <w:rFonts w:ascii="Microsoft JhengHei" w:eastAsia="Microsoft JhengHei" w:hint="eastAsia"/>
                <w:b/>
                <w:sz w:val="21"/>
              </w:rPr>
            </w:pPr>
            <w:r>
              <w:rPr>
                <w:rFonts w:ascii="Microsoft JhengHei" w:eastAsia="Microsoft JhengHei" w:hint="eastAsia"/>
                <w:b/>
                <w:sz w:val="21"/>
              </w:rPr>
              <w:t>保险费的交纳</w:t>
            </w:r>
          </w:p>
        </w:tc>
        <w:tc>
          <w:tcPr>
            <w:tcW w:w="7426" w:type="dxa"/>
            <w:tcBorders>
              <w:top w:val="single" w:sz="4" w:space="0" w:color="000000"/>
            </w:tcBorders>
          </w:tcPr>
          <w:p>
            <w:pPr>
              <w:pStyle w:val="TableParagraph"/>
              <w:spacing w:before="7"/>
              <w:rPr>
                <w:sz w:val="17"/>
              </w:rPr>
            </w:pPr>
          </w:p>
          <w:p>
            <w:pPr>
              <w:pStyle w:val="TableParagraph"/>
              <w:ind w:left="162"/>
              <w:rPr>
                <w:sz w:val="21"/>
              </w:rPr>
            </w:pPr>
            <w:r>
              <w:rPr>
                <w:sz w:val="21"/>
              </w:rPr>
              <w:t>本合同的交费方式和交费期间由您在投保时与我们约定，并在保险单上载明。</w:t>
            </w:r>
          </w:p>
        </w:tc>
      </w:tr>
      <w:tr>
        <w:trPr>
          <w:trHeight w:val="784"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68" w:lineRule="auto" w:before="25"/>
              <w:ind w:left="162" w:right="119"/>
              <w:rPr>
                <w:sz w:val="21"/>
              </w:rPr>
            </w:pPr>
            <w:r>
              <w:rPr>
                <w:sz w:val="21"/>
              </w:rPr>
              <w:t>分期支付保险费的，在交纳首期保险费后，您应当在每个保险费约定交纳日交纳其余各期的保险费。</w:t>
            </w:r>
          </w:p>
        </w:tc>
      </w:tr>
      <w:tr>
        <w:trPr>
          <w:trHeight w:val="1099" w:hRule="atLeast"/>
        </w:trPr>
        <w:tc>
          <w:tcPr>
            <w:tcW w:w="785" w:type="dxa"/>
          </w:tcPr>
          <w:p>
            <w:pPr>
              <w:pStyle w:val="TableParagraph"/>
              <w:spacing w:before="47"/>
              <w:ind w:left="110"/>
              <w:rPr>
                <w:rFonts w:ascii="Microsoft JhengHei"/>
                <w:b/>
                <w:sz w:val="21"/>
              </w:rPr>
            </w:pPr>
            <w:r>
              <w:rPr>
                <w:rFonts w:ascii="Microsoft JhengHei"/>
                <w:b/>
                <w:w w:val="105"/>
                <w:sz w:val="21"/>
              </w:rPr>
              <w:t>4.2</w:t>
            </w:r>
          </w:p>
        </w:tc>
        <w:tc>
          <w:tcPr>
            <w:tcW w:w="1966" w:type="dxa"/>
          </w:tcPr>
          <w:p>
            <w:pPr>
              <w:pStyle w:val="TableParagraph"/>
              <w:spacing w:before="47"/>
              <w:ind w:left="357"/>
              <w:rPr>
                <w:rFonts w:ascii="Microsoft JhengHei" w:eastAsia="Microsoft JhengHei" w:hint="eastAsia"/>
                <w:b/>
                <w:sz w:val="21"/>
              </w:rPr>
            </w:pPr>
            <w:r>
              <w:rPr>
                <w:rFonts w:ascii="Microsoft JhengHei" w:eastAsia="Microsoft JhengHei" w:hint="eastAsia"/>
                <w:b/>
                <w:sz w:val="21"/>
              </w:rPr>
              <w:t>宽限期</w:t>
            </w:r>
          </w:p>
        </w:tc>
        <w:tc>
          <w:tcPr>
            <w:tcW w:w="7426" w:type="dxa"/>
          </w:tcPr>
          <w:p>
            <w:pPr>
              <w:pStyle w:val="TableParagraph"/>
              <w:spacing w:line="271" w:lineRule="auto" w:before="114"/>
              <w:ind w:left="162" w:right="119"/>
              <w:jc w:val="both"/>
              <w:rPr>
                <w:sz w:val="21"/>
              </w:rPr>
            </w:pPr>
            <w:r>
              <w:rPr>
                <w:sz w:val="21"/>
              </w:rPr>
              <w:t>如果您到期未交纳保险费，自保险费约定交纳日的次日零时起60日为保险费交纳的宽限期。宽限期内发生的保险事故，我们仍承担保险责任，但在给付保险金时会扣除您欠交的保险费，其数额根据下列公式确定：</w:t>
            </w:r>
          </w:p>
        </w:tc>
      </w:tr>
      <w:tr>
        <w:trPr>
          <w:trHeight w:val="391"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326" w:lineRule="exact"/>
              <w:ind w:left="162"/>
              <w:rPr>
                <w:sz w:val="21"/>
              </w:rPr>
            </w:pPr>
            <w:r>
              <w:rPr>
                <w:spacing w:val="-5"/>
                <w:sz w:val="21"/>
              </w:rPr>
              <w:t>欠交的保险费=保险单中载明的每期保险费数额×</w:t>
            </w:r>
            <w:r>
              <w:rPr>
                <w:rFonts w:ascii="Microsoft JhengHei" w:hAnsi="Microsoft JhengHei" w:eastAsia="Microsoft JhengHei" w:hint="eastAsia"/>
                <w:b/>
                <w:spacing w:val="-12"/>
                <w:sz w:val="21"/>
              </w:rPr>
              <w:t>欠交保险费的次数</w:t>
            </w:r>
            <w:r>
              <w:rPr>
                <w:sz w:val="21"/>
              </w:rPr>
              <w:t>（见10.19）</w:t>
            </w:r>
          </w:p>
        </w:tc>
      </w:tr>
      <w:tr>
        <w:trPr>
          <w:trHeight w:val="803"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before="25"/>
              <w:ind w:left="162"/>
              <w:rPr>
                <w:rFonts w:ascii="黑体" w:eastAsia="黑体" w:hint="eastAsia"/>
                <w:sz w:val="21"/>
              </w:rPr>
            </w:pPr>
            <w:r>
              <w:rPr>
                <w:rFonts w:ascii="黑体" w:eastAsia="黑体" w:hint="eastAsia"/>
                <w:spacing w:val="-7"/>
                <w:sz w:val="21"/>
              </w:rPr>
              <w:t>如果您在宽限期内未交纳保险费，则本合同自宽限期满日的 </w:t>
            </w:r>
            <w:r>
              <w:rPr>
                <w:rFonts w:ascii="黑体" w:eastAsia="黑体" w:hint="eastAsia"/>
                <w:sz w:val="21"/>
              </w:rPr>
              <w:t>24</w:t>
            </w:r>
            <w:r>
              <w:rPr>
                <w:rFonts w:ascii="黑体" w:eastAsia="黑体" w:hint="eastAsia"/>
                <w:spacing w:val="-7"/>
                <w:sz w:val="21"/>
              </w:rPr>
              <w:t> 时起效力中止，</w:t>
            </w:r>
          </w:p>
          <w:p>
            <w:pPr>
              <w:pStyle w:val="TableParagraph"/>
              <w:spacing w:before="37"/>
              <w:ind w:left="162"/>
              <w:rPr>
                <w:sz w:val="21"/>
              </w:rPr>
            </w:pPr>
            <w:r>
              <w:rPr>
                <w:sz w:val="21"/>
              </w:rPr>
              <w:t>但本合同另有约定的除外。</w:t>
            </w:r>
          </w:p>
        </w:tc>
      </w:tr>
      <w:tr>
        <w:trPr>
          <w:trHeight w:val="594"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120"/>
                <w:sz w:val="24"/>
              </w:rPr>
              <w:t>5.</w:t>
            </w:r>
          </w:p>
        </w:tc>
        <w:tc>
          <w:tcPr>
            <w:tcW w:w="1966"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sz w:val="24"/>
              </w:rPr>
              <w:t>现金价值权益</w:t>
            </w:r>
          </w:p>
        </w:tc>
        <w:tc>
          <w:tcPr>
            <w:tcW w:w="7426" w:type="dxa"/>
            <w:tcBorders>
              <w:bottom w:val="single" w:sz="4" w:space="0" w:color="000000"/>
            </w:tcBorders>
          </w:tcPr>
          <w:p>
            <w:pPr>
              <w:pStyle w:val="TableParagraph"/>
              <w:rPr>
                <w:rFonts w:ascii="Times New Roman"/>
                <w:sz w:val="20"/>
              </w:rPr>
            </w:pPr>
          </w:p>
        </w:tc>
      </w:tr>
      <w:tr>
        <w:trPr>
          <w:trHeight w:val="550" w:hRule="atLeast"/>
        </w:trPr>
        <w:tc>
          <w:tcPr>
            <w:tcW w:w="785" w:type="dxa"/>
            <w:tcBorders>
              <w:top w:val="single" w:sz="4" w:space="0" w:color="000000"/>
            </w:tcBorders>
          </w:tcPr>
          <w:p>
            <w:pPr>
              <w:pStyle w:val="TableParagraph"/>
              <w:spacing w:before="158"/>
              <w:ind w:left="110"/>
              <w:rPr>
                <w:rFonts w:ascii="Microsoft JhengHei"/>
                <w:b/>
                <w:sz w:val="21"/>
              </w:rPr>
            </w:pPr>
            <w:r>
              <w:rPr>
                <w:rFonts w:ascii="Microsoft JhengHei"/>
                <w:b/>
                <w:w w:val="105"/>
                <w:sz w:val="21"/>
              </w:rPr>
              <w:t>5.1</w:t>
            </w:r>
          </w:p>
        </w:tc>
        <w:tc>
          <w:tcPr>
            <w:tcW w:w="1966" w:type="dxa"/>
            <w:tcBorders>
              <w:top w:val="single" w:sz="4" w:space="0" w:color="000000"/>
            </w:tcBorders>
          </w:tcPr>
          <w:p>
            <w:pPr>
              <w:pStyle w:val="TableParagraph"/>
              <w:spacing w:before="158"/>
              <w:ind w:left="357"/>
              <w:rPr>
                <w:rFonts w:ascii="Microsoft JhengHei" w:eastAsia="Microsoft JhengHei" w:hint="eastAsia"/>
                <w:b/>
                <w:sz w:val="21"/>
              </w:rPr>
            </w:pPr>
            <w:r>
              <w:rPr>
                <w:rFonts w:ascii="Microsoft JhengHei" w:eastAsia="Microsoft JhengHei" w:hint="eastAsia"/>
                <w:b/>
                <w:sz w:val="21"/>
              </w:rPr>
              <w:t>现金价值</w:t>
            </w:r>
          </w:p>
        </w:tc>
        <w:tc>
          <w:tcPr>
            <w:tcW w:w="7426" w:type="dxa"/>
            <w:tcBorders>
              <w:top w:val="single" w:sz="4" w:space="0" w:color="000000"/>
            </w:tcBorders>
          </w:tcPr>
          <w:p>
            <w:pPr>
              <w:pStyle w:val="TableParagraph"/>
              <w:spacing w:before="2"/>
              <w:rPr>
                <w:sz w:val="17"/>
              </w:rPr>
            </w:pPr>
          </w:p>
          <w:p>
            <w:pPr>
              <w:pStyle w:val="TableParagraph"/>
              <w:ind w:left="162"/>
              <w:rPr>
                <w:sz w:val="21"/>
              </w:rPr>
            </w:pPr>
            <w:r>
              <w:rPr>
                <w:sz w:val="21"/>
              </w:rPr>
              <w:t>本合同保单年度末的现金价值在保险单上载明，保单年度内的现金价值您可以</w:t>
            </w:r>
          </w:p>
        </w:tc>
      </w:tr>
      <w:tr>
        <w:trPr>
          <w:trHeight w:val="261" w:hRule="atLeast"/>
        </w:trPr>
        <w:tc>
          <w:tcPr>
            <w:tcW w:w="785" w:type="dxa"/>
          </w:tcPr>
          <w:p>
            <w:pPr>
              <w:pStyle w:val="TableParagraph"/>
              <w:rPr>
                <w:rFonts w:ascii="Times New Roman"/>
                <w:sz w:val="18"/>
              </w:rPr>
            </w:pPr>
          </w:p>
        </w:tc>
        <w:tc>
          <w:tcPr>
            <w:tcW w:w="1966" w:type="dxa"/>
          </w:tcPr>
          <w:p>
            <w:pPr>
              <w:pStyle w:val="TableParagraph"/>
              <w:rPr>
                <w:rFonts w:ascii="Times New Roman"/>
                <w:sz w:val="18"/>
              </w:rPr>
            </w:pPr>
          </w:p>
        </w:tc>
        <w:tc>
          <w:tcPr>
            <w:tcW w:w="7426" w:type="dxa"/>
          </w:tcPr>
          <w:p>
            <w:pPr>
              <w:pStyle w:val="TableParagraph"/>
              <w:spacing w:line="242" w:lineRule="exact"/>
              <w:ind w:left="162"/>
              <w:rPr>
                <w:sz w:val="21"/>
              </w:rPr>
            </w:pPr>
            <w:r>
              <w:rPr>
                <w:sz w:val="21"/>
              </w:rPr>
              <w:t>向我们咨询。</w:t>
            </w:r>
          </w:p>
        </w:tc>
      </w:tr>
    </w:tbl>
    <w:p>
      <w:pPr>
        <w:pStyle w:val="BodyText"/>
        <w:spacing w:before="0"/>
        <w:rPr>
          <w:sz w:val="22"/>
        </w:rPr>
      </w:pPr>
    </w:p>
    <w:p>
      <w:pPr>
        <w:pStyle w:val="Heading1"/>
        <w:numPr>
          <w:ilvl w:val="0"/>
          <w:numId w:val="7"/>
        </w:numPr>
        <w:tabs>
          <w:tab w:pos="1244" w:val="left" w:leader="none"/>
          <w:tab w:pos="1245" w:val="left" w:leader="none"/>
        </w:tabs>
        <w:spacing w:line="368" w:lineRule="exact" w:before="0" w:after="0"/>
        <w:ind w:left="1244" w:right="0" w:hanging="1032"/>
        <w:jc w:val="left"/>
      </w:pPr>
      <w:r>
        <w:rPr/>
        <w:pict>
          <v:group style="position:absolute;margin-left:51.119999pt;margin-top:25.165468pt;width:508.8pt;height:.5pt;mso-position-horizontal-relative:page;mso-position-vertical-relative:paragraph;z-index:1144;mso-wrap-distance-left:0;mso-wrap-distance-right:0" coordorigin="1022,503" coordsize="10176,10">
            <v:line style="position:absolute" from="1022,508" to="2054,508" stroked="true" strokeweight=".48pt" strokecolor="#000000">
              <v:stroke dashstyle="solid"/>
            </v:line>
            <v:rect style="position:absolute;left:2054;top:503;width:10;height:10" filled="true" fillcolor="#000000" stroked="false">
              <v:fill type="solid"/>
            </v:rect>
            <v:line style="position:absolute" from="2064,508" to="3826,508" stroked="true" strokeweight=".48pt" strokecolor="#000000">
              <v:stroke dashstyle="solid"/>
            </v:line>
            <v:rect style="position:absolute;left:3825;top:503;width:10;height:10" filled="true" fillcolor="#000000" stroked="false">
              <v:fill type="solid"/>
            </v:rect>
            <v:line style="position:absolute" from="3835,508" to="11198,508" stroked="true" strokeweight=".48pt" strokecolor="#000000">
              <v:stroke dashstyle="solid"/>
            </v:line>
            <w10:wrap type="topAndBottom"/>
          </v:group>
        </w:pict>
      </w:r>
      <w:r>
        <w:rPr/>
        <w:t>合同效力的中止及恢复</w:t>
      </w:r>
    </w:p>
    <w:p>
      <w:pPr>
        <w:pStyle w:val="BodyText"/>
        <w:spacing w:before="7"/>
        <w:rPr>
          <w:rFonts w:ascii="Microsoft JhengHei"/>
          <w:b/>
          <w:sz w:val="9"/>
        </w:rPr>
      </w:pPr>
    </w:p>
    <w:p>
      <w:pPr>
        <w:pStyle w:val="ListParagraph"/>
        <w:numPr>
          <w:ilvl w:val="1"/>
          <w:numId w:val="7"/>
        </w:numPr>
        <w:tabs>
          <w:tab w:pos="1244" w:val="left" w:leader="none"/>
          <w:tab w:pos="1245" w:val="left" w:leader="none"/>
          <w:tab w:pos="3015" w:val="left" w:leader="none"/>
        </w:tabs>
        <w:spacing w:line="336" w:lineRule="exact" w:before="0" w:after="0"/>
        <w:ind w:left="3016" w:right="0" w:hanging="2804"/>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p>
    <w:p>
      <w:pPr>
        <w:pStyle w:val="BodyText"/>
        <w:spacing w:before="8"/>
        <w:rPr>
          <w:rFonts w:ascii="黑体"/>
          <w:sz w:val="14"/>
        </w:rPr>
      </w:pPr>
    </w:p>
    <w:p>
      <w:pPr>
        <w:pStyle w:val="ListParagraph"/>
        <w:numPr>
          <w:ilvl w:val="1"/>
          <w:numId w:val="7"/>
        </w:numPr>
        <w:tabs>
          <w:tab w:pos="1244" w:val="left" w:leader="none"/>
          <w:tab w:pos="1245" w:val="left" w:leader="none"/>
          <w:tab w:pos="3015" w:val="left" w:leader="none"/>
        </w:tabs>
        <w:spacing w:line="249" w:lineRule="auto" w:before="0" w:after="0"/>
        <w:ind w:left="3016" w:right="219" w:hanging="2804"/>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w:t>
      </w:r>
      <w:r>
        <w:rPr>
          <w:spacing w:val="-5"/>
          <w:sz w:val="21"/>
        </w:rPr>
        <w:t>日</w:t>
      </w:r>
      <w:r>
        <w:rPr>
          <w:sz w:val="21"/>
        </w:rPr>
        <w:t>起</w:t>
      </w:r>
      <w:r>
        <w:rPr>
          <w:spacing w:val="-34"/>
          <w:sz w:val="21"/>
        </w:rPr>
        <w:t> </w:t>
      </w:r>
      <w:r>
        <w:rPr>
          <w:sz w:val="21"/>
        </w:rPr>
        <w:t>2</w:t>
      </w:r>
      <w:r>
        <w:rPr>
          <w:spacing w:val="-34"/>
          <w:sz w:val="21"/>
        </w:rPr>
        <w:t> </w:t>
      </w:r>
      <w:r>
        <w:rPr>
          <w:sz w:val="21"/>
        </w:rPr>
        <w:t>年</w:t>
      </w:r>
      <w:r>
        <w:rPr>
          <w:spacing w:val="-5"/>
          <w:sz w:val="21"/>
        </w:rPr>
        <w:t>内</w:t>
      </w:r>
      <w:r>
        <w:rPr>
          <w:sz w:val="21"/>
        </w:rPr>
        <w:t>，您可</w:t>
      </w:r>
      <w:r>
        <w:rPr>
          <w:spacing w:val="-5"/>
          <w:sz w:val="21"/>
        </w:rPr>
        <w:t>以</w:t>
      </w:r>
      <w:r>
        <w:rPr>
          <w:sz w:val="21"/>
        </w:rPr>
        <w:t>申请恢</w:t>
      </w:r>
      <w:r>
        <w:rPr>
          <w:spacing w:val="-5"/>
          <w:sz w:val="21"/>
        </w:rPr>
        <w:t>复</w:t>
      </w:r>
      <w:r>
        <w:rPr>
          <w:sz w:val="21"/>
        </w:rPr>
        <w:t>合</w:t>
      </w:r>
      <w:r>
        <w:rPr>
          <w:spacing w:val="-5"/>
          <w:sz w:val="21"/>
        </w:rPr>
        <w:t>同</w:t>
      </w:r>
      <w:r>
        <w:rPr>
          <w:sz w:val="21"/>
        </w:rPr>
        <w:t>效力。经</w:t>
      </w:r>
      <w:r>
        <w:rPr>
          <w:spacing w:val="-5"/>
          <w:sz w:val="21"/>
        </w:rPr>
        <w:t>您</w:t>
      </w:r>
      <w:r>
        <w:rPr>
          <w:sz w:val="21"/>
        </w:rPr>
        <w:t>与我们</w:t>
      </w:r>
      <w:r>
        <w:rPr>
          <w:spacing w:val="-5"/>
          <w:sz w:val="21"/>
        </w:rPr>
        <w:t>协</w:t>
      </w:r>
      <w:r>
        <w:rPr>
          <w:sz w:val="21"/>
        </w:rPr>
        <w:t>商并达成协议</w:t>
      </w:r>
      <w:r>
        <w:rPr>
          <w:spacing w:val="-5"/>
          <w:sz w:val="21"/>
        </w:rPr>
        <w:t>，</w:t>
      </w:r>
      <w:r>
        <w:rPr>
          <w:sz w:val="21"/>
        </w:rPr>
        <w:t>自您补</w:t>
      </w:r>
      <w:r>
        <w:rPr>
          <w:spacing w:val="-5"/>
          <w:sz w:val="21"/>
        </w:rPr>
        <w:t>交</w:t>
      </w:r>
      <w:r>
        <w:rPr>
          <w:sz w:val="21"/>
        </w:rPr>
        <w:t>保险费</w:t>
      </w:r>
      <w:r>
        <w:rPr>
          <w:spacing w:val="-5"/>
          <w:sz w:val="21"/>
        </w:rPr>
        <w:t>之</w:t>
      </w:r>
      <w:r>
        <w:rPr>
          <w:sz w:val="21"/>
        </w:rPr>
        <w:t>日起，</w:t>
      </w:r>
      <w:r>
        <w:rPr>
          <w:spacing w:val="-5"/>
          <w:sz w:val="21"/>
        </w:rPr>
        <w:t>本</w:t>
      </w:r>
      <w:r>
        <w:rPr>
          <w:sz w:val="21"/>
        </w:rPr>
        <w:t>合同效</w:t>
      </w:r>
      <w:r>
        <w:rPr>
          <w:spacing w:val="-5"/>
          <w:sz w:val="21"/>
        </w:rPr>
        <w:t>力</w:t>
      </w:r>
      <w:r>
        <w:rPr>
          <w:sz w:val="21"/>
        </w:rPr>
        <w:t>恢</w:t>
      </w:r>
      <w:r>
        <w:rPr>
          <w:spacing w:val="-5"/>
          <w:sz w:val="21"/>
        </w:rPr>
        <w:t>复</w:t>
      </w:r>
      <w:r>
        <w:rPr>
          <w:sz w:val="21"/>
        </w:rPr>
        <w:t>。</w:t>
      </w:r>
    </w:p>
    <w:p>
      <w:pPr>
        <w:pStyle w:val="BodyText"/>
        <w:spacing w:line="271" w:lineRule="auto" w:before="110"/>
        <w:ind w:left="3016" w:right="99"/>
        <w:rPr>
          <w:rFonts w:ascii="黑体" w:eastAsia="黑体" w:hint="eastAsia"/>
        </w:rPr>
      </w:pPr>
      <w:r>
        <w:rPr>
          <w:rFonts w:ascii="黑体" w:eastAsia="黑体" w:hint="eastAsia"/>
          <w:spacing w:val="-5"/>
        </w:rPr>
        <w:t>自本合同效力中止之日起满 </w:t>
      </w:r>
      <w:r>
        <w:rPr>
          <w:rFonts w:ascii="黑体" w:eastAsia="黑体" w:hint="eastAsia"/>
        </w:rPr>
        <w:t>2</w:t>
      </w:r>
      <w:r>
        <w:rPr>
          <w:rFonts w:ascii="黑体" w:eastAsia="黑体" w:hint="eastAsia"/>
          <w:spacing w:val="-13"/>
        </w:rPr>
        <w:t> 年您和我们未达成协议的，我们有权解除本合同， </w:t>
      </w:r>
      <w:r>
        <w:rPr>
          <w:rFonts w:ascii="黑体" w:eastAsia="黑体" w:hint="eastAsia"/>
          <w:spacing w:val="-8"/>
        </w:rPr>
        <w:t>本合同自解除之日起终止。我们解除合同的，我们向您退还本合同中止之日的现金价值。</w:t>
      </w:r>
    </w:p>
    <w:p>
      <w:pPr>
        <w:pStyle w:val="BodyText"/>
        <w:spacing w:before="9"/>
        <w:rPr>
          <w:rFonts w:ascii="黑体"/>
          <w:sz w:val="15"/>
        </w:rPr>
      </w:pPr>
    </w:p>
    <w:p>
      <w:pPr>
        <w:pStyle w:val="Heading1"/>
        <w:numPr>
          <w:ilvl w:val="0"/>
          <w:numId w:val="7"/>
        </w:numPr>
        <w:tabs>
          <w:tab w:pos="1244" w:val="left" w:leader="none"/>
          <w:tab w:pos="1245" w:val="left" w:leader="none"/>
        </w:tabs>
        <w:spacing w:line="240" w:lineRule="auto" w:before="0" w:after="0"/>
        <w:ind w:left="1244" w:right="0" w:hanging="1032"/>
        <w:jc w:val="left"/>
      </w:pPr>
      <w:r>
        <w:rPr/>
        <w:pict>
          <v:group style="position:absolute;margin-left:51.119999pt;margin-top:27.673647pt;width:508.8pt;height:.5pt;mso-position-horizontal-relative:page;mso-position-vertical-relative:paragraph;z-index:1168;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合同解除</w:t>
      </w:r>
    </w:p>
    <w:p>
      <w:pPr>
        <w:spacing w:after="0" w:line="240" w:lineRule="auto"/>
        <w:jc w:val="left"/>
        <w:sectPr>
          <w:pgSz w:w="11900" w:h="16840"/>
          <w:pgMar w:top="1260" w:bottom="280" w:left="920" w:right="600"/>
        </w:sect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1982"/>
        <w:gridCol w:w="7339"/>
      </w:tblGrid>
      <w:tr>
        <w:trPr>
          <w:trHeight w:val="609" w:hRule="atLeast"/>
        </w:trPr>
        <w:tc>
          <w:tcPr>
            <w:tcW w:w="724" w:type="dxa"/>
          </w:tcPr>
          <w:p>
            <w:pPr>
              <w:pStyle w:val="TableParagraph"/>
              <w:spacing w:line="235" w:lineRule="exact"/>
              <w:ind w:left="50"/>
              <w:rPr>
                <w:rFonts w:ascii="Microsoft JhengHei"/>
                <w:b/>
                <w:sz w:val="21"/>
              </w:rPr>
            </w:pPr>
            <w:r>
              <w:rPr>
                <w:rFonts w:ascii="Microsoft JhengHei"/>
                <w:b/>
                <w:w w:val="105"/>
                <w:sz w:val="21"/>
              </w:rPr>
              <w:t>7.1</w:t>
            </w:r>
          </w:p>
        </w:tc>
        <w:tc>
          <w:tcPr>
            <w:tcW w:w="1982" w:type="dxa"/>
          </w:tcPr>
          <w:p>
            <w:pPr>
              <w:pStyle w:val="TableParagraph"/>
              <w:spacing w:line="206" w:lineRule="exact"/>
              <w:ind w:left="357"/>
              <w:rPr>
                <w:rFonts w:ascii="Microsoft JhengHei" w:eastAsia="Microsoft JhengHei" w:hint="eastAsia"/>
                <w:b/>
                <w:sz w:val="21"/>
              </w:rPr>
            </w:pPr>
            <w:r>
              <w:rPr>
                <w:rFonts w:ascii="Microsoft JhengHei" w:eastAsia="Microsoft JhengHei" w:hint="eastAsia"/>
                <w:b/>
                <w:sz w:val="21"/>
              </w:rPr>
              <w:t>您解除合同的手</w:t>
            </w:r>
          </w:p>
          <w:p>
            <w:pPr>
              <w:pStyle w:val="TableParagraph"/>
              <w:spacing w:line="336" w:lineRule="exact"/>
              <w:ind w:left="357"/>
              <w:rPr>
                <w:rFonts w:ascii="Microsoft JhengHei" w:eastAsia="Microsoft JhengHei" w:hint="eastAsia"/>
                <w:b/>
                <w:sz w:val="21"/>
              </w:rPr>
            </w:pPr>
            <w:r>
              <w:rPr>
                <w:rFonts w:ascii="Microsoft JhengHei" w:eastAsia="Microsoft JhengHei" w:hint="eastAsia"/>
                <w:b/>
                <w:sz w:val="21"/>
              </w:rPr>
              <w:t>续及风险</w:t>
            </w:r>
          </w:p>
        </w:tc>
        <w:tc>
          <w:tcPr>
            <w:tcW w:w="7339" w:type="dxa"/>
          </w:tcPr>
          <w:p>
            <w:pPr>
              <w:pStyle w:val="TableParagraph"/>
              <w:spacing w:line="211" w:lineRule="exact"/>
              <w:ind w:left="147"/>
              <w:rPr>
                <w:sz w:val="21"/>
              </w:rPr>
            </w:pPr>
            <w:r>
              <w:rPr>
                <w:sz w:val="21"/>
              </w:rPr>
              <w:t>如果被保险人未发生保险事故，且您在犹豫期后要求解除本合同，请填写解除</w:t>
            </w:r>
          </w:p>
          <w:p>
            <w:pPr>
              <w:pStyle w:val="TableParagraph"/>
              <w:spacing w:before="32"/>
              <w:ind w:left="147"/>
              <w:rPr>
                <w:sz w:val="21"/>
              </w:rPr>
            </w:pPr>
            <w:r>
              <w:rPr>
                <w:sz w:val="21"/>
              </w:rPr>
              <w:t>合同申请书并向我们提供下列资料的原件：</w:t>
            </w:r>
          </w:p>
        </w:tc>
      </w:tr>
      <w:tr>
        <w:trPr>
          <w:trHeight w:val="393" w:hRule="atLeast"/>
        </w:trPr>
        <w:tc>
          <w:tcPr>
            <w:tcW w:w="724" w:type="dxa"/>
          </w:tcPr>
          <w:p>
            <w:pPr>
              <w:pStyle w:val="TableParagraph"/>
              <w:rPr>
                <w:rFonts w:ascii="Times New Roman"/>
                <w:sz w:val="20"/>
              </w:rPr>
            </w:pPr>
          </w:p>
        </w:tc>
        <w:tc>
          <w:tcPr>
            <w:tcW w:w="1982" w:type="dxa"/>
          </w:tcPr>
          <w:p>
            <w:pPr>
              <w:pStyle w:val="TableParagraph"/>
              <w:rPr>
                <w:rFonts w:ascii="Times New Roman"/>
                <w:sz w:val="20"/>
              </w:rPr>
            </w:pPr>
          </w:p>
        </w:tc>
        <w:tc>
          <w:tcPr>
            <w:tcW w:w="7339" w:type="dxa"/>
          </w:tcPr>
          <w:p>
            <w:pPr>
              <w:pStyle w:val="TableParagraph"/>
              <w:spacing w:before="27"/>
              <w:ind w:left="147"/>
              <w:rPr>
                <w:sz w:val="21"/>
              </w:rPr>
            </w:pPr>
            <w:r>
              <w:rPr>
                <w:sz w:val="21"/>
              </w:rPr>
              <w:t>（1） 本合同；</w:t>
            </w:r>
          </w:p>
        </w:tc>
      </w:tr>
      <w:tr>
        <w:trPr>
          <w:trHeight w:val="391" w:hRule="atLeast"/>
        </w:trPr>
        <w:tc>
          <w:tcPr>
            <w:tcW w:w="724" w:type="dxa"/>
          </w:tcPr>
          <w:p>
            <w:pPr>
              <w:pStyle w:val="TableParagraph"/>
              <w:rPr>
                <w:rFonts w:ascii="Times New Roman"/>
                <w:sz w:val="20"/>
              </w:rPr>
            </w:pPr>
          </w:p>
        </w:tc>
        <w:tc>
          <w:tcPr>
            <w:tcW w:w="1982" w:type="dxa"/>
          </w:tcPr>
          <w:p>
            <w:pPr>
              <w:pStyle w:val="TableParagraph"/>
              <w:rPr>
                <w:rFonts w:ascii="Times New Roman"/>
                <w:sz w:val="20"/>
              </w:rPr>
            </w:pPr>
          </w:p>
        </w:tc>
        <w:tc>
          <w:tcPr>
            <w:tcW w:w="7339" w:type="dxa"/>
          </w:tcPr>
          <w:p>
            <w:pPr>
              <w:pStyle w:val="TableParagraph"/>
              <w:spacing w:before="27"/>
              <w:ind w:left="147"/>
              <w:rPr>
                <w:sz w:val="21"/>
              </w:rPr>
            </w:pPr>
            <w:r>
              <w:rPr>
                <w:sz w:val="21"/>
              </w:rPr>
              <w:t>（2） 您的有效身份证件。</w:t>
            </w:r>
          </w:p>
        </w:tc>
      </w:tr>
      <w:tr>
        <w:trPr>
          <w:trHeight w:val="698" w:hRule="atLeast"/>
        </w:trPr>
        <w:tc>
          <w:tcPr>
            <w:tcW w:w="724" w:type="dxa"/>
          </w:tcPr>
          <w:p>
            <w:pPr>
              <w:pStyle w:val="TableParagraph"/>
              <w:rPr>
                <w:rFonts w:ascii="Times New Roman"/>
                <w:sz w:val="20"/>
              </w:rPr>
            </w:pPr>
          </w:p>
        </w:tc>
        <w:tc>
          <w:tcPr>
            <w:tcW w:w="1982" w:type="dxa"/>
          </w:tcPr>
          <w:p>
            <w:pPr>
              <w:pStyle w:val="TableParagraph"/>
              <w:rPr>
                <w:rFonts w:ascii="Times New Roman"/>
                <w:sz w:val="20"/>
              </w:rPr>
            </w:pPr>
          </w:p>
        </w:tc>
        <w:tc>
          <w:tcPr>
            <w:tcW w:w="7339" w:type="dxa"/>
          </w:tcPr>
          <w:p>
            <w:pPr>
              <w:pStyle w:val="TableParagraph"/>
              <w:spacing w:line="268" w:lineRule="auto" w:before="25"/>
              <w:ind w:left="147" w:right="47"/>
              <w:rPr>
                <w:sz w:val="21"/>
              </w:rPr>
            </w:pPr>
            <w:r>
              <w:rPr>
                <w:sz w:val="21"/>
              </w:rPr>
              <w:t>自我们收到解除合同申请书时起，本合同终止</w:t>
            </w:r>
            <w:r>
              <w:rPr>
                <w:rFonts w:ascii="黑体" w:eastAsia="黑体" w:hint="eastAsia"/>
                <w:sz w:val="21"/>
              </w:rPr>
              <w:t>。</w:t>
            </w:r>
            <w:r>
              <w:rPr>
                <w:sz w:val="21"/>
              </w:rPr>
              <w:t>我们自收到解除合同申请书之日起 30 日内向您退还本合同终止时的现金价值。</w:t>
            </w:r>
          </w:p>
        </w:tc>
      </w:tr>
      <w:tr>
        <w:trPr>
          <w:trHeight w:val="302" w:hRule="atLeast"/>
        </w:trPr>
        <w:tc>
          <w:tcPr>
            <w:tcW w:w="724" w:type="dxa"/>
          </w:tcPr>
          <w:p>
            <w:pPr>
              <w:pStyle w:val="TableParagraph"/>
              <w:rPr>
                <w:rFonts w:ascii="Times New Roman"/>
                <w:sz w:val="20"/>
              </w:rPr>
            </w:pPr>
          </w:p>
        </w:tc>
        <w:tc>
          <w:tcPr>
            <w:tcW w:w="1982" w:type="dxa"/>
          </w:tcPr>
          <w:p>
            <w:pPr>
              <w:pStyle w:val="TableParagraph"/>
              <w:rPr>
                <w:rFonts w:ascii="Times New Roman"/>
                <w:sz w:val="20"/>
              </w:rPr>
            </w:pPr>
          </w:p>
        </w:tc>
        <w:tc>
          <w:tcPr>
            <w:tcW w:w="7339" w:type="dxa"/>
          </w:tcPr>
          <w:p>
            <w:pPr>
              <w:pStyle w:val="TableParagraph"/>
              <w:spacing w:line="255" w:lineRule="exact" w:before="27"/>
              <w:ind w:left="147"/>
              <w:rPr>
                <w:rFonts w:ascii="黑体" w:eastAsia="黑体" w:hint="eastAsia"/>
                <w:sz w:val="21"/>
              </w:rPr>
            </w:pPr>
            <w:r>
              <w:rPr>
                <w:rFonts w:ascii="黑体" w:eastAsia="黑体" w:hint="eastAsia"/>
                <w:sz w:val="21"/>
              </w:rPr>
              <w:t>您在犹豫期后解除合同会遭受一定损失。</w:t>
            </w:r>
          </w:p>
        </w:tc>
      </w:tr>
    </w:tbl>
    <w:p>
      <w:pPr>
        <w:pStyle w:val="BodyText"/>
        <w:spacing w:before="4"/>
        <w:rPr>
          <w:rFonts w:ascii="Microsoft JhengHei"/>
          <w:b/>
          <w:sz w:val="16"/>
        </w:rPr>
      </w:pPr>
    </w:p>
    <w:p>
      <w:pPr>
        <w:pStyle w:val="ListParagraph"/>
        <w:numPr>
          <w:ilvl w:val="0"/>
          <w:numId w:val="7"/>
        </w:numPr>
        <w:tabs>
          <w:tab w:pos="1244" w:val="left" w:leader="none"/>
          <w:tab w:pos="1245" w:val="left" w:leader="none"/>
        </w:tabs>
        <w:spacing w:line="368" w:lineRule="exact" w:before="0" w:after="0"/>
        <w:ind w:left="1244" w:right="0" w:hanging="1032"/>
        <w:jc w:val="left"/>
        <w:rPr>
          <w:rFonts w:ascii="Microsoft JhengHei" w:eastAsia="Microsoft JhengHei" w:hint="eastAsia"/>
          <w:b/>
          <w:sz w:val="24"/>
        </w:rPr>
      </w:pPr>
      <w:r>
        <w:rPr>
          <w:rFonts w:ascii="Microsoft JhengHei" w:eastAsia="Microsoft JhengHei" w:hint="eastAsia"/>
          <w:b/>
          <w:sz w:val="24"/>
        </w:rPr>
        <w:t>其他需要关注的事项</w:t>
      </w:r>
    </w:p>
    <w:p>
      <w:pPr>
        <w:pStyle w:val="BodyText"/>
        <w:spacing w:before="14"/>
        <w:rPr>
          <w:rFonts w:ascii="Microsoft JhengHei"/>
          <w:b/>
          <w:sz w:val="5"/>
        </w:rPr>
      </w:pPr>
      <w:r>
        <w:rPr/>
        <w:pict>
          <v:group style="position:absolute;margin-left:51.119999pt;margin-top:7.027276pt;width:508.8pt;height:.5pt;mso-position-horizontal-relative:page;mso-position-vertical-relative:paragraph;z-index:1192;mso-wrap-distance-left:0;mso-wrap-distance-right:0" coordorigin="1022,141"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7"/>
        </w:numPr>
        <w:tabs>
          <w:tab w:pos="1244" w:val="left" w:leader="none"/>
          <w:tab w:pos="1245" w:val="left" w:leader="none"/>
          <w:tab w:pos="3015" w:val="left" w:leader="none"/>
        </w:tabs>
        <w:spacing w:line="335" w:lineRule="exact" w:before="0" w:after="0"/>
        <w:ind w:left="1244" w:right="0" w:hanging="103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，本合</w:t>
      </w:r>
      <w:r>
        <w:rPr>
          <w:spacing w:val="-5"/>
          <w:sz w:val="21"/>
        </w:rPr>
        <w:t>同</w:t>
      </w:r>
      <w:r>
        <w:rPr>
          <w:sz w:val="21"/>
        </w:rPr>
        <w:t>效力终</w:t>
      </w:r>
      <w:r>
        <w:rPr>
          <w:spacing w:val="-5"/>
          <w:sz w:val="21"/>
        </w:rPr>
        <w:t>止</w:t>
      </w:r>
      <w:r>
        <w:rPr>
          <w:sz w:val="21"/>
        </w:rPr>
        <w:t>：</w:t>
      </w:r>
    </w:p>
    <w:p>
      <w:pPr>
        <w:pStyle w:val="ListParagraph"/>
        <w:numPr>
          <w:ilvl w:val="2"/>
          <w:numId w:val="7"/>
        </w:numPr>
        <w:tabs>
          <w:tab w:pos="3750" w:val="left" w:leader="none"/>
          <w:tab w:pos="3751" w:val="left" w:leader="none"/>
        </w:tabs>
        <w:spacing w:line="240" w:lineRule="auto" w:before="95" w:after="0"/>
        <w:ind w:left="3750" w:right="0" w:hanging="734"/>
        <w:jc w:val="left"/>
        <w:rPr>
          <w:sz w:val="21"/>
        </w:rPr>
      </w:pPr>
      <w:r>
        <w:rPr>
          <w:spacing w:val="-2"/>
          <w:sz w:val="21"/>
        </w:rPr>
        <w:t>被豁免合同效力终止；</w:t>
      </w:r>
    </w:p>
    <w:p>
      <w:pPr>
        <w:pStyle w:val="ListParagraph"/>
        <w:numPr>
          <w:ilvl w:val="2"/>
          <w:numId w:val="7"/>
        </w:numPr>
        <w:tabs>
          <w:tab w:pos="3750" w:val="left" w:leader="none"/>
          <w:tab w:pos="3751" w:val="left" w:leader="none"/>
        </w:tabs>
        <w:spacing w:line="240" w:lineRule="auto" w:before="114" w:after="0"/>
        <w:ind w:left="3750" w:right="0" w:hanging="734"/>
        <w:jc w:val="left"/>
        <w:rPr>
          <w:sz w:val="21"/>
        </w:rPr>
      </w:pPr>
      <w:r>
        <w:rPr>
          <w:spacing w:val="-3"/>
          <w:sz w:val="21"/>
        </w:rPr>
        <w:t>本合同约定的合同效力终止情况。</w:t>
      </w:r>
    </w:p>
    <w:p>
      <w:pPr>
        <w:pStyle w:val="BodyText"/>
        <w:spacing w:before="1"/>
        <w:rPr>
          <w:sz w:val="19"/>
        </w:rPr>
      </w:pPr>
    </w:p>
    <w:p>
      <w:pPr>
        <w:spacing w:after="0"/>
        <w:rPr>
          <w:sz w:val="19"/>
        </w:rPr>
        <w:sectPr>
          <w:pgSz w:w="11900" w:h="16840"/>
          <w:pgMar w:top="1260" w:bottom="280" w:left="920" w:right="600"/>
        </w:sectPr>
      </w:pPr>
    </w:p>
    <w:p>
      <w:pPr>
        <w:pStyle w:val="Heading2"/>
        <w:numPr>
          <w:ilvl w:val="1"/>
          <w:numId w:val="7"/>
        </w:numPr>
        <w:tabs>
          <w:tab w:pos="1244" w:val="left" w:leader="none"/>
          <w:tab w:pos="1245" w:val="left" w:leader="none"/>
        </w:tabs>
        <w:spacing w:line="201" w:lineRule="auto" w:before="28" w:after="0"/>
        <w:ind w:left="1244" w:right="0" w:hanging="1032"/>
        <w:jc w:val="left"/>
      </w:pPr>
      <w:r>
        <w:rPr/>
        <w:t>明确说明与如实告知</w:t>
      </w:r>
    </w:p>
    <w:p>
      <w:pPr>
        <w:pStyle w:val="BodyText"/>
        <w:spacing w:line="271" w:lineRule="auto" w:before="37"/>
        <w:ind w:left="212" w:right="205"/>
        <w:jc w:val="both"/>
      </w:pPr>
      <w:r>
        <w:rPr/>
        <w:br w:type="column"/>
      </w:r>
      <w:r>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91"/>
        <w:ind w:left="212"/>
      </w:pPr>
      <w:r>
        <w:rPr/>
        <w:t>我们会就您和被保险人的有关情况提出书面询问，您应当如实告知。</w:t>
      </w:r>
    </w:p>
    <w:p>
      <w:pPr>
        <w:pStyle w:val="BodyText"/>
        <w:spacing w:line="268" w:lineRule="auto"/>
        <w:ind w:left="212" w:right="205"/>
        <w:jc w:val="both"/>
        <w:rPr>
          <w:rFonts w:ascii="黑体" w:eastAsia="黑体" w:hint="eastAsia"/>
        </w:rPr>
      </w:pPr>
      <w:r>
        <w:rPr>
          <w:rFonts w:ascii="黑体" w:eastAsia="黑体" w:hint="eastAsia"/>
        </w:rPr>
        <w:t>如果您故意或者因重大过失未履行前款约定的如实告知义务，足以影响我们决定是否同意承保或者提高保险费率的，我们有权解除本合同。</w:t>
      </w:r>
    </w:p>
    <w:p>
      <w:pPr>
        <w:pStyle w:val="BodyText"/>
        <w:spacing w:line="273" w:lineRule="auto" w:before="93"/>
        <w:ind w:left="212" w:right="205"/>
        <w:jc w:val="both"/>
        <w:rPr>
          <w:rFonts w:ascii="黑体" w:eastAsia="黑体" w:hint="eastAsia"/>
        </w:rPr>
      </w:pPr>
      <w:r>
        <w:rPr>
          <w:rFonts w:ascii="黑体" w:eastAsia="黑体" w:hint="eastAsia"/>
        </w:rPr>
        <w:t>如果您故意不履行如实告知义务，对于本合同解除前发Th的保险事故，我们不承担保险责任，并不退还保险费。</w:t>
      </w:r>
    </w:p>
    <w:p>
      <w:pPr>
        <w:pStyle w:val="BodyText"/>
        <w:spacing w:line="271" w:lineRule="auto" w:before="89"/>
        <w:ind w:left="212" w:right="205"/>
        <w:jc w:val="both"/>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如果您因重大过失未履行如实告知义务，对保险事故的发Th有严重影响的，对于本合同解除前发Th的保险事故，我们不承担保险责任，但应当向您退还保险费。</w:t>
      </w:r>
    </w:p>
    <w:p>
      <w:pPr>
        <w:pStyle w:val="BodyText"/>
        <w:spacing w:line="268" w:lineRule="auto" w:before="91"/>
        <w:ind w:left="212" w:right="219"/>
        <w:jc w:val="both"/>
      </w:pPr>
      <w:r>
        <w:rPr/>
        <w:t>我们在合同订立时已经知道您未如实告知的情况的，我们不得解除合同；发生保险事故的，我们承担保险责任。</w:t>
      </w:r>
    </w:p>
    <w:p>
      <w:pPr>
        <w:spacing w:after="0" w:line="268" w:lineRule="auto"/>
        <w:jc w:val="both"/>
        <w:sectPr>
          <w:type w:val="continuous"/>
          <w:pgSz w:w="11900" w:h="16840"/>
          <w:pgMar w:top="560" w:bottom="280" w:left="920" w:right="600"/>
          <w:cols w:num="2" w:equalWidth="0">
            <w:col w:w="2723" w:space="80"/>
            <w:col w:w="7577"/>
          </w:cols>
        </w:sectPr>
      </w:pPr>
    </w:p>
    <w:p>
      <w:pPr>
        <w:pStyle w:val="BodyText"/>
        <w:spacing w:before="7"/>
        <w:rPr>
          <w:sz w:val="17"/>
        </w:rPr>
      </w:pPr>
    </w:p>
    <w:p>
      <w:pPr>
        <w:spacing w:after="0"/>
        <w:rPr>
          <w:sz w:val="17"/>
        </w:rPr>
        <w:sectPr>
          <w:type w:val="continuous"/>
          <w:pgSz w:w="11900" w:h="16840"/>
          <w:pgMar w:top="560" w:bottom="280" w:left="920" w:right="600"/>
        </w:sectPr>
      </w:pPr>
    </w:p>
    <w:p>
      <w:pPr>
        <w:pStyle w:val="Heading2"/>
        <w:numPr>
          <w:ilvl w:val="1"/>
          <w:numId w:val="7"/>
        </w:numPr>
        <w:tabs>
          <w:tab w:pos="1244" w:val="left" w:leader="none"/>
          <w:tab w:pos="1245" w:val="left" w:leader="none"/>
        </w:tabs>
        <w:spacing w:line="201" w:lineRule="auto" w:before="28" w:after="0"/>
        <w:ind w:left="1244" w:right="0" w:hanging="1032"/>
        <w:jc w:val="left"/>
      </w:pPr>
      <w:r>
        <w:rPr/>
        <w:t>我们合同解除权的限制</w:t>
      </w:r>
    </w:p>
    <w:p>
      <w:pPr>
        <w:pStyle w:val="BodyText"/>
        <w:spacing w:before="37"/>
        <w:ind w:left="212"/>
      </w:pPr>
      <w:r>
        <w:rPr/>
        <w:br w:type="column"/>
      </w:r>
      <w:r>
        <w:rPr/>
        <w:t>前款约定的合同解除权，自我们知道有解除事由之日起，超过 30 日不行使而消</w:t>
      </w:r>
    </w:p>
    <w:p>
      <w:pPr>
        <w:pStyle w:val="BodyText"/>
        <w:spacing w:line="273" w:lineRule="auto" w:before="32"/>
        <w:ind w:left="212" w:right="219"/>
      </w:pPr>
      <w:r>
        <w:rPr>
          <w:spacing w:val="-5"/>
        </w:rPr>
        <w:t>灭。自本合同成立之日起超过 </w:t>
      </w:r>
      <w:r>
        <w:rPr/>
        <w:t>2</w:t>
      </w:r>
      <w:r>
        <w:rPr>
          <w:spacing w:val="-7"/>
        </w:rPr>
        <w:t> 年的，我们不得解除合同；发生保险事故的， </w:t>
      </w:r>
      <w:r>
        <w:rPr>
          <w:spacing w:val="-6"/>
        </w:rPr>
        <w:t>我们承担保险责任。</w:t>
      </w:r>
    </w:p>
    <w:p>
      <w:pPr>
        <w:spacing w:after="0" w:line="273" w:lineRule="auto"/>
        <w:sectPr>
          <w:type w:val="continuous"/>
          <w:pgSz w:w="11900" w:h="16840"/>
          <w:pgMar w:top="560" w:bottom="280" w:left="920" w:right="600"/>
          <w:cols w:num="2" w:equalWidth="0">
            <w:col w:w="2723" w:space="80"/>
            <w:col w:w="7577"/>
          </w:cols>
        </w:sectPr>
      </w:pPr>
    </w:p>
    <w:p>
      <w:pPr>
        <w:pStyle w:val="BodyText"/>
        <w:spacing w:before="11"/>
        <w:rPr>
          <w:sz w:val="16"/>
        </w:rPr>
      </w:pPr>
    </w:p>
    <w:p>
      <w:pPr>
        <w:pStyle w:val="ListParagraph"/>
        <w:numPr>
          <w:ilvl w:val="1"/>
          <w:numId w:val="7"/>
        </w:numPr>
        <w:tabs>
          <w:tab w:pos="1244" w:val="left" w:leader="none"/>
          <w:tab w:pos="1245" w:val="left" w:leader="none"/>
          <w:tab w:pos="3015" w:val="left" w:leader="none"/>
        </w:tabs>
        <w:spacing w:line="308" w:lineRule="exact" w:before="35" w:after="0"/>
        <w:ind w:left="3016" w:right="205" w:hanging="2804"/>
        <w:jc w:val="left"/>
        <w:rPr>
          <w:sz w:val="21"/>
        </w:rPr>
      </w:pPr>
      <w:r>
        <w:rPr>
          <w:rFonts w:ascii="Microsoft JhengHei" w:eastAsia="Microsoft JhengHei" w:hint="eastAsia"/>
          <w:b/>
          <w:sz w:val="21"/>
        </w:rPr>
        <w:t>年龄性别错误</w:t>
        <w:tab/>
      </w:r>
      <w:r>
        <w:rPr>
          <w:sz w:val="21"/>
        </w:rPr>
        <w:t>您在申请投保时，</w:t>
      </w:r>
      <w:r>
        <w:rPr>
          <w:spacing w:val="-5"/>
          <w:sz w:val="21"/>
        </w:rPr>
        <w:t>应</w:t>
      </w:r>
      <w:r>
        <w:rPr>
          <w:sz w:val="21"/>
        </w:rPr>
        <w:t>将与有效身</w:t>
      </w:r>
      <w:r>
        <w:rPr>
          <w:spacing w:val="-5"/>
          <w:sz w:val="21"/>
        </w:rPr>
        <w:t>份</w:t>
      </w:r>
      <w:r>
        <w:rPr>
          <w:sz w:val="21"/>
        </w:rPr>
        <w:t>证件相符的</w:t>
      </w:r>
      <w:r>
        <w:rPr>
          <w:spacing w:val="-5"/>
          <w:sz w:val="21"/>
        </w:rPr>
        <w:t>被</w:t>
      </w:r>
      <w:r>
        <w:rPr>
          <w:sz w:val="21"/>
        </w:rPr>
        <w:t>保</w:t>
      </w:r>
      <w:r>
        <w:rPr>
          <w:spacing w:val="-5"/>
          <w:sz w:val="21"/>
        </w:rPr>
        <w:t>险</w:t>
      </w:r>
      <w:r>
        <w:rPr>
          <w:sz w:val="21"/>
        </w:rPr>
        <w:t>人的出生日期和性</w:t>
      </w:r>
      <w:r>
        <w:rPr>
          <w:spacing w:val="-5"/>
          <w:sz w:val="21"/>
        </w:rPr>
        <w:t>别</w:t>
      </w:r>
      <w:r>
        <w:rPr>
          <w:sz w:val="21"/>
        </w:rPr>
        <w:t>在投 保单上填</w:t>
      </w:r>
      <w:r>
        <w:rPr>
          <w:spacing w:val="-5"/>
          <w:sz w:val="21"/>
        </w:rPr>
        <w:t>明</w:t>
      </w:r>
      <w:r>
        <w:rPr>
          <w:sz w:val="21"/>
        </w:rPr>
        <w:t>，如果</w:t>
      </w:r>
      <w:r>
        <w:rPr>
          <w:spacing w:val="-5"/>
          <w:sz w:val="21"/>
        </w:rPr>
        <w:t>发</w:t>
      </w:r>
      <w:r>
        <w:rPr>
          <w:sz w:val="21"/>
        </w:rPr>
        <w:t>生错误</w:t>
      </w:r>
      <w:r>
        <w:rPr>
          <w:spacing w:val="-5"/>
          <w:sz w:val="21"/>
        </w:rPr>
        <w:t>按</w:t>
      </w:r>
      <w:r>
        <w:rPr>
          <w:sz w:val="21"/>
        </w:rPr>
        <w:t>照下列</w:t>
      </w:r>
      <w:r>
        <w:rPr>
          <w:spacing w:val="-5"/>
          <w:sz w:val="21"/>
        </w:rPr>
        <w:t>方</w:t>
      </w:r>
      <w:r>
        <w:rPr>
          <w:sz w:val="21"/>
        </w:rPr>
        <w:t>式办理：</w:t>
      </w:r>
    </w:p>
    <w:p>
      <w:pPr>
        <w:pStyle w:val="ListParagraph"/>
        <w:numPr>
          <w:ilvl w:val="0"/>
          <w:numId w:val="8"/>
        </w:numPr>
        <w:tabs>
          <w:tab w:pos="3741" w:val="left" w:leader="none"/>
        </w:tabs>
        <w:spacing w:line="273" w:lineRule="auto" w:before="86" w:after="0"/>
        <w:ind w:left="3740" w:right="200" w:hanging="724"/>
        <w:jc w:val="both"/>
        <w:rPr>
          <w:sz w:val="21"/>
        </w:rPr>
      </w:pPr>
      <w:r>
        <w:rPr>
          <w:rFonts w:ascii="黑体" w:hAnsi="黑体" w:eastAsia="黑体" w:hint="eastAsia"/>
          <w:spacing w:val="-9"/>
          <w:sz w:val="21"/>
        </w:rPr>
        <w:t>您申报的被保险人年龄不真实，并且其真实年龄不符合本合同约定投保</w:t>
      </w:r>
      <w:r>
        <w:rPr>
          <w:rFonts w:ascii="黑体" w:hAnsi="黑体" w:eastAsia="黑体" w:hint="eastAsia"/>
          <w:spacing w:val="-12"/>
          <w:sz w:val="21"/>
        </w:rPr>
        <w:t>年龄限制的，我们有权解除本合同。对于解除本合同的，本合同自解除</w:t>
      </w:r>
      <w:r>
        <w:rPr>
          <w:rFonts w:ascii="黑体" w:hAnsi="黑体" w:eastAsia="黑体" w:hint="eastAsia"/>
          <w:spacing w:val="-13"/>
          <w:sz w:val="21"/>
        </w:rPr>
        <w:t>之日起终止，我们向您退还本合同终止时的现金价值。对于本合同解除前发Th</w:t>
      </w:r>
      <w:r>
        <w:rPr>
          <w:rFonts w:ascii="黑体" w:hAnsi="黑体" w:eastAsia="黑体" w:hint="eastAsia"/>
          <w:spacing w:val="-18"/>
          <w:sz w:val="21"/>
        </w:rPr>
        <w:t>的保险事故，我们不承担保险责任。</w:t>
      </w:r>
      <w:r>
        <w:rPr>
          <w:spacing w:val="-12"/>
          <w:sz w:val="21"/>
        </w:rPr>
        <w:t>我们行使合同解除权适用“我</w:t>
      </w:r>
      <w:r>
        <w:rPr>
          <w:spacing w:val="-8"/>
          <w:sz w:val="21"/>
        </w:rPr>
        <w:t>们合同解除权的限制”的约定。</w:t>
      </w:r>
    </w:p>
    <w:p>
      <w:pPr>
        <w:pStyle w:val="ListParagraph"/>
        <w:numPr>
          <w:ilvl w:val="0"/>
          <w:numId w:val="8"/>
        </w:numPr>
        <w:tabs>
          <w:tab w:pos="3741" w:val="left" w:leader="none"/>
        </w:tabs>
        <w:spacing w:line="271" w:lineRule="auto" w:before="89" w:after="0"/>
        <w:ind w:left="3740" w:right="123" w:hanging="724"/>
        <w:jc w:val="left"/>
        <w:rPr>
          <w:rFonts w:ascii="黑体" w:eastAsia="黑体" w:hint="eastAsia"/>
          <w:sz w:val="21"/>
        </w:rPr>
      </w:pPr>
      <w:r>
        <w:rPr>
          <w:rFonts w:ascii="黑体" w:eastAsia="黑体" w:hint="eastAsia"/>
          <w:spacing w:val="-8"/>
          <w:sz w:val="21"/>
        </w:rPr>
        <w:t>您申报的被保险人年龄或者性别不真实，致使您实交保险费少于应交保</w:t>
      </w:r>
      <w:r>
        <w:rPr>
          <w:rFonts w:ascii="黑体" w:eastAsia="黑体" w:hint="eastAsia"/>
          <w:spacing w:val="-6"/>
          <w:sz w:val="21"/>
        </w:rPr>
        <w:t>险费的，我们有权更正并要求您补交保险费。如果已经发</w:t>
      </w:r>
      <w:r>
        <w:rPr>
          <w:rFonts w:ascii="黑体" w:eastAsia="黑体" w:hint="eastAsia"/>
          <w:sz w:val="21"/>
        </w:rPr>
        <w:t>Th</w:t>
      </w:r>
      <w:r>
        <w:rPr>
          <w:rFonts w:ascii="黑体" w:eastAsia="黑体" w:hint="eastAsia"/>
          <w:spacing w:val="-2"/>
          <w:sz w:val="21"/>
        </w:rPr>
        <w:t>保险事故， </w:t>
      </w:r>
      <w:r>
        <w:rPr>
          <w:rFonts w:ascii="黑体" w:eastAsia="黑体" w:hint="eastAsia"/>
          <w:spacing w:val="-5"/>
          <w:sz w:val="21"/>
        </w:rPr>
        <w:t>在给付保险金时按实交保险费和应交保险费的比例给付。</w:t>
      </w:r>
    </w:p>
    <w:p>
      <w:pPr>
        <w:spacing w:after="0" w:line="271" w:lineRule="auto"/>
        <w:jc w:val="left"/>
        <w:rPr>
          <w:rFonts w:ascii="黑体" w:eastAsia="黑体" w:hint="eastAsia"/>
          <w:sz w:val="21"/>
        </w:rPr>
        <w:sectPr>
          <w:type w:val="continuous"/>
          <w:pgSz w:w="11900" w:h="16840"/>
          <w:pgMar w:top="560" w:bottom="280" w:left="920" w:right="600"/>
        </w:sectPr>
      </w:pPr>
    </w:p>
    <w:p>
      <w:pPr>
        <w:pStyle w:val="ListParagraph"/>
        <w:numPr>
          <w:ilvl w:val="0"/>
          <w:numId w:val="8"/>
        </w:numPr>
        <w:tabs>
          <w:tab w:pos="3741" w:val="left" w:leader="none"/>
        </w:tabs>
        <w:spacing w:line="268" w:lineRule="auto" w:before="21" w:after="0"/>
        <w:ind w:left="3740" w:right="225" w:hanging="724"/>
        <w:jc w:val="left"/>
        <w:rPr>
          <w:sz w:val="21"/>
        </w:rPr>
      </w:pPr>
      <w:r>
        <w:rPr>
          <w:spacing w:val="-8"/>
          <w:sz w:val="21"/>
        </w:rPr>
        <w:t>您申报的被保险人年龄或者性别不真实，致使您实交保险费多于应交保</w:t>
      </w:r>
      <w:r>
        <w:rPr>
          <w:spacing w:val="-5"/>
          <w:sz w:val="21"/>
        </w:rPr>
        <w:t>险费的，我们向您无息退还多收的保险费。</w:t>
      </w:r>
    </w:p>
    <w:p>
      <w:pPr>
        <w:pStyle w:val="BodyText"/>
        <w:spacing w:before="3"/>
        <w:rPr>
          <w:sz w:val="15"/>
        </w:rPr>
      </w:pPr>
    </w:p>
    <w:p>
      <w:pPr>
        <w:pStyle w:val="ListParagraph"/>
        <w:numPr>
          <w:ilvl w:val="1"/>
          <w:numId w:val="7"/>
        </w:numPr>
        <w:tabs>
          <w:tab w:pos="1244" w:val="left" w:leader="none"/>
          <w:tab w:pos="1245" w:val="left" w:leader="none"/>
          <w:tab w:pos="3015" w:val="left" w:leader="none"/>
        </w:tabs>
        <w:spacing w:line="256" w:lineRule="auto" w:before="0" w:after="0"/>
        <w:ind w:left="3016" w:right="239" w:hanging="2804"/>
        <w:jc w:val="both"/>
        <w:rPr>
          <w:sz w:val="21"/>
        </w:rPr>
      </w:pPr>
      <w:r>
        <w:rPr>
          <w:rFonts w:ascii="Microsoft JhengHei" w:eastAsia="Microsoft JhengHei" w:hint="eastAsia"/>
          <w:b/>
          <w:sz w:val="21"/>
        </w:rPr>
        <w:t>未还款项</w:t>
        <w:tab/>
      </w:r>
      <w:r>
        <w:rPr>
          <w:spacing w:val="-1"/>
          <w:sz w:val="21"/>
        </w:rPr>
        <w:t>我</w:t>
      </w:r>
      <w:r>
        <w:rPr>
          <w:sz w:val="21"/>
        </w:rPr>
        <w:t>们在给</w:t>
      </w:r>
      <w:r>
        <w:rPr>
          <w:spacing w:val="-5"/>
          <w:sz w:val="21"/>
        </w:rPr>
        <w:t>付</w:t>
      </w:r>
      <w:r>
        <w:rPr>
          <w:sz w:val="21"/>
        </w:rPr>
        <w:t>各项保</w:t>
      </w:r>
      <w:r>
        <w:rPr>
          <w:spacing w:val="-5"/>
          <w:sz w:val="21"/>
        </w:rPr>
        <w:t>险</w:t>
      </w:r>
      <w:r>
        <w:rPr>
          <w:sz w:val="21"/>
        </w:rPr>
        <w:t>金、退</w:t>
      </w:r>
      <w:r>
        <w:rPr>
          <w:spacing w:val="-5"/>
          <w:sz w:val="21"/>
        </w:rPr>
        <w:t>还</w:t>
      </w:r>
      <w:r>
        <w:rPr>
          <w:sz w:val="21"/>
        </w:rPr>
        <w:t>现金价</w:t>
      </w:r>
      <w:r>
        <w:rPr>
          <w:spacing w:val="-5"/>
          <w:sz w:val="21"/>
        </w:rPr>
        <w:t>值</w:t>
      </w:r>
      <w:r>
        <w:rPr>
          <w:sz w:val="21"/>
        </w:rPr>
        <w:t>或者返</w:t>
      </w:r>
      <w:r>
        <w:rPr>
          <w:spacing w:val="-5"/>
          <w:sz w:val="21"/>
        </w:rPr>
        <w:t>还</w:t>
      </w:r>
      <w:r>
        <w:rPr>
          <w:sz w:val="21"/>
        </w:rPr>
        <w:t>保</w:t>
      </w:r>
      <w:r>
        <w:rPr>
          <w:spacing w:val="-5"/>
          <w:sz w:val="21"/>
        </w:rPr>
        <w:t>险</w:t>
      </w:r>
      <w:r>
        <w:rPr>
          <w:sz w:val="21"/>
        </w:rPr>
        <w:t>费时，如</w:t>
      </w:r>
      <w:r>
        <w:rPr>
          <w:spacing w:val="-5"/>
          <w:sz w:val="21"/>
        </w:rPr>
        <w:t>果</w:t>
      </w:r>
      <w:r>
        <w:rPr>
          <w:sz w:val="21"/>
        </w:rPr>
        <w:t>您有欠</w:t>
      </w:r>
      <w:r>
        <w:rPr>
          <w:spacing w:val="-5"/>
          <w:sz w:val="21"/>
        </w:rPr>
        <w:t>交</w:t>
      </w:r>
      <w:r>
        <w:rPr>
          <w:sz w:val="21"/>
        </w:rPr>
        <w:t>的保 险费、保</w:t>
      </w:r>
      <w:r>
        <w:rPr>
          <w:spacing w:val="-5"/>
          <w:sz w:val="21"/>
        </w:rPr>
        <w:t>单</w:t>
      </w:r>
      <w:r>
        <w:rPr>
          <w:sz w:val="21"/>
        </w:rPr>
        <w:t>贷款或</w:t>
      </w:r>
      <w:r>
        <w:rPr>
          <w:spacing w:val="-5"/>
          <w:sz w:val="21"/>
        </w:rPr>
        <w:t>者</w:t>
      </w:r>
      <w:r>
        <w:rPr>
          <w:sz w:val="21"/>
        </w:rPr>
        <w:t>其他各</w:t>
      </w:r>
      <w:r>
        <w:rPr>
          <w:spacing w:val="-5"/>
          <w:sz w:val="21"/>
        </w:rPr>
        <w:t>项</w:t>
      </w:r>
      <w:r>
        <w:rPr>
          <w:sz w:val="21"/>
        </w:rPr>
        <w:t>欠款，</w:t>
      </w:r>
      <w:r>
        <w:rPr>
          <w:spacing w:val="-5"/>
          <w:sz w:val="21"/>
        </w:rPr>
        <w:t>我</w:t>
      </w:r>
      <w:r>
        <w:rPr>
          <w:sz w:val="21"/>
        </w:rPr>
        <w:t>们按照</w:t>
      </w:r>
      <w:r>
        <w:rPr>
          <w:spacing w:val="-5"/>
          <w:sz w:val="21"/>
        </w:rPr>
        <w:t>您</w:t>
      </w:r>
      <w:r>
        <w:rPr>
          <w:sz w:val="21"/>
        </w:rPr>
        <w:t>和</w:t>
      </w:r>
      <w:r>
        <w:rPr>
          <w:spacing w:val="-5"/>
          <w:sz w:val="21"/>
        </w:rPr>
        <w:t>其</w:t>
      </w:r>
      <w:r>
        <w:rPr>
          <w:sz w:val="21"/>
        </w:rPr>
        <w:t>他权利人</w:t>
      </w:r>
      <w:r>
        <w:rPr>
          <w:spacing w:val="-5"/>
          <w:sz w:val="21"/>
        </w:rPr>
        <w:t>与</w:t>
      </w:r>
      <w:r>
        <w:rPr>
          <w:sz w:val="21"/>
        </w:rPr>
        <w:t>我们的</w:t>
      </w:r>
      <w:r>
        <w:rPr>
          <w:spacing w:val="-5"/>
          <w:sz w:val="21"/>
        </w:rPr>
        <w:t>约</w:t>
      </w:r>
      <w:r>
        <w:rPr>
          <w:sz w:val="21"/>
        </w:rPr>
        <w:t>定， 在扣除上</w:t>
      </w:r>
      <w:r>
        <w:rPr>
          <w:spacing w:val="-5"/>
          <w:sz w:val="21"/>
        </w:rPr>
        <w:t>述</w:t>
      </w:r>
      <w:r>
        <w:rPr>
          <w:sz w:val="21"/>
        </w:rPr>
        <w:t>各项欠</w:t>
      </w:r>
      <w:r>
        <w:rPr>
          <w:spacing w:val="-5"/>
          <w:sz w:val="21"/>
        </w:rPr>
        <w:t>款</w:t>
      </w:r>
      <w:r>
        <w:rPr>
          <w:sz w:val="21"/>
        </w:rPr>
        <w:t>及应付</w:t>
      </w:r>
      <w:r>
        <w:rPr>
          <w:spacing w:val="-5"/>
          <w:sz w:val="21"/>
        </w:rPr>
        <w:t>利</w:t>
      </w:r>
      <w:r>
        <w:rPr>
          <w:sz w:val="21"/>
        </w:rPr>
        <w:t>息后给</w:t>
      </w:r>
      <w:r>
        <w:rPr>
          <w:spacing w:val="-5"/>
          <w:sz w:val="21"/>
        </w:rPr>
        <w:t>付</w:t>
      </w:r>
      <w:r>
        <w:rPr>
          <w:sz w:val="21"/>
        </w:rPr>
        <w:t>。</w:t>
      </w:r>
    </w:p>
    <w:p>
      <w:pPr>
        <w:pStyle w:val="BodyText"/>
        <w:spacing w:before="0"/>
        <w:rPr>
          <w:sz w:val="16"/>
        </w:rPr>
      </w:pPr>
    </w:p>
    <w:p>
      <w:pPr>
        <w:pStyle w:val="ListParagraph"/>
        <w:numPr>
          <w:ilvl w:val="1"/>
          <w:numId w:val="7"/>
        </w:numPr>
        <w:tabs>
          <w:tab w:pos="1244" w:val="left" w:leader="none"/>
          <w:tab w:pos="1245" w:val="left" w:leader="none"/>
        </w:tabs>
        <w:spacing w:line="256" w:lineRule="auto" w:before="0" w:after="0"/>
        <w:ind w:left="3016" w:right="239" w:hanging="2804"/>
        <w:jc w:val="both"/>
        <w:rPr>
          <w:sz w:val="21"/>
        </w:rPr>
      </w:pPr>
      <w:r>
        <w:rPr>
          <w:rFonts w:ascii="Microsoft JhengHei" w:eastAsia="Microsoft JhengHei" w:hint="eastAsia"/>
          <w:b/>
          <w:spacing w:val="0"/>
          <w:sz w:val="21"/>
        </w:rPr>
        <w:t>合同内容变更       </w:t>
      </w:r>
      <w:r>
        <w:rPr>
          <w:spacing w:val="-5"/>
          <w:sz w:val="21"/>
        </w:rPr>
        <w:t>在本合同有效期内，经您与我们协商一致，可以变更本合同的有关内容。变更本合同的，应当由我们在保险单或者其他保险凭证上批注或者附贴批单，或者由您与我们订立书面的变更协议。</w:t>
      </w:r>
    </w:p>
    <w:p>
      <w:pPr>
        <w:pStyle w:val="BodyText"/>
        <w:spacing w:before="8"/>
        <w:rPr>
          <w:sz w:val="15"/>
        </w:rPr>
      </w:pPr>
    </w:p>
    <w:p>
      <w:pPr>
        <w:pStyle w:val="ListParagraph"/>
        <w:numPr>
          <w:ilvl w:val="1"/>
          <w:numId w:val="7"/>
        </w:numPr>
        <w:tabs>
          <w:tab w:pos="1244" w:val="left" w:leader="none"/>
          <w:tab w:pos="1245" w:val="left" w:leader="none"/>
        </w:tabs>
        <w:spacing w:line="261" w:lineRule="auto" w:before="0" w:after="0"/>
        <w:ind w:left="3016" w:right="239" w:hanging="2804"/>
        <w:jc w:val="both"/>
        <w:rPr>
          <w:rFonts w:ascii="黑体" w:eastAsia="黑体" w:hint="eastAsia"/>
          <w:sz w:val="21"/>
        </w:rPr>
      </w:pPr>
      <w:r>
        <w:rPr>
          <w:rFonts w:ascii="Microsoft JhengHei" w:eastAsia="Microsoft JhengHei" w:hint="eastAsia"/>
          <w:b/>
          <w:spacing w:val="0"/>
          <w:sz w:val="21"/>
        </w:rPr>
        <w:t>联系方式变更       </w:t>
      </w:r>
      <w:r>
        <w:rPr>
          <w:spacing w:val="-5"/>
          <w:sz w:val="21"/>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spacing w:val="-5"/>
          <w:sz w:val="21"/>
        </w:rPr>
        <w:t>我们按本合同载明的最后住所或者通讯地址发送的有关通知，均视为已送达给您。</w:t>
      </w:r>
    </w:p>
    <w:p>
      <w:pPr>
        <w:pStyle w:val="BodyText"/>
        <w:spacing w:before="9"/>
        <w:rPr>
          <w:rFonts w:ascii="黑体"/>
          <w:sz w:val="15"/>
        </w:rPr>
      </w:pPr>
    </w:p>
    <w:p>
      <w:pPr>
        <w:pStyle w:val="ListParagraph"/>
        <w:numPr>
          <w:ilvl w:val="1"/>
          <w:numId w:val="7"/>
        </w:numPr>
        <w:tabs>
          <w:tab w:pos="1244" w:val="left" w:leader="none"/>
          <w:tab w:pos="1245" w:val="left" w:leader="none"/>
          <w:tab w:pos="3015" w:val="left" w:leader="none"/>
        </w:tabs>
        <w:spacing w:line="244" w:lineRule="auto" w:before="0" w:after="0"/>
        <w:ind w:left="3016" w:right="225" w:hanging="2804"/>
        <w:jc w:val="both"/>
        <w:rPr>
          <w:sz w:val="21"/>
        </w:rPr>
      </w:pPr>
      <w:r>
        <w:rPr>
          <w:rFonts w:ascii="Microsoft JhengHei" w:eastAsia="Microsoft JhengHei" w:hint="eastAsia"/>
          <w:b/>
          <w:sz w:val="21"/>
        </w:rPr>
        <w:t>争议处理</w:t>
        <w:tab/>
      </w:r>
      <w:r>
        <w:rPr>
          <w:sz w:val="21"/>
        </w:rPr>
        <w:t>本合同履行过程中</w:t>
      </w:r>
      <w:r>
        <w:rPr>
          <w:spacing w:val="-5"/>
          <w:sz w:val="21"/>
        </w:rPr>
        <w:t>，</w:t>
      </w:r>
      <w:r>
        <w:rPr>
          <w:sz w:val="21"/>
        </w:rPr>
        <w:t>双方发生争</w:t>
      </w:r>
      <w:r>
        <w:rPr>
          <w:spacing w:val="-5"/>
          <w:sz w:val="21"/>
        </w:rPr>
        <w:t>议</w:t>
      </w:r>
      <w:r>
        <w:rPr>
          <w:sz w:val="21"/>
        </w:rPr>
        <w:t>时，可以从</w:t>
      </w:r>
      <w:r>
        <w:rPr>
          <w:spacing w:val="-5"/>
          <w:sz w:val="21"/>
        </w:rPr>
        <w:t>下</w:t>
      </w:r>
      <w:r>
        <w:rPr>
          <w:sz w:val="21"/>
        </w:rPr>
        <w:t>列</w:t>
      </w:r>
      <w:r>
        <w:rPr>
          <w:spacing w:val="-5"/>
          <w:sz w:val="21"/>
        </w:rPr>
        <w:t>两</w:t>
      </w:r>
      <w:r>
        <w:rPr>
          <w:sz w:val="21"/>
        </w:rPr>
        <w:t>种方式中选择一种</w:t>
      </w:r>
      <w:r>
        <w:rPr>
          <w:spacing w:val="-5"/>
          <w:sz w:val="21"/>
        </w:rPr>
        <w:t>争</w:t>
      </w:r>
      <w:r>
        <w:rPr>
          <w:sz w:val="21"/>
        </w:rPr>
        <w:t>议处 理方式：</w:t>
      </w:r>
    </w:p>
    <w:p>
      <w:pPr>
        <w:pStyle w:val="ListParagraph"/>
        <w:numPr>
          <w:ilvl w:val="0"/>
          <w:numId w:val="9"/>
        </w:numPr>
        <w:tabs>
          <w:tab w:pos="3736" w:val="left" w:leader="none"/>
          <w:tab w:pos="10220" w:val="left" w:leader="none"/>
        </w:tabs>
        <w:spacing w:line="268" w:lineRule="auto" w:before="114" w:after="0"/>
        <w:ind w:left="3736" w:right="177" w:hanging="720"/>
        <w:jc w:val="left"/>
        <w:rPr>
          <w:sz w:val="21"/>
        </w:rPr>
      </w:pPr>
      <w:r>
        <w:rPr>
          <w:spacing w:val="-1"/>
          <w:sz w:val="21"/>
        </w:rPr>
        <w:t>因</w:t>
      </w:r>
      <w:r>
        <w:rPr>
          <w:sz w:val="21"/>
        </w:rPr>
        <w:t>履行本</w:t>
      </w:r>
      <w:r>
        <w:rPr>
          <w:spacing w:val="-5"/>
          <w:sz w:val="21"/>
        </w:rPr>
        <w:t>合</w:t>
      </w:r>
      <w:r>
        <w:rPr>
          <w:sz w:val="21"/>
        </w:rPr>
        <w:t>同发生</w:t>
      </w:r>
      <w:r>
        <w:rPr>
          <w:spacing w:val="-5"/>
          <w:sz w:val="21"/>
        </w:rPr>
        <w:t>的</w:t>
      </w:r>
      <w:r>
        <w:rPr>
          <w:sz w:val="21"/>
        </w:rPr>
        <w:t>争</w:t>
      </w:r>
      <w:r>
        <w:rPr>
          <w:spacing w:val="-5"/>
          <w:sz w:val="21"/>
        </w:rPr>
        <w:t>议</w:t>
      </w:r>
      <w:r>
        <w:rPr>
          <w:spacing w:val="-58"/>
          <w:sz w:val="21"/>
        </w:rPr>
        <w:t>，</w:t>
      </w:r>
      <w:r>
        <w:rPr>
          <w:sz w:val="21"/>
        </w:rPr>
        <w:t>由双</w:t>
      </w:r>
      <w:r>
        <w:rPr>
          <w:spacing w:val="-5"/>
          <w:sz w:val="21"/>
        </w:rPr>
        <w:t>方</w:t>
      </w:r>
      <w:r>
        <w:rPr>
          <w:sz w:val="21"/>
        </w:rPr>
        <w:t>协商解</w:t>
      </w:r>
      <w:r>
        <w:rPr>
          <w:spacing w:val="-5"/>
          <w:sz w:val="21"/>
        </w:rPr>
        <w:t>决</w:t>
      </w:r>
      <w:r>
        <w:rPr>
          <w:spacing w:val="-58"/>
          <w:sz w:val="21"/>
        </w:rPr>
        <w:t>，</w:t>
      </w:r>
      <w:r>
        <w:rPr>
          <w:spacing w:val="-5"/>
          <w:sz w:val="21"/>
        </w:rPr>
        <w:t>协</w:t>
      </w:r>
      <w:r>
        <w:rPr>
          <w:sz w:val="21"/>
        </w:rPr>
        <w:t>商</w:t>
      </w:r>
      <w:r>
        <w:rPr>
          <w:spacing w:val="-5"/>
          <w:sz w:val="21"/>
        </w:rPr>
        <w:t>不</w:t>
      </w:r>
      <w:r>
        <w:rPr>
          <w:sz w:val="21"/>
        </w:rPr>
        <w:t>成的</w:t>
      </w:r>
      <w:r>
        <w:rPr>
          <w:spacing w:val="-63"/>
          <w:sz w:val="21"/>
        </w:rPr>
        <w:t>，</w:t>
      </w:r>
      <w:r>
        <w:rPr>
          <w:sz w:val="21"/>
        </w:rPr>
        <w:t>提交</w:t>
      </w:r>
      <w:r>
        <w:rPr>
          <w:sz w:val="21"/>
          <w:u w:val="single"/>
        </w:rPr>
        <w:tab/>
      </w:r>
      <w:r>
        <w:rPr>
          <w:sz w:val="21"/>
        </w:rPr>
        <w:t>      仲裁委员</w:t>
      </w:r>
      <w:r>
        <w:rPr>
          <w:spacing w:val="-5"/>
          <w:sz w:val="21"/>
        </w:rPr>
        <w:t>会</w:t>
      </w:r>
      <w:r>
        <w:rPr>
          <w:sz w:val="21"/>
        </w:rPr>
        <w:t>仲裁；</w:t>
      </w:r>
    </w:p>
    <w:p>
      <w:pPr>
        <w:pStyle w:val="ListParagraph"/>
        <w:numPr>
          <w:ilvl w:val="0"/>
          <w:numId w:val="9"/>
        </w:numPr>
        <w:tabs>
          <w:tab w:pos="3736" w:val="left" w:leader="none"/>
        </w:tabs>
        <w:spacing w:line="273" w:lineRule="auto" w:before="93" w:after="0"/>
        <w:ind w:left="3736" w:right="220" w:hanging="720"/>
        <w:jc w:val="left"/>
        <w:rPr>
          <w:sz w:val="21"/>
        </w:rPr>
      </w:pPr>
      <w:r>
        <w:rPr>
          <w:spacing w:val="-7"/>
          <w:sz w:val="21"/>
        </w:rPr>
        <w:t>因履行本合同发生的争议，由双方协商解决，协商不成的，依法向人民法院起诉。</w:t>
      </w:r>
    </w:p>
    <w:p>
      <w:pPr>
        <w:pStyle w:val="BodyText"/>
        <w:spacing w:before="7"/>
        <w:rPr>
          <w:sz w:val="14"/>
        </w:rPr>
      </w:pPr>
    </w:p>
    <w:p>
      <w:pPr>
        <w:pStyle w:val="ListParagraph"/>
        <w:numPr>
          <w:ilvl w:val="1"/>
          <w:numId w:val="7"/>
        </w:numPr>
        <w:tabs>
          <w:tab w:pos="1244" w:val="left" w:leader="none"/>
          <w:tab w:pos="1245" w:val="left" w:leader="none"/>
        </w:tabs>
        <w:spacing w:line="244" w:lineRule="auto" w:before="0" w:after="0"/>
        <w:ind w:left="3016" w:right="239" w:hanging="2804"/>
        <w:jc w:val="both"/>
        <w:rPr>
          <w:sz w:val="21"/>
        </w:rPr>
      </w:pPr>
      <w:r>
        <w:rPr>
          <w:rFonts w:ascii="Microsoft JhengHei" w:eastAsia="Microsoft JhengHei" w:hint="eastAsia"/>
          <w:b/>
          <w:spacing w:val="0"/>
          <w:sz w:val="21"/>
        </w:rPr>
        <w:t>保险事故鉴定       </w:t>
      </w:r>
      <w:r>
        <w:rPr>
          <w:spacing w:val="-5"/>
          <w:sz w:val="21"/>
        </w:rPr>
        <w:t>如果被保险人发生保险事故，您和我们均可以委托保险公估机构等依法设立的独立评估机构或者具有相关专业知识的人员，对保险事故进行评估和鉴定。</w:t>
      </w:r>
    </w:p>
    <w:p>
      <w:pPr>
        <w:pStyle w:val="BodyText"/>
        <w:spacing w:before="6"/>
        <w:rPr>
          <w:sz w:val="17"/>
        </w:rPr>
      </w:pPr>
    </w:p>
    <w:p>
      <w:pPr>
        <w:pStyle w:val="Heading1"/>
        <w:numPr>
          <w:ilvl w:val="0"/>
          <w:numId w:val="7"/>
        </w:numPr>
        <w:tabs>
          <w:tab w:pos="1244" w:val="left" w:leader="none"/>
          <w:tab w:pos="1245" w:val="left" w:leader="none"/>
        </w:tabs>
        <w:spacing w:line="240" w:lineRule="auto" w:before="0" w:after="0"/>
        <w:ind w:left="1244" w:right="0" w:hanging="1032"/>
        <w:jc w:val="left"/>
      </w:pPr>
      <w:r>
        <w:rPr/>
        <w:t>重大疾病定义</w:t>
      </w:r>
    </w:p>
    <w:p>
      <w:pPr>
        <w:pStyle w:val="BodyText"/>
        <w:spacing w:before="14"/>
        <w:rPr>
          <w:rFonts w:ascii="Microsoft JhengHei"/>
          <w:b/>
          <w:sz w:val="5"/>
        </w:rPr>
      </w:pPr>
      <w:r>
        <w:rPr/>
        <w:pict>
          <v:group style="position:absolute;margin-left:51.119999pt;margin-top:7.02233pt;width:508.8pt;height:.5pt;mso-position-horizontal-relative:page;mso-position-vertical-relative:paragraph;z-index:1216;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BodyText"/>
        <w:spacing w:line="273" w:lineRule="auto" w:before="36"/>
        <w:ind w:left="3016" w:right="225"/>
        <w:jc w:val="both"/>
      </w:pPr>
      <w:r>
        <w:rPr>
          <w:spacing w:val="-6"/>
        </w:rPr>
        <w:t>本合同所定义的重大疾病共有 </w:t>
      </w:r>
      <w:r>
        <w:rPr/>
        <w:t>70</w:t>
      </w:r>
      <w:r>
        <w:rPr>
          <w:spacing w:val="-16"/>
        </w:rPr>
        <w:t> 种，其中第 </w:t>
      </w:r>
      <w:r>
        <w:rPr/>
        <w:t>1</w:t>
      </w:r>
      <w:r>
        <w:rPr>
          <w:spacing w:val="-33"/>
        </w:rPr>
        <w:t> 至 </w:t>
      </w:r>
      <w:r>
        <w:rPr/>
        <w:t>25</w:t>
      </w:r>
      <w:r>
        <w:rPr>
          <w:spacing w:val="-8"/>
        </w:rPr>
        <w:t> 种重大疾病为中国保险行</w:t>
      </w:r>
      <w:r>
        <w:rPr>
          <w:spacing w:val="-11"/>
          <w:w w:val="100"/>
        </w:rPr>
        <w:t>业协会颁布的《重大疾病保险的疾病定义使用规范》</w:t>
      </w:r>
      <w:r>
        <w:rPr>
          <w:spacing w:val="-1"/>
          <w:w w:val="100"/>
        </w:rPr>
        <w:t>（</w:t>
      </w:r>
      <w:r>
        <w:rPr>
          <w:spacing w:val="-15"/>
          <w:w w:val="100"/>
        </w:rPr>
        <w:t>以下简称“规范”</w:t>
      </w:r>
      <w:r>
        <w:rPr>
          <w:spacing w:val="-5"/>
          <w:w w:val="100"/>
        </w:rPr>
        <w:t>）</w:t>
      </w:r>
      <w:r>
        <w:rPr>
          <w:w w:val="100"/>
        </w:rPr>
        <w:t>规定</w:t>
      </w:r>
      <w:r>
        <w:rPr>
          <w:spacing w:val="-16"/>
        </w:rPr>
        <w:t>的疾病，且疾病名称和疾病定义与“规范”一致，第 </w:t>
      </w:r>
      <w:r>
        <w:rPr>
          <w:spacing w:val="-3"/>
        </w:rPr>
        <w:t>26</w:t>
      </w:r>
      <w:r>
        <w:rPr>
          <w:spacing w:val="-30"/>
        </w:rPr>
        <w:t> 至 </w:t>
      </w:r>
      <w:r>
        <w:rPr/>
        <w:t>70</w:t>
      </w:r>
      <w:r>
        <w:rPr>
          <w:spacing w:val="-13"/>
        </w:rPr>
        <w:t> 种重大疾病为“规</w:t>
      </w:r>
      <w:r>
        <w:rPr>
          <w:spacing w:val="-8"/>
        </w:rPr>
        <w:t>范”规定范围之外的疾病。</w:t>
      </w:r>
    </w:p>
    <w:p>
      <w:pPr>
        <w:pStyle w:val="BodyText"/>
        <w:spacing w:before="7"/>
        <w:rPr>
          <w:sz w:val="14"/>
        </w:rPr>
      </w:pPr>
    </w:p>
    <w:p>
      <w:pPr>
        <w:pStyle w:val="ListParagraph"/>
        <w:numPr>
          <w:ilvl w:val="1"/>
          <w:numId w:val="7"/>
        </w:numPr>
        <w:tabs>
          <w:tab w:pos="1244" w:val="left" w:leader="none"/>
          <w:tab w:pos="1245" w:val="left" w:leader="none"/>
          <w:tab w:pos="3015" w:val="left" w:leader="none"/>
        </w:tabs>
        <w:spacing w:line="256" w:lineRule="auto" w:before="0" w:after="0"/>
        <w:ind w:left="3016" w:right="114" w:hanging="2804"/>
        <w:jc w:val="both"/>
        <w:rPr>
          <w:sz w:val="21"/>
        </w:rPr>
      </w:pPr>
      <w:r>
        <w:rPr>
          <w:rFonts w:ascii="Microsoft JhengHei" w:eastAsia="Microsoft JhengHei" w:hint="eastAsia"/>
          <w:b/>
          <w:sz w:val="21"/>
        </w:rPr>
        <w:t>恶性肿瘤</w:t>
        <w:tab/>
      </w:r>
      <w:r>
        <w:rPr>
          <w:sz w:val="21"/>
        </w:rPr>
        <w:t>指恶性细胞不受控</w:t>
      </w:r>
      <w:r>
        <w:rPr>
          <w:spacing w:val="-5"/>
          <w:sz w:val="21"/>
        </w:rPr>
        <w:t>制</w:t>
      </w:r>
      <w:r>
        <w:rPr>
          <w:sz w:val="21"/>
        </w:rPr>
        <w:t>的进行性增</w:t>
      </w:r>
      <w:r>
        <w:rPr>
          <w:spacing w:val="-5"/>
          <w:sz w:val="21"/>
        </w:rPr>
        <w:t>长</w:t>
      </w:r>
      <w:r>
        <w:rPr>
          <w:sz w:val="21"/>
        </w:rPr>
        <w:t>和扩散，浸</w:t>
      </w:r>
      <w:r>
        <w:rPr>
          <w:spacing w:val="-5"/>
          <w:sz w:val="21"/>
        </w:rPr>
        <w:t>润</w:t>
      </w:r>
      <w:r>
        <w:rPr>
          <w:sz w:val="21"/>
        </w:rPr>
        <w:t>和</w:t>
      </w:r>
      <w:r>
        <w:rPr>
          <w:spacing w:val="-5"/>
          <w:sz w:val="21"/>
        </w:rPr>
        <w:t>破</w:t>
      </w:r>
      <w:r>
        <w:rPr>
          <w:sz w:val="21"/>
        </w:rPr>
        <w:t>坏周围正常组织，</w:t>
      </w:r>
      <w:r>
        <w:rPr>
          <w:spacing w:val="-5"/>
          <w:sz w:val="21"/>
        </w:rPr>
        <w:t>可</w:t>
      </w:r>
      <w:r>
        <w:rPr>
          <w:sz w:val="21"/>
        </w:rPr>
        <w:t>以经 血管、淋巴管和体</w:t>
      </w:r>
      <w:r>
        <w:rPr>
          <w:spacing w:val="-5"/>
          <w:sz w:val="21"/>
        </w:rPr>
        <w:t>腔</w:t>
      </w:r>
      <w:r>
        <w:rPr>
          <w:sz w:val="21"/>
        </w:rPr>
        <w:t>扩散转移到</w:t>
      </w:r>
      <w:r>
        <w:rPr>
          <w:spacing w:val="-5"/>
          <w:sz w:val="21"/>
        </w:rPr>
        <w:t>身</w:t>
      </w:r>
      <w:r>
        <w:rPr>
          <w:sz w:val="21"/>
        </w:rPr>
        <w:t>体其它部位</w:t>
      </w:r>
      <w:r>
        <w:rPr>
          <w:spacing w:val="-5"/>
          <w:sz w:val="21"/>
        </w:rPr>
        <w:t>的</w:t>
      </w:r>
      <w:r>
        <w:rPr>
          <w:sz w:val="21"/>
        </w:rPr>
        <w:t>疾</w:t>
      </w:r>
      <w:r>
        <w:rPr>
          <w:spacing w:val="-5"/>
          <w:sz w:val="21"/>
        </w:rPr>
        <w:t>病</w:t>
      </w:r>
      <w:r>
        <w:rPr>
          <w:sz w:val="21"/>
        </w:rPr>
        <w:t>。经病理学检查结</w:t>
      </w:r>
      <w:r>
        <w:rPr>
          <w:spacing w:val="-5"/>
          <w:sz w:val="21"/>
        </w:rPr>
        <w:t>果</w:t>
      </w:r>
      <w:r>
        <w:rPr>
          <w:sz w:val="21"/>
        </w:rPr>
        <w:t>明确</w:t>
      </w:r>
      <w:r>
        <w:rPr>
          <w:spacing w:val="7"/>
          <w:sz w:val="21"/>
        </w:rPr>
        <w:t>诊断，临床诊断属于世界卫</w:t>
      </w:r>
      <w:r>
        <w:rPr>
          <w:spacing w:val="2"/>
          <w:sz w:val="21"/>
        </w:rPr>
        <w:t>生</w:t>
      </w:r>
      <w:r>
        <w:rPr>
          <w:spacing w:val="7"/>
          <w:sz w:val="21"/>
        </w:rPr>
        <w:t>组</w:t>
      </w:r>
      <w:r>
        <w:rPr>
          <w:spacing w:val="10"/>
          <w:sz w:val="21"/>
        </w:rPr>
        <w:t>织</w:t>
      </w:r>
      <w:r>
        <w:rPr>
          <w:spacing w:val="7"/>
          <w:sz w:val="21"/>
        </w:rPr>
        <w:t>《疾病和有关</w:t>
      </w:r>
      <w:r>
        <w:rPr>
          <w:spacing w:val="2"/>
          <w:sz w:val="21"/>
        </w:rPr>
        <w:t>健</w:t>
      </w:r>
      <w:r>
        <w:rPr>
          <w:spacing w:val="7"/>
          <w:sz w:val="21"/>
        </w:rPr>
        <w:t>康问题的国际统计分</w:t>
      </w:r>
      <w:r>
        <w:rPr>
          <w:spacing w:val="10"/>
          <w:sz w:val="21"/>
        </w:rPr>
        <w:t>类</w:t>
      </w:r>
      <w:r>
        <w:rPr>
          <w:sz w:val="21"/>
        </w:rPr>
        <w:t>》</w:t>
      </w:r>
    </w:p>
    <w:p>
      <w:pPr>
        <w:pStyle w:val="BodyText"/>
        <w:spacing w:before="22"/>
        <w:ind w:left="3016"/>
        <w:jc w:val="both"/>
      </w:pPr>
      <w:r>
        <w:rPr/>
        <w:t>（ICD-10）的恶性肿瘤范畴。</w:t>
      </w:r>
    </w:p>
    <w:p>
      <w:pPr>
        <w:pStyle w:val="BodyText"/>
        <w:spacing w:before="118"/>
        <w:ind w:left="3016"/>
        <w:jc w:val="both"/>
        <w:rPr>
          <w:rFonts w:ascii="黑体" w:eastAsia="黑体" w:hint="eastAsia"/>
        </w:rPr>
      </w:pPr>
      <w:r>
        <w:rPr>
          <w:rFonts w:ascii="黑体" w:eastAsia="黑体" w:hint="eastAsia"/>
        </w:rPr>
        <w:t>下列疾病不在保障范围内：</w:t>
      </w:r>
    </w:p>
    <w:p>
      <w:pPr>
        <w:pStyle w:val="ListParagraph"/>
        <w:numPr>
          <w:ilvl w:val="0"/>
          <w:numId w:val="10"/>
        </w:numPr>
        <w:tabs>
          <w:tab w:pos="3756" w:val="left" w:leader="none"/>
        </w:tabs>
        <w:spacing w:line="240" w:lineRule="auto" w:before="113" w:after="0"/>
        <w:ind w:left="3755" w:right="0" w:hanging="739"/>
        <w:jc w:val="both"/>
        <w:rPr>
          <w:rFonts w:ascii="黑体" w:eastAsia="黑体" w:hint="eastAsia"/>
          <w:sz w:val="21"/>
        </w:rPr>
      </w:pPr>
      <w:r>
        <w:rPr>
          <w:rFonts w:ascii="黑体" w:eastAsia="黑体" w:hint="eastAsia"/>
          <w:spacing w:val="-2"/>
          <w:sz w:val="21"/>
        </w:rPr>
        <w:t>原位癌；</w:t>
      </w:r>
    </w:p>
    <w:p>
      <w:pPr>
        <w:pStyle w:val="ListParagraph"/>
        <w:numPr>
          <w:ilvl w:val="0"/>
          <w:numId w:val="10"/>
        </w:numPr>
        <w:tabs>
          <w:tab w:pos="3756" w:val="left" w:leader="none"/>
        </w:tabs>
        <w:spacing w:line="240" w:lineRule="auto" w:before="118" w:after="0"/>
        <w:ind w:left="3755" w:right="0" w:hanging="739"/>
        <w:jc w:val="both"/>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10"/>
        </w:numPr>
        <w:tabs>
          <w:tab w:pos="3756" w:val="left" w:leader="none"/>
        </w:tabs>
        <w:spacing w:line="240" w:lineRule="auto" w:before="113" w:after="0"/>
        <w:ind w:left="3755" w:right="0" w:hanging="739"/>
        <w:jc w:val="both"/>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10"/>
        </w:numPr>
        <w:tabs>
          <w:tab w:pos="3756" w:val="left" w:leader="none"/>
        </w:tabs>
        <w:spacing w:line="240" w:lineRule="auto" w:before="113" w:after="0"/>
        <w:ind w:left="3755" w:right="0" w:hanging="739"/>
        <w:jc w:val="both"/>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10"/>
        </w:numPr>
        <w:tabs>
          <w:tab w:pos="3756" w:val="left" w:leader="none"/>
        </w:tabs>
        <w:spacing w:line="240" w:lineRule="auto" w:before="113" w:after="0"/>
        <w:ind w:left="3755" w:right="0" w:hanging="739"/>
        <w:jc w:val="both"/>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0"/>
          <w:numId w:val="10"/>
        </w:numPr>
        <w:tabs>
          <w:tab w:pos="3756" w:val="left" w:leader="none"/>
        </w:tabs>
        <w:spacing w:line="240" w:lineRule="auto" w:before="118" w:after="0"/>
        <w:ind w:left="3755" w:right="0" w:hanging="739"/>
        <w:jc w:val="both"/>
        <w:rPr>
          <w:rFonts w:ascii="黑体" w:eastAsia="黑体" w:hint="eastAsia"/>
          <w:sz w:val="21"/>
        </w:rPr>
      </w:pPr>
      <w:r>
        <w:rPr>
          <w:rFonts w:ascii="黑体" w:eastAsia="黑体" w:hint="eastAsia"/>
          <w:spacing w:val="-5"/>
          <w:sz w:val="21"/>
        </w:rPr>
        <w:t>感染艾滋病病毒或患艾滋病期间所患恶性肿瘤。</w:t>
      </w:r>
    </w:p>
    <w:p>
      <w:pPr>
        <w:spacing w:after="0" w:line="240" w:lineRule="auto"/>
        <w:jc w:val="both"/>
        <w:rPr>
          <w:rFonts w:ascii="黑体" w:eastAsia="黑体" w:hint="eastAsia"/>
          <w:sz w:val="21"/>
        </w:rPr>
        <w:sectPr>
          <w:pgSz w:w="11900" w:h="16840"/>
          <w:pgMar w:top="1180" w:bottom="280" w:left="920" w:right="580"/>
        </w:sectPr>
      </w:pPr>
    </w:p>
    <w:p>
      <w:pPr>
        <w:pStyle w:val="ListParagraph"/>
        <w:numPr>
          <w:ilvl w:val="1"/>
          <w:numId w:val="7"/>
        </w:numPr>
        <w:tabs>
          <w:tab w:pos="1144" w:val="left" w:leader="none"/>
          <w:tab w:pos="1145" w:val="left" w:leader="none"/>
        </w:tabs>
        <w:spacing w:line="308" w:lineRule="exact" w:before="20" w:after="0"/>
        <w:ind w:left="2916" w:right="205" w:hanging="2804"/>
        <w:jc w:val="both"/>
        <w:rPr>
          <w:rFonts w:ascii="黑体" w:eastAsia="黑体" w:hint="eastAsia"/>
          <w:sz w:val="21"/>
        </w:rPr>
      </w:pPr>
      <w:r>
        <w:rPr>
          <w:rFonts w:ascii="Microsoft JhengHei" w:eastAsia="Microsoft JhengHei" w:hint="eastAsia"/>
          <w:b/>
          <w:spacing w:val="0"/>
          <w:sz w:val="21"/>
        </w:rPr>
        <w:t>急性心肌梗塞       </w:t>
      </w:r>
      <w:r>
        <w:rPr>
          <w:spacing w:val="-4"/>
          <w:sz w:val="21"/>
        </w:rPr>
        <w:t>指因冠状动脉阻塞导致的相应区域供血不足造成部分心肌坏死。</w:t>
      </w:r>
      <w:r>
        <w:rPr>
          <w:rFonts w:ascii="黑体" w:eastAsia="黑体" w:hint="eastAsia"/>
          <w:spacing w:val="-2"/>
          <w:sz w:val="21"/>
        </w:rPr>
        <w:t>须满足下列至</w:t>
      </w:r>
      <w:r>
        <w:rPr>
          <w:rFonts w:ascii="黑体" w:eastAsia="黑体" w:hint="eastAsia"/>
          <w:spacing w:val="-3"/>
          <w:sz w:val="21"/>
        </w:rPr>
        <w:t>少三项条件：</w:t>
      </w:r>
    </w:p>
    <w:p>
      <w:pPr>
        <w:pStyle w:val="ListParagraph"/>
        <w:numPr>
          <w:ilvl w:val="0"/>
          <w:numId w:val="11"/>
        </w:numPr>
        <w:tabs>
          <w:tab w:pos="3655" w:val="left" w:leader="none"/>
          <w:tab w:pos="3656" w:val="left" w:leader="none"/>
        </w:tabs>
        <w:spacing w:line="240" w:lineRule="auto" w:before="86" w:after="0"/>
        <w:ind w:left="3636" w:right="0" w:hanging="720"/>
        <w:jc w:val="left"/>
        <w:rPr>
          <w:sz w:val="21"/>
        </w:rPr>
      </w:pPr>
      <w:r>
        <w:rPr>
          <w:spacing w:val="-5"/>
          <w:sz w:val="21"/>
        </w:rPr>
        <w:t>典型临床表现，例如急性胸痛等；</w:t>
      </w:r>
    </w:p>
    <w:p>
      <w:pPr>
        <w:pStyle w:val="ListParagraph"/>
        <w:numPr>
          <w:ilvl w:val="0"/>
          <w:numId w:val="11"/>
        </w:numPr>
        <w:tabs>
          <w:tab w:pos="3655" w:val="left" w:leader="none"/>
          <w:tab w:pos="3656" w:val="left" w:leader="none"/>
        </w:tabs>
        <w:spacing w:line="240" w:lineRule="auto" w:before="118" w:after="0"/>
        <w:ind w:left="3636" w:right="0" w:hanging="720"/>
        <w:jc w:val="left"/>
        <w:rPr>
          <w:sz w:val="21"/>
        </w:rPr>
      </w:pPr>
      <w:r>
        <w:rPr>
          <w:spacing w:val="-5"/>
          <w:sz w:val="21"/>
        </w:rPr>
        <w:t>新近的心电图改变提示急性心肌梗塞；</w:t>
      </w:r>
    </w:p>
    <w:p>
      <w:pPr>
        <w:pStyle w:val="ListParagraph"/>
        <w:numPr>
          <w:ilvl w:val="0"/>
          <w:numId w:val="11"/>
        </w:numPr>
        <w:tabs>
          <w:tab w:pos="3608" w:val="left" w:leader="none"/>
        </w:tabs>
        <w:spacing w:line="268" w:lineRule="auto" w:before="114" w:after="0"/>
        <w:ind w:left="3636" w:right="205" w:hanging="720"/>
        <w:jc w:val="left"/>
        <w:rPr>
          <w:sz w:val="21"/>
        </w:rPr>
      </w:pPr>
      <w:r>
        <w:rPr>
          <w:spacing w:val="-8"/>
          <w:sz w:val="21"/>
        </w:rPr>
        <w:t>心肌酶或肌钙蛋白有诊断意义的升高，或呈符合急性心肌梗塞的动态性变化；</w:t>
      </w:r>
    </w:p>
    <w:p>
      <w:pPr>
        <w:pStyle w:val="ListParagraph"/>
        <w:numPr>
          <w:ilvl w:val="0"/>
          <w:numId w:val="11"/>
        </w:numPr>
        <w:tabs>
          <w:tab w:pos="3574" w:val="left" w:leader="none"/>
        </w:tabs>
        <w:spacing w:line="240" w:lineRule="auto" w:before="93" w:after="0"/>
        <w:ind w:left="3573" w:right="0" w:hanging="657"/>
        <w:jc w:val="left"/>
        <w:rPr>
          <w:sz w:val="21"/>
        </w:rPr>
      </w:pPr>
      <w:r>
        <w:rPr>
          <w:spacing w:val="-16"/>
          <w:sz w:val="21"/>
        </w:rPr>
        <w:t>发病 </w:t>
      </w:r>
      <w:r>
        <w:rPr>
          <w:sz w:val="21"/>
        </w:rPr>
        <w:t>90</w:t>
      </w:r>
      <w:r>
        <w:rPr>
          <w:spacing w:val="-19"/>
          <w:sz w:val="21"/>
        </w:rPr>
        <w:t> 天后，经检查证实左心室功能降低，如左心室射血分数低于 </w:t>
      </w:r>
      <w:r>
        <w:rPr>
          <w:sz w:val="21"/>
        </w:rPr>
        <w:t>50%。</w:t>
      </w:r>
    </w:p>
    <w:p>
      <w:pPr>
        <w:pStyle w:val="BodyText"/>
        <w:spacing w:before="9"/>
        <w:rPr>
          <w:sz w:val="16"/>
        </w:rPr>
      </w:pPr>
    </w:p>
    <w:p>
      <w:pPr>
        <w:pStyle w:val="ListParagraph"/>
        <w:numPr>
          <w:ilvl w:val="1"/>
          <w:numId w:val="7"/>
        </w:numPr>
        <w:tabs>
          <w:tab w:pos="1144" w:val="left" w:leader="none"/>
          <w:tab w:pos="1145" w:val="left" w:leader="none"/>
        </w:tabs>
        <w:spacing w:line="256" w:lineRule="auto" w:before="1" w:after="0"/>
        <w:ind w:left="2916" w:right="205" w:hanging="2804"/>
        <w:jc w:val="both"/>
        <w:rPr>
          <w:sz w:val="21"/>
        </w:rPr>
      </w:pPr>
      <w:r>
        <w:rPr>
          <w:rFonts w:ascii="Microsoft JhengHei" w:eastAsia="Microsoft JhengHei" w:hint="eastAsia"/>
          <w:b/>
          <w:spacing w:val="0"/>
          <w:sz w:val="21"/>
        </w:rPr>
        <w:t>脑中风后遗症       </w:t>
      </w:r>
      <w:r>
        <w:rPr>
          <w:spacing w:val="-5"/>
          <w:sz w:val="21"/>
        </w:rPr>
        <w:t>指因脑血管的突发病变引起脑血管出血、栓塞或梗塞，并导致神经系统永久性</w:t>
      </w:r>
      <w:r>
        <w:rPr>
          <w:spacing w:val="-6"/>
          <w:sz w:val="21"/>
        </w:rPr>
        <w:t>的功能障碍。神经系统永久性的功能障碍，指疾病确诊 </w:t>
      </w:r>
      <w:r>
        <w:rPr>
          <w:sz w:val="21"/>
        </w:rPr>
        <w:t>180</w:t>
      </w:r>
      <w:r>
        <w:rPr>
          <w:spacing w:val="-6"/>
          <w:sz w:val="21"/>
        </w:rPr>
        <w:t> 天后，仍遗留下列</w:t>
      </w:r>
      <w:r>
        <w:rPr>
          <w:spacing w:val="-5"/>
          <w:sz w:val="21"/>
        </w:rPr>
        <w:t>一种或一种以上障碍：</w:t>
      </w:r>
    </w:p>
    <w:p>
      <w:pPr>
        <w:pStyle w:val="ListParagraph"/>
        <w:numPr>
          <w:ilvl w:val="0"/>
          <w:numId w:val="12"/>
        </w:numPr>
        <w:tabs>
          <w:tab w:pos="3655" w:val="left" w:leader="none"/>
          <w:tab w:pos="3656" w:val="left" w:leader="none"/>
        </w:tabs>
        <w:spacing w:line="240" w:lineRule="auto" w:before="37" w:after="0"/>
        <w:ind w:left="3655" w:right="0" w:hanging="739"/>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10.20)；</w:t>
      </w:r>
    </w:p>
    <w:p>
      <w:pPr>
        <w:pStyle w:val="ListParagraph"/>
        <w:numPr>
          <w:ilvl w:val="0"/>
          <w:numId w:val="12"/>
        </w:numPr>
        <w:tabs>
          <w:tab w:pos="3650" w:val="left" w:leader="none"/>
          <w:tab w:pos="3651" w:val="left" w:leader="none"/>
        </w:tabs>
        <w:spacing w:line="240" w:lineRule="auto" w:before="23" w:after="0"/>
        <w:ind w:left="3650"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10.21)；</w:t>
      </w:r>
    </w:p>
    <w:p>
      <w:pPr>
        <w:pStyle w:val="ListParagraph"/>
        <w:numPr>
          <w:ilvl w:val="0"/>
          <w:numId w:val="12"/>
        </w:numPr>
        <w:tabs>
          <w:tab w:pos="3717" w:val="left" w:leader="none"/>
          <w:tab w:pos="3718" w:val="left" w:leader="none"/>
        </w:tabs>
        <w:spacing w:line="240" w:lineRule="auto" w:before="28" w:after="0"/>
        <w:ind w:left="3717" w:right="0" w:hanging="801"/>
        <w:jc w:val="left"/>
        <w:rPr>
          <w:sz w:val="21"/>
        </w:rPr>
      </w:pPr>
      <w:r>
        <w:rPr>
          <w:spacing w:val="7"/>
          <w:sz w:val="21"/>
        </w:rPr>
        <w:t>自主生活能力完全丧失，无法独立完成</w:t>
      </w:r>
      <w:r>
        <w:rPr>
          <w:rFonts w:ascii="Microsoft JhengHei" w:eastAsia="Microsoft JhengHei" w:hint="eastAsia"/>
          <w:b/>
          <w:spacing w:val="8"/>
          <w:sz w:val="21"/>
        </w:rPr>
        <w:t>六项基本日常生活活动</w:t>
      </w:r>
      <w:r>
        <w:rPr>
          <w:spacing w:val="5"/>
          <w:sz w:val="21"/>
        </w:rPr>
        <w:t>(见</w:t>
      </w:r>
    </w:p>
    <w:p>
      <w:pPr>
        <w:pStyle w:val="BodyText"/>
        <w:spacing w:before="8"/>
        <w:ind w:left="3620" w:right="3890"/>
        <w:jc w:val="center"/>
      </w:pPr>
      <w:r>
        <w:rPr/>
        <w:t>10.22)中的三项或三项以上。</w:t>
      </w:r>
    </w:p>
    <w:p>
      <w:pPr>
        <w:pStyle w:val="BodyText"/>
        <w:spacing w:before="1"/>
        <w:rPr>
          <w:sz w:val="19"/>
        </w:rPr>
      </w:pPr>
    </w:p>
    <w:p>
      <w:pPr>
        <w:spacing w:after="0"/>
        <w:rPr>
          <w:sz w:val="19"/>
        </w:rPr>
        <w:sectPr>
          <w:pgSz w:w="11900" w:h="16840"/>
          <w:pgMar w:top="1180" w:bottom="280" w:left="1020" w:right="600"/>
        </w:sectPr>
      </w:pPr>
    </w:p>
    <w:p>
      <w:pPr>
        <w:pStyle w:val="Heading2"/>
        <w:numPr>
          <w:ilvl w:val="1"/>
          <w:numId w:val="7"/>
        </w:numPr>
        <w:tabs>
          <w:tab w:pos="1144" w:val="left" w:leader="none"/>
          <w:tab w:pos="1145" w:val="left" w:leader="none"/>
        </w:tabs>
        <w:spacing w:line="204" w:lineRule="auto" w:before="25" w:after="0"/>
        <w:ind w:left="1144" w:right="0" w:hanging="1032"/>
        <w:jc w:val="both"/>
      </w:pPr>
      <w:r>
        <w:rPr/>
        <w:t>重大器官移植术或者造血干细胞移植术</w:t>
      </w:r>
    </w:p>
    <w:p>
      <w:pPr>
        <w:pStyle w:val="BodyText"/>
        <w:spacing w:line="273" w:lineRule="auto" w:before="37"/>
        <w:ind w:left="112" w:right="205"/>
        <w:jc w:val="both"/>
      </w:pPr>
      <w:r>
        <w:rPr/>
        <w:br w:type="column"/>
      </w:r>
      <w:r>
        <w:rPr/>
        <w:t>重大器官移植术，指因相应器官功能衰竭，已经实施了肾脏、肝脏、心脏或肺脏的异体移植手术。</w:t>
      </w:r>
    </w:p>
    <w:p>
      <w:pPr>
        <w:pStyle w:val="BodyText"/>
        <w:spacing w:line="271" w:lineRule="auto" w:before="89"/>
        <w:ind w:left="112"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1" w:lineRule="auto"/>
        <w:jc w:val="both"/>
        <w:sectPr>
          <w:type w:val="continuous"/>
          <w:pgSz w:w="11900" w:h="16840"/>
          <w:pgMar w:top="560" w:bottom="280" w:left="1020" w:right="600"/>
          <w:cols w:num="2" w:equalWidth="0">
            <w:col w:w="2623" w:space="180"/>
            <w:col w:w="7477"/>
          </w:cols>
        </w:sectPr>
      </w:pPr>
    </w:p>
    <w:p>
      <w:pPr>
        <w:pStyle w:val="BodyText"/>
        <w:spacing w:before="0"/>
        <w:rPr>
          <w:sz w:val="17"/>
        </w:rPr>
      </w:pPr>
    </w:p>
    <w:p>
      <w:pPr>
        <w:spacing w:after="0"/>
        <w:rPr>
          <w:sz w:val="17"/>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306" w:lineRule="exact" w:before="0" w:after="0"/>
        <w:ind w:left="1144" w:right="0" w:hanging="1032"/>
        <w:jc w:val="left"/>
      </w:pPr>
      <w:r>
        <w:rPr/>
        <w:t>冠状动脉搭桥术</w:t>
      </w:r>
    </w:p>
    <w:p>
      <w:pPr>
        <w:spacing w:line="204" w:lineRule="auto" w:before="25"/>
        <w:ind w:left="1144" w:right="0" w:firstLine="0"/>
        <w:jc w:val="left"/>
        <w:rPr>
          <w:rFonts w:ascii="Microsoft JhengHei" w:eastAsia="Microsoft JhengHei" w:hint="eastAsia"/>
          <w:b/>
          <w:sz w:val="21"/>
        </w:rPr>
      </w:pPr>
      <w:r>
        <w:rPr>
          <w:rFonts w:ascii="Microsoft JhengHei" w:eastAsia="Microsoft JhengHei" w:hint="eastAsia"/>
          <w:b/>
          <w:sz w:val="21"/>
        </w:rPr>
        <w:t>（或者称冠状动脉旁路移植术）</w:t>
      </w:r>
    </w:p>
    <w:p>
      <w:pPr>
        <w:pStyle w:val="BodyText"/>
        <w:spacing w:before="36"/>
        <w:ind w:left="112"/>
      </w:pPr>
      <w:r>
        <w:rPr/>
        <w:br w:type="column"/>
      </w:r>
      <w:r>
        <w:rPr/>
        <w:t>指为治疗严重的冠心病，实际实施了开胸进行的冠状动脉血管旁路移植的手术。</w:t>
      </w:r>
    </w:p>
    <w:p>
      <w:pPr>
        <w:pStyle w:val="BodyText"/>
        <w:spacing w:line="273" w:lineRule="auto"/>
        <w:ind w:left="112" w:right="219"/>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00" w:h="16840"/>
          <w:pgMar w:top="560" w:bottom="280" w:left="1020" w:right="600"/>
          <w:cols w:num="2" w:equalWidth="0">
            <w:col w:w="2624" w:space="180"/>
            <w:col w:w="7476"/>
          </w:cols>
        </w:sectPr>
      </w:pPr>
    </w:p>
    <w:p>
      <w:pPr>
        <w:pStyle w:val="BodyText"/>
        <w:spacing w:before="11"/>
        <w:rPr>
          <w:rFonts w:ascii="黑体"/>
          <w:sz w:val="16"/>
        </w:rPr>
      </w:pPr>
    </w:p>
    <w:p>
      <w:pPr>
        <w:spacing w:after="0"/>
        <w:rPr>
          <w:rFonts w:ascii="黑体"/>
          <w:sz w:val="16"/>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4" w:lineRule="auto" w:before="24" w:after="0"/>
        <w:ind w:left="1144" w:right="0" w:hanging="1032"/>
        <w:jc w:val="both"/>
      </w:pPr>
      <w:r>
        <w:rPr/>
        <w:t>终末期肾病（或者称慢性肾功能衰竭尿毒症期）</w:t>
      </w:r>
    </w:p>
    <w:p>
      <w:pPr>
        <w:pStyle w:val="BodyText"/>
        <w:spacing w:line="268" w:lineRule="auto" w:before="36"/>
        <w:ind w:left="112" w:right="324"/>
      </w:pPr>
      <w:r>
        <w:rPr/>
        <w:br w:type="column"/>
      </w:r>
      <w:r>
        <w:rPr/>
        <w:t>指双肾功能慢性不可逆性衰竭，达到尿毒症期，经诊断后已经进行了至少 90 天的规律性透析治疗或实施了肾脏移植手术。</w:t>
      </w:r>
    </w:p>
    <w:p>
      <w:pPr>
        <w:spacing w:after="0" w:line="268" w:lineRule="auto"/>
        <w:sectPr>
          <w:type w:val="continuous"/>
          <w:pgSz w:w="11900" w:h="16840"/>
          <w:pgMar w:top="560" w:bottom="280" w:left="1020" w:right="600"/>
          <w:cols w:num="2" w:equalWidth="0">
            <w:col w:w="2624" w:space="180"/>
            <w:col w:w="7476"/>
          </w:cols>
        </w:sectPr>
      </w:pPr>
    </w:p>
    <w:p>
      <w:pPr>
        <w:pStyle w:val="BodyText"/>
        <w:spacing w:before="8"/>
        <w:rPr>
          <w:sz w:val="17"/>
        </w:rPr>
      </w:pPr>
    </w:p>
    <w:p>
      <w:pPr>
        <w:pStyle w:val="ListParagraph"/>
        <w:numPr>
          <w:ilvl w:val="1"/>
          <w:numId w:val="7"/>
        </w:numPr>
        <w:tabs>
          <w:tab w:pos="1144" w:val="left" w:leader="none"/>
          <w:tab w:pos="1145" w:val="left" w:leader="none"/>
          <w:tab w:pos="2915" w:val="left" w:leader="none"/>
        </w:tabs>
        <w:spacing w:line="308" w:lineRule="exact" w:before="35" w:after="0"/>
        <w:ind w:left="2916" w:right="219" w:hanging="2804"/>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 </w:t>
      </w:r>
      <w:r>
        <w:rPr>
          <w:spacing w:val="-1"/>
          <w:sz w:val="21"/>
        </w:rPr>
        <w:t>干</w:t>
      </w:r>
      <w:r>
        <w:rPr>
          <w:sz w:val="21"/>
        </w:rPr>
        <w:t>端）以</w:t>
      </w:r>
      <w:r>
        <w:rPr>
          <w:spacing w:val="-5"/>
          <w:sz w:val="21"/>
        </w:rPr>
        <w:t>上</w:t>
      </w:r>
      <w:r>
        <w:rPr>
          <w:sz w:val="21"/>
        </w:rPr>
        <w:t>完全性</w:t>
      </w:r>
      <w:r>
        <w:rPr>
          <w:spacing w:val="-5"/>
          <w:sz w:val="21"/>
        </w:rPr>
        <w:t>断</w:t>
      </w:r>
      <w:r>
        <w:rPr>
          <w:sz w:val="21"/>
        </w:rPr>
        <w:t>离。</w:t>
      </w:r>
    </w:p>
    <w:p>
      <w:pPr>
        <w:pStyle w:val="BodyText"/>
        <w:spacing w:before="8"/>
        <w:rPr>
          <w:sz w:val="16"/>
        </w:rPr>
      </w:pPr>
    </w:p>
    <w:p>
      <w:pPr>
        <w:spacing w:after="0"/>
        <w:rPr>
          <w:sz w:val="16"/>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4" w:lineRule="auto" w:before="24" w:after="0"/>
        <w:ind w:left="1144" w:right="0" w:hanging="1032"/>
        <w:jc w:val="left"/>
      </w:pPr>
      <w:r>
        <w:rPr/>
        <w:t>急性或者亚急性重症肝炎</w:t>
      </w:r>
    </w:p>
    <w:p>
      <w:pPr>
        <w:pStyle w:val="BodyText"/>
        <w:spacing w:line="273" w:lineRule="auto" w:before="36"/>
        <w:ind w:left="112" w:right="205"/>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3"/>
        </w:numPr>
        <w:tabs>
          <w:tab w:pos="851" w:val="left" w:leader="none"/>
          <w:tab w:pos="852" w:val="left" w:leader="none"/>
        </w:tabs>
        <w:spacing w:line="240" w:lineRule="auto" w:before="88" w:after="0"/>
        <w:ind w:left="852" w:right="0" w:hanging="740"/>
        <w:jc w:val="left"/>
        <w:rPr>
          <w:sz w:val="21"/>
        </w:rPr>
      </w:pPr>
      <w:r>
        <w:rPr>
          <w:spacing w:val="-4"/>
          <w:sz w:val="21"/>
        </w:rPr>
        <w:t>重度黄疸或黄疸迅速加重；</w:t>
      </w:r>
    </w:p>
    <w:p>
      <w:pPr>
        <w:pStyle w:val="ListParagraph"/>
        <w:numPr>
          <w:ilvl w:val="0"/>
          <w:numId w:val="13"/>
        </w:numPr>
        <w:tabs>
          <w:tab w:pos="851" w:val="left" w:leader="none"/>
          <w:tab w:pos="852" w:val="left" w:leader="none"/>
        </w:tabs>
        <w:spacing w:line="240" w:lineRule="auto" w:before="113" w:after="0"/>
        <w:ind w:left="852" w:right="0" w:hanging="740"/>
        <w:jc w:val="left"/>
        <w:rPr>
          <w:sz w:val="21"/>
        </w:rPr>
      </w:pPr>
      <w:r>
        <w:rPr>
          <w:spacing w:val="-2"/>
          <w:sz w:val="21"/>
        </w:rPr>
        <w:t>肝性脑病；</w:t>
      </w:r>
    </w:p>
    <w:p>
      <w:pPr>
        <w:pStyle w:val="ListParagraph"/>
        <w:numPr>
          <w:ilvl w:val="0"/>
          <w:numId w:val="13"/>
        </w:numPr>
        <w:tabs>
          <w:tab w:pos="851" w:val="left" w:leader="none"/>
          <w:tab w:pos="852" w:val="left" w:leader="none"/>
        </w:tabs>
        <w:spacing w:line="240" w:lineRule="auto" w:before="113" w:after="0"/>
        <w:ind w:left="852" w:right="0" w:hanging="740"/>
        <w:jc w:val="left"/>
        <w:rPr>
          <w:sz w:val="21"/>
        </w:rPr>
      </w:pPr>
      <w:r>
        <w:rPr>
          <w:sz w:val="21"/>
        </w:rPr>
        <w:t>B</w:t>
      </w:r>
      <w:r>
        <w:rPr>
          <w:spacing w:val="-7"/>
          <w:sz w:val="21"/>
        </w:rPr>
        <w:t> 超或其它影像学检查显示肝脏体积急速萎缩；</w:t>
      </w:r>
    </w:p>
    <w:p>
      <w:pPr>
        <w:pStyle w:val="ListParagraph"/>
        <w:numPr>
          <w:ilvl w:val="0"/>
          <w:numId w:val="13"/>
        </w:numPr>
        <w:tabs>
          <w:tab w:pos="851" w:val="left" w:leader="none"/>
          <w:tab w:pos="852" w:val="left" w:leader="none"/>
        </w:tabs>
        <w:spacing w:line="240" w:lineRule="auto" w:before="113" w:after="0"/>
        <w:ind w:left="852" w:right="0" w:hanging="740"/>
        <w:jc w:val="left"/>
        <w:rPr>
          <w:sz w:val="21"/>
        </w:rPr>
      </w:pPr>
      <w:r>
        <w:rPr>
          <w:spacing w:val="-4"/>
          <w:sz w:val="21"/>
        </w:rPr>
        <w:t>肝功能指标进行性恶化。</w:t>
      </w:r>
    </w:p>
    <w:p>
      <w:pPr>
        <w:spacing w:after="0" w:line="240" w:lineRule="auto"/>
        <w:jc w:val="left"/>
        <w:rPr>
          <w:sz w:val="21"/>
        </w:rPr>
        <w:sectPr>
          <w:type w:val="continuous"/>
          <w:pgSz w:w="11900" w:h="16840"/>
          <w:pgMar w:top="560" w:bottom="280" w:left="1020" w:right="600"/>
          <w:cols w:num="2" w:equalWidth="0">
            <w:col w:w="2624" w:space="180"/>
            <w:col w:w="7476"/>
          </w:cols>
        </w:sectPr>
      </w:pPr>
    </w:p>
    <w:p>
      <w:pPr>
        <w:pStyle w:val="BodyText"/>
        <w:spacing w:before="1"/>
        <w:rPr>
          <w:sz w:val="19"/>
        </w:rPr>
      </w:pPr>
    </w:p>
    <w:p>
      <w:pPr>
        <w:pStyle w:val="ListParagraph"/>
        <w:numPr>
          <w:ilvl w:val="1"/>
          <w:numId w:val="7"/>
        </w:numPr>
        <w:tabs>
          <w:tab w:pos="1144" w:val="left" w:leader="none"/>
          <w:tab w:pos="1145" w:val="left" w:leader="none"/>
          <w:tab w:pos="2915" w:val="left" w:leader="none"/>
        </w:tabs>
        <w:spacing w:line="308" w:lineRule="exact" w:before="35" w:after="0"/>
        <w:ind w:left="2916" w:right="200" w:hanging="2804"/>
        <w:jc w:val="left"/>
        <w:rPr>
          <w:sz w:val="21"/>
        </w:rPr>
      </w:pPr>
      <w:r>
        <w:rPr>
          <w:rFonts w:ascii="Microsoft JhengHei" w:eastAsia="Microsoft JhengHei" w:hint="eastAsia"/>
          <w:b/>
          <w:sz w:val="21"/>
        </w:rPr>
        <w:t>良性脑肿瘤</w:t>
        <w:tab/>
      </w:r>
      <w:r>
        <w:rPr>
          <w:sz w:val="21"/>
        </w:rPr>
        <w:t>指脑的良性肿瘤，</w:t>
      </w:r>
      <w:r>
        <w:rPr>
          <w:spacing w:val="-5"/>
          <w:sz w:val="21"/>
        </w:rPr>
        <w:t>已</w:t>
      </w:r>
      <w:r>
        <w:rPr>
          <w:sz w:val="21"/>
        </w:rPr>
        <w:t>经引起颅内</w:t>
      </w:r>
      <w:r>
        <w:rPr>
          <w:spacing w:val="-5"/>
          <w:sz w:val="21"/>
        </w:rPr>
        <w:t>压</w:t>
      </w:r>
      <w:r>
        <w:rPr>
          <w:sz w:val="21"/>
        </w:rPr>
        <w:t>增高，临床</w:t>
      </w:r>
      <w:r>
        <w:rPr>
          <w:spacing w:val="-5"/>
          <w:sz w:val="21"/>
        </w:rPr>
        <w:t>表</w:t>
      </w:r>
      <w:r>
        <w:rPr>
          <w:sz w:val="21"/>
        </w:rPr>
        <w:t>现</w:t>
      </w:r>
      <w:r>
        <w:rPr>
          <w:spacing w:val="-5"/>
          <w:sz w:val="21"/>
        </w:rPr>
        <w:t>为</w:t>
      </w:r>
      <w:r>
        <w:rPr>
          <w:sz w:val="21"/>
        </w:rPr>
        <w:t>视神经乳头水肿、</w:t>
      </w:r>
      <w:r>
        <w:rPr>
          <w:spacing w:val="-5"/>
          <w:sz w:val="21"/>
        </w:rPr>
        <w:t>精</w:t>
      </w:r>
      <w:r>
        <w:rPr>
          <w:sz w:val="21"/>
        </w:rPr>
        <w:t>神症 </w:t>
      </w:r>
      <w:r>
        <w:rPr>
          <w:w w:val="100"/>
          <w:sz w:val="21"/>
        </w:rPr>
        <w:t>状</w:t>
      </w:r>
      <w:r>
        <w:rPr>
          <w:spacing w:val="-20"/>
          <w:w w:val="100"/>
          <w:sz w:val="21"/>
        </w:rPr>
        <w:t>、</w:t>
      </w:r>
      <w:r>
        <w:rPr>
          <w:w w:val="100"/>
          <w:sz w:val="21"/>
        </w:rPr>
        <w:t>癫痫及</w:t>
      </w:r>
      <w:r>
        <w:rPr>
          <w:spacing w:val="-5"/>
          <w:w w:val="100"/>
          <w:sz w:val="21"/>
        </w:rPr>
        <w:t>运</w:t>
      </w:r>
      <w:r>
        <w:rPr>
          <w:w w:val="100"/>
          <w:sz w:val="21"/>
        </w:rPr>
        <w:t>动感觉</w:t>
      </w:r>
      <w:r>
        <w:rPr>
          <w:spacing w:val="-5"/>
          <w:w w:val="100"/>
          <w:sz w:val="21"/>
        </w:rPr>
        <w:t>障</w:t>
      </w:r>
      <w:r>
        <w:rPr>
          <w:w w:val="100"/>
          <w:sz w:val="21"/>
        </w:rPr>
        <w:t>碍等</w:t>
      </w:r>
      <w:r>
        <w:rPr>
          <w:spacing w:val="-20"/>
          <w:w w:val="100"/>
          <w:sz w:val="21"/>
        </w:rPr>
        <w:t>，</w:t>
      </w:r>
      <w:r>
        <w:rPr>
          <w:w w:val="100"/>
          <w:sz w:val="21"/>
        </w:rPr>
        <w:t>并</w:t>
      </w:r>
      <w:r>
        <w:rPr>
          <w:spacing w:val="-5"/>
          <w:w w:val="100"/>
          <w:sz w:val="21"/>
        </w:rPr>
        <w:t>危</w:t>
      </w:r>
      <w:r>
        <w:rPr>
          <w:w w:val="100"/>
          <w:sz w:val="21"/>
        </w:rPr>
        <w:t>及生命</w:t>
      </w:r>
      <w:r>
        <w:rPr>
          <w:spacing w:val="-20"/>
          <w:w w:val="100"/>
          <w:sz w:val="21"/>
        </w:rPr>
        <w:t>。</w:t>
      </w:r>
      <w:r>
        <w:rPr>
          <w:spacing w:val="-5"/>
          <w:w w:val="100"/>
          <w:sz w:val="21"/>
        </w:rPr>
        <w:t>须</w:t>
      </w:r>
      <w:r>
        <w:rPr>
          <w:w w:val="100"/>
          <w:sz w:val="21"/>
        </w:rPr>
        <w:t>由头</w:t>
      </w:r>
      <w:r>
        <w:rPr>
          <w:spacing w:val="-5"/>
          <w:w w:val="100"/>
          <w:sz w:val="21"/>
        </w:rPr>
        <w:t>颅</w:t>
      </w:r>
      <w:r>
        <w:rPr>
          <w:w w:val="100"/>
          <w:sz w:val="21"/>
        </w:rPr>
        <w:t>断层扫</w:t>
      </w:r>
      <w:r>
        <w:rPr>
          <w:spacing w:val="-20"/>
          <w:w w:val="100"/>
          <w:sz w:val="21"/>
        </w:rPr>
        <w:t>描</w:t>
      </w:r>
      <w:r>
        <w:rPr>
          <w:w w:val="100"/>
          <w:sz w:val="21"/>
        </w:rPr>
        <w:t>（CT</w:t>
      </w:r>
      <w:r>
        <w:rPr>
          <w:spacing w:val="-106"/>
          <w:w w:val="100"/>
          <w:sz w:val="21"/>
        </w:rPr>
        <w:t>）</w:t>
      </w:r>
      <w:r>
        <w:rPr>
          <w:spacing w:val="-25"/>
          <w:w w:val="100"/>
          <w:sz w:val="21"/>
        </w:rPr>
        <w:t>、</w:t>
      </w:r>
      <w:r>
        <w:rPr>
          <w:w w:val="100"/>
          <w:sz w:val="21"/>
        </w:rPr>
        <w:t>核磁共振</w:t>
      </w:r>
    </w:p>
    <w:p>
      <w:pPr>
        <w:pStyle w:val="BodyText"/>
        <w:spacing w:line="273" w:lineRule="auto" w:before="4"/>
        <w:ind w:left="2916" w:right="205"/>
      </w:pPr>
      <w:r>
        <w:rPr/>
        <w:t>检查（MRI）或正电子发射断层扫描（PET）等影像学检查证实，并须满足下列至少一项条件：</w:t>
      </w:r>
    </w:p>
    <w:p>
      <w:pPr>
        <w:spacing w:after="0" w:line="273" w:lineRule="auto"/>
        <w:sectPr>
          <w:type w:val="continuous"/>
          <w:pgSz w:w="11900" w:h="16840"/>
          <w:pgMar w:top="560" w:bottom="280" w:left="1020" w:right="600"/>
        </w:sectPr>
      </w:pPr>
    </w:p>
    <w:p>
      <w:pPr>
        <w:pStyle w:val="ListParagraph"/>
        <w:numPr>
          <w:ilvl w:val="0"/>
          <w:numId w:val="14"/>
        </w:numPr>
        <w:tabs>
          <w:tab w:pos="3655" w:val="left" w:leader="none"/>
          <w:tab w:pos="3656" w:val="left" w:leader="none"/>
        </w:tabs>
        <w:spacing w:line="240" w:lineRule="auto" w:before="21" w:after="0"/>
        <w:ind w:left="3655" w:right="0" w:hanging="739"/>
        <w:jc w:val="left"/>
        <w:rPr>
          <w:sz w:val="21"/>
        </w:rPr>
      </w:pPr>
      <w:r>
        <w:rPr>
          <w:spacing w:val="-5"/>
          <w:sz w:val="21"/>
        </w:rPr>
        <w:t>实际实施了开颅进行的脑肿瘤完全切除或部分切除的手术；</w:t>
      </w:r>
    </w:p>
    <w:p>
      <w:pPr>
        <w:pStyle w:val="ListParagraph"/>
        <w:numPr>
          <w:ilvl w:val="0"/>
          <w:numId w:val="14"/>
        </w:numPr>
        <w:tabs>
          <w:tab w:pos="3655" w:val="left" w:leader="none"/>
          <w:tab w:pos="3656" w:val="left" w:leader="none"/>
        </w:tabs>
        <w:spacing w:line="240" w:lineRule="auto" w:before="114" w:after="0"/>
        <w:ind w:left="3655" w:right="0" w:hanging="739"/>
        <w:jc w:val="left"/>
        <w:rPr>
          <w:sz w:val="21"/>
        </w:rPr>
      </w:pPr>
      <w:r>
        <w:rPr>
          <w:spacing w:val="-5"/>
          <w:sz w:val="21"/>
        </w:rPr>
        <w:t>实际实施了对脑肿瘤进行的放射治疗。</w:t>
      </w:r>
    </w:p>
    <w:p>
      <w:pPr>
        <w:pStyle w:val="BodyText"/>
        <w:spacing w:before="119"/>
        <w:ind w:left="2916"/>
      </w:pPr>
      <w:r>
        <w:rPr>
          <w:rFonts w:ascii="黑体" w:eastAsia="黑体" w:hint="eastAsia"/>
        </w:rPr>
        <w:t>脑垂体瘤、脑囊肿、脑血管性疾病不在保障范围内</w:t>
      </w:r>
      <w:r>
        <w:rPr/>
        <w:t>。</w:t>
      </w:r>
    </w:p>
    <w:p>
      <w:pPr>
        <w:pStyle w:val="BodyText"/>
        <w:spacing w:before="10"/>
        <w:rPr>
          <w:sz w:val="18"/>
        </w:rPr>
      </w:pPr>
    </w:p>
    <w:p>
      <w:pPr>
        <w:spacing w:after="0"/>
        <w:rPr>
          <w:sz w:val="18"/>
        </w:rPr>
        <w:sectPr>
          <w:pgSz w:w="11900" w:h="16840"/>
          <w:pgMar w:top="1180" w:bottom="280" w:left="1020" w:right="580"/>
        </w:sectPr>
      </w:pPr>
    </w:p>
    <w:p>
      <w:pPr>
        <w:pStyle w:val="Heading2"/>
        <w:numPr>
          <w:ilvl w:val="1"/>
          <w:numId w:val="7"/>
        </w:numPr>
        <w:tabs>
          <w:tab w:pos="1144" w:val="left" w:leader="none"/>
          <w:tab w:pos="1145" w:val="left" w:leader="none"/>
        </w:tabs>
        <w:spacing w:line="204" w:lineRule="auto" w:before="24" w:after="0"/>
        <w:ind w:left="1144" w:right="0" w:hanging="1032"/>
        <w:jc w:val="left"/>
      </w:pPr>
      <w:r>
        <w:rPr/>
        <w:t>慢性肝功能衰竭失代偿期</w:t>
      </w:r>
    </w:p>
    <w:p>
      <w:pPr>
        <w:pStyle w:val="BodyText"/>
        <w:spacing w:before="36"/>
        <w:ind w:left="112"/>
        <w:rPr>
          <w:rFonts w:ascii="黑体" w:eastAsia="黑体" w:hint="eastAsia"/>
        </w:rPr>
      </w:pPr>
      <w:r>
        <w:rPr/>
        <w:br w:type="column"/>
      </w:r>
      <w:r>
        <w:rPr/>
        <w:t>指因慢性肝脏疾病导致肝功能衰竭。</w:t>
      </w:r>
      <w:r>
        <w:rPr>
          <w:rFonts w:ascii="黑体" w:eastAsia="黑体" w:hint="eastAsia"/>
        </w:rPr>
        <w:t>须满足下列全部条件：</w:t>
      </w:r>
    </w:p>
    <w:p>
      <w:pPr>
        <w:pStyle w:val="ListParagraph"/>
        <w:numPr>
          <w:ilvl w:val="0"/>
          <w:numId w:val="15"/>
        </w:numPr>
        <w:tabs>
          <w:tab w:pos="851" w:val="left" w:leader="none"/>
          <w:tab w:pos="852" w:val="left" w:leader="none"/>
        </w:tabs>
        <w:spacing w:line="240" w:lineRule="auto" w:before="118" w:after="0"/>
        <w:ind w:left="852" w:right="0" w:hanging="740"/>
        <w:jc w:val="left"/>
        <w:rPr>
          <w:sz w:val="21"/>
        </w:rPr>
      </w:pPr>
      <w:r>
        <w:rPr>
          <w:spacing w:val="-2"/>
          <w:sz w:val="21"/>
        </w:rPr>
        <w:t>持续性黄疸；</w:t>
      </w:r>
    </w:p>
    <w:p>
      <w:pPr>
        <w:pStyle w:val="ListParagraph"/>
        <w:numPr>
          <w:ilvl w:val="0"/>
          <w:numId w:val="15"/>
        </w:numPr>
        <w:tabs>
          <w:tab w:pos="851" w:val="left" w:leader="none"/>
          <w:tab w:pos="852" w:val="left" w:leader="none"/>
        </w:tabs>
        <w:spacing w:line="240" w:lineRule="auto" w:before="113" w:after="0"/>
        <w:ind w:left="852" w:right="0" w:hanging="740"/>
        <w:jc w:val="left"/>
        <w:rPr>
          <w:sz w:val="21"/>
        </w:rPr>
      </w:pPr>
      <w:r>
        <w:rPr>
          <w:spacing w:val="-2"/>
          <w:sz w:val="21"/>
        </w:rPr>
        <w:t>腹水；</w:t>
      </w:r>
    </w:p>
    <w:p>
      <w:pPr>
        <w:pStyle w:val="ListParagraph"/>
        <w:numPr>
          <w:ilvl w:val="0"/>
          <w:numId w:val="15"/>
        </w:numPr>
        <w:tabs>
          <w:tab w:pos="851" w:val="left" w:leader="none"/>
          <w:tab w:pos="852" w:val="left" w:leader="none"/>
        </w:tabs>
        <w:spacing w:line="240" w:lineRule="auto" w:before="113" w:after="0"/>
        <w:ind w:left="852" w:right="0" w:hanging="740"/>
        <w:jc w:val="left"/>
        <w:rPr>
          <w:sz w:val="21"/>
        </w:rPr>
      </w:pPr>
      <w:r>
        <w:rPr>
          <w:spacing w:val="-2"/>
          <w:sz w:val="21"/>
        </w:rPr>
        <w:t>肝性脑病；</w:t>
      </w:r>
    </w:p>
    <w:p>
      <w:pPr>
        <w:pStyle w:val="ListParagraph"/>
        <w:numPr>
          <w:ilvl w:val="0"/>
          <w:numId w:val="15"/>
        </w:numPr>
        <w:tabs>
          <w:tab w:pos="851" w:val="left" w:leader="none"/>
          <w:tab w:pos="852" w:val="left" w:leader="none"/>
        </w:tabs>
        <w:spacing w:line="240" w:lineRule="auto" w:before="113" w:after="0"/>
        <w:ind w:left="852" w:right="0" w:hanging="740"/>
        <w:jc w:val="left"/>
        <w:rPr>
          <w:sz w:val="21"/>
        </w:rPr>
      </w:pPr>
      <w:r>
        <w:rPr>
          <w:spacing w:val="-5"/>
          <w:sz w:val="21"/>
        </w:rPr>
        <w:t>充血性脾肿大伴脾功能亢进或食管胃底静脉曲张。</w:t>
      </w:r>
    </w:p>
    <w:p>
      <w:pPr>
        <w:pStyle w:val="BodyText"/>
        <w:spacing w:before="118"/>
        <w:ind w:left="112"/>
      </w:pPr>
      <w:r>
        <w:rPr>
          <w:rFonts w:ascii="黑体" w:eastAsia="黑体" w:hint="eastAsia"/>
        </w:rPr>
        <w:t>因酗酒或药物滥用导致的肝功能衰竭不在保障范围内</w:t>
      </w:r>
      <w:r>
        <w:rPr/>
        <w:t>。</w:t>
      </w:r>
    </w:p>
    <w:p>
      <w:pPr>
        <w:spacing w:after="0"/>
        <w:sectPr>
          <w:type w:val="continuous"/>
          <w:pgSz w:w="11900" w:h="16840"/>
          <w:pgMar w:top="560" w:bottom="280" w:left="1020" w:right="580"/>
          <w:cols w:num="2" w:equalWidth="0">
            <w:col w:w="2623" w:space="180"/>
            <w:col w:w="7497"/>
          </w:cols>
        </w:sectPr>
      </w:pPr>
    </w:p>
    <w:p>
      <w:pPr>
        <w:pStyle w:val="BodyText"/>
        <w:spacing w:before="10"/>
        <w:rPr>
          <w:sz w:val="18"/>
        </w:rPr>
      </w:pPr>
    </w:p>
    <w:p>
      <w:pPr>
        <w:spacing w:after="0"/>
        <w:rPr>
          <w:sz w:val="18"/>
        </w:rPr>
        <w:sectPr>
          <w:type w:val="continuous"/>
          <w:pgSz w:w="11900" w:h="16840"/>
          <w:pgMar w:top="560" w:bottom="280" w:left="1020" w:right="580"/>
        </w:sectPr>
      </w:pPr>
    </w:p>
    <w:p>
      <w:pPr>
        <w:pStyle w:val="Heading2"/>
        <w:numPr>
          <w:ilvl w:val="1"/>
          <w:numId w:val="7"/>
        </w:numPr>
        <w:tabs>
          <w:tab w:pos="1144" w:val="left" w:leader="none"/>
          <w:tab w:pos="1145" w:val="left" w:leader="none"/>
        </w:tabs>
        <w:spacing w:line="204" w:lineRule="auto" w:before="24" w:after="0"/>
        <w:ind w:left="1144" w:right="0" w:hanging="1032"/>
        <w:jc w:val="left"/>
      </w:pPr>
      <w:r>
        <w:rPr/>
        <w:t>脑炎后遗症或者脑膜炎后遗症</w:t>
      </w:r>
    </w:p>
    <w:p>
      <w:pPr>
        <w:pStyle w:val="BodyText"/>
        <w:spacing w:line="273" w:lineRule="auto" w:before="36"/>
        <w:ind w:left="112" w:right="225"/>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851" w:val="left" w:leader="none"/>
          <w:tab w:pos="852" w:val="left" w:leader="none"/>
        </w:tabs>
        <w:spacing w:line="240" w:lineRule="auto" w:before="89" w:after="0"/>
        <w:ind w:left="832" w:right="0" w:hanging="720"/>
        <w:jc w:val="left"/>
        <w:rPr>
          <w:sz w:val="21"/>
        </w:rPr>
      </w:pPr>
      <w:r>
        <w:rPr>
          <w:spacing w:val="-5"/>
          <w:sz w:val="21"/>
        </w:rPr>
        <w:t>一肢或一肢以上肢体机能完全丧失；</w:t>
      </w:r>
    </w:p>
    <w:p>
      <w:pPr>
        <w:pStyle w:val="ListParagraph"/>
        <w:numPr>
          <w:ilvl w:val="0"/>
          <w:numId w:val="16"/>
        </w:numPr>
        <w:tabs>
          <w:tab w:pos="851" w:val="left" w:leader="none"/>
          <w:tab w:pos="852" w:val="left" w:leader="none"/>
        </w:tabs>
        <w:spacing w:line="240" w:lineRule="auto" w:before="114" w:after="0"/>
        <w:ind w:left="832" w:right="0" w:hanging="720"/>
        <w:jc w:val="left"/>
        <w:rPr>
          <w:sz w:val="21"/>
        </w:rPr>
      </w:pPr>
      <w:r>
        <w:rPr>
          <w:spacing w:val="-5"/>
          <w:sz w:val="21"/>
        </w:rPr>
        <w:t>语言能力或咀嚼吞咽能力完全丧失；</w:t>
      </w:r>
    </w:p>
    <w:p>
      <w:pPr>
        <w:pStyle w:val="ListParagraph"/>
        <w:numPr>
          <w:ilvl w:val="0"/>
          <w:numId w:val="16"/>
        </w:numPr>
        <w:tabs>
          <w:tab w:pos="804" w:val="left" w:leader="none"/>
        </w:tabs>
        <w:spacing w:line="268" w:lineRule="auto" w:before="114" w:after="0"/>
        <w:ind w:left="832" w:right="225" w:hanging="720"/>
        <w:jc w:val="left"/>
        <w:rPr>
          <w:sz w:val="21"/>
        </w:rPr>
      </w:pPr>
      <w:r>
        <w:rPr>
          <w:spacing w:val="-8"/>
          <w:sz w:val="21"/>
        </w:rPr>
        <w:t>自主生活能力完全丧失，无法独立完成六项基本日常生活活动中的三项</w:t>
      </w:r>
      <w:r>
        <w:rPr>
          <w:spacing w:val="-7"/>
          <w:sz w:val="21"/>
        </w:rPr>
        <w:t>或三项以上。</w:t>
      </w:r>
    </w:p>
    <w:p>
      <w:pPr>
        <w:spacing w:after="0" w:line="268" w:lineRule="auto"/>
        <w:jc w:val="left"/>
        <w:rPr>
          <w:sz w:val="21"/>
        </w:rPr>
        <w:sectPr>
          <w:type w:val="continuous"/>
          <w:pgSz w:w="11900" w:h="16840"/>
          <w:pgMar w:top="560" w:bottom="280" w:left="1020" w:right="580"/>
          <w:cols w:num="2" w:equalWidth="0">
            <w:col w:w="2624" w:space="180"/>
            <w:col w:w="7496"/>
          </w:cols>
        </w:sectPr>
      </w:pPr>
    </w:p>
    <w:p>
      <w:pPr>
        <w:pStyle w:val="BodyText"/>
        <w:spacing w:before="7"/>
        <w:rPr>
          <w:sz w:val="17"/>
        </w:rPr>
      </w:pPr>
    </w:p>
    <w:p>
      <w:pPr>
        <w:pStyle w:val="ListParagraph"/>
        <w:numPr>
          <w:ilvl w:val="1"/>
          <w:numId w:val="7"/>
        </w:numPr>
        <w:tabs>
          <w:tab w:pos="1144" w:val="left" w:leader="none"/>
          <w:tab w:pos="1145" w:val="left" w:leader="none"/>
          <w:tab w:pos="2915" w:val="left" w:leader="none"/>
        </w:tabs>
        <w:spacing w:line="308" w:lineRule="exact" w:before="35" w:after="0"/>
        <w:ind w:left="2916" w:right="225" w:hanging="2804"/>
        <w:jc w:val="left"/>
        <w:rPr>
          <w:sz w:val="21"/>
        </w:rPr>
      </w:pPr>
      <w:r>
        <w:rPr>
          <w:rFonts w:ascii="Microsoft JhengHei" w:eastAsia="Microsoft JhengHei" w:hint="eastAsia"/>
          <w:b/>
          <w:sz w:val="21"/>
        </w:rPr>
        <w:t>深度昏迷</w:t>
        <w:tab/>
      </w:r>
      <w:r>
        <w:rPr>
          <w:sz w:val="21"/>
        </w:rPr>
        <w:t>指因疾病或意外伤</w:t>
      </w:r>
      <w:r>
        <w:rPr>
          <w:spacing w:val="-5"/>
          <w:sz w:val="21"/>
        </w:rPr>
        <w:t>害</w:t>
      </w:r>
      <w:r>
        <w:rPr>
          <w:sz w:val="21"/>
        </w:rPr>
        <w:t>导致意识丧</w:t>
      </w:r>
      <w:r>
        <w:rPr>
          <w:spacing w:val="-5"/>
          <w:sz w:val="21"/>
        </w:rPr>
        <w:t>失</w:t>
      </w:r>
      <w:r>
        <w:rPr>
          <w:sz w:val="21"/>
        </w:rPr>
        <w:t>，对外界刺</w:t>
      </w:r>
      <w:r>
        <w:rPr>
          <w:spacing w:val="-5"/>
          <w:sz w:val="21"/>
        </w:rPr>
        <w:t>激</w:t>
      </w:r>
      <w:r>
        <w:rPr>
          <w:sz w:val="21"/>
        </w:rPr>
        <w:t>和</w:t>
      </w:r>
      <w:r>
        <w:rPr>
          <w:spacing w:val="-5"/>
          <w:sz w:val="21"/>
        </w:rPr>
        <w:t>体</w:t>
      </w:r>
      <w:r>
        <w:rPr>
          <w:sz w:val="21"/>
        </w:rPr>
        <w:t>内需求均无反应，</w:t>
      </w:r>
      <w:r>
        <w:rPr>
          <w:spacing w:val="-5"/>
          <w:sz w:val="21"/>
        </w:rPr>
        <w:t>昏</w:t>
      </w:r>
      <w:r>
        <w:rPr>
          <w:sz w:val="21"/>
        </w:rPr>
        <w:t>迷程 度按照格</w:t>
      </w:r>
      <w:r>
        <w:rPr>
          <w:spacing w:val="-5"/>
          <w:sz w:val="21"/>
        </w:rPr>
        <w:t>拉</w:t>
      </w:r>
      <w:r>
        <w:rPr>
          <w:sz w:val="21"/>
        </w:rPr>
        <w:t>斯哥昏</w:t>
      </w:r>
      <w:r>
        <w:rPr>
          <w:spacing w:val="-5"/>
          <w:sz w:val="21"/>
        </w:rPr>
        <w:t>迷</w:t>
      </w:r>
      <w:r>
        <w:rPr>
          <w:sz w:val="21"/>
        </w:rPr>
        <w:t>分级（Glasgow</w:t>
      </w:r>
      <w:r>
        <w:rPr>
          <w:spacing w:val="5"/>
          <w:sz w:val="21"/>
        </w:rPr>
        <w:t> </w:t>
      </w:r>
      <w:r>
        <w:rPr>
          <w:sz w:val="21"/>
        </w:rPr>
        <w:t>coma</w:t>
      </w:r>
      <w:r>
        <w:rPr>
          <w:spacing w:val="5"/>
          <w:sz w:val="21"/>
        </w:rPr>
        <w:t> </w:t>
      </w:r>
      <w:r>
        <w:rPr>
          <w:sz w:val="21"/>
        </w:rPr>
        <w:t>scale）</w:t>
      </w:r>
      <w:r>
        <w:rPr>
          <w:spacing w:val="-5"/>
          <w:sz w:val="21"/>
        </w:rPr>
        <w:t>结</w:t>
      </w:r>
      <w:r>
        <w:rPr>
          <w:sz w:val="21"/>
        </w:rPr>
        <w:t>果为</w:t>
      </w:r>
      <w:r>
        <w:rPr>
          <w:spacing w:val="-46"/>
          <w:sz w:val="21"/>
        </w:rPr>
        <w:t> </w:t>
      </w:r>
      <w:r>
        <w:rPr>
          <w:sz w:val="21"/>
        </w:rPr>
        <w:t>5</w:t>
      </w:r>
      <w:r>
        <w:rPr>
          <w:spacing w:val="-46"/>
          <w:sz w:val="21"/>
        </w:rPr>
        <w:t> </w:t>
      </w:r>
      <w:r>
        <w:rPr>
          <w:spacing w:val="-5"/>
          <w:sz w:val="21"/>
        </w:rPr>
        <w:t>分</w:t>
      </w:r>
      <w:r>
        <w:rPr>
          <w:sz w:val="21"/>
        </w:rPr>
        <w:t>或</w:t>
      </w:r>
      <w:r>
        <w:rPr>
          <w:spacing w:val="-46"/>
          <w:sz w:val="21"/>
        </w:rPr>
        <w:t> </w:t>
      </w:r>
      <w:r>
        <w:rPr>
          <w:sz w:val="21"/>
        </w:rPr>
        <w:t>5</w:t>
      </w:r>
      <w:r>
        <w:rPr>
          <w:spacing w:val="-51"/>
          <w:sz w:val="21"/>
        </w:rPr>
        <w:t> </w:t>
      </w:r>
      <w:r>
        <w:rPr>
          <w:sz w:val="21"/>
        </w:rPr>
        <w:t>分以下</w:t>
      </w:r>
      <w:r>
        <w:rPr>
          <w:spacing w:val="-5"/>
          <w:sz w:val="21"/>
        </w:rPr>
        <w:t>，</w:t>
      </w:r>
      <w:r>
        <w:rPr>
          <w:sz w:val="21"/>
        </w:rPr>
        <w:t>且</w:t>
      </w:r>
    </w:p>
    <w:p>
      <w:pPr>
        <w:pStyle w:val="BodyText"/>
        <w:spacing w:before="4"/>
        <w:ind w:left="2916"/>
      </w:pPr>
      <w:r>
        <w:rPr/>
        <w:t>已经持续使用呼吸机及其它生命维持系统 96 小时以上。</w:t>
      </w:r>
    </w:p>
    <w:p>
      <w:pPr>
        <w:pStyle w:val="BodyText"/>
        <w:spacing w:before="118"/>
        <w:ind w:left="2916"/>
      </w:pPr>
      <w:r>
        <w:rPr>
          <w:rFonts w:ascii="黑体" w:eastAsia="黑体" w:hint="eastAsia"/>
        </w:rPr>
        <w:t>因酗酒或药物滥用导致的深度昏迷不在保障范围内</w:t>
      </w:r>
      <w:r>
        <w:rPr/>
        <w:t>。</w:t>
      </w:r>
    </w:p>
    <w:p>
      <w:pPr>
        <w:pStyle w:val="BodyText"/>
        <w:spacing w:before="10"/>
        <w:rPr>
          <w:sz w:val="16"/>
        </w:rPr>
      </w:pPr>
    </w:p>
    <w:p>
      <w:pPr>
        <w:pStyle w:val="ListParagraph"/>
        <w:numPr>
          <w:ilvl w:val="1"/>
          <w:numId w:val="7"/>
        </w:numPr>
        <w:tabs>
          <w:tab w:pos="1144" w:val="left" w:leader="none"/>
          <w:tab w:pos="1145" w:val="left" w:leader="none"/>
          <w:tab w:pos="2915" w:val="left" w:leader="none"/>
        </w:tabs>
        <w:spacing w:line="240" w:lineRule="auto" w:before="0" w:after="0"/>
        <w:ind w:left="1144" w:right="0" w:hanging="1032"/>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10.23)性丧失</w:t>
      </w:r>
      <w:r>
        <w:rPr>
          <w:spacing w:val="-44"/>
          <w:sz w:val="21"/>
        </w:rPr>
        <w:t>，</w:t>
      </w:r>
      <w:r>
        <w:rPr>
          <w:sz w:val="21"/>
        </w:rPr>
        <w:t>在</w:t>
      </w:r>
      <w:r>
        <w:rPr>
          <w:spacing w:val="-47"/>
          <w:sz w:val="21"/>
        </w:rPr>
        <w:t> </w:t>
      </w:r>
      <w:r>
        <w:rPr>
          <w:sz w:val="21"/>
        </w:rPr>
        <w:t>500</w:t>
      </w:r>
      <w:r>
        <w:rPr>
          <w:spacing w:val="-42"/>
          <w:sz w:val="21"/>
        </w:rPr>
        <w:t> </w:t>
      </w:r>
      <w:r>
        <w:rPr>
          <w:sz w:val="21"/>
        </w:rPr>
        <w:t>赫兹、</w:t>
      </w:r>
    </w:p>
    <w:p>
      <w:pPr>
        <w:pStyle w:val="BodyText"/>
        <w:spacing w:line="273" w:lineRule="auto" w:before="8"/>
        <w:ind w:left="2916" w:right="119"/>
      </w:pPr>
      <w:r>
        <w:rPr/>
        <w:t>1000</w:t>
      </w:r>
      <w:r>
        <w:rPr>
          <w:spacing w:val="-20"/>
        </w:rPr>
        <w:t> 赫兹和 </w:t>
      </w:r>
      <w:r>
        <w:rPr/>
        <w:t>2000</w:t>
      </w:r>
      <w:r>
        <w:rPr>
          <w:spacing w:val="-16"/>
        </w:rPr>
        <w:t> 赫兹语音频率下，平均听阈大于 </w:t>
      </w:r>
      <w:r>
        <w:rPr/>
        <w:t>90</w:t>
      </w:r>
      <w:r>
        <w:rPr>
          <w:spacing w:val="-13"/>
        </w:rPr>
        <w:t> 分贝，且经纯音听力测试、</w:t>
      </w:r>
      <w:r>
        <w:rPr>
          <w:spacing w:val="-8"/>
        </w:rPr>
        <w:t>声导抗检测或听觉诱发电位检测等证实。</w:t>
      </w:r>
    </w:p>
    <w:p>
      <w:pPr>
        <w:pStyle w:val="BodyText"/>
        <w:spacing w:before="89"/>
        <w:ind w:left="2916"/>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1"/>
          <w:numId w:val="7"/>
        </w:numPr>
        <w:tabs>
          <w:tab w:pos="1144" w:val="left" w:leader="none"/>
          <w:tab w:pos="1145" w:val="left" w:leader="none"/>
          <w:tab w:pos="2915" w:val="left" w:leader="none"/>
        </w:tabs>
        <w:spacing w:line="244" w:lineRule="auto" w:before="0" w:after="0"/>
        <w:ind w:left="2916" w:right="225" w:hanging="2804"/>
        <w:jc w:val="left"/>
        <w:rPr>
          <w:sz w:val="21"/>
        </w:rPr>
      </w:pPr>
      <w:r>
        <w:rPr>
          <w:rFonts w:ascii="Microsoft JhengHei" w:eastAsia="Microsoft JhengHei" w:hint="eastAsia"/>
          <w:b/>
          <w:sz w:val="21"/>
        </w:rPr>
        <w:t>双目失明</w:t>
        <w:tab/>
      </w:r>
      <w:r>
        <w:rPr>
          <w:sz w:val="21"/>
        </w:rPr>
        <w:t>指因疾病或意外伤</w:t>
      </w:r>
      <w:r>
        <w:rPr>
          <w:spacing w:val="-5"/>
          <w:sz w:val="21"/>
        </w:rPr>
        <w:t>害</w:t>
      </w:r>
      <w:r>
        <w:rPr>
          <w:sz w:val="21"/>
        </w:rPr>
        <w:t>导致双眼视</w:t>
      </w:r>
      <w:r>
        <w:rPr>
          <w:spacing w:val="-5"/>
          <w:sz w:val="21"/>
        </w:rPr>
        <w:t>力</w:t>
      </w:r>
      <w:r>
        <w:rPr>
          <w:sz w:val="21"/>
        </w:rPr>
        <w:t>永久不可逆</w:t>
      </w:r>
      <w:r>
        <w:rPr>
          <w:spacing w:val="-5"/>
          <w:sz w:val="21"/>
        </w:rPr>
        <w:t>性</w:t>
      </w:r>
      <w:r>
        <w:rPr>
          <w:sz w:val="21"/>
        </w:rPr>
        <w:t>丧</w:t>
      </w:r>
      <w:r>
        <w:rPr>
          <w:spacing w:val="-5"/>
          <w:sz w:val="21"/>
        </w:rPr>
        <w:t>失</w:t>
      </w:r>
      <w:r>
        <w:rPr>
          <w:sz w:val="21"/>
        </w:rPr>
        <w:t>，双眼中较好眼须</w:t>
      </w:r>
      <w:r>
        <w:rPr>
          <w:spacing w:val="-5"/>
          <w:sz w:val="21"/>
        </w:rPr>
        <w:t>满</w:t>
      </w:r>
      <w:r>
        <w:rPr>
          <w:sz w:val="21"/>
        </w:rPr>
        <w:t>足下 列至少一</w:t>
      </w:r>
      <w:r>
        <w:rPr>
          <w:spacing w:val="-5"/>
          <w:sz w:val="21"/>
        </w:rPr>
        <w:t>项</w:t>
      </w:r>
      <w:r>
        <w:rPr>
          <w:sz w:val="21"/>
        </w:rPr>
        <w:t>条件：</w:t>
      </w:r>
    </w:p>
    <w:p>
      <w:pPr>
        <w:pStyle w:val="ListParagraph"/>
        <w:numPr>
          <w:ilvl w:val="0"/>
          <w:numId w:val="17"/>
        </w:numPr>
        <w:tabs>
          <w:tab w:pos="3655" w:val="left" w:leader="none"/>
          <w:tab w:pos="3656" w:val="left" w:leader="none"/>
        </w:tabs>
        <w:spacing w:line="240" w:lineRule="auto" w:before="114" w:after="0"/>
        <w:ind w:left="3636" w:right="0" w:hanging="720"/>
        <w:jc w:val="left"/>
        <w:rPr>
          <w:sz w:val="21"/>
        </w:rPr>
      </w:pPr>
      <w:r>
        <w:rPr>
          <w:spacing w:val="-3"/>
          <w:sz w:val="21"/>
        </w:rPr>
        <w:t>眼球缺失或摘除；</w:t>
      </w:r>
    </w:p>
    <w:p>
      <w:pPr>
        <w:pStyle w:val="ListParagraph"/>
        <w:numPr>
          <w:ilvl w:val="0"/>
          <w:numId w:val="17"/>
        </w:numPr>
        <w:tabs>
          <w:tab w:pos="3655" w:val="left" w:leader="none"/>
          <w:tab w:pos="3656" w:val="left" w:leader="none"/>
        </w:tabs>
        <w:spacing w:line="268" w:lineRule="auto" w:before="114" w:after="0"/>
        <w:ind w:left="3636" w:right="225" w:hanging="720"/>
        <w:jc w:val="left"/>
        <w:rPr>
          <w:sz w:val="21"/>
        </w:rPr>
      </w:pPr>
      <w:r>
        <w:rPr>
          <w:spacing w:val="2"/>
          <w:sz w:val="21"/>
        </w:rPr>
        <w:t>矫正视力低于 </w:t>
      </w:r>
      <w:r>
        <w:rPr>
          <w:sz w:val="21"/>
        </w:rPr>
        <w:t>0.02（</w:t>
      </w:r>
      <w:r>
        <w:rPr>
          <w:spacing w:val="-5"/>
          <w:sz w:val="21"/>
        </w:rPr>
        <w:t>采用国际标准视力表，如果使用其它视力表应进</w:t>
      </w:r>
      <w:r>
        <w:rPr>
          <w:spacing w:val="-5"/>
          <w:w w:val="100"/>
          <w:sz w:val="21"/>
        </w:rPr>
        <w:t>行换算</w:t>
      </w:r>
      <w:r>
        <w:rPr>
          <w:spacing w:val="-106"/>
          <w:w w:val="100"/>
          <w:sz w:val="21"/>
        </w:rPr>
        <w:t>）</w:t>
      </w:r>
      <w:r>
        <w:rPr>
          <w:w w:val="100"/>
          <w:sz w:val="21"/>
        </w:rPr>
        <w:t>；</w:t>
      </w:r>
    </w:p>
    <w:p>
      <w:pPr>
        <w:pStyle w:val="ListParagraph"/>
        <w:numPr>
          <w:ilvl w:val="0"/>
          <w:numId w:val="17"/>
        </w:numPr>
        <w:tabs>
          <w:tab w:pos="3655" w:val="left" w:leader="none"/>
          <w:tab w:pos="3656" w:val="left" w:leader="none"/>
        </w:tabs>
        <w:spacing w:line="240" w:lineRule="auto" w:before="93" w:after="0"/>
        <w:ind w:left="3636" w:right="0" w:hanging="720"/>
        <w:jc w:val="left"/>
        <w:rPr>
          <w:sz w:val="21"/>
        </w:rPr>
      </w:pPr>
      <w:r>
        <w:rPr>
          <w:spacing w:val="-10"/>
          <w:sz w:val="21"/>
        </w:rPr>
        <w:t>视野半径小于 </w:t>
      </w:r>
      <w:r>
        <w:rPr>
          <w:sz w:val="21"/>
        </w:rPr>
        <w:t>5</w:t>
      </w:r>
      <w:r>
        <w:rPr>
          <w:spacing w:val="-17"/>
          <w:sz w:val="21"/>
        </w:rPr>
        <w:t> 度。</w:t>
      </w:r>
    </w:p>
    <w:p>
      <w:pPr>
        <w:pStyle w:val="BodyText"/>
        <w:spacing w:before="118"/>
        <w:ind w:left="2916"/>
        <w:rPr>
          <w:rFonts w:ascii="黑体" w:eastAsia="黑体" w:hint="eastAsia"/>
        </w:rPr>
      </w:pPr>
      <w:r>
        <w:rPr>
          <w:rFonts w:ascii="黑体" w:eastAsia="黑体" w:hint="eastAsia"/>
        </w:rPr>
        <w:t>被保险人在 3 周岁之前因疾病导致的双目失明不在保障范围内。</w:t>
      </w:r>
    </w:p>
    <w:p>
      <w:pPr>
        <w:pStyle w:val="BodyText"/>
        <w:spacing w:before="5"/>
        <w:rPr>
          <w:rFonts w:ascii="黑体"/>
          <w:sz w:val="16"/>
        </w:rPr>
      </w:pPr>
    </w:p>
    <w:p>
      <w:pPr>
        <w:pStyle w:val="ListParagraph"/>
        <w:numPr>
          <w:ilvl w:val="1"/>
          <w:numId w:val="7"/>
        </w:numPr>
        <w:tabs>
          <w:tab w:pos="1144" w:val="left" w:leader="none"/>
          <w:tab w:pos="1145" w:val="left" w:leader="none"/>
          <w:tab w:pos="2915" w:val="left" w:leader="none"/>
        </w:tabs>
        <w:spacing w:line="256" w:lineRule="auto" w:before="0" w:after="0"/>
        <w:ind w:left="2916" w:right="225" w:hanging="2804"/>
        <w:jc w:val="both"/>
        <w:rPr>
          <w:sz w:val="21"/>
        </w:rPr>
      </w:pPr>
      <w:r>
        <w:rPr>
          <w:rFonts w:ascii="Microsoft JhengHei" w:eastAsia="Microsoft JhengHei" w:hint="eastAsia"/>
          <w:b/>
          <w:sz w:val="21"/>
        </w:rPr>
        <w:t>瘫痪</w:t>
        <w:tab/>
      </w:r>
      <w:r>
        <w:rPr>
          <w:sz w:val="21"/>
        </w:rPr>
        <w:t>指因疾病或意外伤</w:t>
      </w:r>
      <w:r>
        <w:rPr>
          <w:spacing w:val="-5"/>
          <w:sz w:val="21"/>
        </w:rPr>
        <w:t>害</w:t>
      </w:r>
      <w:r>
        <w:rPr>
          <w:sz w:val="21"/>
        </w:rPr>
        <w:t>导致两肢或</w:t>
      </w:r>
      <w:r>
        <w:rPr>
          <w:spacing w:val="-5"/>
          <w:sz w:val="21"/>
        </w:rPr>
        <w:t>两</w:t>
      </w:r>
      <w:r>
        <w:rPr>
          <w:sz w:val="21"/>
        </w:rPr>
        <w:t>肢以上肢体</w:t>
      </w:r>
      <w:r>
        <w:rPr>
          <w:spacing w:val="-5"/>
          <w:sz w:val="21"/>
        </w:rPr>
        <w:t>机</w:t>
      </w:r>
      <w:r>
        <w:rPr>
          <w:sz w:val="21"/>
        </w:rPr>
        <w:t>能</w:t>
      </w:r>
      <w:r>
        <w:rPr>
          <w:spacing w:val="-5"/>
          <w:sz w:val="21"/>
        </w:rPr>
        <w:t>永</w:t>
      </w:r>
      <w:r>
        <w:rPr>
          <w:sz w:val="21"/>
        </w:rPr>
        <w:t>久完全丧失。肢体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0"/>
          <w:sz w:val="21"/>
        </w:rPr>
        <w:t> </w:t>
      </w:r>
      <w:r>
        <w:rPr>
          <w:sz w:val="21"/>
        </w:rPr>
        <w:t>180</w:t>
      </w:r>
      <w:r>
        <w:rPr>
          <w:spacing w:val="-40"/>
          <w:sz w:val="21"/>
        </w:rPr>
        <w:t> </w:t>
      </w:r>
      <w:r>
        <w:rPr>
          <w:sz w:val="21"/>
        </w:rPr>
        <w:t>天</w:t>
      </w:r>
      <w:r>
        <w:rPr>
          <w:spacing w:val="-5"/>
          <w:sz w:val="21"/>
        </w:rPr>
        <w:t>后</w:t>
      </w:r>
      <w:r>
        <w:rPr>
          <w:sz w:val="21"/>
        </w:rPr>
        <w:t>或意外</w:t>
      </w:r>
      <w:r>
        <w:rPr>
          <w:spacing w:val="-5"/>
          <w:sz w:val="21"/>
        </w:rPr>
        <w:t>伤</w:t>
      </w:r>
      <w:r>
        <w:rPr>
          <w:sz w:val="21"/>
        </w:rPr>
        <w:t>害发生</w:t>
      </w:r>
      <w:r>
        <w:rPr>
          <w:spacing w:val="-40"/>
          <w:sz w:val="21"/>
        </w:rPr>
        <w:t> </w:t>
      </w:r>
      <w:r>
        <w:rPr>
          <w:spacing w:val="-4"/>
          <w:sz w:val="21"/>
        </w:rPr>
        <w:t>180</w:t>
      </w:r>
      <w:r>
        <w:rPr>
          <w:spacing w:val="-40"/>
          <w:sz w:val="21"/>
        </w:rPr>
        <w:t> </w:t>
      </w:r>
      <w:r>
        <w:rPr>
          <w:sz w:val="21"/>
        </w:rPr>
        <w:t>天后，</w:t>
      </w:r>
      <w:r>
        <w:rPr>
          <w:spacing w:val="-5"/>
          <w:sz w:val="21"/>
        </w:rPr>
        <w:t>每</w:t>
      </w:r>
      <w:r>
        <w:rPr>
          <w:sz w:val="21"/>
        </w:rPr>
        <w:t>肢三大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BodyText"/>
        <w:spacing w:before="0"/>
        <w:rPr>
          <w:sz w:val="16"/>
        </w:rPr>
      </w:pPr>
    </w:p>
    <w:p>
      <w:pPr>
        <w:pStyle w:val="ListParagraph"/>
        <w:numPr>
          <w:ilvl w:val="1"/>
          <w:numId w:val="7"/>
        </w:numPr>
        <w:tabs>
          <w:tab w:pos="1144" w:val="left" w:leader="none"/>
          <w:tab w:pos="1145" w:val="left" w:leader="none"/>
          <w:tab w:pos="2915" w:val="left" w:leader="none"/>
        </w:tabs>
        <w:spacing w:line="240" w:lineRule="auto" w:before="0" w:after="0"/>
        <w:ind w:left="1144" w:right="0" w:hanging="1032"/>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4"/>
        <w:rPr>
          <w:sz w:val="17"/>
        </w:rPr>
      </w:pPr>
    </w:p>
    <w:p>
      <w:pPr>
        <w:spacing w:after="0"/>
        <w:rPr>
          <w:sz w:val="17"/>
        </w:rPr>
        <w:sectPr>
          <w:type w:val="continuous"/>
          <w:pgSz w:w="11900" w:h="16840"/>
          <w:pgMar w:top="560" w:bottom="280" w:left="1020" w:right="58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严重阿尔茨海默病</w:t>
      </w:r>
    </w:p>
    <w:p>
      <w:pPr>
        <w:pStyle w:val="BodyText"/>
        <w:spacing w:line="268" w:lineRule="auto" w:before="36"/>
        <w:ind w:left="112" w:right="119"/>
      </w:pPr>
      <w:r>
        <w:rPr/>
        <w:br w:type="column"/>
      </w:r>
      <w:r>
        <w:rPr>
          <w:spacing w:val="-5"/>
        </w:rPr>
        <w:t>指因大脑进行性、不可逆性改变导致智能严重衰退或丧失，临床表现为明显的</w:t>
      </w:r>
      <w:r>
        <w:rPr>
          <w:spacing w:val="-11"/>
        </w:rPr>
        <w:t>认知能力障碍、行为异常和社交能力减退，其日常生活必须持续受到他人监护。</w:t>
      </w:r>
    </w:p>
    <w:p>
      <w:pPr>
        <w:spacing w:after="0" w:line="268" w:lineRule="auto"/>
        <w:sectPr>
          <w:type w:val="continuous"/>
          <w:pgSz w:w="11900" w:h="16840"/>
          <w:pgMar w:top="560" w:bottom="280" w:left="1020" w:right="580"/>
          <w:cols w:num="2" w:equalWidth="0">
            <w:col w:w="2705" w:space="98"/>
            <w:col w:w="7497"/>
          </w:cols>
        </w:sectPr>
      </w:pPr>
    </w:p>
    <w:p>
      <w:pPr>
        <w:pStyle w:val="BodyText"/>
        <w:spacing w:line="273" w:lineRule="auto" w:before="19"/>
        <w:ind w:left="2916" w:right="114"/>
      </w:pPr>
      <w:r>
        <w:rPr>
          <w:spacing w:val="-1"/>
          <w:w w:val="100"/>
        </w:rPr>
        <w:t>须由头颅断层扫描</w:t>
      </w:r>
      <w:r>
        <w:rPr>
          <w:w w:val="100"/>
        </w:rPr>
        <w:t>（</w:t>
      </w:r>
      <w:r>
        <w:rPr>
          <w:spacing w:val="-5"/>
          <w:w w:val="100"/>
        </w:rPr>
        <w:t>C</w:t>
      </w:r>
      <w:r>
        <w:rPr>
          <w:spacing w:val="-1"/>
          <w:w w:val="100"/>
        </w:rPr>
        <w:t>T</w:t>
      </w:r>
      <w:r>
        <w:rPr>
          <w:spacing w:val="-106"/>
          <w:w w:val="100"/>
        </w:rPr>
        <w:t>）</w:t>
      </w:r>
      <w:r>
        <w:rPr>
          <w:spacing w:val="-4"/>
          <w:w w:val="100"/>
        </w:rPr>
        <w:t>、核磁共振检查</w:t>
      </w:r>
      <w:r>
        <w:rPr>
          <w:w w:val="100"/>
        </w:rPr>
        <w:t>（MRI</w:t>
      </w:r>
      <w:r>
        <w:rPr>
          <w:spacing w:val="-5"/>
          <w:w w:val="100"/>
        </w:rPr>
        <w:t>）</w:t>
      </w:r>
      <w:r>
        <w:rPr>
          <w:spacing w:val="-3"/>
          <w:w w:val="100"/>
        </w:rPr>
        <w:t>或正电子发射断层扫描</w:t>
      </w:r>
      <w:r>
        <w:rPr>
          <w:w w:val="100"/>
        </w:rPr>
        <w:t>（</w:t>
      </w:r>
      <w:r>
        <w:rPr>
          <w:spacing w:val="-5"/>
          <w:w w:val="100"/>
        </w:rPr>
        <w:t>P</w:t>
      </w:r>
      <w:r>
        <w:rPr>
          <w:w w:val="100"/>
        </w:rPr>
        <w:t>E</w:t>
      </w:r>
      <w:r>
        <w:rPr>
          <w:spacing w:val="-1"/>
          <w:w w:val="100"/>
        </w:rPr>
        <w:t>T</w:t>
      </w:r>
      <w:r>
        <w:rPr>
          <w:w w:val="100"/>
        </w:rPr>
        <w:t>）</w:t>
      </w:r>
      <w:r>
        <w:rPr>
          <w:spacing w:val="-5"/>
        </w:rPr>
        <w:t>等影像学检查证实，且自主生活能力完全丧失，无法独立完成六项基本日常生活活动中的三项或三项以上。</w:t>
      </w:r>
    </w:p>
    <w:p>
      <w:pPr>
        <w:pStyle w:val="BodyText"/>
        <w:spacing w:before="89"/>
        <w:ind w:left="2916"/>
        <w:rPr>
          <w:rFonts w:ascii="黑体" w:eastAsia="黑体" w:hint="eastAsia"/>
        </w:rPr>
      </w:pPr>
      <w:r>
        <w:rPr>
          <w:rFonts w:ascii="黑体" w:eastAsia="黑体" w:hint="eastAsia"/>
        </w:rPr>
        <w:t>神经官能症和精神疾病不在保障范围内。</w:t>
      </w:r>
    </w:p>
    <w:p>
      <w:pPr>
        <w:pStyle w:val="BodyText"/>
        <w:spacing w:before="10"/>
        <w:rPr>
          <w:rFonts w:ascii="黑体"/>
          <w:sz w:val="16"/>
        </w:rPr>
      </w:pPr>
    </w:p>
    <w:p>
      <w:pPr>
        <w:pStyle w:val="ListParagraph"/>
        <w:numPr>
          <w:ilvl w:val="1"/>
          <w:numId w:val="7"/>
        </w:numPr>
        <w:tabs>
          <w:tab w:pos="1144" w:val="left" w:leader="none"/>
          <w:tab w:pos="1145" w:val="left" w:leader="none"/>
          <w:tab w:pos="2915" w:val="left" w:leader="none"/>
        </w:tabs>
        <w:spacing w:line="244" w:lineRule="auto" w:before="0" w:after="0"/>
        <w:ind w:left="2916" w:right="205" w:hanging="2804"/>
        <w:jc w:val="left"/>
        <w:rPr>
          <w:sz w:val="21"/>
        </w:rPr>
      </w:pPr>
      <w:r>
        <w:rPr>
          <w:rFonts w:ascii="Microsoft JhengHei" w:eastAsia="Microsoft JhengHei" w:hint="eastAsia"/>
          <w:b/>
          <w:sz w:val="21"/>
        </w:rPr>
        <w:t>严重脑损伤</w:t>
        <w:tab/>
      </w:r>
      <w:r>
        <w:rPr>
          <w:sz w:val="21"/>
        </w:rPr>
        <w:t>指因头部遭受机械</w:t>
      </w:r>
      <w:r>
        <w:rPr>
          <w:spacing w:val="-5"/>
          <w:sz w:val="21"/>
        </w:rPr>
        <w:t>性</w:t>
      </w:r>
      <w:r>
        <w:rPr>
          <w:sz w:val="21"/>
        </w:rPr>
        <w:t>外力，引起</w:t>
      </w:r>
      <w:r>
        <w:rPr>
          <w:spacing w:val="-5"/>
          <w:sz w:val="21"/>
        </w:rPr>
        <w:t>脑</w:t>
      </w:r>
      <w:r>
        <w:rPr>
          <w:sz w:val="21"/>
        </w:rPr>
        <w:t>重要部位损</w:t>
      </w:r>
      <w:r>
        <w:rPr>
          <w:spacing w:val="-5"/>
          <w:sz w:val="21"/>
        </w:rPr>
        <w:t>伤</w:t>
      </w:r>
      <w:r>
        <w:rPr>
          <w:sz w:val="21"/>
        </w:rPr>
        <w:t>，</w:t>
      </w:r>
      <w:r>
        <w:rPr>
          <w:spacing w:val="-5"/>
          <w:sz w:val="21"/>
        </w:rPr>
        <w:t>导</w:t>
      </w:r>
      <w:r>
        <w:rPr>
          <w:sz w:val="21"/>
        </w:rPr>
        <w:t>致神经系统永久性</w:t>
      </w:r>
      <w:r>
        <w:rPr>
          <w:spacing w:val="-5"/>
          <w:sz w:val="21"/>
        </w:rPr>
        <w:t>的</w:t>
      </w:r>
      <w:r>
        <w:rPr>
          <w:sz w:val="21"/>
        </w:rPr>
        <w:t>功能 </w:t>
      </w:r>
      <w:r>
        <w:rPr>
          <w:w w:val="100"/>
          <w:sz w:val="21"/>
        </w:rPr>
        <w:t>障碍。须由头颅断</w:t>
      </w:r>
      <w:r>
        <w:rPr>
          <w:spacing w:val="-5"/>
          <w:w w:val="100"/>
          <w:sz w:val="21"/>
        </w:rPr>
        <w:t>层</w:t>
      </w:r>
      <w:r>
        <w:rPr>
          <w:w w:val="100"/>
          <w:sz w:val="21"/>
        </w:rPr>
        <w:t>扫描（CT</w:t>
      </w:r>
      <w:r>
        <w:rPr>
          <w:spacing w:val="-106"/>
          <w:w w:val="100"/>
          <w:sz w:val="21"/>
        </w:rPr>
        <w:t>）</w:t>
      </w:r>
      <w:r>
        <w:rPr>
          <w:spacing w:val="-1"/>
          <w:w w:val="100"/>
          <w:sz w:val="21"/>
        </w:rPr>
        <w:t>、</w:t>
      </w:r>
      <w:r>
        <w:rPr>
          <w:spacing w:val="-5"/>
          <w:w w:val="100"/>
          <w:sz w:val="21"/>
        </w:rPr>
        <w:t>核</w:t>
      </w:r>
      <w:r>
        <w:rPr>
          <w:w w:val="100"/>
          <w:sz w:val="21"/>
        </w:rPr>
        <w:t>磁共振检查</w:t>
      </w:r>
      <w:r>
        <w:rPr>
          <w:spacing w:val="-5"/>
          <w:w w:val="100"/>
          <w:sz w:val="21"/>
        </w:rPr>
        <w:t>（</w:t>
      </w:r>
      <w:r>
        <w:rPr>
          <w:w w:val="100"/>
          <w:sz w:val="21"/>
        </w:rPr>
        <w:t>MR</w:t>
      </w:r>
      <w:r>
        <w:rPr>
          <w:spacing w:val="-5"/>
          <w:w w:val="100"/>
          <w:sz w:val="21"/>
        </w:rPr>
        <w:t>I</w:t>
      </w:r>
      <w:r>
        <w:rPr>
          <w:w w:val="100"/>
          <w:sz w:val="21"/>
        </w:rPr>
        <w:t>）或正电子发射断</w:t>
      </w:r>
      <w:r>
        <w:rPr>
          <w:spacing w:val="-5"/>
          <w:w w:val="100"/>
          <w:sz w:val="21"/>
        </w:rPr>
        <w:t>层</w:t>
      </w:r>
      <w:r>
        <w:rPr>
          <w:w w:val="100"/>
          <w:sz w:val="21"/>
        </w:rPr>
        <w:t>扫描</w:t>
      </w:r>
    </w:p>
    <w:p>
      <w:pPr>
        <w:pStyle w:val="BodyText"/>
        <w:spacing w:line="273" w:lineRule="auto" w:before="32"/>
        <w:ind w:left="2916" w:right="114"/>
      </w:pPr>
      <w:r>
        <w:rPr/>
        <w:t>（PET）</w:t>
      </w:r>
      <w:r>
        <w:rPr>
          <w:spacing w:val="-7"/>
        </w:rPr>
        <w:t>等影像学检查证实。神经系统永久性的功能障碍，指脑损伤 </w:t>
      </w:r>
      <w:r>
        <w:rPr/>
        <w:t>180</w:t>
      </w:r>
      <w:r>
        <w:rPr>
          <w:spacing w:val="-11"/>
        </w:rPr>
        <w:t> 天后， </w:t>
      </w:r>
      <w:r>
        <w:rPr>
          <w:spacing w:val="-7"/>
        </w:rPr>
        <w:t>仍遗留下列一种或一种以上障碍：</w:t>
      </w:r>
    </w:p>
    <w:p>
      <w:pPr>
        <w:pStyle w:val="ListParagraph"/>
        <w:numPr>
          <w:ilvl w:val="0"/>
          <w:numId w:val="18"/>
        </w:numPr>
        <w:tabs>
          <w:tab w:pos="3655" w:val="left" w:leader="none"/>
          <w:tab w:pos="3656" w:val="left" w:leader="none"/>
        </w:tabs>
        <w:spacing w:line="240" w:lineRule="auto" w:before="89" w:after="0"/>
        <w:ind w:left="3636" w:right="0" w:hanging="720"/>
        <w:jc w:val="left"/>
        <w:rPr>
          <w:sz w:val="21"/>
        </w:rPr>
      </w:pPr>
      <w:r>
        <w:rPr>
          <w:spacing w:val="-5"/>
          <w:sz w:val="21"/>
        </w:rPr>
        <w:t>一肢或一肢以上肢体机能完全丧失；</w:t>
      </w:r>
    </w:p>
    <w:p>
      <w:pPr>
        <w:pStyle w:val="ListParagraph"/>
        <w:numPr>
          <w:ilvl w:val="0"/>
          <w:numId w:val="18"/>
        </w:numPr>
        <w:tabs>
          <w:tab w:pos="3655" w:val="left" w:leader="none"/>
          <w:tab w:pos="3656" w:val="left" w:leader="none"/>
        </w:tabs>
        <w:spacing w:line="240" w:lineRule="auto" w:before="114" w:after="0"/>
        <w:ind w:left="3636" w:right="0" w:hanging="720"/>
        <w:jc w:val="left"/>
        <w:rPr>
          <w:sz w:val="21"/>
        </w:rPr>
      </w:pPr>
      <w:r>
        <w:rPr>
          <w:spacing w:val="-5"/>
          <w:sz w:val="21"/>
        </w:rPr>
        <w:t>语言能力或咀嚼吞咽能力完全丧失；</w:t>
      </w:r>
    </w:p>
    <w:p>
      <w:pPr>
        <w:pStyle w:val="ListParagraph"/>
        <w:numPr>
          <w:ilvl w:val="0"/>
          <w:numId w:val="18"/>
        </w:numPr>
        <w:tabs>
          <w:tab w:pos="3608" w:val="left" w:leader="none"/>
        </w:tabs>
        <w:spacing w:line="268" w:lineRule="auto" w:before="119" w:after="0"/>
        <w:ind w:left="3636" w:right="205" w:hanging="720"/>
        <w:jc w:val="left"/>
        <w:rPr>
          <w:sz w:val="21"/>
        </w:rPr>
      </w:pPr>
      <w:r>
        <w:rPr>
          <w:spacing w:val="-8"/>
          <w:sz w:val="21"/>
        </w:rPr>
        <w:t>自主生活能力完全丧失，无法独立完成六项基本日常生活活动中的三项</w:t>
      </w:r>
      <w:r>
        <w:rPr>
          <w:spacing w:val="-7"/>
          <w:sz w:val="21"/>
        </w:rPr>
        <w:t>或三项以上。</w:t>
      </w:r>
    </w:p>
    <w:p>
      <w:pPr>
        <w:pStyle w:val="BodyText"/>
        <w:spacing w:before="11"/>
        <w:rPr>
          <w:sz w:val="14"/>
        </w:rPr>
      </w:pPr>
    </w:p>
    <w:p>
      <w:pPr>
        <w:pStyle w:val="ListParagraph"/>
        <w:numPr>
          <w:ilvl w:val="1"/>
          <w:numId w:val="7"/>
        </w:numPr>
        <w:tabs>
          <w:tab w:pos="1144" w:val="left" w:leader="none"/>
          <w:tab w:pos="1145" w:val="left" w:leader="none"/>
          <w:tab w:pos="2915" w:val="left" w:leader="none"/>
        </w:tabs>
        <w:spacing w:line="249" w:lineRule="auto" w:before="0" w:after="0"/>
        <w:ind w:left="2916" w:right="205" w:hanging="2804"/>
        <w:jc w:val="left"/>
        <w:rPr>
          <w:rFonts w:ascii="黑体" w:eastAsia="黑体" w:hint="eastAsia"/>
          <w:sz w:val="21"/>
        </w:rPr>
      </w:pPr>
      <w:r>
        <w:rPr>
          <w:rFonts w:ascii="Microsoft JhengHei" w:eastAsia="Microsoft JhengHei" w:hint="eastAsia"/>
          <w:b/>
          <w:sz w:val="21"/>
        </w:rPr>
        <w:t>严重帕金森病</w:t>
        <w:tab/>
      </w:r>
      <w:r>
        <w:rPr>
          <w:sz w:val="21"/>
        </w:rPr>
        <w:t>是一种中枢神经系</w:t>
      </w:r>
      <w:r>
        <w:rPr>
          <w:spacing w:val="-5"/>
          <w:sz w:val="21"/>
        </w:rPr>
        <w:t>统</w:t>
      </w:r>
      <w:r>
        <w:rPr>
          <w:sz w:val="21"/>
        </w:rPr>
        <w:t>的退行性疾</w:t>
      </w:r>
      <w:r>
        <w:rPr>
          <w:spacing w:val="-5"/>
          <w:sz w:val="21"/>
        </w:rPr>
        <w:t>病</w:t>
      </w:r>
      <w:r>
        <w:rPr>
          <w:sz w:val="21"/>
        </w:rPr>
        <w:t>，临床表现</w:t>
      </w:r>
      <w:r>
        <w:rPr>
          <w:spacing w:val="-5"/>
          <w:sz w:val="21"/>
        </w:rPr>
        <w:t>为</w:t>
      </w:r>
      <w:r>
        <w:rPr>
          <w:sz w:val="21"/>
        </w:rPr>
        <w:t>震</w:t>
      </w:r>
      <w:r>
        <w:rPr>
          <w:spacing w:val="-5"/>
          <w:sz w:val="21"/>
        </w:rPr>
        <w:t>颤</w:t>
      </w:r>
      <w:r>
        <w:rPr>
          <w:sz w:val="21"/>
        </w:rPr>
        <w:t>麻痹、共济失调等</w:t>
      </w:r>
      <w:r>
        <w:rPr>
          <w:spacing w:val="-5"/>
          <w:sz w:val="21"/>
        </w:rPr>
        <w:t>。</w:t>
      </w:r>
      <w:r>
        <w:rPr>
          <w:rFonts w:ascii="黑体" w:eastAsia="黑体" w:hint="eastAsia"/>
          <w:sz w:val="21"/>
        </w:rPr>
        <w:t>须满 足下列全</w:t>
      </w:r>
      <w:r>
        <w:rPr>
          <w:rFonts w:ascii="黑体" w:eastAsia="黑体" w:hint="eastAsia"/>
          <w:spacing w:val="-5"/>
          <w:sz w:val="21"/>
        </w:rPr>
        <w:t>部</w:t>
      </w:r>
      <w:r>
        <w:rPr>
          <w:rFonts w:ascii="黑体" w:eastAsia="黑体" w:hint="eastAsia"/>
          <w:sz w:val="21"/>
        </w:rPr>
        <w:t>条件：</w:t>
      </w:r>
    </w:p>
    <w:p>
      <w:pPr>
        <w:pStyle w:val="ListParagraph"/>
        <w:numPr>
          <w:ilvl w:val="0"/>
          <w:numId w:val="19"/>
        </w:numPr>
        <w:tabs>
          <w:tab w:pos="3655" w:val="left" w:leader="none"/>
          <w:tab w:pos="3656" w:val="left" w:leader="none"/>
        </w:tabs>
        <w:spacing w:line="240" w:lineRule="auto" w:before="109" w:after="0"/>
        <w:ind w:left="3636" w:right="0" w:hanging="720"/>
        <w:jc w:val="left"/>
        <w:rPr>
          <w:sz w:val="21"/>
        </w:rPr>
      </w:pPr>
      <w:r>
        <w:rPr>
          <w:spacing w:val="-4"/>
          <w:sz w:val="21"/>
        </w:rPr>
        <w:t>药物治疗无法控制病情；</w:t>
      </w:r>
    </w:p>
    <w:p>
      <w:pPr>
        <w:pStyle w:val="ListParagraph"/>
        <w:numPr>
          <w:ilvl w:val="0"/>
          <w:numId w:val="19"/>
        </w:numPr>
        <w:tabs>
          <w:tab w:pos="3608" w:val="left" w:leader="none"/>
        </w:tabs>
        <w:spacing w:line="268" w:lineRule="auto" w:before="113" w:after="0"/>
        <w:ind w:left="3636" w:right="205" w:hanging="720"/>
        <w:jc w:val="left"/>
        <w:rPr>
          <w:sz w:val="21"/>
        </w:rPr>
      </w:pPr>
      <w:r>
        <w:rPr>
          <w:spacing w:val="-8"/>
          <w:sz w:val="21"/>
        </w:rPr>
        <w:t>自主生活能力完全丧失，无法独立完成六项基本日常生活活动中的三项</w:t>
      </w:r>
      <w:r>
        <w:rPr>
          <w:spacing w:val="-7"/>
          <w:sz w:val="21"/>
        </w:rPr>
        <w:t>或三项以上。</w:t>
      </w:r>
    </w:p>
    <w:p>
      <w:pPr>
        <w:pStyle w:val="BodyText"/>
        <w:spacing w:before="93"/>
        <w:ind w:left="2916"/>
        <w:rPr>
          <w:rFonts w:ascii="黑体" w:eastAsia="黑体" w:hint="eastAsia"/>
        </w:rPr>
      </w:pPr>
      <w:r>
        <w:rPr>
          <w:rFonts w:ascii="黑体" w:eastAsia="黑体" w:hint="eastAsia"/>
        </w:rPr>
        <w:t>继发性帕金森综合征不在保障范围内。</w:t>
      </w:r>
    </w:p>
    <w:p>
      <w:pPr>
        <w:pStyle w:val="BodyText"/>
        <w:spacing w:before="10"/>
        <w:rPr>
          <w:rFonts w:ascii="黑体"/>
          <w:sz w:val="16"/>
        </w:rPr>
      </w:pPr>
    </w:p>
    <w:p>
      <w:pPr>
        <w:pStyle w:val="ListParagraph"/>
        <w:numPr>
          <w:ilvl w:val="1"/>
          <w:numId w:val="7"/>
        </w:numPr>
        <w:tabs>
          <w:tab w:pos="1144" w:val="left" w:leader="none"/>
          <w:tab w:pos="1145" w:val="left" w:leader="none"/>
          <w:tab w:pos="2915" w:val="left" w:leader="none"/>
        </w:tabs>
        <w:spacing w:line="244" w:lineRule="auto" w:before="0" w:after="0"/>
        <w:ind w:left="2916" w:right="114" w:hanging="2804"/>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10"/>
        <w:rPr>
          <w:sz w:val="18"/>
        </w:rPr>
      </w:pPr>
    </w:p>
    <w:p>
      <w:pPr>
        <w:spacing w:after="0"/>
        <w:rPr>
          <w:sz w:val="18"/>
        </w:rPr>
        <w:sectPr>
          <w:pgSz w:w="11900" w:h="16840"/>
          <w:pgMar w:top="1100" w:bottom="280" w:left="1020" w:right="600"/>
        </w:sectPr>
      </w:pPr>
    </w:p>
    <w:p>
      <w:pPr>
        <w:pStyle w:val="Heading2"/>
        <w:numPr>
          <w:ilvl w:val="1"/>
          <w:numId w:val="7"/>
        </w:numPr>
        <w:tabs>
          <w:tab w:pos="1144" w:val="left" w:leader="none"/>
          <w:tab w:pos="1145" w:val="left" w:leader="none"/>
        </w:tabs>
        <w:spacing w:line="204" w:lineRule="auto" w:before="25" w:after="0"/>
        <w:ind w:left="1144" w:right="0" w:hanging="1032"/>
        <w:jc w:val="left"/>
      </w:pPr>
      <w:r>
        <w:rPr>
          <w:spacing w:val="8"/>
        </w:rPr>
        <w:t>严重原发性肺动脉高压</w:t>
      </w:r>
    </w:p>
    <w:p>
      <w:pPr>
        <w:pStyle w:val="BodyText"/>
        <w:spacing w:line="273" w:lineRule="auto" w:before="36"/>
        <w:ind w:left="112" w:right="205"/>
        <w:jc w:val="both"/>
      </w:pPr>
      <w:r>
        <w:rPr/>
        <w:br w:type="column"/>
      </w:r>
      <w:r>
        <w:rPr>
          <w:spacing w:val="-5"/>
        </w:rPr>
        <w:t>指不明原因的肺动脉压力持续性增高，进行性发展而导致的慢性疾病，已经造成永久不可逆性的体力活动能力受限，达到美国纽约心脏病学会心功能状态分</w:t>
      </w:r>
      <w:r>
        <w:rPr>
          <w:spacing w:val="-26"/>
        </w:rPr>
        <w:t>级 </w:t>
      </w:r>
      <w:r>
        <w:rPr/>
        <w:t>IV</w:t>
      </w:r>
      <w:r>
        <w:rPr>
          <w:spacing w:val="-11"/>
        </w:rPr>
        <w:t> 级，且静息状态下肺动脉平均压超过 </w:t>
      </w:r>
      <w:r>
        <w:rPr/>
        <w:t>30mmHg。</w:t>
      </w:r>
    </w:p>
    <w:p>
      <w:pPr>
        <w:spacing w:after="0" w:line="273" w:lineRule="auto"/>
        <w:jc w:val="both"/>
        <w:sectPr>
          <w:type w:val="continuous"/>
          <w:pgSz w:w="11900" w:h="16840"/>
          <w:pgMar w:top="560" w:bottom="280" w:left="1020" w:right="600"/>
          <w:cols w:num="2" w:equalWidth="0">
            <w:col w:w="2705" w:space="98"/>
            <w:col w:w="7477"/>
          </w:cols>
        </w:sectPr>
      </w:pPr>
    </w:p>
    <w:p>
      <w:pPr>
        <w:pStyle w:val="BodyText"/>
        <w:spacing w:before="10"/>
        <w:rPr>
          <w:sz w:val="16"/>
        </w:rPr>
      </w:pPr>
    </w:p>
    <w:p>
      <w:pPr>
        <w:spacing w:after="0"/>
        <w:rPr>
          <w:sz w:val="16"/>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1" w:lineRule="auto" w:before="29" w:after="0"/>
        <w:ind w:left="1144" w:right="0" w:hanging="1032"/>
        <w:jc w:val="left"/>
      </w:pPr>
      <w:r>
        <w:rPr>
          <w:spacing w:val="8"/>
        </w:rPr>
        <w:t>严重运动神经元病</w:t>
      </w:r>
    </w:p>
    <w:p>
      <w:pPr>
        <w:pStyle w:val="BodyText"/>
        <w:spacing w:line="271" w:lineRule="auto" w:before="37"/>
        <w:ind w:left="112" w:right="20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560" w:bottom="280" w:left="1020" w:right="600"/>
          <w:cols w:num="2" w:equalWidth="0">
            <w:col w:w="2705" w:space="98"/>
            <w:col w:w="7477"/>
          </w:cols>
        </w:sectPr>
      </w:pPr>
    </w:p>
    <w:p>
      <w:pPr>
        <w:pStyle w:val="BodyText"/>
        <w:spacing w:before="5"/>
        <w:rPr>
          <w:sz w:val="17"/>
        </w:rPr>
      </w:pPr>
    </w:p>
    <w:p>
      <w:pPr>
        <w:pStyle w:val="ListParagraph"/>
        <w:numPr>
          <w:ilvl w:val="1"/>
          <w:numId w:val="7"/>
        </w:numPr>
        <w:tabs>
          <w:tab w:pos="1144" w:val="left" w:leader="none"/>
          <w:tab w:pos="1145" w:val="left" w:leader="none"/>
          <w:tab w:pos="2915" w:val="left" w:leader="none"/>
        </w:tabs>
        <w:spacing w:line="308" w:lineRule="exact" w:before="35" w:after="0"/>
        <w:ind w:left="2916" w:right="200" w:hanging="2804"/>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w:t>
      </w:r>
      <w:r>
        <w:rPr>
          <w:spacing w:val="-5"/>
          <w:sz w:val="21"/>
        </w:rPr>
        <w:t>力</w:t>
      </w:r>
      <w:r>
        <w:rPr>
          <w:spacing w:val="-44"/>
          <w:sz w:val="21"/>
        </w:rPr>
        <w:t>，</w:t>
      </w:r>
      <w:r>
        <w:rPr>
          <w:sz w:val="21"/>
        </w:rPr>
        <w:t>经过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48"/>
          <w:sz w:val="21"/>
        </w:rPr>
        <w:t>月</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916"/>
      </w:pPr>
      <w:r>
        <w:rPr>
          <w:rFonts w:ascii="黑体" w:eastAsia="黑体" w:hint="eastAsia"/>
        </w:rPr>
        <w:t>精神心理因素所致的语言能力丧失不在保障范围内</w:t>
      </w:r>
      <w:r>
        <w:rPr/>
        <w:t>。</w:t>
      </w:r>
    </w:p>
    <w:p>
      <w:pPr>
        <w:pStyle w:val="BodyText"/>
        <w:ind w:left="2916"/>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重型再生障碍性贫血</w:t>
      </w:r>
    </w:p>
    <w:p>
      <w:pPr>
        <w:pStyle w:val="BodyText"/>
        <w:spacing w:before="36"/>
        <w:ind w:left="112"/>
      </w:pPr>
      <w:r>
        <w:rPr/>
        <w:br w:type="column"/>
      </w:r>
      <w:r>
        <w:rPr/>
        <w:t>指因骨髓造血功能慢性持续性衰竭导致的贫血、中性粒细胞减少及血小板减少。</w:t>
      </w:r>
    </w:p>
    <w:p>
      <w:pPr>
        <w:pStyle w:val="BodyText"/>
        <w:spacing w:before="32"/>
        <w:ind w:left="112"/>
        <w:rPr>
          <w:rFonts w:ascii="黑体" w:eastAsia="黑体" w:hint="eastAsia"/>
        </w:rPr>
      </w:pPr>
      <w:r>
        <w:rPr>
          <w:rFonts w:ascii="黑体" w:eastAsia="黑体" w:hint="eastAsia"/>
        </w:rPr>
        <w:t>须满足下列全部条件：</w:t>
      </w:r>
    </w:p>
    <w:p>
      <w:pPr>
        <w:pStyle w:val="ListParagraph"/>
        <w:numPr>
          <w:ilvl w:val="0"/>
          <w:numId w:val="20"/>
        </w:numPr>
        <w:tabs>
          <w:tab w:pos="851" w:val="left" w:leader="none"/>
          <w:tab w:pos="852" w:val="left" w:leader="none"/>
        </w:tabs>
        <w:spacing w:line="240" w:lineRule="auto" w:before="119" w:after="0"/>
        <w:ind w:left="852" w:right="0" w:hanging="740"/>
        <w:jc w:val="left"/>
        <w:rPr>
          <w:sz w:val="21"/>
        </w:rPr>
      </w:pPr>
      <w:r>
        <w:rPr>
          <w:spacing w:val="-5"/>
          <w:sz w:val="21"/>
        </w:rPr>
        <w:t>骨髓穿刺检查或骨髓活检结果支持诊断；</w:t>
      </w:r>
    </w:p>
    <w:p>
      <w:pPr>
        <w:pStyle w:val="ListParagraph"/>
        <w:numPr>
          <w:ilvl w:val="0"/>
          <w:numId w:val="20"/>
        </w:numPr>
        <w:tabs>
          <w:tab w:pos="851" w:val="left" w:leader="none"/>
          <w:tab w:pos="852" w:val="left" w:leader="none"/>
        </w:tabs>
        <w:spacing w:line="240" w:lineRule="auto" w:before="114" w:after="0"/>
        <w:ind w:left="852" w:right="0" w:hanging="740"/>
        <w:jc w:val="left"/>
        <w:rPr>
          <w:sz w:val="21"/>
        </w:rPr>
      </w:pPr>
      <w:r>
        <w:rPr>
          <w:spacing w:val="-4"/>
          <w:sz w:val="21"/>
        </w:rPr>
        <w:t>外周血象须具备以下三项条件：</w:t>
      </w:r>
    </w:p>
    <w:p>
      <w:pPr>
        <w:pStyle w:val="BodyText"/>
        <w:spacing w:before="118"/>
        <w:ind w:left="827"/>
      </w:pPr>
      <w:r>
        <w:rPr/>
        <w:t>① 中性粒细胞绝对值≤0.5×10</w:t>
      </w:r>
      <w:r>
        <w:rPr>
          <w:position w:val="11"/>
          <w:sz w:val="11"/>
        </w:rPr>
        <w:t>9</w:t>
      </w:r>
      <w:r>
        <w:rPr/>
        <w:t>/L；</w:t>
      </w:r>
    </w:p>
    <w:p>
      <w:pPr>
        <w:pStyle w:val="BodyText"/>
        <w:ind w:left="827"/>
      </w:pPr>
      <w:r>
        <w:rPr/>
        <w:t>② 网织红细胞＜1%；</w:t>
      </w:r>
    </w:p>
    <w:p>
      <w:pPr>
        <w:spacing w:after="0"/>
        <w:sectPr>
          <w:type w:val="continuous"/>
          <w:pgSz w:w="11900" w:h="16840"/>
          <w:pgMar w:top="560" w:bottom="280" w:left="1020" w:right="600"/>
          <w:cols w:num="2" w:equalWidth="0">
            <w:col w:w="2705" w:space="98"/>
            <w:col w:w="7477"/>
          </w:cols>
        </w:sectPr>
      </w:pPr>
    </w:p>
    <w:p>
      <w:pPr>
        <w:pStyle w:val="BodyText"/>
        <w:spacing w:before="41"/>
        <w:ind w:left="3614" w:right="3635"/>
        <w:jc w:val="center"/>
      </w:pPr>
      <w:r>
        <w:rPr/>
        <w:t>③ 血小板绝对值≤20×10</w:t>
      </w:r>
      <w:r>
        <w:rPr>
          <w:position w:val="11"/>
          <w:sz w:val="11"/>
        </w:rPr>
        <w:t>9</w:t>
      </w:r>
      <w:r>
        <w:rPr/>
        <w:t>/L。</w:t>
      </w:r>
    </w:p>
    <w:p>
      <w:pPr>
        <w:pStyle w:val="BodyText"/>
        <w:spacing w:before="10"/>
        <w:rPr>
          <w:sz w:val="16"/>
        </w:rPr>
      </w:pPr>
    </w:p>
    <w:p>
      <w:pPr>
        <w:pStyle w:val="ListParagraph"/>
        <w:numPr>
          <w:ilvl w:val="1"/>
          <w:numId w:val="7"/>
        </w:numPr>
        <w:tabs>
          <w:tab w:pos="1144" w:val="left" w:leader="none"/>
          <w:tab w:pos="1145" w:val="left" w:leader="none"/>
          <w:tab w:pos="2915" w:val="left" w:leader="none"/>
        </w:tabs>
        <w:spacing w:line="256" w:lineRule="auto" w:before="0" w:after="0"/>
        <w:ind w:left="2916" w:right="105" w:hanging="2804"/>
        <w:jc w:val="both"/>
        <w:rPr>
          <w:rFonts w:ascii="黑体" w:eastAsia="黑体" w:hint="eastAsia"/>
          <w:sz w:val="21"/>
        </w:rPr>
      </w:pPr>
      <w:r>
        <w:rPr>
          <w:rFonts w:ascii="Microsoft JhengHei" w:eastAsia="Microsoft JhengHei" w:hint="eastAsia"/>
          <w:b/>
          <w:sz w:val="21"/>
        </w:rPr>
        <w:t>主动脉手术</w:t>
        <w:tab/>
      </w:r>
      <w:r>
        <w:rPr>
          <w:sz w:val="21"/>
        </w:rPr>
        <w:t>指为治疗主动脉疾</w:t>
      </w:r>
      <w:r>
        <w:rPr>
          <w:spacing w:val="-5"/>
          <w:sz w:val="21"/>
        </w:rPr>
        <w:t>病</w:t>
      </w:r>
      <w:r>
        <w:rPr>
          <w:sz w:val="21"/>
        </w:rPr>
        <w:t>，实际实施</w:t>
      </w:r>
      <w:r>
        <w:rPr>
          <w:spacing w:val="-5"/>
          <w:sz w:val="21"/>
        </w:rPr>
        <w:t>了</w:t>
      </w:r>
      <w:r>
        <w:rPr>
          <w:sz w:val="21"/>
        </w:rPr>
        <w:t>开胸或开腹</w:t>
      </w:r>
      <w:r>
        <w:rPr>
          <w:spacing w:val="-5"/>
          <w:sz w:val="21"/>
        </w:rPr>
        <w:t>进</w:t>
      </w:r>
      <w:r>
        <w:rPr>
          <w:sz w:val="21"/>
        </w:rPr>
        <w:t>行</w:t>
      </w:r>
      <w:r>
        <w:rPr>
          <w:spacing w:val="-5"/>
          <w:sz w:val="21"/>
        </w:rPr>
        <w:t>的</w:t>
      </w:r>
      <w:r>
        <w:rPr>
          <w:sz w:val="21"/>
        </w:rPr>
        <w:t>切除、置换、修补</w:t>
      </w:r>
      <w:r>
        <w:rPr>
          <w:spacing w:val="-5"/>
          <w:sz w:val="21"/>
        </w:rPr>
        <w:t>病</w:t>
      </w:r>
      <w:r>
        <w:rPr>
          <w:sz w:val="21"/>
        </w:rPr>
        <w:t>损主 动脉血管的手术。</w:t>
      </w:r>
      <w:r>
        <w:rPr>
          <w:spacing w:val="-5"/>
          <w:sz w:val="21"/>
        </w:rPr>
        <w:t>主</w:t>
      </w:r>
      <w:r>
        <w:rPr>
          <w:sz w:val="21"/>
        </w:rPr>
        <w:t>动脉指胸主</w:t>
      </w:r>
      <w:r>
        <w:rPr>
          <w:spacing w:val="-5"/>
          <w:sz w:val="21"/>
        </w:rPr>
        <w:t>动</w:t>
      </w:r>
      <w:r>
        <w:rPr>
          <w:sz w:val="21"/>
        </w:rPr>
        <w:t>脉和腹主动</w:t>
      </w:r>
      <w:r>
        <w:rPr>
          <w:spacing w:val="-5"/>
          <w:sz w:val="21"/>
        </w:rPr>
        <w:t>脉</w:t>
      </w:r>
      <w:r>
        <w:rPr>
          <w:sz w:val="21"/>
        </w:rPr>
        <w:t>，</w:t>
      </w:r>
      <w:r>
        <w:rPr>
          <w:rFonts w:ascii="黑体" w:eastAsia="黑体" w:hint="eastAsia"/>
          <w:spacing w:val="-5"/>
          <w:sz w:val="21"/>
        </w:rPr>
        <w:t>不</w:t>
      </w:r>
      <w:r>
        <w:rPr>
          <w:rFonts w:ascii="黑体" w:eastAsia="黑体" w:hint="eastAsia"/>
          <w:sz w:val="21"/>
        </w:rPr>
        <w:t>包括胸主动脉和腹</w:t>
      </w:r>
      <w:r>
        <w:rPr>
          <w:rFonts w:ascii="黑体" w:eastAsia="黑体" w:hint="eastAsia"/>
          <w:spacing w:val="-5"/>
          <w:sz w:val="21"/>
        </w:rPr>
        <w:t>主</w:t>
      </w:r>
      <w:r>
        <w:rPr>
          <w:rFonts w:ascii="黑体" w:eastAsia="黑体" w:hint="eastAsia"/>
          <w:sz w:val="21"/>
        </w:rPr>
        <w:t>动脉的分支血</w:t>
      </w:r>
      <w:r>
        <w:rPr>
          <w:rFonts w:ascii="黑体" w:eastAsia="黑体" w:hint="eastAsia"/>
          <w:spacing w:val="-5"/>
          <w:sz w:val="21"/>
        </w:rPr>
        <w:t>管</w:t>
      </w:r>
      <w:r>
        <w:rPr>
          <w:rFonts w:ascii="黑体" w:eastAsia="黑体" w:hint="eastAsia"/>
          <w:sz w:val="21"/>
        </w:rPr>
        <w:t>。</w:t>
      </w:r>
    </w:p>
    <w:p>
      <w:pPr>
        <w:pStyle w:val="BodyText"/>
        <w:spacing w:before="103"/>
        <w:ind w:left="2916"/>
      </w:pPr>
      <w:r>
        <w:rPr>
          <w:rFonts w:ascii="黑体" w:eastAsia="黑体" w:hint="eastAsia"/>
        </w:rPr>
        <w:t>动脉内血管成形术不在保障范围内</w:t>
      </w:r>
      <w:r>
        <w:rPr/>
        <w:t>。</w:t>
      </w:r>
    </w:p>
    <w:p>
      <w:pPr>
        <w:pStyle w:val="BodyText"/>
        <w:spacing w:before="9"/>
        <w:rPr>
          <w:sz w:val="16"/>
        </w:rPr>
      </w:pPr>
    </w:p>
    <w:p>
      <w:pPr>
        <w:pStyle w:val="ListParagraph"/>
        <w:numPr>
          <w:ilvl w:val="1"/>
          <w:numId w:val="7"/>
        </w:numPr>
        <w:tabs>
          <w:tab w:pos="1144" w:val="left" w:leader="none"/>
          <w:tab w:pos="1145" w:val="left" w:leader="none"/>
        </w:tabs>
        <w:spacing w:line="261" w:lineRule="auto" w:before="1" w:after="0"/>
        <w:ind w:left="2916" w:right="100" w:hanging="2804"/>
        <w:jc w:val="both"/>
        <w:rPr>
          <w:sz w:val="21"/>
        </w:rPr>
      </w:pPr>
      <w:r>
        <w:rPr>
          <w:rFonts w:ascii="Microsoft JhengHei" w:eastAsia="Microsoft JhengHei" w:hint="eastAsia"/>
          <w:b/>
          <w:spacing w:val="1"/>
          <w:sz w:val="21"/>
        </w:rPr>
        <w:t>严重多发性硬化   </w:t>
      </w:r>
      <w:r>
        <w:rPr>
          <w:spacing w:val="-4"/>
          <w:sz w:val="21"/>
        </w:rPr>
        <w:t>指被保险人因脑及脊髓内的脱髓鞘病变而出现神经系统多灶性</w:t>
      </w:r>
      <w:r>
        <w:rPr>
          <w:sz w:val="21"/>
        </w:rPr>
        <w:t>（多发性</w:t>
      </w:r>
      <w:r>
        <w:rPr>
          <w:spacing w:val="-5"/>
          <w:sz w:val="21"/>
        </w:rPr>
        <w:t>）</w:t>
      </w:r>
      <w:r>
        <w:rPr>
          <w:sz w:val="21"/>
        </w:rPr>
        <w:t>多时相（</w:t>
      </w:r>
      <w:r>
        <w:rPr>
          <w:spacing w:val="-11"/>
          <w:sz w:val="21"/>
        </w:rPr>
        <w:t>至少 </w:t>
      </w:r>
      <w:r>
        <w:rPr>
          <w:sz w:val="21"/>
        </w:rPr>
        <w:t>6</w:t>
      </w:r>
      <w:r>
        <w:rPr>
          <w:spacing w:val="-7"/>
          <w:sz w:val="21"/>
        </w:rPr>
        <w:t> 个月以内有一次以上</w:t>
      </w:r>
      <w:r>
        <w:rPr>
          <w:sz w:val="21"/>
        </w:rPr>
        <w:t>（</w:t>
      </w:r>
      <w:r>
        <w:rPr>
          <w:spacing w:val="-2"/>
          <w:sz w:val="21"/>
        </w:rPr>
        <w:t>不包含一次</w:t>
      </w:r>
      <w:r>
        <w:rPr>
          <w:spacing w:val="-5"/>
          <w:sz w:val="21"/>
        </w:rPr>
        <w:t>）</w:t>
      </w:r>
      <w:r>
        <w:rPr>
          <w:spacing w:val="-2"/>
          <w:sz w:val="21"/>
        </w:rPr>
        <w:t>的发作</w:t>
      </w:r>
      <w:r>
        <w:rPr>
          <w:sz w:val="21"/>
        </w:rPr>
        <w:t>）</w:t>
      </w:r>
      <w:r>
        <w:rPr>
          <w:spacing w:val="-3"/>
          <w:sz w:val="21"/>
        </w:rPr>
        <w:t>的病变，须由计算机</w:t>
      </w:r>
      <w:r>
        <w:rPr>
          <w:spacing w:val="-6"/>
          <w:w w:val="100"/>
          <w:sz w:val="21"/>
        </w:rPr>
        <w:t>断层扫描</w:t>
      </w:r>
      <w:r>
        <w:rPr>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spacing w:val="-1"/>
          <w:w w:val="100"/>
          <w:sz w:val="21"/>
        </w:rPr>
        <w:t>M</w:t>
      </w:r>
      <w:r>
        <w:rPr>
          <w:rFonts w:ascii="Times New Roman" w:eastAsia="Times New Roman"/>
          <w:spacing w:val="-2"/>
          <w:w w:val="100"/>
          <w:sz w:val="21"/>
        </w:rPr>
        <w:t>R</w:t>
      </w:r>
      <w:r>
        <w:rPr>
          <w:rFonts w:ascii="Times New Roman" w:eastAsia="Times New Roman"/>
          <w:spacing w:val="-4"/>
          <w:w w:val="100"/>
          <w:sz w:val="21"/>
        </w:rPr>
        <w:t>I</w:t>
      </w:r>
      <w:r>
        <w:rPr>
          <w:spacing w:val="-15"/>
          <w:w w:val="100"/>
          <w:sz w:val="21"/>
        </w:rPr>
        <w:t>）</w:t>
      </w:r>
      <w:r>
        <w:rPr>
          <w:spacing w:val="-3"/>
          <w:w w:val="100"/>
          <w:sz w:val="21"/>
        </w:rPr>
        <w:t>或正电子发射断层扫描</w:t>
      </w:r>
      <w:r>
        <w:rPr>
          <w:w w:val="100"/>
          <w:sz w:val="21"/>
        </w:rPr>
        <w:t>（</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5"/>
          <w:w w:val="100"/>
          <w:sz w:val="21"/>
        </w:rPr>
        <w:t>T</w:t>
      </w:r>
      <w:r>
        <w:rPr>
          <w:spacing w:val="-15"/>
          <w:w w:val="100"/>
          <w:sz w:val="21"/>
        </w:rPr>
        <w:t>）</w:t>
      </w:r>
      <w:r>
        <w:rPr>
          <w:w w:val="100"/>
          <w:sz w:val="21"/>
        </w:rPr>
        <w:t>等影像</w:t>
      </w:r>
      <w:r>
        <w:rPr>
          <w:spacing w:val="-5"/>
          <w:sz w:val="21"/>
        </w:rPr>
        <w:t>学检查证实，且已经造成自主生活能力完全丧失，无法独立完成六项基本日常</w:t>
      </w:r>
      <w:r>
        <w:rPr>
          <w:spacing w:val="-7"/>
          <w:sz w:val="21"/>
        </w:rPr>
        <w:t>生活活动中的三项或三项以上，持续至少 </w:t>
      </w:r>
      <w:r>
        <w:rPr>
          <w:rFonts w:ascii="Times New Roman" w:eastAsia="Times New Roman"/>
          <w:sz w:val="21"/>
        </w:rPr>
        <w:t>180</w:t>
      </w:r>
      <w:r>
        <w:rPr>
          <w:rFonts w:ascii="Times New Roman" w:eastAsia="Times New Roman"/>
          <w:spacing w:val="11"/>
          <w:sz w:val="21"/>
        </w:rPr>
        <w:t> </w:t>
      </w:r>
      <w:r>
        <w:rPr>
          <w:spacing w:val="-3"/>
          <w:sz w:val="21"/>
        </w:rPr>
        <w:t>天。</w:t>
      </w:r>
    </w:p>
    <w:p>
      <w:pPr>
        <w:pStyle w:val="ListParagraph"/>
        <w:numPr>
          <w:ilvl w:val="1"/>
          <w:numId w:val="7"/>
        </w:numPr>
        <w:tabs>
          <w:tab w:pos="1144" w:val="left" w:leader="none"/>
          <w:tab w:pos="1145" w:val="left" w:leader="none"/>
          <w:tab w:pos="2915" w:val="left" w:leader="none"/>
        </w:tabs>
        <w:spacing w:line="249" w:lineRule="auto" w:before="183" w:after="0"/>
        <w:ind w:left="2916" w:right="105" w:hanging="2804"/>
        <w:jc w:val="both"/>
        <w:rPr>
          <w:sz w:val="21"/>
        </w:rPr>
      </w:pPr>
      <w:r>
        <w:rPr>
          <w:rFonts w:ascii="Microsoft JhengHei" w:eastAsia="Microsoft JhengHei" w:hint="eastAsia"/>
          <w:b/>
          <w:sz w:val="21"/>
        </w:rPr>
        <w:t>终末期肺病</w:t>
        <w:tab/>
      </w:r>
      <w:r>
        <w:rPr>
          <w:sz w:val="21"/>
        </w:rPr>
        <w:t>指慢性肺部疾病导</w:t>
      </w:r>
      <w:r>
        <w:rPr>
          <w:spacing w:val="-5"/>
          <w:sz w:val="21"/>
        </w:rPr>
        <w:t>致</w:t>
      </w:r>
      <w:r>
        <w:rPr>
          <w:sz w:val="21"/>
        </w:rPr>
        <w:t>永久不可逆</w:t>
      </w:r>
      <w:r>
        <w:rPr>
          <w:spacing w:val="-5"/>
          <w:sz w:val="21"/>
        </w:rPr>
        <w:t>性</w:t>
      </w:r>
      <w:r>
        <w:rPr>
          <w:sz w:val="21"/>
        </w:rPr>
        <w:t>的慢性呼吸</w:t>
      </w:r>
      <w:r>
        <w:rPr>
          <w:spacing w:val="-5"/>
          <w:sz w:val="21"/>
        </w:rPr>
        <w:t>功</w:t>
      </w:r>
      <w:r>
        <w:rPr>
          <w:sz w:val="21"/>
        </w:rPr>
        <w:t>能</w:t>
      </w:r>
      <w:r>
        <w:rPr>
          <w:spacing w:val="-5"/>
          <w:sz w:val="21"/>
        </w:rPr>
        <w:t>衰</w:t>
      </w:r>
      <w:r>
        <w:rPr>
          <w:sz w:val="21"/>
        </w:rPr>
        <w:t>竭。慢性呼吸功能</w:t>
      </w:r>
      <w:r>
        <w:rPr>
          <w:spacing w:val="-5"/>
          <w:sz w:val="21"/>
        </w:rPr>
        <w:t>衰</w:t>
      </w:r>
      <w:r>
        <w:rPr>
          <w:sz w:val="21"/>
        </w:rPr>
        <w:t>竭必 须明确诊</w:t>
      </w:r>
      <w:r>
        <w:rPr>
          <w:spacing w:val="-5"/>
          <w:sz w:val="21"/>
        </w:rPr>
        <w:t>断</w:t>
      </w:r>
      <w:r>
        <w:rPr>
          <w:sz w:val="21"/>
        </w:rPr>
        <w:t>并满足</w:t>
      </w:r>
      <w:r>
        <w:rPr>
          <w:spacing w:val="-5"/>
          <w:sz w:val="21"/>
        </w:rPr>
        <w:t>下</w:t>
      </w:r>
      <w:r>
        <w:rPr>
          <w:sz w:val="21"/>
        </w:rPr>
        <w:t>列至少</w:t>
      </w:r>
      <w:r>
        <w:rPr>
          <w:spacing w:val="-5"/>
          <w:sz w:val="21"/>
        </w:rPr>
        <w:t>三</w:t>
      </w:r>
      <w:r>
        <w:rPr>
          <w:sz w:val="21"/>
        </w:rPr>
        <w:t>个条件：</w:t>
      </w:r>
    </w:p>
    <w:p>
      <w:pPr>
        <w:pStyle w:val="ListParagraph"/>
        <w:numPr>
          <w:ilvl w:val="0"/>
          <w:numId w:val="21"/>
        </w:numPr>
        <w:tabs>
          <w:tab w:pos="3650" w:val="left" w:leader="none"/>
          <w:tab w:pos="3651" w:val="left" w:leader="none"/>
        </w:tabs>
        <w:spacing w:line="240" w:lineRule="auto" w:before="110" w:after="0"/>
        <w:ind w:left="3650" w:right="0" w:hanging="734"/>
        <w:jc w:val="left"/>
        <w:rPr>
          <w:sz w:val="21"/>
        </w:rPr>
      </w:pPr>
      <w:r>
        <w:rPr>
          <w:spacing w:val="-3"/>
          <w:sz w:val="21"/>
        </w:rPr>
        <w:t>肺功能测试：一秒用力呼气容积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1"/>
        </w:numPr>
        <w:tabs>
          <w:tab w:pos="3650" w:val="left" w:leader="none"/>
          <w:tab w:pos="3651" w:val="left" w:leader="none"/>
        </w:tabs>
        <w:spacing w:line="240" w:lineRule="auto" w:before="113" w:after="0"/>
        <w:ind w:left="3650" w:right="0" w:hanging="734"/>
        <w:jc w:val="left"/>
        <w:rPr>
          <w:sz w:val="21"/>
        </w:rPr>
      </w:pPr>
      <w:r>
        <w:rPr>
          <w:spacing w:val="-2"/>
          <w:sz w:val="21"/>
        </w:rPr>
        <w:t>动脉血氧分压</w:t>
      </w:r>
      <w:r>
        <w:rPr>
          <w:spacing w:val="-1"/>
          <w:sz w:val="21"/>
        </w:rPr>
        <w:t>（PaO2）＜55mmHg；</w:t>
      </w:r>
    </w:p>
    <w:p>
      <w:pPr>
        <w:pStyle w:val="ListParagraph"/>
        <w:numPr>
          <w:ilvl w:val="0"/>
          <w:numId w:val="21"/>
        </w:numPr>
        <w:tabs>
          <w:tab w:pos="3650" w:val="left" w:leader="none"/>
          <w:tab w:pos="3651" w:val="left" w:leader="none"/>
        </w:tabs>
        <w:spacing w:line="240" w:lineRule="auto" w:before="113" w:after="0"/>
        <w:ind w:left="3650" w:right="0" w:hanging="734"/>
        <w:jc w:val="left"/>
        <w:rPr>
          <w:sz w:val="21"/>
        </w:rPr>
      </w:pPr>
      <w:r>
        <w:rPr>
          <w:spacing w:val="-2"/>
          <w:sz w:val="21"/>
        </w:rPr>
        <w:t>动脉血氧饱和度</w:t>
      </w:r>
      <w:r>
        <w:rPr>
          <w:spacing w:val="-1"/>
          <w:sz w:val="21"/>
        </w:rPr>
        <w:t>（SaO2）＜80%；</w:t>
      </w:r>
    </w:p>
    <w:p>
      <w:pPr>
        <w:pStyle w:val="ListParagraph"/>
        <w:numPr>
          <w:ilvl w:val="0"/>
          <w:numId w:val="21"/>
        </w:numPr>
        <w:tabs>
          <w:tab w:pos="3650" w:val="left" w:leader="none"/>
          <w:tab w:pos="3651" w:val="left" w:leader="none"/>
        </w:tabs>
        <w:spacing w:line="240" w:lineRule="auto" w:before="113" w:after="0"/>
        <w:ind w:left="3650" w:right="0" w:hanging="734"/>
        <w:jc w:val="left"/>
        <w:rPr>
          <w:sz w:val="21"/>
        </w:rPr>
      </w:pPr>
      <w:r>
        <w:rPr>
          <w:spacing w:val="-5"/>
          <w:sz w:val="21"/>
        </w:rPr>
        <w:t>休息时出现呼吸困难；因缺氧必须广泛而持续地进行输氧治疗。</w:t>
      </w:r>
    </w:p>
    <w:p>
      <w:pPr>
        <w:pStyle w:val="BodyText"/>
        <w:spacing w:before="9"/>
        <w:rPr>
          <w:sz w:val="16"/>
        </w:rPr>
      </w:pPr>
    </w:p>
    <w:p>
      <w:pPr>
        <w:pStyle w:val="ListParagraph"/>
        <w:numPr>
          <w:ilvl w:val="1"/>
          <w:numId w:val="7"/>
        </w:numPr>
        <w:tabs>
          <w:tab w:pos="1144" w:val="left" w:leader="none"/>
          <w:tab w:pos="1145" w:val="left" w:leader="none"/>
          <w:tab w:pos="2915" w:val="left" w:leader="none"/>
        </w:tabs>
        <w:spacing w:line="244" w:lineRule="auto" w:before="1" w:after="0"/>
        <w:ind w:left="2916" w:right="105" w:hanging="2804"/>
        <w:jc w:val="both"/>
        <w:rPr>
          <w:sz w:val="21"/>
        </w:rPr>
      </w:pPr>
      <w:r>
        <w:rPr>
          <w:rFonts w:ascii="Microsoft JhengHei" w:eastAsia="Microsoft JhengHei" w:hint="eastAsia"/>
          <w:b/>
          <w:sz w:val="21"/>
        </w:rPr>
        <w:t>颅脑手术</w:t>
        <w:tab/>
      </w:r>
      <w:r>
        <w:rPr>
          <w:sz w:val="21"/>
        </w:rPr>
        <w:t>指被保险人因疾病</w:t>
      </w:r>
      <w:r>
        <w:rPr>
          <w:spacing w:val="-5"/>
          <w:sz w:val="21"/>
        </w:rPr>
        <w:t>已</w:t>
      </w:r>
      <w:r>
        <w:rPr>
          <w:sz w:val="21"/>
        </w:rPr>
        <w:t>实施全麻下</w:t>
      </w:r>
      <w:r>
        <w:rPr>
          <w:spacing w:val="-5"/>
          <w:sz w:val="21"/>
        </w:rPr>
        <w:t>的</w:t>
      </w:r>
      <w:r>
        <w:rPr>
          <w:sz w:val="21"/>
        </w:rPr>
        <w:t>开颅手术（</w:t>
      </w:r>
      <w:r>
        <w:rPr>
          <w:spacing w:val="-5"/>
          <w:sz w:val="21"/>
        </w:rPr>
        <w:t>以</w:t>
      </w:r>
      <w:r>
        <w:rPr>
          <w:sz w:val="21"/>
        </w:rPr>
        <w:t>切</w:t>
      </w:r>
      <w:r>
        <w:rPr>
          <w:spacing w:val="-5"/>
          <w:sz w:val="21"/>
        </w:rPr>
        <w:t>开</w:t>
      </w:r>
      <w:r>
        <w:rPr>
          <w:sz w:val="21"/>
        </w:rPr>
        <w:t>硬脑膜为准；</w:t>
      </w:r>
      <w:r>
        <w:rPr>
          <w:rFonts w:ascii="黑体" w:eastAsia="黑体" w:hint="eastAsia"/>
          <w:sz w:val="21"/>
        </w:rPr>
        <w:t>不包</w:t>
      </w:r>
      <w:r>
        <w:rPr>
          <w:rFonts w:ascii="黑体" w:eastAsia="黑体" w:hint="eastAsia"/>
          <w:spacing w:val="-5"/>
          <w:sz w:val="21"/>
        </w:rPr>
        <w:t>括</w:t>
      </w:r>
      <w:r>
        <w:rPr>
          <w:rFonts w:ascii="黑体" w:eastAsia="黑体" w:hint="eastAsia"/>
          <w:sz w:val="21"/>
        </w:rPr>
        <w:t>颅骨 钻孔手术</w:t>
      </w:r>
      <w:r>
        <w:rPr>
          <w:rFonts w:ascii="黑体" w:eastAsia="黑体" w:hint="eastAsia"/>
          <w:spacing w:val="-5"/>
          <w:sz w:val="21"/>
        </w:rPr>
        <w:t>、</w:t>
      </w:r>
      <w:r>
        <w:rPr>
          <w:rFonts w:ascii="黑体" w:eastAsia="黑体" w:hint="eastAsia"/>
          <w:sz w:val="21"/>
        </w:rPr>
        <w:t>不包括</w:t>
      </w:r>
      <w:r>
        <w:rPr>
          <w:rFonts w:ascii="黑体" w:eastAsia="黑体" w:hint="eastAsia"/>
          <w:spacing w:val="-5"/>
          <w:sz w:val="21"/>
        </w:rPr>
        <w:t>经</w:t>
      </w:r>
      <w:r>
        <w:rPr>
          <w:rFonts w:ascii="黑体" w:eastAsia="黑体" w:hint="eastAsia"/>
          <w:sz w:val="21"/>
        </w:rPr>
        <w:t>鼻蝶窦</w:t>
      </w:r>
      <w:r>
        <w:rPr>
          <w:rFonts w:ascii="黑体" w:eastAsia="黑体" w:hint="eastAsia"/>
          <w:spacing w:val="-5"/>
          <w:sz w:val="21"/>
        </w:rPr>
        <w:t>入</w:t>
      </w:r>
      <w:r>
        <w:rPr>
          <w:rFonts w:ascii="黑体" w:eastAsia="黑体" w:hint="eastAsia"/>
          <w:sz w:val="21"/>
        </w:rPr>
        <w:t>颅的手术</w:t>
      </w:r>
      <w:r>
        <w:rPr>
          <w:spacing w:val="-111"/>
          <w:sz w:val="21"/>
        </w:rPr>
        <w:t>）</w:t>
      </w:r>
      <w:r>
        <w:rPr>
          <w:sz w:val="21"/>
        </w:rPr>
        <w:t>。</w:t>
      </w:r>
    </w:p>
    <w:p>
      <w:pPr>
        <w:pStyle w:val="BodyText"/>
        <w:spacing w:line="249" w:lineRule="auto" w:before="48"/>
        <w:ind w:left="2916" w:right="100"/>
      </w:pPr>
      <w:r>
        <w:rPr/>
        <w:t>理赔时必须提供由</w:t>
      </w:r>
      <w:r>
        <w:rPr>
          <w:rFonts w:ascii="Microsoft JhengHei" w:eastAsia="Microsoft JhengHei" w:hint="eastAsia"/>
          <w:b/>
        </w:rPr>
        <w:t>本公司认可的医院</w:t>
      </w:r>
      <w:r>
        <w:rPr/>
        <w:t>（见 10.24）的神经外科医生出具的诊断书及手术报告。</w:t>
      </w:r>
    </w:p>
    <w:p>
      <w:pPr>
        <w:pStyle w:val="BodyText"/>
        <w:spacing w:before="110"/>
        <w:ind w:left="2916"/>
        <w:rPr>
          <w:rFonts w:ascii="黑体" w:eastAsia="黑体" w:hint="eastAsia"/>
        </w:rPr>
      </w:pPr>
      <w:r>
        <w:rPr>
          <w:rFonts w:ascii="黑体" w:eastAsia="黑体" w:hint="eastAsia"/>
        </w:rPr>
        <w:t>因外伤而实施的颅脑手术不在保障范围内。</w:t>
      </w:r>
    </w:p>
    <w:p>
      <w:pPr>
        <w:pStyle w:val="BodyText"/>
        <w:spacing w:before="5"/>
        <w:rPr>
          <w:rFonts w:ascii="黑体"/>
          <w:sz w:val="16"/>
        </w:rPr>
      </w:pPr>
    </w:p>
    <w:p>
      <w:pPr>
        <w:pStyle w:val="ListParagraph"/>
        <w:numPr>
          <w:ilvl w:val="1"/>
          <w:numId w:val="7"/>
        </w:numPr>
        <w:tabs>
          <w:tab w:pos="1144" w:val="left" w:leader="none"/>
          <w:tab w:pos="1145" w:val="left" w:leader="none"/>
        </w:tabs>
        <w:spacing w:line="259" w:lineRule="auto" w:before="0" w:after="0"/>
        <w:ind w:left="2916" w:right="105" w:hanging="2804"/>
        <w:jc w:val="both"/>
        <w:rPr>
          <w:sz w:val="21"/>
        </w:rPr>
      </w:pPr>
      <w:r>
        <w:rPr>
          <w:rFonts w:ascii="Microsoft JhengHei" w:eastAsia="Microsoft JhengHei" w:hint="eastAsia"/>
          <w:b/>
          <w:spacing w:val="1"/>
          <w:sz w:val="21"/>
        </w:rPr>
        <w:t>严重Ｉ型糖尿病   </w:t>
      </w:r>
      <w:r>
        <w:rPr>
          <w:spacing w:val="-5"/>
          <w:sz w:val="21"/>
        </w:rPr>
        <w:t>指因严重的胰岛素缺乏导致的一组糖、脂肪、蛋白质代谢异常综合症，且须依赖外源性胰岛素进行机体的葡萄糖代谢和维持生命。本病须经血胰岛素测定、</w:t>
      </w:r>
      <w:r>
        <w:rPr>
          <w:spacing w:val="-22"/>
          <w:sz w:val="21"/>
        </w:rPr>
        <w:t>血 </w:t>
      </w:r>
      <w:r>
        <w:rPr>
          <w:sz w:val="21"/>
        </w:rPr>
        <w:t>C</w:t>
      </w:r>
      <w:r>
        <w:rPr>
          <w:spacing w:val="-15"/>
          <w:sz w:val="21"/>
        </w:rPr>
        <w:t> 肽测定或尿 </w:t>
      </w:r>
      <w:r>
        <w:rPr>
          <w:sz w:val="21"/>
        </w:rPr>
        <w:t>C</w:t>
      </w:r>
      <w:r>
        <w:rPr>
          <w:spacing w:val="-8"/>
          <w:sz w:val="21"/>
        </w:rPr>
        <w:t> 肽测定检查证实，且被保险人已经接受了持续的胰岛素治疗</w:t>
      </w:r>
    </w:p>
    <w:p>
      <w:pPr>
        <w:pStyle w:val="BodyText"/>
        <w:spacing w:before="20"/>
        <w:ind w:left="2916"/>
      </w:pPr>
      <w:r>
        <w:rPr/>
        <w:t>180 天以上，并须满足下列至少一项条件：</w:t>
      </w:r>
    </w:p>
    <w:p>
      <w:pPr>
        <w:pStyle w:val="ListParagraph"/>
        <w:numPr>
          <w:ilvl w:val="0"/>
          <w:numId w:val="22"/>
        </w:numPr>
        <w:tabs>
          <w:tab w:pos="3650" w:val="left" w:leader="none"/>
          <w:tab w:pos="3651" w:val="left" w:leader="none"/>
        </w:tabs>
        <w:spacing w:line="240" w:lineRule="auto" w:before="118" w:after="0"/>
        <w:ind w:left="3650" w:right="0" w:hanging="734"/>
        <w:jc w:val="left"/>
        <w:rPr>
          <w:sz w:val="21"/>
        </w:rPr>
      </w:pPr>
      <w:r>
        <w:rPr>
          <w:spacing w:val="-2"/>
          <w:sz w:val="21"/>
        </w:rPr>
        <w:t>并发增殖性视网膜病变；</w:t>
      </w:r>
    </w:p>
    <w:p>
      <w:pPr>
        <w:pStyle w:val="ListParagraph"/>
        <w:numPr>
          <w:ilvl w:val="0"/>
          <w:numId w:val="22"/>
        </w:numPr>
        <w:tabs>
          <w:tab w:pos="3650" w:val="left" w:leader="none"/>
          <w:tab w:pos="3651" w:val="left" w:leader="none"/>
        </w:tabs>
        <w:spacing w:line="240" w:lineRule="auto" w:before="113" w:after="0"/>
        <w:ind w:left="3650" w:right="0" w:hanging="734"/>
        <w:jc w:val="left"/>
        <w:rPr>
          <w:sz w:val="21"/>
        </w:rPr>
      </w:pPr>
      <w:r>
        <w:rPr>
          <w:spacing w:val="-3"/>
          <w:sz w:val="21"/>
        </w:rPr>
        <w:t>并发心脏病变，已经植入心脏起搏器；</w:t>
      </w:r>
    </w:p>
    <w:p>
      <w:pPr>
        <w:pStyle w:val="ListParagraph"/>
        <w:numPr>
          <w:ilvl w:val="0"/>
          <w:numId w:val="22"/>
        </w:numPr>
        <w:tabs>
          <w:tab w:pos="3650" w:val="left" w:leader="none"/>
          <w:tab w:pos="3651" w:val="left" w:leader="none"/>
        </w:tabs>
        <w:spacing w:line="240" w:lineRule="auto" w:before="113" w:after="0"/>
        <w:ind w:left="3650" w:right="0" w:hanging="734"/>
        <w:jc w:val="left"/>
        <w:rPr>
          <w:sz w:val="21"/>
        </w:rPr>
      </w:pPr>
      <w:r>
        <w:rPr>
          <w:spacing w:val="-4"/>
          <w:sz w:val="21"/>
        </w:rPr>
        <w:t>至少一个脚趾发生坏疽并已实施手术切除。</w:t>
      </w:r>
    </w:p>
    <w:p>
      <w:pPr>
        <w:pStyle w:val="BodyText"/>
        <w:spacing w:before="1"/>
        <w:rPr>
          <w:sz w:val="19"/>
        </w:rPr>
      </w:pPr>
    </w:p>
    <w:p>
      <w:pPr>
        <w:spacing w:after="0"/>
        <w:rPr>
          <w:sz w:val="19"/>
        </w:rPr>
        <w:sectPr>
          <w:pgSz w:w="11900" w:h="16840"/>
          <w:pgMar w:top="116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严重类风湿性关节炎</w:t>
      </w:r>
    </w:p>
    <w:p>
      <w:pPr>
        <w:pStyle w:val="BodyText"/>
        <w:spacing w:line="271" w:lineRule="auto" w:before="36"/>
        <w:ind w:left="112" w:right="105"/>
        <w:jc w:val="both"/>
        <w:rPr>
          <w:rFonts w:ascii="黑体" w:eastAsia="黑体" w:hint="eastAsia"/>
        </w:rPr>
      </w:pPr>
      <w:r>
        <w:rPr/>
        <w:br w:type="column"/>
      </w:r>
      <w:r>
        <w:rPr>
          <w:spacing w:val="-5"/>
        </w:rPr>
        <w:t>指广泛分布的慢性进行性多关节病变，表现为关节严重变形，侵犯至少三个主要关节（腕关节、肘关节、肩关节、踝关节、膝关节、髋关节</w:t>
      </w:r>
      <w:r>
        <w:rPr/>
        <w:t>）</w:t>
      </w:r>
      <w:r>
        <w:rPr>
          <w:spacing w:val="-2"/>
        </w:rPr>
        <w:t>或关节组</w:t>
      </w:r>
      <w:r>
        <w:rPr/>
        <w:t>（如</w:t>
      </w:r>
      <w:r>
        <w:rPr>
          <w:spacing w:val="-8"/>
        </w:rPr>
        <w:t>手的多个指间、掌指关节，足的多个足趾、跖趾关节等</w:t>
      </w:r>
      <w:r>
        <w:rPr>
          <w:spacing w:val="-66"/>
        </w:rPr>
        <w:t>）</w:t>
      </w:r>
      <w:r>
        <w:rPr>
          <w:spacing w:val="-10"/>
        </w:rPr>
        <w:t>，并已达到类风湿性关</w:t>
      </w:r>
      <w:r>
        <w:rPr>
          <w:spacing w:val="-12"/>
        </w:rPr>
        <w:t>节炎功能分类 </w:t>
      </w:r>
      <w:r>
        <w:rPr/>
        <w:t>IV</w:t>
      </w:r>
      <w:r>
        <w:rPr>
          <w:spacing w:val="-7"/>
        </w:rPr>
        <w:t> 级的永久不可逆性关节功能障碍，</w:t>
      </w:r>
      <w:r>
        <w:rPr>
          <w:rFonts w:ascii="黑体" w:eastAsia="黑体" w:hint="eastAsia"/>
          <w:spacing w:val="-2"/>
        </w:rPr>
        <w:t>且须满足下列全部条件：</w:t>
      </w:r>
    </w:p>
    <w:p>
      <w:pPr>
        <w:pStyle w:val="ListParagraph"/>
        <w:numPr>
          <w:ilvl w:val="0"/>
          <w:numId w:val="23"/>
        </w:numPr>
        <w:tabs>
          <w:tab w:pos="848" w:val="left" w:leader="none"/>
        </w:tabs>
        <w:spacing w:line="240" w:lineRule="auto" w:before="91" w:after="0"/>
        <w:ind w:left="847" w:right="0" w:hanging="735"/>
        <w:jc w:val="both"/>
        <w:rPr>
          <w:sz w:val="21"/>
        </w:rPr>
      </w:pPr>
      <w:r>
        <w:rPr>
          <w:sz w:val="21"/>
        </w:rPr>
        <w:t>晨僵；</w:t>
      </w:r>
    </w:p>
    <w:p>
      <w:pPr>
        <w:pStyle w:val="ListParagraph"/>
        <w:numPr>
          <w:ilvl w:val="0"/>
          <w:numId w:val="23"/>
        </w:numPr>
        <w:tabs>
          <w:tab w:pos="848" w:val="left" w:leader="none"/>
        </w:tabs>
        <w:spacing w:line="240" w:lineRule="auto" w:before="114" w:after="0"/>
        <w:ind w:left="847" w:right="0" w:hanging="735"/>
        <w:jc w:val="both"/>
        <w:rPr>
          <w:sz w:val="21"/>
        </w:rPr>
      </w:pPr>
      <w:r>
        <w:rPr>
          <w:spacing w:val="-1"/>
          <w:sz w:val="21"/>
        </w:rPr>
        <w:t>对称性关节炎；</w:t>
      </w:r>
    </w:p>
    <w:p>
      <w:pPr>
        <w:pStyle w:val="ListParagraph"/>
        <w:numPr>
          <w:ilvl w:val="0"/>
          <w:numId w:val="23"/>
        </w:numPr>
        <w:tabs>
          <w:tab w:pos="848" w:val="left" w:leader="none"/>
        </w:tabs>
        <w:spacing w:line="240" w:lineRule="auto" w:before="114" w:after="0"/>
        <w:ind w:left="847" w:right="0" w:hanging="735"/>
        <w:jc w:val="both"/>
        <w:rPr>
          <w:sz w:val="21"/>
        </w:rPr>
      </w:pPr>
      <w:r>
        <w:rPr>
          <w:spacing w:val="-1"/>
          <w:sz w:val="21"/>
        </w:rPr>
        <w:t>类风湿性皮下结节；</w:t>
      </w:r>
    </w:p>
    <w:p>
      <w:pPr>
        <w:pStyle w:val="ListParagraph"/>
        <w:numPr>
          <w:ilvl w:val="0"/>
          <w:numId w:val="23"/>
        </w:numPr>
        <w:tabs>
          <w:tab w:pos="848" w:val="left" w:leader="none"/>
        </w:tabs>
        <w:spacing w:line="240" w:lineRule="auto" w:before="118" w:after="0"/>
        <w:ind w:left="847" w:right="0" w:hanging="735"/>
        <w:jc w:val="both"/>
        <w:rPr>
          <w:sz w:val="21"/>
        </w:rPr>
      </w:pPr>
      <w:r>
        <w:rPr>
          <w:spacing w:val="-2"/>
          <w:sz w:val="21"/>
        </w:rPr>
        <w:t>类风湿因子滴度升高；</w:t>
      </w:r>
    </w:p>
    <w:p>
      <w:pPr>
        <w:pStyle w:val="ListParagraph"/>
        <w:numPr>
          <w:ilvl w:val="0"/>
          <w:numId w:val="23"/>
        </w:numPr>
        <w:tabs>
          <w:tab w:pos="848" w:val="left" w:leader="none"/>
        </w:tabs>
        <w:spacing w:line="240" w:lineRule="auto" w:before="113" w:after="0"/>
        <w:ind w:left="847" w:right="0" w:hanging="735"/>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560" w:bottom="280" w:left="1020" w:right="700"/>
          <w:cols w:num="2" w:equalWidth="0">
            <w:col w:w="2705" w:space="98"/>
            <w:col w:w="7377"/>
          </w:cols>
        </w:sectPr>
      </w:pPr>
    </w:p>
    <w:p>
      <w:pPr>
        <w:pStyle w:val="Heading2"/>
        <w:numPr>
          <w:ilvl w:val="1"/>
          <w:numId w:val="7"/>
        </w:numPr>
        <w:tabs>
          <w:tab w:pos="1144" w:val="left" w:leader="none"/>
          <w:tab w:pos="1145" w:val="left" w:leader="none"/>
        </w:tabs>
        <w:spacing w:line="201" w:lineRule="auto" w:before="12" w:after="0"/>
        <w:ind w:left="1144" w:right="0" w:hanging="1032"/>
        <w:jc w:val="left"/>
      </w:pPr>
      <w:r>
        <w:rPr>
          <w:spacing w:val="8"/>
        </w:rPr>
        <w:t>急性出血坏死性胰腺炎开腹手术</w:t>
      </w:r>
    </w:p>
    <w:p>
      <w:pPr>
        <w:pStyle w:val="BodyText"/>
        <w:spacing w:line="268" w:lineRule="auto" w:before="21"/>
        <w:ind w:left="112" w:right="105"/>
      </w:pPr>
      <w:r>
        <w:rPr/>
        <w:br w:type="column"/>
      </w:r>
      <w:r>
        <w:rPr/>
        <w:t>指被保险人因为急性出血坏死性胰腺炎已经接受了外科开腹手术治疗，以进行坏死组织清除、坏死病灶切除或胰腺切除。</w:t>
      </w:r>
    </w:p>
    <w:p>
      <w:pPr>
        <w:pStyle w:val="BodyText"/>
        <w:spacing w:line="273" w:lineRule="auto" w:before="93"/>
        <w:ind w:left="112" w:right="105"/>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pgSz w:w="11900" w:h="16840"/>
          <w:pgMar w:top="1180" w:bottom="280" w:left="1020" w:right="700"/>
          <w:cols w:num="2" w:equalWidth="0">
            <w:col w:w="2705" w:space="98"/>
            <w:col w:w="7377"/>
          </w:cols>
        </w:sectPr>
      </w:pPr>
    </w:p>
    <w:p>
      <w:pPr>
        <w:pStyle w:val="BodyText"/>
        <w:spacing w:before="11"/>
        <w:rPr>
          <w:rFonts w:ascii="黑体"/>
          <w:sz w:val="16"/>
        </w:rPr>
      </w:pPr>
    </w:p>
    <w:p>
      <w:pPr>
        <w:spacing w:after="0"/>
        <w:rPr>
          <w:rFonts w:ascii="黑体"/>
          <w:sz w:val="16"/>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306" w:lineRule="exact" w:before="0" w:after="0"/>
        <w:ind w:left="1144" w:right="0" w:hanging="1032"/>
        <w:jc w:val="left"/>
      </w:pPr>
      <w:r>
        <w:rPr>
          <w:spacing w:val="0"/>
        </w:rPr>
        <w:t>侵 蚀 性 葡 萄 胎</w:t>
      </w:r>
    </w:p>
    <w:p>
      <w:pPr>
        <w:spacing w:line="204" w:lineRule="auto" w:before="25"/>
        <w:ind w:left="114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6"/>
        <w:ind w:left="112" w:right="105"/>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560" w:bottom="280" w:left="1020" w:right="700"/>
          <w:cols w:num="2" w:equalWidth="0">
            <w:col w:w="2705" w:space="98"/>
            <w:col w:w="7377"/>
          </w:cols>
        </w:sectPr>
      </w:pPr>
    </w:p>
    <w:p>
      <w:pPr>
        <w:pStyle w:val="BodyText"/>
        <w:spacing w:before="8"/>
        <w:rPr>
          <w:sz w:val="17"/>
        </w:rPr>
      </w:pPr>
    </w:p>
    <w:p>
      <w:pPr>
        <w:spacing w:after="0"/>
        <w:rPr>
          <w:sz w:val="17"/>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4" w:lineRule="auto" w:before="24" w:after="0"/>
        <w:ind w:left="1144" w:right="0" w:hanging="1032"/>
        <w:jc w:val="both"/>
      </w:pPr>
      <w:r>
        <w:rPr>
          <w:spacing w:val="8"/>
        </w:rPr>
        <w:t>经输血导致的感染艾滋病病毒或者患艾滋病</w:t>
      </w:r>
    </w:p>
    <w:p>
      <w:pPr>
        <w:pStyle w:val="BodyText"/>
        <w:spacing w:before="36"/>
        <w:ind w:left="112"/>
      </w:pPr>
      <w:r>
        <w:rPr/>
        <w:br w:type="column"/>
      </w:r>
      <w:r>
        <w:rPr/>
        <w:t>指被保险人感染艾滋病病毒或者患艾滋病</w:t>
      </w:r>
      <w:r>
        <w:rPr>
          <w:rFonts w:ascii="黑体" w:eastAsia="黑体" w:hint="eastAsia"/>
        </w:rPr>
        <w:t>且须满足下列全部条件</w:t>
      </w:r>
      <w:r>
        <w:rPr/>
        <w:t>：</w:t>
      </w:r>
    </w:p>
    <w:p>
      <w:pPr>
        <w:pStyle w:val="ListParagraph"/>
        <w:numPr>
          <w:ilvl w:val="0"/>
          <w:numId w:val="24"/>
        </w:numPr>
        <w:tabs>
          <w:tab w:pos="851" w:val="left" w:leader="none"/>
          <w:tab w:pos="852" w:val="left" w:leader="none"/>
        </w:tabs>
        <w:spacing w:line="240" w:lineRule="auto" w:before="113" w:after="0"/>
        <w:ind w:left="856" w:right="0" w:hanging="739"/>
        <w:jc w:val="left"/>
        <w:rPr>
          <w:sz w:val="21"/>
        </w:rPr>
      </w:pPr>
      <w:r>
        <w:rPr>
          <w:spacing w:val="-4"/>
          <w:sz w:val="21"/>
        </w:rPr>
        <w:t>在保险责任起始日或复效日之后因输血而感染；</w:t>
      </w:r>
    </w:p>
    <w:p>
      <w:pPr>
        <w:pStyle w:val="ListParagraph"/>
        <w:numPr>
          <w:ilvl w:val="0"/>
          <w:numId w:val="24"/>
        </w:numPr>
        <w:tabs>
          <w:tab w:pos="852" w:val="left" w:leader="none"/>
        </w:tabs>
        <w:spacing w:line="273" w:lineRule="auto" w:before="113" w:after="0"/>
        <w:ind w:left="856" w:right="100" w:hanging="739"/>
        <w:jc w:val="both"/>
        <w:rPr>
          <w:sz w:val="21"/>
        </w:rPr>
      </w:pPr>
      <w:r>
        <w:rPr>
          <w:sz w:val="21"/>
        </w:rPr>
        <w:t>提供输血治疗的输血中心或医院出具的该项输血感染属医疗责任事故</w:t>
      </w:r>
      <w:r>
        <w:rPr>
          <w:spacing w:val="-11"/>
          <w:sz w:val="21"/>
        </w:rPr>
        <w:t>的报告，或法院确认被保险人因输血导致感染艾滋病病毒或患艾滋病为</w:t>
      </w:r>
      <w:r>
        <w:rPr>
          <w:spacing w:val="-7"/>
          <w:sz w:val="21"/>
        </w:rPr>
        <w:t>医疗责任事故的生效判决；</w:t>
      </w:r>
    </w:p>
    <w:p>
      <w:pPr>
        <w:pStyle w:val="ListParagraph"/>
        <w:numPr>
          <w:ilvl w:val="0"/>
          <w:numId w:val="24"/>
        </w:numPr>
        <w:tabs>
          <w:tab w:pos="851" w:val="left" w:leader="none"/>
          <w:tab w:pos="852" w:val="left" w:leader="none"/>
        </w:tabs>
        <w:spacing w:line="240" w:lineRule="auto" w:before="89" w:after="0"/>
        <w:ind w:left="856" w:right="0" w:hanging="739"/>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before="114"/>
        <w:ind w:left="112" w:right="106"/>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93"/>
        <w:ind w:left="117" w:right="105"/>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560" w:bottom="280" w:left="1020" w:right="700"/>
          <w:cols w:num="2" w:equalWidth="0">
            <w:col w:w="2705" w:space="94"/>
            <w:col w:w="7381"/>
          </w:cols>
        </w:sectPr>
      </w:pPr>
    </w:p>
    <w:p>
      <w:pPr>
        <w:pStyle w:val="BodyText"/>
        <w:spacing w:before="7"/>
        <w:rPr>
          <w:rFonts w:ascii="黑体"/>
          <w:sz w:val="17"/>
        </w:rPr>
      </w:pPr>
    </w:p>
    <w:p>
      <w:pPr>
        <w:spacing w:after="0"/>
        <w:rPr>
          <w:rFonts w:ascii="黑体"/>
          <w:sz w:val="17"/>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4" w:lineRule="auto" w:before="24" w:after="0"/>
        <w:ind w:left="1144" w:right="0" w:hanging="1032"/>
        <w:jc w:val="both"/>
      </w:pPr>
      <w:r>
        <w:rPr>
          <w:spacing w:val="8"/>
        </w:rPr>
        <w:t>系统性红斑狼疮并发重度的肾功能损害</w:t>
      </w:r>
    </w:p>
    <w:p>
      <w:pPr>
        <w:pStyle w:val="BodyText"/>
        <w:spacing w:line="268" w:lineRule="auto" w:before="36"/>
        <w:ind w:left="112" w:right="105"/>
      </w:pPr>
      <w:r>
        <w:rPr/>
        <w:br w:type="column"/>
      </w:r>
      <w:r>
        <w:rPr>
          <w:spacing w:val="-2"/>
        </w:rPr>
        <w:t>指系统性红斑狼疮累及肾脏</w:t>
      </w:r>
      <w:r>
        <w:rPr>
          <w:spacing w:val="-5"/>
        </w:rPr>
        <w:t>（</w:t>
      </w:r>
      <w:r>
        <w:rPr>
          <w:spacing w:val="-7"/>
        </w:rPr>
        <w:t>经肾脏活检确认的，符合 </w:t>
      </w:r>
      <w:r>
        <w:rPr/>
        <w:t>WHO</w:t>
      </w:r>
      <w:r>
        <w:rPr>
          <w:spacing w:val="-6"/>
        </w:rPr>
        <w:t> 诊断标准定义Ⅲ型</w:t>
      </w:r>
      <w:r>
        <w:rPr>
          <w:spacing w:val="-5"/>
        </w:rPr>
        <w:t>或Ⅲ型以上狼疮性肾炎</w:t>
      </w:r>
      <w:r>
        <w:rPr/>
        <w:t>）</w:t>
      </w:r>
      <w:r>
        <w:rPr>
          <w:spacing w:val="-3"/>
        </w:rPr>
        <w:t>的系统性红斑狼疮。</w:t>
      </w:r>
    </w:p>
    <w:p>
      <w:pPr>
        <w:pStyle w:val="BodyText"/>
        <w:spacing w:line="268" w:lineRule="auto" w:before="93"/>
        <w:ind w:left="112" w:right="105"/>
      </w:pPr>
      <w:r>
        <w:rPr>
          <w:rFonts w:ascii="黑体" w:eastAsia="黑体" w:hint="eastAsia"/>
        </w:rPr>
        <w:t>其他类型的红斑性狼疮，如盘状狼疮、仅累及血液及关节的狼疮不在保障范围内</w:t>
      </w:r>
      <w:r>
        <w:rPr/>
        <w:t>。世界卫生组织（WHO）狼疮性肾炎分型：</w:t>
      </w:r>
    </w:p>
    <w:p>
      <w:pPr>
        <w:pStyle w:val="BodyText"/>
        <w:spacing w:before="93"/>
        <w:ind w:left="112"/>
      </w:pPr>
      <w:r>
        <w:rPr/>
        <w:t>I 型微小病变型</w:t>
      </w:r>
    </w:p>
    <w:p>
      <w:pPr>
        <w:pStyle w:val="BodyText"/>
        <w:ind w:left="112"/>
      </w:pPr>
      <w:r>
        <w:rPr/>
        <w:t>Ⅱ型系膜病变型</w:t>
      </w:r>
    </w:p>
    <w:p>
      <w:pPr>
        <w:pStyle w:val="BodyText"/>
        <w:spacing w:before="118"/>
        <w:ind w:left="112"/>
      </w:pPr>
      <w:r>
        <w:rPr/>
        <w:t>Ⅲ型局灶及节段增生型</w:t>
      </w:r>
    </w:p>
    <w:p>
      <w:pPr>
        <w:pStyle w:val="BodyText"/>
        <w:ind w:left="112"/>
      </w:pPr>
      <w:r>
        <w:rPr/>
        <w:t>Ⅳ型弥漫增生型</w:t>
      </w:r>
    </w:p>
    <w:p>
      <w:pPr>
        <w:pStyle w:val="ListParagraph"/>
        <w:numPr>
          <w:ilvl w:val="0"/>
          <w:numId w:val="25"/>
        </w:numPr>
        <w:tabs>
          <w:tab w:pos="272" w:val="left" w:leader="none"/>
        </w:tabs>
        <w:spacing w:line="240" w:lineRule="auto" w:before="113" w:after="0"/>
        <w:ind w:left="271" w:right="0" w:hanging="159"/>
        <w:jc w:val="left"/>
        <w:rPr>
          <w:sz w:val="21"/>
        </w:rPr>
      </w:pPr>
      <w:r>
        <w:rPr>
          <w:sz w:val="21"/>
        </w:rPr>
        <w:t>型膜型</w:t>
      </w:r>
    </w:p>
    <w:p>
      <w:pPr>
        <w:pStyle w:val="ListParagraph"/>
        <w:numPr>
          <w:ilvl w:val="0"/>
          <w:numId w:val="25"/>
        </w:numPr>
        <w:tabs>
          <w:tab w:pos="377" w:val="left" w:leader="none"/>
        </w:tabs>
        <w:spacing w:line="240" w:lineRule="auto" w:before="113" w:after="0"/>
        <w:ind w:left="376" w:right="0" w:hanging="264"/>
        <w:jc w:val="left"/>
        <w:rPr>
          <w:sz w:val="21"/>
        </w:rPr>
      </w:pPr>
      <w:r>
        <w:rPr>
          <w:spacing w:val="-2"/>
          <w:sz w:val="21"/>
        </w:rPr>
        <w:t>型肾小球硬化型</w:t>
      </w:r>
    </w:p>
    <w:p>
      <w:pPr>
        <w:spacing w:after="0" w:line="240" w:lineRule="auto"/>
        <w:jc w:val="left"/>
        <w:rPr>
          <w:sz w:val="21"/>
        </w:rPr>
        <w:sectPr>
          <w:type w:val="continuous"/>
          <w:pgSz w:w="11900" w:h="16840"/>
          <w:pgMar w:top="560" w:bottom="280" w:left="1020" w:right="700"/>
          <w:cols w:num="2" w:equalWidth="0">
            <w:col w:w="2705" w:space="98"/>
            <w:col w:w="7377"/>
          </w:cols>
        </w:sectPr>
      </w:pPr>
    </w:p>
    <w:p>
      <w:pPr>
        <w:pStyle w:val="BodyText"/>
        <w:spacing w:before="1"/>
        <w:rPr>
          <w:sz w:val="19"/>
        </w:rPr>
      </w:pPr>
    </w:p>
    <w:p>
      <w:pPr>
        <w:pStyle w:val="ListParagraph"/>
        <w:numPr>
          <w:ilvl w:val="1"/>
          <w:numId w:val="7"/>
        </w:numPr>
        <w:tabs>
          <w:tab w:pos="1144" w:val="left" w:leader="none"/>
          <w:tab w:pos="1145" w:val="left" w:leader="none"/>
          <w:tab w:pos="2915" w:val="left" w:leader="none"/>
        </w:tabs>
        <w:spacing w:line="308" w:lineRule="exact" w:before="35" w:after="0"/>
        <w:ind w:left="2916" w:right="105" w:hanging="2804"/>
        <w:jc w:val="both"/>
        <w:rPr>
          <w:sz w:val="21"/>
        </w:rPr>
      </w:pPr>
      <w:r>
        <w:rPr>
          <w:rFonts w:ascii="Microsoft JhengHei" w:eastAsia="Microsoft JhengHei" w:hint="eastAsia"/>
          <w:b/>
          <w:sz w:val="21"/>
        </w:rPr>
        <w:t>重症肌无力</w:t>
        <w:tab/>
      </w:r>
      <w:r>
        <w:rPr>
          <w:sz w:val="21"/>
        </w:rPr>
        <w:t>指一种神经与肌肉</w:t>
      </w:r>
      <w:r>
        <w:rPr>
          <w:spacing w:val="-5"/>
          <w:sz w:val="21"/>
        </w:rPr>
        <w:t>接</w:t>
      </w:r>
      <w:r>
        <w:rPr>
          <w:sz w:val="21"/>
        </w:rPr>
        <w:t>头部位传递</w:t>
      </w:r>
      <w:r>
        <w:rPr>
          <w:spacing w:val="-5"/>
          <w:sz w:val="21"/>
        </w:rPr>
        <w:t>障</w:t>
      </w:r>
      <w:r>
        <w:rPr>
          <w:sz w:val="21"/>
        </w:rPr>
        <w:t>碍的自身免</w:t>
      </w:r>
      <w:r>
        <w:rPr>
          <w:spacing w:val="-5"/>
          <w:sz w:val="21"/>
        </w:rPr>
        <w:t>疫</w:t>
      </w:r>
      <w:r>
        <w:rPr>
          <w:sz w:val="21"/>
        </w:rPr>
        <w:t>性</w:t>
      </w:r>
      <w:r>
        <w:rPr>
          <w:spacing w:val="-5"/>
          <w:sz w:val="21"/>
        </w:rPr>
        <w:t>疾</w:t>
      </w:r>
      <w:r>
        <w:rPr>
          <w:sz w:val="21"/>
        </w:rPr>
        <w:t>病，临床特征是局</w:t>
      </w:r>
      <w:r>
        <w:rPr>
          <w:spacing w:val="-5"/>
          <w:sz w:val="21"/>
        </w:rPr>
        <w:t>部</w:t>
      </w:r>
      <w:r>
        <w:rPr>
          <w:sz w:val="21"/>
        </w:rPr>
        <w:t>或全 身横纹肌于活动时</w:t>
      </w:r>
      <w:r>
        <w:rPr>
          <w:spacing w:val="-5"/>
          <w:sz w:val="21"/>
        </w:rPr>
        <w:t>易</w:t>
      </w:r>
      <w:r>
        <w:rPr>
          <w:sz w:val="21"/>
        </w:rPr>
        <w:t>于疲劳无力</w:t>
      </w:r>
      <w:r>
        <w:rPr>
          <w:spacing w:val="-5"/>
          <w:sz w:val="21"/>
        </w:rPr>
        <w:t>，</w:t>
      </w:r>
      <w:r>
        <w:rPr>
          <w:sz w:val="21"/>
        </w:rPr>
        <w:t>颅神经眼外</w:t>
      </w:r>
      <w:r>
        <w:rPr>
          <w:spacing w:val="-5"/>
          <w:sz w:val="21"/>
        </w:rPr>
        <w:t>肌</w:t>
      </w:r>
      <w:r>
        <w:rPr>
          <w:sz w:val="21"/>
        </w:rPr>
        <w:t>最</w:t>
      </w:r>
      <w:r>
        <w:rPr>
          <w:spacing w:val="-5"/>
          <w:sz w:val="21"/>
        </w:rPr>
        <w:t>易</w:t>
      </w:r>
      <w:r>
        <w:rPr>
          <w:sz w:val="21"/>
        </w:rPr>
        <w:t>累及，也可涉及呼</w:t>
      </w:r>
      <w:r>
        <w:rPr>
          <w:spacing w:val="-5"/>
          <w:sz w:val="21"/>
        </w:rPr>
        <w:t>吸</w:t>
      </w:r>
      <w:r>
        <w:rPr>
          <w:sz w:val="21"/>
        </w:rPr>
        <w:t>肌、</w:t>
      </w:r>
    </w:p>
    <w:p>
      <w:pPr>
        <w:pStyle w:val="BodyText"/>
        <w:spacing w:before="4"/>
        <w:ind w:left="2916"/>
        <w:rPr>
          <w:rFonts w:ascii="黑体" w:eastAsia="黑体" w:hint="eastAsia"/>
        </w:rPr>
      </w:pPr>
      <w:r>
        <w:rPr/>
        <w:t>下肢近端肌群以至全身肌肉。</w:t>
      </w:r>
      <w:r>
        <w:rPr>
          <w:rFonts w:ascii="黑体" w:eastAsia="黑体" w:hint="eastAsia"/>
        </w:rPr>
        <w:t>且须满足下列全部条件：</w:t>
      </w:r>
    </w:p>
    <w:p>
      <w:pPr>
        <w:pStyle w:val="ListParagraph"/>
        <w:numPr>
          <w:ilvl w:val="0"/>
          <w:numId w:val="26"/>
        </w:numPr>
        <w:tabs>
          <w:tab w:pos="3650" w:val="left" w:leader="none"/>
          <w:tab w:pos="3651" w:val="left" w:leader="none"/>
        </w:tabs>
        <w:spacing w:line="240" w:lineRule="auto" w:before="118" w:after="0"/>
        <w:ind w:left="3650" w:right="0" w:hanging="734"/>
        <w:jc w:val="left"/>
        <w:rPr>
          <w:sz w:val="21"/>
        </w:rPr>
      </w:pPr>
      <w:r>
        <w:rPr>
          <w:spacing w:val="-4"/>
          <w:sz w:val="21"/>
        </w:rPr>
        <w:t>经药物、胸腺手术治疗一年以上无法控制病情；</w:t>
      </w:r>
    </w:p>
    <w:p>
      <w:pPr>
        <w:pStyle w:val="ListParagraph"/>
        <w:numPr>
          <w:ilvl w:val="0"/>
          <w:numId w:val="26"/>
        </w:numPr>
        <w:tabs>
          <w:tab w:pos="3650" w:val="left" w:leader="none"/>
          <w:tab w:pos="3651" w:val="left" w:leader="none"/>
        </w:tabs>
        <w:spacing w:line="268" w:lineRule="auto" w:before="118" w:after="0"/>
        <w:ind w:left="3650" w:right="105" w:hanging="734"/>
        <w:jc w:val="left"/>
        <w:rPr>
          <w:sz w:val="21"/>
        </w:rPr>
      </w:pPr>
      <w:r>
        <w:rPr>
          <w:spacing w:val="-11"/>
          <w:sz w:val="21"/>
        </w:rPr>
        <w:t>自主生活能力完全丧失，无法独立完成六项基本日常生活活动中的三项</w:t>
      </w:r>
      <w:r>
        <w:rPr>
          <w:spacing w:val="-9"/>
          <w:sz w:val="21"/>
        </w:rPr>
        <w:t>或三项以上。</w:t>
      </w:r>
    </w:p>
    <w:p>
      <w:pPr>
        <w:pStyle w:val="BodyText"/>
        <w:spacing w:before="10"/>
        <w:rPr>
          <w:sz w:val="14"/>
        </w:rPr>
      </w:pPr>
    </w:p>
    <w:p>
      <w:pPr>
        <w:pStyle w:val="ListParagraph"/>
        <w:numPr>
          <w:ilvl w:val="1"/>
          <w:numId w:val="7"/>
        </w:numPr>
        <w:tabs>
          <w:tab w:pos="1144" w:val="left" w:leader="none"/>
          <w:tab w:pos="1145" w:val="left" w:leader="none"/>
        </w:tabs>
        <w:spacing w:line="259" w:lineRule="auto" w:before="1" w:after="0"/>
        <w:ind w:left="2916" w:right="105" w:hanging="2804"/>
        <w:jc w:val="both"/>
        <w:rPr>
          <w:rFonts w:ascii="黑体" w:eastAsia="黑体" w:hint="eastAsia"/>
          <w:sz w:val="21"/>
        </w:rPr>
      </w:pPr>
      <w:r>
        <w:rPr>
          <w:rFonts w:ascii="Microsoft JhengHei" w:eastAsia="Microsoft JhengHei" w:hint="eastAsia"/>
          <w:b/>
          <w:spacing w:val="0"/>
          <w:sz w:val="21"/>
        </w:rPr>
        <w:t>持续植物人状态   </w:t>
      </w:r>
      <w:r>
        <w:rPr>
          <w:spacing w:val="-4"/>
          <w:sz w:val="21"/>
        </w:rPr>
        <w:t>指因疾病或意外伤害导致被保险人躯体反射和自主反射全部丧失的深昏迷，但</w:t>
      </w:r>
      <w:r>
        <w:rPr>
          <w:spacing w:val="-5"/>
          <w:sz w:val="21"/>
        </w:rPr>
        <w:t>呼吸和心跳是正常的，此时完全依赖支持疗法（</w:t>
      </w:r>
      <w:r>
        <w:rPr>
          <w:spacing w:val="-3"/>
          <w:sz w:val="21"/>
        </w:rPr>
        <w:t>如流质食物、静脉注射营养液</w:t>
      </w:r>
      <w:r>
        <w:rPr>
          <w:spacing w:val="-1"/>
          <w:sz w:val="21"/>
        </w:rPr>
        <w:t>等</w:t>
      </w:r>
      <w:r>
        <w:rPr>
          <w:sz w:val="21"/>
        </w:rPr>
        <w:t>）</w:t>
      </w:r>
      <w:r>
        <w:rPr>
          <w:spacing w:val="-3"/>
          <w:sz w:val="21"/>
        </w:rPr>
        <w:t>维持生命的临床状态。</w:t>
      </w:r>
      <w:r>
        <w:rPr>
          <w:rFonts w:ascii="黑体" w:eastAsia="黑体" w:hint="eastAsia"/>
          <w:spacing w:val="-4"/>
          <w:sz w:val="21"/>
        </w:rPr>
        <w:t>且须满足下列全部条件：</w:t>
      </w:r>
    </w:p>
    <w:p>
      <w:pPr>
        <w:pStyle w:val="ListParagraph"/>
        <w:numPr>
          <w:ilvl w:val="0"/>
          <w:numId w:val="27"/>
        </w:numPr>
        <w:tabs>
          <w:tab w:pos="3650" w:val="left" w:leader="none"/>
          <w:tab w:pos="3651" w:val="left" w:leader="none"/>
        </w:tabs>
        <w:spacing w:line="240" w:lineRule="auto" w:before="102" w:after="0"/>
        <w:ind w:left="3650" w:right="0" w:hanging="734"/>
        <w:jc w:val="left"/>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7"/>
        </w:numPr>
        <w:tabs>
          <w:tab w:pos="3650" w:val="left" w:leader="none"/>
          <w:tab w:pos="3651" w:val="left" w:leader="none"/>
        </w:tabs>
        <w:spacing w:line="240" w:lineRule="auto" w:before="114" w:after="0"/>
        <w:ind w:left="3650" w:right="0" w:hanging="734"/>
        <w:jc w:val="left"/>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left"/>
        <w:rPr>
          <w:sz w:val="21"/>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1" w:lineRule="auto" w:before="5" w:after="0"/>
        <w:ind w:left="1144" w:right="0" w:hanging="1032"/>
        <w:jc w:val="left"/>
      </w:pPr>
      <w:r>
        <w:rPr>
          <w:spacing w:val="8"/>
        </w:rPr>
        <w:t>严重原发性心肌病</w:t>
      </w:r>
    </w:p>
    <w:p>
      <w:pPr>
        <w:pStyle w:val="BodyText"/>
        <w:spacing w:line="271" w:lineRule="auto" w:before="14"/>
        <w:ind w:left="117" w:right="205"/>
        <w:jc w:val="both"/>
      </w:pPr>
      <w:r>
        <w:rPr/>
        <w:br w:type="column"/>
      </w:r>
      <w:r>
        <w:rPr>
          <w:spacing w:val="-5"/>
        </w:rPr>
        <w:t>指不明原因引起的一类心肌病变，包括原发性扩张型心肌病、原发性肥厚型心肌病及原发性限制型心肌病三种，病变必须已造成事实上心室功能障碍而出现明显的心功能衰竭（</w:t>
      </w:r>
      <w:r>
        <w:rPr>
          <w:spacing w:val="-4"/>
        </w:rPr>
        <w:t>指按照美国纽约心脏病学会提出的心功能状态分级的标准</w:t>
      </w:r>
      <w:r>
        <w:rPr>
          <w:spacing w:val="-11"/>
        </w:rPr>
        <w:t>判定，心功能状态已达到 </w:t>
      </w:r>
      <w:r>
        <w:rPr>
          <w:spacing w:val="-3"/>
        </w:rPr>
        <w:t>IV</w:t>
      </w:r>
      <w:r>
        <w:rPr>
          <w:spacing w:val="-22"/>
        </w:rPr>
        <w:t> 级</w:t>
      </w:r>
      <w:r>
        <w:rPr>
          <w:spacing w:val="-78"/>
        </w:rPr>
        <w:t>）</w:t>
      </w:r>
      <w:r>
        <w:rPr>
          <w:spacing w:val="-13"/>
        </w:rPr>
        <w:t>，且有相关住院医疗记录显示 </w:t>
      </w:r>
      <w:r>
        <w:rPr/>
        <w:t>IV</w:t>
      </w:r>
      <w:r>
        <w:rPr>
          <w:spacing w:val="-9"/>
        </w:rPr>
        <w:t> 级心功能衰竭状态。本病须经本公司认可的医院的专科医生明确诊断。理赔时需提供超声心</w:t>
      </w:r>
      <w:r>
        <w:rPr>
          <w:spacing w:val="-7"/>
        </w:rPr>
        <w:t>动图或其它支持性检查结果及诊断报告。</w:t>
      </w:r>
    </w:p>
    <w:p>
      <w:pPr>
        <w:pStyle w:val="BodyText"/>
        <w:spacing w:before="91"/>
        <w:ind w:left="112"/>
        <w:rPr>
          <w:rFonts w:ascii="黑体" w:eastAsia="黑体" w:hint="eastAsia"/>
        </w:rPr>
      </w:pPr>
      <w:r>
        <w:rPr>
          <w:rFonts w:ascii="黑体" w:eastAsia="黑体" w:hint="eastAsia"/>
        </w:rPr>
        <w:t>酗酒或者滥用药物引起的心肌病不在保障范围内。</w:t>
      </w:r>
    </w:p>
    <w:p>
      <w:pPr>
        <w:pStyle w:val="BodyText"/>
        <w:spacing w:line="268" w:lineRule="auto"/>
        <w:ind w:left="117" w:right="205"/>
        <w:jc w:val="both"/>
      </w:pPr>
      <w:r>
        <w:rPr/>
        <w:t>注：美国纽约心脏病学会心功能状态分级Ⅳ级是指不能从事任何体力活动，休息时亦有症状。</w:t>
      </w:r>
    </w:p>
    <w:p>
      <w:pPr>
        <w:spacing w:after="0" w:line="268" w:lineRule="auto"/>
        <w:jc w:val="both"/>
        <w:sectPr>
          <w:pgSz w:w="11900" w:h="16840"/>
          <w:pgMar w:top="1360" w:bottom="280" w:left="1020" w:right="600"/>
          <w:cols w:num="2" w:equalWidth="0">
            <w:col w:w="2705" w:space="93"/>
            <w:col w:w="7482"/>
          </w:cols>
        </w:sectPr>
      </w:pPr>
    </w:p>
    <w:p>
      <w:pPr>
        <w:pStyle w:val="BodyText"/>
        <w:spacing w:before="7"/>
        <w:rPr>
          <w:sz w:val="17"/>
        </w:rPr>
      </w:pPr>
    </w:p>
    <w:p>
      <w:pPr>
        <w:spacing w:after="0"/>
        <w:rPr>
          <w:sz w:val="17"/>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严重溃疡性结肠炎</w:t>
      </w:r>
    </w:p>
    <w:p>
      <w:pPr>
        <w:pStyle w:val="BodyText"/>
        <w:spacing w:line="271" w:lineRule="auto" w:before="36"/>
        <w:ind w:left="112" w:right="205"/>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560" w:bottom="280" w:left="1020" w:right="600"/>
          <w:cols w:num="2" w:equalWidth="0">
            <w:col w:w="2705" w:space="98"/>
            <w:col w:w="7477"/>
          </w:cols>
        </w:sectPr>
      </w:pPr>
    </w:p>
    <w:p>
      <w:pPr>
        <w:pStyle w:val="BodyText"/>
        <w:spacing w:before="0"/>
        <w:rPr>
          <w:sz w:val="17"/>
        </w:rPr>
      </w:pPr>
    </w:p>
    <w:p>
      <w:pPr>
        <w:spacing w:after="0"/>
        <w:rPr>
          <w:sz w:val="17"/>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4" w:lineRule="auto" w:before="24" w:after="0"/>
        <w:ind w:left="1144" w:right="0" w:hanging="1032"/>
        <w:jc w:val="left"/>
      </w:pPr>
      <w:r>
        <w:rPr>
          <w:spacing w:val="8"/>
        </w:rPr>
        <w:t>溶血性链球菌引起的坏疽</w:t>
      </w:r>
    </w:p>
    <w:p>
      <w:pPr>
        <w:pStyle w:val="BodyText"/>
        <w:spacing w:line="273" w:lineRule="auto" w:before="36"/>
        <w:ind w:left="112" w:right="205"/>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00" w:h="16840"/>
          <w:pgMar w:top="560" w:bottom="280" w:left="1020" w:right="600"/>
          <w:cols w:num="2" w:equalWidth="0">
            <w:col w:w="2705" w:space="98"/>
            <w:col w:w="7477"/>
          </w:cols>
        </w:sectPr>
      </w:pPr>
    </w:p>
    <w:p>
      <w:pPr>
        <w:pStyle w:val="BodyText"/>
        <w:spacing w:before="11"/>
        <w:rPr>
          <w:sz w:val="16"/>
        </w:rPr>
      </w:pPr>
    </w:p>
    <w:p>
      <w:pPr>
        <w:pStyle w:val="ListParagraph"/>
        <w:numPr>
          <w:ilvl w:val="1"/>
          <w:numId w:val="7"/>
        </w:numPr>
        <w:tabs>
          <w:tab w:pos="1144" w:val="left" w:leader="none"/>
          <w:tab w:pos="1145" w:val="left" w:leader="none"/>
          <w:tab w:pos="2915" w:val="left" w:leader="none"/>
        </w:tabs>
        <w:spacing w:line="308" w:lineRule="exact" w:before="35" w:after="0"/>
        <w:ind w:left="2916" w:right="205" w:hanging="2804"/>
        <w:jc w:val="left"/>
        <w:rPr>
          <w:rFonts w:ascii="黑体" w:eastAsia="黑体" w:hint="eastAsia"/>
          <w:sz w:val="21"/>
        </w:rPr>
      </w:pPr>
      <w:r>
        <w:rPr>
          <w:rFonts w:ascii="Microsoft JhengHei" w:eastAsia="Microsoft JhengHei" w:hint="eastAsia"/>
          <w:b/>
          <w:sz w:val="21"/>
        </w:rPr>
        <w:t>坏死性筋膜炎</w:t>
        <w:tab/>
      </w:r>
      <w:r>
        <w:rPr>
          <w:sz w:val="21"/>
        </w:rPr>
        <w:t>是一种由细菌侵入</w:t>
      </w:r>
      <w:r>
        <w:rPr>
          <w:spacing w:val="-5"/>
          <w:sz w:val="21"/>
        </w:rPr>
        <w:t>皮</w:t>
      </w:r>
      <w:r>
        <w:rPr>
          <w:sz w:val="21"/>
        </w:rPr>
        <w:t>下组织和筋</w:t>
      </w:r>
      <w:r>
        <w:rPr>
          <w:spacing w:val="-5"/>
          <w:sz w:val="21"/>
        </w:rPr>
        <w:t>膜</w:t>
      </w:r>
      <w:r>
        <w:rPr>
          <w:sz w:val="21"/>
        </w:rPr>
        <w:t>引起的急性</w:t>
      </w:r>
      <w:r>
        <w:rPr>
          <w:spacing w:val="-5"/>
          <w:sz w:val="21"/>
        </w:rPr>
        <w:t>坏</w:t>
      </w:r>
      <w:r>
        <w:rPr>
          <w:sz w:val="21"/>
        </w:rPr>
        <w:t>死</w:t>
      </w:r>
      <w:r>
        <w:rPr>
          <w:spacing w:val="-5"/>
          <w:sz w:val="21"/>
        </w:rPr>
        <w:t>性</w:t>
      </w:r>
      <w:r>
        <w:rPr>
          <w:sz w:val="21"/>
        </w:rPr>
        <w:t>软组织感染，可伴</w:t>
      </w:r>
      <w:r>
        <w:rPr>
          <w:spacing w:val="-5"/>
          <w:sz w:val="21"/>
        </w:rPr>
        <w:t>有</w:t>
      </w:r>
      <w:r>
        <w:rPr>
          <w:sz w:val="21"/>
        </w:rPr>
        <w:t>毒血 症、败血症、中毒</w:t>
      </w:r>
      <w:r>
        <w:rPr>
          <w:spacing w:val="-5"/>
          <w:sz w:val="21"/>
        </w:rPr>
        <w:t>性</w:t>
      </w:r>
      <w:r>
        <w:rPr>
          <w:sz w:val="21"/>
        </w:rPr>
        <w:t>休克、弥漫</w:t>
      </w:r>
      <w:r>
        <w:rPr>
          <w:spacing w:val="-5"/>
          <w:sz w:val="21"/>
        </w:rPr>
        <w:t>性</w:t>
      </w:r>
      <w:r>
        <w:rPr>
          <w:sz w:val="21"/>
        </w:rPr>
        <w:t>血管内凝血</w:t>
      </w:r>
      <w:r>
        <w:rPr>
          <w:spacing w:val="-5"/>
          <w:sz w:val="21"/>
        </w:rPr>
        <w:t>及</w:t>
      </w:r>
      <w:r>
        <w:rPr>
          <w:sz w:val="21"/>
        </w:rPr>
        <w:t>多</w:t>
      </w:r>
      <w:r>
        <w:rPr>
          <w:spacing w:val="-5"/>
          <w:sz w:val="21"/>
        </w:rPr>
        <w:t>器</w:t>
      </w:r>
      <w:r>
        <w:rPr>
          <w:sz w:val="21"/>
        </w:rPr>
        <w:t>官衰竭。</w:t>
      </w:r>
      <w:r>
        <w:rPr>
          <w:rFonts w:ascii="黑体" w:eastAsia="黑体" w:hint="eastAsia"/>
          <w:sz w:val="21"/>
        </w:rPr>
        <w:t>必须满足</w:t>
      </w:r>
      <w:r>
        <w:rPr>
          <w:rFonts w:ascii="黑体" w:eastAsia="黑体" w:hint="eastAsia"/>
          <w:spacing w:val="-5"/>
          <w:sz w:val="21"/>
        </w:rPr>
        <w:t>以</w:t>
      </w:r>
      <w:r>
        <w:rPr>
          <w:rFonts w:ascii="黑体" w:eastAsia="黑体" w:hint="eastAsia"/>
          <w:sz w:val="21"/>
        </w:rPr>
        <w:t>下所</w:t>
      </w:r>
    </w:p>
    <w:p>
      <w:pPr>
        <w:pStyle w:val="BodyText"/>
        <w:spacing w:before="4"/>
        <w:ind w:left="2916"/>
        <w:rPr>
          <w:rFonts w:ascii="黑体" w:eastAsia="黑体" w:hint="eastAsia"/>
        </w:rPr>
      </w:pPr>
      <w:r>
        <w:rPr>
          <w:rFonts w:ascii="黑体" w:eastAsia="黑体" w:hint="eastAsia"/>
        </w:rPr>
        <w:t>有条件：</w:t>
      </w:r>
    </w:p>
    <w:p>
      <w:pPr>
        <w:pStyle w:val="ListParagraph"/>
        <w:numPr>
          <w:ilvl w:val="0"/>
          <w:numId w:val="28"/>
        </w:numPr>
        <w:tabs>
          <w:tab w:pos="3650" w:val="left" w:leader="none"/>
          <w:tab w:pos="3651" w:val="left" w:leader="none"/>
        </w:tabs>
        <w:spacing w:line="240" w:lineRule="auto" w:before="118" w:after="0"/>
        <w:ind w:left="3650" w:right="0" w:hanging="734"/>
        <w:jc w:val="left"/>
        <w:rPr>
          <w:sz w:val="21"/>
        </w:rPr>
      </w:pPr>
      <w:r>
        <w:rPr>
          <w:spacing w:val="-3"/>
          <w:sz w:val="21"/>
        </w:rPr>
        <w:t>符合坏死性筋膜炎的一般临床表现；</w:t>
      </w:r>
    </w:p>
    <w:p>
      <w:pPr>
        <w:pStyle w:val="ListParagraph"/>
        <w:numPr>
          <w:ilvl w:val="0"/>
          <w:numId w:val="28"/>
        </w:numPr>
        <w:tabs>
          <w:tab w:pos="3650" w:val="left" w:leader="none"/>
          <w:tab w:pos="3651" w:val="left" w:leader="none"/>
        </w:tabs>
        <w:spacing w:line="240" w:lineRule="auto" w:before="118" w:after="0"/>
        <w:ind w:left="3650" w:right="0" w:hanging="734"/>
        <w:jc w:val="left"/>
        <w:rPr>
          <w:sz w:val="21"/>
        </w:rPr>
      </w:pPr>
      <w:r>
        <w:rPr>
          <w:spacing w:val="-2"/>
          <w:sz w:val="21"/>
        </w:rPr>
        <w:t>细菌培养检出致病菌；</w:t>
      </w:r>
    </w:p>
    <w:p>
      <w:pPr>
        <w:pStyle w:val="ListParagraph"/>
        <w:numPr>
          <w:ilvl w:val="0"/>
          <w:numId w:val="28"/>
        </w:numPr>
        <w:tabs>
          <w:tab w:pos="3650" w:val="left" w:leader="none"/>
          <w:tab w:pos="3651" w:val="left" w:leader="none"/>
        </w:tabs>
        <w:spacing w:line="240" w:lineRule="auto" w:before="113" w:after="0"/>
        <w:ind w:left="3650" w:right="0" w:hanging="734"/>
        <w:jc w:val="left"/>
        <w:rPr>
          <w:sz w:val="21"/>
        </w:rPr>
      </w:pPr>
      <w:r>
        <w:rPr>
          <w:spacing w:val="-2"/>
          <w:sz w:val="21"/>
        </w:rPr>
        <w:t>受感染肢体已被截肢</w:t>
      </w:r>
      <w:r>
        <w:rPr>
          <w:sz w:val="21"/>
        </w:rPr>
        <w:t>（</w:t>
      </w:r>
      <w:r>
        <w:rPr>
          <w:spacing w:val="-3"/>
          <w:sz w:val="21"/>
        </w:rPr>
        <w:t>自腕关节或踝关节近端</w:t>
      </w:r>
      <w:r>
        <w:rPr>
          <w:spacing w:val="-111"/>
          <w:sz w:val="21"/>
        </w:rPr>
        <w:t>）</w:t>
      </w:r>
      <w:r>
        <w:rPr>
          <w:sz w:val="21"/>
        </w:rPr>
        <w:t>。</w:t>
      </w:r>
    </w:p>
    <w:p>
      <w:pPr>
        <w:pStyle w:val="BodyText"/>
        <w:spacing w:before="10"/>
        <w:rPr>
          <w:sz w:val="16"/>
        </w:rPr>
      </w:pPr>
    </w:p>
    <w:p>
      <w:pPr>
        <w:pStyle w:val="ListParagraph"/>
        <w:numPr>
          <w:ilvl w:val="1"/>
          <w:numId w:val="7"/>
        </w:numPr>
        <w:tabs>
          <w:tab w:pos="1039" w:val="left" w:leader="none"/>
          <w:tab w:pos="1040" w:val="left" w:leader="none"/>
          <w:tab w:pos="2915" w:val="left" w:leader="none"/>
        </w:tabs>
        <w:spacing w:line="244" w:lineRule="auto" w:before="0" w:after="0"/>
        <w:ind w:left="2916" w:right="205" w:hanging="2804"/>
        <w:jc w:val="left"/>
        <w:rPr>
          <w:rFonts w:ascii="黑体" w:eastAsia="黑体" w:hint="eastAsia"/>
          <w:sz w:val="21"/>
        </w:rPr>
      </w:pPr>
      <w:r>
        <w:rPr>
          <w:rFonts w:ascii="Microsoft JhengHei" w:eastAsia="Microsoft JhengHei" w:hint="eastAsia"/>
          <w:b/>
          <w:sz w:val="21"/>
        </w:rPr>
        <w:t>系统性硬皮病</w:t>
        <w:tab/>
      </w:r>
      <w:r>
        <w:rPr>
          <w:sz w:val="21"/>
        </w:rPr>
        <w:t>一种系统性胶原血</w:t>
      </w:r>
      <w:r>
        <w:rPr>
          <w:spacing w:val="-5"/>
          <w:sz w:val="21"/>
        </w:rPr>
        <w:t>管</w:t>
      </w:r>
      <w:r>
        <w:rPr>
          <w:sz w:val="21"/>
        </w:rPr>
        <w:t>病引起进行</w:t>
      </w:r>
      <w:r>
        <w:rPr>
          <w:spacing w:val="-5"/>
          <w:sz w:val="21"/>
        </w:rPr>
        <w:t>性</w:t>
      </w:r>
      <w:r>
        <w:rPr>
          <w:sz w:val="21"/>
        </w:rPr>
        <w:t>的皮肤、血</w:t>
      </w:r>
      <w:r>
        <w:rPr>
          <w:spacing w:val="-5"/>
          <w:sz w:val="21"/>
        </w:rPr>
        <w:t>管</w:t>
      </w:r>
      <w:r>
        <w:rPr>
          <w:sz w:val="21"/>
        </w:rPr>
        <w:t>和</w:t>
      </w:r>
      <w:r>
        <w:rPr>
          <w:spacing w:val="-5"/>
          <w:sz w:val="21"/>
        </w:rPr>
        <w:t>内</w:t>
      </w:r>
      <w:r>
        <w:rPr>
          <w:sz w:val="21"/>
        </w:rPr>
        <w:t>脏器官的弥漫性纤</w:t>
      </w:r>
      <w:r>
        <w:rPr>
          <w:spacing w:val="-5"/>
          <w:sz w:val="21"/>
        </w:rPr>
        <w:t>维</w:t>
      </w:r>
      <w:r>
        <w:rPr>
          <w:sz w:val="21"/>
        </w:rPr>
        <w:t>化。 </w:t>
      </w:r>
      <w:r>
        <w:rPr>
          <w:spacing w:val="-1"/>
          <w:sz w:val="21"/>
        </w:rPr>
        <w:t>本</w:t>
      </w:r>
      <w:r>
        <w:rPr>
          <w:sz w:val="21"/>
        </w:rPr>
        <w:t>病症须</w:t>
      </w:r>
      <w:r>
        <w:rPr>
          <w:spacing w:val="-5"/>
          <w:sz w:val="21"/>
        </w:rPr>
        <w:t>经</w:t>
      </w:r>
      <w:r>
        <w:rPr>
          <w:sz w:val="21"/>
        </w:rPr>
        <w:t>专科医</w:t>
      </w:r>
      <w:r>
        <w:rPr>
          <w:spacing w:val="-5"/>
          <w:sz w:val="21"/>
        </w:rPr>
        <w:t>生</w:t>
      </w:r>
      <w:r>
        <w:rPr>
          <w:sz w:val="21"/>
        </w:rPr>
        <w:t>明确诊</w:t>
      </w:r>
      <w:r>
        <w:rPr>
          <w:spacing w:val="-5"/>
          <w:sz w:val="21"/>
        </w:rPr>
        <w:t>断</w:t>
      </w:r>
      <w:r>
        <w:rPr>
          <w:sz w:val="21"/>
        </w:rPr>
        <w:t>，</w:t>
      </w:r>
      <w:r>
        <w:rPr>
          <w:rFonts w:ascii="黑体" w:eastAsia="黑体" w:hint="eastAsia"/>
          <w:sz w:val="21"/>
        </w:rPr>
        <w:t>且须</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w:t>
      </w:r>
      <w:r>
        <w:rPr>
          <w:rFonts w:ascii="黑体" w:eastAsia="黑体" w:hint="eastAsia"/>
          <w:spacing w:val="-5"/>
          <w:sz w:val="21"/>
        </w:rPr>
        <w:t>条</w:t>
      </w:r>
      <w:r>
        <w:rPr>
          <w:rFonts w:ascii="黑体" w:eastAsia="黑体" w:hint="eastAsia"/>
          <w:sz w:val="21"/>
        </w:rPr>
        <w:t>件：</w:t>
      </w:r>
    </w:p>
    <w:p>
      <w:pPr>
        <w:pStyle w:val="ListParagraph"/>
        <w:numPr>
          <w:ilvl w:val="0"/>
          <w:numId w:val="29"/>
        </w:numPr>
        <w:tabs>
          <w:tab w:pos="3755" w:val="left" w:leader="none"/>
          <w:tab w:pos="3756" w:val="left" w:leader="none"/>
        </w:tabs>
        <w:spacing w:line="240" w:lineRule="auto" w:before="114" w:after="0"/>
        <w:ind w:left="3756" w:right="0" w:hanging="840"/>
        <w:jc w:val="left"/>
        <w:rPr>
          <w:sz w:val="21"/>
        </w:rPr>
      </w:pPr>
      <w:r>
        <w:rPr>
          <w:spacing w:val="-2"/>
          <w:sz w:val="21"/>
        </w:rPr>
        <w:t>由活检和血清学证据支持；</w:t>
      </w:r>
    </w:p>
    <w:p>
      <w:pPr>
        <w:pStyle w:val="ListParagraph"/>
        <w:numPr>
          <w:ilvl w:val="0"/>
          <w:numId w:val="29"/>
        </w:numPr>
        <w:tabs>
          <w:tab w:pos="3755" w:val="left" w:leader="none"/>
          <w:tab w:pos="3756" w:val="left" w:leader="none"/>
        </w:tabs>
        <w:spacing w:line="240" w:lineRule="auto" w:before="113" w:after="0"/>
        <w:ind w:left="3756" w:right="0" w:hanging="840"/>
        <w:jc w:val="left"/>
        <w:rPr>
          <w:sz w:val="21"/>
        </w:rPr>
      </w:pPr>
      <w:r>
        <w:rPr>
          <w:spacing w:val="-10"/>
          <w:sz w:val="21"/>
        </w:rPr>
        <w:t>疾病已经影响到肺脏、心脏或肾脏等内脏器官并且达到下列标准之一：</w:t>
      </w:r>
    </w:p>
    <w:p>
      <w:pPr>
        <w:pStyle w:val="BodyText"/>
        <w:tabs>
          <w:tab w:pos="4178" w:val="left" w:leader="none"/>
        </w:tabs>
        <w:ind w:left="3760"/>
      </w:pPr>
      <w:r>
        <w:rPr/>
        <w:t>①</w:t>
        <w:tab/>
      </w:r>
      <w:r>
        <w:rPr>
          <w:spacing w:val="-5"/>
        </w:rPr>
        <w:t>肺脏：已造成肺脏纤维化，并同时出现肺动脉高压和肺心病；</w:t>
      </w:r>
    </w:p>
    <w:p>
      <w:pPr>
        <w:pStyle w:val="BodyText"/>
        <w:tabs>
          <w:tab w:pos="4178" w:val="left" w:leader="none"/>
        </w:tabs>
        <w:spacing w:line="268" w:lineRule="auto" w:before="118"/>
        <w:ind w:left="4187" w:right="200" w:hanging="428"/>
      </w:pPr>
      <w:r>
        <w:rPr/>
        <w:t>②</w:t>
        <w:tab/>
      </w:r>
      <w:r>
        <w:rPr>
          <w:spacing w:val="-3"/>
        </w:rPr>
        <w:t>心脏：心脏功能衰竭程度达到美国纽约心脏病学会心功能状态分 </w:t>
      </w:r>
      <w:r>
        <w:rPr>
          <w:spacing w:val="-27"/>
        </w:rPr>
        <w:t>级 </w:t>
      </w:r>
      <w:r>
        <w:rPr/>
        <w:t>IV</w:t>
      </w:r>
      <w:r>
        <w:rPr>
          <w:spacing w:val="-18"/>
        </w:rPr>
        <w:t> 级；</w:t>
      </w:r>
    </w:p>
    <w:p>
      <w:pPr>
        <w:pStyle w:val="BodyText"/>
        <w:tabs>
          <w:tab w:pos="4178" w:val="left" w:leader="none"/>
        </w:tabs>
        <w:spacing w:before="93"/>
        <w:ind w:left="3760"/>
      </w:pPr>
      <w:r>
        <w:rPr/>
        <w:t>③</w:t>
        <w:tab/>
      </w:r>
      <w:r>
        <w:rPr>
          <w:spacing w:val="-5"/>
        </w:rPr>
        <w:t>肾脏：已造成肾脏损害，并出现肾功能衰竭。</w:t>
      </w:r>
    </w:p>
    <w:p>
      <w:pPr>
        <w:pStyle w:val="BodyText"/>
        <w:spacing w:before="114"/>
        <w:ind w:left="2916"/>
        <w:rPr>
          <w:rFonts w:ascii="黑体" w:eastAsia="黑体" w:hint="eastAsia"/>
        </w:rPr>
      </w:pPr>
      <w:r>
        <w:rPr>
          <w:rFonts w:ascii="黑体" w:eastAsia="黑体" w:hint="eastAsia"/>
        </w:rPr>
        <w:t>局限性硬皮病、嗜酸细胞筋膜炎和 CREST 综合征不在保障范围内。</w:t>
      </w:r>
    </w:p>
    <w:p>
      <w:pPr>
        <w:pStyle w:val="BodyText"/>
        <w:spacing w:line="273" w:lineRule="auto" w:before="114"/>
        <w:ind w:left="2916" w:right="219"/>
      </w:pPr>
      <w:r>
        <w:rPr/>
        <w:t>注：美国纽约心脏病学会心功能状态分级Ⅳ级是指不能从事任何体力活动，休息时亦有症状。</w:t>
      </w:r>
    </w:p>
    <w:p>
      <w:pPr>
        <w:pStyle w:val="BodyText"/>
        <w:spacing w:before="7"/>
        <w:rPr>
          <w:sz w:val="14"/>
        </w:rPr>
      </w:pPr>
    </w:p>
    <w:p>
      <w:pPr>
        <w:pStyle w:val="ListParagraph"/>
        <w:numPr>
          <w:ilvl w:val="1"/>
          <w:numId w:val="7"/>
        </w:numPr>
        <w:tabs>
          <w:tab w:pos="1144" w:val="left" w:leader="none"/>
          <w:tab w:pos="1145" w:val="left" w:leader="none"/>
          <w:tab w:pos="2915" w:val="left" w:leader="none"/>
        </w:tabs>
        <w:spacing w:line="244" w:lineRule="auto" w:before="0" w:after="0"/>
        <w:ind w:left="2916" w:right="205" w:hanging="2804"/>
        <w:jc w:val="left"/>
        <w:rPr>
          <w:sz w:val="21"/>
        </w:rPr>
      </w:pPr>
      <w:r>
        <w:rPr>
          <w:rFonts w:ascii="Microsoft JhengHei" w:eastAsia="Microsoft JhengHei" w:hint="eastAsia"/>
          <w:b/>
          <w:sz w:val="21"/>
        </w:rPr>
        <w:t>严重克隆病</w:t>
        <w:tab/>
      </w:r>
      <w:r>
        <w:rPr>
          <w:sz w:val="21"/>
        </w:rPr>
        <w:t>指一种慢性肉芽肿</w:t>
      </w:r>
      <w:r>
        <w:rPr>
          <w:spacing w:val="-5"/>
          <w:sz w:val="21"/>
        </w:rPr>
        <w:t>性</w:t>
      </w:r>
      <w:r>
        <w:rPr>
          <w:sz w:val="21"/>
        </w:rPr>
        <w:t>肠炎，具有</w:t>
      </w:r>
      <w:r>
        <w:rPr>
          <w:spacing w:val="-5"/>
          <w:sz w:val="21"/>
        </w:rPr>
        <w:t>特</w:t>
      </w:r>
      <w:r>
        <w:rPr>
          <w:sz w:val="21"/>
        </w:rPr>
        <w:t>征性的克隆</w:t>
      </w:r>
      <w:r>
        <w:rPr>
          <w:spacing w:val="-5"/>
          <w:sz w:val="21"/>
        </w:rPr>
        <w:t>病</w:t>
      </w:r>
      <w:r>
        <w:rPr>
          <w:sz w:val="21"/>
        </w:rPr>
        <w:t>病</w:t>
      </w:r>
      <w:r>
        <w:rPr>
          <w:spacing w:val="-5"/>
          <w:sz w:val="21"/>
        </w:rPr>
        <w:t>理</w:t>
      </w:r>
      <w:r>
        <w:rPr>
          <w:sz w:val="21"/>
        </w:rPr>
        <w:t>组织学变化，须由</w:t>
      </w:r>
      <w:r>
        <w:rPr>
          <w:spacing w:val="-5"/>
          <w:sz w:val="21"/>
        </w:rPr>
        <w:t>病</w:t>
      </w:r>
      <w:r>
        <w:rPr>
          <w:sz w:val="21"/>
        </w:rPr>
        <w:t>理学 检查结果</w:t>
      </w:r>
      <w:r>
        <w:rPr>
          <w:spacing w:val="-5"/>
          <w:sz w:val="21"/>
        </w:rPr>
        <w:t>证</w:t>
      </w:r>
      <w:r>
        <w:rPr>
          <w:sz w:val="21"/>
        </w:rPr>
        <w:t>实，且</w:t>
      </w:r>
      <w:r>
        <w:rPr>
          <w:spacing w:val="-5"/>
          <w:sz w:val="21"/>
        </w:rPr>
        <w:t>已</w:t>
      </w:r>
      <w:r>
        <w:rPr>
          <w:sz w:val="21"/>
        </w:rPr>
        <w:t>经造成</w:t>
      </w:r>
      <w:r>
        <w:rPr>
          <w:spacing w:val="-5"/>
          <w:sz w:val="21"/>
        </w:rPr>
        <w:t>瘘</w:t>
      </w:r>
      <w:r>
        <w:rPr>
          <w:sz w:val="21"/>
        </w:rPr>
        <w:t>管形成</w:t>
      </w:r>
      <w:r>
        <w:rPr>
          <w:spacing w:val="-5"/>
          <w:sz w:val="21"/>
        </w:rPr>
        <w:t>并</w:t>
      </w:r>
      <w:r>
        <w:rPr>
          <w:sz w:val="21"/>
        </w:rPr>
        <w:t>伴有肠</w:t>
      </w:r>
      <w:r>
        <w:rPr>
          <w:spacing w:val="-5"/>
          <w:sz w:val="21"/>
        </w:rPr>
        <w:t>梗</w:t>
      </w:r>
      <w:r>
        <w:rPr>
          <w:sz w:val="21"/>
        </w:rPr>
        <w:t>阻</w:t>
      </w:r>
      <w:r>
        <w:rPr>
          <w:spacing w:val="-5"/>
          <w:sz w:val="21"/>
        </w:rPr>
        <w:t>或</w:t>
      </w:r>
      <w:r>
        <w:rPr>
          <w:sz w:val="21"/>
        </w:rPr>
        <w:t>肠穿孔。</w:t>
      </w:r>
    </w:p>
    <w:p>
      <w:pPr>
        <w:pStyle w:val="BodyText"/>
        <w:spacing w:before="2"/>
        <w:rPr>
          <w:sz w:val="19"/>
        </w:rPr>
      </w:pPr>
    </w:p>
    <w:p>
      <w:pPr>
        <w:spacing w:after="0"/>
        <w:rPr>
          <w:sz w:val="19"/>
        </w:rPr>
        <w:sectPr>
          <w:type w:val="continuous"/>
          <w:pgSz w:w="11900" w:h="16840"/>
          <w:pgMar w:top="560" w:bottom="280" w:left="1020" w:right="6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进行性核上性麻痹</w:t>
      </w:r>
    </w:p>
    <w:p>
      <w:pPr>
        <w:pStyle w:val="BodyText"/>
        <w:spacing w:line="268" w:lineRule="auto" w:before="36"/>
        <w:ind w:left="112" w:right="205"/>
        <w:rPr>
          <w:rFonts w:ascii="黑体" w:eastAsia="黑体" w:hint="eastAsia"/>
        </w:rPr>
      </w:pPr>
      <w:r>
        <w:rPr/>
        <w:br w:type="column"/>
      </w:r>
      <w:r>
        <w:rPr/>
        <w:t>指一种隐袭起病、逐渐加重的神经系统变性疾病，本疾病必须由本公司认可的医院的神经科专科医生确诊，</w:t>
      </w:r>
      <w:r>
        <w:rPr>
          <w:rFonts w:ascii="黑体" w:eastAsia="黑体" w:hint="eastAsia"/>
        </w:rPr>
        <w:t>且满足以下全部临床特征：</w:t>
      </w:r>
    </w:p>
    <w:p>
      <w:pPr>
        <w:pStyle w:val="ListParagraph"/>
        <w:numPr>
          <w:ilvl w:val="0"/>
          <w:numId w:val="30"/>
        </w:numPr>
        <w:tabs>
          <w:tab w:pos="847" w:val="left" w:leader="none"/>
          <w:tab w:pos="848" w:val="left" w:leader="none"/>
        </w:tabs>
        <w:spacing w:line="240" w:lineRule="auto" w:before="93" w:after="0"/>
        <w:ind w:left="847" w:right="0" w:hanging="735"/>
        <w:jc w:val="left"/>
        <w:rPr>
          <w:sz w:val="21"/>
        </w:rPr>
      </w:pPr>
      <w:r>
        <w:rPr>
          <w:sz w:val="21"/>
        </w:rPr>
        <w:t>共济失调；</w:t>
      </w:r>
    </w:p>
    <w:p>
      <w:pPr>
        <w:spacing w:after="0" w:line="240" w:lineRule="auto"/>
        <w:jc w:val="left"/>
        <w:rPr>
          <w:sz w:val="21"/>
        </w:rPr>
        <w:sectPr>
          <w:type w:val="continuous"/>
          <w:pgSz w:w="11900" w:h="16840"/>
          <w:pgMar w:top="560" w:bottom="280" w:left="1020" w:right="600"/>
          <w:cols w:num="2" w:equalWidth="0">
            <w:col w:w="2705" w:space="98"/>
            <w:col w:w="7477"/>
          </w:cols>
        </w:sectPr>
      </w:pPr>
    </w:p>
    <w:p>
      <w:pPr>
        <w:pStyle w:val="ListParagraph"/>
        <w:numPr>
          <w:ilvl w:val="1"/>
          <w:numId w:val="30"/>
        </w:numPr>
        <w:tabs>
          <w:tab w:pos="3650" w:val="left" w:leader="none"/>
          <w:tab w:pos="3651" w:val="left" w:leader="none"/>
        </w:tabs>
        <w:spacing w:line="240" w:lineRule="auto" w:before="21" w:after="0"/>
        <w:ind w:left="3650" w:right="0" w:hanging="734"/>
        <w:jc w:val="left"/>
        <w:rPr>
          <w:sz w:val="21"/>
        </w:rPr>
      </w:pPr>
      <w:r>
        <w:rPr>
          <w:spacing w:val="-2"/>
          <w:sz w:val="21"/>
        </w:rPr>
        <w:t>对称性眼球垂直运动障碍；</w:t>
      </w:r>
    </w:p>
    <w:p>
      <w:pPr>
        <w:pStyle w:val="ListParagraph"/>
        <w:numPr>
          <w:ilvl w:val="1"/>
          <w:numId w:val="30"/>
        </w:numPr>
        <w:tabs>
          <w:tab w:pos="3650" w:val="left" w:leader="none"/>
          <w:tab w:pos="3651" w:val="left" w:leader="none"/>
        </w:tabs>
        <w:spacing w:line="240" w:lineRule="auto" w:before="114" w:after="0"/>
        <w:ind w:left="3650"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pStyle w:val="BodyText"/>
        <w:spacing w:before="2"/>
        <w:rPr>
          <w:sz w:val="19"/>
        </w:rPr>
      </w:pPr>
    </w:p>
    <w:p>
      <w:pPr>
        <w:spacing w:after="0"/>
        <w:rPr>
          <w:sz w:val="19"/>
        </w:rPr>
        <w:sectPr>
          <w:pgSz w:w="11900" w:h="16840"/>
          <w:pgMar w:top="118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非阿尔茨海默病所致严重痴呆</w:t>
      </w:r>
    </w:p>
    <w:p>
      <w:pPr>
        <w:pStyle w:val="BodyText"/>
        <w:spacing w:line="271" w:lineRule="auto" w:before="36"/>
        <w:ind w:left="112" w:right="105"/>
        <w:jc w:val="both"/>
      </w:pPr>
      <w:r>
        <w:rPr/>
        <w:br w:type="column"/>
      </w: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91"/>
        <w:ind w:left="112"/>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type w:val="continuous"/>
          <w:pgSz w:w="11900" w:h="16840"/>
          <w:pgMar w:top="560" w:bottom="280" w:left="1020" w:right="700"/>
          <w:cols w:num="2" w:equalWidth="0">
            <w:col w:w="2705" w:space="98"/>
            <w:col w:w="7377"/>
          </w:cols>
        </w:sectPr>
      </w:pPr>
    </w:p>
    <w:p>
      <w:pPr>
        <w:pStyle w:val="BodyText"/>
        <w:spacing w:before="1"/>
        <w:rPr>
          <w:rFonts w:ascii="黑体"/>
          <w:sz w:val="19"/>
        </w:rPr>
      </w:pPr>
    </w:p>
    <w:p>
      <w:pPr>
        <w:spacing w:after="0"/>
        <w:rPr>
          <w:rFonts w:ascii="黑体"/>
          <w:sz w:val="19"/>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肺泡蛋白质沉积症</w:t>
      </w:r>
    </w:p>
    <w:p>
      <w:pPr>
        <w:pStyle w:val="BodyText"/>
        <w:spacing w:line="271" w:lineRule="auto" w:before="37"/>
        <w:ind w:left="112" w:right="100"/>
        <w:jc w:val="both"/>
      </w:pPr>
      <w:r>
        <w:rPr/>
        <w:br w:type="column"/>
      </w:r>
      <w:r>
        <w:rPr>
          <w:spacing w:val="-6"/>
        </w:rPr>
        <w:t>指肺泡和细支气管腔内充满不可溶性富磷脂蛋白的疾病，胸部 </w:t>
      </w:r>
      <w:r>
        <w:rPr/>
        <w:t>X</w:t>
      </w:r>
      <w:r>
        <w:rPr>
          <w:spacing w:val="-7"/>
        </w:rPr>
        <w:t> 线呈双肺弥漫</w:t>
      </w:r>
      <w:r>
        <w:rPr>
          <w:spacing w:val="-10"/>
        </w:rPr>
        <w:t>性肺部磨玻璃影，病理学检查肺泡内充满有过碘酸雪夫</w:t>
      </w:r>
      <w:r>
        <w:rPr>
          <w:spacing w:val="-7"/>
        </w:rPr>
        <w:t>（PAS）</w:t>
      </w:r>
      <w:r>
        <w:rPr>
          <w:spacing w:val="-2"/>
        </w:rPr>
        <w:t>染色阳性的蛋白</w:t>
      </w:r>
      <w:r>
        <w:rPr>
          <w:spacing w:val="-4"/>
        </w:rPr>
        <w:t>样物质，并且接受了肺灌洗治疗。</w:t>
      </w:r>
    </w:p>
    <w:p>
      <w:pPr>
        <w:spacing w:after="0" w:line="271" w:lineRule="auto"/>
        <w:jc w:val="both"/>
        <w:sectPr>
          <w:type w:val="continuous"/>
          <w:pgSz w:w="11900" w:h="16840"/>
          <w:pgMar w:top="560" w:bottom="280" w:left="1020" w:right="700"/>
          <w:cols w:num="2" w:equalWidth="0">
            <w:col w:w="2705" w:space="98"/>
            <w:col w:w="7377"/>
          </w:cols>
        </w:sectPr>
      </w:pPr>
    </w:p>
    <w:p>
      <w:pPr>
        <w:pStyle w:val="BodyText"/>
        <w:spacing w:before="5"/>
        <w:rPr>
          <w:sz w:val="17"/>
        </w:rPr>
      </w:pPr>
    </w:p>
    <w:p>
      <w:pPr>
        <w:spacing w:after="0"/>
        <w:rPr>
          <w:sz w:val="17"/>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严重慢性复发性胰腺炎</w:t>
      </w:r>
    </w:p>
    <w:p>
      <w:pPr>
        <w:pStyle w:val="BodyText"/>
        <w:spacing w:line="271" w:lineRule="auto" w:before="37"/>
        <w:ind w:left="112" w:right="105"/>
        <w:jc w:val="both"/>
      </w:pPr>
      <w:r>
        <w:rPr/>
        <w:br w:type="column"/>
      </w:r>
      <w:r>
        <w:rPr>
          <w:spacing w:val="-5"/>
        </w:rPr>
        <w:t>指有腹痛等典型症状的胰腺炎反复发作，导致胰腺进行性破坏，并导致胰腺功</w:t>
      </w:r>
      <w:r>
        <w:rPr>
          <w:spacing w:val="-10"/>
        </w:rPr>
        <w:t>能紊乱而导致严重糖尿病以及营养不良、恶液质。</w:t>
      </w:r>
      <w:r>
        <w:rPr/>
        <w:t>CT</w:t>
      </w:r>
      <w:r>
        <w:rPr>
          <w:spacing w:val="-1"/>
        </w:rPr>
        <w:t> 检查证实胰腺存在广泛钙</w:t>
      </w:r>
      <w:r>
        <w:rPr>
          <w:spacing w:val="-7"/>
        </w:rPr>
        <w:t>化，且必须接受酶替代以及胰岛素替代治疗 </w:t>
      </w:r>
      <w:r>
        <w:rPr/>
        <w:t>6</w:t>
      </w:r>
      <w:r>
        <w:rPr>
          <w:spacing w:val="-5"/>
        </w:rPr>
        <w:t> 个月以上。诊断必须由消化科专科医生确诊。</w:t>
      </w:r>
    </w:p>
    <w:p>
      <w:pPr>
        <w:pStyle w:val="BodyText"/>
        <w:spacing w:before="91"/>
        <w:ind w:left="112"/>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560" w:bottom="280" w:left="1020" w:right="700"/>
          <w:cols w:num="2" w:equalWidth="0">
            <w:col w:w="2705" w:space="98"/>
            <w:col w:w="7377"/>
          </w:cols>
        </w:sectPr>
      </w:pPr>
    </w:p>
    <w:p>
      <w:pPr>
        <w:pStyle w:val="BodyText"/>
        <w:spacing w:before="1"/>
        <w:rPr>
          <w:rFonts w:ascii="黑体"/>
          <w:sz w:val="19"/>
        </w:rPr>
      </w:pPr>
    </w:p>
    <w:p>
      <w:pPr>
        <w:pStyle w:val="ListParagraph"/>
        <w:numPr>
          <w:ilvl w:val="1"/>
          <w:numId w:val="7"/>
        </w:numPr>
        <w:tabs>
          <w:tab w:pos="1144" w:val="left" w:leader="none"/>
          <w:tab w:pos="1145" w:val="left" w:leader="none"/>
          <w:tab w:pos="2915" w:val="left" w:leader="none"/>
        </w:tabs>
        <w:spacing w:line="335" w:lineRule="exact" w:before="0" w:after="0"/>
        <w:ind w:left="1144" w:right="0" w:hanging="1032"/>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39"/>
          <w:sz w:val="21"/>
        </w:rPr>
        <w:t> </w:t>
      </w:r>
      <w:r>
        <w:rPr>
          <w:sz w:val="21"/>
        </w:rPr>
        <w:t>80％以</w:t>
      </w:r>
      <w:r>
        <w:rPr>
          <w:spacing w:val="-5"/>
          <w:sz w:val="21"/>
        </w:rPr>
        <w:t>上</w:t>
      </w:r>
      <w:r>
        <w:rPr>
          <w:sz w:val="21"/>
        </w:rPr>
        <w:t>。</w:t>
      </w:r>
    </w:p>
    <w:p>
      <w:pPr>
        <w:pStyle w:val="BodyText"/>
        <w:spacing w:before="12"/>
        <w:rPr>
          <w:sz w:val="16"/>
        </w:rPr>
      </w:pPr>
    </w:p>
    <w:p>
      <w:pPr>
        <w:spacing w:after="0"/>
        <w:rPr>
          <w:sz w:val="16"/>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4" w:lineRule="auto" w:before="24" w:after="0"/>
        <w:ind w:left="1144" w:right="0" w:hanging="1032"/>
        <w:jc w:val="both"/>
      </w:pPr>
      <w:r>
        <w:rPr>
          <w:spacing w:val="8"/>
        </w:rPr>
        <w:t>因职业关系导致的感染艾滋病病毒或者患艾滋病</w:t>
      </w:r>
    </w:p>
    <w:p>
      <w:pPr>
        <w:pStyle w:val="BodyText"/>
        <w:spacing w:line="273" w:lineRule="auto" w:before="36"/>
        <w:ind w:left="112" w:right="105"/>
        <w:rPr>
          <w:rFonts w:ascii="黑体" w:eastAsia="黑体" w:hint="eastAsia"/>
        </w:rPr>
      </w:pPr>
      <w:r>
        <w:rPr/>
        <w:br w:type="column"/>
      </w:r>
      <w:r>
        <w:rPr/>
        <w:t>被保险人在其常规职业工作过程中遭遇外伤，或者职业需要处理血液或者其他体液时感染上艾滋病病毒或者患上艾滋病。</w:t>
      </w:r>
      <w:r>
        <w:rPr>
          <w:rFonts w:ascii="黑体" w:eastAsia="黑体" w:hint="eastAsia"/>
        </w:rPr>
        <w:t>须满足下列全部条件：</w:t>
      </w:r>
    </w:p>
    <w:p>
      <w:pPr>
        <w:pStyle w:val="ListParagraph"/>
        <w:numPr>
          <w:ilvl w:val="0"/>
          <w:numId w:val="31"/>
        </w:numPr>
        <w:tabs>
          <w:tab w:pos="848" w:val="left" w:leader="none"/>
        </w:tabs>
        <w:spacing w:line="271" w:lineRule="auto" w:before="88" w:after="0"/>
        <w:ind w:left="847" w:right="105" w:hanging="735"/>
        <w:jc w:val="both"/>
        <w:rPr>
          <w:sz w:val="21"/>
        </w:rPr>
      </w:pPr>
      <w:r>
        <w:rPr>
          <w:spacing w:val="-9"/>
          <w:sz w:val="21"/>
        </w:rPr>
        <w:t>感染必须是在被保险人正在从事其职业工作中发生，该职业必须属于下</w:t>
      </w:r>
      <w:r>
        <w:rPr>
          <w:spacing w:val="-13"/>
          <w:sz w:val="21"/>
        </w:rPr>
        <w:t>列职业：医生、护士、实验室工作人员、医院护工、医生助理、救护车</w:t>
      </w:r>
      <w:r>
        <w:rPr>
          <w:spacing w:val="-8"/>
          <w:sz w:val="21"/>
        </w:rPr>
        <w:t>工作人员、助产士、消防队员、警察；</w:t>
      </w:r>
    </w:p>
    <w:p>
      <w:pPr>
        <w:pStyle w:val="ListParagraph"/>
        <w:numPr>
          <w:ilvl w:val="0"/>
          <w:numId w:val="31"/>
        </w:numPr>
        <w:tabs>
          <w:tab w:pos="848" w:val="left" w:leader="none"/>
        </w:tabs>
        <w:spacing w:line="268" w:lineRule="auto" w:before="91" w:after="0"/>
        <w:ind w:left="847" w:right="100" w:hanging="735"/>
        <w:jc w:val="both"/>
        <w:rPr>
          <w:sz w:val="21"/>
        </w:rPr>
      </w:pPr>
      <w:r>
        <w:rPr>
          <w:spacing w:val="-1"/>
          <w:sz w:val="21"/>
        </w:rPr>
        <w:t>必须提供被保险人在所报事故发生后的 </w:t>
      </w:r>
      <w:r>
        <w:rPr>
          <w:sz w:val="21"/>
        </w:rPr>
        <w:t>5 天以内进行的检查报告，该</w:t>
      </w:r>
      <w:r>
        <w:rPr>
          <w:spacing w:val="-2"/>
          <w:sz w:val="21"/>
        </w:rPr>
        <w:t>报告必须显示被保险人血液 </w:t>
      </w:r>
      <w:r>
        <w:rPr>
          <w:sz w:val="21"/>
        </w:rPr>
        <w:t>HIV</w:t>
      </w:r>
      <w:r>
        <w:rPr>
          <w:spacing w:val="-1"/>
          <w:sz w:val="21"/>
        </w:rPr>
        <w:t> 病毒阴性和</w:t>
      </w:r>
      <w:r>
        <w:rPr>
          <w:sz w:val="21"/>
        </w:rPr>
        <w:t>/或 HIV 抗体阴性；</w:t>
      </w:r>
    </w:p>
    <w:p>
      <w:pPr>
        <w:pStyle w:val="ListParagraph"/>
        <w:numPr>
          <w:ilvl w:val="0"/>
          <w:numId w:val="31"/>
        </w:numPr>
        <w:tabs>
          <w:tab w:pos="847" w:val="left" w:leader="none"/>
          <w:tab w:pos="848" w:val="left" w:leader="none"/>
        </w:tabs>
        <w:spacing w:line="240" w:lineRule="auto" w:before="93" w:after="0"/>
        <w:ind w:left="847" w:right="0" w:hanging="735"/>
        <w:jc w:val="left"/>
        <w:rPr>
          <w:sz w:val="21"/>
        </w:rPr>
      </w:pPr>
      <w:r>
        <w:rPr>
          <w:spacing w:val="8"/>
          <w:sz w:val="21"/>
        </w:rPr>
        <w:t>必须在事故发生后的 </w:t>
      </w:r>
      <w:r>
        <w:rPr>
          <w:sz w:val="21"/>
        </w:rPr>
        <w:t>6</w:t>
      </w:r>
      <w:r>
        <w:rPr>
          <w:spacing w:val="7"/>
          <w:sz w:val="21"/>
        </w:rPr>
        <w:t> 个月内证实被保险人体内存在 </w:t>
      </w:r>
      <w:r>
        <w:rPr>
          <w:sz w:val="21"/>
        </w:rPr>
        <w:t>HIV</w:t>
      </w:r>
      <w:r>
        <w:rPr>
          <w:spacing w:val="7"/>
          <w:sz w:val="21"/>
        </w:rPr>
        <w:t> 病毒或</w:t>
      </w:r>
    </w:p>
    <w:p>
      <w:pPr>
        <w:pStyle w:val="BodyText"/>
        <w:spacing w:before="31"/>
        <w:ind w:left="847"/>
      </w:pPr>
      <w:r>
        <w:rPr/>
        <w:t>HIV 抗体，即血液 HIV 病毒阳性和/或 HIV 抗体阳性。</w:t>
      </w:r>
    </w:p>
    <w:p>
      <w:pPr>
        <w:spacing w:after="0"/>
        <w:sectPr>
          <w:type w:val="continuous"/>
          <w:pgSz w:w="11900" w:h="16840"/>
          <w:pgMar w:top="560" w:bottom="280" w:left="1020" w:right="700"/>
          <w:cols w:num="2" w:equalWidth="0">
            <w:col w:w="2705" w:space="98"/>
            <w:col w:w="7377"/>
          </w:cols>
        </w:sectPr>
      </w:pPr>
    </w:p>
    <w:p>
      <w:pPr>
        <w:pStyle w:val="BodyText"/>
        <w:spacing w:before="6"/>
        <w:rPr>
          <w:sz w:val="19"/>
        </w:rPr>
      </w:pPr>
    </w:p>
    <w:p>
      <w:pPr>
        <w:spacing w:after="0"/>
        <w:rPr>
          <w:sz w:val="19"/>
        </w:rPr>
        <w:sectPr>
          <w:type w:val="continuous"/>
          <w:pgSz w:w="11900" w:h="16840"/>
          <w:pgMar w:top="56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原发性硬化性胆管炎</w:t>
      </w:r>
    </w:p>
    <w:p>
      <w:pPr>
        <w:pStyle w:val="BodyText"/>
        <w:spacing w:line="271" w:lineRule="auto" w:before="36"/>
        <w:ind w:left="112" w:right="105"/>
        <w:jc w:val="both"/>
        <w:rPr>
          <w:rFonts w:ascii="黑体" w:eastAsia="黑体" w:hint="eastAsia"/>
        </w:rPr>
      </w:pPr>
      <w:r>
        <w:rPr/>
        <w:br w:type="column"/>
      </w:r>
      <w:r>
        <w:rPr/>
        <w:t>指一种胆汁淤积综合征，其特征是肝内、肝外胆道因纤维化性炎症逐渐狭窄， 并最终导致完全阻塞而发展为肝硬化。本病须经内镜逆行胰胆管造影等影像学检查证实，</w:t>
      </w:r>
      <w:r>
        <w:rPr>
          <w:rFonts w:ascii="黑体" w:eastAsia="黑体" w:hint="eastAsia"/>
        </w:rPr>
        <w:t>并须满足下列全部条件：</w:t>
      </w:r>
    </w:p>
    <w:p>
      <w:pPr>
        <w:pStyle w:val="ListParagraph"/>
        <w:numPr>
          <w:ilvl w:val="0"/>
          <w:numId w:val="32"/>
        </w:numPr>
        <w:tabs>
          <w:tab w:pos="848" w:val="left" w:leader="none"/>
        </w:tabs>
        <w:spacing w:line="240" w:lineRule="auto" w:before="91" w:after="0"/>
        <w:ind w:left="847" w:right="0" w:hanging="735"/>
        <w:jc w:val="both"/>
        <w:rPr>
          <w:sz w:val="21"/>
        </w:rPr>
      </w:pPr>
      <w:r>
        <w:rPr>
          <w:spacing w:val="-5"/>
          <w:sz w:val="21"/>
        </w:rPr>
        <w:t>总胆红素和直接胆红素同时升高，血清 </w:t>
      </w:r>
      <w:r>
        <w:rPr>
          <w:sz w:val="21"/>
        </w:rPr>
        <w:t>ALP&gt;200U/L；</w:t>
      </w:r>
    </w:p>
    <w:p>
      <w:pPr>
        <w:pStyle w:val="ListParagraph"/>
        <w:numPr>
          <w:ilvl w:val="0"/>
          <w:numId w:val="32"/>
        </w:numPr>
        <w:tabs>
          <w:tab w:pos="848" w:val="left" w:leader="none"/>
        </w:tabs>
        <w:spacing w:line="240" w:lineRule="auto" w:before="114" w:after="0"/>
        <w:ind w:left="847" w:right="0" w:hanging="735"/>
        <w:jc w:val="both"/>
        <w:rPr>
          <w:sz w:val="21"/>
        </w:rPr>
      </w:pPr>
      <w:r>
        <w:rPr>
          <w:spacing w:val="-1"/>
          <w:sz w:val="21"/>
        </w:rPr>
        <w:t>持续性黄疸病史；</w:t>
      </w:r>
    </w:p>
    <w:p>
      <w:pPr>
        <w:pStyle w:val="ListParagraph"/>
        <w:numPr>
          <w:ilvl w:val="0"/>
          <w:numId w:val="32"/>
        </w:numPr>
        <w:tabs>
          <w:tab w:pos="848" w:val="left" w:leader="none"/>
        </w:tabs>
        <w:spacing w:line="240" w:lineRule="auto" w:before="114" w:after="0"/>
        <w:ind w:left="847" w:right="0" w:hanging="735"/>
        <w:jc w:val="both"/>
        <w:rPr>
          <w:sz w:val="21"/>
        </w:rPr>
      </w:pPr>
      <w:r>
        <w:rPr>
          <w:spacing w:val="-3"/>
          <w:sz w:val="21"/>
        </w:rPr>
        <w:t>出现胆汁性肝硬化或门脉高压。</w:t>
      </w:r>
    </w:p>
    <w:p>
      <w:pPr>
        <w:pStyle w:val="BodyText"/>
        <w:spacing w:before="118"/>
        <w:ind w:left="11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560" w:bottom="280" w:left="1020" w:right="700"/>
          <w:cols w:num="2" w:equalWidth="0">
            <w:col w:w="2705" w:space="98"/>
            <w:col w:w="7377"/>
          </w:cols>
        </w:sectPr>
      </w:pPr>
    </w:p>
    <w:p>
      <w:pPr>
        <w:pStyle w:val="BodyText"/>
        <w:spacing w:before="9"/>
        <w:rPr>
          <w:rFonts w:ascii="黑体"/>
          <w:sz w:val="18"/>
        </w:rPr>
      </w:pPr>
    </w:p>
    <w:p>
      <w:pPr>
        <w:pStyle w:val="ListParagraph"/>
        <w:numPr>
          <w:ilvl w:val="1"/>
          <w:numId w:val="7"/>
        </w:numPr>
        <w:tabs>
          <w:tab w:pos="1144" w:val="left" w:leader="none"/>
          <w:tab w:pos="1145" w:val="left" w:leader="none"/>
          <w:tab w:pos="2915" w:val="left" w:leader="none"/>
        </w:tabs>
        <w:spacing w:line="312" w:lineRule="exact" w:before="32" w:after="0"/>
        <w:ind w:left="2916" w:right="105" w:hanging="2804"/>
        <w:jc w:val="left"/>
        <w:rPr>
          <w:rFonts w:ascii="黑体" w:eastAsia="黑体" w:hint="eastAsia"/>
          <w:sz w:val="21"/>
        </w:rPr>
      </w:pPr>
      <w:r>
        <w:rPr>
          <w:rFonts w:ascii="Microsoft JhengHei" w:eastAsia="Microsoft JhengHei" w:hint="eastAsia"/>
          <w:b/>
          <w:sz w:val="21"/>
        </w:rPr>
        <w:t>肺淋巴管肌瘤病</w:t>
        <w:tab/>
      </w:r>
      <w:r>
        <w:rPr>
          <w:spacing w:val="-1"/>
          <w:sz w:val="21"/>
        </w:rPr>
        <w:t>是</w:t>
      </w:r>
      <w:r>
        <w:rPr>
          <w:sz w:val="21"/>
        </w:rPr>
        <w:t>一种弥漫性肺部</w:t>
      </w:r>
      <w:r>
        <w:rPr>
          <w:spacing w:val="-5"/>
          <w:sz w:val="21"/>
        </w:rPr>
        <w:t>疾</w:t>
      </w:r>
      <w:r>
        <w:rPr>
          <w:sz w:val="21"/>
        </w:rPr>
        <w:t>病，主要病</w:t>
      </w:r>
      <w:r>
        <w:rPr>
          <w:spacing w:val="-5"/>
          <w:sz w:val="21"/>
        </w:rPr>
        <w:t>理</w:t>
      </w:r>
      <w:r>
        <w:rPr>
          <w:sz w:val="21"/>
        </w:rPr>
        <w:t>改变为肺间</w:t>
      </w:r>
      <w:r>
        <w:rPr>
          <w:spacing w:val="-5"/>
          <w:sz w:val="21"/>
        </w:rPr>
        <w:t>质</w:t>
      </w:r>
      <w:r>
        <w:rPr>
          <w:sz w:val="21"/>
        </w:rPr>
        <w:t>、</w:t>
      </w:r>
      <w:r>
        <w:rPr>
          <w:spacing w:val="-5"/>
          <w:sz w:val="21"/>
        </w:rPr>
        <w:t>支</w:t>
      </w:r>
      <w:r>
        <w:rPr>
          <w:sz w:val="21"/>
        </w:rPr>
        <w:t>气管、血管和淋巴</w:t>
      </w:r>
      <w:r>
        <w:rPr>
          <w:spacing w:val="-5"/>
          <w:sz w:val="21"/>
        </w:rPr>
        <w:t>管</w:t>
      </w:r>
      <w:r>
        <w:rPr>
          <w:sz w:val="21"/>
        </w:rPr>
        <w:t>内出 现未成熟</w:t>
      </w:r>
      <w:r>
        <w:rPr>
          <w:spacing w:val="-5"/>
          <w:sz w:val="21"/>
        </w:rPr>
        <w:t>的</w:t>
      </w:r>
      <w:r>
        <w:rPr>
          <w:sz w:val="21"/>
        </w:rPr>
        <w:t>平滑肌</w:t>
      </w:r>
      <w:r>
        <w:rPr>
          <w:spacing w:val="-5"/>
          <w:sz w:val="21"/>
        </w:rPr>
        <w:t>异</w:t>
      </w:r>
      <w:r>
        <w:rPr>
          <w:sz w:val="21"/>
        </w:rPr>
        <w:t>常增生</w:t>
      </w:r>
      <w:r>
        <w:rPr>
          <w:spacing w:val="-5"/>
          <w:sz w:val="21"/>
        </w:rPr>
        <w:t>，</w:t>
      </w:r>
      <w:r>
        <w:rPr>
          <w:rFonts w:ascii="黑体" w:eastAsia="黑体" w:hint="eastAsia"/>
          <w:sz w:val="21"/>
        </w:rPr>
        <w:t>同时须</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w:t>
      </w:r>
      <w:r>
        <w:rPr>
          <w:rFonts w:ascii="黑体" w:eastAsia="黑体" w:hint="eastAsia"/>
          <w:spacing w:val="-5"/>
          <w:sz w:val="21"/>
        </w:rPr>
        <w:t>条</w:t>
      </w:r>
      <w:r>
        <w:rPr>
          <w:rFonts w:ascii="黑体" w:eastAsia="黑体" w:hint="eastAsia"/>
          <w:sz w:val="21"/>
        </w:rPr>
        <w:t>件：</w:t>
      </w:r>
    </w:p>
    <w:p>
      <w:pPr>
        <w:pStyle w:val="ListParagraph"/>
        <w:numPr>
          <w:ilvl w:val="0"/>
          <w:numId w:val="33"/>
        </w:numPr>
        <w:tabs>
          <w:tab w:pos="3650" w:val="left" w:leader="none"/>
          <w:tab w:pos="3651" w:val="left" w:leader="none"/>
        </w:tabs>
        <w:spacing w:line="240" w:lineRule="auto" w:before="85" w:after="0"/>
        <w:ind w:left="3650" w:right="0" w:hanging="734"/>
        <w:jc w:val="left"/>
        <w:rPr>
          <w:sz w:val="21"/>
        </w:rPr>
      </w:pPr>
      <w:r>
        <w:rPr>
          <w:spacing w:val="-1"/>
          <w:sz w:val="21"/>
        </w:rPr>
        <w:t>经组织病理学诊断；</w:t>
      </w:r>
    </w:p>
    <w:p>
      <w:pPr>
        <w:pStyle w:val="ListParagraph"/>
        <w:numPr>
          <w:ilvl w:val="0"/>
          <w:numId w:val="33"/>
        </w:numPr>
        <w:tabs>
          <w:tab w:pos="3650" w:val="left" w:leader="none"/>
          <w:tab w:pos="3651" w:val="left" w:leader="none"/>
        </w:tabs>
        <w:spacing w:line="240" w:lineRule="auto" w:before="113" w:after="0"/>
        <w:ind w:left="3650" w:right="0" w:hanging="734"/>
        <w:jc w:val="left"/>
        <w:rPr>
          <w:sz w:val="21"/>
        </w:rPr>
      </w:pPr>
      <w:r>
        <w:rPr>
          <w:sz w:val="21"/>
        </w:rPr>
        <w:t>CT</w:t>
      </w:r>
      <w:r>
        <w:rPr>
          <w:spacing w:val="-7"/>
          <w:sz w:val="21"/>
        </w:rPr>
        <w:t> 显示双肺弥漫性囊性改变；</w:t>
      </w:r>
    </w:p>
    <w:p>
      <w:pPr>
        <w:spacing w:after="0" w:line="240" w:lineRule="auto"/>
        <w:jc w:val="left"/>
        <w:rPr>
          <w:sz w:val="21"/>
        </w:rPr>
        <w:sectPr>
          <w:type w:val="continuous"/>
          <w:pgSz w:w="11900" w:h="16840"/>
          <w:pgMar w:top="560" w:bottom="280" w:left="1020" w:right="700"/>
        </w:sectPr>
      </w:pPr>
    </w:p>
    <w:p>
      <w:pPr>
        <w:pStyle w:val="ListParagraph"/>
        <w:numPr>
          <w:ilvl w:val="0"/>
          <w:numId w:val="33"/>
        </w:numPr>
        <w:tabs>
          <w:tab w:pos="3650" w:val="left" w:leader="none"/>
          <w:tab w:pos="3651" w:val="left" w:leader="none"/>
        </w:tabs>
        <w:spacing w:line="240" w:lineRule="auto" w:before="21" w:after="0"/>
        <w:ind w:left="3650" w:right="0" w:hanging="734"/>
        <w:jc w:val="left"/>
        <w:rPr>
          <w:sz w:val="21"/>
        </w:rPr>
      </w:pPr>
      <w:r>
        <w:rPr>
          <w:spacing w:val="-2"/>
          <w:sz w:val="21"/>
        </w:rPr>
        <w:t>动脉血氧分压</w:t>
      </w:r>
      <w:r>
        <w:rPr>
          <w:spacing w:val="-1"/>
          <w:sz w:val="21"/>
        </w:rPr>
        <w:t>（PaO2）＜55mmHg</w:t>
      </w:r>
      <w:r>
        <w:rPr>
          <w:sz w:val="21"/>
        </w:rPr>
        <w:t>。</w:t>
      </w:r>
    </w:p>
    <w:p>
      <w:pPr>
        <w:pStyle w:val="BodyText"/>
        <w:spacing w:before="10"/>
        <w:rPr>
          <w:sz w:val="16"/>
        </w:rPr>
      </w:pPr>
    </w:p>
    <w:p>
      <w:pPr>
        <w:pStyle w:val="ListParagraph"/>
        <w:numPr>
          <w:ilvl w:val="1"/>
          <w:numId w:val="7"/>
        </w:numPr>
        <w:tabs>
          <w:tab w:pos="1144" w:val="left" w:leader="none"/>
          <w:tab w:pos="1145" w:val="left" w:leader="none"/>
          <w:tab w:pos="2915" w:val="left" w:leader="none"/>
        </w:tabs>
        <w:spacing w:line="256" w:lineRule="auto" w:before="0" w:after="0"/>
        <w:ind w:left="2916" w:right="105" w:hanging="2804"/>
        <w:jc w:val="both"/>
        <w:rPr>
          <w:sz w:val="21"/>
        </w:rPr>
      </w:pPr>
      <w:r>
        <w:rPr>
          <w:rFonts w:ascii="Microsoft JhengHei" w:eastAsia="Microsoft JhengHei" w:hint="eastAsia"/>
          <w:b/>
          <w:sz w:val="21"/>
        </w:rPr>
        <w:t>象皮病</w:t>
        <w:tab/>
      </w:r>
      <w:r>
        <w:rPr>
          <w:sz w:val="21"/>
        </w:rPr>
        <w:t>指末期丝虫病，按</w:t>
      </w:r>
      <w:r>
        <w:rPr>
          <w:spacing w:val="-5"/>
          <w:sz w:val="21"/>
        </w:rPr>
        <w:t>国</w:t>
      </w:r>
      <w:r>
        <w:rPr>
          <w:sz w:val="21"/>
        </w:rPr>
        <w:t>际淋巴学会</w:t>
      </w:r>
      <w:r>
        <w:rPr>
          <w:spacing w:val="-5"/>
          <w:sz w:val="21"/>
        </w:rPr>
        <w:t>分</w:t>
      </w:r>
      <w:r>
        <w:rPr>
          <w:sz w:val="21"/>
        </w:rPr>
        <w:t>级为三度淋</w:t>
      </w:r>
      <w:r>
        <w:rPr>
          <w:spacing w:val="-5"/>
          <w:sz w:val="21"/>
        </w:rPr>
        <w:t>巴</w:t>
      </w:r>
      <w:r>
        <w:rPr>
          <w:sz w:val="21"/>
        </w:rPr>
        <w:t>液</w:t>
      </w:r>
      <w:r>
        <w:rPr>
          <w:spacing w:val="-5"/>
          <w:sz w:val="21"/>
        </w:rPr>
        <w:t>肿</w:t>
      </w:r>
      <w:r>
        <w:rPr>
          <w:sz w:val="21"/>
        </w:rPr>
        <w:t>，其临床表现为肢</w:t>
      </w:r>
      <w:r>
        <w:rPr>
          <w:spacing w:val="-5"/>
          <w:sz w:val="21"/>
        </w:rPr>
        <w:t>体</w:t>
      </w:r>
      <w:r>
        <w:rPr>
          <w:sz w:val="21"/>
        </w:rPr>
        <w:t>非凹 陷性水肿伴畸形增</w:t>
      </w:r>
      <w:r>
        <w:rPr>
          <w:spacing w:val="-5"/>
          <w:sz w:val="21"/>
        </w:rPr>
        <w:t>大</w:t>
      </w:r>
      <w:r>
        <w:rPr>
          <w:sz w:val="21"/>
        </w:rPr>
        <w:t>、硬皮症和</w:t>
      </w:r>
      <w:r>
        <w:rPr>
          <w:spacing w:val="-5"/>
          <w:sz w:val="21"/>
        </w:rPr>
        <w:t>疣</w:t>
      </w:r>
      <w:r>
        <w:rPr>
          <w:sz w:val="21"/>
        </w:rPr>
        <w:t>状增生。此</w:t>
      </w:r>
      <w:r>
        <w:rPr>
          <w:spacing w:val="-5"/>
          <w:sz w:val="21"/>
        </w:rPr>
        <w:t>病</w:t>
      </w:r>
      <w:r>
        <w:rPr>
          <w:sz w:val="21"/>
        </w:rPr>
        <w:t>症</w:t>
      </w:r>
      <w:r>
        <w:rPr>
          <w:spacing w:val="-5"/>
          <w:sz w:val="21"/>
        </w:rPr>
        <w:t>须</w:t>
      </w:r>
      <w:r>
        <w:rPr>
          <w:sz w:val="21"/>
        </w:rPr>
        <w:t>经相关专科医生根</w:t>
      </w:r>
      <w:r>
        <w:rPr>
          <w:spacing w:val="-5"/>
          <w:sz w:val="21"/>
        </w:rPr>
        <w:t>据</w:t>
      </w:r>
      <w:r>
        <w:rPr>
          <w:sz w:val="21"/>
        </w:rPr>
        <w:t>临床表现和微</w:t>
      </w:r>
      <w:r>
        <w:rPr>
          <w:spacing w:val="-5"/>
          <w:sz w:val="21"/>
        </w:rPr>
        <w:t>丝</w:t>
      </w:r>
      <w:r>
        <w:rPr>
          <w:sz w:val="21"/>
        </w:rPr>
        <w:t>蚴的化</w:t>
      </w:r>
      <w:r>
        <w:rPr>
          <w:spacing w:val="-5"/>
          <w:sz w:val="21"/>
        </w:rPr>
        <w:t>验</w:t>
      </w:r>
      <w:r>
        <w:rPr>
          <w:sz w:val="21"/>
        </w:rPr>
        <w:t>结果确</w:t>
      </w:r>
      <w:r>
        <w:rPr>
          <w:spacing w:val="-5"/>
          <w:sz w:val="21"/>
        </w:rPr>
        <w:t>诊</w:t>
      </w:r>
      <w:r>
        <w:rPr>
          <w:sz w:val="21"/>
        </w:rPr>
        <w:t>。</w:t>
      </w:r>
    </w:p>
    <w:p>
      <w:pPr>
        <w:pStyle w:val="BodyText"/>
        <w:spacing w:before="0"/>
        <w:rPr>
          <w:sz w:val="16"/>
        </w:rPr>
      </w:pPr>
    </w:p>
    <w:p>
      <w:pPr>
        <w:pStyle w:val="ListParagraph"/>
        <w:numPr>
          <w:ilvl w:val="1"/>
          <w:numId w:val="7"/>
        </w:numPr>
        <w:tabs>
          <w:tab w:pos="1144" w:val="left" w:leader="none"/>
          <w:tab w:pos="1145" w:val="left" w:leader="none"/>
          <w:tab w:pos="2915" w:val="left" w:leader="none"/>
        </w:tabs>
        <w:spacing w:line="240" w:lineRule="auto" w:before="0" w:after="0"/>
        <w:ind w:left="1144" w:right="0" w:hanging="1032"/>
        <w:jc w:val="left"/>
        <w:rPr>
          <w:sz w:val="21"/>
        </w:rPr>
      </w:pPr>
      <w:r>
        <w:rPr>
          <w:rFonts w:ascii="Microsoft JhengHei" w:eastAsia="Microsoft JhengHei" w:hint="eastAsia"/>
          <w:b/>
          <w:sz w:val="21"/>
        </w:rPr>
        <w:t>胰腺移植</w:t>
        <w:tab/>
      </w:r>
      <w:r>
        <w:rPr>
          <w:sz w:val="21"/>
        </w:rPr>
        <w:t>指因胰腺功能衰竭</w:t>
      </w:r>
      <w:r>
        <w:rPr>
          <w:spacing w:val="-5"/>
          <w:sz w:val="21"/>
        </w:rPr>
        <w:t>，</w:t>
      </w:r>
      <w:r>
        <w:rPr>
          <w:sz w:val="21"/>
        </w:rPr>
        <w:t>已经实施了</w:t>
      </w:r>
      <w:r>
        <w:rPr>
          <w:spacing w:val="-5"/>
          <w:sz w:val="21"/>
        </w:rPr>
        <w:t>在</w:t>
      </w:r>
      <w:r>
        <w:rPr>
          <w:sz w:val="21"/>
        </w:rPr>
        <w:t>全身麻醉下</w:t>
      </w:r>
      <w:r>
        <w:rPr>
          <w:spacing w:val="-5"/>
          <w:sz w:val="21"/>
        </w:rPr>
        <w:t>进</w:t>
      </w:r>
      <w:r>
        <w:rPr>
          <w:sz w:val="21"/>
        </w:rPr>
        <w:t>行</w:t>
      </w:r>
      <w:r>
        <w:rPr>
          <w:spacing w:val="-5"/>
          <w:sz w:val="21"/>
        </w:rPr>
        <w:t>的</w:t>
      </w:r>
      <w:r>
        <w:rPr>
          <w:sz w:val="21"/>
        </w:rPr>
        <w:t>胰腺的异体器官移</w:t>
      </w:r>
      <w:r>
        <w:rPr>
          <w:spacing w:val="-5"/>
          <w:sz w:val="21"/>
        </w:rPr>
        <w:t>植</w:t>
      </w:r>
      <w:r>
        <w:rPr>
          <w:sz w:val="21"/>
        </w:rPr>
        <w:t>手术</w:t>
      </w:r>
    </w:p>
    <w:p>
      <w:pPr>
        <w:pStyle w:val="BodyText"/>
        <w:spacing w:before="8"/>
        <w:ind w:left="2916"/>
      </w:pPr>
      <w:r>
        <w:rPr/>
        <w:t>（</w:t>
      </w:r>
      <w:r>
        <w:rPr>
          <w:spacing w:val="-3"/>
        </w:rPr>
        <w:t>供体必须是人体器官</w:t>
      </w:r>
      <w:r>
        <w:rPr>
          <w:spacing w:val="-106"/>
        </w:rPr>
        <w:t>）</w:t>
      </w:r>
      <w:r>
        <w:rPr/>
        <w:t>。</w:t>
      </w:r>
    </w:p>
    <w:p>
      <w:pPr>
        <w:pStyle w:val="BodyText"/>
        <w:spacing w:before="118"/>
        <w:ind w:left="2916"/>
        <w:rPr>
          <w:rFonts w:ascii="黑体" w:eastAsia="黑体" w:hint="eastAsia"/>
        </w:rPr>
      </w:pPr>
      <w:r>
        <w:rPr>
          <w:rFonts w:ascii="黑体" w:eastAsia="黑体" w:hint="eastAsia"/>
        </w:rPr>
        <w:t>单纯胰岛移植、部分胰腺组织或细胞的移植不在保障范围内。</w:t>
      </w:r>
    </w:p>
    <w:p>
      <w:pPr>
        <w:pStyle w:val="BodyText"/>
        <w:spacing w:before="5"/>
        <w:rPr>
          <w:rFonts w:ascii="黑体"/>
          <w:sz w:val="16"/>
        </w:rPr>
      </w:pPr>
    </w:p>
    <w:p>
      <w:pPr>
        <w:pStyle w:val="ListParagraph"/>
        <w:numPr>
          <w:ilvl w:val="1"/>
          <w:numId w:val="7"/>
        </w:numPr>
        <w:tabs>
          <w:tab w:pos="1144" w:val="left" w:leader="none"/>
          <w:tab w:pos="1145" w:val="left" w:leader="none"/>
          <w:tab w:pos="2915" w:val="left" w:leader="none"/>
        </w:tabs>
        <w:spacing w:line="259" w:lineRule="auto" w:before="0" w:after="0"/>
        <w:ind w:left="2916" w:right="105" w:hanging="2804"/>
        <w:jc w:val="both"/>
        <w:rPr>
          <w:sz w:val="21"/>
        </w:rPr>
      </w:pPr>
      <w:r>
        <w:rPr>
          <w:rFonts w:ascii="Microsoft JhengHei" w:eastAsia="Microsoft JhengHei" w:hint="eastAsia"/>
          <w:b/>
          <w:sz w:val="21"/>
        </w:rPr>
        <w:t>严重川崎病</w:t>
        <w:tab/>
      </w:r>
      <w:r>
        <w:rPr>
          <w:sz w:val="21"/>
        </w:rPr>
        <w:t>是一种血管炎综合</w:t>
      </w:r>
      <w:r>
        <w:rPr>
          <w:spacing w:val="-5"/>
          <w:sz w:val="21"/>
        </w:rPr>
        <w:t>征</w:t>
      </w:r>
      <w:r>
        <w:rPr>
          <w:sz w:val="21"/>
        </w:rPr>
        <w:t>，临床表现</w:t>
      </w:r>
      <w:r>
        <w:rPr>
          <w:spacing w:val="-5"/>
          <w:sz w:val="21"/>
        </w:rPr>
        <w:t>为</w:t>
      </w:r>
      <w:r>
        <w:rPr>
          <w:sz w:val="21"/>
        </w:rPr>
        <w:t>急性发热，</w:t>
      </w:r>
      <w:r>
        <w:rPr>
          <w:spacing w:val="-5"/>
          <w:sz w:val="21"/>
        </w:rPr>
        <w:t>皮</w:t>
      </w:r>
      <w:r>
        <w:rPr>
          <w:sz w:val="21"/>
        </w:rPr>
        <w:t>肤</w:t>
      </w:r>
      <w:r>
        <w:rPr>
          <w:spacing w:val="-5"/>
          <w:sz w:val="21"/>
        </w:rPr>
        <w:t>粘</w:t>
      </w:r>
      <w:r>
        <w:rPr>
          <w:sz w:val="21"/>
        </w:rPr>
        <w:t>膜病损和淋巴结肿</w:t>
      </w:r>
      <w:r>
        <w:rPr>
          <w:spacing w:val="-5"/>
          <w:sz w:val="21"/>
        </w:rPr>
        <w:t>大</w:t>
      </w:r>
      <w:r>
        <w:rPr>
          <w:sz w:val="21"/>
        </w:rPr>
        <w:t>。本 病须经专科医生明</w:t>
      </w:r>
      <w:r>
        <w:rPr>
          <w:spacing w:val="-5"/>
          <w:sz w:val="21"/>
        </w:rPr>
        <w:t>确</w:t>
      </w:r>
      <w:r>
        <w:rPr>
          <w:sz w:val="21"/>
        </w:rPr>
        <w:t>诊断，同时</w:t>
      </w:r>
      <w:r>
        <w:rPr>
          <w:spacing w:val="-5"/>
          <w:sz w:val="21"/>
        </w:rPr>
        <w:t>须</w:t>
      </w:r>
      <w:r>
        <w:rPr>
          <w:sz w:val="21"/>
        </w:rPr>
        <w:t>由血管造影</w:t>
      </w:r>
      <w:r>
        <w:rPr>
          <w:spacing w:val="-5"/>
          <w:sz w:val="21"/>
        </w:rPr>
        <w:t>或</w:t>
      </w:r>
      <w:r>
        <w:rPr>
          <w:sz w:val="21"/>
        </w:rPr>
        <w:t>超</w:t>
      </w:r>
      <w:r>
        <w:rPr>
          <w:spacing w:val="-5"/>
          <w:sz w:val="21"/>
        </w:rPr>
        <w:t>声</w:t>
      </w:r>
      <w:r>
        <w:rPr>
          <w:sz w:val="21"/>
        </w:rPr>
        <w:t>心动图检查证实，</w:t>
      </w:r>
      <w:r>
        <w:rPr>
          <w:spacing w:val="-5"/>
          <w:sz w:val="21"/>
        </w:rPr>
        <w:t>满</w:t>
      </w:r>
      <w:r>
        <w:rPr>
          <w:sz w:val="21"/>
        </w:rPr>
        <w:t>足下列至少一</w:t>
      </w:r>
      <w:r>
        <w:rPr>
          <w:spacing w:val="-5"/>
          <w:sz w:val="21"/>
        </w:rPr>
        <w:t>项</w:t>
      </w:r>
      <w:r>
        <w:rPr>
          <w:sz w:val="21"/>
        </w:rPr>
        <w:t>条件：</w:t>
      </w:r>
    </w:p>
    <w:p>
      <w:pPr>
        <w:pStyle w:val="ListParagraph"/>
        <w:numPr>
          <w:ilvl w:val="0"/>
          <w:numId w:val="34"/>
        </w:numPr>
        <w:tabs>
          <w:tab w:pos="3650" w:val="left" w:leader="none"/>
          <w:tab w:pos="3651" w:val="left" w:leader="none"/>
        </w:tabs>
        <w:spacing w:line="240" w:lineRule="auto" w:before="101" w:after="0"/>
        <w:ind w:left="3650"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34"/>
        </w:numPr>
        <w:tabs>
          <w:tab w:pos="3650" w:val="left" w:leader="none"/>
          <w:tab w:pos="3651" w:val="left" w:leader="none"/>
        </w:tabs>
        <w:spacing w:line="240" w:lineRule="auto" w:before="113" w:after="0"/>
        <w:ind w:left="3650" w:right="0" w:hanging="734"/>
        <w:jc w:val="left"/>
        <w:rPr>
          <w:sz w:val="21"/>
        </w:rPr>
      </w:pPr>
      <w:r>
        <w:rPr>
          <w:spacing w:val="-5"/>
          <w:sz w:val="21"/>
        </w:rPr>
        <w:t>伴有冠状动脉瘤，且已经实施了对冠状动脉瘤进行的手术治疗。</w:t>
      </w:r>
    </w:p>
    <w:p>
      <w:pPr>
        <w:pStyle w:val="BodyText"/>
        <w:spacing w:before="10"/>
        <w:rPr>
          <w:sz w:val="16"/>
        </w:rPr>
      </w:pPr>
    </w:p>
    <w:p>
      <w:pPr>
        <w:pStyle w:val="ListParagraph"/>
        <w:numPr>
          <w:ilvl w:val="1"/>
          <w:numId w:val="7"/>
        </w:numPr>
        <w:tabs>
          <w:tab w:pos="1144" w:val="left" w:leader="none"/>
          <w:tab w:pos="1145" w:val="left" w:leader="none"/>
          <w:tab w:pos="2915" w:val="left" w:leader="none"/>
        </w:tabs>
        <w:spacing w:line="240" w:lineRule="auto" w:before="0" w:after="0"/>
        <w:ind w:left="1144" w:right="0" w:hanging="1032"/>
        <w:jc w:val="left"/>
        <w:rPr>
          <w:rFonts w:ascii="黑体" w:eastAsia="黑体" w:hint="eastAsia"/>
          <w:sz w:val="21"/>
        </w:rPr>
      </w:pPr>
      <w:r>
        <w:rPr>
          <w:rFonts w:ascii="Microsoft JhengHei" w:eastAsia="Microsoft JhengHei" w:hint="eastAsia"/>
          <w:b/>
          <w:sz w:val="21"/>
        </w:rPr>
        <w:t>肾髓质囊性病</w:t>
        <w:tab/>
      </w:r>
      <w:r>
        <w:rPr>
          <w:spacing w:val="-1"/>
          <w:sz w:val="21"/>
        </w:rPr>
        <w:t>肾</w:t>
      </w:r>
      <w:r>
        <w:rPr>
          <w:sz w:val="21"/>
        </w:rPr>
        <w:t>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pStyle w:val="ListParagraph"/>
        <w:numPr>
          <w:ilvl w:val="0"/>
          <w:numId w:val="35"/>
        </w:numPr>
        <w:tabs>
          <w:tab w:pos="3650" w:val="left" w:leader="none"/>
          <w:tab w:pos="3651" w:val="left" w:leader="none"/>
        </w:tabs>
        <w:spacing w:line="240" w:lineRule="auto" w:before="89" w:after="0"/>
        <w:ind w:left="3650" w:right="0" w:hanging="734"/>
        <w:jc w:val="left"/>
        <w:rPr>
          <w:sz w:val="21"/>
        </w:rPr>
      </w:pPr>
      <w:r>
        <w:rPr>
          <w:spacing w:val="-5"/>
          <w:sz w:val="21"/>
        </w:rPr>
        <w:t>肾髓质有囊肿、肾小管萎缩及间质纤维化等病理改变；</w:t>
      </w:r>
    </w:p>
    <w:p>
      <w:pPr>
        <w:pStyle w:val="ListParagraph"/>
        <w:numPr>
          <w:ilvl w:val="0"/>
          <w:numId w:val="35"/>
        </w:numPr>
        <w:tabs>
          <w:tab w:pos="3650" w:val="left" w:leader="none"/>
          <w:tab w:pos="3651" w:val="left" w:leader="none"/>
        </w:tabs>
        <w:spacing w:line="240" w:lineRule="auto" w:before="113" w:after="0"/>
        <w:ind w:left="3650" w:right="0" w:hanging="734"/>
        <w:jc w:val="left"/>
        <w:rPr>
          <w:sz w:val="21"/>
        </w:rPr>
      </w:pPr>
      <w:r>
        <w:rPr>
          <w:spacing w:val="-3"/>
          <w:sz w:val="21"/>
        </w:rPr>
        <w:t>贫血、多尿及肾功能衰竭等临床表现；</w:t>
      </w:r>
    </w:p>
    <w:p>
      <w:pPr>
        <w:pStyle w:val="ListParagraph"/>
        <w:numPr>
          <w:ilvl w:val="0"/>
          <w:numId w:val="35"/>
        </w:numPr>
        <w:tabs>
          <w:tab w:pos="3650" w:val="left" w:leader="none"/>
          <w:tab w:pos="3651" w:val="left" w:leader="none"/>
        </w:tabs>
        <w:spacing w:line="240" w:lineRule="auto" w:before="113" w:after="0"/>
        <w:ind w:left="3650" w:right="0" w:hanging="734"/>
        <w:jc w:val="left"/>
        <w:rPr>
          <w:sz w:val="21"/>
        </w:rPr>
      </w:pPr>
      <w:r>
        <w:rPr>
          <w:spacing w:val="-2"/>
          <w:sz w:val="21"/>
        </w:rPr>
        <w:t>诊断须由肾组织活检确定。</w:t>
      </w:r>
    </w:p>
    <w:p>
      <w:pPr>
        <w:pStyle w:val="BodyText"/>
        <w:spacing w:before="118"/>
        <w:ind w:left="2916"/>
        <w:rPr>
          <w:rFonts w:ascii="黑体" w:eastAsia="黑体" w:hint="eastAsia"/>
        </w:rPr>
      </w:pPr>
      <w:r>
        <w:rPr>
          <w:rFonts w:ascii="黑体" w:eastAsia="黑体" w:hint="eastAsia"/>
        </w:rPr>
        <w:t>单独或良性肾囊肿则不在保障范围内。</w:t>
      </w:r>
    </w:p>
    <w:p>
      <w:pPr>
        <w:pStyle w:val="BodyText"/>
        <w:spacing w:before="5"/>
        <w:rPr>
          <w:rFonts w:ascii="黑体"/>
          <w:sz w:val="16"/>
        </w:rPr>
      </w:pPr>
    </w:p>
    <w:p>
      <w:pPr>
        <w:pStyle w:val="ListParagraph"/>
        <w:numPr>
          <w:ilvl w:val="1"/>
          <w:numId w:val="7"/>
        </w:numPr>
        <w:tabs>
          <w:tab w:pos="1144" w:val="left" w:leader="none"/>
          <w:tab w:pos="1145" w:val="left" w:leader="none"/>
          <w:tab w:pos="2915" w:val="left" w:leader="none"/>
        </w:tabs>
        <w:spacing w:line="259" w:lineRule="auto" w:before="0" w:after="0"/>
        <w:ind w:left="2916" w:right="105" w:hanging="2804"/>
        <w:jc w:val="both"/>
        <w:rPr>
          <w:sz w:val="21"/>
        </w:rPr>
      </w:pPr>
      <w:r>
        <w:rPr>
          <w:rFonts w:ascii="Microsoft JhengHei" w:eastAsia="Microsoft JhengHei" w:hint="eastAsia"/>
          <w:b/>
          <w:sz w:val="21"/>
        </w:rPr>
        <w:t>克雅氏病</w:t>
        <w:tab/>
      </w:r>
      <w:r>
        <w:rPr>
          <w:sz w:val="21"/>
        </w:rPr>
        <w:t>是一种由动物传染</w:t>
      </w:r>
      <w:r>
        <w:rPr>
          <w:spacing w:val="-5"/>
          <w:sz w:val="21"/>
        </w:rPr>
        <w:t>而</w:t>
      </w:r>
      <w:r>
        <w:rPr>
          <w:sz w:val="21"/>
        </w:rPr>
        <w:t>来的中枢神</w:t>
      </w:r>
      <w:r>
        <w:rPr>
          <w:spacing w:val="-5"/>
          <w:sz w:val="21"/>
        </w:rPr>
        <w:t>经</w:t>
      </w:r>
      <w:r>
        <w:rPr>
          <w:sz w:val="21"/>
        </w:rPr>
        <w:t>系统变性性</w:t>
      </w:r>
      <w:r>
        <w:rPr>
          <w:spacing w:val="-5"/>
          <w:sz w:val="21"/>
        </w:rPr>
        <w:t>疾</w:t>
      </w:r>
      <w:r>
        <w:rPr>
          <w:sz w:val="21"/>
        </w:rPr>
        <w:t>病</w:t>
      </w:r>
      <w:r>
        <w:rPr>
          <w:spacing w:val="-5"/>
          <w:sz w:val="21"/>
        </w:rPr>
        <w:t>，</w:t>
      </w:r>
      <w:r>
        <w:rPr>
          <w:sz w:val="21"/>
        </w:rPr>
        <w:t>大脑呈海绵状改变</w:t>
      </w:r>
      <w:r>
        <w:rPr>
          <w:spacing w:val="-5"/>
          <w:sz w:val="21"/>
        </w:rPr>
        <w:t>伴</w:t>
      </w:r>
      <w:r>
        <w:rPr>
          <w:sz w:val="21"/>
        </w:rPr>
        <w:t>神经 元缺失和胶质化。</w:t>
      </w:r>
      <w:r>
        <w:rPr>
          <w:spacing w:val="-5"/>
          <w:sz w:val="21"/>
        </w:rPr>
        <w:t>临</w:t>
      </w:r>
      <w:r>
        <w:rPr>
          <w:sz w:val="21"/>
        </w:rPr>
        <w:t>床表现为进</w:t>
      </w:r>
      <w:r>
        <w:rPr>
          <w:spacing w:val="-5"/>
          <w:sz w:val="21"/>
        </w:rPr>
        <w:t>行</w:t>
      </w:r>
      <w:r>
        <w:rPr>
          <w:sz w:val="21"/>
        </w:rPr>
        <w:t>性痴呆、不</w:t>
      </w:r>
      <w:r>
        <w:rPr>
          <w:spacing w:val="-5"/>
          <w:sz w:val="21"/>
        </w:rPr>
        <w:t>随</w:t>
      </w:r>
      <w:r>
        <w:rPr>
          <w:sz w:val="21"/>
        </w:rPr>
        <w:t>意</w:t>
      </w:r>
      <w:r>
        <w:rPr>
          <w:spacing w:val="-5"/>
          <w:sz w:val="21"/>
        </w:rPr>
        <w:t>运</w:t>
      </w:r>
      <w:r>
        <w:rPr>
          <w:sz w:val="21"/>
        </w:rPr>
        <w:t>动及抽搐、行动困</w:t>
      </w:r>
      <w:r>
        <w:rPr>
          <w:spacing w:val="-5"/>
          <w:sz w:val="21"/>
        </w:rPr>
        <w:t>难</w:t>
      </w:r>
      <w:r>
        <w:rPr>
          <w:sz w:val="21"/>
        </w:rPr>
        <w:t>等。克雅氏病</w:t>
      </w:r>
      <w:r>
        <w:rPr>
          <w:spacing w:val="-5"/>
          <w:sz w:val="21"/>
        </w:rPr>
        <w:t>必</w:t>
      </w:r>
      <w:r>
        <w:rPr>
          <w:sz w:val="21"/>
        </w:rPr>
        <w:t>须由权</w:t>
      </w:r>
      <w:r>
        <w:rPr>
          <w:spacing w:val="-5"/>
          <w:sz w:val="21"/>
        </w:rPr>
        <w:t>威</w:t>
      </w:r>
      <w:r>
        <w:rPr>
          <w:sz w:val="21"/>
        </w:rPr>
        <w:t>医疗机</w:t>
      </w:r>
      <w:r>
        <w:rPr>
          <w:spacing w:val="-5"/>
          <w:sz w:val="21"/>
        </w:rPr>
        <w:t>构</w:t>
      </w:r>
      <w:r>
        <w:rPr>
          <w:sz w:val="21"/>
        </w:rPr>
        <w:t>根据致</w:t>
      </w:r>
      <w:r>
        <w:rPr>
          <w:spacing w:val="-5"/>
          <w:sz w:val="21"/>
        </w:rPr>
        <w:t>病</w:t>
      </w:r>
      <w:r>
        <w:rPr>
          <w:sz w:val="21"/>
        </w:rPr>
        <w:t>蛋白的</w:t>
      </w:r>
      <w:r>
        <w:rPr>
          <w:spacing w:val="-5"/>
          <w:sz w:val="21"/>
        </w:rPr>
        <w:t>发</w:t>
      </w:r>
      <w:r>
        <w:rPr>
          <w:sz w:val="21"/>
        </w:rPr>
        <w:t>现</w:t>
      </w:r>
      <w:r>
        <w:rPr>
          <w:spacing w:val="-5"/>
          <w:sz w:val="21"/>
        </w:rPr>
        <w:t>而</w:t>
      </w:r>
      <w:r>
        <w:rPr>
          <w:sz w:val="21"/>
        </w:rPr>
        <w:t>明确诊断。</w:t>
      </w:r>
    </w:p>
    <w:p>
      <w:pPr>
        <w:pStyle w:val="BodyText"/>
        <w:spacing w:before="6"/>
        <w:rPr>
          <w:sz w:val="15"/>
        </w:rPr>
      </w:pPr>
    </w:p>
    <w:p>
      <w:pPr>
        <w:pStyle w:val="ListParagraph"/>
        <w:numPr>
          <w:ilvl w:val="1"/>
          <w:numId w:val="7"/>
        </w:numPr>
        <w:tabs>
          <w:tab w:pos="1144" w:val="left" w:leader="none"/>
          <w:tab w:pos="1145" w:val="left" w:leader="none"/>
        </w:tabs>
        <w:spacing w:line="244" w:lineRule="auto" w:before="0" w:after="0"/>
        <w:ind w:left="2916" w:right="105" w:hanging="2804"/>
        <w:jc w:val="both"/>
        <w:rPr>
          <w:rFonts w:ascii="黑体" w:eastAsia="黑体" w:hint="eastAsia"/>
          <w:sz w:val="21"/>
        </w:rPr>
      </w:pPr>
      <w:r>
        <w:rPr>
          <w:rFonts w:ascii="Microsoft JhengHei" w:eastAsia="Microsoft JhengHei" w:hint="eastAsia"/>
          <w:b/>
          <w:spacing w:val="1"/>
          <w:sz w:val="21"/>
        </w:rPr>
        <w:t>埃博拉病毒感染   </w:t>
      </w:r>
      <w:r>
        <w:rPr>
          <w:spacing w:val="-5"/>
          <w:sz w:val="21"/>
        </w:rPr>
        <w:t>指埃博拉病毒感染导致的出血性发热。必须经本公司认可的医院的传染病专科医生确诊，</w:t>
      </w:r>
      <w:r>
        <w:rPr>
          <w:rFonts w:ascii="黑体" w:eastAsia="黑体" w:hint="eastAsia"/>
          <w:spacing w:val="-3"/>
          <w:sz w:val="21"/>
        </w:rPr>
        <w:t>并须满足下列全部条件：</w:t>
      </w:r>
    </w:p>
    <w:p>
      <w:pPr>
        <w:pStyle w:val="ListParagraph"/>
        <w:numPr>
          <w:ilvl w:val="0"/>
          <w:numId w:val="36"/>
        </w:numPr>
        <w:tabs>
          <w:tab w:pos="3650" w:val="left" w:leader="none"/>
          <w:tab w:pos="3651" w:val="left" w:leader="none"/>
        </w:tabs>
        <w:spacing w:line="240" w:lineRule="auto" w:before="114" w:after="0"/>
        <w:ind w:left="3650" w:right="0" w:hanging="734"/>
        <w:jc w:val="left"/>
        <w:rPr>
          <w:sz w:val="21"/>
        </w:rPr>
      </w:pPr>
      <w:r>
        <w:rPr>
          <w:spacing w:val="-4"/>
          <w:sz w:val="21"/>
        </w:rPr>
        <w:t>埃博拉病毒的存在必须经过实验室检查证实；</w:t>
      </w:r>
    </w:p>
    <w:p>
      <w:pPr>
        <w:pStyle w:val="ListParagraph"/>
        <w:numPr>
          <w:ilvl w:val="0"/>
          <w:numId w:val="36"/>
        </w:numPr>
        <w:tabs>
          <w:tab w:pos="3650" w:val="left" w:leader="none"/>
          <w:tab w:pos="3651" w:val="left" w:leader="none"/>
        </w:tabs>
        <w:spacing w:line="240" w:lineRule="auto" w:before="113" w:after="0"/>
        <w:ind w:left="3650" w:right="0" w:hanging="734"/>
        <w:jc w:val="left"/>
        <w:rPr>
          <w:sz w:val="21"/>
        </w:rPr>
      </w:pPr>
      <w:r>
        <w:rPr>
          <w:spacing w:val="-5"/>
          <w:sz w:val="21"/>
        </w:rPr>
        <w:t>存在皮肤粘膜出血，呕血，咯血，便血或血尿等临床表现；</w:t>
      </w:r>
    </w:p>
    <w:p>
      <w:pPr>
        <w:pStyle w:val="ListParagraph"/>
        <w:numPr>
          <w:ilvl w:val="0"/>
          <w:numId w:val="36"/>
        </w:numPr>
        <w:tabs>
          <w:tab w:pos="3650" w:val="left" w:leader="none"/>
          <w:tab w:pos="3651" w:val="left" w:leader="none"/>
        </w:tabs>
        <w:spacing w:line="240" w:lineRule="auto" w:before="118" w:after="0"/>
        <w:ind w:left="3650" w:right="0" w:hanging="734"/>
        <w:jc w:val="left"/>
        <w:rPr>
          <w:sz w:val="21"/>
        </w:rPr>
      </w:pPr>
      <w:r>
        <w:rPr>
          <w:spacing w:val="-6"/>
          <w:sz w:val="21"/>
        </w:rPr>
        <w:t>感染埃博拉病毒并出现出血性发热持续 </w:t>
      </w:r>
      <w:r>
        <w:rPr>
          <w:sz w:val="21"/>
        </w:rPr>
        <w:t>30</w:t>
      </w:r>
      <w:r>
        <w:rPr>
          <w:spacing w:val="-10"/>
          <w:sz w:val="21"/>
        </w:rPr>
        <w:t> 天以上。</w:t>
      </w:r>
    </w:p>
    <w:p>
      <w:pPr>
        <w:pStyle w:val="ListParagraph"/>
        <w:numPr>
          <w:ilvl w:val="0"/>
          <w:numId w:val="36"/>
        </w:numPr>
        <w:tabs>
          <w:tab w:pos="3650" w:val="left" w:leader="none"/>
          <w:tab w:pos="3651" w:val="left" w:leader="none"/>
        </w:tabs>
        <w:spacing w:line="240" w:lineRule="auto" w:before="113" w:after="0"/>
        <w:ind w:left="3650" w:right="0" w:hanging="734"/>
        <w:jc w:val="left"/>
        <w:rPr>
          <w:rFonts w:ascii="黑体" w:eastAsia="黑体" w:hint="eastAsia"/>
          <w:sz w:val="21"/>
        </w:rPr>
      </w:pPr>
      <w:r>
        <w:rPr>
          <w:rFonts w:ascii="黑体" w:eastAsia="黑体" w:hint="eastAsia"/>
          <w:spacing w:val="-5"/>
          <w:sz w:val="21"/>
        </w:rPr>
        <w:t>单纯实验室诊断但没有临床出血表现的不在保障范围内。</w:t>
      </w:r>
    </w:p>
    <w:p>
      <w:pPr>
        <w:pStyle w:val="BodyText"/>
        <w:spacing w:before="9"/>
        <w:rPr>
          <w:rFonts w:ascii="黑体"/>
          <w:sz w:val="16"/>
        </w:rPr>
      </w:pPr>
    </w:p>
    <w:p>
      <w:pPr>
        <w:pStyle w:val="ListParagraph"/>
        <w:numPr>
          <w:ilvl w:val="1"/>
          <w:numId w:val="7"/>
        </w:numPr>
        <w:tabs>
          <w:tab w:pos="1144" w:val="left" w:leader="none"/>
          <w:tab w:pos="1145" w:val="left" w:leader="none"/>
        </w:tabs>
        <w:spacing w:line="244" w:lineRule="auto" w:before="1" w:after="0"/>
        <w:ind w:left="2916" w:right="105" w:hanging="2804"/>
        <w:jc w:val="both"/>
        <w:rPr>
          <w:sz w:val="21"/>
        </w:rPr>
      </w:pPr>
      <w:r>
        <w:rPr>
          <w:rFonts w:ascii="Microsoft JhengHei" w:eastAsia="Microsoft JhengHei" w:hint="eastAsia"/>
          <w:b/>
          <w:spacing w:val="1"/>
          <w:sz w:val="21"/>
        </w:rPr>
        <w:t>失去一肢及一眼   </w:t>
      </w:r>
      <w:r>
        <w:rPr>
          <w:spacing w:val="-4"/>
          <w:sz w:val="21"/>
        </w:rPr>
        <w:t>因疾病或意外伤害导致单眼视力丧失及任何一肢自腕关节或踝关节近端</w:t>
      </w:r>
      <w:r>
        <w:rPr>
          <w:spacing w:val="-5"/>
          <w:sz w:val="21"/>
        </w:rPr>
        <w:t>（</w:t>
      </w:r>
      <w:r>
        <w:rPr>
          <w:sz w:val="21"/>
        </w:rPr>
        <w:t>靠近</w:t>
      </w:r>
      <w:r>
        <w:rPr>
          <w:spacing w:val="-1"/>
          <w:sz w:val="21"/>
        </w:rPr>
        <w:t>躯干端</w:t>
      </w:r>
      <w:r>
        <w:rPr>
          <w:sz w:val="21"/>
        </w:rPr>
        <w:t>）</w:t>
      </w:r>
      <w:r>
        <w:rPr>
          <w:spacing w:val="-3"/>
          <w:sz w:val="21"/>
        </w:rPr>
        <w:t>以上完全性断离。</w:t>
      </w:r>
    </w:p>
    <w:p>
      <w:pPr>
        <w:pStyle w:val="BodyText"/>
        <w:spacing w:before="114"/>
        <w:ind w:left="2916"/>
      </w:pPr>
      <w:r>
        <w:rPr/>
        <w:t>单眼视力丧失指单眼视力永久不可逆性丧失，患眼须满足下列至少一项条件：</w:t>
      </w:r>
    </w:p>
    <w:p>
      <w:pPr>
        <w:pStyle w:val="ListParagraph"/>
        <w:numPr>
          <w:ilvl w:val="0"/>
          <w:numId w:val="37"/>
        </w:numPr>
        <w:tabs>
          <w:tab w:pos="3650" w:val="left" w:leader="none"/>
          <w:tab w:pos="3651" w:val="left" w:leader="none"/>
        </w:tabs>
        <w:spacing w:line="240" w:lineRule="auto" w:before="113" w:after="0"/>
        <w:ind w:left="3650" w:right="0" w:hanging="734"/>
        <w:jc w:val="left"/>
        <w:rPr>
          <w:sz w:val="21"/>
        </w:rPr>
      </w:pPr>
      <w:r>
        <w:rPr>
          <w:spacing w:val="-1"/>
          <w:sz w:val="21"/>
        </w:rPr>
        <w:t>眼球缺失或摘除；</w:t>
      </w:r>
    </w:p>
    <w:p>
      <w:pPr>
        <w:pStyle w:val="ListParagraph"/>
        <w:numPr>
          <w:ilvl w:val="0"/>
          <w:numId w:val="37"/>
        </w:numPr>
        <w:tabs>
          <w:tab w:pos="3650" w:val="left" w:leader="none"/>
          <w:tab w:pos="3651" w:val="left" w:leader="none"/>
        </w:tabs>
        <w:spacing w:line="273" w:lineRule="auto" w:before="113" w:after="0"/>
        <w:ind w:left="3650" w:right="100" w:hanging="734"/>
        <w:jc w:val="left"/>
        <w:rPr>
          <w:sz w:val="21"/>
        </w:rPr>
      </w:pPr>
      <w:r>
        <w:rPr>
          <w:spacing w:val="2"/>
          <w:sz w:val="21"/>
        </w:rPr>
        <w:t>矫正视力低于 </w:t>
      </w:r>
      <w:r>
        <w:rPr>
          <w:sz w:val="21"/>
        </w:rPr>
        <w:t>0.02（</w:t>
      </w:r>
      <w:r>
        <w:rPr>
          <w:spacing w:val="-2"/>
          <w:sz w:val="21"/>
        </w:rPr>
        <w:t>采用国际标准视力表，如果使用其它视力表应进</w:t>
      </w:r>
      <w:r>
        <w:rPr>
          <w:spacing w:val="-2"/>
          <w:w w:val="100"/>
          <w:sz w:val="21"/>
        </w:rPr>
        <w:t>行换算</w:t>
      </w:r>
      <w:r>
        <w:rPr>
          <w:spacing w:val="-106"/>
          <w:w w:val="100"/>
          <w:sz w:val="21"/>
        </w:rPr>
        <w:t>）</w:t>
      </w:r>
      <w:r>
        <w:rPr>
          <w:w w:val="100"/>
          <w:sz w:val="21"/>
        </w:rPr>
        <w:t>；</w:t>
      </w:r>
    </w:p>
    <w:p>
      <w:pPr>
        <w:pStyle w:val="ListParagraph"/>
        <w:numPr>
          <w:ilvl w:val="0"/>
          <w:numId w:val="37"/>
        </w:numPr>
        <w:tabs>
          <w:tab w:pos="3650" w:val="left" w:leader="none"/>
          <w:tab w:pos="3651" w:val="left" w:leader="none"/>
        </w:tabs>
        <w:spacing w:line="240" w:lineRule="auto" w:before="88" w:after="0"/>
        <w:ind w:left="3650" w:right="0" w:hanging="734"/>
        <w:jc w:val="left"/>
        <w:rPr>
          <w:sz w:val="21"/>
        </w:rPr>
      </w:pPr>
      <w:r>
        <w:rPr>
          <w:spacing w:val="-8"/>
          <w:sz w:val="21"/>
        </w:rPr>
        <w:t>视野半径小于 </w:t>
      </w:r>
      <w:r>
        <w:rPr>
          <w:sz w:val="21"/>
        </w:rPr>
        <w:t>5</w:t>
      </w:r>
      <w:r>
        <w:rPr>
          <w:spacing w:val="0"/>
          <w:sz w:val="21"/>
        </w:rPr>
        <w:t> 度。</w:t>
      </w:r>
    </w:p>
    <w:p>
      <w:pPr>
        <w:pStyle w:val="BodyText"/>
        <w:ind w:left="2916"/>
        <w:rPr>
          <w:rFonts w:ascii="黑体" w:eastAsia="黑体" w:hint="eastAsia"/>
        </w:rPr>
      </w:pPr>
      <w:r>
        <w:rPr>
          <w:rFonts w:ascii="黑体" w:eastAsia="黑体" w:hint="eastAsia"/>
        </w:rPr>
        <w:t>被保险人在 3 周岁之前因疾病导致单眼视力丧失不在保障范围内。</w:t>
      </w:r>
    </w:p>
    <w:p>
      <w:pPr>
        <w:pStyle w:val="BodyText"/>
        <w:spacing w:before="1"/>
        <w:rPr>
          <w:rFonts w:ascii="黑体"/>
          <w:sz w:val="19"/>
        </w:rPr>
      </w:pPr>
    </w:p>
    <w:p>
      <w:pPr>
        <w:spacing w:after="0"/>
        <w:rPr>
          <w:rFonts w:ascii="黑体"/>
          <w:sz w:val="19"/>
        </w:rPr>
        <w:sectPr>
          <w:pgSz w:w="11900" w:h="16840"/>
          <w:pgMar w:top="118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spacing w:val="8"/>
        </w:rPr>
        <w:t>特发性慢性肾上腺皮质功能减退</w:t>
      </w:r>
    </w:p>
    <w:p>
      <w:pPr>
        <w:pStyle w:val="BodyText"/>
        <w:spacing w:line="268" w:lineRule="auto" w:before="37"/>
        <w:ind w:left="112" w:right="105"/>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spacing w:after="0" w:line="268" w:lineRule="auto"/>
        <w:rPr>
          <w:rFonts w:ascii="黑体" w:eastAsia="黑体" w:hint="eastAsia"/>
        </w:rPr>
        <w:sectPr>
          <w:type w:val="continuous"/>
          <w:pgSz w:w="11900" w:h="16840"/>
          <w:pgMar w:top="560" w:bottom="280" w:left="1020" w:right="700"/>
          <w:cols w:num="2" w:equalWidth="0">
            <w:col w:w="2705" w:space="98"/>
            <w:col w:w="7377"/>
          </w:cols>
        </w:sectPr>
      </w:pPr>
    </w:p>
    <w:p>
      <w:pPr>
        <w:pStyle w:val="ListParagraph"/>
        <w:numPr>
          <w:ilvl w:val="0"/>
          <w:numId w:val="38"/>
        </w:numPr>
        <w:tabs>
          <w:tab w:pos="3690" w:val="left" w:leader="none"/>
          <w:tab w:pos="3691" w:val="left" w:leader="none"/>
        </w:tabs>
        <w:spacing w:line="240" w:lineRule="auto" w:before="21" w:after="0"/>
        <w:ind w:left="3690" w:right="0" w:hanging="734"/>
        <w:jc w:val="left"/>
        <w:rPr>
          <w:sz w:val="21"/>
        </w:rPr>
      </w:pPr>
      <w:r>
        <w:rPr>
          <w:spacing w:val="-3"/>
          <w:sz w:val="21"/>
        </w:rPr>
        <w:t>明确诊断，符合所有以下诊断标准；</w:t>
      </w:r>
    </w:p>
    <w:p>
      <w:pPr>
        <w:pStyle w:val="BodyText"/>
        <w:spacing w:before="107"/>
        <w:ind w:left="3676"/>
      </w:pPr>
      <w:r>
        <w:rPr>
          <w:sz w:val="22"/>
        </w:rPr>
        <w:t>① </w:t>
      </w:r>
      <w:r>
        <w:rPr/>
        <w:t>血浆促肾上腺皮质激素（ACTH）水平测定大于 100pg/ml；</w:t>
      </w:r>
    </w:p>
    <w:p>
      <w:pPr>
        <w:pStyle w:val="BodyText"/>
        <w:spacing w:line="266" w:lineRule="auto" w:before="105"/>
        <w:ind w:left="4036" w:right="159" w:hanging="360"/>
      </w:pPr>
      <w:r>
        <w:rPr>
          <w:spacing w:val="20"/>
          <w:sz w:val="22"/>
        </w:rPr>
        <w:t>② </w:t>
      </w:r>
      <w:r>
        <w:rPr>
          <w:spacing w:val="-6"/>
        </w:rPr>
        <w:t>血浆和尿游离皮质醇及尿 </w:t>
      </w:r>
      <w:r>
        <w:rPr/>
        <w:t>17</w:t>
      </w:r>
      <w:r>
        <w:rPr>
          <w:spacing w:val="-18"/>
        </w:rPr>
        <w:t> 羟皮质类固醇、</w:t>
      </w:r>
      <w:r>
        <w:rPr/>
        <w:t>17</w:t>
      </w:r>
      <w:r>
        <w:rPr>
          <w:spacing w:val="-8"/>
        </w:rPr>
        <w:t> 酮皮质类固醇测定、血浆肾素活性、血管紧张素Ⅱ和醛固酮测定，显示为原发性肾上腺</w:t>
      </w:r>
      <w:r>
        <w:rPr>
          <w:spacing w:val="-6"/>
        </w:rPr>
        <w:t>皮质功能减退症；</w:t>
      </w:r>
    </w:p>
    <w:p>
      <w:pPr>
        <w:pStyle w:val="BodyText"/>
        <w:spacing w:line="261" w:lineRule="auto" w:before="88"/>
        <w:ind w:left="4036" w:right="265" w:hanging="360"/>
      </w:pPr>
      <w:r>
        <w:rPr>
          <w:sz w:val="22"/>
        </w:rPr>
        <w:t>③ </w:t>
      </w:r>
      <w:r>
        <w:rPr/>
        <w:t>促肾上腺皮质激素（ACTH）刺激试验显示为原发性肾上腺皮质功能减退症。</w:t>
      </w:r>
    </w:p>
    <w:p>
      <w:pPr>
        <w:pStyle w:val="ListParagraph"/>
        <w:numPr>
          <w:ilvl w:val="0"/>
          <w:numId w:val="38"/>
        </w:numPr>
        <w:tabs>
          <w:tab w:pos="3690" w:val="left" w:leader="none"/>
          <w:tab w:pos="3691" w:val="left" w:leader="none"/>
        </w:tabs>
        <w:spacing w:line="240" w:lineRule="auto" w:before="100" w:after="0"/>
        <w:ind w:left="3690" w:right="0" w:hanging="734"/>
        <w:jc w:val="left"/>
        <w:rPr>
          <w:sz w:val="21"/>
        </w:rPr>
      </w:pPr>
      <w:r>
        <w:rPr>
          <w:spacing w:val="-6"/>
          <w:sz w:val="21"/>
        </w:rPr>
        <w:t>已经采用皮质类固醇替代治疗 </w:t>
      </w:r>
      <w:r>
        <w:rPr>
          <w:sz w:val="21"/>
        </w:rPr>
        <w:t>180</w:t>
      </w:r>
      <w:r>
        <w:rPr>
          <w:spacing w:val="-11"/>
          <w:sz w:val="21"/>
        </w:rPr>
        <w:t> 天以上。</w:t>
      </w:r>
    </w:p>
    <w:p>
      <w:pPr>
        <w:pStyle w:val="BodyText"/>
        <w:spacing w:line="273" w:lineRule="auto" w:before="114"/>
        <w:ind w:left="2956" w:right="265"/>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pStyle w:val="BodyText"/>
        <w:spacing w:before="11"/>
        <w:rPr>
          <w:rFonts w:ascii="黑体"/>
          <w:sz w:val="16"/>
        </w:rPr>
      </w:pPr>
    </w:p>
    <w:p>
      <w:pPr>
        <w:spacing w:after="0"/>
        <w:rPr>
          <w:rFonts w:ascii="黑体"/>
          <w:sz w:val="16"/>
        </w:rPr>
        <w:sectPr>
          <w:pgSz w:w="11900" w:h="16840"/>
          <w:pgMar w:top="1180" w:bottom="280" w:left="980" w:right="540"/>
        </w:sectPr>
      </w:pPr>
    </w:p>
    <w:p>
      <w:pPr>
        <w:pStyle w:val="Heading2"/>
        <w:numPr>
          <w:ilvl w:val="1"/>
          <w:numId w:val="7"/>
        </w:numPr>
        <w:tabs>
          <w:tab w:pos="1184" w:val="left" w:leader="none"/>
          <w:tab w:pos="1185" w:val="left" w:leader="none"/>
        </w:tabs>
        <w:spacing w:line="201" w:lineRule="auto" w:before="28" w:after="0"/>
        <w:ind w:left="1184" w:right="0" w:hanging="1032"/>
        <w:jc w:val="left"/>
      </w:pPr>
      <w:r>
        <w:rPr>
          <w:spacing w:val="8"/>
        </w:rPr>
        <w:t>严重感染性心内膜炎</w:t>
      </w:r>
    </w:p>
    <w:p>
      <w:pPr>
        <w:pStyle w:val="BodyText"/>
        <w:spacing w:before="37"/>
        <w:ind w:left="152"/>
        <w:rPr>
          <w:rFonts w:ascii="黑体" w:eastAsia="黑体" w:hint="eastAsia"/>
        </w:rPr>
      </w:pPr>
      <w:r>
        <w:rPr/>
        <w:br w:type="column"/>
      </w:r>
      <w:r>
        <w:rPr/>
        <w:t>是指由感染性微生物引致的心脏内膜炎症，</w:t>
      </w:r>
      <w:r>
        <w:rPr>
          <w:rFonts w:ascii="黑体" w:eastAsia="黑体" w:hint="eastAsia"/>
        </w:rPr>
        <w:t>并须符合下列全部条件：</w:t>
      </w:r>
    </w:p>
    <w:p>
      <w:pPr>
        <w:pStyle w:val="ListParagraph"/>
        <w:numPr>
          <w:ilvl w:val="0"/>
          <w:numId w:val="39"/>
        </w:numPr>
        <w:tabs>
          <w:tab w:pos="887" w:val="left" w:leader="none"/>
          <w:tab w:pos="888" w:val="left" w:leader="none"/>
        </w:tabs>
        <w:spacing w:line="240" w:lineRule="auto" w:before="114" w:after="0"/>
        <w:ind w:left="887" w:right="0" w:hanging="735"/>
        <w:jc w:val="left"/>
        <w:rPr>
          <w:sz w:val="21"/>
        </w:rPr>
      </w:pPr>
      <w:r>
        <w:rPr>
          <w:spacing w:val="-5"/>
          <w:sz w:val="21"/>
        </w:rPr>
        <w:t>血液细菌培养结果呈阳性，证明感染性微生物的存在；</w:t>
      </w:r>
    </w:p>
    <w:p>
      <w:pPr>
        <w:pStyle w:val="ListParagraph"/>
        <w:numPr>
          <w:ilvl w:val="0"/>
          <w:numId w:val="39"/>
        </w:numPr>
        <w:tabs>
          <w:tab w:pos="888" w:val="left" w:leader="none"/>
        </w:tabs>
        <w:spacing w:line="271" w:lineRule="auto" w:before="118" w:after="0"/>
        <w:ind w:left="887" w:right="265" w:hanging="735"/>
        <w:jc w:val="both"/>
        <w:rPr>
          <w:sz w:val="21"/>
        </w:rPr>
      </w:pPr>
      <w:r>
        <w:rPr>
          <w:spacing w:val="-9"/>
          <w:sz w:val="21"/>
        </w:rPr>
        <w:t>由感染性心内膜炎导致至少中度的心脏瓣膜功能不全</w:t>
      </w:r>
      <w:r>
        <w:rPr>
          <w:sz w:val="21"/>
        </w:rPr>
        <w:t>（</w:t>
      </w:r>
      <w:r>
        <w:rPr>
          <w:spacing w:val="-1"/>
          <w:sz w:val="21"/>
        </w:rPr>
        <w:t>即返流部分达百</w:t>
      </w:r>
      <w:r>
        <w:rPr>
          <w:spacing w:val="-2"/>
          <w:sz w:val="21"/>
        </w:rPr>
        <w:t>分之二十或以上</w:t>
      </w:r>
      <w:r>
        <w:rPr>
          <w:spacing w:val="-48"/>
          <w:sz w:val="21"/>
        </w:rPr>
        <w:t>）</w:t>
      </w:r>
      <w:r>
        <w:rPr>
          <w:spacing w:val="-8"/>
          <w:sz w:val="21"/>
        </w:rPr>
        <w:t>或中度的心脏瓣膜狭窄</w:t>
      </w:r>
      <w:r>
        <w:rPr>
          <w:sz w:val="21"/>
        </w:rPr>
        <w:t>（</w:t>
      </w:r>
      <w:r>
        <w:rPr>
          <w:spacing w:val="-4"/>
          <w:sz w:val="21"/>
        </w:rPr>
        <w:t>即心脏瓣面积为正常值的百</w:t>
      </w:r>
      <w:r>
        <w:rPr>
          <w:spacing w:val="-5"/>
          <w:w w:val="100"/>
          <w:sz w:val="21"/>
        </w:rPr>
        <w:t>分之三十或以下</w:t>
      </w:r>
      <w:r>
        <w:rPr>
          <w:spacing w:val="-106"/>
          <w:w w:val="100"/>
          <w:sz w:val="21"/>
        </w:rPr>
        <w:t>）</w:t>
      </w:r>
      <w:r>
        <w:rPr>
          <w:w w:val="100"/>
          <w:sz w:val="21"/>
        </w:rPr>
        <w:t>；</w:t>
      </w:r>
    </w:p>
    <w:p>
      <w:pPr>
        <w:pStyle w:val="ListParagraph"/>
        <w:numPr>
          <w:ilvl w:val="0"/>
          <w:numId w:val="39"/>
        </w:numPr>
        <w:tabs>
          <w:tab w:pos="887" w:val="left" w:leader="none"/>
          <w:tab w:pos="888" w:val="left" w:leader="none"/>
        </w:tabs>
        <w:spacing w:line="268" w:lineRule="auto" w:before="91" w:after="0"/>
        <w:ind w:left="887" w:right="266" w:hanging="735"/>
        <w:jc w:val="left"/>
        <w:rPr>
          <w:sz w:val="21"/>
        </w:rPr>
      </w:pPr>
      <w:r>
        <w:rPr>
          <w:sz w:val="21"/>
        </w:rPr>
        <w:t>感染性心内膜炎的诊断及瓣膜受损的严重程度必须由心脏病专科医生</w:t>
      </w:r>
      <w:r>
        <w:rPr>
          <w:spacing w:val="-5"/>
          <w:sz w:val="21"/>
        </w:rPr>
        <w:t>确定，并提供超声心动图或放射影像学检查结果报告以支持诊断。</w:t>
      </w:r>
    </w:p>
    <w:p>
      <w:pPr>
        <w:spacing w:after="0" w:line="268" w:lineRule="auto"/>
        <w:jc w:val="left"/>
        <w:rPr>
          <w:sz w:val="21"/>
        </w:rPr>
        <w:sectPr>
          <w:type w:val="continuous"/>
          <w:pgSz w:w="11900" w:h="16840"/>
          <w:pgMar w:top="560" w:bottom="280" w:left="980" w:right="540"/>
          <w:cols w:num="2" w:equalWidth="0">
            <w:col w:w="2745" w:space="58"/>
            <w:col w:w="7577"/>
          </w:cols>
        </w:sectPr>
      </w:pPr>
    </w:p>
    <w:p>
      <w:pPr>
        <w:pStyle w:val="BodyText"/>
        <w:spacing w:before="7"/>
        <w:rPr>
          <w:sz w:val="17"/>
        </w:rPr>
      </w:pPr>
    </w:p>
    <w:p>
      <w:pPr>
        <w:pStyle w:val="ListParagraph"/>
        <w:numPr>
          <w:ilvl w:val="1"/>
          <w:numId w:val="7"/>
        </w:numPr>
        <w:tabs>
          <w:tab w:pos="1184" w:val="left" w:leader="none"/>
          <w:tab w:pos="1185" w:val="left" w:leader="none"/>
          <w:tab w:pos="2955" w:val="left" w:leader="none"/>
        </w:tabs>
        <w:spacing w:line="308" w:lineRule="exact" w:before="36" w:after="0"/>
        <w:ind w:left="2956" w:right="265" w:hanging="2804"/>
        <w:jc w:val="left"/>
        <w:rPr>
          <w:sz w:val="21"/>
        </w:rPr>
      </w:pPr>
      <w:r>
        <w:rPr>
          <w:rFonts w:ascii="Microsoft JhengHei" w:eastAsia="Microsoft JhengHei" w:hint="eastAsia"/>
          <w:b/>
          <w:sz w:val="21"/>
        </w:rPr>
        <w:t>嗜铬细胞瘤</w:t>
        <w:tab/>
      </w:r>
      <w:r>
        <w:rPr>
          <w:sz w:val="21"/>
        </w:rPr>
        <w:t>指肾上腺或嗜铬组</w:t>
      </w:r>
      <w:r>
        <w:rPr>
          <w:spacing w:val="-5"/>
          <w:sz w:val="21"/>
        </w:rPr>
        <w:t>织</w:t>
      </w:r>
      <w:r>
        <w:rPr>
          <w:sz w:val="21"/>
        </w:rPr>
        <w:t>出现神经内</w:t>
      </w:r>
      <w:r>
        <w:rPr>
          <w:spacing w:val="-5"/>
          <w:sz w:val="21"/>
        </w:rPr>
        <w:t>分</w:t>
      </w:r>
      <w:r>
        <w:rPr>
          <w:sz w:val="21"/>
        </w:rPr>
        <w:t>泌肿瘤，并</w:t>
      </w:r>
      <w:r>
        <w:rPr>
          <w:spacing w:val="-5"/>
          <w:sz w:val="21"/>
        </w:rPr>
        <w:t>分</w:t>
      </w:r>
      <w:r>
        <w:rPr>
          <w:sz w:val="21"/>
        </w:rPr>
        <w:t>泌</w:t>
      </w:r>
      <w:r>
        <w:rPr>
          <w:spacing w:val="-5"/>
          <w:sz w:val="21"/>
        </w:rPr>
        <w:t>过</w:t>
      </w:r>
      <w:r>
        <w:rPr>
          <w:sz w:val="21"/>
        </w:rPr>
        <w:t>多的儿茶酚胺类，</w:t>
      </w:r>
      <w:r>
        <w:rPr>
          <w:spacing w:val="-5"/>
          <w:sz w:val="21"/>
        </w:rPr>
        <w:t>需</w:t>
      </w:r>
      <w:r>
        <w:rPr>
          <w:sz w:val="21"/>
        </w:rPr>
        <w:t>要确 实进行手</w:t>
      </w:r>
      <w:r>
        <w:rPr>
          <w:spacing w:val="-5"/>
          <w:sz w:val="21"/>
        </w:rPr>
        <w:t>术</w:t>
      </w:r>
      <w:r>
        <w:rPr>
          <w:sz w:val="21"/>
        </w:rPr>
        <w:t>以切除</w:t>
      </w:r>
      <w:r>
        <w:rPr>
          <w:spacing w:val="-5"/>
          <w:sz w:val="21"/>
        </w:rPr>
        <w:t>肿</w:t>
      </w:r>
      <w:r>
        <w:rPr>
          <w:sz w:val="21"/>
        </w:rPr>
        <w:t>瘤。</w:t>
      </w:r>
    </w:p>
    <w:p>
      <w:pPr>
        <w:pStyle w:val="BodyText"/>
        <w:spacing w:before="9"/>
        <w:rPr>
          <w:sz w:val="16"/>
        </w:rPr>
      </w:pPr>
    </w:p>
    <w:p>
      <w:pPr>
        <w:spacing w:after="0"/>
        <w:rPr>
          <w:sz w:val="16"/>
        </w:rPr>
        <w:sectPr>
          <w:type w:val="continuous"/>
          <w:pgSz w:w="11900" w:h="16840"/>
          <w:pgMar w:top="560" w:bottom="280" w:left="980" w:right="540"/>
        </w:sectPr>
      </w:pPr>
    </w:p>
    <w:p>
      <w:pPr>
        <w:pStyle w:val="Heading2"/>
        <w:numPr>
          <w:ilvl w:val="1"/>
          <w:numId w:val="7"/>
        </w:numPr>
        <w:tabs>
          <w:tab w:pos="1184" w:val="left" w:leader="none"/>
          <w:tab w:pos="1185" w:val="left" w:leader="none"/>
        </w:tabs>
        <w:spacing w:line="201" w:lineRule="auto" w:before="28" w:after="0"/>
        <w:ind w:left="1184" w:right="0" w:hanging="1032"/>
        <w:jc w:val="left"/>
      </w:pPr>
      <w:r>
        <w:rPr>
          <w:spacing w:val="8"/>
        </w:rPr>
        <w:t>严重自身免疫性肝炎</w:t>
      </w:r>
    </w:p>
    <w:p>
      <w:pPr>
        <w:pStyle w:val="BodyText"/>
        <w:spacing w:line="271" w:lineRule="auto" w:before="36"/>
        <w:ind w:left="152" w:right="265"/>
        <w:jc w:val="both"/>
        <w:rPr>
          <w:rFonts w:ascii="黑体" w:eastAsia="黑体" w:hint="eastAsia"/>
        </w:rPr>
      </w:pPr>
      <w:r>
        <w:rPr/>
        <w:br w:type="column"/>
      </w:r>
      <w:r>
        <w:rPr/>
        <w:t>自身免疫性肝炎是一种原因不明的慢性肝脏的坏死性炎性疾病，机体免疫机制被破坏，产生针对肝脏自身抗原的抗体导致自身免疫反应，从而破坏肝细胞造成肝脏炎症坏死。</w:t>
      </w:r>
      <w:r>
        <w:rPr>
          <w:rFonts w:ascii="黑体" w:eastAsia="黑体" w:hint="eastAsia"/>
        </w:rPr>
        <w:t>必须满足下列全部条件：</w:t>
      </w:r>
    </w:p>
    <w:p>
      <w:pPr>
        <w:pStyle w:val="ListParagraph"/>
        <w:numPr>
          <w:ilvl w:val="0"/>
          <w:numId w:val="40"/>
        </w:numPr>
        <w:tabs>
          <w:tab w:pos="887" w:val="left" w:leader="none"/>
          <w:tab w:pos="888" w:val="left" w:leader="none"/>
        </w:tabs>
        <w:spacing w:line="240" w:lineRule="auto" w:before="91" w:after="0"/>
        <w:ind w:left="887" w:right="0" w:hanging="735"/>
        <w:jc w:val="left"/>
        <w:rPr>
          <w:sz w:val="21"/>
        </w:rPr>
      </w:pPr>
      <w:r>
        <w:rPr>
          <w:sz w:val="21"/>
        </w:rPr>
        <w:t>高γ</w:t>
      </w:r>
      <w:r>
        <w:rPr>
          <w:spacing w:val="-2"/>
          <w:sz w:val="21"/>
        </w:rPr>
        <w:t>球蛋白血症；</w:t>
      </w:r>
    </w:p>
    <w:p>
      <w:pPr>
        <w:pStyle w:val="ListParagraph"/>
        <w:numPr>
          <w:ilvl w:val="0"/>
          <w:numId w:val="40"/>
        </w:numPr>
        <w:tabs>
          <w:tab w:pos="887" w:val="left" w:leader="none"/>
          <w:tab w:pos="888" w:val="left" w:leader="none"/>
        </w:tabs>
        <w:spacing w:line="268" w:lineRule="auto" w:before="118" w:after="0"/>
        <w:ind w:left="887" w:right="265" w:hanging="735"/>
        <w:jc w:val="left"/>
        <w:rPr>
          <w:sz w:val="21"/>
        </w:rPr>
      </w:pPr>
      <w:r>
        <w:rPr>
          <w:spacing w:val="-6"/>
          <w:sz w:val="21"/>
        </w:rPr>
        <w:t>血液中存在高水平的自身免疫抗体，如 </w:t>
      </w:r>
      <w:r>
        <w:rPr>
          <w:spacing w:val="-3"/>
          <w:sz w:val="21"/>
        </w:rPr>
        <w:t>ANA（抗核抗体</w:t>
      </w:r>
      <w:r>
        <w:rPr>
          <w:spacing w:val="-106"/>
          <w:sz w:val="21"/>
        </w:rPr>
        <w:t>）</w:t>
      </w:r>
      <w:r>
        <w:rPr>
          <w:spacing w:val="-10"/>
          <w:sz w:val="21"/>
        </w:rPr>
        <w:t>、</w:t>
      </w:r>
      <w:r>
        <w:rPr>
          <w:spacing w:val="-3"/>
          <w:sz w:val="21"/>
        </w:rPr>
        <w:t>SMA（</w:t>
      </w:r>
      <w:r>
        <w:rPr>
          <w:spacing w:val="-2"/>
          <w:sz w:val="21"/>
        </w:rPr>
        <w:t>抗平滑肌抗体</w:t>
      </w:r>
      <w:r>
        <w:rPr>
          <w:spacing w:val="-106"/>
          <w:sz w:val="21"/>
        </w:rPr>
        <w:t>）</w:t>
      </w:r>
      <w:r>
        <w:rPr>
          <w:spacing w:val="-18"/>
          <w:sz w:val="21"/>
        </w:rPr>
        <w:t>、抗 </w:t>
      </w:r>
      <w:r>
        <w:rPr>
          <w:sz w:val="21"/>
        </w:rPr>
        <w:t>LKM1</w:t>
      </w:r>
      <w:r>
        <w:rPr>
          <w:spacing w:val="-12"/>
          <w:sz w:val="21"/>
        </w:rPr>
        <w:t> 抗体或抗</w:t>
      </w:r>
      <w:r>
        <w:rPr>
          <w:sz w:val="21"/>
        </w:rPr>
        <w:t>-SLA/LP</w:t>
      </w:r>
      <w:r>
        <w:rPr>
          <w:spacing w:val="-14"/>
          <w:sz w:val="21"/>
        </w:rPr>
        <w:t> 抗体；</w:t>
      </w:r>
    </w:p>
    <w:p>
      <w:pPr>
        <w:pStyle w:val="ListParagraph"/>
        <w:numPr>
          <w:ilvl w:val="0"/>
          <w:numId w:val="40"/>
        </w:numPr>
        <w:tabs>
          <w:tab w:pos="888" w:val="left" w:leader="none"/>
        </w:tabs>
        <w:spacing w:line="240" w:lineRule="auto" w:before="93" w:after="0"/>
        <w:ind w:left="887" w:right="0" w:hanging="735"/>
        <w:jc w:val="both"/>
        <w:rPr>
          <w:sz w:val="21"/>
        </w:rPr>
      </w:pPr>
      <w:r>
        <w:rPr>
          <w:spacing w:val="-2"/>
          <w:sz w:val="21"/>
        </w:rPr>
        <w:t>肝脏活检证实免疫性肝炎；</w:t>
      </w:r>
    </w:p>
    <w:p>
      <w:pPr>
        <w:pStyle w:val="ListParagraph"/>
        <w:numPr>
          <w:ilvl w:val="0"/>
          <w:numId w:val="40"/>
        </w:numPr>
        <w:tabs>
          <w:tab w:pos="888" w:val="left" w:leader="none"/>
        </w:tabs>
        <w:spacing w:line="240" w:lineRule="auto" w:before="114" w:after="0"/>
        <w:ind w:left="887" w:right="0" w:hanging="735"/>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560" w:bottom="280" w:left="980" w:right="540"/>
          <w:cols w:num="2" w:equalWidth="0">
            <w:col w:w="2745" w:space="58"/>
            <w:col w:w="7577"/>
          </w:cols>
        </w:sectPr>
      </w:pPr>
    </w:p>
    <w:p>
      <w:pPr>
        <w:pStyle w:val="BodyText"/>
        <w:spacing w:before="10"/>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70"/>
        <w:gridCol w:w="7418"/>
      </w:tblGrid>
      <w:tr>
        <w:trPr>
          <w:trHeight w:val="1545" w:hRule="atLeast"/>
        </w:trPr>
        <w:tc>
          <w:tcPr>
            <w:tcW w:w="777" w:type="dxa"/>
          </w:tcPr>
          <w:p>
            <w:pPr>
              <w:pStyle w:val="TableParagraph"/>
              <w:spacing w:line="235" w:lineRule="exact"/>
              <w:ind w:left="50"/>
              <w:rPr>
                <w:rFonts w:ascii="Microsoft JhengHei"/>
                <w:b/>
                <w:sz w:val="21"/>
              </w:rPr>
            </w:pPr>
            <w:r>
              <w:rPr>
                <w:rFonts w:ascii="Microsoft JhengHei"/>
                <w:b/>
                <w:sz w:val="21"/>
              </w:rPr>
              <w:t>9.62</w:t>
            </w:r>
          </w:p>
        </w:tc>
        <w:tc>
          <w:tcPr>
            <w:tcW w:w="1970" w:type="dxa"/>
          </w:tcPr>
          <w:p>
            <w:pPr>
              <w:pStyle w:val="TableParagraph"/>
              <w:spacing w:line="206" w:lineRule="exact"/>
              <w:ind w:left="304"/>
              <w:rPr>
                <w:rFonts w:ascii="Microsoft JhengHei" w:eastAsia="Microsoft JhengHei" w:hint="eastAsia"/>
                <w:b/>
                <w:sz w:val="21"/>
              </w:rPr>
            </w:pPr>
            <w:r>
              <w:rPr>
                <w:rFonts w:ascii="Microsoft JhengHei" w:eastAsia="Microsoft JhengHei" w:hint="eastAsia"/>
                <w:b/>
                <w:sz w:val="21"/>
              </w:rPr>
              <w:t>疾病或外伤所致</w:t>
            </w:r>
          </w:p>
          <w:p>
            <w:pPr>
              <w:pStyle w:val="TableParagraph"/>
              <w:spacing w:line="336" w:lineRule="exact"/>
              <w:ind w:left="304"/>
              <w:rPr>
                <w:rFonts w:ascii="Microsoft JhengHei" w:eastAsia="Microsoft JhengHei" w:hint="eastAsia"/>
                <w:b/>
                <w:sz w:val="21"/>
              </w:rPr>
            </w:pPr>
            <w:r>
              <w:rPr>
                <w:rFonts w:ascii="Microsoft JhengHei" w:eastAsia="Microsoft JhengHei" w:hint="eastAsia"/>
                <w:b/>
                <w:sz w:val="21"/>
              </w:rPr>
              <w:t>智力障碍</w:t>
            </w:r>
          </w:p>
        </w:tc>
        <w:tc>
          <w:tcPr>
            <w:tcW w:w="7418" w:type="dxa"/>
          </w:tcPr>
          <w:p>
            <w:pPr>
              <w:pStyle w:val="TableParagraph"/>
              <w:spacing w:line="211" w:lineRule="exact"/>
              <w:ind w:left="106"/>
              <w:rPr>
                <w:sz w:val="21"/>
              </w:rPr>
            </w:pPr>
            <w:r>
              <w:rPr>
                <w:spacing w:val="-9"/>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42"/>
                <w:w w:val="100"/>
                <w:sz w:val="21"/>
              </w:rPr>
              <w:t>。根据智商</w:t>
            </w:r>
            <w:r>
              <w:rPr>
                <w:w w:val="100"/>
                <w:sz w:val="21"/>
              </w:rPr>
              <w:t>（</w:t>
            </w:r>
            <w:r>
              <w:rPr>
                <w:spacing w:val="-5"/>
                <w:w w:val="100"/>
                <w:sz w:val="21"/>
              </w:rPr>
              <w:t>I</w:t>
            </w:r>
            <w:r>
              <w:rPr>
                <w:spacing w:val="-1"/>
                <w:w w:val="100"/>
                <w:sz w:val="21"/>
              </w:rPr>
              <w:t>Q</w:t>
            </w:r>
            <w:r>
              <w:rPr>
                <w:spacing w:val="-106"/>
                <w:w w:val="100"/>
                <w:sz w:val="21"/>
              </w:rPr>
              <w:t>）</w:t>
            </w:r>
            <w:r>
              <w:rPr>
                <w:w w:val="100"/>
                <w:sz w:val="21"/>
              </w:rPr>
              <w:t>，</w:t>
            </w:r>
          </w:p>
          <w:p>
            <w:pPr>
              <w:pStyle w:val="TableParagraph"/>
              <w:spacing w:before="32"/>
              <w:ind w:left="106"/>
              <w:rPr>
                <w:sz w:val="21"/>
              </w:rPr>
            </w:pPr>
            <w:r>
              <w:rPr>
                <w:spacing w:val="-7"/>
                <w:w w:val="100"/>
                <w:sz w:val="21"/>
              </w:rPr>
              <w:t>智力低常分为轻度</w:t>
            </w:r>
            <w:r>
              <w:rPr>
                <w:w w:val="100"/>
                <w:sz w:val="21"/>
              </w:rPr>
              <w:t>（I</w:t>
            </w:r>
            <w:r>
              <w:rPr>
                <w:spacing w:val="-5"/>
                <w:w w:val="100"/>
                <w:sz w:val="21"/>
              </w:rPr>
              <w:t>Q</w:t>
            </w:r>
            <w:r>
              <w:rPr>
                <w:w w:val="100"/>
                <w:sz w:val="21"/>
              </w:rPr>
              <w:t>5</w:t>
            </w:r>
            <w:r>
              <w:rPr>
                <w:spacing w:val="-1"/>
                <w:w w:val="100"/>
                <w:sz w:val="21"/>
              </w:rPr>
              <w:t>0</w:t>
            </w:r>
            <w:r>
              <w:rPr>
                <w:w w:val="100"/>
                <w:sz w:val="21"/>
              </w:rPr>
              <w:t>-69</w:t>
            </w:r>
            <w:r>
              <w:rPr>
                <w:spacing w:val="-106"/>
                <w:w w:val="100"/>
                <w:sz w:val="21"/>
              </w:rPr>
              <w:t>）</w:t>
            </w:r>
            <w:r>
              <w:rPr>
                <w:spacing w:val="-32"/>
                <w:w w:val="100"/>
                <w:sz w:val="21"/>
              </w:rPr>
              <w:t>、中度</w:t>
            </w:r>
            <w:r>
              <w:rPr>
                <w:w w:val="100"/>
                <w:sz w:val="21"/>
              </w:rPr>
              <w:t>（I</w:t>
            </w:r>
            <w:r>
              <w:rPr>
                <w:spacing w:val="-5"/>
                <w:w w:val="100"/>
                <w:sz w:val="21"/>
              </w:rPr>
              <w:t>Q</w:t>
            </w:r>
            <w:r>
              <w:rPr>
                <w:w w:val="100"/>
                <w:sz w:val="21"/>
              </w:rPr>
              <w:t>3</w:t>
            </w:r>
            <w:r>
              <w:rPr>
                <w:spacing w:val="-1"/>
                <w:w w:val="100"/>
                <w:sz w:val="21"/>
              </w:rPr>
              <w:t>5</w:t>
            </w:r>
            <w:r>
              <w:rPr>
                <w:w w:val="100"/>
                <w:sz w:val="21"/>
              </w:rPr>
              <w:t>-49</w:t>
            </w:r>
            <w:r>
              <w:rPr>
                <w:spacing w:val="-106"/>
                <w:w w:val="100"/>
                <w:sz w:val="21"/>
              </w:rPr>
              <w:t>）</w:t>
            </w:r>
            <w:r>
              <w:rPr>
                <w:spacing w:val="-33"/>
                <w:w w:val="100"/>
                <w:sz w:val="21"/>
              </w:rPr>
              <w:t>、重度</w:t>
            </w:r>
            <w:r>
              <w:rPr>
                <w:w w:val="100"/>
                <w:sz w:val="21"/>
              </w:rPr>
              <w:t>（IQ20-34</w:t>
            </w:r>
            <w:r>
              <w:rPr>
                <w:spacing w:val="-48"/>
                <w:w w:val="100"/>
                <w:sz w:val="21"/>
              </w:rPr>
              <w:t>）</w:t>
            </w:r>
            <w:r>
              <w:rPr>
                <w:spacing w:val="-11"/>
                <w:w w:val="100"/>
                <w:sz w:val="21"/>
              </w:rPr>
              <w:t>和极重度</w:t>
            </w:r>
            <w:r>
              <w:rPr>
                <w:spacing w:val="-5"/>
                <w:w w:val="100"/>
                <w:sz w:val="21"/>
              </w:rPr>
              <w:t>（</w:t>
            </w:r>
            <w:r>
              <w:rPr>
                <w:w w:val="100"/>
                <w:sz w:val="21"/>
              </w:rPr>
              <w:t>IQ</w:t>
            </w:r>
          </w:p>
          <w:p>
            <w:pPr>
              <w:pStyle w:val="TableParagraph"/>
              <w:spacing w:line="273" w:lineRule="auto" w:before="37"/>
              <w:ind w:left="106" w:right="148"/>
              <w:jc w:val="both"/>
              <w:rPr>
                <w:sz w:val="21"/>
              </w:rPr>
            </w:pPr>
            <w:r>
              <w:rPr>
                <w:w w:val="100"/>
                <w:sz w:val="21"/>
              </w:rPr>
              <w:t>＜20</w:t>
            </w:r>
            <w:r>
              <w:rPr>
                <w:spacing w:val="-106"/>
                <w:w w:val="100"/>
                <w:sz w:val="21"/>
              </w:rPr>
              <w:t>）</w:t>
            </w:r>
            <w:r>
              <w:rPr>
                <w:spacing w:val="-10"/>
                <w:w w:val="100"/>
                <w:sz w:val="21"/>
              </w:rPr>
              <w:t>。根据被保险人年龄采用对应的智力量表如韦克斯勒智力量表</w:t>
            </w:r>
            <w:r>
              <w:rPr>
                <w:w w:val="100"/>
                <w:sz w:val="21"/>
              </w:rPr>
              <w:t>（</w:t>
            </w:r>
            <w:r>
              <w:rPr>
                <w:spacing w:val="-2"/>
                <w:w w:val="100"/>
                <w:sz w:val="21"/>
              </w:rPr>
              <w:t>儿童智力</w:t>
            </w:r>
            <w:r>
              <w:rPr>
                <w:spacing w:val="-3"/>
                <w:sz w:val="21"/>
              </w:rPr>
              <w:t>量表或成人智力量表</w:t>
            </w:r>
            <w:r>
              <w:rPr>
                <w:sz w:val="21"/>
              </w:rPr>
              <w:t>）</w:t>
            </w:r>
            <w:r>
              <w:rPr>
                <w:spacing w:val="-4"/>
                <w:sz w:val="21"/>
              </w:rPr>
              <w:t>检测证实，智商的检测必须由本公司认可的医院的儿童</w:t>
            </w:r>
            <w:r>
              <w:rPr>
                <w:spacing w:val="-5"/>
                <w:sz w:val="21"/>
              </w:rPr>
              <w:t>或成人精神卫生科、心理科或神经科专科医生进行。</w:t>
            </w:r>
          </w:p>
        </w:tc>
      </w:tr>
      <w:tr>
        <w:trPr>
          <w:trHeight w:val="391" w:hRule="atLeast"/>
        </w:trPr>
        <w:tc>
          <w:tcPr>
            <w:tcW w:w="2747" w:type="dxa"/>
            <w:gridSpan w:val="2"/>
            <w:vMerge w:val="restart"/>
          </w:tcPr>
          <w:p>
            <w:pPr>
              <w:pStyle w:val="TableParagraph"/>
              <w:rPr>
                <w:rFonts w:ascii="Times New Roman"/>
                <w:sz w:val="20"/>
              </w:rPr>
            </w:pPr>
          </w:p>
        </w:tc>
        <w:tc>
          <w:tcPr>
            <w:tcW w:w="7418" w:type="dxa"/>
          </w:tcPr>
          <w:p>
            <w:pPr>
              <w:pStyle w:val="TableParagraph"/>
              <w:spacing w:before="27"/>
              <w:ind w:left="106"/>
              <w:rPr>
                <w:rFonts w:ascii="黑体" w:eastAsia="黑体" w:hint="eastAsia"/>
                <w:sz w:val="21"/>
              </w:rPr>
            </w:pPr>
            <w:r>
              <w:rPr>
                <w:rFonts w:ascii="黑体" w:eastAsia="黑体" w:hint="eastAsia"/>
                <w:sz w:val="21"/>
              </w:rPr>
              <w:t>理赔时必须满足下列全部条件：</w:t>
            </w:r>
          </w:p>
        </w:tc>
      </w:tr>
      <w:tr>
        <w:trPr>
          <w:trHeight w:val="703" w:hRule="atLeast"/>
        </w:trPr>
        <w:tc>
          <w:tcPr>
            <w:tcW w:w="2747" w:type="dxa"/>
            <w:gridSpan w:val="2"/>
            <w:vMerge/>
            <w:tcBorders>
              <w:top w:val="nil"/>
            </w:tcBorders>
          </w:tcPr>
          <w:p>
            <w:pPr>
              <w:rPr>
                <w:sz w:val="2"/>
                <w:szCs w:val="2"/>
              </w:rPr>
            </w:pPr>
          </w:p>
        </w:tc>
        <w:tc>
          <w:tcPr>
            <w:tcW w:w="7418" w:type="dxa"/>
          </w:tcPr>
          <w:p>
            <w:pPr>
              <w:pStyle w:val="TableParagraph"/>
              <w:tabs>
                <w:tab w:pos="840" w:val="left" w:leader="none"/>
              </w:tabs>
              <w:spacing w:line="273" w:lineRule="auto" w:before="25"/>
              <w:ind w:left="840" w:right="148" w:hanging="735"/>
              <w:rPr>
                <w:sz w:val="21"/>
              </w:rPr>
            </w:pPr>
            <w:r>
              <w:rPr>
                <w:sz w:val="21"/>
              </w:rPr>
              <w:t>（1）</w:t>
              <w:tab/>
            </w:r>
            <w:r>
              <w:rPr>
                <w:spacing w:val="-6"/>
                <w:sz w:val="21"/>
              </w:rPr>
              <w:t>造成被保险人智力低常</w:t>
            </w:r>
            <w:r>
              <w:rPr>
                <w:sz w:val="21"/>
              </w:rPr>
              <w:t>（</w:t>
            </w:r>
            <w:r>
              <w:rPr>
                <w:spacing w:val="-3"/>
                <w:sz w:val="21"/>
              </w:rPr>
              <w:t>智力低于常态</w:t>
            </w:r>
            <w:r>
              <w:rPr>
                <w:spacing w:val="-29"/>
                <w:sz w:val="21"/>
              </w:rPr>
              <w:t>）</w:t>
            </w:r>
            <w:r>
              <w:rPr>
                <w:spacing w:val="-7"/>
                <w:sz w:val="21"/>
              </w:rPr>
              <w:t>的严重头部创伤或疾病</w:t>
            </w:r>
            <w:r>
              <w:rPr>
                <w:sz w:val="21"/>
              </w:rPr>
              <w:t>（以入 </w:t>
            </w:r>
            <w:r>
              <w:rPr>
                <w:spacing w:val="-1"/>
                <w:sz w:val="21"/>
              </w:rPr>
              <w:t>院日期为准</w:t>
            </w:r>
            <w:r>
              <w:rPr>
                <w:sz w:val="21"/>
              </w:rPr>
              <w:t>）</w:t>
            </w:r>
            <w:r>
              <w:rPr>
                <w:spacing w:val="-8"/>
                <w:sz w:val="21"/>
              </w:rPr>
              <w:t>发生在被保险人 </w:t>
            </w:r>
            <w:r>
              <w:rPr>
                <w:sz w:val="21"/>
              </w:rPr>
              <w:t>6</w:t>
            </w:r>
            <w:r>
              <w:rPr>
                <w:spacing w:val="-9"/>
                <w:sz w:val="21"/>
              </w:rPr>
              <w:t> 周岁以后；</w:t>
            </w:r>
          </w:p>
        </w:tc>
      </w:tr>
      <w:tr>
        <w:trPr>
          <w:trHeight w:val="700" w:hRule="atLeast"/>
        </w:trPr>
        <w:tc>
          <w:tcPr>
            <w:tcW w:w="2747" w:type="dxa"/>
            <w:gridSpan w:val="2"/>
            <w:vMerge/>
            <w:tcBorders>
              <w:top w:val="nil"/>
            </w:tcBorders>
          </w:tcPr>
          <w:p>
            <w:pPr>
              <w:rPr>
                <w:sz w:val="2"/>
                <w:szCs w:val="2"/>
              </w:rPr>
            </w:pPr>
          </w:p>
        </w:tc>
        <w:tc>
          <w:tcPr>
            <w:tcW w:w="7418" w:type="dxa"/>
          </w:tcPr>
          <w:p>
            <w:pPr>
              <w:pStyle w:val="TableParagraph"/>
              <w:tabs>
                <w:tab w:pos="840" w:val="left" w:leader="none"/>
              </w:tabs>
              <w:spacing w:line="268" w:lineRule="auto" w:before="27"/>
              <w:ind w:left="840" w:right="157" w:hanging="735"/>
              <w:rPr>
                <w:sz w:val="21"/>
              </w:rPr>
            </w:pPr>
            <w:r>
              <w:rPr>
                <w:sz w:val="21"/>
              </w:rPr>
              <w:t>（2）</w:t>
              <w:tab/>
              <w:t>本公司认可的医院的专科医师确诊被保险人由于严重头部创伤或疾病 </w:t>
            </w:r>
            <w:r>
              <w:rPr>
                <w:spacing w:val="-1"/>
                <w:sz w:val="21"/>
              </w:rPr>
              <w:t>造成智力低常；</w:t>
            </w:r>
          </w:p>
        </w:tc>
      </w:tr>
      <w:tr>
        <w:trPr>
          <w:trHeight w:val="350" w:hRule="atLeast"/>
        </w:trPr>
        <w:tc>
          <w:tcPr>
            <w:tcW w:w="2747" w:type="dxa"/>
            <w:gridSpan w:val="2"/>
            <w:vMerge/>
            <w:tcBorders>
              <w:top w:val="nil"/>
            </w:tcBorders>
          </w:tcPr>
          <w:p>
            <w:pPr>
              <w:rPr>
                <w:sz w:val="2"/>
                <w:szCs w:val="2"/>
              </w:rPr>
            </w:pPr>
          </w:p>
        </w:tc>
        <w:tc>
          <w:tcPr>
            <w:tcW w:w="7418" w:type="dxa"/>
          </w:tcPr>
          <w:p>
            <w:pPr>
              <w:pStyle w:val="TableParagraph"/>
              <w:tabs>
                <w:tab w:pos="840" w:val="left" w:leader="none"/>
              </w:tabs>
              <w:spacing w:before="27"/>
              <w:ind w:left="106"/>
              <w:rPr>
                <w:sz w:val="21"/>
              </w:rPr>
            </w:pPr>
            <w:r>
              <w:rPr>
                <w:sz w:val="21"/>
              </w:rPr>
              <w:t>（3）</w:t>
              <w:tab/>
            </w:r>
            <w:r>
              <w:rPr>
                <w:spacing w:val="-9"/>
                <w:sz w:val="21"/>
              </w:rPr>
              <w:t>本公司认可的医院的儿童或成人精神卫生科、心理科或神经科专科医生</w:t>
            </w:r>
          </w:p>
        </w:tc>
      </w:tr>
      <w:tr>
        <w:trPr>
          <w:trHeight w:val="259" w:hRule="atLeast"/>
        </w:trPr>
        <w:tc>
          <w:tcPr>
            <w:tcW w:w="2747" w:type="dxa"/>
            <w:gridSpan w:val="2"/>
            <w:vMerge/>
            <w:tcBorders>
              <w:top w:val="nil"/>
            </w:tcBorders>
          </w:tcPr>
          <w:p>
            <w:pPr>
              <w:rPr>
                <w:sz w:val="2"/>
                <w:szCs w:val="2"/>
              </w:rPr>
            </w:pPr>
          </w:p>
        </w:tc>
        <w:tc>
          <w:tcPr>
            <w:tcW w:w="7418" w:type="dxa"/>
          </w:tcPr>
          <w:p>
            <w:pPr>
              <w:pStyle w:val="TableParagraph"/>
              <w:spacing w:line="239" w:lineRule="exact"/>
              <w:ind w:left="840"/>
              <w:rPr>
                <w:sz w:val="21"/>
              </w:rPr>
            </w:pPr>
            <w:r>
              <w:rPr>
                <w:spacing w:val="-2"/>
                <w:w w:val="100"/>
                <w:sz w:val="21"/>
              </w:rPr>
              <w:t>证实被保险人智力低常</w:t>
            </w:r>
            <w:r>
              <w:rPr>
                <w:spacing w:val="-53"/>
                <w:sz w:val="21"/>
              </w:rPr>
              <w:t> </w:t>
            </w:r>
            <w:r>
              <w:rPr>
                <w:w w:val="100"/>
                <w:sz w:val="21"/>
              </w:rPr>
              <w:t>IQ＜5</w:t>
            </w:r>
            <w:r>
              <w:rPr>
                <w:spacing w:val="-5"/>
                <w:w w:val="100"/>
                <w:sz w:val="21"/>
              </w:rPr>
              <w:t>0</w:t>
            </w:r>
            <w:r>
              <w:rPr>
                <w:spacing w:val="-106"/>
                <w:w w:val="100"/>
                <w:sz w:val="21"/>
              </w:rPr>
              <w:t>）</w:t>
            </w:r>
            <w:r>
              <w:rPr>
                <w:spacing w:val="-1"/>
                <w:w w:val="100"/>
                <w:sz w:val="21"/>
              </w:rPr>
              <w:t>（</w:t>
            </w:r>
            <w:r>
              <w:rPr>
                <w:spacing w:val="-4"/>
                <w:w w:val="100"/>
                <w:sz w:val="21"/>
              </w:rPr>
              <w:t>中度、重度或极重度</w:t>
            </w:r>
            <w:r>
              <w:rPr>
                <w:spacing w:val="-106"/>
                <w:w w:val="100"/>
                <w:sz w:val="21"/>
              </w:rPr>
              <w:t>）</w:t>
            </w:r>
            <w:r>
              <w:rPr>
                <w:w w:val="100"/>
                <w:sz w:val="21"/>
              </w:rPr>
              <w:t>；</w:t>
            </w:r>
          </w:p>
        </w:tc>
      </w:tr>
    </w:tbl>
    <w:p>
      <w:pPr>
        <w:spacing w:after="0" w:line="239" w:lineRule="exact"/>
        <w:rPr>
          <w:sz w:val="21"/>
        </w:rPr>
        <w:sectPr>
          <w:type w:val="continuous"/>
          <w:pgSz w:w="11900" w:h="16840"/>
          <w:pgMar w:top="560" w:bottom="280" w:left="980" w:right="540"/>
        </w:sectPr>
      </w:pPr>
    </w:p>
    <w:p>
      <w:pPr>
        <w:pStyle w:val="BodyText"/>
        <w:tabs>
          <w:tab w:pos="3690" w:val="left" w:leader="none"/>
        </w:tabs>
        <w:spacing w:before="21"/>
        <w:ind w:left="2956"/>
      </w:pPr>
      <w:r>
        <w:rPr/>
        <w:t>（4）</w:t>
        <w:tab/>
      </w:r>
      <w:r>
        <w:rPr>
          <w:spacing w:val="-6"/>
        </w:rPr>
        <w:t>被保险人的智力低常自确认日起持续 </w:t>
      </w:r>
      <w:r>
        <w:rPr/>
        <w:t>180</w:t>
      </w:r>
      <w:r>
        <w:rPr>
          <w:spacing w:val="-11"/>
        </w:rPr>
        <w:t> 天以上。</w:t>
      </w:r>
    </w:p>
    <w:p>
      <w:pPr>
        <w:pStyle w:val="BodyText"/>
        <w:spacing w:before="1"/>
        <w:rPr>
          <w:sz w:val="19"/>
        </w:rPr>
      </w:pPr>
    </w:p>
    <w:p>
      <w:pPr>
        <w:spacing w:after="0"/>
        <w:rPr>
          <w:sz w:val="19"/>
        </w:rPr>
        <w:sectPr>
          <w:pgSz w:w="11900" w:h="16840"/>
          <w:pgMar w:top="1180" w:bottom="280" w:left="980" w:right="540"/>
        </w:sectPr>
      </w:pPr>
    </w:p>
    <w:p>
      <w:pPr>
        <w:pStyle w:val="Heading2"/>
        <w:numPr>
          <w:ilvl w:val="1"/>
          <w:numId w:val="41"/>
        </w:numPr>
        <w:tabs>
          <w:tab w:pos="1184" w:val="left" w:leader="none"/>
          <w:tab w:pos="1185" w:val="left" w:leader="none"/>
        </w:tabs>
        <w:spacing w:line="201" w:lineRule="auto" w:before="28" w:after="0"/>
        <w:ind w:left="1184" w:right="0" w:hanging="1032"/>
        <w:jc w:val="left"/>
      </w:pPr>
      <w:r>
        <w:rPr>
          <w:spacing w:val="8"/>
        </w:rPr>
        <w:t>自体造血干细胞移植术</w:t>
      </w:r>
    </w:p>
    <w:p>
      <w:pPr>
        <w:pStyle w:val="BodyText"/>
        <w:spacing w:line="271" w:lineRule="auto" w:before="37"/>
        <w:ind w:left="152" w:right="265"/>
        <w:jc w:val="both"/>
      </w:pPr>
      <w:r>
        <w:rPr/>
        <w:br w:type="column"/>
      </w:r>
      <w:r>
        <w:rPr/>
        <w:t>为治疗造血功能损害或造血系统恶性肿瘤，已经实施了造血干细胞（包括骨髓造血干细胞、外周血造血干细胞和脐血造血干细胞）的自体移植手术。该治疗须由专科医生认为在临床上是必需的。</w:t>
      </w:r>
    </w:p>
    <w:p>
      <w:pPr>
        <w:spacing w:after="0" w:line="271" w:lineRule="auto"/>
        <w:jc w:val="both"/>
        <w:sectPr>
          <w:type w:val="continuous"/>
          <w:pgSz w:w="11900" w:h="16840"/>
          <w:pgMar w:top="560" w:bottom="280" w:left="980" w:right="540"/>
          <w:cols w:num="2" w:equalWidth="0">
            <w:col w:w="2745" w:space="58"/>
            <w:col w:w="7577"/>
          </w:cols>
        </w:sectPr>
      </w:pPr>
    </w:p>
    <w:p>
      <w:pPr>
        <w:pStyle w:val="BodyText"/>
        <w:spacing w:before="5"/>
        <w:rPr>
          <w:sz w:val="17"/>
        </w:rPr>
      </w:pPr>
    </w:p>
    <w:p>
      <w:pPr>
        <w:pStyle w:val="ListParagraph"/>
        <w:numPr>
          <w:ilvl w:val="1"/>
          <w:numId w:val="41"/>
        </w:numPr>
        <w:tabs>
          <w:tab w:pos="1184" w:val="left" w:leader="none"/>
          <w:tab w:pos="1185" w:val="left" w:leader="none"/>
          <w:tab w:pos="2955" w:val="left" w:leader="none"/>
        </w:tabs>
        <w:spacing w:line="308" w:lineRule="exact" w:before="35" w:after="0"/>
        <w:ind w:left="2956" w:right="265" w:hanging="2804"/>
        <w:jc w:val="left"/>
        <w:rPr>
          <w:sz w:val="21"/>
        </w:rPr>
      </w:pPr>
      <w:r>
        <w:rPr>
          <w:rFonts w:ascii="Microsoft JhengHei" w:eastAsia="Microsoft JhengHei" w:hint="eastAsia"/>
          <w:b/>
          <w:sz w:val="21"/>
        </w:rPr>
        <w:t>严重瑞氏综合征</w:t>
        <w:tab/>
      </w:r>
      <w:r>
        <w:rPr>
          <w:sz w:val="21"/>
        </w:rPr>
        <w:t>瑞氏综合征是线粒</w:t>
      </w:r>
      <w:r>
        <w:rPr>
          <w:spacing w:val="-5"/>
          <w:sz w:val="21"/>
        </w:rPr>
        <w:t>体</w:t>
      </w:r>
      <w:r>
        <w:rPr>
          <w:sz w:val="21"/>
        </w:rPr>
        <w:t>功能障碍性</w:t>
      </w:r>
      <w:r>
        <w:rPr>
          <w:spacing w:val="-5"/>
          <w:sz w:val="21"/>
        </w:rPr>
        <w:t>疾</w:t>
      </w:r>
      <w:r>
        <w:rPr>
          <w:sz w:val="21"/>
        </w:rPr>
        <w:t>病。导致脂</w:t>
      </w:r>
      <w:r>
        <w:rPr>
          <w:spacing w:val="-5"/>
          <w:sz w:val="21"/>
        </w:rPr>
        <w:t>肪</w:t>
      </w:r>
      <w:r>
        <w:rPr>
          <w:sz w:val="21"/>
        </w:rPr>
        <w:t>代</w:t>
      </w:r>
      <w:r>
        <w:rPr>
          <w:spacing w:val="-5"/>
          <w:sz w:val="21"/>
        </w:rPr>
        <w:t>谢</w:t>
      </w:r>
      <w:r>
        <w:rPr>
          <w:sz w:val="21"/>
        </w:rPr>
        <w:t>障碍，引起短链脂</w:t>
      </w:r>
      <w:r>
        <w:rPr>
          <w:spacing w:val="-5"/>
          <w:sz w:val="21"/>
        </w:rPr>
        <w:t>肪</w:t>
      </w:r>
      <w:r>
        <w:rPr>
          <w:sz w:val="21"/>
        </w:rPr>
        <w:t>酸、 血氨升高，造成脑</w:t>
      </w:r>
      <w:r>
        <w:rPr>
          <w:spacing w:val="-5"/>
          <w:sz w:val="21"/>
        </w:rPr>
        <w:t>水</w:t>
      </w:r>
      <w:r>
        <w:rPr>
          <w:sz w:val="21"/>
        </w:rPr>
        <w:t>肿。主要临</w:t>
      </w:r>
      <w:r>
        <w:rPr>
          <w:spacing w:val="-5"/>
          <w:sz w:val="21"/>
        </w:rPr>
        <w:t>床</w:t>
      </w:r>
      <w:r>
        <w:rPr>
          <w:sz w:val="21"/>
        </w:rPr>
        <w:t>表现为急性</w:t>
      </w:r>
      <w:r>
        <w:rPr>
          <w:spacing w:val="-5"/>
          <w:sz w:val="21"/>
        </w:rPr>
        <w:t>发</w:t>
      </w:r>
      <w:r>
        <w:rPr>
          <w:sz w:val="21"/>
        </w:rPr>
        <w:t>热</w:t>
      </w:r>
      <w:r>
        <w:rPr>
          <w:spacing w:val="-5"/>
          <w:sz w:val="21"/>
        </w:rPr>
        <w:t>、</w:t>
      </w:r>
      <w:r>
        <w:rPr>
          <w:sz w:val="21"/>
        </w:rPr>
        <w:t>反复呕吐、惊厥及</w:t>
      </w:r>
      <w:r>
        <w:rPr>
          <w:spacing w:val="-5"/>
          <w:sz w:val="21"/>
        </w:rPr>
        <w:t>意</w:t>
      </w:r>
      <w:r>
        <w:rPr>
          <w:sz w:val="21"/>
        </w:rPr>
        <w:t>识障</w:t>
      </w:r>
    </w:p>
    <w:p>
      <w:pPr>
        <w:pStyle w:val="BodyText"/>
        <w:spacing w:before="4"/>
        <w:ind w:left="2956"/>
        <w:rPr>
          <w:rFonts w:ascii="黑体" w:eastAsia="黑体" w:hint="eastAsia"/>
        </w:rPr>
      </w:pPr>
      <w:r>
        <w:rPr/>
        <w:t>碍等等。瑞氏综合征需由三级医院的专科医生确诊，</w:t>
      </w:r>
      <w:r>
        <w:rPr>
          <w:rFonts w:ascii="黑体" w:eastAsia="黑体" w:hint="eastAsia"/>
        </w:rPr>
        <w:t>并须满足下列全部条件：</w:t>
      </w:r>
    </w:p>
    <w:p>
      <w:pPr>
        <w:pStyle w:val="ListParagraph"/>
        <w:numPr>
          <w:ilvl w:val="2"/>
          <w:numId w:val="41"/>
        </w:numPr>
        <w:tabs>
          <w:tab w:pos="3690" w:val="left" w:leader="none"/>
          <w:tab w:pos="3691" w:val="left" w:leader="none"/>
        </w:tabs>
        <w:spacing w:line="240" w:lineRule="auto" w:before="118" w:after="0"/>
        <w:ind w:left="3690" w:right="0" w:hanging="734"/>
        <w:jc w:val="left"/>
        <w:rPr>
          <w:sz w:val="21"/>
        </w:rPr>
      </w:pPr>
      <w:r>
        <w:rPr>
          <w:spacing w:val="-5"/>
          <w:sz w:val="21"/>
        </w:rPr>
        <w:t>有脑水肿和颅内压升高的脑脊液检查和影像学检查证据；</w:t>
      </w:r>
    </w:p>
    <w:p>
      <w:pPr>
        <w:pStyle w:val="ListParagraph"/>
        <w:numPr>
          <w:ilvl w:val="2"/>
          <w:numId w:val="41"/>
        </w:numPr>
        <w:tabs>
          <w:tab w:pos="3690" w:val="left" w:leader="none"/>
          <w:tab w:pos="3691" w:val="left" w:leader="none"/>
        </w:tabs>
        <w:spacing w:line="240" w:lineRule="auto" w:before="113" w:after="0"/>
        <w:ind w:left="3690" w:right="0" w:hanging="734"/>
        <w:jc w:val="left"/>
        <w:rPr>
          <w:sz w:val="21"/>
        </w:rPr>
      </w:pPr>
      <w:r>
        <w:rPr>
          <w:spacing w:val="-7"/>
          <w:sz w:val="21"/>
        </w:rPr>
        <w:t>血氨超过正常值的 </w:t>
      </w:r>
      <w:r>
        <w:rPr>
          <w:sz w:val="21"/>
        </w:rPr>
        <w:t>3</w:t>
      </w:r>
      <w:r>
        <w:rPr>
          <w:spacing w:val="-18"/>
          <w:sz w:val="21"/>
        </w:rPr>
        <w:t> 倍；</w:t>
      </w:r>
    </w:p>
    <w:p>
      <w:pPr>
        <w:pStyle w:val="ListParagraph"/>
        <w:numPr>
          <w:ilvl w:val="2"/>
          <w:numId w:val="41"/>
        </w:numPr>
        <w:tabs>
          <w:tab w:pos="3690" w:val="left" w:leader="none"/>
          <w:tab w:pos="3691" w:val="left" w:leader="none"/>
        </w:tabs>
        <w:spacing w:line="240" w:lineRule="auto" w:before="113" w:after="0"/>
        <w:ind w:left="3690" w:right="0" w:hanging="734"/>
        <w:jc w:val="left"/>
        <w:rPr>
          <w:sz w:val="21"/>
        </w:rPr>
      </w:pPr>
      <w:r>
        <w:rPr>
          <w:spacing w:val="-6"/>
          <w:sz w:val="21"/>
        </w:rPr>
        <w:t>临床出现昏迷，病程至少达到疾病分期第 </w:t>
      </w:r>
      <w:r>
        <w:rPr>
          <w:sz w:val="21"/>
        </w:rPr>
        <w:t>3</w:t>
      </w:r>
      <w:r>
        <w:rPr>
          <w:spacing w:val="-14"/>
          <w:sz w:val="21"/>
        </w:rPr>
        <w:t> 期。</w:t>
      </w:r>
    </w:p>
    <w:p>
      <w:pPr>
        <w:pStyle w:val="BodyText"/>
        <w:spacing w:before="9" w:after="1"/>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70"/>
        <w:gridCol w:w="7418"/>
      </w:tblGrid>
      <w:tr>
        <w:trPr>
          <w:trHeight w:val="300" w:hRule="atLeast"/>
        </w:trPr>
        <w:tc>
          <w:tcPr>
            <w:tcW w:w="777" w:type="dxa"/>
          </w:tcPr>
          <w:p>
            <w:pPr>
              <w:pStyle w:val="TableParagraph"/>
              <w:spacing w:line="235" w:lineRule="exact"/>
              <w:ind w:left="50"/>
              <w:rPr>
                <w:rFonts w:ascii="Microsoft JhengHei"/>
                <w:b/>
                <w:sz w:val="21"/>
              </w:rPr>
            </w:pPr>
            <w:r>
              <w:rPr>
                <w:rFonts w:ascii="Microsoft JhengHei"/>
                <w:b/>
                <w:sz w:val="21"/>
              </w:rPr>
              <w:t>9.65</w:t>
            </w:r>
          </w:p>
        </w:tc>
        <w:tc>
          <w:tcPr>
            <w:tcW w:w="1970" w:type="dxa"/>
          </w:tcPr>
          <w:p>
            <w:pPr>
              <w:pStyle w:val="TableParagraph"/>
              <w:spacing w:line="235" w:lineRule="exact"/>
              <w:ind w:left="304"/>
              <w:rPr>
                <w:rFonts w:ascii="Microsoft JhengHei" w:eastAsia="Microsoft JhengHei" w:hint="eastAsia"/>
                <w:b/>
                <w:sz w:val="21"/>
              </w:rPr>
            </w:pPr>
            <w:r>
              <w:rPr>
                <w:rFonts w:ascii="Microsoft JhengHei" w:eastAsia="Microsoft JhengHei" w:hint="eastAsia"/>
                <w:b/>
                <w:sz w:val="21"/>
              </w:rPr>
              <w:t>严重肠道疾病并</w:t>
            </w:r>
          </w:p>
        </w:tc>
        <w:tc>
          <w:tcPr>
            <w:tcW w:w="7418" w:type="dxa"/>
          </w:tcPr>
          <w:p>
            <w:pPr>
              <w:pStyle w:val="TableParagraph"/>
              <w:spacing w:line="211" w:lineRule="exact"/>
              <w:ind w:left="106"/>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8" w:hRule="atLeast"/>
        </w:trPr>
        <w:tc>
          <w:tcPr>
            <w:tcW w:w="777" w:type="dxa"/>
          </w:tcPr>
          <w:p>
            <w:pPr>
              <w:pStyle w:val="TableParagraph"/>
              <w:rPr>
                <w:rFonts w:ascii="Times New Roman"/>
                <w:sz w:val="20"/>
              </w:rPr>
            </w:pPr>
          </w:p>
        </w:tc>
        <w:tc>
          <w:tcPr>
            <w:tcW w:w="1970" w:type="dxa"/>
          </w:tcPr>
          <w:p>
            <w:pPr>
              <w:pStyle w:val="TableParagraph"/>
              <w:spacing w:line="242" w:lineRule="exact"/>
              <w:ind w:left="304"/>
              <w:rPr>
                <w:rFonts w:ascii="Microsoft JhengHei" w:eastAsia="Microsoft JhengHei" w:hint="eastAsia"/>
                <w:b/>
                <w:sz w:val="21"/>
              </w:rPr>
            </w:pPr>
            <w:r>
              <w:rPr>
                <w:rFonts w:ascii="Microsoft JhengHei" w:eastAsia="Microsoft JhengHei" w:hint="eastAsia"/>
                <w:b/>
                <w:sz w:val="21"/>
              </w:rPr>
              <w:t>发症</w:t>
            </w:r>
          </w:p>
        </w:tc>
        <w:tc>
          <w:tcPr>
            <w:tcW w:w="7418" w:type="dxa"/>
          </w:tcPr>
          <w:p>
            <w:pPr>
              <w:pStyle w:val="TableParagraph"/>
              <w:tabs>
                <w:tab w:pos="840" w:val="left" w:leader="none"/>
              </w:tabs>
              <w:spacing w:before="25"/>
              <w:ind w:left="106"/>
              <w:rPr>
                <w:sz w:val="21"/>
              </w:rPr>
            </w:pPr>
            <w:r>
              <w:rPr>
                <w:sz w:val="21"/>
              </w:rPr>
              <w:t>（1）</w:t>
              <w:tab/>
            </w:r>
            <w:r>
              <w:rPr>
                <w:spacing w:val="-2"/>
                <w:sz w:val="21"/>
              </w:rPr>
              <w:t>至少切除了三分之二小肠；</w:t>
            </w:r>
          </w:p>
        </w:tc>
      </w:tr>
      <w:tr>
        <w:trPr>
          <w:trHeight w:val="475" w:hRule="atLeast"/>
        </w:trPr>
        <w:tc>
          <w:tcPr>
            <w:tcW w:w="777" w:type="dxa"/>
          </w:tcPr>
          <w:p>
            <w:pPr>
              <w:pStyle w:val="TableParagraph"/>
              <w:rPr>
                <w:rFonts w:ascii="Times New Roman"/>
                <w:sz w:val="20"/>
              </w:rPr>
            </w:pPr>
          </w:p>
        </w:tc>
        <w:tc>
          <w:tcPr>
            <w:tcW w:w="1970" w:type="dxa"/>
          </w:tcPr>
          <w:p>
            <w:pPr>
              <w:pStyle w:val="TableParagraph"/>
              <w:rPr>
                <w:rFonts w:ascii="Times New Roman"/>
                <w:sz w:val="20"/>
              </w:rPr>
            </w:pPr>
          </w:p>
        </w:tc>
        <w:tc>
          <w:tcPr>
            <w:tcW w:w="7418" w:type="dxa"/>
          </w:tcPr>
          <w:p>
            <w:pPr>
              <w:pStyle w:val="TableParagraph"/>
              <w:tabs>
                <w:tab w:pos="840" w:val="left" w:leader="none"/>
              </w:tabs>
              <w:spacing w:before="25"/>
              <w:ind w:left="106"/>
              <w:rPr>
                <w:sz w:val="21"/>
              </w:rPr>
            </w:pPr>
            <w:r>
              <w:rPr>
                <w:sz w:val="21"/>
              </w:rPr>
              <w:t>（2）</w:t>
              <w:tab/>
            </w:r>
            <w:r>
              <w:rPr>
                <w:spacing w:val="-3"/>
                <w:sz w:val="21"/>
              </w:rPr>
              <w:t>完全肠外营养支持三个月以上。</w:t>
            </w:r>
          </w:p>
        </w:tc>
      </w:tr>
      <w:tr>
        <w:trPr>
          <w:trHeight w:val="434" w:hRule="atLeast"/>
        </w:trPr>
        <w:tc>
          <w:tcPr>
            <w:tcW w:w="777" w:type="dxa"/>
          </w:tcPr>
          <w:p>
            <w:pPr>
              <w:pStyle w:val="TableParagraph"/>
              <w:spacing w:before="44"/>
              <w:ind w:left="50"/>
              <w:rPr>
                <w:rFonts w:ascii="Microsoft JhengHei"/>
                <w:b/>
                <w:sz w:val="21"/>
              </w:rPr>
            </w:pPr>
            <w:r>
              <w:rPr>
                <w:rFonts w:ascii="Microsoft JhengHei"/>
                <w:b/>
                <w:sz w:val="21"/>
              </w:rPr>
              <w:t>9.66</w:t>
            </w:r>
          </w:p>
        </w:tc>
        <w:tc>
          <w:tcPr>
            <w:tcW w:w="1970" w:type="dxa"/>
          </w:tcPr>
          <w:p>
            <w:pPr>
              <w:pStyle w:val="TableParagraph"/>
              <w:spacing w:before="44"/>
              <w:ind w:left="304"/>
              <w:rPr>
                <w:rFonts w:ascii="Microsoft JhengHei" w:eastAsia="Microsoft JhengHei" w:hint="eastAsia"/>
                <w:b/>
                <w:sz w:val="21"/>
              </w:rPr>
            </w:pPr>
            <w:r>
              <w:rPr>
                <w:rFonts w:ascii="Microsoft JhengHei" w:eastAsia="Microsoft JhengHei" w:hint="eastAsia"/>
                <w:b/>
                <w:sz w:val="21"/>
              </w:rPr>
              <w:t>重症骨髓增生异</w:t>
            </w:r>
          </w:p>
        </w:tc>
        <w:tc>
          <w:tcPr>
            <w:tcW w:w="7418" w:type="dxa"/>
          </w:tcPr>
          <w:p>
            <w:pPr>
              <w:pStyle w:val="TableParagraph"/>
              <w:spacing w:before="111"/>
              <w:ind w:left="106"/>
              <w:rPr>
                <w:sz w:val="21"/>
              </w:rPr>
            </w:pPr>
            <w:r>
              <w:rPr>
                <w:spacing w:val="-9"/>
                <w:sz w:val="21"/>
              </w:rPr>
              <w:t>是起源于造血干细胞的一组异质性髓系克隆性疾病，特点是髓系细胞发育异常，</w:t>
            </w:r>
          </w:p>
        </w:tc>
      </w:tr>
      <w:tr>
        <w:trPr>
          <w:trHeight w:val="309" w:hRule="atLeast"/>
        </w:trPr>
        <w:tc>
          <w:tcPr>
            <w:tcW w:w="777" w:type="dxa"/>
          </w:tcPr>
          <w:p>
            <w:pPr>
              <w:pStyle w:val="TableParagraph"/>
              <w:rPr>
                <w:rFonts w:ascii="Times New Roman"/>
                <w:sz w:val="20"/>
              </w:rPr>
            </w:pPr>
          </w:p>
        </w:tc>
        <w:tc>
          <w:tcPr>
            <w:tcW w:w="1970" w:type="dxa"/>
          </w:tcPr>
          <w:p>
            <w:pPr>
              <w:pStyle w:val="TableParagraph"/>
              <w:spacing w:line="283" w:lineRule="exact"/>
              <w:ind w:left="304"/>
              <w:rPr>
                <w:rFonts w:ascii="Microsoft JhengHei" w:eastAsia="Microsoft JhengHei" w:hint="eastAsia"/>
                <w:b/>
                <w:sz w:val="21"/>
              </w:rPr>
            </w:pPr>
            <w:r>
              <w:rPr>
                <w:rFonts w:ascii="Microsoft JhengHei" w:eastAsia="Microsoft JhengHei" w:hint="eastAsia"/>
                <w:b/>
                <w:sz w:val="21"/>
              </w:rPr>
              <w:t>常综合征</w:t>
            </w:r>
          </w:p>
        </w:tc>
        <w:tc>
          <w:tcPr>
            <w:tcW w:w="7418" w:type="dxa"/>
          </w:tcPr>
          <w:p>
            <w:pPr>
              <w:pStyle w:val="TableParagraph"/>
              <w:spacing w:line="259" w:lineRule="exact"/>
              <w:ind w:left="106"/>
              <w:rPr>
                <w:sz w:val="21"/>
              </w:rPr>
            </w:pPr>
            <w:r>
              <w:rPr>
                <w:sz w:val="21"/>
              </w:rPr>
              <w:t>表现为无效造血、难治性血细胞减少，本合同所指的严重的骨髓异常增生综合</w:t>
            </w:r>
          </w:p>
        </w:tc>
      </w:tr>
      <w:tr>
        <w:trPr>
          <w:trHeight w:val="261" w:hRule="atLeast"/>
        </w:trPr>
        <w:tc>
          <w:tcPr>
            <w:tcW w:w="777" w:type="dxa"/>
          </w:tcPr>
          <w:p>
            <w:pPr>
              <w:pStyle w:val="TableParagraph"/>
              <w:rPr>
                <w:rFonts w:ascii="Times New Roman"/>
                <w:sz w:val="18"/>
              </w:rPr>
            </w:pPr>
          </w:p>
        </w:tc>
        <w:tc>
          <w:tcPr>
            <w:tcW w:w="1970" w:type="dxa"/>
          </w:tcPr>
          <w:p>
            <w:pPr>
              <w:pStyle w:val="TableParagraph"/>
              <w:rPr>
                <w:rFonts w:ascii="Times New Roman"/>
                <w:sz w:val="18"/>
              </w:rPr>
            </w:pPr>
          </w:p>
        </w:tc>
        <w:tc>
          <w:tcPr>
            <w:tcW w:w="7418" w:type="dxa"/>
          </w:tcPr>
          <w:p>
            <w:pPr>
              <w:pStyle w:val="TableParagraph"/>
              <w:spacing w:line="242" w:lineRule="exact"/>
              <w:ind w:left="106"/>
              <w:rPr>
                <w:rFonts w:ascii="黑体" w:eastAsia="黑体" w:hint="eastAsia"/>
                <w:sz w:val="21"/>
              </w:rPr>
            </w:pPr>
            <w:r>
              <w:rPr>
                <w:sz w:val="21"/>
              </w:rPr>
              <w:t>征</w:t>
            </w:r>
            <w:r>
              <w:rPr>
                <w:rFonts w:ascii="黑体" w:eastAsia="黑体" w:hint="eastAsia"/>
                <w:sz w:val="21"/>
              </w:rPr>
              <w:t>需满足下列所有条件：</w:t>
            </w:r>
          </w:p>
        </w:tc>
      </w:tr>
    </w:tbl>
    <w:p>
      <w:pPr>
        <w:pStyle w:val="ListParagraph"/>
        <w:numPr>
          <w:ilvl w:val="0"/>
          <w:numId w:val="42"/>
        </w:numPr>
        <w:tabs>
          <w:tab w:pos="3690" w:val="left" w:leader="none"/>
          <w:tab w:pos="3691" w:val="left" w:leader="none"/>
        </w:tabs>
        <w:spacing w:line="240" w:lineRule="auto" w:before="118" w:after="0"/>
        <w:ind w:left="3690" w:right="0" w:hanging="734"/>
        <w:jc w:val="left"/>
        <w:rPr>
          <w:sz w:val="21"/>
        </w:rPr>
      </w:pPr>
      <w:r>
        <w:rPr>
          <w:spacing w:val="-4"/>
          <w:sz w:val="21"/>
        </w:rPr>
        <w:t>由本公司认可的医院的血液病专科医生确诊；</w:t>
      </w:r>
    </w:p>
    <w:p>
      <w:pPr>
        <w:pStyle w:val="ListParagraph"/>
        <w:numPr>
          <w:ilvl w:val="0"/>
          <w:numId w:val="42"/>
        </w:numPr>
        <w:tabs>
          <w:tab w:pos="3690" w:val="left" w:leader="none"/>
          <w:tab w:pos="3691" w:val="left" w:leader="none"/>
        </w:tabs>
        <w:spacing w:line="268" w:lineRule="auto" w:before="118" w:after="0"/>
        <w:ind w:left="3690" w:right="274" w:hanging="734"/>
        <w:jc w:val="left"/>
        <w:rPr>
          <w:sz w:val="21"/>
        </w:rPr>
      </w:pPr>
      <w:r>
        <w:rPr>
          <w:spacing w:val="6"/>
          <w:sz w:val="21"/>
        </w:rPr>
        <w:t>骨髓涂片检查同时符合发育异常细胞比例＞</w:t>
      </w:r>
      <w:r>
        <w:rPr>
          <w:spacing w:val="5"/>
          <w:sz w:val="21"/>
        </w:rPr>
        <w:t>10</w:t>
      </w:r>
      <w:r>
        <w:rPr>
          <w:spacing w:val="6"/>
          <w:sz w:val="21"/>
        </w:rPr>
        <w:t>％、原始细胞比例＞ 15％；</w:t>
      </w:r>
    </w:p>
    <w:p>
      <w:pPr>
        <w:pStyle w:val="ListParagraph"/>
        <w:numPr>
          <w:ilvl w:val="0"/>
          <w:numId w:val="42"/>
        </w:numPr>
        <w:tabs>
          <w:tab w:pos="3690" w:val="left" w:leader="none"/>
          <w:tab w:pos="3691" w:val="left" w:leader="none"/>
        </w:tabs>
        <w:spacing w:line="268" w:lineRule="auto" w:before="93" w:after="0"/>
        <w:ind w:left="3690" w:right="265" w:hanging="734"/>
        <w:jc w:val="left"/>
        <w:rPr>
          <w:sz w:val="21"/>
        </w:rPr>
      </w:pPr>
      <w:r>
        <w:rPr>
          <w:spacing w:val="-5"/>
          <w:sz w:val="21"/>
        </w:rPr>
        <w:t>已接受至少累计 </w:t>
      </w:r>
      <w:r>
        <w:rPr>
          <w:sz w:val="21"/>
        </w:rPr>
        <w:t>30</w:t>
      </w:r>
      <w:r>
        <w:rPr>
          <w:spacing w:val="-7"/>
          <w:sz w:val="21"/>
        </w:rPr>
        <w:t> 天的化疗或已接受骨髓移植治疗。化疗天数的计算</w:t>
      </w:r>
      <w:r>
        <w:rPr>
          <w:spacing w:val="-6"/>
          <w:sz w:val="21"/>
        </w:rPr>
        <w:t>以被保险人实际服用、注射化疗药物的天数为准。</w:t>
      </w:r>
    </w:p>
    <w:p>
      <w:pPr>
        <w:pStyle w:val="BodyText"/>
        <w:spacing w:before="7"/>
        <w:rPr>
          <w:sz w:val="17"/>
        </w:rPr>
      </w:pPr>
    </w:p>
    <w:p>
      <w:pPr>
        <w:spacing w:after="0"/>
        <w:rPr>
          <w:sz w:val="17"/>
        </w:rPr>
        <w:sectPr>
          <w:type w:val="continuous"/>
          <w:pgSz w:w="11900" w:h="16840"/>
          <w:pgMar w:top="560" w:bottom="280" w:left="980" w:right="540"/>
        </w:sectPr>
      </w:pPr>
    </w:p>
    <w:p>
      <w:pPr>
        <w:pStyle w:val="Heading2"/>
        <w:numPr>
          <w:ilvl w:val="1"/>
          <w:numId w:val="43"/>
        </w:numPr>
        <w:tabs>
          <w:tab w:pos="1184" w:val="left" w:leader="none"/>
          <w:tab w:pos="1185" w:val="left" w:leader="none"/>
        </w:tabs>
        <w:spacing w:line="201" w:lineRule="auto" w:before="28" w:after="0"/>
        <w:ind w:left="1184" w:right="0" w:hanging="1032"/>
        <w:jc w:val="left"/>
      </w:pPr>
      <w:r>
        <w:rPr>
          <w:spacing w:val="8"/>
        </w:rPr>
        <w:t>严重慢性缩窄型心包炎</w:t>
      </w:r>
    </w:p>
    <w:p>
      <w:pPr>
        <w:pStyle w:val="BodyText"/>
        <w:spacing w:line="271" w:lineRule="auto" w:before="36"/>
        <w:ind w:left="152" w:right="265"/>
        <w:jc w:val="both"/>
        <w:rPr>
          <w:rFonts w:ascii="黑体" w:eastAsia="黑体" w:hint="eastAsia"/>
        </w:rPr>
      </w:pPr>
      <w:r>
        <w:rPr/>
        <w:br w:type="column"/>
      </w:r>
      <w:r>
        <w:rPr/>
        <w:t>由于慢性心包炎症导致心包脏层和壁层广泛瘢痕粘连、增厚和钙化，心包腔闭塞，形成一个纤维瘢痕外壳，使心脏和大血管根部受压，阻碍心脏的舒张。被保险人被明确诊断为慢性缩窄性心包炎且</w:t>
      </w:r>
      <w:r>
        <w:rPr>
          <w:rFonts w:ascii="黑体" w:eastAsia="黑体" w:hint="eastAsia"/>
        </w:rPr>
        <w:t>必须满足下列全部条件：</w:t>
      </w:r>
    </w:p>
    <w:p>
      <w:pPr>
        <w:pStyle w:val="ListParagraph"/>
        <w:numPr>
          <w:ilvl w:val="0"/>
          <w:numId w:val="44"/>
        </w:numPr>
        <w:tabs>
          <w:tab w:pos="887" w:val="left" w:leader="none"/>
          <w:tab w:pos="888" w:val="left" w:leader="none"/>
        </w:tabs>
        <w:spacing w:line="268" w:lineRule="auto" w:before="91" w:after="0"/>
        <w:ind w:left="887" w:right="265" w:hanging="735"/>
        <w:jc w:val="left"/>
        <w:rPr>
          <w:sz w:val="21"/>
        </w:rPr>
      </w:pPr>
      <w:r>
        <w:rPr>
          <w:spacing w:val="-4"/>
          <w:sz w:val="21"/>
        </w:rPr>
        <w:t>心功能衰竭达到美国纽约心脏病学会心功能状态分级</w:t>
      </w:r>
      <w:r>
        <w:rPr>
          <w:sz w:val="21"/>
        </w:rPr>
        <w:t>IV</w:t>
      </w:r>
      <w:r>
        <w:rPr>
          <w:spacing w:val="-31"/>
          <w:sz w:val="21"/>
        </w:rPr>
        <w:t> 级，并持续 </w:t>
      </w:r>
      <w:r>
        <w:rPr>
          <w:sz w:val="21"/>
        </w:rPr>
        <w:t>180 天以上；</w:t>
      </w:r>
    </w:p>
    <w:p>
      <w:pPr>
        <w:pStyle w:val="ListParagraph"/>
        <w:numPr>
          <w:ilvl w:val="0"/>
          <w:numId w:val="44"/>
        </w:numPr>
        <w:tabs>
          <w:tab w:pos="888" w:val="left" w:leader="none"/>
        </w:tabs>
        <w:spacing w:line="240" w:lineRule="auto" w:before="93" w:after="0"/>
        <w:ind w:left="887" w:right="0" w:hanging="735"/>
        <w:jc w:val="both"/>
        <w:rPr>
          <w:sz w:val="21"/>
        </w:rPr>
      </w:pPr>
      <w:r>
        <w:rPr>
          <w:spacing w:val="-5"/>
          <w:sz w:val="21"/>
        </w:rPr>
        <w:t>已经接受了开胸进行的心包剥脱或心包切除手术。</w:t>
      </w:r>
    </w:p>
    <w:p>
      <w:pPr>
        <w:pStyle w:val="BodyText"/>
        <w:ind w:left="152"/>
        <w:jc w:val="both"/>
        <w:rPr>
          <w:rFonts w:ascii="黑体" w:eastAsia="黑体" w:hint="eastAsia"/>
        </w:rPr>
      </w:pPr>
      <w:r>
        <w:rPr>
          <w:rFonts w:ascii="黑体" w:eastAsia="黑体" w:hint="eastAsia"/>
        </w:rPr>
        <w:t>经胸腔镜、胸壁打孔进行的手术、心包粘连松解手术不在保障范围内。</w:t>
      </w:r>
    </w:p>
    <w:p>
      <w:pPr>
        <w:spacing w:after="0"/>
        <w:jc w:val="both"/>
        <w:rPr>
          <w:rFonts w:ascii="黑体" w:eastAsia="黑体" w:hint="eastAsia"/>
        </w:rPr>
        <w:sectPr>
          <w:type w:val="continuous"/>
          <w:pgSz w:w="11900" w:h="16840"/>
          <w:pgMar w:top="560" w:bottom="280" w:left="980" w:right="540"/>
          <w:cols w:num="2" w:equalWidth="0">
            <w:col w:w="2745" w:space="58"/>
            <w:col w:w="7577"/>
          </w:cols>
        </w:sectPr>
      </w:pPr>
    </w:p>
    <w:p>
      <w:pPr>
        <w:pStyle w:val="BodyText"/>
        <w:spacing w:before="1"/>
        <w:rPr>
          <w:rFonts w:ascii="黑体"/>
          <w:sz w:val="19"/>
        </w:rPr>
      </w:pPr>
    </w:p>
    <w:p>
      <w:pPr>
        <w:pStyle w:val="ListParagraph"/>
        <w:numPr>
          <w:ilvl w:val="1"/>
          <w:numId w:val="43"/>
        </w:numPr>
        <w:tabs>
          <w:tab w:pos="1184" w:val="left" w:leader="none"/>
          <w:tab w:pos="1185" w:val="left" w:leader="none"/>
          <w:tab w:pos="2955" w:val="left" w:leader="none"/>
        </w:tabs>
        <w:spacing w:line="308" w:lineRule="exact" w:before="35" w:after="0"/>
        <w:ind w:left="2956" w:right="154" w:hanging="2804"/>
        <w:jc w:val="left"/>
        <w:rPr>
          <w:sz w:val="21"/>
        </w:rPr>
      </w:pPr>
      <w:r>
        <w:rPr>
          <w:rFonts w:ascii="Microsoft JhengHei" w:eastAsia="Microsoft JhengHei" w:hint="eastAsia"/>
          <w:b/>
          <w:sz w:val="21"/>
        </w:rPr>
        <w:t>重症手足口病</w:t>
        <w:tab/>
      </w:r>
      <w:r>
        <w:rPr>
          <w:spacing w:val="-1"/>
          <w:sz w:val="21"/>
        </w:rPr>
        <w:t>由</w:t>
      </w:r>
      <w:r>
        <w:rPr>
          <w:sz w:val="21"/>
        </w:rPr>
        <w:t>肠道病</w:t>
      </w:r>
      <w:r>
        <w:rPr>
          <w:spacing w:val="-5"/>
          <w:sz w:val="21"/>
        </w:rPr>
        <w:t>毒</w:t>
      </w:r>
      <w:r>
        <w:rPr>
          <w:sz w:val="21"/>
        </w:rPr>
        <w:t>引起的</w:t>
      </w:r>
      <w:r>
        <w:rPr>
          <w:spacing w:val="-5"/>
          <w:sz w:val="21"/>
        </w:rPr>
        <w:t>急</w:t>
      </w:r>
      <w:r>
        <w:rPr>
          <w:sz w:val="21"/>
        </w:rPr>
        <w:t>性传染</w:t>
      </w:r>
      <w:r>
        <w:rPr>
          <w:spacing w:val="-5"/>
          <w:sz w:val="21"/>
        </w:rPr>
        <w:t>病</w:t>
      </w:r>
      <w:r>
        <w:rPr>
          <w:spacing w:val="-29"/>
          <w:sz w:val="21"/>
        </w:rPr>
        <w:t>，</w:t>
      </w:r>
      <w:r>
        <w:rPr>
          <w:sz w:val="21"/>
        </w:rPr>
        <w:t>主</w:t>
      </w:r>
      <w:r>
        <w:rPr>
          <w:spacing w:val="-5"/>
          <w:sz w:val="21"/>
        </w:rPr>
        <w:t>要</w:t>
      </w:r>
      <w:r>
        <w:rPr>
          <w:sz w:val="21"/>
        </w:rPr>
        <w:t>症状表</w:t>
      </w:r>
      <w:r>
        <w:rPr>
          <w:spacing w:val="-5"/>
          <w:sz w:val="21"/>
        </w:rPr>
        <w:t>现</w:t>
      </w:r>
      <w:r>
        <w:rPr>
          <w:sz w:val="21"/>
        </w:rPr>
        <w:t>为手</w:t>
      </w:r>
      <w:r>
        <w:rPr>
          <w:spacing w:val="-34"/>
          <w:sz w:val="21"/>
        </w:rPr>
        <w:t>、</w:t>
      </w:r>
      <w:r>
        <w:rPr>
          <w:sz w:val="21"/>
        </w:rPr>
        <w:t>足</w:t>
      </w:r>
      <w:r>
        <w:rPr>
          <w:spacing w:val="-29"/>
          <w:sz w:val="21"/>
        </w:rPr>
        <w:t>、</w:t>
      </w:r>
      <w:r>
        <w:rPr>
          <w:sz w:val="21"/>
        </w:rPr>
        <w:t>口</w:t>
      </w:r>
      <w:r>
        <w:rPr>
          <w:spacing w:val="-5"/>
          <w:sz w:val="21"/>
        </w:rPr>
        <w:t>腔</w:t>
      </w:r>
      <w:r>
        <w:rPr>
          <w:sz w:val="21"/>
        </w:rPr>
        <w:t>等部位</w:t>
      </w:r>
      <w:r>
        <w:rPr>
          <w:spacing w:val="-5"/>
          <w:sz w:val="21"/>
        </w:rPr>
        <w:t>的</w:t>
      </w:r>
      <w:r>
        <w:rPr>
          <w:sz w:val="21"/>
        </w:rPr>
        <w:t>斑丘疹、 疱疹。经我们认可</w:t>
      </w:r>
      <w:r>
        <w:rPr>
          <w:spacing w:val="-5"/>
          <w:sz w:val="21"/>
        </w:rPr>
        <w:t>的</w:t>
      </w:r>
      <w:r>
        <w:rPr>
          <w:sz w:val="21"/>
        </w:rPr>
        <w:t>医疗机构的</w:t>
      </w:r>
      <w:r>
        <w:rPr>
          <w:spacing w:val="-5"/>
          <w:sz w:val="21"/>
        </w:rPr>
        <w:t>专</w:t>
      </w:r>
      <w:r>
        <w:rPr>
          <w:sz w:val="21"/>
        </w:rPr>
        <w:t>科医生确诊</w:t>
      </w:r>
      <w:r>
        <w:rPr>
          <w:spacing w:val="-5"/>
          <w:sz w:val="21"/>
        </w:rPr>
        <w:t>为</w:t>
      </w:r>
      <w:r>
        <w:rPr>
          <w:sz w:val="21"/>
        </w:rPr>
        <w:t>患</w:t>
      </w:r>
      <w:r>
        <w:rPr>
          <w:spacing w:val="-5"/>
          <w:sz w:val="21"/>
        </w:rPr>
        <w:t>有</w:t>
      </w:r>
      <w:r>
        <w:rPr>
          <w:sz w:val="21"/>
        </w:rPr>
        <w:t>手足口病，并伴有</w:t>
      </w:r>
      <w:r>
        <w:rPr>
          <w:spacing w:val="-5"/>
          <w:sz w:val="21"/>
        </w:rPr>
        <w:t>下</w:t>
      </w:r>
      <w:r>
        <w:rPr>
          <w:sz w:val="21"/>
        </w:rPr>
        <w:t>列三</w:t>
      </w:r>
    </w:p>
    <w:p>
      <w:pPr>
        <w:pStyle w:val="BodyText"/>
        <w:spacing w:before="4"/>
        <w:ind w:left="2956"/>
      </w:pPr>
      <w:r>
        <w:rPr/>
        <w:t>项中的任意一项并发症：</w:t>
      </w:r>
    </w:p>
    <w:p>
      <w:pPr>
        <w:pStyle w:val="ListParagraph"/>
        <w:numPr>
          <w:ilvl w:val="2"/>
          <w:numId w:val="43"/>
        </w:numPr>
        <w:tabs>
          <w:tab w:pos="3690" w:val="left" w:leader="none"/>
          <w:tab w:pos="3691" w:val="left" w:leader="none"/>
        </w:tabs>
        <w:spacing w:line="268" w:lineRule="auto" w:before="118" w:after="0"/>
        <w:ind w:left="3690" w:right="265" w:hanging="734"/>
        <w:jc w:val="left"/>
        <w:rPr>
          <w:sz w:val="21"/>
        </w:rPr>
      </w:pPr>
      <w:r>
        <w:rPr>
          <w:spacing w:val="-11"/>
          <w:sz w:val="21"/>
        </w:rPr>
        <w:t>有脑膜炎或脑炎并发症，且导致意识障碍或瘫痪的临床表现及实验室检查证据；</w:t>
      </w:r>
    </w:p>
    <w:p>
      <w:pPr>
        <w:pStyle w:val="ListParagraph"/>
        <w:numPr>
          <w:ilvl w:val="2"/>
          <w:numId w:val="43"/>
        </w:numPr>
        <w:tabs>
          <w:tab w:pos="3690" w:val="left" w:leader="none"/>
          <w:tab w:pos="3691" w:val="left" w:leader="none"/>
        </w:tabs>
        <w:spacing w:line="273" w:lineRule="auto" w:before="93" w:after="0"/>
        <w:ind w:left="3695" w:right="267" w:hanging="739"/>
        <w:jc w:val="left"/>
        <w:rPr>
          <w:sz w:val="21"/>
        </w:rPr>
      </w:pPr>
      <w:r>
        <w:rPr>
          <w:sz w:val="21"/>
        </w:rPr>
        <w:t>有肺炎或肺水肿并发症，且导致呼吸衰竭的临床表现及实验室检查证据；</w:t>
      </w:r>
    </w:p>
    <w:p>
      <w:pPr>
        <w:pStyle w:val="ListParagraph"/>
        <w:numPr>
          <w:ilvl w:val="2"/>
          <w:numId w:val="43"/>
        </w:numPr>
        <w:tabs>
          <w:tab w:pos="3690" w:val="left" w:leader="none"/>
          <w:tab w:pos="3691" w:val="left" w:leader="none"/>
        </w:tabs>
        <w:spacing w:line="268" w:lineRule="auto" w:before="89" w:after="0"/>
        <w:ind w:left="3690" w:right="265" w:hanging="734"/>
        <w:jc w:val="left"/>
        <w:rPr>
          <w:sz w:val="21"/>
        </w:rPr>
      </w:pPr>
      <w:r>
        <w:rPr>
          <w:spacing w:val="-11"/>
          <w:sz w:val="21"/>
        </w:rPr>
        <w:t>有心肌炎并发症，且导致心脏扩大或心力衰竭的临床表现及实验室检查证据。</w:t>
      </w:r>
    </w:p>
    <w:p>
      <w:pPr>
        <w:spacing w:after="0" w:line="268" w:lineRule="auto"/>
        <w:jc w:val="left"/>
        <w:rPr>
          <w:sz w:val="21"/>
        </w:rPr>
        <w:sectPr>
          <w:type w:val="continuous"/>
          <w:pgSz w:w="11900" w:h="16840"/>
          <w:pgMar w:top="560" w:bottom="280" w:left="980" w:right="540"/>
        </w:sectPr>
      </w:pPr>
    </w:p>
    <w:p>
      <w:pPr>
        <w:pStyle w:val="Heading2"/>
        <w:numPr>
          <w:ilvl w:val="1"/>
          <w:numId w:val="43"/>
        </w:numPr>
        <w:tabs>
          <w:tab w:pos="1244" w:val="left" w:leader="none"/>
          <w:tab w:pos="1245" w:val="left" w:leader="none"/>
        </w:tabs>
        <w:spacing w:line="201" w:lineRule="auto" w:before="12" w:after="0"/>
        <w:ind w:left="1244" w:right="0" w:hanging="1032"/>
        <w:jc w:val="left"/>
      </w:pPr>
      <w:r>
        <w:rPr>
          <w:spacing w:val="8"/>
        </w:rPr>
        <w:t>严重幼年型类风湿性关节炎</w:t>
      </w:r>
    </w:p>
    <w:p>
      <w:pPr>
        <w:pStyle w:val="BodyText"/>
        <w:spacing w:before="21"/>
        <w:ind w:left="171"/>
      </w:pPr>
      <w:r>
        <w:rPr/>
        <w:br w:type="column"/>
      </w:r>
      <w:r>
        <w:rPr/>
        <w:t>指为了治疗幼年型类风湿关节炎，实际实施了膝关节或髋关节置换手术。</w:t>
      </w:r>
    </w:p>
    <w:p>
      <w:pPr>
        <w:pStyle w:val="BodyText"/>
        <w:spacing w:line="273" w:lineRule="auto" w:before="114"/>
        <w:ind w:left="171" w:right="225"/>
      </w:pPr>
      <w:r>
        <w:rPr/>
        <w:t>幼年型类风湿关节炎是一种儿童期发病的慢性关节炎，其特点为在高热和系统性病征出现数月后发生关节炎。</w:t>
      </w:r>
    </w:p>
    <w:p>
      <w:pPr>
        <w:spacing w:after="0" w:line="273" w:lineRule="auto"/>
        <w:sectPr>
          <w:pgSz w:w="11900" w:h="16840"/>
          <w:pgMar w:top="1180" w:bottom="280" w:left="920" w:right="580"/>
          <w:cols w:num="2" w:equalWidth="0">
            <w:col w:w="2805" w:space="40"/>
            <w:col w:w="7555"/>
          </w:cols>
        </w:sectPr>
      </w:pPr>
    </w:p>
    <w:p>
      <w:pPr>
        <w:pStyle w:val="BodyText"/>
        <w:spacing w:before="2"/>
        <w:rPr>
          <w:sz w:val="20"/>
        </w:rPr>
      </w:pPr>
    </w:p>
    <w:p>
      <w:pPr>
        <w:spacing w:after="0"/>
        <w:rPr>
          <w:sz w:val="20"/>
        </w:rPr>
        <w:sectPr>
          <w:type w:val="continuous"/>
          <w:pgSz w:w="11900" w:h="16840"/>
          <w:pgMar w:top="560" w:bottom="280" w:left="920" w:right="580"/>
        </w:sectPr>
      </w:pPr>
    </w:p>
    <w:p>
      <w:pPr>
        <w:pStyle w:val="Heading2"/>
        <w:numPr>
          <w:ilvl w:val="1"/>
          <w:numId w:val="43"/>
        </w:numPr>
        <w:tabs>
          <w:tab w:pos="1244" w:val="left" w:leader="none"/>
          <w:tab w:pos="1245" w:val="left" w:leader="none"/>
        </w:tabs>
        <w:spacing w:line="201" w:lineRule="auto" w:before="28" w:after="0"/>
        <w:ind w:left="1244" w:right="0" w:hanging="1032"/>
        <w:jc w:val="left"/>
      </w:pPr>
      <w:r>
        <w:rPr>
          <w:spacing w:val="8"/>
        </w:rPr>
        <w:t>破裂脑动脉瘤夹闭手术</w:t>
      </w:r>
    </w:p>
    <w:p>
      <w:pPr>
        <w:pStyle w:val="BodyText"/>
        <w:spacing w:line="268" w:lineRule="auto" w:before="37"/>
        <w:ind w:left="171" w:right="239"/>
      </w:pPr>
      <w:r>
        <w:rPr/>
        <w:br w:type="column"/>
      </w:r>
      <w:r>
        <w:rPr/>
        <w:t>指因脑动脉瘤破裂造成蛛网膜下腔出血，被保险人已经实施了在全麻下进行的开颅动脉瘤夹闭手术。</w:t>
      </w:r>
    </w:p>
    <w:p>
      <w:pPr>
        <w:pStyle w:val="BodyText"/>
        <w:spacing w:line="268" w:lineRule="auto" w:before="93"/>
        <w:ind w:left="171" w:right="239"/>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68" w:lineRule="auto"/>
        <w:rPr>
          <w:rFonts w:ascii="黑体" w:eastAsia="黑体" w:hint="eastAsia"/>
        </w:rPr>
        <w:sectPr>
          <w:type w:val="continuous"/>
          <w:pgSz w:w="11900" w:h="16840"/>
          <w:pgMar w:top="560" w:bottom="280" w:left="920" w:right="580"/>
          <w:cols w:num="2" w:equalWidth="0">
            <w:col w:w="2805" w:space="40"/>
            <w:col w:w="7555"/>
          </w:cols>
        </w:sectPr>
      </w:pPr>
    </w:p>
    <w:p>
      <w:pPr>
        <w:pStyle w:val="BodyText"/>
        <w:spacing w:before="9"/>
        <w:rPr>
          <w:rFonts w:ascii="黑体"/>
          <w:sz w:val="19"/>
        </w:rPr>
      </w:pPr>
    </w:p>
    <w:p>
      <w:pPr>
        <w:pStyle w:val="Heading1"/>
        <w:numPr>
          <w:ilvl w:val="0"/>
          <w:numId w:val="7"/>
        </w:numPr>
        <w:tabs>
          <w:tab w:pos="1244" w:val="left" w:leader="none"/>
          <w:tab w:pos="1245" w:val="left" w:leader="none"/>
        </w:tabs>
        <w:spacing w:line="367" w:lineRule="exact" w:before="0" w:after="0"/>
        <w:ind w:left="1244" w:right="0" w:hanging="1032"/>
        <w:jc w:val="left"/>
      </w:pPr>
      <w:r>
        <w:rPr>
          <w:w w:val="95"/>
        </w:rPr>
        <w:t>释义</w:t>
      </w:r>
    </w:p>
    <w:p>
      <w:pPr>
        <w:pStyle w:val="BodyText"/>
        <w:spacing w:before="14"/>
        <w:rPr>
          <w:rFonts w:ascii="Microsoft JhengHei"/>
          <w:b/>
          <w:sz w:val="5"/>
        </w:rPr>
      </w:pPr>
      <w:r>
        <w:rPr/>
        <w:pict>
          <v:group style="position:absolute;margin-left:51.119999pt;margin-top:7.027244pt;width:508.8pt;height:.5pt;mso-position-horizontal-relative:page;mso-position-vertical-relative:paragraph;z-index:1240;mso-wrap-distance-left:0;mso-wrap-distance-right:0" coordorigin="1022,141"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538,145" stroked="true" strokeweight=".48pt" strokecolor="#000000">
              <v:stroke dashstyle="solid"/>
            </v:line>
            <v:rect style="position:absolute;left:3537;top:140;width:10;height:10" filled="true" fillcolor="#000000" stroked="false">
              <v:fill type="solid"/>
            </v:rect>
            <v:line style="position:absolute" from="3547,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7"/>
        </w:numPr>
        <w:tabs>
          <w:tab w:pos="1244" w:val="left" w:leader="none"/>
          <w:tab w:pos="1245" w:val="left" w:leader="none"/>
          <w:tab w:pos="2727" w:val="left" w:leader="none"/>
        </w:tabs>
        <w:spacing w:line="312" w:lineRule="exact" w:before="32" w:after="0"/>
        <w:ind w:left="2728" w:right="225" w:hanging="2516"/>
        <w:jc w:val="both"/>
        <w:rPr>
          <w:sz w:val="21"/>
        </w:rPr>
      </w:pPr>
      <w:r>
        <w:rPr>
          <w:rFonts w:ascii="Microsoft JhengHei" w:eastAsia="Microsoft JhengHei" w:hint="eastAsia"/>
          <w:b/>
          <w:sz w:val="21"/>
        </w:rPr>
        <w:t>合法有效</w:t>
        <w:tab/>
      </w:r>
      <w:r>
        <w:rPr>
          <w:spacing w:val="2"/>
          <w:sz w:val="21"/>
        </w:rPr>
        <w:t>本</w:t>
      </w:r>
      <w:r>
        <w:rPr>
          <w:sz w:val="21"/>
        </w:rPr>
        <w:t>合同</w:t>
      </w:r>
      <w:r>
        <w:rPr>
          <w:spacing w:val="2"/>
          <w:sz w:val="21"/>
        </w:rPr>
        <w:t>所</w:t>
      </w:r>
      <w:r>
        <w:rPr>
          <w:sz w:val="21"/>
        </w:rPr>
        <w:t>指合</w:t>
      </w:r>
      <w:r>
        <w:rPr>
          <w:spacing w:val="2"/>
          <w:sz w:val="21"/>
        </w:rPr>
        <w:t>法</w:t>
      </w:r>
      <w:r>
        <w:rPr>
          <w:sz w:val="21"/>
        </w:rPr>
        <w:t>有效</w:t>
      </w:r>
      <w:r>
        <w:rPr>
          <w:spacing w:val="2"/>
          <w:sz w:val="21"/>
        </w:rPr>
        <w:t>均</w:t>
      </w:r>
      <w:r>
        <w:rPr>
          <w:sz w:val="21"/>
        </w:rPr>
        <w:t>以中华</w:t>
      </w:r>
      <w:r>
        <w:rPr>
          <w:spacing w:val="2"/>
          <w:sz w:val="21"/>
        </w:rPr>
        <w:t>人</w:t>
      </w:r>
      <w:r>
        <w:rPr>
          <w:sz w:val="21"/>
        </w:rPr>
        <w:t>民共</w:t>
      </w:r>
      <w:r>
        <w:rPr>
          <w:spacing w:val="2"/>
          <w:sz w:val="21"/>
        </w:rPr>
        <w:t>和</w:t>
      </w:r>
      <w:r>
        <w:rPr>
          <w:sz w:val="21"/>
        </w:rPr>
        <w:t>国法</w:t>
      </w:r>
      <w:r>
        <w:rPr>
          <w:spacing w:val="5"/>
          <w:sz w:val="21"/>
        </w:rPr>
        <w:t>律</w:t>
      </w:r>
      <w:r>
        <w:rPr>
          <w:sz w:val="21"/>
        </w:rPr>
        <w:t>、行政</w:t>
      </w:r>
      <w:r>
        <w:rPr>
          <w:spacing w:val="2"/>
          <w:sz w:val="21"/>
        </w:rPr>
        <w:t>法</w:t>
      </w:r>
      <w:r>
        <w:rPr>
          <w:sz w:val="21"/>
        </w:rPr>
        <w:t>规、</w:t>
      </w:r>
      <w:r>
        <w:rPr>
          <w:spacing w:val="2"/>
          <w:sz w:val="21"/>
        </w:rPr>
        <w:t>地</w:t>
      </w:r>
      <w:r>
        <w:rPr>
          <w:sz w:val="21"/>
        </w:rPr>
        <w:t>方性</w:t>
      </w:r>
      <w:r>
        <w:rPr>
          <w:spacing w:val="2"/>
          <w:sz w:val="21"/>
        </w:rPr>
        <w:t>法</w:t>
      </w:r>
      <w:r>
        <w:rPr>
          <w:sz w:val="21"/>
        </w:rPr>
        <w:t>规、</w:t>
      </w:r>
      <w:r>
        <w:rPr>
          <w:spacing w:val="2"/>
          <w:sz w:val="21"/>
        </w:rPr>
        <w:t>行</w:t>
      </w:r>
      <w:r>
        <w:rPr>
          <w:sz w:val="21"/>
        </w:rPr>
        <w:t>政规 章及有关</w:t>
      </w:r>
      <w:r>
        <w:rPr>
          <w:spacing w:val="-5"/>
          <w:sz w:val="21"/>
        </w:rPr>
        <w:t>规</w:t>
      </w:r>
      <w:r>
        <w:rPr>
          <w:sz w:val="21"/>
        </w:rPr>
        <w:t>范性法</w:t>
      </w:r>
      <w:r>
        <w:rPr>
          <w:spacing w:val="-5"/>
          <w:sz w:val="21"/>
        </w:rPr>
        <w:t>律</w:t>
      </w:r>
      <w:r>
        <w:rPr>
          <w:sz w:val="21"/>
        </w:rPr>
        <w:t>文件的</w:t>
      </w:r>
      <w:r>
        <w:rPr>
          <w:spacing w:val="-5"/>
          <w:sz w:val="21"/>
        </w:rPr>
        <w:t>规</w:t>
      </w:r>
      <w:r>
        <w:rPr>
          <w:sz w:val="21"/>
        </w:rPr>
        <w:t>定为判</w:t>
      </w:r>
      <w:r>
        <w:rPr>
          <w:spacing w:val="-5"/>
          <w:sz w:val="21"/>
        </w:rPr>
        <w:t>定</w:t>
      </w:r>
      <w:r>
        <w:rPr>
          <w:sz w:val="21"/>
        </w:rPr>
        <w:t>依据。</w:t>
      </w:r>
    </w:p>
    <w:p>
      <w:pPr>
        <w:pStyle w:val="BodyText"/>
        <w:spacing w:before="3"/>
        <w:rPr>
          <w:sz w:val="14"/>
        </w:rPr>
      </w:pPr>
    </w:p>
    <w:p>
      <w:pPr>
        <w:pStyle w:val="ListParagraph"/>
        <w:numPr>
          <w:ilvl w:val="1"/>
          <w:numId w:val="7"/>
        </w:numPr>
        <w:tabs>
          <w:tab w:pos="1244" w:val="left" w:leader="none"/>
          <w:tab w:pos="1245" w:val="left" w:leader="none"/>
          <w:tab w:pos="2727" w:val="left" w:leader="none"/>
        </w:tabs>
        <w:spacing w:line="256" w:lineRule="auto" w:before="1" w:after="0"/>
        <w:ind w:left="2728" w:right="220" w:hanging="2516"/>
        <w:jc w:val="both"/>
        <w:rPr>
          <w:sz w:val="21"/>
        </w:rPr>
      </w:pPr>
      <w:r>
        <w:rPr>
          <w:rFonts w:ascii="Microsoft JhengHei" w:eastAsia="Microsoft JhengHei" w:hint="eastAsia"/>
          <w:b/>
          <w:sz w:val="21"/>
        </w:rPr>
        <w:t>保单年度</w:t>
        <w:tab/>
      </w:r>
      <w:r>
        <w:rPr>
          <w:spacing w:val="2"/>
          <w:sz w:val="21"/>
        </w:rPr>
        <w:t>从</w:t>
      </w:r>
      <w:r>
        <w:rPr>
          <w:sz w:val="21"/>
        </w:rPr>
        <w:t>保险</w:t>
      </w:r>
      <w:r>
        <w:rPr>
          <w:spacing w:val="2"/>
          <w:sz w:val="21"/>
        </w:rPr>
        <w:t>合</w:t>
      </w:r>
      <w:r>
        <w:rPr>
          <w:sz w:val="21"/>
        </w:rPr>
        <w:t>同生</w:t>
      </w:r>
      <w:r>
        <w:rPr>
          <w:spacing w:val="2"/>
          <w:sz w:val="21"/>
        </w:rPr>
        <w:t>效</w:t>
      </w:r>
      <w:r>
        <w:rPr>
          <w:sz w:val="21"/>
        </w:rPr>
        <w:t>日或</w:t>
      </w:r>
      <w:r>
        <w:rPr>
          <w:spacing w:val="5"/>
          <w:sz w:val="21"/>
        </w:rPr>
        <w:t>者</w:t>
      </w:r>
      <w:r>
        <w:rPr>
          <w:sz w:val="21"/>
        </w:rPr>
        <w:t>年生效</w:t>
      </w:r>
      <w:r>
        <w:rPr>
          <w:spacing w:val="2"/>
          <w:sz w:val="21"/>
        </w:rPr>
        <w:t>对</w:t>
      </w:r>
      <w:r>
        <w:rPr>
          <w:sz w:val="21"/>
        </w:rPr>
        <w:t>应日</w:t>
      </w:r>
      <w:r>
        <w:rPr>
          <w:spacing w:val="2"/>
          <w:sz w:val="21"/>
        </w:rPr>
        <w:t>零</w:t>
      </w:r>
      <w:r>
        <w:rPr>
          <w:sz w:val="21"/>
        </w:rPr>
        <w:t>时起</w:t>
      </w:r>
      <w:r>
        <w:rPr>
          <w:spacing w:val="2"/>
          <w:sz w:val="21"/>
        </w:rPr>
        <w:t>至</w:t>
      </w:r>
      <w:r>
        <w:rPr>
          <w:sz w:val="21"/>
        </w:rPr>
        <w:t>下一年</w:t>
      </w:r>
      <w:r>
        <w:rPr>
          <w:spacing w:val="2"/>
          <w:sz w:val="21"/>
        </w:rPr>
        <w:t>度</w:t>
      </w:r>
      <w:r>
        <w:rPr>
          <w:sz w:val="21"/>
        </w:rPr>
        <w:t>保险</w:t>
      </w:r>
      <w:r>
        <w:rPr>
          <w:spacing w:val="2"/>
          <w:sz w:val="21"/>
        </w:rPr>
        <w:t>合</w:t>
      </w:r>
      <w:r>
        <w:rPr>
          <w:sz w:val="21"/>
        </w:rPr>
        <w:t>同年</w:t>
      </w:r>
      <w:r>
        <w:rPr>
          <w:spacing w:val="2"/>
          <w:sz w:val="21"/>
        </w:rPr>
        <w:t>生</w:t>
      </w:r>
      <w:r>
        <w:rPr>
          <w:sz w:val="21"/>
        </w:rPr>
        <w:t>效对</w:t>
      </w:r>
      <w:r>
        <w:rPr>
          <w:spacing w:val="2"/>
          <w:sz w:val="21"/>
        </w:rPr>
        <w:t>应</w:t>
      </w:r>
      <w:r>
        <w:rPr>
          <w:sz w:val="21"/>
        </w:rPr>
        <w:t>日的 前一日</w:t>
      </w:r>
      <w:r>
        <w:rPr>
          <w:spacing w:val="-34"/>
          <w:sz w:val="21"/>
        </w:rPr>
        <w:t> </w:t>
      </w:r>
      <w:r>
        <w:rPr>
          <w:sz w:val="21"/>
        </w:rPr>
        <w:t>24</w:t>
      </w:r>
      <w:r>
        <w:rPr>
          <w:spacing w:val="-34"/>
          <w:sz w:val="21"/>
        </w:rPr>
        <w:t> </w:t>
      </w:r>
      <w:r>
        <w:rPr>
          <w:spacing w:val="-5"/>
          <w:sz w:val="21"/>
        </w:rPr>
        <w:t>时</w:t>
      </w:r>
      <w:r>
        <w:rPr>
          <w:sz w:val="21"/>
        </w:rPr>
        <w:t>止为一</w:t>
      </w:r>
      <w:r>
        <w:rPr>
          <w:spacing w:val="-5"/>
          <w:sz w:val="21"/>
        </w:rPr>
        <w:t>个</w:t>
      </w:r>
      <w:r>
        <w:rPr>
          <w:sz w:val="21"/>
        </w:rPr>
        <w:t>保单年</w:t>
      </w:r>
      <w:r>
        <w:rPr>
          <w:spacing w:val="-5"/>
          <w:sz w:val="21"/>
        </w:rPr>
        <w:t>度。</w:t>
      </w:r>
      <w:r>
        <w:rPr>
          <w:sz w:val="21"/>
        </w:rPr>
        <w:t>如</w:t>
      </w:r>
      <w:r>
        <w:rPr>
          <w:spacing w:val="-5"/>
          <w:sz w:val="21"/>
        </w:rPr>
        <w:t>果</w:t>
      </w:r>
      <w:r>
        <w:rPr>
          <w:sz w:val="21"/>
        </w:rPr>
        <w:t>当月无</w:t>
      </w:r>
      <w:r>
        <w:rPr>
          <w:spacing w:val="-5"/>
          <w:sz w:val="21"/>
        </w:rPr>
        <w:t>对</w:t>
      </w:r>
      <w:r>
        <w:rPr>
          <w:sz w:val="21"/>
        </w:rPr>
        <w:t>应</w:t>
      </w:r>
      <w:r>
        <w:rPr>
          <w:spacing w:val="-5"/>
          <w:sz w:val="21"/>
        </w:rPr>
        <w:t>的</w:t>
      </w:r>
      <w:r>
        <w:rPr>
          <w:sz w:val="21"/>
        </w:rPr>
        <w:t>同一日</w:t>
      </w:r>
      <w:r>
        <w:rPr>
          <w:spacing w:val="-5"/>
          <w:sz w:val="21"/>
        </w:rPr>
        <w:t>，则</w:t>
      </w:r>
      <w:r>
        <w:rPr>
          <w:sz w:val="21"/>
        </w:rPr>
        <w:t>以该月</w:t>
      </w:r>
      <w:r>
        <w:rPr>
          <w:spacing w:val="-5"/>
          <w:sz w:val="21"/>
        </w:rPr>
        <w:t>最</w:t>
      </w:r>
      <w:r>
        <w:rPr>
          <w:sz w:val="21"/>
        </w:rPr>
        <w:t>后一日为对应日。</w:t>
      </w:r>
    </w:p>
    <w:p>
      <w:pPr>
        <w:pStyle w:val="BodyText"/>
        <w:spacing w:before="5"/>
        <w:rPr>
          <w:sz w:val="18"/>
        </w:rPr>
      </w:pPr>
    </w:p>
    <w:p>
      <w:pPr>
        <w:spacing w:after="0"/>
        <w:rPr>
          <w:sz w:val="18"/>
        </w:rPr>
        <w:sectPr>
          <w:type w:val="continuous"/>
          <w:pgSz w:w="11900" w:h="16840"/>
          <w:pgMar w:top="560" w:bottom="280" w:left="920" w:right="580"/>
        </w:sectPr>
      </w:pPr>
    </w:p>
    <w:p>
      <w:pPr>
        <w:pStyle w:val="Heading2"/>
        <w:numPr>
          <w:ilvl w:val="1"/>
          <w:numId w:val="7"/>
        </w:numPr>
        <w:tabs>
          <w:tab w:pos="1244" w:val="left" w:leader="none"/>
          <w:tab w:pos="1245" w:val="left" w:leader="none"/>
        </w:tabs>
        <w:spacing w:line="201" w:lineRule="auto" w:before="28" w:after="0"/>
        <w:ind w:left="1244" w:right="0" w:hanging="1032"/>
        <w:jc w:val="left"/>
      </w:pPr>
      <w:r>
        <w:rPr/>
        <w:t>保险费约定交纳日</w:t>
      </w:r>
    </w:p>
    <w:p>
      <w:pPr>
        <w:pStyle w:val="BodyText"/>
        <w:spacing w:line="268" w:lineRule="auto" w:before="36"/>
        <w:ind w:left="176" w:right="80"/>
      </w:pPr>
      <w:r>
        <w:rPr/>
        <w:br w:type="column"/>
      </w:r>
      <w:r>
        <w:rPr/>
        <w:t>保险合同生效日在每月、每季、每半年或者每年（根据交费方式确定）的对应日。如果当月无对应的同一日，则以该月最后一日为对应日。</w:t>
      </w:r>
    </w:p>
    <w:p>
      <w:pPr>
        <w:spacing w:after="0" w:line="268" w:lineRule="auto"/>
        <w:sectPr>
          <w:type w:val="continuous"/>
          <w:pgSz w:w="11900" w:h="16840"/>
          <w:pgMar w:top="560" w:bottom="280" w:left="920" w:right="580"/>
          <w:cols w:num="2" w:equalWidth="0">
            <w:col w:w="2512" w:space="40"/>
            <w:col w:w="7848"/>
          </w:cols>
        </w:sectPr>
      </w:pPr>
    </w:p>
    <w:p>
      <w:pPr>
        <w:pStyle w:val="BodyText"/>
        <w:spacing w:before="2"/>
        <w:rPr>
          <w:sz w:val="17"/>
        </w:rPr>
      </w:pPr>
    </w:p>
    <w:p>
      <w:pPr>
        <w:pStyle w:val="ListParagraph"/>
        <w:numPr>
          <w:ilvl w:val="1"/>
          <w:numId w:val="7"/>
        </w:numPr>
        <w:tabs>
          <w:tab w:pos="1244" w:val="left" w:leader="none"/>
          <w:tab w:pos="1245" w:val="left" w:leader="none"/>
          <w:tab w:pos="2727" w:val="left" w:leader="none"/>
        </w:tabs>
        <w:spacing w:line="312" w:lineRule="exact" w:before="32" w:after="0"/>
        <w:ind w:left="2728" w:right="225" w:hanging="2516"/>
        <w:jc w:val="both"/>
        <w:rPr>
          <w:sz w:val="21"/>
        </w:rPr>
      </w:pPr>
      <w:r>
        <w:rPr>
          <w:rFonts w:ascii="Microsoft JhengHei" w:eastAsia="Microsoft JhengHei" w:hint="eastAsia"/>
          <w:b/>
          <w:sz w:val="21"/>
        </w:rPr>
        <w:t>周岁</w:t>
        <w:tab/>
      </w:r>
      <w:r>
        <w:rPr>
          <w:spacing w:val="2"/>
          <w:sz w:val="21"/>
        </w:rPr>
        <w:t>指</w:t>
      </w:r>
      <w:r>
        <w:rPr>
          <w:sz w:val="21"/>
        </w:rPr>
        <w:t>按有</w:t>
      </w:r>
      <w:r>
        <w:rPr>
          <w:spacing w:val="2"/>
          <w:sz w:val="21"/>
        </w:rPr>
        <w:t>效</w:t>
      </w:r>
      <w:r>
        <w:rPr>
          <w:sz w:val="21"/>
        </w:rPr>
        <w:t>身份</w:t>
      </w:r>
      <w:r>
        <w:rPr>
          <w:spacing w:val="2"/>
          <w:sz w:val="21"/>
        </w:rPr>
        <w:t>证</w:t>
      </w:r>
      <w:r>
        <w:rPr>
          <w:sz w:val="21"/>
        </w:rPr>
        <w:t>件中</w:t>
      </w:r>
      <w:r>
        <w:rPr>
          <w:spacing w:val="2"/>
          <w:sz w:val="21"/>
        </w:rPr>
        <w:t>记</w:t>
      </w:r>
      <w:r>
        <w:rPr>
          <w:sz w:val="21"/>
        </w:rPr>
        <w:t>载的出</w:t>
      </w:r>
      <w:r>
        <w:rPr>
          <w:spacing w:val="2"/>
          <w:sz w:val="21"/>
        </w:rPr>
        <w:t>生</w:t>
      </w:r>
      <w:r>
        <w:rPr>
          <w:sz w:val="21"/>
        </w:rPr>
        <w:t>日期</w:t>
      </w:r>
      <w:r>
        <w:rPr>
          <w:spacing w:val="2"/>
          <w:sz w:val="21"/>
        </w:rPr>
        <w:t>计</w:t>
      </w:r>
      <w:r>
        <w:rPr>
          <w:sz w:val="21"/>
        </w:rPr>
        <w:t>算的</w:t>
      </w:r>
      <w:r>
        <w:rPr>
          <w:spacing w:val="2"/>
          <w:sz w:val="21"/>
        </w:rPr>
        <w:t>年</w:t>
      </w:r>
      <w:r>
        <w:rPr>
          <w:sz w:val="21"/>
        </w:rPr>
        <w:t>龄，自</w:t>
      </w:r>
      <w:r>
        <w:rPr>
          <w:spacing w:val="2"/>
          <w:sz w:val="21"/>
        </w:rPr>
        <w:t>出</w:t>
      </w:r>
      <w:r>
        <w:rPr>
          <w:sz w:val="21"/>
        </w:rPr>
        <w:t>生之</w:t>
      </w:r>
      <w:r>
        <w:rPr>
          <w:spacing w:val="2"/>
          <w:sz w:val="21"/>
        </w:rPr>
        <w:t>日</w:t>
      </w:r>
      <w:r>
        <w:rPr>
          <w:sz w:val="21"/>
        </w:rPr>
        <w:t>起为</w:t>
      </w:r>
      <w:r>
        <w:rPr>
          <w:spacing w:val="2"/>
          <w:sz w:val="21"/>
        </w:rPr>
        <w:t>零</w:t>
      </w:r>
      <w:r>
        <w:rPr>
          <w:sz w:val="21"/>
        </w:rPr>
        <w:t>周岁</w:t>
      </w:r>
      <w:r>
        <w:rPr>
          <w:spacing w:val="2"/>
          <w:sz w:val="21"/>
        </w:rPr>
        <w:t>，</w:t>
      </w:r>
      <w:r>
        <w:rPr>
          <w:sz w:val="21"/>
        </w:rPr>
        <w:t>每经 过一年增</w:t>
      </w:r>
      <w:r>
        <w:rPr>
          <w:spacing w:val="-5"/>
          <w:sz w:val="21"/>
        </w:rPr>
        <w:t>加</w:t>
      </w:r>
      <w:r>
        <w:rPr>
          <w:sz w:val="21"/>
        </w:rPr>
        <w:t>一岁</w:t>
      </w:r>
      <w:r>
        <w:rPr>
          <w:spacing w:val="-20"/>
          <w:sz w:val="21"/>
        </w:rPr>
        <w:t>，</w:t>
      </w:r>
      <w:r>
        <w:rPr>
          <w:sz w:val="21"/>
        </w:rPr>
        <w:t>不足一</w:t>
      </w:r>
      <w:r>
        <w:rPr>
          <w:spacing w:val="-5"/>
          <w:sz w:val="21"/>
        </w:rPr>
        <w:t>年</w:t>
      </w:r>
      <w:r>
        <w:rPr>
          <w:sz w:val="21"/>
        </w:rPr>
        <w:t>的不</w:t>
      </w:r>
      <w:r>
        <w:rPr>
          <w:spacing w:val="-5"/>
          <w:sz w:val="21"/>
        </w:rPr>
        <w:t>计</w:t>
      </w:r>
      <w:r>
        <w:rPr>
          <w:spacing w:val="-15"/>
          <w:sz w:val="21"/>
        </w:rPr>
        <w:t>。</w:t>
      </w:r>
      <w:r>
        <w:rPr>
          <w:sz w:val="21"/>
        </w:rPr>
        <w:t>例</w:t>
      </w:r>
      <w:r>
        <w:rPr>
          <w:spacing w:val="-5"/>
          <w:sz w:val="21"/>
        </w:rPr>
        <w:t>如</w:t>
      </w:r>
      <w:r>
        <w:rPr>
          <w:spacing w:val="-15"/>
          <w:sz w:val="21"/>
        </w:rPr>
        <w:t>，</w:t>
      </w:r>
      <w:r>
        <w:rPr>
          <w:sz w:val="21"/>
        </w:rPr>
        <w:t>出</w:t>
      </w:r>
      <w:r>
        <w:rPr>
          <w:spacing w:val="-5"/>
          <w:sz w:val="21"/>
        </w:rPr>
        <w:t>生</w:t>
      </w:r>
      <w:r>
        <w:rPr>
          <w:sz w:val="21"/>
        </w:rPr>
        <w:t>日</w:t>
      </w:r>
      <w:r>
        <w:rPr>
          <w:spacing w:val="-5"/>
          <w:sz w:val="21"/>
        </w:rPr>
        <w:t>期</w:t>
      </w:r>
      <w:r>
        <w:rPr>
          <w:sz w:val="21"/>
        </w:rPr>
        <w:t>为</w:t>
      </w:r>
      <w:r>
        <w:rPr>
          <w:spacing w:val="-48"/>
          <w:sz w:val="21"/>
        </w:rPr>
        <w:t> </w:t>
      </w:r>
      <w:r>
        <w:rPr>
          <w:sz w:val="21"/>
        </w:rPr>
        <w:t>2000</w:t>
      </w:r>
      <w:r>
        <w:rPr>
          <w:spacing w:val="-48"/>
          <w:sz w:val="21"/>
        </w:rPr>
        <w:t> </w:t>
      </w:r>
      <w:r>
        <w:rPr>
          <w:sz w:val="21"/>
        </w:rPr>
        <w:t>年</w:t>
      </w:r>
      <w:r>
        <w:rPr>
          <w:spacing w:val="-48"/>
          <w:sz w:val="21"/>
        </w:rPr>
        <w:t> </w:t>
      </w:r>
      <w:r>
        <w:rPr>
          <w:sz w:val="21"/>
        </w:rPr>
        <w:t>9</w:t>
      </w:r>
      <w:r>
        <w:rPr>
          <w:spacing w:val="-52"/>
          <w:sz w:val="21"/>
        </w:rPr>
        <w:t> </w:t>
      </w:r>
      <w:r>
        <w:rPr>
          <w:sz w:val="21"/>
        </w:rPr>
        <w:t>月</w:t>
      </w:r>
      <w:r>
        <w:rPr>
          <w:spacing w:val="-48"/>
          <w:sz w:val="21"/>
        </w:rPr>
        <w:t> </w:t>
      </w:r>
      <w:r>
        <w:rPr>
          <w:sz w:val="21"/>
        </w:rPr>
        <w:t>1</w:t>
      </w:r>
      <w:r>
        <w:rPr>
          <w:spacing w:val="-48"/>
          <w:sz w:val="21"/>
        </w:rPr>
        <w:t> </w:t>
      </w:r>
      <w:r>
        <w:rPr>
          <w:spacing w:val="-5"/>
          <w:sz w:val="21"/>
        </w:rPr>
        <w:t>日</w:t>
      </w:r>
      <w:r>
        <w:rPr>
          <w:spacing w:val="-3"/>
          <w:sz w:val="21"/>
        </w:rPr>
        <w:t>，2000</w:t>
      </w:r>
      <w:r>
        <w:rPr>
          <w:spacing w:val="-52"/>
          <w:sz w:val="21"/>
        </w:rPr>
        <w:t> </w:t>
      </w:r>
      <w:r>
        <w:rPr>
          <w:sz w:val="21"/>
        </w:rPr>
        <w:t>年</w:t>
      </w:r>
    </w:p>
    <w:p>
      <w:pPr>
        <w:pStyle w:val="BodyText"/>
        <w:spacing w:before="4"/>
        <w:ind w:left="2728"/>
      </w:pPr>
      <w:r>
        <w:rPr/>
        <w:t>9</w:t>
      </w:r>
      <w:r>
        <w:rPr>
          <w:spacing w:val="-32"/>
        </w:rPr>
        <w:t> 月 </w:t>
      </w:r>
      <w:r>
        <w:rPr/>
        <w:t>1</w:t>
      </w:r>
      <w:r>
        <w:rPr>
          <w:spacing w:val="-24"/>
        </w:rPr>
        <w:t> 日至 </w:t>
      </w:r>
      <w:r>
        <w:rPr/>
        <w:t>2001</w:t>
      </w:r>
      <w:r>
        <w:rPr>
          <w:spacing w:val="-32"/>
        </w:rPr>
        <w:t> 年 </w:t>
      </w:r>
      <w:r>
        <w:rPr/>
        <w:t>8</w:t>
      </w:r>
      <w:r>
        <w:rPr>
          <w:spacing w:val="-32"/>
        </w:rPr>
        <w:t> 月 </w:t>
      </w:r>
      <w:r>
        <w:rPr/>
        <w:t>31</w:t>
      </w:r>
      <w:r>
        <w:rPr>
          <w:spacing w:val="-17"/>
        </w:rPr>
        <w:t> 日期间为 </w:t>
      </w:r>
      <w:r>
        <w:rPr/>
        <w:t>0</w:t>
      </w:r>
      <w:r>
        <w:rPr>
          <w:spacing w:val="-16"/>
        </w:rPr>
        <w:t> 周岁</w:t>
      </w:r>
      <w:r>
        <w:rPr/>
        <w:t>，2001</w:t>
      </w:r>
      <w:r>
        <w:rPr>
          <w:spacing w:val="-32"/>
        </w:rPr>
        <w:t> 年 </w:t>
      </w:r>
      <w:r>
        <w:rPr/>
        <w:t>9</w:t>
      </w:r>
      <w:r>
        <w:rPr>
          <w:spacing w:val="-32"/>
        </w:rPr>
        <w:t> 月 </w:t>
      </w:r>
      <w:r>
        <w:rPr/>
        <w:t>1</w:t>
      </w:r>
      <w:r>
        <w:rPr>
          <w:spacing w:val="-24"/>
        </w:rPr>
        <w:t> 日至 </w:t>
      </w:r>
      <w:r>
        <w:rPr/>
        <w:t>2002</w:t>
      </w:r>
      <w:r>
        <w:rPr>
          <w:spacing w:val="-32"/>
        </w:rPr>
        <w:t> 年 </w:t>
      </w:r>
      <w:r>
        <w:rPr/>
        <w:t>8</w:t>
      </w:r>
      <w:r>
        <w:rPr>
          <w:spacing w:val="-32"/>
        </w:rPr>
        <w:t> 月 </w:t>
      </w:r>
      <w:r>
        <w:rPr/>
        <w:t>31</w:t>
      </w:r>
    </w:p>
    <w:p>
      <w:pPr>
        <w:pStyle w:val="BodyText"/>
        <w:spacing w:before="37"/>
        <w:ind w:left="2728"/>
      </w:pPr>
      <w:r>
        <w:rPr/>
        <w:t>日期间为 1 周岁，依此类推。</w:t>
      </w:r>
    </w:p>
    <w:p>
      <w:pPr>
        <w:pStyle w:val="BodyText"/>
        <w:spacing w:before="10"/>
        <w:rPr>
          <w:sz w:val="16"/>
        </w:rPr>
      </w:pPr>
    </w:p>
    <w:p>
      <w:pPr>
        <w:pStyle w:val="ListParagraph"/>
        <w:numPr>
          <w:ilvl w:val="1"/>
          <w:numId w:val="7"/>
        </w:numPr>
        <w:tabs>
          <w:tab w:pos="1244" w:val="left" w:leader="none"/>
          <w:tab w:pos="1245" w:val="left" w:leader="none"/>
        </w:tabs>
        <w:spacing w:line="256" w:lineRule="auto" w:before="0" w:after="0"/>
        <w:ind w:left="2728" w:right="225" w:hanging="2516"/>
        <w:jc w:val="both"/>
        <w:rPr>
          <w:sz w:val="21"/>
        </w:rPr>
      </w:pPr>
      <w:r>
        <w:rPr>
          <w:rFonts w:ascii="Microsoft JhengHei" w:eastAsia="Microsoft JhengHei" w:hint="eastAsia"/>
          <w:b/>
          <w:sz w:val="21"/>
        </w:rPr>
        <w:t>有效身份证件  </w:t>
      </w:r>
      <w:r>
        <w:rPr>
          <w:sz w:val="21"/>
        </w:rPr>
        <w:t>指由中华人民共和国政府主管部门规定的能够证明其身份的证件，如：居民身份证、军官证、警官证、士兵证、户口簿以及中华人民共和国政府主管部门颁发或</w:t>
      </w:r>
      <w:r>
        <w:rPr>
          <w:spacing w:val="-4"/>
          <w:sz w:val="21"/>
        </w:rPr>
        <w:t>者认可的有效护照或者其他身份证明文件。</w:t>
      </w:r>
    </w:p>
    <w:p>
      <w:pPr>
        <w:pStyle w:val="BodyText"/>
        <w:spacing w:before="0"/>
        <w:rPr>
          <w:sz w:val="16"/>
        </w:rPr>
      </w:pPr>
    </w:p>
    <w:p>
      <w:pPr>
        <w:pStyle w:val="ListParagraph"/>
        <w:numPr>
          <w:ilvl w:val="1"/>
          <w:numId w:val="7"/>
        </w:numPr>
        <w:tabs>
          <w:tab w:pos="1244" w:val="left" w:leader="none"/>
          <w:tab w:pos="1245" w:val="left" w:leader="none"/>
          <w:tab w:pos="2727" w:val="left" w:leader="none"/>
        </w:tabs>
        <w:spacing w:line="256" w:lineRule="auto" w:before="0" w:after="0"/>
        <w:ind w:left="2728" w:right="222" w:hanging="2516"/>
        <w:jc w:val="both"/>
        <w:rPr>
          <w:rFonts w:ascii="黑体" w:eastAsia="黑体" w:hint="eastAsia"/>
          <w:sz w:val="21"/>
        </w:rPr>
      </w:pPr>
      <w:r>
        <w:rPr>
          <w:rFonts w:ascii="Microsoft JhengHei" w:eastAsia="Microsoft JhengHei" w:hint="eastAsia"/>
          <w:b/>
          <w:sz w:val="21"/>
        </w:rPr>
        <w:t>医院</w:t>
        <w:tab/>
      </w:r>
      <w:r>
        <w:rPr>
          <w:spacing w:val="7"/>
          <w:sz w:val="21"/>
        </w:rPr>
        <w:t>指国务</w:t>
      </w:r>
      <w:r>
        <w:rPr>
          <w:spacing w:val="2"/>
          <w:sz w:val="21"/>
        </w:rPr>
        <w:t>院</w:t>
      </w:r>
      <w:r>
        <w:rPr>
          <w:spacing w:val="7"/>
          <w:sz w:val="21"/>
        </w:rPr>
        <w:t>卫生</w:t>
      </w:r>
      <w:r>
        <w:rPr>
          <w:spacing w:val="2"/>
          <w:sz w:val="21"/>
        </w:rPr>
        <w:t>行</w:t>
      </w:r>
      <w:r>
        <w:rPr>
          <w:spacing w:val="7"/>
          <w:sz w:val="21"/>
        </w:rPr>
        <w:t>政主</w:t>
      </w:r>
      <w:r>
        <w:rPr>
          <w:spacing w:val="2"/>
          <w:sz w:val="21"/>
        </w:rPr>
        <w:t>管</w:t>
      </w:r>
      <w:r>
        <w:rPr>
          <w:spacing w:val="7"/>
          <w:sz w:val="21"/>
        </w:rPr>
        <w:t>部</w:t>
      </w:r>
      <w:r>
        <w:rPr>
          <w:spacing w:val="10"/>
          <w:sz w:val="21"/>
        </w:rPr>
        <w:t>门</w:t>
      </w:r>
      <w:r>
        <w:rPr>
          <w:spacing w:val="2"/>
          <w:sz w:val="21"/>
        </w:rPr>
        <w:t>医</w:t>
      </w:r>
      <w:r>
        <w:rPr>
          <w:spacing w:val="7"/>
          <w:sz w:val="21"/>
        </w:rPr>
        <w:t>院等</w:t>
      </w:r>
      <w:r>
        <w:rPr>
          <w:spacing w:val="2"/>
          <w:sz w:val="21"/>
        </w:rPr>
        <w:t>级</w:t>
      </w:r>
      <w:r>
        <w:rPr>
          <w:spacing w:val="7"/>
          <w:sz w:val="21"/>
        </w:rPr>
        <w:t>分类</w:t>
      </w:r>
      <w:r>
        <w:rPr>
          <w:spacing w:val="2"/>
          <w:sz w:val="21"/>
        </w:rPr>
        <w:t>中</w:t>
      </w:r>
      <w:r>
        <w:rPr>
          <w:spacing w:val="10"/>
          <w:sz w:val="21"/>
        </w:rPr>
        <w:t>的</w:t>
      </w:r>
      <w:r>
        <w:rPr>
          <w:rFonts w:ascii="黑体" w:eastAsia="黑体" w:hint="eastAsia"/>
          <w:spacing w:val="7"/>
          <w:sz w:val="21"/>
        </w:rPr>
        <w:t>二</w:t>
      </w:r>
      <w:r>
        <w:rPr>
          <w:rFonts w:ascii="黑体" w:eastAsia="黑体" w:hint="eastAsia"/>
          <w:spacing w:val="2"/>
          <w:sz w:val="21"/>
        </w:rPr>
        <w:t>级</w:t>
      </w:r>
      <w:r>
        <w:rPr>
          <w:rFonts w:ascii="黑体" w:eastAsia="黑体" w:hint="eastAsia"/>
          <w:spacing w:val="7"/>
          <w:sz w:val="21"/>
        </w:rPr>
        <w:t>合格或</w:t>
      </w:r>
      <w:r>
        <w:rPr>
          <w:rFonts w:ascii="黑体" w:eastAsia="黑体" w:hint="eastAsia"/>
          <w:spacing w:val="2"/>
          <w:sz w:val="21"/>
        </w:rPr>
        <w:t>者</w:t>
      </w:r>
      <w:r>
        <w:rPr>
          <w:rFonts w:ascii="黑体" w:eastAsia="黑体" w:hint="eastAsia"/>
          <w:spacing w:val="7"/>
          <w:sz w:val="21"/>
        </w:rPr>
        <w:t>二级</w:t>
      </w:r>
      <w:r>
        <w:rPr>
          <w:rFonts w:ascii="黑体" w:eastAsia="黑体" w:hint="eastAsia"/>
          <w:spacing w:val="2"/>
          <w:sz w:val="21"/>
        </w:rPr>
        <w:t>合</w:t>
      </w:r>
      <w:r>
        <w:rPr>
          <w:rFonts w:ascii="黑体" w:eastAsia="黑体" w:hint="eastAsia"/>
          <w:spacing w:val="7"/>
          <w:sz w:val="21"/>
        </w:rPr>
        <w:t>格以</w:t>
      </w:r>
      <w:r>
        <w:rPr>
          <w:rFonts w:ascii="黑体" w:eastAsia="黑体" w:hint="eastAsia"/>
          <w:spacing w:val="2"/>
          <w:sz w:val="21"/>
        </w:rPr>
        <w:t>上</w:t>
      </w:r>
      <w:r>
        <w:rPr>
          <w:rFonts w:ascii="黑体" w:eastAsia="黑体" w:hint="eastAsia"/>
          <w:spacing w:val="7"/>
          <w:sz w:val="21"/>
        </w:rPr>
        <w:t>的</w:t>
      </w:r>
      <w:r>
        <w:rPr>
          <w:rFonts w:ascii="黑体" w:eastAsia="黑体" w:hint="eastAsia"/>
          <w:sz w:val="21"/>
        </w:rPr>
        <w:t>医 </w:t>
      </w:r>
      <w:r>
        <w:rPr>
          <w:rFonts w:ascii="黑体" w:eastAsia="黑体" w:hint="eastAsia"/>
          <w:spacing w:val="2"/>
          <w:sz w:val="21"/>
        </w:rPr>
        <w:t>院</w:t>
      </w:r>
      <w:r>
        <w:rPr>
          <w:rFonts w:ascii="黑体" w:eastAsia="黑体" w:hint="eastAsia"/>
          <w:sz w:val="21"/>
        </w:rPr>
        <w:t>，不</w:t>
      </w:r>
      <w:r>
        <w:rPr>
          <w:rFonts w:ascii="黑体" w:eastAsia="黑体" w:hint="eastAsia"/>
          <w:spacing w:val="2"/>
          <w:sz w:val="21"/>
        </w:rPr>
        <w:t>包</w:t>
      </w:r>
      <w:r>
        <w:rPr>
          <w:rFonts w:ascii="黑体" w:eastAsia="黑体" w:hint="eastAsia"/>
          <w:sz w:val="21"/>
        </w:rPr>
        <w:t>括以</w:t>
      </w:r>
      <w:r>
        <w:rPr>
          <w:rFonts w:ascii="黑体" w:eastAsia="黑体" w:hint="eastAsia"/>
          <w:spacing w:val="2"/>
          <w:sz w:val="21"/>
        </w:rPr>
        <w:t>康</w:t>
      </w:r>
      <w:r>
        <w:rPr>
          <w:rFonts w:ascii="黑体" w:eastAsia="黑体" w:hint="eastAsia"/>
          <w:sz w:val="21"/>
        </w:rPr>
        <w:t>复、</w:t>
      </w:r>
      <w:r>
        <w:rPr>
          <w:rFonts w:ascii="黑体" w:eastAsia="黑体" w:hint="eastAsia"/>
          <w:spacing w:val="2"/>
          <w:sz w:val="21"/>
        </w:rPr>
        <w:t>护</w:t>
      </w:r>
      <w:r>
        <w:rPr>
          <w:rFonts w:ascii="黑体" w:eastAsia="黑体" w:hint="eastAsia"/>
          <w:sz w:val="21"/>
        </w:rPr>
        <w:t>理、疗</w:t>
      </w:r>
      <w:r>
        <w:rPr>
          <w:rFonts w:ascii="黑体" w:eastAsia="黑体" w:hint="eastAsia"/>
          <w:spacing w:val="2"/>
          <w:sz w:val="21"/>
        </w:rPr>
        <w:t>养</w:t>
      </w:r>
      <w:r>
        <w:rPr>
          <w:rFonts w:ascii="黑体" w:eastAsia="黑体" w:hint="eastAsia"/>
          <w:sz w:val="21"/>
        </w:rPr>
        <w:t>、戒</w:t>
      </w:r>
      <w:r>
        <w:rPr>
          <w:rFonts w:ascii="黑体" w:eastAsia="黑体" w:hint="eastAsia"/>
          <w:spacing w:val="2"/>
          <w:sz w:val="21"/>
        </w:rPr>
        <w:t>酒</w:t>
      </w:r>
      <w:r>
        <w:rPr>
          <w:rFonts w:ascii="黑体" w:eastAsia="黑体" w:hint="eastAsia"/>
          <w:sz w:val="21"/>
        </w:rPr>
        <w:t>、戒</w:t>
      </w:r>
      <w:r>
        <w:rPr>
          <w:rFonts w:ascii="黑体" w:eastAsia="黑体" w:hint="eastAsia"/>
          <w:spacing w:val="2"/>
          <w:sz w:val="21"/>
        </w:rPr>
        <w:t>毒</w:t>
      </w:r>
      <w:r>
        <w:rPr>
          <w:rFonts w:ascii="黑体" w:eastAsia="黑体" w:hint="eastAsia"/>
          <w:sz w:val="21"/>
        </w:rPr>
        <w:t>或者类</w:t>
      </w:r>
      <w:r>
        <w:rPr>
          <w:rFonts w:ascii="黑体" w:eastAsia="黑体" w:hint="eastAsia"/>
          <w:spacing w:val="2"/>
          <w:sz w:val="21"/>
        </w:rPr>
        <w:t>似</w:t>
      </w:r>
      <w:r>
        <w:rPr>
          <w:rFonts w:ascii="黑体" w:eastAsia="黑体" w:hint="eastAsia"/>
          <w:sz w:val="21"/>
        </w:rPr>
        <w:t>功能</w:t>
      </w:r>
      <w:r>
        <w:rPr>
          <w:rFonts w:ascii="黑体" w:eastAsia="黑体" w:hint="eastAsia"/>
          <w:spacing w:val="2"/>
          <w:sz w:val="21"/>
        </w:rPr>
        <w:t>为</w:t>
      </w:r>
      <w:r>
        <w:rPr>
          <w:rFonts w:ascii="黑体" w:eastAsia="黑体" w:hint="eastAsia"/>
          <w:sz w:val="21"/>
        </w:rPr>
        <w:t>主要</w:t>
      </w:r>
      <w:r>
        <w:rPr>
          <w:rFonts w:ascii="黑体" w:eastAsia="黑体" w:hint="eastAsia"/>
          <w:spacing w:val="2"/>
          <w:sz w:val="21"/>
        </w:rPr>
        <w:t>功</w:t>
      </w:r>
      <w:r>
        <w:rPr>
          <w:rFonts w:ascii="黑体" w:eastAsia="黑体" w:hint="eastAsia"/>
          <w:sz w:val="21"/>
        </w:rPr>
        <w:t>能的</w:t>
      </w:r>
      <w:r>
        <w:rPr>
          <w:rFonts w:ascii="黑体" w:eastAsia="黑体" w:hint="eastAsia"/>
          <w:spacing w:val="2"/>
          <w:sz w:val="21"/>
        </w:rPr>
        <w:t>医</w:t>
      </w:r>
      <w:r>
        <w:rPr>
          <w:rFonts w:ascii="黑体" w:eastAsia="黑体" w:hint="eastAsia"/>
          <w:sz w:val="21"/>
        </w:rPr>
        <w:t>疗机构。</w:t>
      </w:r>
    </w:p>
    <w:p>
      <w:pPr>
        <w:pStyle w:val="BodyText"/>
        <w:spacing w:before="8"/>
        <w:rPr>
          <w:rFonts w:ascii="黑体"/>
          <w:sz w:val="15"/>
        </w:rPr>
      </w:pPr>
    </w:p>
    <w:p>
      <w:pPr>
        <w:pStyle w:val="ListParagraph"/>
        <w:numPr>
          <w:ilvl w:val="1"/>
          <w:numId w:val="7"/>
        </w:numPr>
        <w:tabs>
          <w:tab w:pos="1244" w:val="left" w:leader="none"/>
          <w:tab w:pos="1245" w:val="left" w:leader="none"/>
          <w:tab w:pos="2727" w:val="left" w:leader="none"/>
        </w:tabs>
        <w:spacing w:line="259" w:lineRule="auto" w:before="0" w:after="0"/>
        <w:ind w:left="2728" w:right="225" w:hanging="2516"/>
        <w:jc w:val="both"/>
        <w:rPr>
          <w:sz w:val="21"/>
        </w:rPr>
      </w:pPr>
      <w:r>
        <w:rPr>
          <w:rFonts w:ascii="Microsoft JhengHei" w:eastAsia="Microsoft JhengHei" w:hint="eastAsia"/>
          <w:b/>
          <w:sz w:val="21"/>
        </w:rPr>
        <w:t>初次确诊</w:t>
        <w:tab/>
      </w:r>
      <w:r>
        <w:rPr>
          <w:spacing w:val="2"/>
          <w:sz w:val="21"/>
        </w:rPr>
        <w:t>指</w:t>
      </w:r>
      <w:r>
        <w:rPr>
          <w:sz w:val="21"/>
        </w:rPr>
        <w:t>自被</w:t>
      </w:r>
      <w:r>
        <w:rPr>
          <w:spacing w:val="2"/>
          <w:sz w:val="21"/>
        </w:rPr>
        <w:t>保</w:t>
      </w:r>
      <w:r>
        <w:rPr>
          <w:sz w:val="21"/>
        </w:rPr>
        <w:t>险人</w:t>
      </w:r>
      <w:r>
        <w:rPr>
          <w:spacing w:val="2"/>
          <w:sz w:val="21"/>
        </w:rPr>
        <w:t>出</w:t>
      </w:r>
      <w:r>
        <w:rPr>
          <w:sz w:val="21"/>
        </w:rPr>
        <w:t>生之</w:t>
      </w:r>
      <w:r>
        <w:rPr>
          <w:spacing w:val="2"/>
          <w:sz w:val="21"/>
        </w:rPr>
        <w:t>日</w:t>
      </w:r>
      <w:r>
        <w:rPr>
          <w:sz w:val="21"/>
        </w:rPr>
        <w:t>起第一</w:t>
      </w:r>
      <w:r>
        <w:rPr>
          <w:spacing w:val="2"/>
          <w:sz w:val="21"/>
        </w:rPr>
        <w:t>次</w:t>
      </w:r>
      <w:r>
        <w:rPr>
          <w:sz w:val="21"/>
        </w:rPr>
        <w:t>经医</w:t>
      </w:r>
      <w:r>
        <w:rPr>
          <w:spacing w:val="2"/>
          <w:sz w:val="21"/>
        </w:rPr>
        <w:t>院</w:t>
      </w:r>
      <w:r>
        <w:rPr>
          <w:sz w:val="21"/>
        </w:rPr>
        <w:t>确诊</w:t>
      </w:r>
      <w:r>
        <w:rPr>
          <w:spacing w:val="2"/>
          <w:sz w:val="21"/>
        </w:rPr>
        <w:t>患</w:t>
      </w:r>
      <w:r>
        <w:rPr>
          <w:sz w:val="21"/>
        </w:rPr>
        <w:t>有某种</w:t>
      </w:r>
      <w:r>
        <w:rPr>
          <w:spacing w:val="2"/>
          <w:sz w:val="21"/>
        </w:rPr>
        <w:t>疾</w:t>
      </w:r>
      <w:r>
        <w:rPr>
          <w:sz w:val="21"/>
        </w:rPr>
        <w:t>病，</w:t>
      </w:r>
      <w:r>
        <w:rPr>
          <w:rFonts w:ascii="黑体" w:eastAsia="黑体" w:hint="eastAsia"/>
          <w:spacing w:val="2"/>
          <w:sz w:val="21"/>
        </w:rPr>
        <w:t>而</w:t>
      </w:r>
      <w:r>
        <w:rPr>
          <w:rFonts w:ascii="黑体" w:eastAsia="黑体" w:hint="eastAsia"/>
          <w:sz w:val="21"/>
        </w:rPr>
        <w:t>不是</w:t>
      </w:r>
      <w:r>
        <w:rPr>
          <w:rFonts w:ascii="黑体" w:eastAsia="黑体" w:hint="eastAsia"/>
          <w:spacing w:val="2"/>
          <w:sz w:val="21"/>
        </w:rPr>
        <w:t>指</w:t>
      </w:r>
      <w:r>
        <w:rPr>
          <w:rFonts w:ascii="黑体" w:eastAsia="黑体" w:hint="eastAsia"/>
          <w:sz w:val="21"/>
        </w:rPr>
        <w:t>自本</w:t>
      </w:r>
      <w:r>
        <w:rPr>
          <w:rFonts w:ascii="黑体" w:eastAsia="黑体" w:hint="eastAsia"/>
          <w:spacing w:val="2"/>
          <w:sz w:val="21"/>
        </w:rPr>
        <w:t>合</w:t>
      </w:r>
      <w:r>
        <w:rPr>
          <w:rFonts w:ascii="黑体" w:eastAsia="黑体" w:hint="eastAsia"/>
          <w:sz w:val="21"/>
        </w:rPr>
        <w:t>同Th 效、复效</w:t>
      </w:r>
      <w:r>
        <w:rPr>
          <w:rFonts w:ascii="黑体" w:eastAsia="黑体" w:hint="eastAsia"/>
          <w:spacing w:val="-5"/>
          <w:sz w:val="21"/>
        </w:rPr>
        <w:t>之</w:t>
      </w:r>
      <w:r>
        <w:rPr>
          <w:rFonts w:ascii="黑体" w:eastAsia="黑体" w:hint="eastAsia"/>
          <w:sz w:val="21"/>
        </w:rPr>
        <w:t>后第一</w:t>
      </w:r>
      <w:r>
        <w:rPr>
          <w:rFonts w:ascii="黑体" w:eastAsia="黑体" w:hint="eastAsia"/>
          <w:spacing w:val="-5"/>
          <w:sz w:val="21"/>
        </w:rPr>
        <w:t>次</w:t>
      </w:r>
      <w:r>
        <w:rPr>
          <w:rFonts w:ascii="黑体" w:eastAsia="黑体" w:hint="eastAsia"/>
          <w:sz w:val="21"/>
        </w:rPr>
        <w:t>经医院</w:t>
      </w:r>
      <w:r>
        <w:rPr>
          <w:rFonts w:ascii="黑体" w:eastAsia="黑体" w:hint="eastAsia"/>
          <w:spacing w:val="-5"/>
          <w:sz w:val="21"/>
        </w:rPr>
        <w:t>确</w:t>
      </w:r>
      <w:r>
        <w:rPr>
          <w:rFonts w:ascii="黑体" w:eastAsia="黑体" w:hint="eastAsia"/>
          <w:sz w:val="21"/>
        </w:rPr>
        <w:t>诊患有</w:t>
      </w:r>
      <w:r>
        <w:rPr>
          <w:rFonts w:ascii="黑体" w:eastAsia="黑体" w:hint="eastAsia"/>
          <w:spacing w:val="-5"/>
          <w:sz w:val="21"/>
        </w:rPr>
        <w:t>某</w:t>
      </w:r>
      <w:r>
        <w:rPr>
          <w:rFonts w:ascii="黑体" w:eastAsia="黑体" w:hint="eastAsia"/>
          <w:sz w:val="21"/>
        </w:rPr>
        <w:t>种疾病</w:t>
      </w:r>
      <w:r>
        <w:rPr>
          <w:rFonts w:ascii="黑体" w:eastAsia="黑体" w:hint="eastAsia"/>
          <w:spacing w:val="-5"/>
          <w:sz w:val="21"/>
        </w:rPr>
        <w:t>。</w:t>
      </w:r>
      <w:r>
        <w:rPr>
          <w:sz w:val="21"/>
        </w:rPr>
        <w:t>例</w:t>
      </w:r>
      <w:r>
        <w:rPr>
          <w:spacing w:val="-5"/>
          <w:sz w:val="21"/>
        </w:rPr>
        <w:t>如</w:t>
      </w:r>
      <w:r>
        <w:rPr>
          <w:sz w:val="21"/>
        </w:rPr>
        <w:t>，2010</w:t>
      </w:r>
      <w:r>
        <w:rPr>
          <w:spacing w:val="-41"/>
          <w:sz w:val="21"/>
        </w:rPr>
        <w:t> </w:t>
      </w:r>
      <w:r>
        <w:rPr>
          <w:sz w:val="21"/>
        </w:rPr>
        <w:t>年</w:t>
      </w:r>
      <w:r>
        <w:rPr>
          <w:spacing w:val="-36"/>
          <w:sz w:val="21"/>
        </w:rPr>
        <w:t> </w:t>
      </w:r>
      <w:r>
        <w:rPr>
          <w:sz w:val="21"/>
        </w:rPr>
        <w:t>1</w:t>
      </w:r>
      <w:r>
        <w:rPr>
          <w:spacing w:val="-41"/>
          <w:sz w:val="21"/>
        </w:rPr>
        <w:t> </w:t>
      </w:r>
      <w:r>
        <w:rPr>
          <w:sz w:val="21"/>
        </w:rPr>
        <w:t>月</w:t>
      </w:r>
      <w:r>
        <w:rPr>
          <w:spacing w:val="-36"/>
          <w:sz w:val="21"/>
        </w:rPr>
        <w:t> </w:t>
      </w:r>
      <w:r>
        <w:rPr>
          <w:sz w:val="21"/>
        </w:rPr>
        <w:t>1</w:t>
      </w:r>
      <w:r>
        <w:rPr>
          <w:spacing w:val="-36"/>
          <w:sz w:val="21"/>
        </w:rPr>
        <w:t> </w:t>
      </w:r>
      <w:r>
        <w:rPr>
          <w:spacing w:val="-5"/>
          <w:sz w:val="21"/>
        </w:rPr>
        <w:t>日</w:t>
      </w:r>
      <w:r>
        <w:rPr>
          <w:sz w:val="21"/>
        </w:rPr>
        <w:t>本合</w:t>
      </w:r>
      <w:r>
        <w:rPr>
          <w:spacing w:val="-5"/>
          <w:sz w:val="21"/>
        </w:rPr>
        <w:t>同</w:t>
      </w:r>
      <w:r>
        <w:rPr>
          <w:sz w:val="21"/>
        </w:rPr>
        <w:t>经首次投保</w:t>
      </w:r>
      <w:r>
        <w:rPr>
          <w:spacing w:val="-5"/>
          <w:sz w:val="21"/>
        </w:rPr>
        <w:t>后</w:t>
      </w:r>
      <w:r>
        <w:rPr>
          <w:sz w:val="21"/>
        </w:rPr>
        <w:t>生效，</w:t>
      </w:r>
      <w:r>
        <w:rPr>
          <w:spacing w:val="-5"/>
          <w:sz w:val="21"/>
        </w:rPr>
        <w:t>若</w:t>
      </w:r>
      <w:r>
        <w:rPr>
          <w:sz w:val="21"/>
        </w:rPr>
        <w:t>：</w:t>
      </w:r>
    </w:p>
    <w:p>
      <w:pPr>
        <w:pStyle w:val="ListParagraph"/>
        <w:numPr>
          <w:ilvl w:val="0"/>
          <w:numId w:val="45"/>
        </w:numPr>
        <w:tabs>
          <w:tab w:pos="3487" w:val="left" w:leader="none"/>
        </w:tabs>
        <w:spacing w:line="240" w:lineRule="auto" w:before="101" w:after="0"/>
        <w:ind w:left="3486" w:right="0" w:hanging="720"/>
        <w:jc w:val="left"/>
        <w:rPr>
          <w:sz w:val="21"/>
        </w:rPr>
      </w:pPr>
      <w:r>
        <w:rPr>
          <w:w w:val="100"/>
          <w:sz w:val="21"/>
        </w:rPr>
        <w:t>2009</w:t>
      </w:r>
      <w:r>
        <w:rPr>
          <w:spacing w:val="-48"/>
          <w:sz w:val="21"/>
        </w:rPr>
        <w:t> </w:t>
      </w:r>
      <w:r>
        <w:rPr>
          <w:w w:val="100"/>
          <w:sz w:val="21"/>
        </w:rPr>
        <w:t>年</w:t>
      </w:r>
      <w:r>
        <w:rPr>
          <w:spacing w:val="-53"/>
          <w:sz w:val="21"/>
        </w:rPr>
        <w:t> </w:t>
      </w:r>
      <w:r>
        <w:rPr>
          <w:w w:val="100"/>
          <w:sz w:val="21"/>
        </w:rPr>
        <w:t>1</w:t>
      </w:r>
      <w:r>
        <w:rPr>
          <w:spacing w:val="-48"/>
          <w:sz w:val="21"/>
        </w:rPr>
        <w:t> </w:t>
      </w:r>
      <w:r>
        <w:rPr>
          <w:w w:val="100"/>
          <w:sz w:val="21"/>
        </w:rPr>
        <w:t>月</w:t>
      </w:r>
      <w:r>
        <w:rPr>
          <w:spacing w:val="-48"/>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486"/>
      </w:pPr>
      <w:r>
        <w:rPr>
          <w:w w:val="100"/>
        </w:rPr>
        <w:t>2010</w:t>
      </w:r>
      <w:r>
        <w:rPr>
          <w:spacing w:val="-53"/>
        </w:rPr>
        <w:t> </w:t>
      </w:r>
      <w:r>
        <w:rPr>
          <w:w w:val="100"/>
        </w:rPr>
        <w:t>年</w:t>
      </w:r>
      <w:r>
        <w:rPr>
          <w:spacing w:val="-48"/>
        </w:rPr>
        <w:t> </w:t>
      </w:r>
      <w:r>
        <w:rPr>
          <w:w w:val="100"/>
        </w:rPr>
        <w:t>1</w:t>
      </w:r>
      <w:r>
        <w:rPr>
          <w:spacing w:val="-53"/>
        </w:rPr>
        <w:t> </w:t>
      </w:r>
      <w:r>
        <w:rPr>
          <w:w w:val="100"/>
        </w:rPr>
        <w:t>月</w:t>
      </w:r>
      <w:r>
        <w:rPr>
          <w:spacing w:val="-48"/>
        </w:rPr>
        <w:t> </w:t>
      </w:r>
      <w:r>
        <w:rPr>
          <w:spacing w:val="-5"/>
          <w:w w:val="100"/>
        </w:rPr>
        <w:t>1</w:t>
      </w:r>
      <w:r>
        <w:rPr>
          <w:w w:val="100"/>
        </w:rPr>
        <w:t>0</w:t>
      </w:r>
      <w:r>
        <w:rPr>
          <w:spacing w:val="-48"/>
        </w:rPr>
        <w:t> </w:t>
      </w:r>
      <w:r>
        <w:rPr>
          <w:spacing w:val="-11"/>
          <w:w w:val="100"/>
        </w:rPr>
        <w:t>日被保险人再次经医院确诊罹患“恶性肿瘤”，则</w:t>
      </w:r>
      <w:r>
        <w:rPr>
          <w:spacing w:val="-48"/>
        </w:rPr>
        <w:t> </w:t>
      </w:r>
      <w:r>
        <w:rPr>
          <w:w w:val="100"/>
        </w:rPr>
        <w:t>20</w:t>
      </w:r>
      <w:r>
        <w:rPr>
          <w:spacing w:val="-5"/>
          <w:w w:val="100"/>
        </w:rPr>
        <w:t>0</w:t>
      </w:r>
      <w:r>
        <w:rPr>
          <w:w w:val="100"/>
        </w:rPr>
        <w:t>9</w:t>
      </w:r>
      <w:r>
        <w:rPr>
          <w:spacing w:val="-48"/>
        </w:rPr>
        <w:t> </w:t>
      </w:r>
      <w:r>
        <w:rPr>
          <w:w w:val="100"/>
        </w:rPr>
        <w:t>年</w:t>
      </w:r>
    </w:p>
    <w:p>
      <w:pPr>
        <w:pStyle w:val="BodyText"/>
        <w:spacing w:line="273" w:lineRule="auto" w:before="37"/>
        <w:ind w:left="3486" w:right="220"/>
        <w:jc w:val="both"/>
      </w:pPr>
      <w:r>
        <w:rPr/>
        <w:t>1</w:t>
      </w:r>
      <w:r>
        <w:rPr>
          <w:spacing w:val="-25"/>
        </w:rPr>
        <w:t> 月 </w:t>
      </w:r>
      <w:r>
        <w:rPr/>
        <w:t>1</w:t>
      </w:r>
      <w:r>
        <w:rPr>
          <w:spacing w:val="-6"/>
        </w:rPr>
        <w:t> 日为被保险人经医院初次确诊罹患“恶性肿瘤”的时间，由于“初</w:t>
      </w:r>
      <w:r>
        <w:rPr>
          <w:spacing w:val="-8"/>
        </w:rPr>
        <w:t>次确诊”发生在本合同生效之前，因此不属于保险责任范围，我们不承担保险责任；</w:t>
      </w:r>
    </w:p>
    <w:p>
      <w:pPr>
        <w:pStyle w:val="ListParagraph"/>
        <w:numPr>
          <w:ilvl w:val="0"/>
          <w:numId w:val="45"/>
        </w:numPr>
        <w:tabs>
          <w:tab w:pos="3487" w:val="left" w:leader="none"/>
        </w:tabs>
        <w:spacing w:line="240" w:lineRule="auto" w:before="89" w:after="0"/>
        <w:ind w:left="3486" w:right="0" w:hanging="720"/>
        <w:jc w:val="left"/>
        <w:rPr>
          <w:sz w:val="21"/>
        </w:rPr>
      </w:pPr>
      <w:r>
        <w:rPr>
          <w:sz w:val="21"/>
        </w:rPr>
        <w:t>2010</w:t>
      </w:r>
      <w:r>
        <w:rPr>
          <w:spacing w:val="-16"/>
          <w:sz w:val="21"/>
        </w:rPr>
        <w:t> 年 </w:t>
      </w:r>
      <w:r>
        <w:rPr>
          <w:sz w:val="21"/>
        </w:rPr>
        <w:t>2</w:t>
      </w:r>
      <w:r>
        <w:rPr>
          <w:spacing w:val="-16"/>
          <w:sz w:val="21"/>
        </w:rPr>
        <w:t> 月 </w:t>
      </w:r>
      <w:r>
        <w:rPr>
          <w:sz w:val="21"/>
        </w:rPr>
        <w:t>2</w:t>
      </w:r>
      <w:r>
        <w:rPr>
          <w:spacing w:val="-5"/>
          <w:sz w:val="21"/>
        </w:rPr>
        <w:t> 日被保险人自出生后第一次经医院确诊非因意外伤害罹患</w:t>
      </w:r>
    </w:p>
    <w:p>
      <w:pPr>
        <w:pStyle w:val="BodyText"/>
        <w:spacing w:before="32"/>
        <w:ind w:left="3486"/>
        <w:jc w:val="both"/>
      </w:pPr>
      <w:r>
        <w:rPr>
          <w:spacing w:val="-30"/>
          <w:w w:val="100"/>
        </w:rPr>
        <w:t>“恶性肿瘤”，</w:t>
      </w:r>
      <w:r>
        <w:rPr>
          <w:w w:val="100"/>
        </w:rPr>
        <w:t>2010</w:t>
      </w:r>
      <w:r>
        <w:rPr>
          <w:spacing w:val="-53"/>
        </w:rPr>
        <w:t> </w:t>
      </w:r>
      <w:r>
        <w:rPr>
          <w:w w:val="100"/>
        </w:rPr>
        <w:t>年</w:t>
      </w:r>
      <w:r>
        <w:rPr>
          <w:spacing w:val="-53"/>
        </w:rPr>
        <w:t> </w:t>
      </w:r>
      <w:r>
        <w:rPr>
          <w:w w:val="100"/>
        </w:rPr>
        <w:t>5</w:t>
      </w:r>
      <w:r>
        <w:rPr>
          <w:spacing w:val="-57"/>
        </w:rPr>
        <w:t> </w:t>
      </w:r>
      <w:r>
        <w:rPr>
          <w:w w:val="100"/>
        </w:rPr>
        <w:t>月</w:t>
      </w:r>
      <w:r>
        <w:rPr>
          <w:spacing w:val="-53"/>
        </w:rPr>
        <w:t> </w:t>
      </w:r>
      <w:r>
        <w:rPr>
          <w:w w:val="100"/>
        </w:rPr>
        <w:t>5</w:t>
      </w:r>
      <w:r>
        <w:rPr>
          <w:spacing w:val="-53"/>
        </w:rPr>
        <w:t> </w:t>
      </w:r>
      <w:r>
        <w:rPr>
          <w:spacing w:val="-17"/>
          <w:w w:val="100"/>
        </w:rPr>
        <w:t>日被保险人再次经医院确诊罹患“恶性肿瘤”，</w:t>
      </w:r>
    </w:p>
    <w:p>
      <w:pPr>
        <w:pStyle w:val="BodyText"/>
        <w:spacing w:before="37"/>
        <w:ind w:left="3486"/>
        <w:jc w:val="both"/>
      </w:pPr>
      <w:r>
        <w:rPr>
          <w:spacing w:val="-24"/>
        </w:rPr>
        <w:t>则 </w:t>
      </w:r>
      <w:r>
        <w:rPr/>
        <w:t>2010</w:t>
      </w:r>
      <w:r>
        <w:rPr>
          <w:spacing w:val="-32"/>
        </w:rPr>
        <w:t> 年 </w:t>
      </w:r>
      <w:r>
        <w:rPr/>
        <w:t>2</w:t>
      </w:r>
      <w:r>
        <w:rPr>
          <w:spacing w:val="-34"/>
        </w:rPr>
        <w:t> 月 </w:t>
      </w:r>
      <w:r>
        <w:rPr/>
        <w:t>2</w:t>
      </w:r>
      <w:r>
        <w:rPr>
          <w:spacing w:val="-10"/>
        </w:rPr>
        <w:t> 日为被保险人经医院初次确诊罹患“恶性肿瘤”的时间，</w:t>
      </w:r>
    </w:p>
    <w:p>
      <w:pPr>
        <w:pStyle w:val="BodyText"/>
        <w:spacing w:before="37"/>
        <w:ind w:left="3486"/>
        <w:jc w:val="both"/>
      </w:pPr>
      <w:r>
        <w:rPr/>
        <w:t>由于“初次确诊”发生在本合同生效之日起 90 日内，我们向您无息退还</w:t>
      </w:r>
    </w:p>
    <w:p>
      <w:pPr>
        <w:spacing w:after="0"/>
        <w:jc w:val="both"/>
        <w:sectPr>
          <w:type w:val="continuous"/>
          <w:pgSz w:w="11900" w:h="16840"/>
          <w:pgMar w:top="560" w:bottom="280" w:left="920" w:right="580"/>
        </w:sectPr>
      </w:pPr>
    </w:p>
    <w:p>
      <w:pPr>
        <w:pStyle w:val="BodyText"/>
        <w:spacing w:before="19"/>
        <w:ind w:left="3386"/>
      </w:pPr>
      <w:r>
        <w:rPr/>
        <w:t>累计已交纳的本合同的保险费，本合同终止；</w:t>
      </w:r>
    </w:p>
    <w:p>
      <w:pPr>
        <w:pStyle w:val="ListParagraph"/>
        <w:numPr>
          <w:ilvl w:val="0"/>
          <w:numId w:val="45"/>
        </w:numPr>
        <w:tabs>
          <w:tab w:pos="3387" w:val="left" w:leader="none"/>
        </w:tabs>
        <w:spacing w:line="240" w:lineRule="auto" w:before="118" w:after="0"/>
        <w:ind w:left="3386" w:right="0" w:hanging="720"/>
        <w:jc w:val="left"/>
        <w:rPr>
          <w:sz w:val="21"/>
        </w:rPr>
      </w:pPr>
      <w:r>
        <w:rPr>
          <w:w w:val="100"/>
          <w:sz w:val="21"/>
        </w:rPr>
        <w:t>2011</w:t>
      </w:r>
      <w:r>
        <w:rPr>
          <w:spacing w:val="-48"/>
          <w:sz w:val="21"/>
        </w:rPr>
        <w:t> </w:t>
      </w:r>
      <w:r>
        <w:rPr>
          <w:w w:val="100"/>
          <w:sz w:val="21"/>
        </w:rPr>
        <w:t>年</w:t>
      </w:r>
      <w:r>
        <w:rPr>
          <w:spacing w:val="-53"/>
          <w:sz w:val="21"/>
        </w:rPr>
        <w:t> </w:t>
      </w:r>
      <w:r>
        <w:rPr>
          <w:w w:val="100"/>
          <w:sz w:val="21"/>
        </w:rPr>
        <w:t>5</w:t>
      </w:r>
      <w:r>
        <w:rPr>
          <w:spacing w:val="-48"/>
          <w:sz w:val="21"/>
        </w:rPr>
        <w:t> </w:t>
      </w:r>
      <w:r>
        <w:rPr>
          <w:w w:val="100"/>
          <w:sz w:val="21"/>
        </w:rPr>
        <w:t>月</w:t>
      </w:r>
      <w:r>
        <w:rPr>
          <w:spacing w:val="-48"/>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2"/>
        <w:ind w:left="3386"/>
      </w:pPr>
      <w:r>
        <w:rPr>
          <w:spacing w:val="-24"/>
        </w:rPr>
        <w:t>则 </w:t>
      </w:r>
      <w:r>
        <w:rPr/>
        <w:t>2011</w:t>
      </w:r>
      <w:r>
        <w:rPr>
          <w:spacing w:val="-32"/>
        </w:rPr>
        <w:t> 年 </w:t>
      </w:r>
      <w:r>
        <w:rPr/>
        <w:t>5</w:t>
      </w:r>
      <w:r>
        <w:rPr>
          <w:spacing w:val="-34"/>
        </w:rPr>
        <w:t> 月 </w:t>
      </w:r>
      <w:r>
        <w:rPr/>
        <w:t>5</w:t>
      </w:r>
      <w:r>
        <w:rPr>
          <w:spacing w:val="-10"/>
        </w:rPr>
        <w:t> 日为被保险人经医院初次确诊罹患“恶性肿瘤”的时间，</w:t>
      </w:r>
    </w:p>
    <w:p>
      <w:pPr>
        <w:pStyle w:val="BodyText"/>
        <w:spacing w:line="273" w:lineRule="auto" w:before="37"/>
        <w:ind w:left="3386" w:right="166"/>
      </w:pPr>
      <w:r>
        <w:rPr/>
        <w:t>由于“初次确诊”发生在本合同生效之日起 90 日后，我们承担豁免保险费的责任，本合同终止。</w:t>
      </w:r>
    </w:p>
    <w:p>
      <w:pPr>
        <w:pStyle w:val="BodyText"/>
        <w:spacing w:before="12"/>
        <w:rPr>
          <w:sz w:val="14"/>
        </w:rPr>
      </w:pPr>
    </w:p>
    <w:p>
      <w:pPr>
        <w:pStyle w:val="ListParagraph"/>
        <w:numPr>
          <w:ilvl w:val="1"/>
          <w:numId w:val="7"/>
        </w:numPr>
        <w:tabs>
          <w:tab w:pos="1144" w:val="left" w:leader="none"/>
          <w:tab w:pos="1145" w:val="left" w:leader="none"/>
          <w:tab w:pos="2627" w:val="left" w:leader="none"/>
        </w:tabs>
        <w:spacing w:line="256" w:lineRule="auto" w:before="0" w:after="0"/>
        <w:ind w:left="2628" w:right="225" w:hanging="2516"/>
        <w:jc w:val="both"/>
        <w:rPr>
          <w:rFonts w:ascii="黑体" w:eastAsia="黑体" w:hint="eastAsia"/>
          <w:sz w:val="21"/>
        </w:rPr>
      </w:pPr>
      <w:r>
        <w:rPr>
          <w:rFonts w:ascii="Microsoft JhengHei" w:eastAsia="Microsoft JhengHei" w:hint="eastAsia"/>
          <w:b/>
          <w:sz w:val="21"/>
        </w:rPr>
        <w:t>意外伤害</w:t>
        <w:tab/>
      </w:r>
      <w:r>
        <w:rPr>
          <w:spacing w:val="2"/>
          <w:sz w:val="21"/>
        </w:rPr>
        <w:t>指</w:t>
      </w:r>
      <w:r>
        <w:rPr>
          <w:sz w:val="21"/>
        </w:rPr>
        <w:t>外来</w:t>
      </w:r>
      <w:r>
        <w:rPr>
          <w:spacing w:val="5"/>
          <w:sz w:val="21"/>
        </w:rPr>
        <w:t>的</w:t>
      </w:r>
      <w:r>
        <w:rPr>
          <w:sz w:val="21"/>
        </w:rPr>
        <w:t>、突</w:t>
      </w:r>
      <w:r>
        <w:rPr>
          <w:spacing w:val="2"/>
          <w:sz w:val="21"/>
        </w:rPr>
        <w:t>然</w:t>
      </w:r>
      <w:r>
        <w:rPr>
          <w:sz w:val="21"/>
        </w:rPr>
        <w:t>的、</w:t>
      </w:r>
      <w:r>
        <w:rPr>
          <w:spacing w:val="2"/>
          <w:sz w:val="21"/>
        </w:rPr>
        <w:t>非</w:t>
      </w:r>
      <w:r>
        <w:rPr>
          <w:sz w:val="21"/>
        </w:rPr>
        <w:t>本意的</w:t>
      </w:r>
      <w:r>
        <w:rPr>
          <w:spacing w:val="2"/>
          <w:sz w:val="21"/>
        </w:rPr>
        <w:t>、</w:t>
      </w:r>
      <w:r>
        <w:rPr>
          <w:sz w:val="21"/>
        </w:rPr>
        <w:t>非疾</w:t>
      </w:r>
      <w:r>
        <w:rPr>
          <w:spacing w:val="2"/>
          <w:sz w:val="21"/>
        </w:rPr>
        <w:t>病</w:t>
      </w:r>
      <w:r>
        <w:rPr>
          <w:sz w:val="21"/>
        </w:rPr>
        <w:t>的使</w:t>
      </w:r>
      <w:r>
        <w:rPr>
          <w:spacing w:val="2"/>
          <w:sz w:val="21"/>
        </w:rPr>
        <w:t>身</w:t>
      </w:r>
      <w:r>
        <w:rPr>
          <w:sz w:val="21"/>
        </w:rPr>
        <w:t>体受到</w:t>
      </w:r>
      <w:r>
        <w:rPr>
          <w:spacing w:val="2"/>
          <w:sz w:val="21"/>
        </w:rPr>
        <w:t>伤</w:t>
      </w:r>
      <w:r>
        <w:rPr>
          <w:sz w:val="21"/>
        </w:rPr>
        <w:t>害的</w:t>
      </w:r>
      <w:r>
        <w:rPr>
          <w:spacing w:val="2"/>
          <w:sz w:val="21"/>
        </w:rPr>
        <w:t>客</w:t>
      </w:r>
      <w:r>
        <w:rPr>
          <w:sz w:val="21"/>
        </w:rPr>
        <w:t>观事</w:t>
      </w:r>
      <w:r>
        <w:rPr>
          <w:spacing w:val="5"/>
          <w:sz w:val="21"/>
        </w:rPr>
        <w:t>件</w:t>
      </w:r>
      <w:r>
        <w:rPr>
          <w:sz w:val="21"/>
        </w:rPr>
        <w:t>，并</w:t>
      </w:r>
      <w:r>
        <w:rPr>
          <w:spacing w:val="2"/>
          <w:sz w:val="21"/>
        </w:rPr>
        <w:t>以</w:t>
      </w:r>
      <w:r>
        <w:rPr>
          <w:sz w:val="21"/>
        </w:rPr>
        <w:t>此客 </w:t>
      </w:r>
      <w:r>
        <w:rPr>
          <w:spacing w:val="2"/>
          <w:sz w:val="21"/>
        </w:rPr>
        <w:t>观</w:t>
      </w:r>
      <w:r>
        <w:rPr>
          <w:sz w:val="21"/>
        </w:rPr>
        <w:t>事件</w:t>
      </w:r>
      <w:r>
        <w:rPr>
          <w:spacing w:val="2"/>
          <w:sz w:val="21"/>
        </w:rPr>
        <w:t>为</w:t>
      </w:r>
      <w:r>
        <w:rPr>
          <w:sz w:val="21"/>
        </w:rPr>
        <w:t>直接</w:t>
      </w:r>
      <w:r>
        <w:rPr>
          <w:spacing w:val="2"/>
          <w:sz w:val="21"/>
        </w:rPr>
        <w:t>且</w:t>
      </w:r>
      <w:r>
        <w:rPr>
          <w:sz w:val="21"/>
        </w:rPr>
        <w:t>单独</w:t>
      </w:r>
      <w:r>
        <w:rPr>
          <w:spacing w:val="2"/>
          <w:sz w:val="21"/>
        </w:rPr>
        <w:t>原</w:t>
      </w:r>
      <w:r>
        <w:rPr>
          <w:sz w:val="21"/>
        </w:rPr>
        <w:t>因导致</w:t>
      </w:r>
      <w:r>
        <w:rPr>
          <w:spacing w:val="2"/>
          <w:sz w:val="21"/>
        </w:rPr>
        <w:t>身</w:t>
      </w:r>
      <w:r>
        <w:rPr>
          <w:sz w:val="21"/>
        </w:rPr>
        <w:t>体蒙</w:t>
      </w:r>
      <w:r>
        <w:rPr>
          <w:spacing w:val="2"/>
          <w:sz w:val="21"/>
        </w:rPr>
        <w:t>受</w:t>
      </w:r>
      <w:r>
        <w:rPr>
          <w:sz w:val="21"/>
        </w:rPr>
        <w:t>伤害</w:t>
      </w:r>
      <w:r>
        <w:rPr>
          <w:spacing w:val="2"/>
          <w:sz w:val="21"/>
        </w:rPr>
        <w:t>或</w:t>
      </w:r>
      <w:r>
        <w:rPr>
          <w:sz w:val="21"/>
        </w:rPr>
        <w:t>者身故</w:t>
      </w:r>
      <w:r>
        <w:rPr>
          <w:spacing w:val="2"/>
          <w:sz w:val="21"/>
        </w:rPr>
        <w:t>，</w:t>
      </w:r>
      <w:r>
        <w:rPr>
          <w:rFonts w:ascii="黑体" w:eastAsia="黑体" w:hint="eastAsia"/>
          <w:sz w:val="21"/>
        </w:rPr>
        <w:t>猝死</w:t>
      </w:r>
      <w:r>
        <w:rPr>
          <w:rFonts w:ascii="黑体" w:eastAsia="黑体" w:hint="eastAsia"/>
          <w:spacing w:val="2"/>
          <w:sz w:val="21"/>
        </w:rPr>
        <w:t>、</w:t>
      </w:r>
      <w:r>
        <w:rPr>
          <w:rFonts w:ascii="黑体" w:eastAsia="黑体" w:hint="eastAsia"/>
          <w:sz w:val="21"/>
        </w:rPr>
        <w:t>自杀</w:t>
      </w:r>
      <w:r>
        <w:rPr>
          <w:rFonts w:ascii="黑体" w:eastAsia="黑体" w:hint="eastAsia"/>
          <w:spacing w:val="2"/>
          <w:sz w:val="21"/>
        </w:rPr>
        <w:t>以</w:t>
      </w:r>
      <w:r>
        <w:rPr>
          <w:rFonts w:ascii="黑体" w:eastAsia="黑体" w:hint="eastAsia"/>
          <w:sz w:val="21"/>
        </w:rPr>
        <w:t>及自</w:t>
      </w:r>
      <w:r>
        <w:rPr>
          <w:rFonts w:ascii="黑体" w:eastAsia="黑体" w:hint="eastAsia"/>
          <w:spacing w:val="2"/>
          <w:sz w:val="21"/>
        </w:rPr>
        <w:t>伤</w:t>
      </w:r>
      <w:r>
        <w:rPr>
          <w:rFonts w:ascii="黑体" w:eastAsia="黑体" w:hint="eastAsia"/>
          <w:sz w:val="21"/>
        </w:rPr>
        <w:t>均不属于意外</w:t>
      </w:r>
      <w:r>
        <w:rPr>
          <w:rFonts w:ascii="黑体" w:eastAsia="黑体" w:hint="eastAsia"/>
          <w:spacing w:val="-5"/>
          <w:sz w:val="21"/>
        </w:rPr>
        <w:t>伤</w:t>
      </w:r>
      <w:r>
        <w:rPr>
          <w:rFonts w:ascii="黑体" w:eastAsia="黑体" w:hint="eastAsia"/>
          <w:sz w:val="21"/>
        </w:rPr>
        <w:t>害。</w:t>
      </w:r>
    </w:p>
    <w:p>
      <w:pPr>
        <w:pStyle w:val="BodyText"/>
        <w:spacing w:line="268" w:lineRule="auto" w:before="104"/>
        <w:ind w:left="2628" w:right="220"/>
      </w:pPr>
      <w:r>
        <w:rPr>
          <w:spacing w:val="-6"/>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3"/>
        <w:rPr>
          <w:sz w:val="15"/>
        </w:rPr>
      </w:pPr>
    </w:p>
    <w:p>
      <w:pPr>
        <w:pStyle w:val="ListParagraph"/>
        <w:numPr>
          <w:ilvl w:val="1"/>
          <w:numId w:val="7"/>
        </w:numPr>
        <w:tabs>
          <w:tab w:pos="1144" w:val="left" w:leader="none"/>
          <w:tab w:pos="1145" w:val="left" w:leader="none"/>
          <w:tab w:pos="2627" w:val="left" w:leader="none"/>
        </w:tabs>
        <w:spacing w:line="256" w:lineRule="auto" w:before="0" w:after="0"/>
        <w:ind w:left="2628" w:right="215" w:hanging="2516"/>
        <w:jc w:val="both"/>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w:t>
      </w:r>
      <w:r>
        <w:rPr>
          <w:spacing w:val="-5"/>
          <w:sz w:val="21"/>
        </w:rPr>
        <w:t>麻</w:t>
      </w:r>
      <w:r>
        <w:rPr>
          <w:sz w:val="21"/>
        </w:rPr>
        <w:t>、 </w:t>
      </w:r>
      <w:r>
        <w:rPr>
          <w:spacing w:val="2"/>
          <w:sz w:val="21"/>
        </w:rPr>
        <w:t>可</w:t>
      </w:r>
      <w:r>
        <w:rPr>
          <w:sz w:val="21"/>
        </w:rPr>
        <w:t>卡因</w:t>
      </w:r>
      <w:r>
        <w:rPr>
          <w:spacing w:val="2"/>
          <w:sz w:val="21"/>
        </w:rPr>
        <w:t>以</w:t>
      </w:r>
      <w:r>
        <w:rPr>
          <w:sz w:val="21"/>
        </w:rPr>
        <w:t>及国</w:t>
      </w:r>
      <w:r>
        <w:rPr>
          <w:spacing w:val="2"/>
          <w:sz w:val="21"/>
        </w:rPr>
        <w:t>家</w:t>
      </w:r>
      <w:r>
        <w:rPr>
          <w:sz w:val="21"/>
        </w:rPr>
        <w:t>规定</w:t>
      </w:r>
      <w:r>
        <w:rPr>
          <w:spacing w:val="2"/>
          <w:sz w:val="21"/>
        </w:rPr>
        <w:t>管</w:t>
      </w:r>
      <w:r>
        <w:rPr>
          <w:sz w:val="21"/>
        </w:rPr>
        <w:t>制的其</w:t>
      </w:r>
      <w:r>
        <w:rPr>
          <w:spacing w:val="2"/>
          <w:sz w:val="21"/>
        </w:rPr>
        <w:t>他</w:t>
      </w:r>
      <w:r>
        <w:rPr>
          <w:sz w:val="21"/>
        </w:rPr>
        <w:t>能够</w:t>
      </w:r>
      <w:r>
        <w:rPr>
          <w:spacing w:val="2"/>
          <w:sz w:val="21"/>
        </w:rPr>
        <w:t>使</w:t>
      </w:r>
      <w:r>
        <w:rPr>
          <w:sz w:val="21"/>
        </w:rPr>
        <w:t>人形</w:t>
      </w:r>
      <w:r>
        <w:rPr>
          <w:spacing w:val="2"/>
          <w:sz w:val="21"/>
        </w:rPr>
        <w:t>成</w:t>
      </w:r>
      <w:r>
        <w:rPr>
          <w:sz w:val="21"/>
        </w:rPr>
        <w:t>瘾癖的</w:t>
      </w:r>
      <w:r>
        <w:rPr>
          <w:spacing w:val="2"/>
          <w:sz w:val="21"/>
        </w:rPr>
        <w:t>麻</w:t>
      </w:r>
      <w:r>
        <w:rPr>
          <w:sz w:val="21"/>
        </w:rPr>
        <w:t>醉药</w:t>
      </w:r>
      <w:r>
        <w:rPr>
          <w:spacing w:val="2"/>
          <w:sz w:val="21"/>
        </w:rPr>
        <w:t>品</w:t>
      </w:r>
      <w:r>
        <w:rPr>
          <w:sz w:val="21"/>
        </w:rPr>
        <w:t>和精</w:t>
      </w:r>
      <w:r>
        <w:rPr>
          <w:spacing w:val="2"/>
          <w:sz w:val="21"/>
        </w:rPr>
        <w:t>神</w:t>
      </w:r>
      <w:r>
        <w:rPr>
          <w:sz w:val="21"/>
        </w:rPr>
        <w:t>药品</w:t>
      </w:r>
      <w:r>
        <w:rPr>
          <w:spacing w:val="2"/>
          <w:sz w:val="21"/>
        </w:rPr>
        <w:t>，</w:t>
      </w:r>
      <w:r>
        <w:rPr>
          <w:sz w:val="21"/>
        </w:rPr>
        <w:t>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spacing w:before="8"/>
        <w:rPr>
          <w:sz w:val="15"/>
        </w:rPr>
      </w:pPr>
    </w:p>
    <w:p>
      <w:pPr>
        <w:pStyle w:val="ListParagraph"/>
        <w:numPr>
          <w:ilvl w:val="1"/>
          <w:numId w:val="7"/>
        </w:numPr>
        <w:tabs>
          <w:tab w:pos="1145" w:val="left" w:leader="none"/>
          <w:tab w:pos="2627" w:val="left" w:leader="none"/>
        </w:tabs>
        <w:spacing w:line="259" w:lineRule="auto" w:before="0" w:after="0"/>
        <w:ind w:left="2628" w:right="225" w:hanging="2516"/>
        <w:jc w:val="both"/>
        <w:rPr>
          <w:sz w:val="21"/>
        </w:rPr>
      </w:pPr>
      <w:r>
        <w:rPr>
          <w:rFonts w:ascii="Microsoft JhengHei" w:eastAsia="Microsoft JhengHei" w:hint="eastAsia"/>
          <w:b/>
          <w:sz w:val="21"/>
        </w:rPr>
        <w:t>酒后驾驶</w:t>
        <w:tab/>
      </w:r>
      <w:r>
        <w:rPr>
          <w:spacing w:val="2"/>
          <w:sz w:val="21"/>
        </w:rPr>
        <w:t>指</w:t>
      </w:r>
      <w:r>
        <w:rPr>
          <w:sz w:val="21"/>
        </w:rPr>
        <w:t>经检</w:t>
      </w:r>
      <w:r>
        <w:rPr>
          <w:spacing w:val="2"/>
          <w:sz w:val="21"/>
        </w:rPr>
        <w:t>测</w:t>
      </w:r>
      <w:r>
        <w:rPr>
          <w:sz w:val="21"/>
        </w:rPr>
        <w:t>或者</w:t>
      </w:r>
      <w:r>
        <w:rPr>
          <w:spacing w:val="2"/>
          <w:sz w:val="21"/>
        </w:rPr>
        <w:t>鉴</w:t>
      </w:r>
      <w:r>
        <w:rPr>
          <w:sz w:val="21"/>
        </w:rPr>
        <w:t>定，</w:t>
      </w:r>
      <w:r>
        <w:rPr>
          <w:spacing w:val="2"/>
          <w:sz w:val="21"/>
        </w:rPr>
        <w:t>发</w:t>
      </w:r>
      <w:r>
        <w:rPr>
          <w:sz w:val="21"/>
        </w:rPr>
        <w:t>生保险</w:t>
      </w:r>
      <w:r>
        <w:rPr>
          <w:spacing w:val="2"/>
          <w:sz w:val="21"/>
        </w:rPr>
        <w:t>事</w:t>
      </w:r>
      <w:r>
        <w:rPr>
          <w:sz w:val="21"/>
        </w:rPr>
        <w:t>故时</w:t>
      </w:r>
      <w:r>
        <w:rPr>
          <w:spacing w:val="2"/>
          <w:sz w:val="21"/>
        </w:rPr>
        <w:t>每</w:t>
      </w:r>
      <w:r>
        <w:rPr>
          <w:sz w:val="21"/>
        </w:rPr>
        <w:t>百毫</w:t>
      </w:r>
      <w:r>
        <w:rPr>
          <w:spacing w:val="2"/>
          <w:sz w:val="21"/>
        </w:rPr>
        <w:t>升</w:t>
      </w:r>
      <w:r>
        <w:rPr>
          <w:sz w:val="21"/>
        </w:rPr>
        <w:t>血液中</w:t>
      </w:r>
      <w:r>
        <w:rPr>
          <w:spacing w:val="2"/>
          <w:sz w:val="21"/>
        </w:rPr>
        <w:t>的</w:t>
      </w:r>
      <w:r>
        <w:rPr>
          <w:sz w:val="21"/>
        </w:rPr>
        <w:t>酒精</w:t>
      </w:r>
      <w:r>
        <w:rPr>
          <w:spacing w:val="2"/>
          <w:sz w:val="21"/>
        </w:rPr>
        <w:t>含</w:t>
      </w:r>
      <w:r>
        <w:rPr>
          <w:sz w:val="21"/>
        </w:rPr>
        <w:t>量达</w:t>
      </w:r>
      <w:r>
        <w:rPr>
          <w:spacing w:val="2"/>
          <w:sz w:val="21"/>
        </w:rPr>
        <w:t>到</w:t>
      </w:r>
      <w:r>
        <w:rPr>
          <w:sz w:val="21"/>
        </w:rPr>
        <w:t>或者</w:t>
      </w:r>
      <w:r>
        <w:rPr>
          <w:spacing w:val="2"/>
          <w:sz w:val="21"/>
        </w:rPr>
        <w:t>超</w:t>
      </w:r>
      <w:r>
        <w:rPr>
          <w:sz w:val="21"/>
        </w:rPr>
        <w:t>过一 </w:t>
      </w:r>
      <w:r>
        <w:rPr>
          <w:spacing w:val="2"/>
          <w:sz w:val="21"/>
        </w:rPr>
        <w:t>定</w:t>
      </w:r>
      <w:r>
        <w:rPr>
          <w:sz w:val="21"/>
        </w:rPr>
        <w:t>的标</w:t>
      </w:r>
      <w:r>
        <w:rPr>
          <w:spacing w:val="5"/>
          <w:sz w:val="21"/>
        </w:rPr>
        <w:t>准</w:t>
      </w:r>
      <w:r>
        <w:rPr>
          <w:sz w:val="21"/>
        </w:rPr>
        <w:t>，是</w:t>
      </w:r>
      <w:r>
        <w:rPr>
          <w:spacing w:val="2"/>
          <w:sz w:val="21"/>
        </w:rPr>
        <w:t>否</w:t>
      </w:r>
      <w:r>
        <w:rPr>
          <w:sz w:val="21"/>
        </w:rPr>
        <w:t>达到</w:t>
      </w:r>
      <w:r>
        <w:rPr>
          <w:spacing w:val="2"/>
          <w:sz w:val="21"/>
        </w:rPr>
        <w:t>前</w:t>
      </w:r>
      <w:r>
        <w:rPr>
          <w:sz w:val="21"/>
        </w:rPr>
        <w:t>述标准</w:t>
      </w:r>
      <w:r>
        <w:rPr>
          <w:spacing w:val="2"/>
          <w:sz w:val="21"/>
        </w:rPr>
        <w:t>由</w:t>
      </w:r>
      <w:r>
        <w:rPr>
          <w:sz w:val="21"/>
        </w:rPr>
        <w:t>公安</w:t>
      </w:r>
      <w:r>
        <w:rPr>
          <w:spacing w:val="2"/>
          <w:sz w:val="21"/>
        </w:rPr>
        <w:t>机</w:t>
      </w:r>
      <w:r>
        <w:rPr>
          <w:sz w:val="21"/>
        </w:rPr>
        <w:t>关交</w:t>
      </w:r>
      <w:r>
        <w:rPr>
          <w:spacing w:val="2"/>
          <w:sz w:val="21"/>
        </w:rPr>
        <w:t>通</w:t>
      </w:r>
      <w:r>
        <w:rPr>
          <w:sz w:val="21"/>
        </w:rPr>
        <w:t>管理部</w:t>
      </w:r>
      <w:r>
        <w:rPr>
          <w:spacing w:val="2"/>
          <w:sz w:val="21"/>
        </w:rPr>
        <w:t>门</w:t>
      </w:r>
      <w:r>
        <w:rPr>
          <w:sz w:val="21"/>
        </w:rPr>
        <w:t>依据</w:t>
      </w:r>
      <w:r>
        <w:rPr>
          <w:spacing w:val="2"/>
          <w:sz w:val="21"/>
        </w:rPr>
        <w:t>《</w:t>
      </w:r>
      <w:r>
        <w:rPr>
          <w:sz w:val="21"/>
        </w:rPr>
        <w:t>道路</w:t>
      </w:r>
      <w:r>
        <w:rPr>
          <w:spacing w:val="2"/>
          <w:sz w:val="21"/>
        </w:rPr>
        <w:t>交</w:t>
      </w:r>
      <w:r>
        <w:rPr>
          <w:sz w:val="21"/>
        </w:rPr>
        <w:t>通安</w:t>
      </w:r>
      <w:r>
        <w:rPr>
          <w:spacing w:val="2"/>
          <w:sz w:val="21"/>
        </w:rPr>
        <w:t>全</w:t>
      </w:r>
      <w:r>
        <w:rPr>
          <w:sz w:val="21"/>
        </w:rPr>
        <w:t>法》的规定认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理部门</w:t>
      </w:r>
      <w:r>
        <w:rPr>
          <w:spacing w:val="-5"/>
          <w:sz w:val="21"/>
        </w:rPr>
        <w:t>的</w:t>
      </w:r>
      <w:r>
        <w:rPr>
          <w:sz w:val="21"/>
        </w:rPr>
        <w:t>认</w:t>
      </w:r>
      <w:r>
        <w:rPr>
          <w:spacing w:val="-5"/>
          <w:sz w:val="21"/>
        </w:rPr>
        <w:t>定</w:t>
      </w:r>
      <w:r>
        <w:rPr>
          <w:sz w:val="21"/>
        </w:rPr>
        <w:t>确认是否</w:t>
      </w:r>
      <w:r>
        <w:rPr>
          <w:spacing w:val="-5"/>
          <w:sz w:val="21"/>
        </w:rPr>
        <w:t>属</w:t>
      </w:r>
      <w:r>
        <w:rPr>
          <w:sz w:val="21"/>
        </w:rPr>
        <w:t>于酒后</w:t>
      </w:r>
      <w:r>
        <w:rPr>
          <w:spacing w:val="-5"/>
          <w:sz w:val="21"/>
        </w:rPr>
        <w:t>驾</w:t>
      </w:r>
      <w:r>
        <w:rPr>
          <w:sz w:val="21"/>
        </w:rPr>
        <w:t>驶。</w:t>
      </w:r>
    </w:p>
    <w:p>
      <w:pPr>
        <w:pStyle w:val="BodyText"/>
        <w:spacing w:before="10"/>
        <w:rPr>
          <w:sz w:val="17"/>
        </w:rPr>
      </w:pPr>
    </w:p>
    <w:p>
      <w:pPr>
        <w:spacing w:after="0"/>
        <w:rPr>
          <w:sz w:val="17"/>
        </w:rPr>
        <w:sectPr>
          <w:pgSz w:w="11900" w:h="16840"/>
          <w:pgMar w:top="1100" w:bottom="280" w:left="1020" w:right="58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t>无合法有效驾驶证驾驶</w:t>
      </w:r>
    </w:p>
    <w:p>
      <w:pPr>
        <w:pStyle w:val="BodyText"/>
        <w:spacing w:before="37"/>
        <w:ind w:left="112"/>
      </w:pPr>
      <w:r>
        <w:rPr/>
        <w:br w:type="column"/>
      </w:r>
      <w:r>
        <w:rPr/>
        <w:t>指下列情形之一：</w:t>
      </w:r>
    </w:p>
    <w:p>
      <w:pPr>
        <w:pStyle w:val="ListParagraph"/>
        <w:numPr>
          <w:ilvl w:val="0"/>
          <w:numId w:val="46"/>
        </w:numPr>
        <w:tabs>
          <w:tab w:pos="847" w:val="left" w:leader="none"/>
          <w:tab w:pos="848" w:val="left" w:leader="none"/>
        </w:tabs>
        <w:spacing w:line="240" w:lineRule="auto" w:before="114" w:after="0"/>
        <w:ind w:left="847" w:right="0" w:hanging="735"/>
        <w:jc w:val="left"/>
        <w:rPr>
          <w:sz w:val="21"/>
        </w:rPr>
      </w:pPr>
      <w:r>
        <w:rPr>
          <w:spacing w:val="-5"/>
          <w:sz w:val="21"/>
        </w:rPr>
        <w:t>没有取得中华人民共和国有关主管部门颁发或者认可的驾驶资格证书；</w:t>
      </w:r>
    </w:p>
    <w:p>
      <w:pPr>
        <w:pStyle w:val="ListParagraph"/>
        <w:numPr>
          <w:ilvl w:val="0"/>
          <w:numId w:val="46"/>
        </w:numPr>
        <w:tabs>
          <w:tab w:pos="847" w:val="left" w:leader="none"/>
          <w:tab w:pos="848" w:val="left" w:leader="none"/>
        </w:tabs>
        <w:spacing w:line="240" w:lineRule="auto" w:before="118" w:after="0"/>
        <w:ind w:left="847" w:right="0" w:hanging="735"/>
        <w:jc w:val="left"/>
        <w:rPr>
          <w:sz w:val="21"/>
        </w:rPr>
      </w:pPr>
      <w:r>
        <w:rPr>
          <w:spacing w:val="-5"/>
          <w:sz w:val="21"/>
        </w:rPr>
        <w:t>驾驶与合法有效驾驶证准驾车型不相符合的车辆；</w:t>
      </w:r>
    </w:p>
    <w:p>
      <w:pPr>
        <w:pStyle w:val="ListParagraph"/>
        <w:numPr>
          <w:ilvl w:val="0"/>
          <w:numId w:val="46"/>
        </w:numPr>
        <w:tabs>
          <w:tab w:pos="847" w:val="left" w:leader="none"/>
          <w:tab w:pos="848" w:val="left" w:leader="none"/>
        </w:tabs>
        <w:spacing w:line="240" w:lineRule="auto" w:before="113" w:after="0"/>
        <w:ind w:left="847" w:right="0" w:hanging="735"/>
        <w:jc w:val="left"/>
        <w:rPr>
          <w:sz w:val="21"/>
        </w:rPr>
      </w:pPr>
      <w:r>
        <w:rPr>
          <w:spacing w:val="-2"/>
          <w:sz w:val="21"/>
        </w:rPr>
        <w:t>持审验不合格的驾驶证驾驶；</w:t>
      </w:r>
    </w:p>
    <w:p>
      <w:pPr>
        <w:pStyle w:val="ListParagraph"/>
        <w:numPr>
          <w:ilvl w:val="0"/>
          <w:numId w:val="46"/>
        </w:numPr>
        <w:tabs>
          <w:tab w:pos="847" w:val="left" w:leader="none"/>
          <w:tab w:pos="848" w:val="left" w:leader="none"/>
        </w:tabs>
        <w:spacing w:line="268" w:lineRule="auto" w:before="113" w:after="0"/>
        <w:ind w:left="847" w:right="220" w:hanging="735"/>
        <w:jc w:val="left"/>
        <w:rPr>
          <w:sz w:val="21"/>
        </w:rPr>
      </w:pPr>
      <w:r>
        <w:rPr>
          <w:spacing w:val="-5"/>
          <w:sz w:val="21"/>
        </w:rPr>
        <w:t>在驾驶证有效期内未按照中华人民共和国法律、行政法规的规定，定期对机动车驾驶证实施审验的；</w:t>
      </w:r>
    </w:p>
    <w:p>
      <w:pPr>
        <w:pStyle w:val="ListParagraph"/>
        <w:numPr>
          <w:ilvl w:val="0"/>
          <w:numId w:val="46"/>
        </w:numPr>
        <w:tabs>
          <w:tab w:pos="847" w:val="left" w:leader="none"/>
          <w:tab w:pos="848" w:val="left" w:leader="none"/>
        </w:tabs>
        <w:spacing w:line="240" w:lineRule="auto" w:before="93" w:after="0"/>
        <w:ind w:left="847" w:right="0" w:hanging="735"/>
        <w:jc w:val="left"/>
        <w:rPr>
          <w:sz w:val="21"/>
        </w:rPr>
      </w:pPr>
      <w:r>
        <w:rPr>
          <w:spacing w:val="-2"/>
          <w:sz w:val="21"/>
        </w:rPr>
        <w:t>驾驶证已过有效期的。</w:t>
      </w:r>
    </w:p>
    <w:p>
      <w:pPr>
        <w:spacing w:after="0" w:line="240" w:lineRule="auto"/>
        <w:jc w:val="left"/>
        <w:rPr>
          <w:sz w:val="21"/>
        </w:rPr>
        <w:sectPr>
          <w:type w:val="continuous"/>
          <w:pgSz w:w="11900" w:h="16840"/>
          <w:pgMar w:top="560" w:bottom="280" w:left="1020" w:right="580"/>
          <w:cols w:num="2" w:equalWidth="0">
            <w:col w:w="2412" w:space="103"/>
            <w:col w:w="7785"/>
          </w:cols>
        </w:sectPr>
      </w:pPr>
    </w:p>
    <w:p>
      <w:pPr>
        <w:pStyle w:val="BodyText"/>
        <w:spacing w:before="1"/>
        <w:rPr>
          <w:sz w:val="19"/>
        </w:rPr>
      </w:pPr>
    </w:p>
    <w:p>
      <w:pPr>
        <w:spacing w:after="0"/>
        <w:rPr>
          <w:sz w:val="19"/>
        </w:rPr>
        <w:sectPr>
          <w:type w:val="continuous"/>
          <w:pgSz w:w="11900" w:h="16840"/>
          <w:pgMar w:top="560" w:bottom="280" w:left="1020" w:right="580"/>
        </w:sectPr>
      </w:pPr>
    </w:p>
    <w:p>
      <w:pPr>
        <w:pStyle w:val="Heading2"/>
        <w:numPr>
          <w:ilvl w:val="1"/>
          <w:numId w:val="7"/>
        </w:numPr>
        <w:tabs>
          <w:tab w:pos="1144" w:val="left" w:leader="none"/>
          <w:tab w:pos="1145" w:val="left" w:leader="none"/>
        </w:tabs>
        <w:spacing w:line="201" w:lineRule="auto" w:before="29" w:after="0"/>
        <w:ind w:left="1144" w:right="0" w:hanging="1032"/>
        <w:jc w:val="left"/>
      </w:pPr>
      <w:r>
        <w:rPr/>
        <w:t>无合法有效行驶证</w:t>
      </w:r>
    </w:p>
    <w:p>
      <w:pPr>
        <w:pStyle w:val="BodyText"/>
        <w:spacing w:line="268" w:lineRule="auto" w:before="37"/>
        <w:ind w:left="112" w:right="228"/>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47"/>
        </w:numPr>
        <w:tabs>
          <w:tab w:pos="847" w:val="left" w:leader="none"/>
          <w:tab w:pos="848" w:val="left" w:leader="none"/>
        </w:tabs>
        <w:spacing w:line="240" w:lineRule="auto" w:before="93" w:after="0"/>
        <w:ind w:left="847" w:right="0" w:hanging="735"/>
        <w:jc w:val="left"/>
        <w:rPr>
          <w:sz w:val="21"/>
        </w:rPr>
      </w:pPr>
      <w:r>
        <w:rPr>
          <w:spacing w:val="-4"/>
          <w:sz w:val="21"/>
        </w:rPr>
        <w:t>未办理行驶证或者行驶证在申办过程中的；</w:t>
      </w:r>
    </w:p>
    <w:p>
      <w:pPr>
        <w:pStyle w:val="ListParagraph"/>
        <w:numPr>
          <w:ilvl w:val="0"/>
          <w:numId w:val="47"/>
        </w:numPr>
        <w:tabs>
          <w:tab w:pos="847" w:val="left" w:leader="none"/>
          <w:tab w:pos="848" w:val="left" w:leader="none"/>
        </w:tabs>
        <w:spacing w:line="240" w:lineRule="auto" w:before="118" w:after="0"/>
        <w:ind w:left="847" w:right="0" w:hanging="735"/>
        <w:jc w:val="left"/>
        <w:rPr>
          <w:sz w:val="21"/>
        </w:rPr>
      </w:pPr>
      <w:r>
        <w:rPr>
          <w:spacing w:val="-3"/>
          <w:sz w:val="21"/>
        </w:rPr>
        <w:t>机动车行驶证被依法注销登记的；</w:t>
      </w:r>
    </w:p>
    <w:p>
      <w:pPr>
        <w:pStyle w:val="ListParagraph"/>
        <w:numPr>
          <w:ilvl w:val="0"/>
          <w:numId w:val="47"/>
        </w:numPr>
        <w:tabs>
          <w:tab w:pos="847" w:val="left" w:leader="none"/>
          <w:tab w:pos="848" w:val="left" w:leader="none"/>
        </w:tabs>
        <w:spacing w:line="268" w:lineRule="auto" w:before="113" w:after="0"/>
        <w:ind w:left="847" w:right="235" w:hanging="735"/>
        <w:jc w:val="left"/>
        <w:rPr>
          <w:sz w:val="21"/>
        </w:rPr>
      </w:pPr>
      <w:r>
        <w:rPr>
          <w:spacing w:val="1"/>
          <w:sz w:val="21"/>
        </w:rPr>
        <w:t>未在行驶证检验有效期内依法按时进行或者未通过机动车安全技术检验的。</w:t>
      </w:r>
    </w:p>
    <w:p>
      <w:pPr>
        <w:spacing w:after="0" w:line="268" w:lineRule="auto"/>
        <w:jc w:val="left"/>
        <w:rPr>
          <w:sz w:val="21"/>
        </w:rPr>
        <w:sectPr>
          <w:type w:val="continuous"/>
          <w:pgSz w:w="11900" w:h="16840"/>
          <w:pgMar w:top="560" w:bottom="280" w:left="1020" w:right="580"/>
          <w:cols w:num="2" w:equalWidth="0">
            <w:col w:w="2412" w:space="103"/>
            <w:col w:w="7785"/>
          </w:cols>
        </w:sectPr>
      </w:pPr>
    </w:p>
    <w:p>
      <w:pPr>
        <w:pStyle w:val="BodyText"/>
        <w:spacing w:before="2"/>
        <w:rPr>
          <w:sz w:val="17"/>
        </w:rPr>
      </w:pPr>
    </w:p>
    <w:p>
      <w:pPr>
        <w:pStyle w:val="ListParagraph"/>
        <w:numPr>
          <w:ilvl w:val="1"/>
          <w:numId w:val="7"/>
        </w:numPr>
        <w:tabs>
          <w:tab w:pos="1144" w:val="left" w:leader="none"/>
          <w:tab w:pos="1145" w:val="left" w:leader="none"/>
          <w:tab w:pos="2627" w:val="left" w:leader="none"/>
        </w:tabs>
        <w:spacing w:line="312" w:lineRule="exact" w:before="32" w:after="0"/>
        <w:ind w:left="2628" w:right="227" w:hanging="2516"/>
        <w:jc w:val="left"/>
        <w:rPr>
          <w:sz w:val="21"/>
        </w:rPr>
      </w:pPr>
      <w:r>
        <w:rPr>
          <w:rFonts w:ascii="Microsoft JhengHei" w:eastAsia="Microsoft JhengHei" w:hint="eastAsia"/>
          <w:b/>
          <w:sz w:val="21"/>
        </w:rPr>
        <w:t>机动车</w:t>
        <w:tab/>
      </w:r>
      <w:r>
        <w:rPr>
          <w:spacing w:val="2"/>
          <w:sz w:val="21"/>
        </w:rPr>
        <w:t>指</w:t>
      </w:r>
      <w:r>
        <w:rPr>
          <w:sz w:val="21"/>
        </w:rPr>
        <w:t>以动</w:t>
      </w:r>
      <w:r>
        <w:rPr>
          <w:spacing w:val="2"/>
          <w:sz w:val="21"/>
        </w:rPr>
        <w:t>力</w:t>
      </w:r>
      <w:r>
        <w:rPr>
          <w:sz w:val="21"/>
        </w:rPr>
        <w:t>装置</w:t>
      </w:r>
      <w:r>
        <w:rPr>
          <w:spacing w:val="2"/>
          <w:sz w:val="21"/>
        </w:rPr>
        <w:t>驱</w:t>
      </w:r>
      <w:r>
        <w:rPr>
          <w:sz w:val="21"/>
        </w:rPr>
        <w:t>动或</w:t>
      </w:r>
      <w:r>
        <w:rPr>
          <w:spacing w:val="2"/>
          <w:sz w:val="21"/>
        </w:rPr>
        <w:t>者</w:t>
      </w:r>
      <w:r>
        <w:rPr>
          <w:sz w:val="21"/>
        </w:rPr>
        <w:t>牵引，</w:t>
      </w:r>
      <w:r>
        <w:rPr>
          <w:spacing w:val="2"/>
          <w:sz w:val="21"/>
        </w:rPr>
        <w:t>上</w:t>
      </w:r>
      <w:r>
        <w:rPr>
          <w:sz w:val="21"/>
        </w:rPr>
        <w:t>道路</w:t>
      </w:r>
      <w:r>
        <w:rPr>
          <w:spacing w:val="2"/>
          <w:sz w:val="21"/>
        </w:rPr>
        <w:t>行</w:t>
      </w:r>
      <w:r>
        <w:rPr>
          <w:sz w:val="21"/>
        </w:rPr>
        <w:t>驶的</w:t>
      </w:r>
      <w:r>
        <w:rPr>
          <w:spacing w:val="2"/>
          <w:sz w:val="21"/>
        </w:rPr>
        <w:t>供</w:t>
      </w:r>
      <w:r>
        <w:rPr>
          <w:sz w:val="21"/>
        </w:rPr>
        <w:t>人员乘</w:t>
      </w:r>
      <w:r>
        <w:rPr>
          <w:spacing w:val="2"/>
          <w:sz w:val="21"/>
        </w:rPr>
        <w:t>用</w:t>
      </w:r>
      <w:r>
        <w:rPr>
          <w:sz w:val="21"/>
        </w:rPr>
        <w:t>或者</w:t>
      </w:r>
      <w:r>
        <w:rPr>
          <w:spacing w:val="2"/>
          <w:sz w:val="21"/>
        </w:rPr>
        <w:t>用</w:t>
      </w:r>
      <w:r>
        <w:rPr>
          <w:sz w:val="21"/>
        </w:rPr>
        <w:t>于运</w:t>
      </w:r>
      <w:r>
        <w:rPr>
          <w:spacing w:val="2"/>
          <w:sz w:val="21"/>
        </w:rPr>
        <w:t>送</w:t>
      </w:r>
      <w:r>
        <w:rPr>
          <w:sz w:val="21"/>
        </w:rPr>
        <w:t>物品</w:t>
      </w:r>
      <w:r>
        <w:rPr>
          <w:spacing w:val="2"/>
          <w:sz w:val="21"/>
        </w:rPr>
        <w:t>以</w:t>
      </w:r>
      <w:r>
        <w:rPr>
          <w:sz w:val="21"/>
        </w:rPr>
        <w:t>及进 行工程专</w:t>
      </w:r>
      <w:r>
        <w:rPr>
          <w:spacing w:val="-5"/>
          <w:sz w:val="21"/>
        </w:rPr>
        <w:t>项</w:t>
      </w:r>
      <w:r>
        <w:rPr>
          <w:sz w:val="21"/>
        </w:rPr>
        <w:t>作业的</w:t>
      </w:r>
      <w:r>
        <w:rPr>
          <w:spacing w:val="-5"/>
          <w:sz w:val="21"/>
        </w:rPr>
        <w:t>轮</w:t>
      </w:r>
      <w:r>
        <w:rPr>
          <w:sz w:val="21"/>
        </w:rPr>
        <w:t>式车辆。</w:t>
      </w:r>
    </w:p>
    <w:p>
      <w:pPr>
        <w:pStyle w:val="BodyText"/>
        <w:spacing w:before="8"/>
        <w:rPr>
          <w:sz w:val="16"/>
        </w:rPr>
      </w:pPr>
    </w:p>
    <w:p>
      <w:pPr>
        <w:spacing w:after="0"/>
        <w:rPr>
          <w:sz w:val="16"/>
        </w:rPr>
        <w:sectPr>
          <w:type w:val="continuous"/>
          <w:pgSz w:w="11900" w:h="16840"/>
          <w:pgMar w:top="560" w:bottom="280" w:left="1020" w:right="580"/>
        </w:sectPr>
      </w:pPr>
    </w:p>
    <w:p>
      <w:pPr>
        <w:pStyle w:val="Heading2"/>
        <w:numPr>
          <w:ilvl w:val="1"/>
          <w:numId w:val="7"/>
        </w:numPr>
        <w:tabs>
          <w:tab w:pos="1145" w:val="left" w:leader="none"/>
        </w:tabs>
        <w:spacing w:line="204" w:lineRule="auto" w:before="24" w:after="0"/>
        <w:ind w:left="1144" w:right="0" w:hanging="1032"/>
        <w:jc w:val="both"/>
      </w:pPr>
      <w:r>
        <w:rPr/>
        <w:t>感染艾滋病病毒或者患艾滋病</w:t>
      </w:r>
    </w:p>
    <w:p>
      <w:pPr>
        <w:pStyle w:val="BodyText"/>
        <w:spacing w:line="268" w:lineRule="auto" w:before="36"/>
        <w:ind w:left="112" w:right="220"/>
      </w:pPr>
      <w:r>
        <w:rPr/>
        <w:br w:type="column"/>
      </w:r>
      <w:r>
        <w:rPr>
          <w:spacing w:val="-7"/>
        </w:rPr>
        <w:t>艾滋病病毒指人类免疫缺陷病毒，英文缩写为 </w:t>
      </w:r>
      <w:r>
        <w:rPr/>
        <w:t>HIV</w:t>
      </w:r>
      <w:r>
        <w:rPr>
          <w:spacing w:val="-7"/>
        </w:rPr>
        <w:t>。艾滋病指人类免疫缺陷病毒引</w:t>
      </w:r>
      <w:r>
        <w:rPr>
          <w:spacing w:val="-8"/>
        </w:rPr>
        <w:t>起的获得性免疫缺陷综合征，英文缩写为 </w:t>
      </w:r>
      <w:r>
        <w:rPr/>
        <w:t>AIDS。</w:t>
      </w:r>
    </w:p>
    <w:p>
      <w:pPr>
        <w:pStyle w:val="BodyText"/>
        <w:spacing w:line="273" w:lineRule="auto" w:before="93"/>
        <w:ind w:left="112" w:right="114"/>
      </w:pPr>
      <w:r>
        <w:rPr/>
        <w:t>在人体血液或者其他样本中检测到艾滋病病毒或者其抗体呈阳性，没有出现临床</w:t>
      </w:r>
      <w:r>
        <w:rPr>
          <w:spacing w:val="-5"/>
        </w:rPr>
        <w:t>症状或者体征的，为感染艾滋病病毒；如果同时出现了明显临床症状或者体征的， 为患艾滋病。</w:t>
      </w:r>
    </w:p>
    <w:p>
      <w:pPr>
        <w:spacing w:after="0" w:line="273" w:lineRule="auto"/>
        <w:sectPr>
          <w:type w:val="continuous"/>
          <w:pgSz w:w="11900" w:h="16840"/>
          <w:pgMar w:top="560" w:bottom="280" w:left="1020" w:right="580"/>
          <w:cols w:num="2" w:equalWidth="0">
            <w:col w:w="2412" w:space="103"/>
            <w:col w:w="7785"/>
          </w:cols>
        </w:sectPr>
      </w:pPr>
    </w:p>
    <w:p>
      <w:pPr>
        <w:pStyle w:val="BodyText"/>
        <w:spacing w:before="11"/>
        <w:rPr>
          <w:sz w:val="16"/>
        </w:rPr>
      </w:pPr>
    </w:p>
    <w:p>
      <w:pPr>
        <w:pStyle w:val="ListParagraph"/>
        <w:numPr>
          <w:ilvl w:val="1"/>
          <w:numId w:val="7"/>
        </w:numPr>
        <w:tabs>
          <w:tab w:pos="1144" w:val="left" w:leader="none"/>
          <w:tab w:pos="1145" w:val="left" w:leader="none"/>
          <w:tab w:pos="2627" w:val="left" w:leader="none"/>
        </w:tabs>
        <w:spacing w:line="335" w:lineRule="exact" w:before="0" w:after="0"/>
        <w:ind w:left="1144" w:right="0" w:hanging="1032"/>
        <w:jc w:val="left"/>
        <w:rPr>
          <w:sz w:val="21"/>
        </w:rPr>
      </w:pPr>
      <w:r>
        <w:rPr>
          <w:rFonts w:ascii="Microsoft JhengHei" w:eastAsia="Microsoft JhengHei" w:hint="eastAsia"/>
          <w:b/>
          <w:sz w:val="21"/>
        </w:rPr>
        <w:t>遗传性疾病</w:t>
        <w:tab/>
      </w:r>
      <w:r>
        <w:rPr>
          <w:spacing w:val="2"/>
          <w:sz w:val="21"/>
        </w:rPr>
        <w:t>指</w:t>
      </w:r>
      <w:r>
        <w:rPr>
          <w:sz w:val="21"/>
        </w:rPr>
        <w:t>生殖</w:t>
      </w:r>
      <w:r>
        <w:rPr>
          <w:spacing w:val="2"/>
          <w:sz w:val="21"/>
        </w:rPr>
        <w:t>细</w:t>
      </w:r>
      <w:r>
        <w:rPr>
          <w:sz w:val="21"/>
        </w:rPr>
        <w:t>胞或</w:t>
      </w:r>
      <w:r>
        <w:rPr>
          <w:spacing w:val="2"/>
          <w:sz w:val="21"/>
        </w:rPr>
        <w:t>者</w:t>
      </w:r>
      <w:r>
        <w:rPr>
          <w:sz w:val="21"/>
        </w:rPr>
        <w:t>受精</w:t>
      </w:r>
      <w:r>
        <w:rPr>
          <w:spacing w:val="2"/>
          <w:sz w:val="21"/>
        </w:rPr>
        <w:t>卵</w:t>
      </w:r>
      <w:r>
        <w:rPr>
          <w:sz w:val="21"/>
        </w:rPr>
        <w:t>的遗传</w:t>
      </w:r>
      <w:r>
        <w:rPr>
          <w:spacing w:val="2"/>
          <w:sz w:val="21"/>
        </w:rPr>
        <w:t>物</w:t>
      </w:r>
      <w:r>
        <w:rPr>
          <w:sz w:val="21"/>
        </w:rPr>
        <w:t>质（</w:t>
      </w:r>
      <w:r>
        <w:rPr>
          <w:spacing w:val="2"/>
          <w:sz w:val="21"/>
        </w:rPr>
        <w:t>染</w:t>
      </w:r>
      <w:r>
        <w:rPr>
          <w:sz w:val="21"/>
        </w:rPr>
        <w:t>色体</w:t>
      </w:r>
      <w:r>
        <w:rPr>
          <w:spacing w:val="2"/>
          <w:sz w:val="21"/>
        </w:rPr>
        <w:t>和</w:t>
      </w:r>
      <w:r>
        <w:rPr>
          <w:sz w:val="21"/>
        </w:rPr>
        <w:t>基因）</w:t>
      </w:r>
      <w:r>
        <w:rPr>
          <w:spacing w:val="2"/>
          <w:sz w:val="21"/>
        </w:rPr>
        <w:t>发</w:t>
      </w:r>
      <w:r>
        <w:rPr>
          <w:sz w:val="21"/>
        </w:rPr>
        <w:t>生突</w:t>
      </w:r>
      <w:r>
        <w:rPr>
          <w:spacing w:val="5"/>
          <w:sz w:val="21"/>
        </w:rPr>
        <w:t>变</w:t>
      </w:r>
      <w:r>
        <w:rPr>
          <w:sz w:val="21"/>
        </w:rPr>
        <w:t>或者</w:t>
      </w:r>
      <w:r>
        <w:rPr>
          <w:spacing w:val="2"/>
          <w:sz w:val="21"/>
        </w:rPr>
        <w:t>畸</w:t>
      </w:r>
      <w:r>
        <w:rPr>
          <w:sz w:val="21"/>
        </w:rPr>
        <w:t>变所</w:t>
      </w:r>
      <w:r>
        <w:rPr>
          <w:spacing w:val="2"/>
          <w:sz w:val="21"/>
        </w:rPr>
        <w:t>引</w:t>
      </w:r>
      <w:r>
        <w:rPr>
          <w:sz w:val="21"/>
        </w:rPr>
        <w:t>起的</w:t>
      </w:r>
    </w:p>
    <w:p>
      <w:pPr>
        <w:spacing w:after="0" w:line="335" w:lineRule="exact"/>
        <w:jc w:val="left"/>
        <w:rPr>
          <w:sz w:val="21"/>
        </w:rPr>
        <w:sectPr>
          <w:type w:val="continuous"/>
          <w:pgSz w:w="11900" w:h="16840"/>
          <w:pgMar w:top="560" w:bottom="280" w:left="1020" w:right="580"/>
        </w:sectPr>
      </w:pPr>
    </w:p>
    <w:p>
      <w:pPr>
        <w:pStyle w:val="BodyText"/>
        <w:spacing w:before="19"/>
        <w:ind w:left="2628"/>
      </w:pPr>
      <w:r>
        <w:rPr/>
        <w:t>疾病，通常具有由亲代传至后代的垂直传递的特征。</w:t>
      </w:r>
    </w:p>
    <w:p>
      <w:pPr>
        <w:pStyle w:val="BodyText"/>
        <w:spacing w:before="6"/>
        <w:rPr>
          <w:sz w:val="19"/>
        </w:rPr>
      </w:pPr>
    </w:p>
    <w:p>
      <w:pPr>
        <w:spacing w:after="0"/>
        <w:rPr>
          <w:sz w:val="19"/>
        </w:rPr>
        <w:sectPr>
          <w:pgSz w:w="11900" w:h="16840"/>
          <w:pgMar w:top="1100" w:bottom="280" w:left="1020" w:right="580"/>
        </w:sectPr>
      </w:pPr>
    </w:p>
    <w:p>
      <w:pPr>
        <w:pStyle w:val="Heading2"/>
        <w:numPr>
          <w:ilvl w:val="1"/>
          <w:numId w:val="7"/>
        </w:numPr>
        <w:tabs>
          <w:tab w:pos="1145" w:val="left" w:leader="none"/>
        </w:tabs>
        <w:spacing w:line="204" w:lineRule="auto" w:before="24" w:after="0"/>
        <w:ind w:left="1144" w:right="0" w:hanging="1032"/>
        <w:jc w:val="both"/>
      </w:pPr>
      <w:r>
        <w:rPr/>
        <w:t>先天性畸形、变形或者染色体异常</w:t>
      </w:r>
    </w:p>
    <w:p>
      <w:pPr>
        <w:pStyle w:val="BodyText"/>
        <w:spacing w:line="271" w:lineRule="auto" w:before="36"/>
        <w:ind w:left="112" w:right="225"/>
        <w:jc w:val="both"/>
      </w:pPr>
      <w:r>
        <w:rPr/>
        <w:br w:type="column"/>
      </w:r>
      <w:r>
        <w:rPr/>
        <w:t>指被保险人出生时就具有的畸形、变形或者染色体异常。先天性畸形、变形和染</w:t>
      </w:r>
      <w:r>
        <w:rPr>
          <w:spacing w:val="-9"/>
        </w:rPr>
        <w:t>色体异常依照世界卫生组织《疾病和有关健康问题的国际统计分类》</w:t>
      </w:r>
      <w:r>
        <w:rPr/>
        <w:t>（ICD-10）确定。</w:t>
      </w:r>
    </w:p>
    <w:p>
      <w:pPr>
        <w:spacing w:after="0" w:line="271" w:lineRule="auto"/>
        <w:jc w:val="both"/>
        <w:sectPr>
          <w:type w:val="continuous"/>
          <w:pgSz w:w="11900" w:h="16840"/>
          <w:pgMar w:top="560" w:bottom="280" w:left="1020" w:right="580"/>
          <w:cols w:num="2" w:equalWidth="0">
            <w:col w:w="2412" w:space="103"/>
            <w:col w:w="7785"/>
          </w:cols>
        </w:sectPr>
      </w:pPr>
    </w:p>
    <w:p>
      <w:pPr>
        <w:pStyle w:val="BodyText"/>
        <w:spacing w:before="0"/>
        <w:rPr>
          <w:sz w:val="17"/>
        </w:rPr>
      </w:pPr>
    </w:p>
    <w:p>
      <w:pPr>
        <w:pStyle w:val="ListParagraph"/>
        <w:numPr>
          <w:ilvl w:val="1"/>
          <w:numId w:val="7"/>
        </w:numPr>
        <w:tabs>
          <w:tab w:pos="1144" w:val="left" w:leader="none"/>
          <w:tab w:pos="1145" w:val="left" w:leader="none"/>
          <w:tab w:pos="2627" w:val="left" w:leader="none"/>
        </w:tabs>
        <w:spacing w:line="312" w:lineRule="exact" w:before="32" w:after="0"/>
        <w:ind w:left="2628" w:right="225" w:hanging="2516"/>
        <w:jc w:val="left"/>
        <w:rPr>
          <w:sz w:val="21"/>
        </w:rPr>
      </w:pPr>
      <w:r>
        <w:rPr>
          <w:rFonts w:ascii="Microsoft JhengHei" w:eastAsia="Microsoft JhengHei" w:hint="eastAsia"/>
          <w:b/>
          <w:sz w:val="21"/>
        </w:rPr>
        <w:t>现金价值</w:t>
        <w:tab/>
      </w:r>
      <w:r>
        <w:rPr>
          <w:spacing w:val="2"/>
          <w:sz w:val="21"/>
        </w:rPr>
        <w:t>指</w:t>
      </w:r>
      <w:r>
        <w:rPr>
          <w:sz w:val="21"/>
        </w:rPr>
        <w:t>保险</w:t>
      </w:r>
      <w:r>
        <w:rPr>
          <w:spacing w:val="2"/>
          <w:sz w:val="21"/>
        </w:rPr>
        <w:t>单</w:t>
      </w:r>
      <w:r>
        <w:rPr>
          <w:sz w:val="21"/>
        </w:rPr>
        <w:t>所具</w:t>
      </w:r>
      <w:r>
        <w:rPr>
          <w:spacing w:val="2"/>
          <w:sz w:val="21"/>
        </w:rPr>
        <w:t>有</w:t>
      </w:r>
      <w:r>
        <w:rPr>
          <w:sz w:val="21"/>
        </w:rPr>
        <w:t>的价</w:t>
      </w:r>
      <w:r>
        <w:rPr>
          <w:spacing w:val="5"/>
          <w:sz w:val="21"/>
        </w:rPr>
        <w:t>值</w:t>
      </w:r>
      <w:r>
        <w:rPr>
          <w:sz w:val="21"/>
        </w:rPr>
        <w:t>，通常</w:t>
      </w:r>
      <w:r>
        <w:rPr>
          <w:spacing w:val="2"/>
          <w:sz w:val="21"/>
        </w:rPr>
        <w:t>体</w:t>
      </w:r>
      <w:r>
        <w:rPr>
          <w:sz w:val="21"/>
        </w:rPr>
        <w:t>现为</w:t>
      </w:r>
      <w:r>
        <w:rPr>
          <w:spacing w:val="2"/>
          <w:sz w:val="21"/>
        </w:rPr>
        <w:t>解</w:t>
      </w:r>
      <w:r>
        <w:rPr>
          <w:sz w:val="21"/>
        </w:rPr>
        <w:t>除合</w:t>
      </w:r>
      <w:r>
        <w:rPr>
          <w:spacing w:val="2"/>
          <w:sz w:val="21"/>
        </w:rPr>
        <w:t>同</w:t>
      </w:r>
      <w:r>
        <w:rPr>
          <w:sz w:val="21"/>
        </w:rPr>
        <w:t>时，根</w:t>
      </w:r>
      <w:r>
        <w:rPr>
          <w:spacing w:val="2"/>
          <w:sz w:val="21"/>
        </w:rPr>
        <w:t>据</w:t>
      </w:r>
      <w:r>
        <w:rPr>
          <w:sz w:val="21"/>
        </w:rPr>
        <w:t>精算</w:t>
      </w:r>
      <w:r>
        <w:rPr>
          <w:spacing w:val="2"/>
          <w:sz w:val="21"/>
        </w:rPr>
        <w:t>原</w:t>
      </w:r>
      <w:r>
        <w:rPr>
          <w:sz w:val="21"/>
        </w:rPr>
        <w:t>理计</w:t>
      </w:r>
      <w:r>
        <w:rPr>
          <w:spacing w:val="2"/>
          <w:sz w:val="21"/>
        </w:rPr>
        <w:t>算</w:t>
      </w:r>
      <w:r>
        <w:rPr>
          <w:sz w:val="21"/>
        </w:rPr>
        <w:t>的，</w:t>
      </w:r>
      <w:r>
        <w:rPr>
          <w:spacing w:val="2"/>
          <w:sz w:val="21"/>
        </w:rPr>
        <w:t>由</w:t>
      </w:r>
      <w:r>
        <w:rPr>
          <w:sz w:val="21"/>
        </w:rPr>
        <w:t>我们 退还的那</w:t>
      </w:r>
      <w:r>
        <w:rPr>
          <w:spacing w:val="-5"/>
          <w:sz w:val="21"/>
        </w:rPr>
        <w:t>部</w:t>
      </w:r>
      <w:r>
        <w:rPr>
          <w:sz w:val="21"/>
        </w:rPr>
        <w:t>分金额。</w:t>
      </w:r>
    </w:p>
    <w:p>
      <w:pPr>
        <w:pStyle w:val="BodyText"/>
        <w:spacing w:before="3"/>
        <w:rPr>
          <w:sz w:val="14"/>
        </w:rPr>
      </w:pPr>
    </w:p>
    <w:p>
      <w:pPr>
        <w:pStyle w:val="ListParagraph"/>
        <w:numPr>
          <w:ilvl w:val="1"/>
          <w:numId w:val="7"/>
        </w:numPr>
        <w:tabs>
          <w:tab w:pos="1144" w:val="left" w:leader="none"/>
          <w:tab w:pos="1145" w:val="left" w:leader="none"/>
          <w:tab w:pos="2627" w:val="left" w:leader="none"/>
        </w:tabs>
        <w:spacing w:line="240" w:lineRule="auto" w:before="0" w:after="0"/>
        <w:ind w:left="1144" w:right="0" w:hanging="103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48"/>
        </w:numPr>
        <w:tabs>
          <w:tab w:pos="3367" w:val="left" w:leader="none"/>
          <w:tab w:pos="3368" w:val="left" w:leader="none"/>
        </w:tabs>
        <w:spacing w:line="240" w:lineRule="auto" w:before="89" w:after="0"/>
        <w:ind w:left="3367" w:right="0" w:hanging="739"/>
        <w:jc w:val="left"/>
        <w:rPr>
          <w:sz w:val="21"/>
        </w:rPr>
      </w:pPr>
      <w:r>
        <w:rPr>
          <w:spacing w:val="-10"/>
          <w:sz w:val="21"/>
        </w:rPr>
        <w:t>具有有效的中华人民共和国《医师资格证书》；</w:t>
      </w:r>
    </w:p>
    <w:p>
      <w:pPr>
        <w:pStyle w:val="ListParagraph"/>
        <w:numPr>
          <w:ilvl w:val="0"/>
          <w:numId w:val="48"/>
        </w:numPr>
        <w:tabs>
          <w:tab w:pos="3367" w:val="left" w:leader="none"/>
          <w:tab w:pos="3368" w:val="left" w:leader="none"/>
        </w:tabs>
        <w:spacing w:line="273" w:lineRule="auto" w:before="113" w:after="0"/>
        <w:ind w:left="3367" w:right="221" w:hanging="739"/>
        <w:jc w:val="left"/>
        <w:rPr>
          <w:sz w:val="21"/>
        </w:rPr>
      </w:pPr>
      <w:r>
        <w:rPr>
          <w:spacing w:val="-6"/>
          <w:sz w:val="21"/>
        </w:rPr>
        <w:t>具有有效的中华人民共和国《医师执业证书》，并按期到相关部门登记注册；</w:t>
      </w:r>
    </w:p>
    <w:p>
      <w:pPr>
        <w:pStyle w:val="ListParagraph"/>
        <w:numPr>
          <w:ilvl w:val="0"/>
          <w:numId w:val="48"/>
        </w:numPr>
        <w:tabs>
          <w:tab w:pos="3367" w:val="left" w:leader="none"/>
          <w:tab w:pos="3368" w:val="left" w:leader="none"/>
        </w:tabs>
        <w:spacing w:line="268" w:lineRule="auto" w:before="89" w:after="0"/>
        <w:ind w:left="3367" w:right="220" w:hanging="739"/>
        <w:jc w:val="left"/>
        <w:rPr>
          <w:sz w:val="21"/>
        </w:rPr>
      </w:pPr>
      <w:r>
        <w:rPr>
          <w:spacing w:val="-6"/>
          <w:sz w:val="21"/>
        </w:rPr>
        <w:t>具有有效的中华人民共和国主治医师或者主治医师以上职称的《医师职称</w:t>
      </w:r>
      <w:r>
        <w:rPr>
          <w:spacing w:val="-30"/>
          <w:sz w:val="21"/>
        </w:rPr>
        <w:t>证书》；</w:t>
      </w:r>
    </w:p>
    <w:p>
      <w:pPr>
        <w:pStyle w:val="ListParagraph"/>
        <w:numPr>
          <w:ilvl w:val="0"/>
          <w:numId w:val="48"/>
        </w:numPr>
        <w:tabs>
          <w:tab w:pos="3367" w:val="left" w:leader="none"/>
          <w:tab w:pos="3368" w:val="left" w:leader="none"/>
        </w:tabs>
        <w:spacing w:line="240" w:lineRule="auto" w:before="93" w:after="0"/>
        <w:ind w:left="3367" w:right="0" w:hanging="739"/>
        <w:jc w:val="left"/>
        <w:rPr>
          <w:sz w:val="21"/>
        </w:rPr>
      </w:pPr>
      <w:r>
        <w:rPr>
          <w:spacing w:val="-5"/>
          <w:sz w:val="21"/>
        </w:rPr>
        <w:t>在二级或者二级以上医院的相应科室从事临床工作三年以上。</w:t>
      </w:r>
    </w:p>
    <w:p>
      <w:pPr>
        <w:pStyle w:val="BodyText"/>
        <w:spacing w:before="1"/>
        <w:rPr>
          <w:sz w:val="19"/>
        </w:rPr>
      </w:pPr>
    </w:p>
    <w:p>
      <w:pPr>
        <w:spacing w:after="0"/>
        <w:rPr>
          <w:sz w:val="19"/>
        </w:rPr>
        <w:sectPr>
          <w:type w:val="continuous"/>
          <w:pgSz w:w="11900" w:h="16840"/>
          <w:pgMar w:top="560" w:bottom="280" w:left="1020" w:right="58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t>欠交保险费的次数</w:t>
      </w:r>
    </w:p>
    <w:p>
      <w:pPr>
        <w:pStyle w:val="BodyText"/>
        <w:spacing w:line="271" w:lineRule="auto" w:before="36"/>
        <w:ind w:left="112" w:right="220"/>
        <w:jc w:val="both"/>
      </w:pPr>
      <w:r>
        <w:rPr/>
        <w:br w:type="column"/>
      </w:r>
      <w:r>
        <w:rPr/>
        <w:t>指您最后一次交纳保险费之日</w:t>
      </w:r>
      <w:r>
        <w:rPr>
          <w:spacing w:val="2"/>
        </w:rPr>
        <w:t>（</w:t>
      </w:r>
      <w:r>
        <w:rPr/>
        <w:t>不含当日）至保险事故发生日的期间内，经过的保险费约定交纳日的个数。例如保险合同生效日为2016年4</w:t>
      </w:r>
      <w:r>
        <w:rPr>
          <w:spacing w:val="2"/>
        </w:rPr>
        <w:t>月</w:t>
      </w:r>
      <w:r>
        <w:rPr/>
        <w:t>1日，保险费分10年交纳并选择月交方式，且约定的每月保险费交纳日为该月1日，如果您在2017</w:t>
      </w:r>
      <w:r>
        <w:rPr>
          <w:spacing w:val="2"/>
        </w:rPr>
        <w:t>年</w:t>
      </w:r>
      <w:r>
        <w:rPr/>
        <w:t>5 月1</w:t>
      </w:r>
      <w:r>
        <w:rPr>
          <w:spacing w:val="-5"/>
        </w:rPr>
        <w:t>日交纳保险费后未再继续交纳保费，那么根据保险事故发生日期不同，欠交保险费的次数也不同：</w:t>
      </w:r>
    </w:p>
    <w:p>
      <w:pPr>
        <w:pStyle w:val="ListParagraph"/>
        <w:numPr>
          <w:ilvl w:val="0"/>
          <w:numId w:val="49"/>
        </w:numPr>
        <w:tabs>
          <w:tab w:pos="847" w:val="left" w:leader="none"/>
          <w:tab w:pos="848" w:val="left" w:leader="none"/>
        </w:tabs>
        <w:spacing w:line="240" w:lineRule="auto" w:before="91" w:after="0"/>
        <w:ind w:left="847" w:right="0" w:hanging="735"/>
        <w:jc w:val="left"/>
        <w:rPr>
          <w:sz w:val="21"/>
        </w:rPr>
      </w:pPr>
      <w:r>
        <w:rPr>
          <w:spacing w:val="-6"/>
          <w:sz w:val="21"/>
        </w:rPr>
        <w:t>如果保险事故发生日在 </w:t>
      </w:r>
      <w:r>
        <w:rPr>
          <w:sz w:val="21"/>
        </w:rPr>
        <w:t>2017</w:t>
      </w:r>
      <w:r>
        <w:rPr>
          <w:spacing w:val="-33"/>
          <w:sz w:val="21"/>
        </w:rPr>
        <w:t> 年 </w:t>
      </w:r>
      <w:r>
        <w:rPr>
          <w:sz w:val="21"/>
        </w:rPr>
        <w:t>6</w:t>
      </w:r>
      <w:r>
        <w:rPr>
          <w:spacing w:val="-33"/>
          <w:sz w:val="21"/>
        </w:rPr>
        <w:t> 月 </w:t>
      </w:r>
      <w:r>
        <w:rPr>
          <w:sz w:val="21"/>
        </w:rPr>
        <w:t>1</w:t>
      </w:r>
      <w:r>
        <w:rPr>
          <w:spacing w:val="-23"/>
          <w:sz w:val="21"/>
        </w:rPr>
        <w:t> 日</w:t>
      </w:r>
      <w:r>
        <w:rPr>
          <w:sz w:val="21"/>
        </w:rPr>
        <w:t>（</w:t>
      </w:r>
      <w:r>
        <w:rPr>
          <w:spacing w:val="-5"/>
          <w:sz w:val="21"/>
        </w:rPr>
        <w:t>含</w:t>
      </w:r>
      <w:r>
        <w:rPr>
          <w:sz w:val="21"/>
        </w:rPr>
        <w:t>）</w:t>
      </w:r>
      <w:r>
        <w:rPr>
          <w:spacing w:val="-10"/>
          <w:sz w:val="21"/>
        </w:rPr>
        <w:t>之后并且在 </w:t>
      </w:r>
      <w:r>
        <w:rPr>
          <w:sz w:val="21"/>
        </w:rPr>
        <w:t>2017</w:t>
      </w:r>
      <w:r>
        <w:rPr>
          <w:spacing w:val="-33"/>
          <w:sz w:val="21"/>
        </w:rPr>
        <w:t> 年 </w:t>
      </w:r>
      <w:r>
        <w:rPr>
          <w:sz w:val="21"/>
        </w:rPr>
        <w:t>7</w:t>
      </w:r>
      <w:r>
        <w:rPr>
          <w:spacing w:val="-31"/>
          <w:sz w:val="21"/>
        </w:rPr>
        <w:t> 月 </w:t>
      </w:r>
      <w:r>
        <w:rPr>
          <w:sz w:val="21"/>
        </w:rPr>
        <w:t>1</w:t>
      </w:r>
    </w:p>
    <w:p>
      <w:pPr>
        <w:pStyle w:val="BodyText"/>
        <w:spacing w:line="273" w:lineRule="auto" w:before="32"/>
        <w:ind w:left="847" w:right="162"/>
      </w:pPr>
      <w:r>
        <w:rPr/>
        <w:t>日（不含</w:t>
      </w:r>
      <w:r>
        <w:rPr>
          <w:spacing w:val="-5"/>
        </w:rPr>
        <w:t>）之前，那么其中经过的保险费约定交纳日</w:t>
      </w:r>
      <w:r>
        <w:rPr/>
        <w:t>（2017</w:t>
      </w:r>
      <w:r>
        <w:rPr>
          <w:spacing w:val="-31"/>
        </w:rPr>
        <w:t> 年 </w:t>
      </w:r>
      <w:r>
        <w:rPr/>
        <w:t>6</w:t>
      </w:r>
      <w:r>
        <w:rPr>
          <w:spacing w:val="-33"/>
        </w:rPr>
        <w:t> 月 </w:t>
      </w:r>
      <w:r>
        <w:rPr/>
        <w:t>1</w:t>
      </w:r>
      <w:r>
        <w:rPr>
          <w:spacing w:val="-26"/>
        </w:rPr>
        <w:t> 日</w:t>
      </w:r>
      <w:r>
        <w:rPr/>
        <w:t>） </w:t>
      </w:r>
      <w:r>
        <w:rPr>
          <w:spacing w:val="-11"/>
        </w:rPr>
        <w:t>个数为 </w:t>
      </w:r>
      <w:r>
        <w:rPr/>
        <w:t>1，</w:t>
      </w:r>
      <w:r>
        <w:rPr>
          <w:spacing w:val="-8"/>
        </w:rPr>
        <w:t>因此欠交保险费的次数为 </w:t>
      </w:r>
      <w:r>
        <w:rPr/>
        <w:t>1；</w:t>
      </w:r>
    </w:p>
    <w:p>
      <w:pPr>
        <w:pStyle w:val="ListParagraph"/>
        <w:numPr>
          <w:ilvl w:val="0"/>
          <w:numId w:val="49"/>
        </w:numPr>
        <w:tabs>
          <w:tab w:pos="848" w:val="left" w:leader="none"/>
        </w:tabs>
        <w:spacing w:line="240" w:lineRule="auto" w:before="89" w:after="0"/>
        <w:ind w:left="847" w:right="0" w:hanging="735"/>
        <w:jc w:val="both"/>
        <w:rPr>
          <w:sz w:val="21"/>
        </w:rPr>
      </w:pPr>
      <w:r>
        <w:rPr>
          <w:spacing w:val="-7"/>
          <w:sz w:val="21"/>
        </w:rPr>
        <w:t>如果保险事故发生日在 </w:t>
      </w:r>
      <w:r>
        <w:rPr>
          <w:sz w:val="21"/>
        </w:rPr>
        <w:t>2017</w:t>
      </w:r>
      <w:r>
        <w:rPr>
          <w:spacing w:val="-36"/>
          <w:sz w:val="21"/>
        </w:rPr>
        <w:t> 年 </w:t>
      </w:r>
      <w:r>
        <w:rPr>
          <w:sz w:val="21"/>
        </w:rPr>
        <w:t>6</w:t>
      </w:r>
      <w:r>
        <w:rPr>
          <w:spacing w:val="-34"/>
          <w:sz w:val="21"/>
        </w:rPr>
        <w:t> 月 </w:t>
      </w:r>
      <w:r>
        <w:rPr>
          <w:sz w:val="21"/>
        </w:rPr>
        <w:t>1</w:t>
      </w:r>
      <w:r>
        <w:rPr>
          <w:spacing w:val="-42"/>
          <w:sz w:val="21"/>
        </w:rPr>
        <w:t> 日</w:t>
      </w:r>
      <w:r>
        <w:rPr>
          <w:spacing w:val="-5"/>
          <w:sz w:val="21"/>
        </w:rPr>
        <w:t>（</w:t>
      </w:r>
      <w:r>
        <w:rPr>
          <w:sz w:val="21"/>
        </w:rPr>
        <w:t>含</w:t>
      </w:r>
      <w:r>
        <w:rPr>
          <w:spacing w:val="-34"/>
          <w:sz w:val="21"/>
        </w:rPr>
        <w:t>）</w:t>
      </w:r>
      <w:r>
        <w:rPr>
          <w:spacing w:val="-10"/>
          <w:sz w:val="21"/>
        </w:rPr>
        <w:t>之后并且在 </w:t>
      </w:r>
      <w:r>
        <w:rPr>
          <w:sz w:val="21"/>
        </w:rPr>
        <w:t>2017</w:t>
      </w:r>
      <w:r>
        <w:rPr>
          <w:spacing w:val="-35"/>
          <w:sz w:val="21"/>
        </w:rPr>
        <w:t> 年 </w:t>
      </w:r>
      <w:r>
        <w:rPr>
          <w:sz w:val="21"/>
        </w:rPr>
        <w:t>7</w:t>
      </w:r>
      <w:r>
        <w:rPr>
          <w:spacing w:val="-34"/>
          <w:sz w:val="21"/>
        </w:rPr>
        <w:t> 月 </w:t>
      </w:r>
      <w:r>
        <w:rPr>
          <w:sz w:val="21"/>
        </w:rPr>
        <w:t>30</w:t>
      </w:r>
    </w:p>
    <w:p>
      <w:pPr>
        <w:pStyle w:val="BodyText"/>
        <w:spacing w:before="32"/>
        <w:ind w:left="847"/>
      </w:pPr>
      <w:r>
        <w:rPr>
          <w:spacing w:val="-15"/>
        </w:rPr>
        <w:t>日</w:t>
      </w:r>
      <w:r>
        <w:rPr/>
        <w:t>（</w:t>
      </w:r>
      <w:r>
        <w:rPr>
          <w:spacing w:val="-3"/>
        </w:rPr>
        <w:t>不含</w:t>
      </w:r>
      <w:r>
        <w:rPr>
          <w:spacing w:val="-15"/>
        </w:rPr>
        <w:t>）</w:t>
      </w:r>
      <w:r>
        <w:rPr>
          <w:spacing w:val="-6"/>
        </w:rPr>
        <w:t>之前，那么其中经过的保险费约定交纳日</w:t>
      </w:r>
      <w:r>
        <w:rPr/>
        <w:t>（2017</w:t>
      </w:r>
      <w:r>
        <w:rPr>
          <w:spacing w:val="-33"/>
        </w:rPr>
        <w:t> 年 </w:t>
      </w:r>
      <w:r>
        <w:rPr/>
        <w:t>6</w:t>
      </w:r>
      <w:r>
        <w:rPr>
          <w:spacing w:val="-31"/>
        </w:rPr>
        <w:t> 月 </w:t>
      </w:r>
      <w:r>
        <w:rPr/>
        <w:t>1</w:t>
      </w:r>
      <w:r>
        <w:rPr>
          <w:spacing w:val="-18"/>
        </w:rPr>
        <w:t> 日和</w:t>
      </w:r>
    </w:p>
    <w:p>
      <w:pPr>
        <w:pStyle w:val="BodyText"/>
        <w:spacing w:before="37"/>
        <w:ind w:left="847"/>
      </w:pPr>
      <w:r>
        <w:rPr/>
        <w:t>2017 年 7 月 1 日）个数为 2，因此欠交保险费的次数为 2。</w:t>
      </w:r>
    </w:p>
    <w:p>
      <w:pPr>
        <w:spacing w:after="0"/>
        <w:sectPr>
          <w:type w:val="continuous"/>
          <w:pgSz w:w="11900" w:h="16840"/>
          <w:pgMar w:top="560" w:bottom="280" w:left="1020" w:right="580"/>
          <w:cols w:num="2" w:equalWidth="0">
            <w:col w:w="2412" w:space="103"/>
            <w:col w:w="7785"/>
          </w:cols>
        </w:sectPr>
      </w:pPr>
    </w:p>
    <w:p>
      <w:pPr>
        <w:pStyle w:val="BodyText"/>
        <w:spacing w:before="6"/>
        <w:rPr>
          <w:sz w:val="19"/>
        </w:rPr>
      </w:pPr>
    </w:p>
    <w:p>
      <w:pPr>
        <w:spacing w:after="0"/>
        <w:rPr>
          <w:sz w:val="19"/>
        </w:rPr>
        <w:sectPr>
          <w:type w:val="continuous"/>
          <w:pgSz w:w="11900" w:h="16840"/>
          <w:pgMar w:top="560" w:bottom="280" w:left="1020" w:right="58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t>肢体机能完全丧失</w:t>
      </w:r>
    </w:p>
    <w:p>
      <w:pPr>
        <w:pStyle w:val="BodyText"/>
        <w:spacing w:line="268" w:lineRule="auto" w:before="37"/>
        <w:ind w:left="112" w:right="225"/>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560" w:bottom="280" w:left="1020" w:right="580"/>
          <w:cols w:num="2" w:equalWidth="0">
            <w:col w:w="2412" w:space="103"/>
            <w:col w:w="7785"/>
          </w:cols>
        </w:sectPr>
      </w:pPr>
    </w:p>
    <w:p>
      <w:pPr>
        <w:pStyle w:val="BodyText"/>
        <w:spacing w:before="2"/>
        <w:rPr>
          <w:sz w:val="17"/>
        </w:rPr>
      </w:pPr>
    </w:p>
    <w:p>
      <w:pPr>
        <w:spacing w:after="0"/>
        <w:rPr>
          <w:sz w:val="17"/>
        </w:rPr>
        <w:sectPr>
          <w:type w:val="continuous"/>
          <w:pgSz w:w="11900" w:h="16840"/>
          <w:pgMar w:top="560" w:bottom="280" w:left="1020" w:right="580"/>
        </w:sectPr>
      </w:pPr>
    </w:p>
    <w:p>
      <w:pPr>
        <w:pStyle w:val="Heading2"/>
        <w:numPr>
          <w:ilvl w:val="1"/>
          <w:numId w:val="7"/>
        </w:numPr>
        <w:tabs>
          <w:tab w:pos="1145" w:val="left" w:leader="none"/>
        </w:tabs>
        <w:spacing w:line="204" w:lineRule="auto" w:before="25" w:after="0"/>
        <w:ind w:left="1144" w:right="0" w:hanging="1032"/>
        <w:jc w:val="both"/>
      </w:pPr>
      <w:r>
        <w:rPr/>
        <w:t>语言能力或者咀嚼吞咽能力完全丧失</w:t>
      </w:r>
    </w:p>
    <w:p>
      <w:pPr>
        <w:pStyle w:val="BodyText"/>
        <w:spacing w:line="273" w:lineRule="auto" w:before="37"/>
        <w:ind w:left="112" w:right="113"/>
      </w:pPr>
      <w:r>
        <w:rPr/>
        <w:br w:type="column"/>
      </w:r>
      <w:r>
        <w:rPr/>
        <w:t>语言能力完全丧失，指无法发出四种语音（包括口唇音、齿舌音、口盖音和喉头音）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type w:val="continuous"/>
          <w:pgSz w:w="11900" w:h="16840"/>
          <w:pgMar w:top="560" w:bottom="280" w:left="1020" w:right="580"/>
          <w:cols w:num="2" w:equalWidth="0">
            <w:col w:w="2412" w:space="103"/>
            <w:col w:w="7785"/>
          </w:cols>
        </w:sectPr>
      </w:pPr>
    </w:p>
    <w:p>
      <w:pPr>
        <w:pStyle w:val="BodyText"/>
        <w:spacing w:before="11"/>
        <w:rPr>
          <w:sz w:val="16"/>
        </w:rPr>
      </w:pPr>
    </w:p>
    <w:p>
      <w:pPr>
        <w:spacing w:after="0"/>
        <w:rPr>
          <w:sz w:val="16"/>
        </w:rPr>
        <w:sectPr>
          <w:type w:val="continuous"/>
          <w:pgSz w:w="11900" w:h="16840"/>
          <w:pgMar w:top="560" w:bottom="280" w:left="1020" w:right="58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t>六项基本日常生活活动</w:t>
      </w:r>
    </w:p>
    <w:p>
      <w:pPr>
        <w:pStyle w:val="BodyText"/>
        <w:spacing w:before="37"/>
        <w:ind w:left="112"/>
      </w:pPr>
      <w:r>
        <w:rPr/>
        <w:br w:type="column"/>
      </w:r>
      <w:r>
        <w:rPr/>
        <w:t>六项基本日常生活活动是指：</w:t>
      </w:r>
    </w:p>
    <w:p>
      <w:pPr>
        <w:pStyle w:val="ListParagraph"/>
        <w:numPr>
          <w:ilvl w:val="0"/>
          <w:numId w:val="50"/>
        </w:numPr>
        <w:tabs>
          <w:tab w:pos="833" w:val="left" w:leader="none"/>
        </w:tabs>
        <w:spacing w:line="240" w:lineRule="auto" w:before="114" w:after="0"/>
        <w:ind w:left="832" w:right="0" w:hanging="720"/>
        <w:jc w:val="left"/>
        <w:rPr>
          <w:sz w:val="21"/>
        </w:rPr>
      </w:pPr>
      <w:r>
        <w:rPr>
          <w:spacing w:val="-2"/>
          <w:sz w:val="21"/>
        </w:rPr>
        <w:t>穿衣：自己能够穿衣及脱衣；</w:t>
      </w:r>
    </w:p>
    <w:p>
      <w:pPr>
        <w:pStyle w:val="ListParagraph"/>
        <w:numPr>
          <w:ilvl w:val="0"/>
          <w:numId w:val="50"/>
        </w:numPr>
        <w:tabs>
          <w:tab w:pos="833" w:val="left" w:leader="none"/>
        </w:tabs>
        <w:spacing w:line="240" w:lineRule="auto" w:before="118" w:after="0"/>
        <w:ind w:left="832" w:right="0" w:hanging="720"/>
        <w:jc w:val="left"/>
        <w:rPr>
          <w:sz w:val="21"/>
        </w:rPr>
      </w:pPr>
      <w:r>
        <w:rPr>
          <w:spacing w:val="-3"/>
          <w:sz w:val="21"/>
        </w:rPr>
        <w:t>移动：自己从一个房间到另一个房间；</w:t>
      </w:r>
    </w:p>
    <w:p>
      <w:pPr>
        <w:pStyle w:val="ListParagraph"/>
        <w:numPr>
          <w:ilvl w:val="0"/>
          <w:numId w:val="50"/>
        </w:numPr>
        <w:tabs>
          <w:tab w:pos="833" w:val="left" w:leader="none"/>
        </w:tabs>
        <w:spacing w:line="240" w:lineRule="auto" w:before="113" w:after="0"/>
        <w:ind w:left="832" w:right="0" w:hanging="720"/>
        <w:jc w:val="left"/>
        <w:rPr>
          <w:sz w:val="21"/>
        </w:rPr>
      </w:pPr>
      <w:r>
        <w:rPr>
          <w:spacing w:val="-3"/>
          <w:sz w:val="21"/>
        </w:rPr>
        <w:t>行动：自己上下床或者上下轮椅；</w:t>
      </w:r>
    </w:p>
    <w:p>
      <w:pPr>
        <w:pStyle w:val="ListParagraph"/>
        <w:numPr>
          <w:ilvl w:val="0"/>
          <w:numId w:val="50"/>
        </w:numPr>
        <w:tabs>
          <w:tab w:pos="833" w:val="left" w:leader="none"/>
        </w:tabs>
        <w:spacing w:line="240" w:lineRule="auto" w:before="113" w:after="0"/>
        <w:ind w:left="832" w:right="0" w:hanging="720"/>
        <w:jc w:val="left"/>
        <w:rPr>
          <w:sz w:val="21"/>
        </w:rPr>
      </w:pPr>
      <w:r>
        <w:rPr>
          <w:spacing w:val="-2"/>
          <w:sz w:val="21"/>
        </w:rPr>
        <w:t>如厕：自己控制进行大小便；</w:t>
      </w:r>
    </w:p>
    <w:p>
      <w:pPr>
        <w:pStyle w:val="ListParagraph"/>
        <w:numPr>
          <w:ilvl w:val="0"/>
          <w:numId w:val="50"/>
        </w:numPr>
        <w:tabs>
          <w:tab w:pos="833" w:val="left" w:leader="none"/>
        </w:tabs>
        <w:spacing w:line="240" w:lineRule="auto" w:before="113" w:after="0"/>
        <w:ind w:left="832" w:right="0" w:hanging="720"/>
        <w:jc w:val="left"/>
        <w:rPr>
          <w:sz w:val="21"/>
        </w:rPr>
      </w:pPr>
      <w:r>
        <w:rPr>
          <w:spacing w:val="-5"/>
          <w:sz w:val="21"/>
        </w:rPr>
        <w:t>进食：自己从已准备好的碗或者碟中取食物放入口中；</w:t>
      </w:r>
    </w:p>
    <w:p>
      <w:pPr>
        <w:pStyle w:val="ListParagraph"/>
        <w:numPr>
          <w:ilvl w:val="0"/>
          <w:numId w:val="50"/>
        </w:numPr>
        <w:tabs>
          <w:tab w:pos="833" w:val="left" w:leader="none"/>
        </w:tabs>
        <w:spacing w:line="240" w:lineRule="auto" w:before="118" w:after="0"/>
        <w:ind w:left="832" w:right="0" w:hanging="720"/>
        <w:jc w:val="left"/>
        <w:rPr>
          <w:sz w:val="21"/>
        </w:rPr>
      </w:pPr>
      <w:r>
        <w:rPr>
          <w:spacing w:val="-3"/>
          <w:sz w:val="21"/>
        </w:rPr>
        <w:t>洗澡：自己进行淋浴或者盆浴。</w:t>
      </w:r>
    </w:p>
    <w:p>
      <w:pPr>
        <w:spacing w:after="0" w:line="240" w:lineRule="auto"/>
        <w:jc w:val="left"/>
        <w:rPr>
          <w:sz w:val="21"/>
        </w:rPr>
        <w:sectPr>
          <w:type w:val="continuous"/>
          <w:pgSz w:w="11900" w:h="16840"/>
          <w:pgMar w:top="560" w:bottom="280" w:left="1020" w:right="580"/>
          <w:cols w:num="2" w:equalWidth="0">
            <w:col w:w="2412" w:space="103"/>
            <w:col w:w="7785"/>
          </w:cols>
        </w:sectPr>
      </w:pPr>
    </w:p>
    <w:p>
      <w:pPr>
        <w:pStyle w:val="ListParagraph"/>
        <w:numPr>
          <w:ilvl w:val="1"/>
          <w:numId w:val="7"/>
        </w:numPr>
        <w:tabs>
          <w:tab w:pos="1144" w:val="left" w:leader="none"/>
          <w:tab w:pos="1145" w:val="left" w:leader="none"/>
          <w:tab w:pos="2627" w:val="left" w:leader="none"/>
        </w:tabs>
        <w:spacing w:line="308" w:lineRule="exact" w:before="20" w:after="0"/>
        <w:ind w:left="2628" w:right="105" w:hanging="2516"/>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3"/>
          <w:sz w:val="21"/>
        </w:rPr>
        <w:t> </w:t>
      </w:r>
      <w:r>
        <w:rPr>
          <w:sz w:val="21"/>
        </w:rPr>
        <w:t>180</w:t>
      </w:r>
      <w:r>
        <w:rPr>
          <w:spacing w:val="13"/>
          <w:sz w:val="21"/>
        </w:rPr>
        <w:t> </w:t>
      </w:r>
      <w:r>
        <w:rPr>
          <w:spacing w:val="-5"/>
          <w:sz w:val="21"/>
        </w:rPr>
        <w:t>天</w:t>
      </w:r>
      <w:r>
        <w:rPr>
          <w:sz w:val="21"/>
        </w:rPr>
        <w:t>后，仍</w:t>
      </w:r>
      <w:r>
        <w:rPr>
          <w:spacing w:val="-5"/>
          <w:sz w:val="21"/>
        </w:rPr>
        <w:t>无</w:t>
      </w:r>
      <w:r>
        <w:rPr>
          <w:sz w:val="21"/>
        </w:rPr>
        <w:t>法通</w:t>
      </w:r>
      <w:r>
        <w:rPr>
          <w:spacing w:val="-5"/>
          <w:sz w:val="21"/>
        </w:rPr>
        <w:t>过</w:t>
      </w:r>
      <w:r>
        <w:rPr>
          <w:sz w:val="21"/>
        </w:rPr>
        <w:t>现有医疗手</w:t>
      </w:r>
      <w:r>
        <w:rPr>
          <w:spacing w:val="-5"/>
          <w:sz w:val="21"/>
        </w:rPr>
        <w:t>段</w:t>
      </w:r>
      <w:r>
        <w:rPr>
          <w:sz w:val="21"/>
        </w:rPr>
        <w:t>恢复。</w:t>
      </w:r>
    </w:p>
    <w:p>
      <w:pPr>
        <w:pStyle w:val="BodyText"/>
        <w:spacing w:before="0"/>
        <w:rPr>
          <w:sz w:val="17"/>
        </w:rPr>
      </w:pPr>
    </w:p>
    <w:p>
      <w:pPr>
        <w:spacing w:after="0"/>
        <w:rPr>
          <w:sz w:val="17"/>
        </w:rPr>
        <w:sectPr>
          <w:pgSz w:w="11900" w:h="16840"/>
          <w:pgMar w:top="1180" w:bottom="280" w:left="1020" w:right="700"/>
        </w:sectPr>
      </w:pPr>
    </w:p>
    <w:p>
      <w:pPr>
        <w:pStyle w:val="Heading2"/>
        <w:numPr>
          <w:ilvl w:val="1"/>
          <w:numId w:val="7"/>
        </w:numPr>
        <w:tabs>
          <w:tab w:pos="1144" w:val="left" w:leader="none"/>
          <w:tab w:pos="1145" w:val="left" w:leader="none"/>
        </w:tabs>
        <w:spacing w:line="201" w:lineRule="auto" w:before="28" w:after="0"/>
        <w:ind w:left="1144" w:right="0" w:hanging="1032"/>
        <w:jc w:val="left"/>
      </w:pPr>
      <w:r>
        <w:rPr/>
        <w:t>本公司认可的医院</w:t>
      </w:r>
    </w:p>
    <w:p>
      <w:pPr>
        <w:pStyle w:val="BodyText"/>
        <w:spacing w:before="37"/>
        <w:ind w:left="117"/>
        <w:rPr>
          <w:rFonts w:ascii="黑体" w:eastAsia="黑体" w:hint="eastAsia"/>
        </w:rPr>
      </w:pPr>
      <w:r>
        <w:rPr/>
        <w:br w:type="column"/>
      </w:r>
      <w:r>
        <w:rPr>
          <w:rFonts w:ascii="黑体" w:eastAsia="黑体" w:hint="eastAsia"/>
        </w:rPr>
        <w:t>指符合下列条件的医疗机构：</w:t>
      </w:r>
    </w:p>
    <w:p>
      <w:pPr>
        <w:pStyle w:val="ListParagraph"/>
        <w:numPr>
          <w:ilvl w:val="0"/>
          <w:numId w:val="51"/>
        </w:numPr>
        <w:tabs>
          <w:tab w:pos="833" w:val="left" w:leader="none"/>
        </w:tabs>
        <w:spacing w:line="240" w:lineRule="auto" w:before="114" w:after="0"/>
        <w:ind w:left="832" w:right="0" w:hanging="720"/>
        <w:jc w:val="left"/>
        <w:rPr>
          <w:rFonts w:ascii="黑体" w:eastAsia="黑体" w:hint="eastAsia"/>
          <w:sz w:val="21"/>
        </w:rPr>
      </w:pPr>
      <w:r>
        <w:rPr>
          <w:rFonts w:ascii="黑体" w:eastAsia="黑体" w:hint="eastAsia"/>
          <w:spacing w:val="-3"/>
          <w:sz w:val="21"/>
        </w:rPr>
        <w:t>拥有所在国家的合法经营执照；</w:t>
      </w:r>
    </w:p>
    <w:p>
      <w:pPr>
        <w:pStyle w:val="ListParagraph"/>
        <w:numPr>
          <w:ilvl w:val="0"/>
          <w:numId w:val="51"/>
        </w:numPr>
        <w:tabs>
          <w:tab w:pos="833" w:val="left" w:leader="none"/>
        </w:tabs>
        <w:spacing w:line="240" w:lineRule="auto" w:before="114" w:after="0"/>
        <w:ind w:left="832" w:right="0" w:hanging="720"/>
        <w:jc w:val="left"/>
        <w:rPr>
          <w:rFonts w:ascii="黑体" w:eastAsia="黑体" w:hint="eastAsia"/>
          <w:sz w:val="21"/>
        </w:rPr>
      </w:pPr>
      <w:r>
        <w:rPr>
          <w:rFonts w:ascii="黑体" w:eastAsia="黑体" w:hint="eastAsia"/>
          <w:spacing w:val="-5"/>
          <w:sz w:val="21"/>
        </w:rPr>
        <w:t>设立的主要目的为向受伤者和患病者提供留院治疗和护理服务；</w:t>
      </w:r>
    </w:p>
    <w:p>
      <w:pPr>
        <w:pStyle w:val="ListParagraph"/>
        <w:numPr>
          <w:ilvl w:val="0"/>
          <w:numId w:val="51"/>
        </w:numPr>
        <w:tabs>
          <w:tab w:pos="833" w:val="left" w:leader="none"/>
        </w:tabs>
        <w:spacing w:line="244" w:lineRule="auto" w:before="52" w:after="0"/>
        <w:ind w:left="832" w:right="105" w:hanging="720"/>
        <w:jc w:val="left"/>
        <w:rPr>
          <w:rFonts w:ascii="黑体" w:eastAsia="黑体" w:hint="eastAsia"/>
          <w:sz w:val="21"/>
        </w:rPr>
      </w:pPr>
      <w:r>
        <w:rPr>
          <w:rFonts w:ascii="黑体" w:eastAsia="黑体" w:hint="eastAsia"/>
          <w:spacing w:val="-3"/>
          <w:sz w:val="21"/>
        </w:rPr>
        <w:t>有在所在国合法注册的</w:t>
      </w:r>
      <w:r>
        <w:rPr>
          <w:rFonts w:ascii="Microsoft JhengHei" w:eastAsia="Microsoft JhengHei" w:hint="eastAsia"/>
          <w:b/>
          <w:sz w:val="21"/>
        </w:rPr>
        <w:t>医Th</w:t>
      </w:r>
      <w:r>
        <w:rPr>
          <w:rFonts w:ascii="黑体" w:eastAsia="黑体" w:hint="eastAsia"/>
          <w:sz w:val="21"/>
        </w:rPr>
        <w:t>（</w:t>
      </w:r>
      <w:r>
        <w:rPr>
          <w:rFonts w:ascii="黑体" w:eastAsia="黑体" w:hint="eastAsia"/>
          <w:spacing w:val="-29"/>
          <w:sz w:val="21"/>
        </w:rPr>
        <w:t>见 </w:t>
      </w:r>
      <w:r>
        <w:rPr>
          <w:rFonts w:ascii="黑体" w:eastAsia="黑体" w:hint="eastAsia"/>
          <w:sz w:val="21"/>
        </w:rPr>
        <w:t>10.25）</w:t>
      </w:r>
      <w:r>
        <w:rPr>
          <w:rFonts w:ascii="黑体" w:eastAsia="黑体" w:hint="eastAsia"/>
          <w:spacing w:val="-8"/>
          <w:sz w:val="21"/>
        </w:rPr>
        <w:t>和护士常驻执业，并提供全日 </w:t>
      </w:r>
      <w:r>
        <w:rPr>
          <w:rFonts w:ascii="黑体" w:eastAsia="黑体" w:hint="eastAsia"/>
          <w:spacing w:val="-3"/>
          <w:sz w:val="21"/>
        </w:rPr>
        <w:t>24 </w:t>
      </w:r>
      <w:r>
        <w:rPr>
          <w:rFonts w:ascii="黑体" w:eastAsia="黑体" w:hint="eastAsia"/>
          <w:spacing w:val="-2"/>
          <w:sz w:val="21"/>
        </w:rPr>
        <w:t>小时的医疗和护理服务。</w:t>
      </w:r>
    </w:p>
    <w:p>
      <w:pPr>
        <w:pStyle w:val="BodyText"/>
        <w:spacing w:line="268" w:lineRule="auto" w:before="114"/>
        <w:ind w:left="117" w:right="105"/>
        <w:rPr>
          <w:rFonts w:ascii="黑体" w:eastAsia="黑体" w:hint="eastAsia"/>
        </w:rPr>
      </w:pPr>
      <w:r>
        <w:rPr>
          <w:rFonts w:ascii="黑体" w:eastAsia="黑体" w:hint="eastAsia"/>
        </w:rPr>
        <w:t>不包括护理机构、矿泉疗养院、水疗所、疗养所、康复机构、戒酒机构、酒精或者药物滥用看护机构、戒毒机构、疗养院或者养老院等其他类似目的的机构。</w:t>
      </w:r>
    </w:p>
    <w:p>
      <w:pPr>
        <w:pStyle w:val="BodyText"/>
        <w:spacing w:before="93"/>
        <w:ind w:left="117"/>
        <w:rPr>
          <w:rFonts w:ascii="黑体" w:eastAsia="黑体" w:hint="eastAsia"/>
        </w:rPr>
      </w:pPr>
      <w:r>
        <w:rPr>
          <w:rFonts w:ascii="黑体" w:eastAsia="黑体" w:hint="eastAsia"/>
        </w:rPr>
        <w:t>不包括接受治疗的被保险人或者其家庭拥有全部或者部分所有权的医疗机构。</w:t>
      </w:r>
    </w:p>
    <w:p>
      <w:pPr>
        <w:pStyle w:val="BodyText"/>
        <w:spacing w:line="273" w:lineRule="auto" w:before="114"/>
        <w:ind w:left="117" w:right="105"/>
      </w:pPr>
      <w:r>
        <w:rPr>
          <w:rFonts w:ascii="黑体" w:eastAsia="黑体" w:hint="eastAsia"/>
          <w:spacing w:val="-5"/>
        </w:rPr>
        <w:t>本公司保留对上述定义做出适当调整的权利，医院范围和指定医院名单以本公司</w:t>
      </w:r>
      <w:r>
        <w:rPr>
          <w:rFonts w:ascii="黑体" w:eastAsia="黑体" w:hint="eastAsia"/>
          <w:spacing w:val="-4"/>
        </w:rPr>
        <w:t>网站的最近公布信息为准。</w:t>
      </w:r>
      <w:r>
        <w:rPr>
          <w:spacing w:val="-6"/>
        </w:rPr>
        <w:t>您可以登陆泰康人寿官网</w:t>
      </w:r>
      <w:hyperlink r:id="rId7">
        <w:r>
          <w:rPr/>
          <w:t>（www.taikanglife.com</w:t>
        </w:r>
      </w:hyperlink>
      <w:r>
        <w:rPr/>
        <w:t>）查</w:t>
      </w:r>
      <w:r>
        <w:rPr>
          <w:spacing w:val="-9"/>
        </w:rPr>
        <w:t>询或者拨打 </w:t>
      </w:r>
      <w:r>
        <w:rPr>
          <w:spacing w:val="-3"/>
        </w:rPr>
        <w:t>24</w:t>
      </w:r>
      <w:r>
        <w:rPr>
          <w:spacing w:val="-15"/>
        </w:rPr>
        <w:t> 小时服务热线 </w:t>
      </w:r>
      <w:r>
        <w:rPr/>
        <w:t>95522</w:t>
      </w:r>
      <w:r>
        <w:rPr>
          <w:spacing w:val="-15"/>
        </w:rPr>
        <w:t> 咨询。</w:t>
      </w:r>
    </w:p>
    <w:p>
      <w:pPr>
        <w:spacing w:after="0" w:line="273" w:lineRule="auto"/>
        <w:sectPr>
          <w:type w:val="continuous"/>
          <w:pgSz w:w="11900" w:h="16840"/>
          <w:pgMar w:top="560" w:bottom="280" w:left="1020" w:right="700"/>
          <w:cols w:num="2" w:equalWidth="0">
            <w:col w:w="2412" w:space="98"/>
            <w:col w:w="7670"/>
          </w:cols>
        </w:sectPr>
      </w:pPr>
    </w:p>
    <w:p>
      <w:pPr>
        <w:pStyle w:val="BodyText"/>
        <w:spacing w:before="2"/>
        <w:rPr>
          <w:sz w:val="9"/>
        </w:rPr>
      </w:pPr>
    </w:p>
    <w:p>
      <w:pPr>
        <w:pStyle w:val="ListParagraph"/>
        <w:numPr>
          <w:ilvl w:val="1"/>
          <w:numId w:val="7"/>
        </w:numPr>
        <w:tabs>
          <w:tab w:pos="1144" w:val="left" w:leader="none"/>
          <w:tab w:pos="1145" w:val="left" w:leader="none"/>
          <w:tab w:pos="2627" w:val="left" w:leader="none"/>
        </w:tabs>
        <w:spacing w:line="335" w:lineRule="exact" w:before="0" w:after="0"/>
        <w:ind w:left="1144" w:right="0" w:hanging="1032"/>
        <w:jc w:val="left"/>
        <w:rPr>
          <w:sz w:val="21"/>
        </w:rPr>
      </w:pPr>
      <w:r>
        <w:rPr>
          <w:rFonts w:ascii="Microsoft JhengHei" w:eastAsia="Microsoft JhengHei" w:hint="eastAsia"/>
          <w:b/>
          <w:sz w:val="21"/>
        </w:rPr>
        <w:t>医生</w:t>
        <w:tab/>
      </w:r>
      <w:r>
        <w:rPr>
          <w:spacing w:val="-1"/>
          <w:sz w:val="21"/>
        </w:rPr>
        <w:t>指在</w:t>
      </w:r>
      <w:r>
        <w:rPr>
          <w:sz w:val="21"/>
        </w:rPr>
        <w:t>所在</w:t>
      </w:r>
      <w:r>
        <w:rPr>
          <w:spacing w:val="-5"/>
          <w:sz w:val="21"/>
        </w:rPr>
        <w:t>国</w:t>
      </w:r>
      <w:r>
        <w:rPr>
          <w:sz w:val="21"/>
        </w:rPr>
        <w:t>合法注</w:t>
      </w:r>
      <w:r>
        <w:rPr>
          <w:spacing w:val="-5"/>
          <w:sz w:val="21"/>
        </w:rPr>
        <w:t>册</w:t>
      </w:r>
      <w:r>
        <w:rPr>
          <w:sz w:val="21"/>
        </w:rPr>
        <w:t>的具有</w:t>
      </w:r>
      <w:r>
        <w:rPr>
          <w:spacing w:val="-5"/>
          <w:sz w:val="21"/>
        </w:rPr>
        <w:t>医</w:t>
      </w:r>
      <w:r>
        <w:rPr>
          <w:sz w:val="21"/>
        </w:rPr>
        <w:t>师执业</w:t>
      </w:r>
      <w:r>
        <w:rPr>
          <w:spacing w:val="-5"/>
          <w:sz w:val="21"/>
        </w:rPr>
        <w:t>资</w:t>
      </w:r>
      <w:r>
        <w:rPr>
          <w:sz w:val="21"/>
        </w:rPr>
        <w:t>格和诊</w:t>
      </w:r>
      <w:r>
        <w:rPr>
          <w:spacing w:val="-5"/>
          <w:sz w:val="21"/>
        </w:rPr>
        <w:t>断</w:t>
      </w:r>
      <w:r>
        <w:rPr>
          <w:sz w:val="21"/>
        </w:rPr>
        <w:t>处</w:t>
      </w:r>
      <w:r>
        <w:rPr>
          <w:spacing w:val="-5"/>
          <w:sz w:val="21"/>
        </w:rPr>
        <w:t>方</w:t>
      </w:r>
      <w:r>
        <w:rPr>
          <w:sz w:val="21"/>
        </w:rPr>
        <w:t>权且正在</w:t>
      </w:r>
      <w:r>
        <w:rPr>
          <w:spacing w:val="-5"/>
          <w:sz w:val="21"/>
        </w:rPr>
        <w:t>执</w:t>
      </w:r>
      <w:r>
        <w:rPr>
          <w:sz w:val="21"/>
        </w:rPr>
        <w:t>业的医</w:t>
      </w:r>
      <w:r>
        <w:rPr>
          <w:spacing w:val="-5"/>
          <w:sz w:val="21"/>
        </w:rPr>
        <w:t>师</w:t>
      </w:r>
      <w:r>
        <w:rPr>
          <w:sz w:val="21"/>
        </w:rPr>
        <w:t>。</w:t>
      </w:r>
    </w:p>
    <w:sectPr>
      <w:type w:val="continuous"/>
      <w:pgSz w:w="11900" w:h="16840"/>
      <w:pgMar w:top="5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832" w:hanging="720"/>
        <w:jc w:val="left"/>
      </w:pPr>
      <w:rPr>
        <w:rFonts w:hint="default" w:ascii="黑体" w:hAnsi="黑体" w:eastAsia="黑体" w:cs="黑体"/>
        <w:w w:val="100"/>
        <w:sz w:val="21"/>
        <w:szCs w:val="21"/>
      </w:rPr>
    </w:lvl>
    <w:lvl w:ilvl="1">
      <w:start w:val="0"/>
      <w:numFmt w:val="bullet"/>
      <w:lvlText w:val="•"/>
      <w:lvlJc w:val="left"/>
      <w:pPr>
        <w:ind w:left="1522" w:hanging="720"/>
      </w:pPr>
      <w:rPr>
        <w:rFonts w:hint="default"/>
      </w:rPr>
    </w:lvl>
    <w:lvl w:ilvl="2">
      <w:start w:val="0"/>
      <w:numFmt w:val="bullet"/>
      <w:lvlText w:val="•"/>
      <w:lvlJc w:val="left"/>
      <w:pPr>
        <w:ind w:left="2205" w:hanging="720"/>
      </w:pPr>
      <w:rPr>
        <w:rFonts w:hint="default"/>
      </w:rPr>
    </w:lvl>
    <w:lvl w:ilvl="3">
      <w:start w:val="0"/>
      <w:numFmt w:val="bullet"/>
      <w:lvlText w:val="•"/>
      <w:lvlJc w:val="left"/>
      <w:pPr>
        <w:ind w:left="2888" w:hanging="720"/>
      </w:pPr>
      <w:rPr>
        <w:rFonts w:hint="default"/>
      </w:rPr>
    </w:lvl>
    <w:lvl w:ilvl="4">
      <w:start w:val="0"/>
      <w:numFmt w:val="bullet"/>
      <w:lvlText w:val="•"/>
      <w:lvlJc w:val="left"/>
      <w:pPr>
        <w:ind w:left="3571" w:hanging="720"/>
      </w:pPr>
      <w:rPr>
        <w:rFonts w:hint="default"/>
      </w:rPr>
    </w:lvl>
    <w:lvl w:ilvl="5">
      <w:start w:val="0"/>
      <w:numFmt w:val="bullet"/>
      <w:lvlText w:val="•"/>
      <w:lvlJc w:val="left"/>
      <w:pPr>
        <w:ind w:left="4254" w:hanging="720"/>
      </w:pPr>
      <w:rPr>
        <w:rFonts w:hint="default"/>
      </w:rPr>
    </w:lvl>
    <w:lvl w:ilvl="6">
      <w:start w:val="0"/>
      <w:numFmt w:val="bullet"/>
      <w:lvlText w:val="•"/>
      <w:lvlJc w:val="left"/>
      <w:pPr>
        <w:ind w:left="4937" w:hanging="720"/>
      </w:pPr>
      <w:rPr>
        <w:rFonts w:hint="default"/>
      </w:rPr>
    </w:lvl>
    <w:lvl w:ilvl="7">
      <w:start w:val="0"/>
      <w:numFmt w:val="bullet"/>
      <w:lvlText w:val="•"/>
      <w:lvlJc w:val="left"/>
      <w:pPr>
        <w:ind w:left="5620" w:hanging="720"/>
      </w:pPr>
      <w:rPr>
        <w:rFonts w:hint="default"/>
      </w:rPr>
    </w:lvl>
    <w:lvl w:ilvl="8">
      <w:start w:val="0"/>
      <w:numFmt w:val="bullet"/>
      <w:lvlText w:val="•"/>
      <w:lvlJc w:val="left"/>
      <w:pPr>
        <w:ind w:left="6303" w:hanging="720"/>
      </w:pPr>
      <w:rPr>
        <w:rFonts w:hint="default"/>
      </w:rPr>
    </w:lvl>
  </w:abstractNum>
  <w:abstractNum w:abstractNumId="49">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34" w:hanging="720"/>
      </w:pPr>
      <w:rPr>
        <w:rFonts w:hint="default"/>
      </w:rPr>
    </w:lvl>
    <w:lvl w:ilvl="2">
      <w:start w:val="0"/>
      <w:numFmt w:val="bullet"/>
      <w:lvlText w:val="•"/>
      <w:lvlJc w:val="left"/>
      <w:pPr>
        <w:ind w:left="2228" w:hanging="720"/>
      </w:pPr>
      <w:rPr>
        <w:rFonts w:hint="default"/>
      </w:rPr>
    </w:lvl>
    <w:lvl w:ilvl="3">
      <w:start w:val="0"/>
      <w:numFmt w:val="bullet"/>
      <w:lvlText w:val="•"/>
      <w:lvlJc w:val="left"/>
      <w:pPr>
        <w:ind w:left="2923" w:hanging="720"/>
      </w:pPr>
      <w:rPr>
        <w:rFonts w:hint="default"/>
      </w:rPr>
    </w:lvl>
    <w:lvl w:ilvl="4">
      <w:start w:val="0"/>
      <w:numFmt w:val="bullet"/>
      <w:lvlText w:val="•"/>
      <w:lvlJc w:val="left"/>
      <w:pPr>
        <w:ind w:left="3617" w:hanging="720"/>
      </w:pPr>
      <w:rPr>
        <w:rFonts w:hint="default"/>
      </w:rPr>
    </w:lvl>
    <w:lvl w:ilvl="5">
      <w:start w:val="0"/>
      <w:numFmt w:val="bullet"/>
      <w:lvlText w:val="•"/>
      <w:lvlJc w:val="left"/>
      <w:pPr>
        <w:ind w:left="4312" w:hanging="720"/>
      </w:pPr>
      <w:rPr>
        <w:rFonts w:hint="default"/>
      </w:rPr>
    </w:lvl>
    <w:lvl w:ilvl="6">
      <w:start w:val="0"/>
      <w:numFmt w:val="bullet"/>
      <w:lvlText w:val="•"/>
      <w:lvlJc w:val="left"/>
      <w:pPr>
        <w:ind w:left="5006" w:hanging="720"/>
      </w:pPr>
      <w:rPr>
        <w:rFonts w:hint="default"/>
      </w:rPr>
    </w:lvl>
    <w:lvl w:ilvl="7">
      <w:start w:val="0"/>
      <w:numFmt w:val="bullet"/>
      <w:lvlText w:val="•"/>
      <w:lvlJc w:val="left"/>
      <w:pPr>
        <w:ind w:left="5701" w:hanging="720"/>
      </w:pPr>
      <w:rPr>
        <w:rFonts w:hint="default"/>
      </w:rPr>
    </w:lvl>
    <w:lvl w:ilvl="8">
      <w:start w:val="0"/>
      <w:numFmt w:val="bullet"/>
      <w:lvlText w:val="•"/>
      <w:lvlJc w:val="left"/>
      <w:pPr>
        <w:ind w:left="6395" w:hanging="720"/>
      </w:pPr>
      <w:rPr>
        <w:rFonts w:hint="default"/>
      </w:rPr>
    </w:lvl>
  </w:abstractNum>
  <w:abstractNum w:abstractNumId="4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47">
    <w:multiLevelType w:val="hybridMultilevel"/>
    <w:lvl w:ilvl="0">
      <w:start w:val="1"/>
      <w:numFmt w:val="decimal"/>
      <w:lvlText w:val="（%1）"/>
      <w:lvlJc w:val="left"/>
      <w:pPr>
        <w:ind w:left="3367" w:hanging="740"/>
        <w:jc w:val="left"/>
      </w:pPr>
      <w:rPr>
        <w:rFonts w:hint="default" w:ascii="宋体" w:hAnsi="宋体" w:eastAsia="宋体" w:cs="宋体"/>
        <w:w w:val="100"/>
        <w:sz w:val="21"/>
        <w:szCs w:val="21"/>
      </w:rPr>
    </w:lvl>
    <w:lvl w:ilvl="1">
      <w:start w:val="0"/>
      <w:numFmt w:val="bullet"/>
      <w:lvlText w:val="•"/>
      <w:lvlJc w:val="left"/>
      <w:pPr>
        <w:ind w:left="4054" w:hanging="740"/>
      </w:pPr>
      <w:rPr>
        <w:rFonts w:hint="default"/>
      </w:rPr>
    </w:lvl>
    <w:lvl w:ilvl="2">
      <w:start w:val="0"/>
      <w:numFmt w:val="bullet"/>
      <w:lvlText w:val="•"/>
      <w:lvlJc w:val="left"/>
      <w:pPr>
        <w:ind w:left="4748" w:hanging="740"/>
      </w:pPr>
      <w:rPr>
        <w:rFonts w:hint="default"/>
      </w:rPr>
    </w:lvl>
    <w:lvl w:ilvl="3">
      <w:start w:val="0"/>
      <w:numFmt w:val="bullet"/>
      <w:lvlText w:val="•"/>
      <w:lvlJc w:val="left"/>
      <w:pPr>
        <w:ind w:left="5442" w:hanging="740"/>
      </w:pPr>
      <w:rPr>
        <w:rFonts w:hint="default"/>
      </w:rPr>
    </w:lvl>
    <w:lvl w:ilvl="4">
      <w:start w:val="0"/>
      <w:numFmt w:val="bullet"/>
      <w:lvlText w:val="•"/>
      <w:lvlJc w:val="left"/>
      <w:pPr>
        <w:ind w:left="6136" w:hanging="740"/>
      </w:pPr>
      <w:rPr>
        <w:rFonts w:hint="default"/>
      </w:rPr>
    </w:lvl>
    <w:lvl w:ilvl="5">
      <w:start w:val="0"/>
      <w:numFmt w:val="bullet"/>
      <w:lvlText w:val="•"/>
      <w:lvlJc w:val="left"/>
      <w:pPr>
        <w:ind w:left="6830" w:hanging="740"/>
      </w:pPr>
      <w:rPr>
        <w:rFonts w:hint="default"/>
      </w:rPr>
    </w:lvl>
    <w:lvl w:ilvl="6">
      <w:start w:val="0"/>
      <w:numFmt w:val="bullet"/>
      <w:lvlText w:val="•"/>
      <w:lvlJc w:val="left"/>
      <w:pPr>
        <w:ind w:left="7524" w:hanging="740"/>
      </w:pPr>
      <w:rPr>
        <w:rFonts w:hint="default"/>
      </w:rPr>
    </w:lvl>
    <w:lvl w:ilvl="7">
      <w:start w:val="0"/>
      <w:numFmt w:val="bullet"/>
      <w:lvlText w:val="•"/>
      <w:lvlJc w:val="left"/>
      <w:pPr>
        <w:ind w:left="8218" w:hanging="740"/>
      </w:pPr>
      <w:rPr>
        <w:rFonts w:hint="default"/>
      </w:rPr>
    </w:lvl>
    <w:lvl w:ilvl="8">
      <w:start w:val="0"/>
      <w:numFmt w:val="bullet"/>
      <w:lvlText w:val="•"/>
      <w:lvlJc w:val="left"/>
      <w:pPr>
        <w:ind w:left="8912" w:hanging="740"/>
      </w:pPr>
      <w:rPr>
        <w:rFonts w:hint="default"/>
      </w:rPr>
    </w:lvl>
  </w:abstractNum>
  <w:abstractNum w:abstractNumId="4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4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44">
    <w:multiLevelType w:val="hybridMultilevel"/>
    <w:lvl w:ilvl="0">
      <w:start w:val="1"/>
      <w:numFmt w:val="decimal"/>
      <w:lvlText w:val="（%1）"/>
      <w:lvlJc w:val="left"/>
      <w:pPr>
        <w:ind w:left="3486" w:hanging="720"/>
        <w:jc w:val="right"/>
      </w:pPr>
      <w:rPr>
        <w:rFonts w:hint="default" w:ascii="宋体" w:hAnsi="宋体" w:eastAsia="宋体" w:cs="宋体"/>
        <w:w w:val="100"/>
        <w:sz w:val="21"/>
        <w:szCs w:val="21"/>
      </w:rPr>
    </w:lvl>
    <w:lvl w:ilvl="1">
      <w:start w:val="0"/>
      <w:numFmt w:val="bullet"/>
      <w:lvlText w:val="•"/>
      <w:lvlJc w:val="left"/>
      <w:pPr>
        <w:ind w:left="4172" w:hanging="720"/>
      </w:pPr>
      <w:rPr>
        <w:rFonts w:hint="default"/>
      </w:rPr>
    </w:lvl>
    <w:lvl w:ilvl="2">
      <w:start w:val="0"/>
      <w:numFmt w:val="bullet"/>
      <w:lvlText w:val="•"/>
      <w:lvlJc w:val="left"/>
      <w:pPr>
        <w:ind w:left="4864" w:hanging="720"/>
      </w:pPr>
      <w:rPr>
        <w:rFonts w:hint="default"/>
      </w:rPr>
    </w:lvl>
    <w:lvl w:ilvl="3">
      <w:start w:val="0"/>
      <w:numFmt w:val="bullet"/>
      <w:lvlText w:val="•"/>
      <w:lvlJc w:val="left"/>
      <w:pPr>
        <w:ind w:left="5556" w:hanging="720"/>
      </w:pPr>
      <w:rPr>
        <w:rFonts w:hint="default"/>
      </w:rPr>
    </w:lvl>
    <w:lvl w:ilvl="4">
      <w:start w:val="0"/>
      <w:numFmt w:val="bullet"/>
      <w:lvlText w:val="•"/>
      <w:lvlJc w:val="left"/>
      <w:pPr>
        <w:ind w:left="6248" w:hanging="720"/>
      </w:pPr>
      <w:rPr>
        <w:rFonts w:hint="default"/>
      </w:rPr>
    </w:lvl>
    <w:lvl w:ilvl="5">
      <w:start w:val="0"/>
      <w:numFmt w:val="bullet"/>
      <w:lvlText w:val="•"/>
      <w:lvlJc w:val="left"/>
      <w:pPr>
        <w:ind w:left="6940" w:hanging="720"/>
      </w:pPr>
      <w:rPr>
        <w:rFonts w:hint="default"/>
      </w:rPr>
    </w:lvl>
    <w:lvl w:ilvl="6">
      <w:start w:val="0"/>
      <w:numFmt w:val="bullet"/>
      <w:lvlText w:val="•"/>
      <w:lvlJc w:val="left"/>
      <w:pPr>
        <w:ind w:left="7632" w:hanging="720"/>
      </w:pPr>
      <w:rPr>
        <w:rFonts w:hint="default"/>
      </w:rPr>
    </w:lvl>
    <w:lvl w:ilvl="7">
      <w:start w:val="0"/>
      <w:numFmt w:val="bullet"/>
      <w:lvlText w:val="•"/>
      <w:lvlJc w:val="left"/>
      <w:pPr>
        <w:ind w:left="8324" w:hanging="720"/>
      </w:pPr>
      <w:rPr>
        <w:rFonts w:hint="default"/>
      </w:rPr>
    </w:lvl>
    <w:lvl w:ilvl="8">
      <w:start w:val="0"/>
      <w:numFmt w:val="bullet"/>
      <w:lvlText w:val="•"/>
      <w:lvlJc w:val="left"/>
      <w:pPr>
        <w:ind w:left="9016" w:hanging="720"/>
      </w:pPr>
      <w:rPr>
        <w:rFonts w:hint="default"/>
      </w:rPr>
    </w:lvl>
  </w:abstractNum>
  <w:abstractNum w:abstractNumId="43">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4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898" w:hanging="735"/>
      </w:pPr>
      <w:rPr>
        <w:rFonts w:hint="default"/>
      </w:rPr>
    </w:lvl>
    <w:lvl w:ilvl="7">
      <w:start w:val="0"/>
      <w:numFmt w:val="bullet"/>
      <w:lvlText w:val="•"/>
      <w:lvlJc w:val="left"/>
      <w:pPr>
        <w:ind w:left="5567" w:hanging="735"/>
      </w:pPr>
      <w:rPr>
        <w:rFonts w:hint="default"/>
      </w:rPr>
    </w:lvl>
    <w:lvl w:ilvl="8">
      <w:start w:val="0"/>
      <w:numFmt w:val="bullet"/>
      <w:lvlText w:val="•"/>
      <w:lvlJc w:val="left"/>
      <w:pPr>
        <w:ind w:left="6237" w:hanging="735"/>
      </w:pPr>
      <w:rPr>
        <w:rFonts w:hint="default"/>
      </w:rPr>
    </w:lvl>
  </w:abstractNum>
  <w:abstractNum w:abstractNumId="42">
    <w:multiLevelType w:val="hybridMultilevel"/>
    <w:lvl w:ilvl="0">
      <w:start w:val="9"/>
      <w:numFmt w:val="decimal"/>
      <w:lvlText w:val="%1"/>
      <w:lvlJc w:val="left"/>
      <w:pPr>
        <w:ind w:left="1184" w:hanging="1032"/>
        <w:jc w:val="left"/>
      </w:pPr>
      <w:rPr>
        <w:rFonts w:hint="default"/>
      </w:rPr>
    </w:lvl>
    <w:lvl w:ilvl="1">
      <w:start w:val="67"/>
      <w:numFmt w:val="decimal"/>
      <w:lvlText w:val="%1.%2"/>
      <w:lvlJc w:val="left"/>
      <w:pPr>
        <w:ind w:left="1184" w:hanging="1032"/>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690" w:hanging="735"/>
        <w:jc w:val="left"/>
      </w:pPr>
      <w:rPr>
        <w:rFonts w:hint="default" w:ascii="宋体" w:hAnsi="宋体" w:eastAsia="宋体" w:cs="宋体"/>
        <w:w w:val="100"/>
        <w:sz w:val="21"/>
        <w:szCs w:val="21"/>
      </w:rPr>
    </w:lvl>
    <w:lvl w:ilvl="3">
      <w:start w:val="0"/>
      <w:numFmt w:val="bullet"/>
      <w:lvlText w:val="•"/>
      <w:lvlJc w:val="left"/>
      <w:pPr>
        <w:ind w:left="3487" w:hanging="735"/>
      </w:pPr>
      <w:rPr>
        <w:rFonts w:hint="default"/>
      </w:rPr>
    </w:lvl>
    <w:lvl w:ilvl="4">
      <w:start w:val="0"/>
      <w:numFmt w:val="bullet"/>
      <w:lvlText w:val="•"/>
      <w:lvlJc w:val="left"/>
      <w:pPr>
        <w:ind w:left="3381" w:hanging="735"/>
      </w:pPr>
      <w:rPr>
        <w:rFonts w:hint="default"/>
      </w:rPr>
    </w:lvl>
    <w:lvl w:ilvl="5">
      <w:start w:val="0"/>
      <w:numFmt w:val="bullet"/>
      <w:lvlText w:val="•"/>
      <w:lvlJc w:val="left"/>
      <w:pPr>
        <w:ind w:left="3275" w:hanging="735"/>
      </w:pPr>
      <w:rPr>
        <w:rFonts w:hint="default"/>
      </w:rPr>
    </w:lvl>
    <w:lvl w:ilvl="6">
      <w:start w:val="0"/>
      <w:numFmt w:val="bullet"/>
      <w:lvlText w:val="•"/>
      <w:lvlJc w:val="left"/>
      <w:pPr>
        <w:ind w:left="3169" w:hanging="735"/>
      </w:pPr>
      <w:rPr>
        <w:rFonts w:hint="default"/>
      </w:rPr>
    </w:lvl>
    <w:lvl w:ilvl="7">
      <w:start w:val="0"/>
      <w:numFmt w:val="bullet"/>
      <w:lvlText w:val="•"/>
      <w:lvlJc w:val="left"/>
      <w:pPr>
        <w:ind w:left="3062" w:hanging="735"/>
      </w:pPr>
      <w:rPr>
        <w:rFonts w:hint="default"/>
      </w:rPr>
    </w:lvl>
    <w:lvl w:ilvl="8">
      <w:start w:val="0"/>
      <w:numFmt w:val="bullet"/>
      <w:lvlText w:val="•"/>
      <w:lvlJc w:val="left"/>
      <w:pPr>
        <w:ind w:left="2956" w:hanging="735"/>
      </w:pPr>
      <w:rPr>
        <w:rFonts w:hint="default"/>
      </w:rPr>
    </w:lvl>
  </w:abstractNum>
  <w:abstractNum w:abstractNumId="41">
    <w:multiLevelType w:val="hybridMultilevel"/>
    <w:lvl w:ilvl="0">
      <w:start w:val="1"/>
      <w:numFmt w:val="decimal"/>
      <w:lvlText w:val="（%1）"/>
      <w:lvlJc w:val="left"/>
      <w:pPr>
        <w:ind w:left="3690" w:hanging="735"/>
        <w:jc w:val="left"/>
      </w:pPr>
      <w:rPr>
        <w:rFonts w:hint="default" w:ascii="宋体" w:hAnsi="宋体" w:eastAsia="宋体" w:cs="宋体"/>
        <w:w w:val="100"/>
        <w:sz w:val="21"/>
        <w:szCs w:val="21"/>
      </w:rPr>
    </w:lvl>
    <w:lvl w:ilvl="1">
      <w:start w:val="0"/>
      <w:numFmt w:val="bullet"/>
      <w:lvlText w:val="•"/>
      <w:lvlJc w:val="left"/>
      <w:pPr>
        <w:ind w:left="4368" w:hanging="735"/>
      </w:pPr>
      <w:rPr>
        <w:rFonts w:hint="default"/>
      </w:rPr>
    </w:lvl>
    <w:lvl w:ilvl="2">
      <w:start w:val="0"/>
      <w:numFmt w:val="bullet"/>
      <w:lvlText w:val="•"/>
      <w:lvlJc w:val="left"/>
      <w:pPr>
        <w:ind w:left="5036" w:hanging="735"/>
      </w:pPr>
      <w:rPr>
        <w:rFonts w:hint="default"/>
      </w:rPr>
    </w:lvl>
    <w:lvl w:ilvl="3">
      <w:start w:val="0"/>
      <w:numFmt w:val="bullet"/>
      <w:lvlText w:val="•"/>
      <w:lvlJc w:val="left"/>
      <w:pPr>
        <w:ind w:left="5704" w:hanging="735"/>
      </w:pPr>
      <w:rPr>
        <w:rFonts w:hint="default"/>
      </w:rPr>
    </w:lvl>
    <w:lvl w:ilvl="4">
      <w:start w:val="0"/>
      <w:numFmt w:val="bullet"/>
      <w:lvlText w:val="•"/>
      <w:lvlJc w:val="left"/>
      <w:pPr>
        <w:ind w:left="6372" w:hanging="735"/>
      </w:pPr>
      <w:rPr>
        <w:rFonts w:hint="default"/>
      </w:rPr>
    </w:lvl>
    <w:lvl w:ilvl="5">
      <w:start w:val="0"/>
      <w:numFmt w:val="bullet"/>
      <w:lvlText w:val="•"/>
      <w:lvlJc w:val="left"/>
      <w:pPr>
        <w:ind w:left="7040" w:hanging="735"/>
      </w:pPr>
      <w:rPr>
        <w:rFonts w:hint="default"/>
      </w:rPr>
    </w:lvl>
    <w:lvl w:ilvl="6">
      <w:start w:val="0"/>
      <w:numFmt w:val="bullet"/>
      <w:lvlText w:val="•"/>
      <w:lvlJc w:val="left"/>
      <w:pPr>
        <w:ind w:left="7708" w:hanging="735"/>
      </w:pPr>
      <w:rPr>
        <w:rFonts w:hint="default"/>
      </w:rPr>
    </w:lvl>
    <w:lvl w:ilvl="7">
      <w:start w:val="0"/>
      <w:numFmt w:val="bullet"/>
      <w:lvlText w:val="•"/>
      <w:lvlJc w:val="left"/>
      <w:pPr>
        <w:ind w:left="8376" w:hanging="735"/>
      </w:pPr>
      <w:rPr>
        <w:rFonts w:hint="default"/>
      </w:rPr>
    </w:lvl>
    <w:lvl w:ilvl="8">
      <w:start w:val="0"/>
      <w:numFmt w:val="bullet"/>
      <w:lvlText w:val="•"/>
      <w:lvlJc w:val="left"/>
      <w:pPr>
        <w:ind w:left="9044" w:hanging="735"/>
      </w:pPr>
      <w:rPr>
        <w:rFonts w:hint="default"/>
      </w:rPr>
    </w:lvl>
  </w:abstractNum>
  <w:abstractNum w:abstractNumId="40">
    <w:multiLevelType w:val="hybridMultilevel"/>
    <w:lvl w:ilvl="0">
      <w:start w:val="9"/>
      <w:numFmt w:val="decimal"/>
      <w:lvlText w:val="%1"/>
      <w:lvlJc w:val="left"/>
      <w:pPr>
        <w:ind w:left="1184" w:hanging="1032"/>
        <w:jc w:val="left"/>
      </w:pPr>
      <w:rPr>
        <w:rFonts w:hint="default"/>
      </w:rPr>
    </w:lvl>
    <w:lvl w:ilvl="1">
      <w:start w:val="63"/>
      <w:numFmt w:val="decimal"/>
      <w:lvlText w:val="%1.%2"/>
      <w:lvlJc w:val="left"/>
      <w:pPr>
        <w:ind w:left="1184" w:hanging="1032"/>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690" w:hanging="735"/>
        <w:jc w:val="left"/>
      </w:pPr>
      <w:rPr>
        <w:rFonts w:hint="default" w:ascii="宋体" w:hAnsi="宋体" w:eastAsia="宋体" w:cs="宋体"/>
        <w:w w:val="100"/>
        <w:sz w:val="21"/>
        <w:szCs w:val="21"/>
      </w:rPr>
    </w:lvl>
    <w:lvl w:ilvl="3">
      <w:start w:val="0"/>
      <w:numFmt w:val="bullet"/>
      <w:lvlText w:val="•"/>
      <w:lvlJc w:val="left"/>
      <w:pPr>
        <w:ind w:left="3487" w:hanging="735"/>
      </w:pPr>
      <w:rPr>
        <w:rFonts w:hint="default"/>
      </w:rPr>
    </w:lvl>
    <w:lvl w:ilvl="4">
      <w:start w:val="0"/>
      <w:numFmt w:val="bullet"/>
      <w:lvlText w:val="•"/>
      <w:lvlJc w:val="left"/>
      <w:pPr>
        <w:ind w:left="3381" w:hanging="735"/>
      </w:pPr>
      <w:rPr>
        <w:rFonts w:hint="default"/>
      </w:rPr>
    </w:lvl>
    <w:lvl w:ilvl="5">
      <w:start w:val="0"/>
      <w:numFmt w:val="bullet"/>
      <w:lvlText w:val="•"/>
      <w:lvlJc w:val="left"/>
      <w:pPr>
        <w:ind w:left="3275" w:hanging="735"/>
      </w:pPr>
      <w:rPr>
        <w:rFonts w:hint="default"/>
      </w:rPr>
    </w:lvl>
    <w:lvl w:ilvl="6">
      <w:start w:val="0"/>
      <w:numFmt w:val="bullet"/>
      <w:lvlText w:val="•"/>
      <w:lvlJc w:val="left"/>
      <w:pPr>
        <w:ind w:left="3169" w:hanging="735"/>
      </w:pPr>
      <w:rPr>
        <w:rFonts w:hint="default"/>
      </w:rPr>
    </w:lvl>
    <w:lvl w:ilvl="7">
      <w:start w:val="0"/>
      <w:numFmt w:val="bullet"/>
      <w:lvlText w:val="•"/>
      <w:lvlJc w:val="left"/>
      <w:pPr>
        <w:ind w:left="3062" w:hanging="735"/>
      </w:pPr>
      <w:rPr>
        <w:rFonts w:hint="default"/>
      </w:rPr>
    </w:lvl>
    <w:lvl w:ilvl="8">
      <w:start w:val="0"/>
      <w:numFmt w:val="bullet"/>
      <w:lvlText w:val="•"/>
      <w:lvlJc w:val="left"/>
      <w:pPr>
        <w:ind w:left="2956" w:hanging="735"/>
      </w:pPr>
      <w:rPr>
        <w:rFonts w:hint="default"/>
      </w:rPr>
    </w:lvl>
  </w:abstractNum>
  <w:abstractNum w:abstractNumId="39">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3700" w:hanging="735"/>
      </w:pPr>
      <w:rPr>
        <w:rFonts w:hint="default"/>
      </w:rPr>
    </w:lvl>
    <w:lvl w:ilvl="2">
      <w:start w:val="0"/>
      <w:numFmt w:val="bullet"/>
      <w:lvlText w:val="•"/>
      <w:lvlJc w:val="left"/>
      <w:pPr>
        <w:ind w:left="4130" w:hanging="735"/>
      </w:pPr>
      <w:rPr>
        <w:rFonts w:hint="default"/>
      </w:rPr>
    </w:lvl>
    <w:lvl w:ilvl="3">
      <w:start w:val="0"/>
      <w:numFmt w:val="bullet"/>
      <w:lvlText w:val="•"/>
      <w:lvlJc w:val="left"/>
      <w:pPr>
        <w:ind w:left="4561" w:hanging="735"/>
      </w:pPr>
      <w:rPr>
        <w:rFonts w:hint="default"/>
      </w:rPr>
    </w:lvl>
    <w:lvl w:ilvl="4">
      <w:start w:val="0"/>
      <w:numFmt w:val="bullet"/>
      <w:lvlText w:val="•"/>
      <w:lvlJc w:val="left"/>
      <w:pPr>
        <w:ind w:left="4992" w:hanging="735"/>
      </w:pPr>
      <w:rPr>
        <w:rFonts w:hint="default"/>
      </w:rPr>
    </w:lvl>
    <w:lvl w:ilvl="5">
      <w:start w:val="0"/>
      <w:numFmt w:val="bullet"/>
      <w:lvlText w:val="•"/>
      <w:lvlJc w:val="left"/>
      <w:pPr>
        <w:ind w:left="5423" w:hanging="735"/>
      </w:pPr>
      <w:rPr>
        <w:rFonts w:hint="default"/>
      </w:rPr>
    </w:lvl>
    <w:lvl w:ilvl="6">
      <w:start w:val="0"/>
      <w:numFmt w:val="bullet"/>
      <w:lvlText w:val="•"/>
      <w:lvlJc w:val="left"/>
      <w:pPr>
        <w:ind w:left="5853" w:hanging="735"/>
      </w:pPr>
      <w:rPr>
        <w:rFonts w:hint="default"/>
      </w:rPr>
    </w:lvl>
    <w:lvl w:ilvl="7">
      <w:start w:val="0"/>
      <w:numFmt w:val="bullet"/>
      <w:lvlText w:val="•"/>
      <w:lvlJc w:val="left"/>
      <w:pPr>
        <w:ind w:left="6284" w:hanging="735"/>
      </w:pPr>
      <w:rPr>
        <w:rFonts w:hint="default"/>
      </w:rPr>
    </w:lvl>
    <w:lvl w:ilvl="8">
      <w:start w:val="0"/>
      <w:numFmt w:val="bullet"/>
      <w:lvlText w:val="•"/>
      <w:lvlJc w:val="left"/>
      <w:pPr>
        <w:ind w:left="6715" w:hanging="735"/>
      </w:pPr>
      <w:rPr>
        <w:rFonts w:hint="default"/>
      </w:rPr>
    </w:lvl>
  </w:abstractNum>
  <w:abstractNum w:abstractNumId="38">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49" w:hanging="735"/>
      </w:pPr>
      <w:rPr>
        <w:rFonts w:hint="default"/>
      </w:rPr>
    </w:lvl>
    <w:lvl w:ilvl="2">
      <w:start w:val="0"/>
      <w:numFmt w:val="bullet"/>
      <w:lvlText w:val="•"/>
      <w:lvlJc w:val="left"/>
      <w:pPr>
        <w:ind w:left="2219"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898" w:hanging="735"/>
      </w:pPr>
      <w:rPr>
        <w:rFonts w:hint="default"/>
      </w:rPr>
    </w:lvl>
    <w:lvl w:ilvl="7">
      <w:start w:val="0"/>
      <w:numFmt w:val="bullet"/>
      <w:lvlText w:val="•"/>
      <w:lvlJc w:val="left"/>
      <w:pPr>
        <w:ind w:left="5567" w:hanging="735"/>
      </w:pPr>
      <w:rPr>
        <w:rFonts w:hint="default"/>
      </w:rPr>
    </w:lvl>
    <w:lvl w:ilvl="8">
      <w:start w:val="0"/>
      <w:numFmt w:val="bullet"/>
      <w:lvlText w:val="•"/>
      <w:lvlJc w:val="left"/>
      <w:pPr>
        <w:ind w:left="6237" w:hanging="735"/>
      </w:pPr>
      <w:rPr>
        <w:rFonts w:hint="default"/>
      </w:rPr>
    </w:lvl>
  </w:abstractNum>
  <w:abstractNum w:abstractNumId="37">
    <w:multiLevelType w:val="hybridMultilevel"/>
    <w:lvl w:ilvl="0">
      <w:start w:val="1"/>
      <w:numFmt w:val="decimal"/>
      <w:lvlText w:val="（%1）"/>
      <w:lvlJc w:val="left"/>
      <w:pPr>
        <w:ind w:left="3690" w:hanging="735"/>
        <w:jc w:val="left"/>
      </w:pPr>
      <w:rPr>
        <w:rFonts w:hint="default" w:ascii="宋体" w:hAnsi="宋体" w:eastAsia="宋体" w:cs="宋体"/>
        <w:w w:val="100"/>
        <w:sz w:val="21"/>
        <w:szCs w:val="21"/>
      </w:rPr>
    </w:lvl>
    <w:lvl w:ilvl="1">
      <w:start w:val="0"/>
      <w:numFmt w:val="bullet"/>
      <w:lvlText w:val="•"/>
      <w:lvlJc w:val="left"/>
      <w:pPr>
        <w:ind w:left="4368" w:hanging="735"/>
      </w:pPr>
      <w:rPr>
        <w:rFonts w:hint="default"/>
      </w:rPr>
    </w:lvl>
    <w:lvl w:ilvl="2">
      <w:start w:val="0"/>
      <w:numFmt w:val="bullet"/>
      <w:lvlText w:val="•"/>
      <w:lvlJc w:val="left"/>
      <w:pPr>
        <w:ind w:left="5036" w:hanging="735"/>
      </w:pPr>
      <w:rPr>
        <w:rFonts w:hint="default"/>
      </w:rPr>
    </w:lvl>
    <w:lvl w:ilvl="3">
      <w:start w:val="0"/>
      <w:numFmt w:val="bullet"/>
      <w:lvlText w:val="•"/>
      <w:lvlJc w:val="left"/>
      <w:pPr>
        <w:ind w:left="5704" w:hanging="735"/>
      </w:pPr>
      <w:rPr>
        <w:rFonts w:hint="default"/>
      </w:rPr>
    </w:lvl>
    <w:lvl w:ilvl="4">
      <w:start w:val="0"/>
      <w:numFmt w:val="bullet"/>
      <w:lvlText w:val="•"/>
      <w:lvlJc w:val="left"/>
      <w:pPr>
        <w:ind w:left="6372" w:hanging="735"/>
      </w:pPr>
      <w:rPr>
        <w:rFonts w:hint="default"/>
      </w:rPr>
    </w:lvl>
    <w:lvl w:ilvl="5">
      <w:start w:val="0"/>
      <w:numFmt w:val="bullet"/>
      <w:lvlText w:val="•"/>
      <w:lvlJc w:val="left"/>
      <w:pPr>
        <w:ind w:left="7040" w:hanging="735"/>
      </w:pPr>
      <w:rPr>
        <w:rFonts w:hint="default"/>
      </w:rPr>
    </w:lvl>
    <w:lvl w:ilvl="6">
      <w:start w:val="0"/>
      <w:numFmt w:val="bullet"/>
      <w:lvlText w:val="•"/>
      <w:lvlJc w:val="left"/>
      <w:pPr>
        <w:ind w:left="7708" w:hanging="735"/>
      </w:pPr>
      <w:rPr>
        <w:rFonts w:hint="default"/>
      </w:rPr>
    </w:lvl>
    <w:lvl w:ilvl="7">
      <w:start w:val="0"/>
      <w:numFmt w:val="bullet"/>
      <w:lvlText w:val="•"/>
      <w:lvlJc w:val="left"/>
      <w:pPr>
        <w:ind w:left="8376" w:hanging="735"/>
      </w:pPr>
      <w:rPr>
        <w:rFonts w:hint="default"/>
      </w:rPr>
    </w:lvl>
    <w:lvl w:ilvl="8">
      <w:start w:val="0"/>
      <w:numFmt w:val="bullet"/>
      <w:lvlText w:val="•"/>
      <w:lvlJc w:val="left"/>
      <w:pPr>
        <w:ind w:left="9044" w:hanging="735"/>
      </w:pPr>
      <w:rPr>
        <w:rFonts w:hint="default"/>
      </w:rPr>
    </w:lvl>
  </w:abstractNum>
  <w:abstractNum w:abstractNumId="36">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35">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34">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33">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32">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3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493" w:hanging="735"/>
      </w:pPr>
      <w:rPr>
        <w:rFonts w:hint="default"/>
      </w:rPr>
    </w:lvl>
    <w:lvl w:ilvl="2">
      <w:start w:val="0"/>
      <w:numFmt w:val="bullet"/>
      <w:lvlText w:val="•"/>
      <w:lvlJc w:val="left"/>
      <w:pPr>
        <w:ind w:left="2147" w:hanging="735"/>
      </w:pPr>
      <w:rPr>
        <w:rFonts w:hint="default"/>
      </w:rPr>
    </w:lvl>
    <w:lvl w:ilvl="3">
      <w:start w:val="0"/>
      <w:numFmt w:val="bullet"/>
      <w:lvlText w:val="•"/>
      <w:lvlJc w:val="left"/>
      <w:pPr>
        <w:ind w:left="2801" w:hanging="735"/>
      </w:pPr>
      <w:rPr>
        <w:rFonts w:hint="default"/>
      </w:rPr>
    </w:lvl>
    <w:lvl w:ilvl="4">
      <w:start w:val="0"/>
      <w:numFmt w:val="bullet"/>
      <w:lvlText w:val="•"/>
      <w:lvlJc w:val="left"/>
      <w:pPr>
        <w:ind w:left="3454" w:hanging="735"/>
      </w:pPr>
      <w:rPr>
        <w:rFonts w:hint="default"/>
      </w:rPr>
    </w:lvl>
    <w:lvl w:ilvl="5">
      <w:start w:val="0"/>
      <w:numFmt w:val="bullet"/>
      <w:lvlText w:val="•"/>
      <w:lvlJc w:val="left"/>
      <w:pPr>
        <w:ind w:left="4108" w:hanging="735"/>
      </w:pPr>
      <w:rPr>
        <w:rFonts w:hint="default"/>
      </w:rPr>
    </w:lvl>
    <w:lvl w:ilvl="6">
      <w:start w:val="0"/>
      <w:numFmt w:val="bullet"/>
      <w:lvlText w:val="•"/>
      <w:lvlJc w:val="left"/>
      <w:pPr>
        <w:ind w:left="4762" w:hanging="735"/>
      </w:pPr>
      <w:rPr>
        <w:rFonts w:hint="default"/>
      </w:rPr>
    </w:lvl>
    <w:lvl w:ilvl="7">
      <w:start w:val="0"/>
      <w:numFmt w:val="bullet"/>
      <w:lvlText w:val="•"/>
      <w:lvlJc w:val="left"/>
      <w:pPr>
        <w:ind w:left="5415" w:hanging="735"/>
      </w:pPr>
      <w:rPr>
        <w:rFonts w:hint="default"/>
      </w:rPr>
    </w:lvl>
    <w:lvl w:ilvl="8">
      <w:start w:val="0"/>
      <w:numFmt w:val="bullet"/>
      <w:lvlText w:val="•"/>
      <w:lvlJc w:val="left"/>
      <w:pPr>
        <w:ind w:left="6069" w:hanging="735"/>
      </w:pPr>
      <w:rPr>
        <w:rFonts w:hint="default"/>
      </w:rPr>
    </w:lvl>
  </w:abstractNum>
  <w:abstractNum w:abstractNumId="3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493" w:hanging="735"/>
      </w:pPr>
      <w:rPr>
        <w:rFonts w:hint="default"/>
      </w:rPr>
    </w:lvl>
    <w:lvl w:ilvl="2">
      <w:start w:val="0"/>
      <w:numFmt w:val="bullet"/>
      <w:lvlText w:val="•"/>
      <w:lvlJc w:val="left"/>
      <w:pPr>
        <w:ind w:left="2147" w:hanging="735"/>
      </w:pPr>
      <w:rPr>
        <w:rFonts w:hint="default"/>
      </w:rPr>
    </w:lvl>
    <w:lvl w:ilvl="3">
      <w:start w:val="0"/>
      <w:numFmt w:val="bullet"/>
      <w:lvlText w:val="•"/>
      <w:lvlJc w:val="left"/>
      <w:pPr>
        <w:ind w:left="2801" w:hanging="735"/>
      </w:pPr>
      <w:rPr>
        <w:rFonts w:hint="default"/>
      </w:rPr>
    </w:lvl>
    <w:lvl w:ilvl="4">
      <w:start w:val="0"/>
      <w:numFmt w:val="bullet"/>
      <w:lvlText w:val="•"/>
      <w:lvlJc w:val="left"/>
      <w:pPr>
        <w:ind w:left="3454" w:hanging="735"/>
      </w:pPr>
      <w:rPr>
        <w:rFonts w:hint="default"/>
      </w:rPr>
    </w:lvl>
    <w:lvl w:ilvl="5">
      <w:start w:val="0"/>
      <w:numFmt w:val="bullet"/>
      <w:lvlText w:val="•"/>
      <w:lvlJc w:val="left"/>
      <w:pPr>
        <w:ind w:left="4108" w:hanging="735"/>
      </w:pPr>
      <w:rPr>
        <w:rFonts w:hint="default"/>
      </w:rPr>
    </w:lvl>
    <w:lvl w:ilvl="6">
      <w:start w:val="0"/>
      <w:numFmt w:val="bullet"/>
      <w:lvlText w:val="•"/>
      <w:lvlJc w:val="left"/>
      <w:pPr>
        <w:ind w:left="4762" w:hanging="735"/>
      </w:pPr>
      <w:rPr>
        <w:rFonts w:hint="default"/>
      </w:rPr>
    </w:lvl>
    <w:lvl w:ilvl="7">
      <w:start w:val="0"/>
      <w:numFmt w:val="bullet"/>
      <w:lvlText w:val="•"/>
      <w:lvlJc w:val="left"/>
      <w:pPr>
        <w:ind w:left="5415" w:hanging="735"/>
      </w:pPr>
      <w:rPr>
        <w:rFonts w:hint="default"/>
      </w:rPr>
    </w:lvl>
    <w:lvl w:ilvl="8">
      <w:start w:val="0"/>
      <w:numFmt w:val="bullet"/>
      <w:lvlText w:val="•"/>
      <w:lvlJc w:val="left"/>
      <w:pPr>
        <w:ind w:left="6069" w:hanging="735"/>
      </w:pPr>
      <w:rPr>
        <w:rFonts w:hint="default"/>
      </w:rPr>
    </w:lvl>
  </w:abstractNum>
  <w:abstractNum w:abstractNumId="2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2"/>
      <w:numFmt w:val="decimal"/>
      <w:lvlText w:val="（%2）"/>
      <w:lvlJc w:val="left"/>
      <w:pPr>
        <w:ind w:left="3650" w:hanging="735"/>
        <w:jc w:val="left"/>
      </w:pPr>
      <w:rPr>
        <w:rFonts w:hint="default" w:ascii="宋体" w:hAnsi="宋体" w:eastAsia="宋体" w:cs="宋体"/>
        <w:w w:val="100"/>
        <w:sz w:val="21"/>
        <w:szCs w:val="21"/>
      </w:rPr>
    </w:lvl>
    <w:lvl w:ilvl="2">
      <w:start w:val="0"/>
      <w:numFmt w:val="bullet"/>
      <w:lvlText w:val="•"/>
      <w:lvlJc w:val="left"/>
      <w:pPr>
        <w:ind w:left="4072" w:hanging="735"/>
      </w:pPr>
      <w:rPr>
        <w:rFonts w:hint="default"/>
      </w:rPr>
    </w:lvl>
    <w:lvl w:ilvl="3">
      <w:start w:val="0"/>
      <w:numFmt w:val="bullet"/>
      <w:lvlText w:val="•"/>
      <w:lvlJc w:val="left"/>
      <w:pPr>
        <w:ind w:left="4485" w:hanging="735"/>
      </w:pPr>
      <w:rPr>
        <w:rFonts w:hint="default"/>
      </w:rPr>
    </w:lvl>
    <w:lvl w:ilvl="4">
      <w:start w:val="0"/>
      <w:numFmt w:val="bullet"/>
      <w:lvlText w:val="•"/>
      <w:lvlJc w:val="left"/>
      <w:pPr>
        <w:ind w:left="4898" w:hanging="735"/>
      </w:pPr>
      <w:rPr>
        <w:rFonts w:hint="default"/>
      </w:rPr>
    </w:lvl>
    <w:lvl w:ilvl="5">
      <w:start w:val="0"/>
      <w:numFmt w:val="bullet"/>
      <w:lvlText w:val="•"/>
      <w:lvlJc w:val="left"/>
      <w:pPr>
        <w:ind w:left="5311" w:hanging="735"/>
      </w:pPr>
      <w:rPr>
        <w:rFonts w:hint="default"/>
      </w:rPr>
    </w:lvl>
    <w:lvl w:ilvl="6">
      <w:start w:val="0"/>
      <w:numFmt w:val="bullet"/>
      <w:lvlText w:val="•"/>
      <w:lvlJc w:val="left"/>
      <w:pPr>
        <w:ind w:left="5724" w:hanging="735"/>
      </w:pPr>
      <w:rPr>
        <w:rFonts w:hint="default"/>
      </w:rPr>
    </w:lvl>
    <w:lvl w:ilvl="7">
      <w:start w:val="0"/>
      <w:numFmt w:val="bullet"/>
      <w:lvlText w:val="•"/>
      <w:lvlJc w:val="left"/>
      <w:pPr>
        <w:ind w:left="6137" w:hanging="735"/>
      </w:pPr>
      <w:rPr>
        <w:rFonts w:hint="default"/>
      </w:rPr>
    </w:lvl>
    <w:lvl w:ilvl="8">
      <w:start w:val="0"/>
      <w:numFmt w:val="bullet"/>
      <w:lvlText w:val="•"/>
      <w:lvlJc w:val="left"/>
      <w:pPr>
        <w:ind w:left="6550" w:hanging="735"/>
      </w:pPr>
      <w:rPr>
        <w:rFonts w:hint="default"/>
      </w:rPr>
    </w:lvl>
  </w:abstractNum>
  <w:abstractNum w:abstractNumId="28">
    <w:multiLevelType w:val="hybridMultilevel"/>
    <w:lvl w:ilvl="0">
      <w:start w:val="1"/>
      <w:numFmt w:val="decimal"/>
      <w:lvlText w:val="（%1）"/>
      <w:lvlJc w:val="left"/>
      <w:pPr>
        <w:ind w:left="3756" w:hanging="840"/>
        <w:jc w:val="left"/>
      </w:pPr>
      <w:rPr>
        <w:rFonts w:hint="default" w:ascii="宋体" w:hAnsi="宋体" w:eastAsia="宋体" w:cs="宋体"/>
        <w:w w:val="100"/>
        <w:sz w:val="21"/>
        <w:szCs w:val="21"/>
      </w:rPr>
    </w:lvl>
    <w:lvl w:ilvl="1">
      <w:start w:val="0"/>
      <w:numFmt w:val="bullet"/>
      <w:lvlText w:val="•"/>
      <w:lvlJc w:val="left"/>
      <w:pPr>
        <w:ind w:left="4412" w:hanging="840"/>
      </w:pPr>
      <w:rPr>
        <w:rFonts w:hint="default"/>
      </w:rPr>
    </w:lvl>
    <w:lvl w:ilvl="2">
      <w:start w:val="0"/>
      <w:numFmt w:val="bullet"/>
      <w:lvlText w:val="•"/>
      <w:lvlJc w:val="left"/>
      <w:pPr>
        <w:ind w:left="5064" w:hanging="840"/>
      </w:pPr>
      <w:rPr>
        <w:rFonts w:hint="default"/>
      </w:rPr>
    </w:lvl>
    <w:lvl w:ilvl="3">
      <w:start w:val="0"/>
      <w:numFmt w:val="bullet"/>
      <w:lvlText w:val="•"/>
      <w:lvlJc w:val="left"/>
      <w:pPr>
        <w:ind w:left="5716" w:hanging="840"/>
      </w:pPr>
      <w:rPr>
        <w:rFonts w:hint="default"/>
      </w:rPr>
    </w:lvl>
    <w:lvl w:ilvl="4">
      <w:start w:val="0"/>
      <w:numFmt w:val="bullet"/>
      <w:lvlText w:val="•"/>
      <w:lvlJc w:val="left"/>
      <w:pPr>
        <w:ind w:left="6368" w:hanging="840"/>
      </w:pPr>
      <w:rPr>
        <w:rFonts w:hint="default"/>
      </w:rPr>
    </w:lvl>
    <w:lvl w:ilvl="5">
      <w:start w:val="0"/>
      <w:numFmt w:val="bullet"/>
      <w:lvlText w:val="•"/>
      <w:lvlJc w:val="left"/>
      <w:pPr>
        <w:ind w:left="7020" w:hanging="840"/>
      </w:pPr>
      <w:rPr>
        <w:rFonts w:hint="default"/>
      </w:rPr>
    </w:lvl>
    <w:lvl w:ilvl="6">
      <w:start w:val="0"/>
      <w:numFmt w:val="bullet"/>
      <w:lvlText w:val="•"/>
      <w:lvlJc w:val="left"/>
      <w:pPr>
        <w:ind w:left="7672" w:hanging="840"/>
      </w:pPr>
      <w:rPr>
        <w:rFonts w:hint="default"/>
      </w:rPr>
    </w:lvl>
    <w:lvl w:ilvl="7">
      <w:start w:val="0"/>
      <w:numFmt w:val="bullet"/>
      <w:lvlText w:val="•"/>
      <w:lvlJc w:val="left"/>
      <w:pPr>
        <w:ind w:left="8324" w:hanging="840"/>
      </w:pPr>
      <w:rPr>
        <w:rFonts w:hint="default"/>
      </w:rPr>
    </w:lvl>
    <w:lvl w:ilvl="8">
      <w:start w:val="0"/>
      <w:numFmt w:val="bullet"/>
      <w:lvlText w:val="•"/>
      <w:lvlJc w:val="left"/>
      <w:pPr>
        <w:ind w:left="8976" w:hanging="840"/>
      </w:pPr>
      <w:rPr>
        <w:rFonts w:hint="default"/>
      </w:rPr>
    </w:lvl>
  </w:abstractNum>
  <w:abstractNum w:abstractNumId="27">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2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46" w:hanging="735"/>
      </w:pPr>
      <w:rPr>
        <w:rFonts w:hint="default"/>
      </w:rPr>
    </w:lvl>
    <w:lvl w:ilvl="4">
      <w:start w:val="0"/>
      <w:numFmt w:val="bullet"/>
      <w:lvlText w:val="•"/>
      <w:lvlJc w:val="left"/>
      <w:pPr>
        <w:ind w:left="6308" w:hanging="735"/>
      </w:pPr>
      <w:rPr>
        <w:rFonts w:hint="default"/>
      </w:rPr>
    </w:lvl>
    <w:lvl w:ilvl="5">
      <w:start w:val="0"/>
      <w:numFmt w:val="bullet"/>
      <w:lvlText w:val="•"/>
      <w:lvlJc w:val="left"/>
      <w:pPr>
        <w:ind w:left="6970" w:hanging="735"/>
      </w:pPr>
      <w:rPr>
        <w:rFonts w:hint="default"/>
      </w:rPr>
    </w:lvl>
    <w:lvl w:ilvl="6">
      <w:start w:val="0"/>
      <w:numFmt w:val="bullet"/>
      <w:lvlText w:val="•"/>
      <w:lvlJc w:val="left"/>
      <w:pPr>
        <w:ind w:left="7632" w:hanging="735"/>
      </w:pPr>
      <w:rPr>
        <w:rFonts w:hint="default"/>
      </w:rPr>
    </w:lvl>
    <w:lvl w:ilvl="7">
      <w:start w:val="0"/>
      <w:numFmt w:val="bullet"/>
      <w:lvlText w:val="•"/>
      <w:lvlJc w:val="left"/>
      <w:pPr>
        <w:ind w:left="8294" w:hanging="735"/>
      </w:pPr>
      <w:rPr>
        <w:rFonts w:hint="default"/>
      </w:rPr>
    </w:lvl>
    <w:lvl w:ilvl="8">
      <w:start w:val="0"/>
      <w:numFmt w:val="bullet"/>
      <w:lvlText w:val="•"/>
      <w:lvlJc w:val="left"/>
      <w:pPr>
        <w:ind w:left="8956" w:hanging="735"/>
      </w:pPr>
      <w:rPr>
        <w:rFonts w:hint="default"/>
      </w:rPr>
    </w:lvl>
  </w:abstractNum>
  <w:abstractNum w:abstractNumId="26">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25">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24">
    <w:multiLevelType w:val="hybridMultilevel"/>
    <w:lvl w:ilvl="0">
      <w:start w:val="5"/>
      <w:numFmt w:val="upperRoman"/>
      <w:lvlText w:val="%1"/>
      <w:lvlJc w:val="left"/>
      <w:pPr>
        <w:ind w:left="271" w:hanging="159"/>
        <w:jc w:val="left"/>
      </w:pPr>
      <w:rPr>
        <w:rFonts w:hint="default" w:ascii="宋体" w:hAnsi="宋体" w:eastAsia="宋体" w:cs="宋体"/>
        <w:w w:val="100"/>
        <w:sz w:val="21"/>
        <w:szCs w:val="21"/>
      </w:rPr>
    </w:lvl>
    <w:lvl w:ilvl="1">
      <w:start w:val="0"/>
      <w:numFmt w:val="bullet"/>
      <w:lvlText w:val="•"/>
      <w:lvlJc w:val="left"/>
      <w:pPr>
        <w:ind w:left="989" w:hanging="159"/>
      </w:pPr>
      <w:rPr>
        <w:rFonts w:hint="default"/>
      </w:rPr>
    </w:lvl>
    <w:lvl w:ilvl="2">
      <w:start w:val="0"/>
      <w:numFmt w:val="bullet"/>
      <w:lvlText w:val="•"/>
      <w:lvlJc w:val="left"/>
      <w:pPr>
        <w:ind w:left="1699" w:hanging="159"/>
      </w:pPr>
      <w:rPr>
        <w:rFonts w:hint="default"/>
      </w:rPr>
    </w:lvl>
    <w:lvl w:ilvl="3">
      <w:start w:val="0"/>
      <w:numFmt w:val="bullet"/>
      <w:lvlText w:val="•"/>
      <w:lvlJc w:val="left"/>
      <w:pPr>
        <w:ind w:left="2409" w:hanging="159"/>
      </w:pPr>
      <w:rPr>
        <w:rFonts w:hint="default"/>
      </w:rPr>
    </w:lvl>
    <w:lvl w:ilvl="4">
      <w:start w:val="0"/>
      <w:numFmt w:val="bullet"/>
      <w:lvlText w:val="•"/>
      <w:lvlJc w:val="left"/>
      <w:pPr>
        <w:ind w:left="3118" w:hanging="159"/>
      </w:pPr>
      <w:rPr>
        <w:rFonts w:hint="default"/>
      </w:rPr>
    </w:lvl>
    <w:lvl w:ilvl="5">
      <w:start w:val="0"/>
      <w:numFmt w:val="bullet"/>
      <w:lvlText w:val="•"/>
      <w:lvlJc w:val="left"/>
      <w:pPr>
        <w:ind w:left="3828" w:hanging="159"/>
      </w:pPr>
      <w:rPr>
        <w:rFonts w:hint="default"/>
      </w:rPr>
    </w:lvl>
    <w:lvl w:ilvl="6">
      <w:start w:val="0"/>
      <w:numFmt w:val="bullet"/>
      <w:lvlText w:val="•"/>
      <w:lvlJc w:val="left"/>
      <w:pPr>
        <w:ind w:left="4538" w:hanging="159"/>
      </w:pPr>
      <w:rPr>
        <w:rFonts w:hint="default"/>
      </w:rPr>
    </w:lvl>
    <w:lvl w:ilvl="7">
      <w:start w:val="0"/>
      <w:numFmt w:val="bullet"/>
      <w:lvlText w:val="•"/>
      <w:lvlJc w:val="left"/>
      <w:pPr>
        <w:ind w:left="5247" w:hanging="159"/>
      </w:pPr>
      <w:rPr>
        <w:rFonts w:hint="default"/>
      </w:rPr>
    </w:lvl>
    <w:lvl w:ilvl="8">
      <w:start w:val="0"/>
      <w:numFmt w:val="bullet"/>
      <w:lvlText w:val="•"/>
      <w:lvlJc w:val="left"/>
      <w:pPr>
        <w:ind w:left="5957" w:hanging="159"/>
      </w:pPr>
      <w:rPr>
        <w:rFonts w:hint="default"/>
      </w:rPr>
    </w:lvl>
  </w:abstractNum>
  <w:abstractNum w:abstractNumId="23">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512" w:hanging="735"/>
      </w:pPr>
      <w:rPr>
        <w:rFonts w:hint="default"/>
      </w:rPr>
    </w:lvl>
    <w:lvl w:ilvl="2">
      <w:start w:val="0"/>
      <w:numFmt w:val="bullet"/>
      <w:lvlText w:val="•"/>
      <w:lvlJc w:val="left"/>
      <w:pPr>
        <w:ind w:left="2164" w:hanging="735"/>
      </w:pPr>
      <w:rPr>
        <w:rFonts w:hint="default"/>
      </w:rPr>
    </w:lvl>
    <w:lvl w:ilvl="3">
      <w:start w:val="0"/>
      <w:numFmt w:val="bullet"/>
      <w:lvlText w:val="•"/>
      <w:lvlJc w:val="left"/>
      <w:pPr>
        <w:ind w:left="2816" w:hanging="735"/>
      </w:pPr>
      <w:rPr>
        <w:rFonts w:hint="default"/>
      </w:rPr>
    </w:lvl>
    <w:lvl w:ilvl="4">
      <w:start w:val="0"/>
      <w:numFmt w:val="bullet"/>
      <w:lvlText w:val="•"/>
      <w:lvlJc w:val="left"/>
      <w:pPr>
        <w:ind w:left="3468" w:hanging="735"/>
      </w:pPr>
      <w:rPr>
        <w:rFonts w:hint="default"/>
      </w:rPr>
    </w:lvl>
    <w:lvl w:ilvl="5">
      <w:start w:val="0"/>
      <w:numFmt w:val="bullet"/>
      <w:lvlText w:val="•"/>
      <w:lvlJc w:val="left"/>
      <w:pPr>
        <w:ind w:left="4120" w:hanging="735"/>
      </w:pPr>
      <w:rPr>
        <w:rFonts w:hint="default"/>
      </w:rPr>
    </w:lvl>
    <w:lvl w:ilvl="6">
      <w:start w:val="0"/>
      <w:numFmt w:val="bullet"/>
      <w:lvlText w:val="•"/>
      <w:lvlJc w:val="left"/>
      <w:pPr>
        <w:ind w:left="4772" w:hanging="735"/>
      </w:pPr>
      <w:rPr>
        <w:rFonts w:hint="default"/>
      </w:rPr>
    </w:lvl>
    <w:lvl w:ilvl="7">
      <w:start w:val="0"/>
      <w:numFmt w:val="bullet"/>
      <w:lvlText w:val="•"/>
      <w:lvlJc w:val="left"/>
      <w:pPr>
        <w:ind w:left="5425" w:hanging="735"/>
      </w:pPr>
      <w:rPr>
        <w:rFonts w:hint="default"/>
      </w:rPr>
    </w:lvl>
    <w:lvl w:ilvl="8">
      <w:start w:val="0"/>
      <w:numFmt w:val="bullet"/>
      <w:lvlText w:val="•"/>
      <w:lvlJc w:val="left"/>
      <w:pPr>
        <w:ind w:left="6077" w:hanging="735"/>
      </w:pPr>
      <w:rPr>
        <w:rFonts w:hint="default"/>
      </w:rPr>
    </w:lvl>
  </w:abstractNum>
  <w:abstractNum w:abstractNumId="2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493" w:hanging="735"/>
      </w:pPr>
      <w:rPr>
        <w:rFonts w:hint="default"/>
      </w:rPr>
    </w:lvl>
    <w:lvl w:ilvl="2">
      <w:start w:val="0"/>
      <w:numFmt w:val="bullet"/>
      <w:lvlText w:val="•"/>
      <w:lvlJc w:val="left"/>
      <w:pPr>
        <w:ind w:left="2147" w:hanging="735"/>
      </w:pPr>
      <w:rPr>
        <w:rFonts w:hint="default"/>
      </w:rPr>
    </w:lvl>
    <w:lvl w:ilvl="3">
      <w:start w:val="0"/>
      <w:numFmt w:val="bullet"/>
      <w:lvlText w:val="•"/>
      <w:lvlJc w:val="left"/>
      <w:pPr>
        <w:ind w:left="2801" w:hanging="735"/>
      </w:pPr>
      <w:rPr>
        <w:rFonts w:hint="default"/>
      </w:rPr>
    </w:lvl>
    <w:lvl w:ilvl="4">
      <w:start w:val="0"/>
      <w:numFmt w:val="bullet"/>
      <w:lvlText w:val="•"/>
      <w:lvlJc w:val="left"/>
      <w:pPr>
        <w:ind w:left="3454" w:hanging="735"/>
      </w:pPr>
      <w:rPr>
        <w:rFonts w:hint="default"/>
      </w:rPr>
    </w:lvl>
    <w:lvl w:ilvl="5">
      <w:start w:val="0"/>
      <w:numFmt w:val="bullet"/>
      <w:lvlText w:val="•"/>
      <w:lvlJc w:val="left"/>
      <w:pPr>
        <w:ind w:left="4108" w:hanging="735"/>
      </w:pPr>
      <w:rPr>
        <w:rFonts w:hint="default"/>
      </w:rPr>
    </w:lvl>
    <w:lvl w:ilvl="6">
      <w:start w:val="0"/>
      <w:numFmt w:val="bullet"/>
      <w:lvlText w:val="•"/>
      <w:lvlJc w:val="left"/>
      <w:pPr>
        <w:ind w:left="4762" w:hanging="735"/>
      </w:pPr>
      <w:rPr>
        <w:rFonts w:hint="default"/>
      </w:rPr>
    </w:lvl>
    <w:lvl w:ilvl="7">
      <w:start w:val="0"/>
      <w:numFmt w:val="bullet"/>
      <w:lvlText w:val="•"/>
      <w:lvlJc w:val="left"/>
      <w:pPr>
        <w:ind w:left="5415" w:hanging="735"/>
      </w:pPr>
      <w:rPr>
        <w:rFonts w:hint="default"/>
      </w:rPr>
    </w:lvl>
    <w:lvl w:ilvl="8">
      <w:start w:val="0"/>
      <w:numFmt w:val="bullet"/>
      <w:lvlText w:val="•"/>
      <w:lvlJc w:val="left"/>
      <w:pPr>
        <w:ind w:left="6069" w:hanging="735"/>
      </w:pPr>
      <w:rPr>
        <w:rFonts w:hint="default"/>
      </w:rPr>
    </w:lvl>
  </w:abstractNum>
  <w:abstractNum w:abstractNumId="21">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20">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1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68" w:hanging="735"/>
      </w:pPr>
      <w:rPr>
        <w:rFonts w:hint="default"/>
      </w:rPr>
    </w:lvl>
    <w:lvl w:ilvl="5">
      <w:start w:val="0"/>
      <w:numFmt w:val="bullet"/>
      <w:lvlText w:val="•"/>
      <w:lvlJc w:val="left"/>
      <w:pPr>
        <w:ind w:left="6920" w:hanging="735"/>
      </w:pPr>
      <w:rPr>
        <w:rFonts w:hint="default"/>
      </w:rPr>
    </w:lvl>
    <w:lvl w:ilvl="6">
      <w:start w:val="0"/>
      <w:numFmt w:val="bullet"/>
      <w:lvlText w:val="•"/>
      <w:lvlJc w:val="left"/>
      <w:pPr>
        <w:ind w:left="7572" w:hanging="735"/>
      </w:pPr>
      <w:rPr>
        <w:rFonts w:hint="default"/>
      </w:rPr>
    </w:lvl>
    <w:lvl w:ilvl="7">
      <w:start w:val="0"/>
      <w:numFmt w:val="bullet"/>
      <w:lvlText w:val="•"/>
      <w:lvlJc w:val="left"/>
      <w:pPr>
        <w:ind w:left="8224" w:hanging="735"/>
      </w:pPr>
      <w:rPr>
        <w:rFonts w:hint="default"/>
      </w:rPr>
    </w:lvl>
    <w:lvl w:ilvl="8">
      <w:start w:val="0"/>
      <w:numFmt w:val="bullet"/>
      <w:lvlText w:val="•"/>
      <w:lvlJc w:val="left"/>
      <w:pPr>
        <w:ind w:left="8876" w:hanging="735"/>
      </w:pPr>
      <w:rPr>
        <w:rFonts w:hint="default"/>
      </w:rPr>
    </w:lvl>
  </w:abstractNum>
  <w:abstractNum w:abstractNumId="19">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1" w:hanging="740"/>
      </w:pPr>
      <w:rPr>
        <w:rFonts w:hint="default"/>
      </w:rPr>
    </w:lvl>
    <w:lvl w:ilvl="2">
      <w:start w:val="0"/>
      <w:numFmt w:val="bullet"/>
      <w:lvlText w:val="•"/>
      <w:lvlJc w:val="left"/>
      <w:pPr>
        <w:ind w:left="2183" w:hanging="740"/>
      </w:pPr>
      <w:rPr>
        <w:rFonts w:hint="default"/>
      </w:rPr>
    </w:lvl>
    <w:lvl w:ilvl="3">
      <w:start w:val="0"/>
      <w:numFmt w:val="bullet"/>
      <w:lvlText w:val="•"/>
      <w:lvlJc w:val="left"/>
      <w:pPr>
        <w:ind w:left="2845" w:hanging="740"/>
      </w:pPr>
      <w:rPr>
        <w:rFonts w:hint="default"/>
      </w:rPr>
    </w:lvl>
    <w:lvl w:ilvl="4">
      <w:start w:val="0"/>
      <w:numFmt w:val="bullet"/>
      <w:lvlText w:val="•"/>
      <w:lvlJc w:val="left"/>
      <w:pPr>
        <w:ind w:left="3506" w:hanging="740"/>
      </w:pPr>
      <w:rPr>
        <w:rFonts w:hint="default"/>
      </w:rPr>
    </w:lvl>
    <w:lvl w:ilvl="5">
      <w:start w:val="0"/>
      <w:numFmt w:val="bullet"/>
      <w:lvlText w:val="•"/>
      <w:lvlJc w:val="left"/>
      <w:pPr>
        <w:ind w:left="4168" w:hanging="740"/>
      </w:pPr>
      <w:rPr>
        <w:rFonts w:hint="default"/>
      </w:rPr>
    </w:lvl>
    <w:lvl w:ilvl="6">
      <w:start w:val="0"/>
      <w:numFmt w:val="bullet"/>
      <w:lvlText w:val="•"/>
      <w:lvlJc w:val="left"/>
      <w:pPr>
        <w:ind w:left="4830" w:hanging="740"/>
      </w:pPr>
      <w:rPr>
        <w:rFonts w:hint="default"/>
      </w:rPr>
    </w:lvl>
    <w:lvl w:ilvl="7">
      <w:start w:val="0"/>
      <w:numFmt w:val="bullet"/>
      <w:lvlText w:val="•"/>
      <w:lvlJc w:val="left"/>
      <w:pPr>
        <w:ind w:left="5491" w:hanging="740"/>
      </w:pPr>
      <w:rPr>
        <w:rFonts w:hint="default"/>
      </w:rPr>
    </w:lvl>
    <w:lvl w:ilvl="8">
      <w:start w:val="0"/>
      <w:numFmt w:val="bullet"/>
      <w:lvlText w:val="•"/>
      <w:lvlJc w:val="left"/>
      <w:pPr>
        <w:ind w:left="6153" w:hanging="740"/>
      </w:pPr>
      <w:rPr>
        <w:rFonts w:hint="default"/>
      </w:rPr>
    </w:lvl>
  </w:abstractNum>
  <w:abstractNum w:abstractNumId="18">
    <w:multiLevelType w:val="hybridMultilevel"/>
    <w:lvl w:ilvl="0">
      <w:start w:val="1"/>
      <w:numFmt w:val="decimal"/>
      <w:lvlText w:val="（%1）"/>
      <w:lvlJc w:val="left"/>
      <w:pPr>
        <w:ind w:left="3636" w:hanging="740"/>
        <w:jc w:val="left"/>
      </w:pPr>
      <w:rPr>
        <w:rFonts w:hint="default" w:ascii="宋体" w:hAnsi="宋体" w:eastAsia="宋体" w:cs="宋体"/>
        <w:w w:val="100"/>
        <w:sz w:val="21"/>
        <w:szCs w:val="21"/>
      </w:rPr>
    </w:lvl>
    <w:lvl w:ilvl="1">
      <w:start w:val="0"/>
      <w:numFmt w:val="bullet"/>
      <w:lvlText w:val="•"/>
      <w:lvlJc w:val="left"/>
      <w:pPr>
        <w:ind w:left="4304" w:hanging="740"/>
      </w:pPr>
      <w:rPr>
        <w:rFonts w:hint="default"/>
      </w:rPr>
    </w:lvl>
    <w:lvl w:ilvl="2">
      <w:start w:val="0"/>
      <w:numFmt w:val="bullet"/>
      <w:lvlText w:val="•"/>
      <w:lvlJc w:val="left"/>
      <w:pPr>
        <w:ind w:left="4968" w:hanging="740"/>
      </w:pPr>
      <w:rPr>
        <w:rFonts w:hint="default"/>
      </w:rPr>
    </w:lvl>
    <w:lvl w:ilvl="3">
      <w:start w:val="0"/>
      <w:numFmt w:val="bullet"/>
      <w:lvlText w:val="•"/>
      <w:lvlJc w:val="left"/>
      <w:pPr>
        <w:ind w:left="5632" w:hanging="740"/>
      </w:pPr>
      <w:rPr>
        <w:rFonts w:hint="default"/>
      </w:rPr>
    </w:lvl>
    <w:lvl w:ilvl="4">
      <w:start w:val="0"/>
      <w:numFmt w:val="bullet"/>
      <w:lvlText w:val="•"/>
      <w:lvlJc w:val="left"/>
      <w:pPr>
        <w:ind w:left="6296" w:hanging="740"/>
      </w:pPr>
      <w:rPr>
        <w:rFonts w:hint="default"/>
      </w:rPr>
    </w:lvl>
    <w:lvl w:ilvl="5">
      <w:start w:val="0"/>
      <w:numFmt w:val="bullet"/>
      <w:lvlText w:val="•"/>
      <w:lvlJc w:val="left"/>
      <w:pPr>
        <w:ind w:left="696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88" w:hanging="740"/>
      </w:pPr>
      <w:rPr>
        <w:rFonts w:hint="default"/>
      </w:rPr>
    </w:lvl>
    <w:lvl w:ilvl="8">
      <w:start w:val="0"/>
      <w:numFmt w:val="bullet"/>
      <w:lvlText w:val="•"/>
      <w:lvlJc w:val="left"/>
      <w:pPr>
        <w:ind w:left="8952" w:hanging="740"/>
      </w:pPr>
      <w:rPr>
        <w:rFonts w:hint="default"/>
      </w:rPr>
    </w:lvl>
  </w:abstractNum>
  <w:abstractNum w:abstractNumId="17">
    <w:multiLevelType w:val="hybridMultilevel"/>
    <w:lvl w:ilvl="0">
      <w:start w:val="1"/>
      <w:numFmt w:val="decimal"/>
      <w:lvlText w:val="（%1）"/>
      <w:lvlJc w:val="left"/>
      <w:pPr>
        <w:ind w:left="3636" w:hanging="740"/>
        <w:jc w:val="left"/>
      </w:pPr>
      <w:rPr>
        <w:rFonts w:hint="default" w:ascii="宋体" w:hAnsi="宋体" w:eastAsia="宋体" w:cs="宋体"/>
        <w:w w:val="100"/>
        <w:sz w:val="21"/>
        <w:szCs w:val="21"/>
      </w:rPr>
    </w:lvl>
    <w:lvl w:ilvl="1">
      <w:start w:val="0"/>
      <w:numFmt w:val="bullet"/>
      <w:lvlText w:val="•"/>
      <w:lvlJc w:val="left"/>
      <w:pPr>
        <w:ind w:left="4304" w:hanging="740"/>
      </w:pPr>
      <w:rPr>
        <w:rFonts w:hint="default"/>
      </w:rPr>
    </w:lvl>
    <w:lvl w:ilvl="2">
      <w:start w:val="0"/>
      <w:numFmt w:val="bullet"/>
      <w:lvlText w:val="•"/>
      <w:lvlJc w:val="left"/>
      <w:pPr>
        <w:ind w:left="4968" w:hanging="740"/>
      </w:pPr>
      <w:rPr>
        <w:rFonts w:hint="default"/>
      </w:rPr>
    </w:lvl>
    <w:lvl w:ilvl="3">
      <w:start w:val="0"/>
      <w:numFmt w:val="bullet"/>
      <w:lvlText w:val="•"/>
      <w:lvlJc w:val="left"/>
      <w:pPr>
        <w:ind w:left="5632" w:hanging="740"/>
      </w:pPr>
      <w:rPr>
        <w:rFonts w:hint="default"/>
      </w:rPr>
    </w:lvl>
    <w:lvl w:ilvl="4">
      <w:start w:val="0"/>
      <w:numFmt w:val="bullet"/>
      <w:lvlText w:val="•"/>
      <w:lvlJc w:val="left"/>
      <w:pPr>
        <w:ind w:left="6296" w:hanging="740"/>
      </w:pPr>
      <w:rPr>
        <w:rFonts w:hint="default"/>
      </w:rPr>
    </w:lvl>
    <w:lvl w:ilvl="5">
      <w:start w:val="0"/>
      <w:numFmt w:val="bullet"/>
      <w:lvlText w:val="•"/>
      <w:lvlJc w:val="left"/>
      <w:pPr>
        <w:ind w:left="696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88" w:hanging="740"/>
      </w:pPr>
      <w:rPr>
        <w:rFonts w:hint="default"/>
      </w:rPr>
    </w:lvl>
    <w:lvl w:ilvl="8">
      <w:start w:val="0"/>
      <w:numFmt w:val="bullet"/>
      <w:lvlText w:val="•"/>
      <w:lvlJc w:val="left"/>
      <w:pPr>
        <w:ind w:left="8952" w:hanging="740"/>
      </w:pPr>
      <w:rPr>
        <w:rFonts w:hint="default"/>
      </w:rPr>
    </w:lvl>
  </w:abstractNum>
  <w:abstractNum w:abstractNumId="16">
    <w:multiLevelType w:val="hybridMultilevel"/>
    <w:lvl w:ilvl="0">
      <w:start w:val="1"/>
      <w:numFmt w:val="decimal"/>
      <w:lvlText w:val="（%1）"/>
      <w:lvlJc w:val="left"/>
      <w:pPr>
        <w:ind w:left="3636" w:hanging="740"/>
        <w:jc w:val="left"/>
      </w:pPr>
      <w:rPr>
        <w:rFonts w:hint="default" w:ascii="宋体" w:hAnsi="宋体" w:eastAsia="宋体" w:cs="宋体"/>
        <w:w w:val="100"/>
        <w:sz w:val="21"/>
        <w:szCs w:val="21"/>
      </w:rPr>
    </w:lvl>
    <w:lvl w:ilvl="1">
      <w:start w:val="0"/>
      <w:numFmt w:val="bullet"/>
      <w:lvlText w:val="•"/>
      <w:lvlJc w:val="left"/>
      <w:pPr>
        <w:ind w:left="4306" w:hanging="740"/>
      </w:pPr>
      <w:rPr>
        <w:rFonts w:hint="default"/>
      </w:rPr>
    </w:lvl>
    <w:lvl w:ilvl="2">
      <w:start w:val="0"/>
      <w:numFmt w:val="bullet"/>
      <w:lvlText w:val="•"/>
      <w:lvlJc w:val="left"/>
      <w:pPr>
        <w:ind w:left="4972" w:hanging="740"/>
      </w:pPr>
      <w:rPr>
        <w:rFonts w:hint="default"/>
      </w:rPr>
    </w:lvl>
    <w:lvl w:ilvl="3">
      <w:start w:val="0"/>
      <w:numFmt w:val="bullet"/>
      <w:lvlText w:val="•"/>
      <w:lvlJc w:val="left"/>
      <w:pPr>
        <w:ind w:left="5638" w:hanging="740"/>
      </w:pPr>
      <w:rPr>
        <w:rFonts w:hint="default"/>
      </w:rPr>
    </w:lvl>
    <w:lvl w:ilvl="4">
      <w:start w:val="0"/>
      <w:numFmt w:val="bullet"/>
      <w:lvlText w:val="•"/>
      <w:lvlJc w:val="left"/>
      <w:pPr>
        <w:ind w:left="6304" w:hanging="740"/>
      </w:pPr>
      <w:rPr>
        <w:rFonts w:hint="default"/>
      </w:rPr>
    </w:lvl>
    <w:lvl w:ilvl="5">
      <w:start w:val="0"/>
      <w:numFmt w:val="bullet"/>
      <w:lvlText w:val="•"/>
      <w:lvlJc w:val="left"/>
      <w:pPr>
        <w:ind w:left="6970" w:hanging="740"/>
      </w:pPr>
      <w:rPr>
        <w:rFonts w:hint="default"/>
      </w:rPr>
    </w:lvl>
    <w:lvl w:ilvl="6">
      <w:start w:val="0"/>
      <w:numFmt w:val="bullet"/>
      <w:lvlText w:val="•"/>
      <w:lvlJc w:val="left"/>
      <w:pPr>
        <w:ind w:left="7636" w:hanging="740"/>
      </w:pPr>
      <w:rPr>
        <w:rFonts w:hint="default"/>
      </w:rPr>
    </w:lvl>
    <w:lvl w:ilvl="7">
      <w:start w:val="0"/>
      <w:numFmt w:val="bullet"/>
      <w:lvlText w:val="•"/>
      <w:lvlJc w:val="left"/>
      <w:pPr>
        <w:ind w:left="8302" w:hanging="740"/>
      </w:pPr>
      <w:rPr>
        <w:rFonts w:hint="default"/>
      </w:rPr>
    </w:lvl>
    <w:lvl w:ilvl="8">
      <w:start w:val="0"/>
      <w:numFmt w:val="bullet"/>
      <w:lvlText w:val="•"/>
      <w:lvlJc w:val="left"/>
      <w:pPr>
        <w:ind w:left="8968" w:hanging="740"/>
      </w:pPr>
      <w:rPr>
        <w:rFonts w:hint="default"/>
      </w:rPr>
    </w:lvl>
  </w:abstractNum>
  <w:abstractNum w:abstractNumId="15">
    <w:multiLevelType w:val="hybridMultilevel"/>
    <w:lvl w:ilvl="0">
      <w:start w:val="1"/>
      <w:numFmt w:val="decimal"/>
      <w:lvlText w:val="（%1）"/>
      <w:lvlJc w:val="left"/>
      <w:pPr>
        <w:ind w:left="832" w:hanging="740"/>
        <w:jc w:val="left"/>
      </w:pPr>
      <w:rPr>
        <w:rFonts w:hint="default" w:ascii="宋体" w:hAnsi="宋体" w:eastAsia="宋体" w:cs="宋体"/>
        <w:w w:val="100"/>
        <w:sz w:val="21"/>
        <w:szCs w:val="21"/>
      </w:rPr>
    </w:lvl>
    <w:lvl w:ilvl="1">
      <w:start w:val="0"/>
      <w:numFmt w:val="bullet"/>
      <w:lvlText w:val="•"/>
      <w:lvlJc w:val="left"/>
      <w:pPr>
        <w:ind w:left="1505" w:hanging="740"/>
      </w:pPr>
      <w:rPr>
        <w:rFonts w:hint="default"/>
      </w:rPr>
    </w:lvl>
    <w:lvl w:ilvl="2">
      <w:start w:val="0"/>
      <w:numFmt w:val="bullet"/>
      <w:lvlText w:val="•"/>
      <w:lvlJc w:val="left"/>
      <w:pPr>
        <w:ind w:left="2171" w:hanging="740"/>
      </w:pPr>
      <w:rPr>
        <w:rFonts w:hint="default"/>
      </w:rPr>
    </w:lvl>
    <w:lvl w:ilvl="3">
      <w:start w:val="0"/>
      <w:numFmt w:val="bullet"/>
      <w:lvlText w:val="•"/>
      <w:lvlJc w:val="left"/>
      <w:pPr>
        <w:ind w:left="2837" w:hanging="740"/>
      </w:pPr>
      <w:rPr>
        <w:rFonts w:hint="default"/>
      </w:rPr>
    </w:lvl>
    <w:lvl w:ilvl="4">
      <w:start w:val="0"/>
      <w:numFmt w:val="bullet"/>
      <w:lvlText w:val="•"/>
      <w:lvlJc w:val="left"/>
      <w:pPr>
        <w:ind w:left="3502" w:hanging="740"/>
      </w:pPr>
      <w:rPr>
        <w:rFonts w:hint="default"/>
      </w:rPr>
    </w:lvl>
    <w:lvl w:ilvl="5">
      <w:start w:val="0"/>
      <w:numFmt w:val="bullet"/>
      <w:lvlText w:val="•"/>
      <w:lvlJc w:val="left"/>
      <w:pPr>
        <w:ind w:left="4168" w:hanging="740"/>
      </w:pPr>
      <w:rPr>
        <w:rFonts w:hint="default"/>
      </w:rPr>
    </w:lvl>
    <w:lvl w:ilvl="6">
      <w:start w:val="0"/>
      <w:numFmt w:val="bullet"/>
      <w:lvlText w:val="•"/>
      <w:lvlJc w:val="left"/>
      <w:pPr>
        <w:ind w:left="4834" w:hanging="740"/>
      </w:pPr>
      <w:rPr>
        <w:rFonts w:hint="default"/>
      </w:rPr>
    </w:lvl>
    <w:lvl w:ilvl="7">
      <w:start w:val="0"/>
      <w:numFmt w:val="bullet"/>
      <w:lvlText w:val="•"/>
      <w:lvlJc w:val="left"/>
      <w:pPr>
        <w:ind w:left="5499" w:hanging="740"/>
      </w:pPr>
      <w:rPr>
        <w:rFonts w:hint="default"/>
      </w:rPr>
    </w:lvl>
    <w:lvl w:ilvl="8">
      <w:start w:val="0"/>
      <w:numFmt w:val="bullet"/>
      <w:lvlText w:val="•"/>
      <w:lvlJc w:val="left"/>
      <w:pPr>
        <w:ind w:left="6165" w:hanging="740"/>
      </w:pPr>
      <w:rPr>
        <w:rFonts w:hint="default"/>
      </w:rPr>
    </w:lvl>
  </w:abstractNum>
  <w:abstractNum w:abstractNumId="14">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3" w:hanging="740"/>
      </w:pPr>
      <w:rPr>
        <w:rFonts w:hint="default"/>
      </w:rPr>
    </w:lvl>
    <w:lvl w:ilvl="2">
      <w:start w:val="0"/>
      <w:numFmt w:val="bullet"/>
      <w:lvlText w:val="•"/>
      <w:lvlJc w:val="left"/>
      <w:pPr>
        <w:ind w:left="2187" w:hanging="740"/>
      </w:pPr>
      <w:rPr>
        <w:rFonts w:hint="default"/>
      </w:rPr>
    </w:lvl>
    <w:lvl w:ilvl="3">
      <w:start w:val="0"/>
      <w:numFmt w:val="bullet"/>
      <w:lvlText w:val="•"/>
      <w:lvlJc w:val="left"/>
      <w:pPr>
        <w:ind w:left="2851" w:hanging="740"/>
      </w:pPr>
      <w:rPr>
        <w:rFonts w:hint="default"/>
      </w:rPr>
    </w:lvl>
    <w:lvl w:ilvl="4">
      <w:start w:val="0"/>
      <w:numFmt w:val="bullet"/>
      <w:lvlText w:val="•"/>
      <w:lvlJc w:val="left"/>
      <w:pPr>
        <w:ind w:left="3514" w:hanging="740"/>
      </w:pPr>
      <w:rPr>
        <w:rFonts w:hint="default"/>
      </w:rPr>
    </w:lvl>
    <w:lvl w:ilvl="5">
      <w:start w:val="0"/>
      <w:numFmt w:val="bullet"/>
      <w:lvlText w:val="•"/>
      <w:lvlJc w:val="left"/>
      <w:pPr>
        <w:ind w:left="4178" w:hanging="740"/>
      </w:pPr>
      <w:rPr>
        <w:rFonts w:hint="default"/>
      </w:rPr>
    </w:lvl>
    <w:lvl w:ilvl="6">
      <w:start w:val="0"/>
      <w:numFmt w:val="bullet"/>
      <w:lvlText w:val="•"/>
      <w:lvlJc w:val="left"/>
      <w:pPr>
        <w:ind w:left="4842" w:hanging="740"/>
      </w:pPr>
      <w:rPr>
        <w:rFonts w:hint="default"/>
      </w:rPr>
    </w:lvl>
    <w:lvl w:ilvl="7">
      <w:start w:val="0"/>
      <w:numFmt w:val="bullet"/>
      <w:lvlText w:val="•"/>
      <w:lvlJc w:val="left"/>
      <w:pPr>
        <w:ind w:left="5505" w:hanging="740"/>
      </w:pPr>
      <w:rPr>
        <w:rFonts w:hint="default"/>
      </w:rPr>
    </w:lvl>
    <w:lvl w:ilvl="8">
      <w:start w:val="0"/>
      <w:numFmt w:val="bullet"/>
      <w:lvlText w:val="•"/>
      <w:lvlJc w:val="left"/>
      <w:pPr>
        <w:ind w:left="6169" w:hanging="740"/>
      </w:pPr>
      <w:rPr>
        <w:rFonts w:hint="default"/>
      </w:rPr>
    </w:lvl>
  </w:abstractNum>
  <w:abstractNum w:abstractNumId="13">
    <w:multiLevelType w:val="hybridMultilevel"/>
    <w:lvl w:ilvl="0">
      <w:start w:val="1"/>
      <w:numFmt w:val="decimal"/>
      <w:lvlText w:val="（%1）"/>
      <w:lvlJc w:val="left"/>
      <w:pPr>
        <w:ind w:left="3655" w:hanging="740"/>
        <w:jc w:val="left"/>
      </w:pPr>
      <w:rPr>
        <w:rFonts w:hint="default" w:ascii="宋体" w:hAnsi="宋体" w:eastAsia="宋体" w:cs="宋体"/>
        <w:w w:val="100"/>
        <w:sz w:val="21"/>
        <w:szCs w:val="21"/>
      </w:rPr>
    </w:lvl>
    <w:lvl w:ilvl="1">
      <w:start w:val="0"/>
      <w:numFmt w:val="bullet"/>
      <w:lvlText w:val="•"/>
      <w:lvlJc w:val="left"/>
      <w:pPr>
        <w:ind w:left="4324" w:hanging="740"/>
      </w:pPr>
      <w:rPr>
        <w:rFonts w:hint="default"/>
      </w:rPr>
    </w:lvl>
    <w:lvl w:ilvl="2">
      <w:start w:val="0"/>
      <w:numFmt w:val="bullet"/>
      <w:lvlText w:val="•"/>
      <w:lvlJc w:val="left"/>
      <w:pPr>
        <w:ind w:left="4988" w:hanging="740"/>
      </w:pPr>
      <w:rPr>
        <w:rFonts w:hint="default"/>
      </w:rPr>
    </w:lvl>
    <w:lvl w:ilvl="3">
      <w:start w:val="0"/>
      <w:numFmt w:val="bullet"/>
      <w:lvlText w:val="•"/>
      <w:lvlJc w:val="left"/>
      <w:pPr>
        <w:ind w:left="5652" w:hanging="740"/>
      </w:pPr>
      <w:rPr>
        <w:rFonts w:hint="default"/>
      </w:rPr>
    </w:lvl>
    <w:lvl w:ilvl="4">
      <w:start w:val="0"/>
      <w:numFmt w:val="bullet"/>
      <w:lvlText w:val="•"/>
      <w:lvlJc w:val="left"/>
      <w:pPr>
        <w:ind w:left="6316" w:hanging="740"/>
      </w:pPr>
      <w:rPr>
        <w:rFonts w:hint="default"/>
      </w:rPr>
    </w:lvl>
    <w:lvl w:ilvl="5">
      <w:start w:val="0"/>
      <w:numFmt w:val="bullet"/>
      <w:lvlText w:val="•"/>
      <w:lvlJc w:val="left"/>
      <w:pPr>
        <w:ind w:left="6980" w:hanging="740"/>
      </w:pPr>
      <w:rPr>
        <w:rFonts w:hint="default"/>
      </w:rPr>
    </w:lvl>
    <w:lvl w:ilvl="6">
      <w:start w:val="0"/>
      <w:numFmt w:val="bullet"/>
      <w:lvlText w:val="•"/>
      <w:lvlJc w:val="left"/>
      <w:pPr>
        <w:ind w:left="7644" w:hanging="740"/>
      </w:pPr>
      <w:rPr>
        <w:rFonts w:hint="default"/>
      </w:rPr>
    </w:lvl>
    <w:lvl w:ilvl="7">
      <w:start w:val="0"/>
      <w:numFmt w:val="bullet"/>
      <w:lvlText w:val="•"/>
      <w:lvlJc w:val="left"/>
      <w:pPr>
        <w:ind w:left="8308" w:hanging="740"/>
      </w:pPr>
      <w:rPr>
        <w:rFonts w:hint="default"/>
      </w:rPr>
    </w:lvl>
    <w:lvl w:ilvl="8">
      <w:start w:val="0"/>
      <w:numFmt w:val="bullet"/>
      <w:lvlText w:val="•"/>
      <w:lvlJc w:val="left"/>
      <w:pPr>
        <w:ind w:left="8972" w:hanging="740"/>
      </w:pPr>
      <w:rPr>
        <w:rFonts w:hint="default"/>
      </w:rPr>
    </w:lvl>
  </w:abstractNum>
  <w:abstractNum w:abstractNumId="12">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1" w:hanging="740"/>
      </w:pPr>
      <w:rPr>
        <w:rFonts w:hint="default"/>
      </w:rPr>
    </w:lvl>
    <w:lvl w:ilvl="2">
      <w:start w:val="0"/>
      <w:numFmt w:val="bullet"/>
      <w:lvlText w:val="•"/>
      <w:lvlJc w:val="left"/>
      <w:pPr>
        <w:ind w:left="2183" w:hanging="740"/>
      </w:pPr>
      <w:rPr>
        <w:rFonts w:hint="default"/>
      </w:rPr>
    </w:lvl>
    <w:lvl w:ilvl="3">
      <w:start w:val="0"/>
      <w:numFmt w:val="bullet"/>
      <w:lvlText w:val="•"/>
      <w:lvlJc w:val="left"/>
      <w:pPr>
        <w:ind w:left="2845" w:hanging="740"/>
      </w:pPr>
      <w:rPr>
        <w:rFonts w:hint="default"/>
      </w:rPr>
    </w:lvl>
    <w:lvl w:ilvl="4">
      <w:start w:val="0"/>
      <w:numFmt w:val="bullet"/>
      <w:lvlText w:val="•"/>
      <w:lvlJc w:val="left"/>
      <w:pPr>
        <w:ind w:left="3506" w:hanging="740"/>
      </w:pPr>
      <w:rPr>
        <w:rFonts w:hint="default"/>
      </w:rPr>
    </w:lvl>
    <w:lvl w:ilvl="5">
      <w:start w:val="0"/>
      <w:numFmt w:val="bullet"/>
      <w:lvlText w:val="•"/>
      <w:lvlJc w:val="left"/>
      <w:pPr>
        <w:ind w:left="4168" w:hanging="740"/>
      </w:pPr>
      <w:rPr>
        <w:rFonts w:hint="default"/>
      </w:rPr>
    </w:lvl>
    <w:lvl w:ilvl="6">
      <w:start w:val="0"/>
      <w:numFmt w:val="bullet"/>
      <w:lvlText w:val="•"/>
      <w:lvlJc w:val="left"/>
      <w:pPr>
        <w:ind w:left="4830" w:hanging="740"/>
      </w:pPr>
      <w:rPr>
        <w:rFonts w:hint="default"/>
      </w:rPr>
    </w:lvl>
    <w:lvl w:ilvl="7">
      <w:start w:val="0"/>
      <w:numFmt w:val="bullet"/>
      <w:lvlText w:val="•"/>
      <w:lvlJc w:val="left"/>
      <w:pPr>
        <w:ind w:left="5491" w:hanging="740"/>
      </w:pPr>
      <w:rPr>
        <w:rFonts w:hint="default"/>
      </w:rPr>
    </w:lvl>
    <w:lvl w:ilvl="8">
      <w:start w:val="0"/>
      <w:numFmt w:val="bullet"/>
      <w:lvlText w:val="•"/>
      <w:lvlJc w:val="left"/>
      <w:pPr>
        <w:ind w:left="6153" w:hanging="740"/>
      </w:pPr>
      <w:rPr>
        <w:rFonts w:hint="default"/>
      </w:rPr>
    </w:lvl>
  </w:abstractNum>
  <w:abstractNum w:abstractNumId="11">
    <w:multiLevelType w:val="hybridMultilevel"/>
    <w:lvl w:ilvl="0">
      <w:start w:val="1"/>
      <w:numFmt w:val="decimal"/>
      <w:lvlText w:val="（%1）"/>
      <w:lvlJc w:val="left"/>
      <w:pPr>
        <w:ind w:left="3655" w:hanging="740"/>
        <w:jc w:val="left"/>
      </w:pPr>
      <w:rPr>
        <w:rFonts w:hint="default" w:ascii="宋体" w:hAnsi="宋体" w:eastAsia="宋体" w:cs="宋体"/>
        <w:w w:val="100"/>
        <w:sz w:val="21"/>
        <w:szCs w:val="21"/>
      </w:rPr>
    </w:lvl>
    <w:lvl w:ilvl="1">
      <w:start w:val="0"/>
      <w:numFmt w:val="bullet"/>
      <w:lvlText w:val="•"/>
      <w:lvlJc w:val="left"/>
      <w:pPr>
        <w:ind w:left="4322" w:hanging="740"/>
      </w:pPr>
      <w:rPr>
        <w:rFonts w:hint="default"/>
      </w:rPr>
    </w:lvl>
    <w:lvl w:ilvl="2">
      <w:start w:val="0"/>
      <w:numFmt w:val="bullet"/>
      <w:lvlText w:val="•"/>
      <w:lvlJc w:val="left"/>
      <w:pPr>
        <w:ind w:left="4984" w:hanging="740"/>
      </w:pPr>
      <w:rPr>
        <w:rFonts w:hint="default"/>
      </w:rPr>
    </w:lvl>
    <w:lvl w:ilvl="3">
      <w:start w:val="0"/>
      <w:numFmt w:val="bullet"/>
      <w:lvlText w:val="•"/>
      <w:lvlJc w:val="left"/>
      <w:pPr>
        <w:ind w:left="5646" w:hanging="740"/>
      </w:pPr>
      <w:rPr>
        <w:rFonts w:hint="default"/>
      </w:rPr>
    </w:lvl>
    <w:lvl w:ilvl="4">
      <w:start w:val="0"/>
      <w:numFmt w:val="bullet"/>
      <w:lvlText w:val="•"/>
      <w:lvlJc w:val="left"/>
      <w:pPr>
        <w:ind w:left="6308" w:hanging="740"/>
      </w:pPr>
      <w:rPr>
        <w:rFonts w:hint="default"/>
      </w:rPr>
    </w:lvl>
    <w:lvl w:ilvl="5">
      <w:start w:val="0"/>
      <w:numFmt w:val="bullet"/>
      <w:lvlText w:val="•"/>
      <w:lvlJc w:val="left"/>
      <w:pPr>
        <w:ind w:left="6970" w:hanging="740"/>
      </w:pPr>
      <w:rPr>
        <w:rFonts w:hint="default"/>
      </w:rPr>
    </w:lvl>
    <w:lvl w:ilvl="6">
      <w:start w:val="0"/>
      <w:numFmt w:val="bullet"/>
      <w:lvlText w:val="•"/>
      <w:lvlJc w:val="left"/>
      <w:pPr>
        <w:ind w:left="7632" w:hanging="740"/>
      </w:pPr>
      <w:rPr>
        <w:rFonts w:hint="default"/>
      </w:rPr>
    </w:lvl>
    <w:lvl w:ilvl="7">
      <w:start w:val="0"/>
      <w:numFmt w:val="bullet"/>
      <w:lvlText w:val="•"/>
      <w:lvlJc w:val="left"/>
      <w:pPr>
        <w:ind w:left="8294" w:hanging="740"/>
      </w:pPr>
      <w:rPr>
        <w:rFonts w:hint="default"/>
      </w:rPr>
    </w:lvl>
    <w:lvl w:ilvl="8">
      <w:start w:val="0"/>
      <w:numFmt w:val="bullet"/>
      <w:lvlText w:val="•"/>
      <w:lvlJc w:val="left"/>
      <w:pPr>
        <w:ind w:left="8956" w:hanging="740"/>
      </w:pPr>
      <w:rPr>
        <w:rFonts w:hint="default"/>
      </w:rPr>
    </w:lvl>
  </w:abstractNum>
  <w:abstractNum w:abstractNumId="10">
    <w:multiLevelType w:val="hybridMultilevel"/>
    <w:lvl w:ilvl="0">
      <w:start w:val="1"/>
      <w:numFmt w:val="decimal"/>
      <w:lvlText w:val="（%1）"/>
      <w:lvlJc w:val="left"/>
      <w:pPr>
        <w:ind w:left="3636" w:hanging="740"/>
        <w:jc w:val="left"/>
      </w:pPr>
      <w:rPr>
        <w:rFonts w:hint="default" w:ascii="宋体" w:hAnsi="宋体" w:eastAsia="宋体" w:cs="宋体"/>
        <w:w w:val="100"/>
        <w:sz w:val="21"/>
        <w:szCs w:val="21"/>
      </w:rPr>
    </w:lvl>
    <w:lvl w:ilvl="1">
      <w:start w:val="0"/>
      <w:numFmt w:val="bullet"/>
      <w:lvlText w:val="•"/>
      <w:lvlJc w:val="left"/>
      <w:pPr>
        <w:ind w:left="4304" w:hanging="740"/>
      </w:pPr>
      <w:rPr>
        <w:rFonts w:hint="default"/>
      </w:rPr>
    </w:lvl>
    <w:lvl w:ilvl="2">
      <w:start w:val="0"/>
      <w:numFmt w:val="bullet"/>
      <w:lvlText w:val="•"/>
      <w:lvlJc w:val="left"/>
      <w:pPr>
        <w:ind w:left="4968" w:hanging="740"/>
      </w:pPr>
      <w:rPr>
        <w:rFonts w:hint="default"/>
      </w:rPr>
    </w:lvl>
    <w:lvl w:ilvl="3">
      <w:start w:val="0"/>
      <w:numFmt w:val="bullet"/>
      <w:lvlText w:val="•"/>
      <w:lvlJc w:val="left"/>
      <w:pPr>
        <w:ind w:left="5632" w:hanging="740"/>
      </w:pPr>
      <w:rPr>
        <w:rFonts w:hint="default"/>
      </w:rPr>
    </w:lvl>
    <w:lvl w:ilvl="4">
      <w:start w:val="0"/>
      <w:numFmt w:val="bullet"/>
      <w:lvlText w:val="•"/>
      <w:lvlJc w:val="left"/>
      <w:pPr>
        <w:ind w:left="6296" w:hanging="740"/>
      </w:pPr>
      <w:rPr>
        <w:rFonts w:hint="default"/>
      </w:rPr>
    </w:lvl>
    <w:lvl w:ilvl="5">
      <w:start w:val="0"/>
      <w:numFmt w:val="bullet"/>
      <w:lvlText w:val="•"/>
      <w:lvlJc w:val="left"/>
      <w:pPr>
        <w:ind w:left="696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88" w:hanging="740"/>
      </w:pPr>
      <w:rPr>
        <w:rFonts w:hint="default"/>
      </w:rPr>
    </w:lvl>
    <w:lvl w:ilvl="8">
      <w:start w:val="0"/>
      <w:numFmt w:val="bullet"/>
      <w:lvlText w:val="•"/>
      <w:lvlJc w:val="left"/>
      <w:pPr>
        <w:ind w:left="8952" w:hanging="740"/>
      </w:pPr>
      <w:rPr>
        <w:rFonts w:hint="default"/>
      </w:rPr>
    </w:lvl>
  </w:abstractNum>
  <w:abstractNum w:abstractNumId="9">
    <w:multiLevelType w:val="hybridMultilevel"/>
    <w:lvl w:ilvl="0">
      <w:start w:val="1"/>
      <w:numFmt w:val="decimal"/>
      <w:lvlText w:val="（%1）"/>
      <w:lvlJc w:val="left"/>
      <w:pPr>
        <w:ind w:left="3755" w:hanging="740"/>
        <w:jc w:val="left"/>
      </w:pPr>
      <w:rPr>
        <w:rFonts w:hint="default" w:ascii="黑体" w:hAnsi="黑体" w:eastAsia="黑体" w:cs="黑体"/>
        <w:w w:val="100"/>
        <w:sz w:val="21"/>
        <w:szCs w:val="21"/>
      </w:rPr>
    </w:lvl>
    <w:lvl w:ilvl="1">
      <w:start w:val="0"/>
      <w:numFmt w:val="bullet"/>
      <w:lvlText w:val="•"/>
      <w:lvlJc w:val="left"/>
      <w:pPr>
        <w:ind w:left="4424" w:hanging="740"/>
      </w:pPr>
      <w:rPr>
        <w:rFonts w:hint="default"/>
      </w:rPr>
    </w:lvl>
    <w:lvl w:ilvl="2">
      <w:start w:val="0"/>
      <w:numFmt w:val="bullet"/>
      <w:lvlText w:val="•"/>
      <w:lvlJc w:val="left"/>
      <w:pPr>
        <w:ind w:left="5088" w:hanging="740"/>
      </w:pPr>
      <w:rPr>
        <w:rFonts w:hint="default"/>
      </w:rPr>
    </w:lvl>
    <w:lvl w:ilvl="3">
      <w:start w:val="0"/>
      <w:numFmt w:val="bullet"/>
      <w:lvlText w:val="•"/>
      <w:lvlJc w:val="left"/>
      <w:pPr>
        <w:ind w:left="5752" w:hanging="740"/>
      </w:pPr>
      <w:rPr>
        <w:rFonts w:hint="default"/>
      </w:rPr>
    </w:lvl>
    <w:lvl w:ilvl="4">
      <w:start w:val="0"/>
      <w:numFmt w:val="bullet"/>
      <w:lvlText w:val="•"/>
      <w:lvlJc w:val="left"/>
      <w:pPr>
        <w:ind w:left="6416" w:hanging="740"/>
      </w:pPr>
      <w:rPr>
        <w:rFonts w:hint="default"/>
      </w:rPr>
    </w:lvl>
    <w:lvl w:ilvl="5">
      <w:start w:val="0"/>
      <w:numFmt w:val="bullet"/>
      <w:lvlText w:val="•"/>
      <w:lvlJc w:val="left"/>
      <w:pPr>
        <w:ind w:left="7080" w:hanging="740"/>
      </w:pPr>
      <w:rPr>
        <w:rFonts w:hint="default"/>
      </w:rPr>
    </w:lvl>
    <w:lvl w:ilvl="6">
      <w:start w:val="0"/>
      <w:numFmt w:val="bullet"/>
      <w:lvlText w:val="•"/>
      <w:lvlJc w:val="left"/>
      <w:pPr>
        <w:ind w:left="7744" w:hanging="740"/>
      </w:pPr>
      <w:rPr>
        <w:rFonts w:hint="default"/>
      </w:rPr>
    </w:lvl>
    <w:lvl w:ilvl="7">
      <w:start w:val="0"/>
      <w:numFmt w:val="bullet"/>
      <w:lvlText w:val="•"/>
      <w:lvlJc w:val="left"/>
      <w:pPr>
        <w:ind w:left="8408" w:hanging="740"/>
      </w:pPr>
      <w:rPr>
        <w:rFonts w:hint="default"/>
      </w:rPr>
    </w:lvl>
    <w:lvl w:ilvl="8">
      <w:start w:val="0"/>
      <w:numFmt w:val="bullet"/>
      <w:lvlText w:val="•"/>
      <w:lvlJc w:val="left"/>
      <w:pPr>
        <w:ind w:left="9072" w:hanging="740"/>
      </w:pPr>
      <w:rPr>
        <w:rFonts w:hint="default"/>
      </w:rPr>
    </w:lvl>
  </w:abstractNum>
  <w:abstractNum w:abstractNumId="8">
    <w:multiLevelType w:val="hybridMultilevel"/>
    <w:lvl w:ilvl="0">
      <w:start w:val="1"/>
      <w:numFmt w:val="decimal"/>
      <w:lvlText w:val="（%1）"/>
      <w:lvlJc w:val="left"/>
      <w:pPr>
        <w:ind w:left="3736" w:hanging="720"/>
        <w:jc w:val="left"/>
      </w:pPr>
      <w:rPr>
        <w:rFonts w:hint="default" w:ascii="宋体" w:hAnsi="宋体" w:eastAsia="宋体" w:cs="宋体"/>
        <w:w w:val="100"/>
        <w:sz w:val="21"/>
        <w:szCs w:val="21"/>
      </w:rPr>
    </w:lvl>
    <w:lvl w:ilvl="1">
      <w:start w:val="0"/>
      <w:numFmt w:val="bullet"/>
      <w:lvlText w:val="•"/>
      <w:lvlJc w:val="left"/>
      <w:pPr>
        <w:ind w:left="4406" w:hanging="720"/>
      </w:pPr>
      <w:rPr>
        <w:rFonts w:hint="default"/>
      </w:rPr>
    </w:lvl>
    <w:lvl w:ilvl="2">
      <w:start w:val="0"/>
      <w:numFmt w:val="bullet"/>
      <w:lvlText w:val="•"/>
      <w:lvlJc w:val="left"/>
      <w:pPr>
        <w:ind w:left="5072" w:hanging="720"/>
      </w:pPr>
      <w:rPr>
        <w:rFonts w:hint="default"/>
      </w:rPr>
    </w:lvl>
    <w:lvl w:ilvl="3">
      <w:start w:val="0"/>
      <w:numFmt w:val="bullet"/>
      <w:lvlText w:val="•"/>
      <w:lvlJc w:val="left"/>
      <w:pPr>
        <w:ind w:left="5738" w:hanging="720"/>
      </w:pPr>
      <w:rPr>
        <w:rFonts w:hint="default"/>
      </w:rPr>
    </w:lvl>
    <w:lvl w:ilvl="4">
      <w:start w:val="0"/>
      <w:numFmt w:val="bullet"/>
      <w:lvlText w:val="•"/>
      <w:lvlJc w:val="left"/>
      <w:pPr>
        <w:ind w:left="6404" w:hanging="720"/>
      </w:pPr>
      <w:rPr>
        <w:rFonts w:hint="default"/>
      </w:rPr>
    </w:lvl>
    <w:lvl w:ilvl="5">
      <w:start w:val="0"/>
      <w:numFmt w:val="bullet"/>
      <w:lvlText w:val="•"/>
      <w:lvlJc w:val="left"/>
      <w:pPr>
        <w:ind w:left="7070" w:hanging="720"/>
      </w:pPr>
      <w:rPr>
        <w:rFonts w:hint="default"/>
      </w:rPr>
    </w:lvl>
    <w:lvl w:ilvl="6">
      <w:start w:val="0"/>
      <w:numFmt w:val="bullet"/>
      <w:lvlText w:val="•"/>
      <w:lvlJc w:val="left"/>
      <w:pPr>
        <w:ind w:left="7736" w:hanging="720"/>
      </w:pPr>
      <w:rPr>
        <w:rFonts w:hint="default"/>
      </w:rPr>
    </w:lvl>
    <w:lvl w:ilvl="7">
      <w:start w:val="0"/>
      <w:numFmt w:val="bullet"/>
      <w:lvlText w:val="•"/>
      <w:lvlJc w:val="left"/>
      <w:pPr>
        <w:ind w:left="8402" w:hanging="720"/>
      </w:pPr>
      <w:rPr>
        <w:rFonts w:hint="default"/>
      </w:rPr>
    </w:lvl>
    <w:lvl w:ilvl="8">
      <w:start w:val="0"/>
      <w:numFmt w:val="bullet"/>
      <w:lvlText w:val="•"/>
      <w:lvlJc w:val="left"/>
      <w:pPr>
        <w:ind w:left="9068" w:hanging="720"/>
      </w:pPr>
      <w:rPr>
        <w:rFonts w:hint="default"/>
      </w:rPr>
    </w:lvl>
  </w:abstractNum>
  <w:abstractNum w:abstractNumId="7">
    <w:multiLevelType w:val="hybridMultilevel"/>
    <w:lvl w:ilvl="0">
      <w:start w:val="1"/>
      <w:numFmt w:val="decimal"/>
      <w:lvlText w:val="（%1）"/>
      <w:lvlJc w:val="left"/>
      <w:pPr>
        <w:ind w:left="3740" w:hanging="725"/>
        <w:jc w:val="left"/>
      </w:pPr>
      <w:rPr>
        <w:rFonts w:hint="default" w:ascii="宋体" w:hAnsi="宋体" w:eastAsia="宋体" w:cs="宋体"/>
        <w:w w:val="100"/>
        <w:sz w:val="21"/>
        <w:szCs w:val="21"/>
      </w:rPr>
    </w:lvl>
    <w:lvl w:ilvl="1">
      <w:start w:val="0"/>
      <w:numFmt w:val="bullet"/>
      <w:lvlText w:val="•"/>
      <w:lvlJc w:val="left"/>
      <w:pPr>
        <w:ind w:left="4404" w:hanging="725"/>
      </w:pPr>
      <w:rPr>
        <w:rFonts w:hint="default"/>
      </w:rPr>
    </w:lvl>
    <w:lvl w:ilvl="2">
      <w:start w:val="0"/>
      <w:numFmt w:val="bullet"/>
      <w:lvlText w:val="•"/>
      <w:lvlJc w:val="left"/>
      <w:pPr>
        <w:ind w:left="5068" w:hanging="725"/>
      </w:pPr>
      <w:rPr>
        <w:rFonts w:hint="default"/>
      </w:rPr>
    </w:lvl>
    <w:lvl w:ilvl="3">
      <w:start w:val="0"/>
      <w:numFmt w:val="bullet"/>
      <w:lvlText w:val="•"/>
      <w:lvlJc w:val="left"/>
      <w:pPr>
        <w:ind w:left="5732" w:hanging="725"/>
      </w:pPr>
      <w:rPr>
        <w:rFonts w:hint="default"/>
      </w:rPr>
    </w:lvl>
    <w:lvl w:ilvl="4">
      <w:start w:val="0"/>
      <w:numFmt w:val="bullet"/>
      <w:lvlText w:val="•"/>
      <w:lvlJc w:val="left"/>
      <w:pPr>
        <w:ind w:left="6396" w:hanging="725"/>
      </w:pPr>
      <w:rPr>
        <w:rFonts w:hint="default"/>
      </w:rPr>
    </w:lvl>
    <w:lvl w:ilvl="5">
      <w:start w:val="0"/>
      <w:numFmt w:val="bullet"/>
      <w:lvlText w:val="•"/>
      <w:lvlJc w:val="left"/>
      <w:pPr>
        <w:ind w:left="7060" w:hanging="725"/>
      </w:pPr>
      <w:rPr>
        <w:rFonts w:hint="default"/>
      </w:rPr>
    </w:lvl>
    <w:lvl w:ilvl="6">
      <w:start w:val="0"/>
      <w:numFmt w:val="bullet"/>
      <w:lvlText w:val="•"/>
      <w:lvlJc w:val="left"/>
      <w:pPr>
        <w:ind w:left="7724" w:hanging="725"/>
      </w:pPr>
      <w:rPr>
        <w:rFonts w:hint="default"/>
      </w:rPr>
    </w:lvl>
    <w:lvl w:ilvl="7">
      <w:start w:val="0"/>
      <w:numFmt w:val="bullet"/>
      <w:lvlText w:val="•"/>
      <w:lvlJc w:val="left"/>
      <w:pPr>
        <w:ind w:left="8388" w:hanging="725"/>
      </w:pPr>
      <w:rPr>
        <w:rFonts w:hint="default"/>
      </w:rPr>
    </w:lvl>
    <w:lvl w:ilvl="8">
      <w:start w:val="0"/>
      <w:numFmt w:val="bullet"/>
      <w:lvlText w:val="•"/>
      <w:lvlJc w:val="left"/>
      <w:pPr>
        <w:ind w:left="9052" w:hanging="725"/>
      </w:pPr>
      <w:rPr>
        <w:rFonts w:hint="default"/>
      </w:rPr>
    </w:lvl>
  </w:abstractNum>
  <w:abstractNum w:abstractNumId="6">
    <w:multiLevelType w:val="hybridMultilevel"/>
    <w:lvl w:ilvl="0">
      <w:start w:val="6"/>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left"/>
      </w:pPr>
      <w:rPr>
        <w:rFonts w:hint="default"/>
        <w:w w:val="100"/>
      </w:rPr>
    </w:lvl>
    <w:lvl w:ilvl="3">
      <w:start w:val="0"/>
      <w:numFmt w:val="bullet"/>
      <w:lvlText w:val="•"/>
      <w:lvlJc w:val="left"/>
      <w:pPr>
        <w:ind w:left="3760" w:hanging="735"/>
      </w:pPr>
      <w:rPr>
        <w:rFonts w:hint="default"/>
      </w:rPr>
    </w:lvl>
    <w:lvl w:ilvl="4">
      <w:start w:val="0"/>
      <w:numFmt w:val="bullet"/>
      <w:lvlText w:val="•"/>
      <w:lvlJc w:val="left"/>
      <w:pPr>
        <w:ind w:left="4705" w:hanging="735"/>
      </w:pPr>
      <w:rPr>
        <w:rFonts w:hint="default"/>
      </w:rPr>
    </w:lvl>
    <w:lvl w:ilvl="5">
      <w:start w:val="0"/>
      <w:numFmt w:val="bullet"/>
      <w:lvlText w:val="•"/>
      <w:lvlJc w:val="left"/>
      <w:pPr>
        <w:ind w:left="5651" w:hanging="735"/>
      </w:pPr>
      <w:rPr>
        <w:rFonts w:hint="default"/>
      </w:rPr>
    </w:lvl>
    <w:lvl w:ilvl="6">
      <w:start w:val="0"/>
      <w:numFmt w:val="bullet"/>
      <w:lvlText w:val="•"/>
      <w:lvlJc w:val="left"/>
      <w:pPr>
        <w:ind w:left="6597" w:hanging="735"/>
      </w:pPr>
      <w:rPr>
        <w:rFonts w:hint="default"/>
      </w:rPr>
    </w:lvl>
    <w:lvl w:ilvl="7">
      <w:start w:val="0"/>
      <w:numFmt w:val="bullet"/>
      <w:lvlText w:val="•"/>
      <w:lvlJc w:val="left"/>
      <w:pPr>
        <w:ind w:left="7542" w:hanging="735"/>
      </w:pPr>
      <w:rPr>
        <w:rFonts w:hint="default"/>
      </w:rPr>
    </w:lvl>
    <w:lvl w:ilvl="8">
      <w:start w:val="0"/>
      <w:numFmt w:val="bullet"/>
      <w:lvlText w:val="•"/>
      <w:lvlJc w:val="left"/>
      <w:pPr>
        <w:ind w:left="8488" w:hanging="735"/>
      </w:pPr>
      <w:rPr>
        <w:rFonts w:hint="default"/>
      </w:rPr>
    </w:lvl>
  </w:abstractNum>
  <w:abstractNum w:abstractNumId="5">
    <w:multiLevelType w:val="hybridMultilevel"/>
    <w:lvl w:ilvl="0">
      <w:start w:val="1"/>
      <w:numFmt w:val="decimal"/>
      <w:lvlText w:val="（%1）"/>
      <w:lvlJc w:val="left"/>
      <w:pPr>
        <w:ind w:left="3750" w:hanging="735"/>
        <w:jc w:val="left"/>
      </w:pPr>
      <w:rPr>
        <w:rFonts w:hint="default" w:ascii="宋体" w:hAnsi="宋体" w:eastAsia="宋体" w:cs="宋体"/>
        <w:w w:val="100"/>
        <w:sz w:val="21"/>
        <w:szCs w:val="21"/>
      </w:rPr>
    </w:lvl>
    <w:lvl w:ilvl="1">
      <w:start w:val="0"/>
      <w:numFmt w:val="bullet"/>
      <w:lvlText w:val="•"/>
      <w:lvlJc w:val="left"/>
      <w:pPr>
        <w:ind w:left="4424" w:hanging="735"/>
      </w:pPr>
      <w:rPr>
        <w:rFonts w:hint="default"/>
      </w:rPr>
    </w:lvl>
    <w:lvl w:ilvl="2">
      <w:start w:val="0"/>
      <w:numFmt w:val="bullet"/>
      <w:lvlText w:val="•"/>
      <w:lvlJc w:val="left"/>
      <w:pPr>
        <w:ind w:left="5088" w:hanging="735"/>
      </w:pPr>
      <w:rPr>
        <w:rFonts w:hint="default"/>
      </w:rPr>
    </w:lvl>
    <w:lvl w:ilvl="3">
      <w:start w:val="0"/>
      <w:numFmt w:val="bullet"/>
      <w:lvlText w:val="•"/>
      <w:lvlJc w:val="left"/>
      <w:pPr>
        <w:ind w:left="5752" w:hanging="735"/>
      </w:pPr>
      <w:rPr>
        <w:rFonts w:hint="default"/>
      </w:rPr>
    </w:lvl>
    <w:lvl w:ilvl="4">
      <w:start w:val="0"/>
      <w:numFmt w:val="bullet"/>
      <w:lvlText w:val="•"/>
      <w:lvlJc w:val="left"/>
      <w:pPr>
        <w:ind w:left="6416" w:hanging="735"/>
      </w:pPr>
      <w:rPr>
        <w:rFonts w:hint="default"/>
      </w:rPr>
    </w:lvl>
    <w:lvl w:ilvl="5">
      <w:start w:val="0"/>
      <w:numFmt w:val="bullet"/>
      <w:lvlText w:val="•"/>
      <w:lvlJc w:val="left"/>
      <w:pPr>
        <w:ind w:left="7080" w:hanging="735"/>
      </w:pPr>
      <w:rPr>
        <w:rFonts w:hint="default"/>
      </w:rPr>
    </w:lvl>
    <w:lvl w:ilvl="6">
      <w:start w:val="0"/>
      <w:numFmt w:val="bullet"/>
      <w:lvlText w:val="•"/>
      <w:lvlJc w:val="left"/>
      <w:pPr>
        <w:ind w:left="7744" w:hanging="735"/>
      </w:pPr>
      <w:rPr>
        <w:rFonts w:hint="default"/>
      </w:rPr>
    </w:lvl>
    <w:lvl w:ilvl="7">
      <w:start w:val="0"/>
      <w:numFmt w:val="bullet"/>
      <w:lvlText w:val="•"/>
      <w:lvlJc w:val="left"/>
      <w:pPr>
        <w:ind w:left="8408" w:hanging="735"/>
      </w:pPr>
      <w:rPr>
        <w:rFonts w:hint="default"/>
      </w:rPr>
    </w:lvl>
    <w:lvl w:ilvl="8">
      <w:start w:val="0"/>
      <w:numFmt w:val="bullet"/>
      <w:lvlText w:val="•"/>
      <w:lvlJc w:val="left"/>
      <w:pPr>
        <w:ind w:left="9072" w:hanging="735"/>
      </w:pPr>
      <w:rPr>
        <w:rFonts w:hint="default"/>
      </w:rPr>
    </w:lvl>
  </w:abstractNum>
  <w:abstractNum w:abstractNumId="4">
    <w:multiLevelType w:val="hybridMultilevel"/>
    <w:lvl w:ilvl="0">
      <w:start w:val="1"/>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left"/>
      </w:pPr>
      <w:rPr>
        <w:rFonts w:hint="default"/>
        <w:w w:val="100"/>
      </w:rPr>
    </w:lvl>
    <w:lvl w:ilvl="3">
      <w:start w:val="0"/>
      <w:numFmt w:val="bullet"/>
      <w:lvlText w:val="•"/>
      <w:lvlJc w:val="left"/>
      <w:pPr>
        <w:ind w:left="4587" w:hanging="735"/>
      </w:pPr>
      <w:rPr>
        <w:rFonts w:hint="default"/>
      </w:rPr>
    </w:lvl>
    <w:lvl w:ilvl="4">
      <w:start w:val="0"/>
      <w:numFmt w:val="bullet"/>
      <w:lvlText w:val="•"/>
      <w:lvlJc w:val="left"/>
      <w:pPr>
        <w:ind w:left="5415" w:hanging="735"/>
      </w:pPr>
      <w:rPr>
        <w:rFonts w:hint="default"/>
      </w:rPr>
    </w:lvl>
    <w:lvl w:ilvl="5">
      <w:start w:val="0"/>
      <w:numFmt w:val="bullet"/>
      <w:lvlText w:val="•"/>
      <w:lvlJc w:val="left"/>
      <w:pPr>
        <w:ind w:left="6242" w:hanging="735"/>
      </w:pPr>
      <w:rPr>
        <w:rFonts w:hint="default"/>
      </w:rPr>
    </w:lvl>
    <w:lvl w:ilvl="6">
      <w:start w:val="0"/>
      <w:numFmt w:val="bullet"/>
      <w:lvlText w:val="•"/>
      <w:lvlJc w:val="left"/>
      <w:pPr>
        <w:ind w:left="7070" w:hanging="735"/>
      </w:pPr>
      <w:rPr>
        <w:rFonts w:hint="default"/>
      </w:rPr>
    </w:lvl>
    <w:lvl w:ilvl="7">
      <w:start w:val="0"/>
      <w:numFmt w:val="bullet"/>
      <w:lvlText w:val="•"/>
      <w:lvlJc w:val="left"/>
      <w:pPr>
        <w:ind w:left="7897" w:hanging="735"/>
      </w:pPr>
      <w:rPr>
        <w:rFonts w:hint="default"/>
      </w:rPr>
    </w:lvl>
    <w:lvl w:ilvl="8">
      <w:start w:val="0"/>
      <w:numFmt w:val="bullet"/>
      <w:lvlText w:val="•"/>
      <w:lvlJc w:val="left"/>
      <w:pPr>
        <w:ind w:left="8725" w:hanging="735"/>
      </w:pPr>
      <w:rPr>
        <w:rFonts w:hint="default"/>
      </w:rPr>
    </w:lvl>
  </w:abstractNum>
  <w:abstractNum w:abstractNumId="3">
    <w:multiLevelType w:val="hybridMultilevel"/>
    <w:lvl w:ilvl="0">
      <w:start w:val="10"/>
      <w:numFmt w:val="decimal"/>
      <w:lvlText w:val="%1"/>
      <w:lvlJc w:val="left"/>
      <w:pPr>
        <w:ind w:left="915" w:hanging="528"/>
        <w:jc w:val="left"/>
      </w:pPr>
      <w:rPr>
        <w:rFonts w:hint="default"/>
      </w:rPr>
    </w:lvl>
    <w:lvl w:ilvl="1">
      <w:start w:val="8"/>
      <w:numFmt w:val="decimal"/>
      <w:lvlText w:val="%1.%2"/>
      <w:lvlJc w:val="left"/>
      <w:pPr>
        <w:ind w:left="915" w:hanging="528"/>
        <w:jc w:val="left"/>
      </w:pPr>
      <w:rPr>
        <w:rFonts w:hint="default" w:ascii="宋体" w:hAnsi="宋体" w:eastAsia="宋体" w:cs="宋体"/>
        <w:w w:val="100"/>
        <w:sz w:val="21"/>
        <w:szCs w:val="21"/>
      </w:rPr>
    </w:lvl>
    <w:lvl w:ilvl="2">
      <w:start w:val="0"/>
      <w:numFmt w:val="bullet"/>
      <w:lvlText w:val="•"/>
      <w:lvlJc w:val="left"/>
      <w:pPr>
        <w:ind w:left="1659" w:hanging="528"/>
      </w:pPr>
      <w:rPr>
        <w:rFonts w:hint="default"/>
      </w:rPr>
    </w:lvl>
    <w:lvl w:ilvl="3">
      <w:start w:val="0"/>
      <w:numFmt w:val="bullet"/>
      <w:lvlText w:val="•"/>
      <w:lvlJc w:val="left"/>
      <w:pPr>
        <w:ind w:left="2028" w:hanging="528"/>
      </w:pPr>
      <w:rPr>
        <w:rFonts w:hint="default"/>
      </w:rPr>
    </w:lvl>
    <w:lvl w:ilvl="4">
      <w:start w:val="0"/>
      <w:numFmt w:val="bullet"/>
      <w:lvlText w:val="•"/>
      <w:lvlJc w:val="left"/>
      <w:pPr>
        <w:ind w:left="2398" w:hanging="528"/>
      </w:pPr>
      <w:rPr>
        <w:rFonts w:hint="default"/>
      </w:rPr>
    </w:lvl>
    <w:lvl w:ilvl="5">
      <w:start w:val="0"/>
      <w:numFmt w:val="bullet"/>
      <w:lvlText w:val="•"/>
      <w:lvlJc w:val="left"/>
      <w:pPr>
        <w:ind w:left="2767" w:hanging="528"/>
      </w:pPr>
      <w:rPr>
        <w:rFonts w:hint="default"/>
      </w:rPr>
    </w:lvl>
    <w:lvl w:ilvl="6">
      <w:start w:val="0"/>
      <w:numFmt w:val="bullet"/>
      <w:lvlText w:val="•"/>
      <w:lvlJc w:val="left"/>
      <w:pPr>
        <w:ind w:left="3137" w:hanging="528"/>
      </w:pPr>
      <w:rPr>
        <w:rFonts w:hint="default"/>
      </w:rPr>
    </w:lvl>
    <w:lvl w:ilvl="7">
      <w:start w:val="0"/>
      <w:numFmt w:val="bullet"/>
      <w:lvlText w:val="•"/>
      <w:lvlJc w:val="left"/>
      <w:pPr>
        <w:ind w:left="3506" w:hanging="528"/>
      </w:pPr>
      <w:rPr>
        <w:rFonts w:hint="default"/>
      </w:rPr>
    </w:lvl>
    <w:lvl w:ilvl="8">
      <w:start w:val="0"/>
      <w:numFmt w:val="bullet"/>
      <w:lvlText w:val="•"/>
      <w:lvlJc w:val="left"/>
      <w:pPr>
        <w:ind w:left="3876" w:hanging="528"/>
      </w:pPr>
      <w:rPr>
        <w:rFonts w:hint="default"/>
      </w:rPr>
    </w:lvl>
  </w:abstractNum>
  <w:abstractNum w:abstractNumId="2">
    <w:multiLevelType w:val="hybridMultilevel"/>
    <w:lvl w:ilvl="0">
      <w:start w:val="7"/>
      <w:numFmt w:val="decimal"/>
      <w:lvlText w:val="%1."/>
      <w:lvlJc w:val="left"/>
      <w:pPr>
        <w:ind w:left="929" w:hanging="317"/>
        <w:jc w:val="left"/>
      </w:pPr>
      <w:rPr>
        <w:rFonts w:hint="default" w:ascii="Microsoft JhengHei" w:hAnsi="Microsoft JhengHei" w:eastAsia="Microsoft JhengHei" w:cs="Microsoft JhengHei"/>
        <w:b/>
        <w:bCs/>
        <w:w w:val="118"/>
        <w:sz w:val="21"/>
        <w:szCs w:val="21"/>
      </w:rPr>
    </w:lvl>
    <w:lvl w:ilvl="1">
      <w:start w:val="0"/>
      <w:numFmt w:val="bullet"/>
      <w:lvlText w:val="•"/>
      <w:lvlJc w:val="left"/>
      <w:pPr>
        <w:ind w:left="1140" w:hanging="317"/>
      </w:pPr>
      <w:rPr>
        <w:rFonts w:hint="default"/>
      </w:rPr>
    </w:lvl>
    <w:lvl w:ilvl="2">
      <w:start w:val="0"/>
      <w:numFmt w:val="bullet"/>
      <w:lvlText w:val="•"/>
      <w:lvlJc w:val="left"/>
      <w:pPr>
        <w:ind w:left="1397" w:hanging="317"/>
      </w:pPr>
      <w:rPr>
        <w:rFonts w:hint="default"/>
      </w:rPr>
    </w:lvl>
    <w:lvl w:ilvl="3">
      <w:start w:val="0"/>
      <w:numFmt w:val="bullet"/>
      <w:lvlText w:val="•"/>
      <w:lvlJc w:val="left"/>
      <w:pPr>
        <w:ind w:left="1654" w:hanging="317"/>
      </w:pPr>
      <w:rPr>
        <w:rFonts w:hint="default"/>
      </w:rPr>
    </w:lvl>
    <w:lvl w:ilvl="4">
      <w:start w:val="0"/>
      <w:numFmt w:val="bullet"/>
      <w:lvlText w:val="•"/>
      <w:lvlJc w:val="left"/>
      <w:pPr>
        <w:ind w:left="1911" w:hanging="317"/>
      </w:pPr>
      <w:rPr>
        <w:rFonts w:hint="default"/>
      </w:rPr>
    </w:lvl>
    <w:lvl w:ilvl="5">
      <w:start w:val="0"/>
      <w:numFmt w:val="bullet"/>
      <w:lvlText w:val="•"/>
      <w:lvlJc w:val="left"/>
      <w:pPr>
        <w:ind w:left="2168" w:hanging="317"/>
      </w:pPr>
      <w:rPr>
        <w:rFonts w:hint="default"/>
      </w:rPr>
    </w:lvl>
    <w:lvl w:ilvl="6">
      <w:start w:val="0"/>
      <w:numFmt w:val="bullet"/>
      <w:lvlText w:val="•"/>
      <w:lvlJc w:val="left"/>
      <w:pPr>
        <w:ind w:left="2425" w:hanging="317"/>
      </w:pPr>
      <w:rPr>
        <w:rFonts w:hint="default"/>
      </w:rPr>
    </w:lvl>
    <w:lvl w:ilvl="7">
      <w:start w:val="0"/>
      <w:numFmt w:val="bullet"/>
      <w:lvlText w:val="•"/>
      <w:lvlJc w:val="left"/>
      <w:pPr>
        <w:ind w:left="2682" w:hanging="317"/>
      </w:pPr>
      <w:rPr>
        <w:rFonts w:hint="default"/>
      </w:rPr>
    </w:lvl>
    <w:lvl w:ilvl="8">
      <w:start w:val="0"/>
      <w:numFmt w:val="bullet"/>
      <w:lvlText w:val="•"/>
      <w:lvlJc w:val="left"/>
      <w:pPr>
        <w:ind w:left="2940" w:hanging="317"/>
      </w:pPr>
      <w:rPr>
        <w:rFonts w:hint="default"/>
      </w:rPr>
    </w:lvl>
  </w:abstractNum>
  <w:abstractNum w:abstractNumId="1">
    <w:multiLevelType w:val="hybridMultilevel"/>
    <w:lvl w:ilvl="0">
      <w:start w:val="1"/>
      <w:numFmt w:val="decimal"/>
      <w:lvlText w:val="%1."/>
      <w:lvlJc w:val="left"/>
      <w:pPr>
        <w:ind w:left="929"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1145" w:hanging="423"/>
        <w:jc w:val="left"/>
      </w:pPr>
      <w:rPr>
        <w:rFonts w:hint="default" w:ascii="宋体" w:hAnsi="宋体" w:eastAsia="宋体" w:cs="宋体"/>
        <w:w w:val="100"/>
        <w:sz w:val="21"/>
        <w:szCs w:val="21"/>
      </w:rPr>
    </w:lvl>
    <w:lvl w:ilvl="2">
      <w:start w:val="0"/>
      <w:numFmt w:val="bullet"/>
      <w:lvlText w:val="•"/>
      <w:lvlJc w:val="left"/>
      <w:pPr>
        <w:ind w:left="1327" w:hanging="423"/>
      </w:pPr>
      <w:rPr>
        <w:rFonts w:hint="default"/>
      </w:rPr>
    </w:lvl>
    <w:lvl w:ilvl="3">
      <w:start w:val="0"/>
      <w:numFmt w:val="bullet"/>
      <w:lvlText w:val="•"/>
      <w:lvlJc w:val="left"/>
      <w:pPr>
        <w:ind w:left="1515" w:hanging="423"/>
      </w:pPr>
      <w:rPr>
        <w:rFonts w:hint="default"/>
      </w:rPr>
    </w:lvl>
    <w:lvl w:ilvl="4">
      <w:start w:val="0"/>
      <w:numFmt w:val="bullet"/>
      <w:lvlText w:val="•"/>
      <w:lvlJc w:val="left"/>
      <w:pPr>
        <w:ind w:left="1703" w:hanging="423"/>
      </w:pPr>
      <w:rPr>
        <w:rFonts w:hint="default"/>
      </w:rPr>
    </w:lvl>
    <w:lvl w:ilvl="5">
      <w:start w:val="0"/>
      <w:numFmt w:val="bullet"/>
      <w:lvlText w:val="•"/>
      <w:lvlJc w:val="left"/>
      <w:pPr>
        <w:ind w:left="1891" w:hanging="423"/>
      </w:pPr>
      <w:rPr>
        <w:rFonts w:hint="default"/>
      </w:rPr>
    </w:lvl>
    <w:lvl w:ilvl="6">
      <w:start w:val="0"/>
      <w:numFmt w:val="bullet"/>
      <w:lvlText w:val="•"/>
      <w:lvlJc w:val="left"/>
      <w:pPr>
        <w:ind w:left="2078" w:hanging="423"/>
      </w:pPr>
      <w:rPr>
        <w:rFonts w:hint="default"/>
      </w:rPr>
    </w:lvl>
    <w:lvl w:ilvl="7">
      <w:start w:val="0"/>
      <w:numFmt w:val="bullet"/>
      <w:lvlText w:val="•"/>
      <w:lvlJc w:val="left"/>
      <w:pPr>
        <w:ind w:left="2266" w:hanging="423"/>
      </w:pPr>
      <w:rPr>
        <w:rFonts w:hint="default"/>
      </w:rPr>
    </w:lvl>
    <w:lvl w:ilvl="8">
      <w:start w:val="0"/>
      <w:numFmt w:val="bullet"/>
      <w:lvlText w:val="•"/>
      <w:lvlJc w:val="left"/>
      <w:pPr>
        <w:ind w:left="2454" w:hanging="423"/>
      </w:pPr>
      <w:rPr>
        <w:rFonts w:hint="default"/>
      </w:rPr>
    </w:lvl>
  </w:abstractNum>
  <w:abstractNum w:abstractNumId="0">
    <w:multiLevelType w:val="hybridMultilevel"/>
    <w:lvl w:ilvl="0">
      <w:start w:val="0"/>
      <w:numFmt w:val="bullet"/>
      <w:lvlText w:val=""/>
      <w:lvlJc w:val="left"/>
      <w:pPr>
        <w:ind w:left="1280" w:hanging="399"/>
      </w:pPr>
      <w:rPr>
        <w:rFonts w:hint="default" w:ascii="Wingdings" w:hAnsi="Wingdings" w:eastAsia="Wingdings" w:cs="Wingdings"/>
        <w:w w:val="100"/>
        <w:sz w:val="21"/>
        <w:szCs w:val="21"/>
      </w:rPr>
    </w:lvl>
    <w:lvl w:ilvl="1">
      <w:start w:val="0"/>
      <w:numFmt w:val="bullet"/>
      <w:lvlText w:val="•"/>
      <w:lvlJc w:val="left"/>
      <w:pPr>
        <w:ind w:left="2250" w:hanging="399"/>
      </w:pPr>
      <w:rPr>
        <w:rFonts w:hint="default"/>
      </w:rPr>
    </w:lvl>
    <w:lvl w:ilvl="2">
      <w:start w:val="0"/>
      <w:numFmt w:val="bullet"/>
      <w:lvlText w:val="•"/>
      <w:lvlJc w:val="left"/>
      <w:pPr>
        <w:ind w:left="3220" w:hanging="399"/>
      </w:pPr>
      <w:rPr>
        <w:rFonts w:hint="default"/>
      </w:rPr>
    </w:lvl>
    <w:lvl w:ilvl="3">
      <w:start w:val="0"/>
      <w:numFmt w:val="bullet"/>
      <w:lvlText w:val="•"/>
      <w:lvlJc w:val="left"/>
      <w:pPr>
        <w:ind w:left="4190" w:hanging="399"/>
      </w:pPr>
      <w:rPr>
        <w:rFonts w:hint="default"/>
      </w:rPr>
    </w:lvl>
    <w:lvl w:ilvl="4">
      <w:start w:val="0"/>
      <w:numFmt w:val="bullet"/>
      <w:lvlText w:val="•"/>
      <w:lvlJc w:val="left"/>
      <w:pPr>
        <w:ind w:left="5160" w:hanging="399"/>
      </w:pPr>
      <w:rPr>
        <w:rFonts w:hint="default"/>
      </w:rPr>
    </w:lvl>
    <w:lvl w:ilvl="5">
      <w:start w:val="0"/>
      <w:numFmt w:val="bullet"/>
      <w:lvlText w:val="•"/>
      <w:lvlJc w:val="left"/>
      <w:pPr>
        <w:ind w:left="6130" w:hanging="399"/>
      </w:pPr>
      <w:rPr>
        <w:rFonts w:hint="default"/>
      </w:rPr>
    </w:lvl>
    <w:lvl w:ilvl="6">
      <w:start w:val="0"/>
      <w:numFmt w:val="bullet"/>
      <w:lvlText w:val="•"/>
      <w:lvlJc w:val="left"/>
      <w:pPr>
        <w:ind w:left="7100" w:hanging="399"/>
      </w:pPr>
      <w:rPr>
        <w:rFonts w:hint="default"/>
      </w:rPr>
    </w:lvl>
    <w:lvl w:ilvl="7">
      <w:start w:val="0"/>
      <w:numFmt w:val="bullet"/>
      <w:lvlText w:val="•"/>
      <w:lvlJc w:val="left"/>
      <w:pPr>
        <w:ind w:left="8070" w:hanging="399"/>
      </w:pPr>
      <w:rPr>
        <w:rFonts w:hint="default"/>
      </w:rPr>
    </w:lvl>
    <w:lvl w:ilvl="8">
      <w:start w:val="0"/>
      <w:numFmt w:val="bullet"/>
      <w:lvlText w:val="•"/>
      <w:lvlJc w:val="left"/>
      <w:pPr>
        <w:ind w:left="9040" w:hanging="399"/>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3"/>
    </w:pPr>
    <w:rPr>
      <w:rFonts w:ascii="宋体" w:hAnsi="宋体" w:eastAsia="宋体" w:cs="宋体"/>
      <w:sz w:val="21"/>
      <w:szCs w:val="21"/>
    </w:rPr>
  </w:style>
  <w:style w:styleId="Heading1" w:type="paragraph">
    <w:name w:val="Heading 1"/>
    <w:basedOn w:val="Normal"/>
    <w:uiPriority w:val="1"/>
    <w:qFormat/>
    <w:pPr>
      <w:ind w:left="1244" w:hanging="103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spacing w:before="28"/>
      <w:ind w:left="1144" w:hanging="1032"/>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144" w:hanging="103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taikanglife.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2018-10-20T03:42:18Z</dcterms:created>
  <dcterms:modified xsi:type="dcterms:W3CDTF">2018-10-20T03:42:18Z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2017-08-07T00:00:00Z</vt:filetime>
  </property>
  <property fmtid="{D5CDD505-2E9C-101B-9397-08002B2CF9AE}" pid="3" name="LastSaved">
    <vt:filetime>2017-08-07T00:00:00Z</vt:filetime>
  </property>
</Properties>
</file>