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03" w:firstLine="0"/>
        <w:jc w:val="right"/>
        <w:rPr>
          <w:sz w:val="18"/>
        </w:rPr>
      </w:pPr>
      <w:r>
        <w:rPr/>
        <w:drawing>
          <wp:anchor distT="0" distB="0" distL="0" distR="0" allowOverlap="1" layoutInCell="1" locked="0" behindDoc="0" simplePos="0" relativeHeight="1048">
            <wp:simplePos x="0" y="0"/>
            <wp:positionH relativeFrom="page">
              <wp:posOffset>6170929</wp:posOffset>
            </wp:positionH>
            <wp:positionV relativeFrom="paragraph">
              <wp:posOffset>237384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合众人寿（2012）疾病保险 011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footerReference w:type="default" r:id="rId5"/>
          <w:type w:val="continuous"/>
          <w:pgSz w:w="11910" w:h="16840"/>
          <w:pgMar w:footer="912" w:top="200" w:bottom="1100" w:left="880" w:right="180"/>
          <w:pgNumType w:start="1"/>
        </w:sectPr>
      </w:pPr>
    </w:p>
    <w:p>
      <w:pPr>
        <w:pStyle w:val="Heading1"/>
        <w:spacing w:line="220" w:lineRule="auto" w:before="156"/>
        <w:ind w:left="2624"/>
      </w:pPr>
      <w:r>
        <w:rPr/>
        <w:t>合众附加合家康泰重大疾病保险条款阅  读  指 引</w:t>
      </w:r>
    </w:p>
    <w:p>
      <w:pPr>
        <w:pStyle w:val="BodyText"/>
        <w:spacing w:before="227"/>
        <w:ind w:left="2139"/>
        <w:jc w:val="center"/>
      </w:pPr>
      <w:r>
        <w:rPr/>
        <w:drawing>
          <wp:anchor distT="0" distB="0" distL="0" distR="0" allowOverlap="1" layoutInCell="1" locked="0" behindDoc="1" simplePos="0" relativeHeight="268398815">
            <wp:simplePos x="0" y="0"/>
            <wp:positionH relativeFrom="page">
              <wp:posOffset>624840</wp:posOffset>
            </wp:positionH>
            <wp:positionV relativeFrom="paragraph">
              <wp:posOffset>391333</wp:posOffset>
            </wp:positionV>
            <wp:extent cx="6452616" cy="740765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52616" cy="740765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4"/>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56" w:val="left" w:leader="none"/>
        </w:tabs>
        <w:spacing w:before="81"/>
        <w:ind w:left="245"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spacing w:before="0"/>
        <w:ind w:left="0"/>
        <w:rPr>
          <w:b/>
          <w:sz w:val="18"/>
        </w:rPr>
      </w:pPr>
      <w:r>
        <w:rPr/>
        <w:br w:type="column"/>
      </w:r>
      <w:r>
        <w:rPr>
          <w:b/>
          <w:sz w:val="18"/>
        </w:rPr>
      </w:r>
    </w:p>
    <w:p>
      <w:pPr>
        <w:pStyle w:val="BodyText"/>
        <w:spacing w:before="2"/>
        <w:ind w:left="0"/>
        <w:rPr>
          <w:b/>
          <w:sz w:val="23"/>
        </w:rPr>
      </w:pPr>
    </w:p>
    <w:p>
      <w:pPr>
        <w:spacing w:before="0"/>
        <w:ind w:left="173" w:right="0" w:firstLine="0"/>
        <w:jc w:val="left"/>
        <w:rPr>
          <w:sz w:val="18"/>
        </w:rPr>
      </w:pPr>
      <w:r>
        <w:rPr>
          <w:sz w:val="18"/>
        </w:rPr>
        <w:t>请扫描以查询验证条款</w:t>
      </w:r>
    </w:p>
    <w:p>
      <w:pPr>
        <w:spacing w:after="0"/>
        <w:jc w:val="left"/>
        <w:rPr>
          <w:sz w:val="18"/>
        </w:rPr>
        <w:sectPr>
          <w:type w:val="continuous"/>
          <w:pgSz w:w="11910" w:h="16840"/>
          <w:pgMar w:top="200" w:bottom="1100" w:left="880" w:right="180"/>
          <w:cols w:num="2" w:equalWidth="0">
            <w:col w:w="8298" w:space="40"/>
            <w:col w:w="2512"/>
          </w:cols>
        </w:sectPr>
      </w:pPr>
    </w:p>
    <w:p>
      <w:pPr>
        <w:pStyle w:val="ListParagraph"/>
        <w:numPr>
          <w:ilvl w:val="0"/>
          <w:numId w:val="1"/>
        </w:numPr>
        <w:tabs>
          <w:tab w:pos="1275" w:val="left" w:leader="none"/>
          <w:tab w:pos="1276" w:val="left" w:leader="none"/>
          <w:tab w:pos="9677" w:val="right" w:leader="dot"/>
        </w:tabs>
        <w:spacing w:line="240" w:lineRule="auto" w:before="25" w:after="0"/>
        <w:ind w:left="1275"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56" w:val="left" w:leader="none"/>
        </w:tabs>
        <w:spacing w:before="22"/>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5" w:val="left" w:leader="none"/>
          <w:tab w:pos="1266" w:val="left" w:leader="none"/>
          <w:tab w:pos="9564" w:val="right" w:leader="dot"/>
        </w:tabs>
        <w:spacing w:line="240" w:lineRule="auto" w:before="27" w:after="0"/>
        <w:ind w:left="1266"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65" w:val="left" w:leader="none"/>
          <w:tab w:pos="1266" w:val="left" w:leader="none"/>
          <w:tab w:pos="9564" w:val="right" w:leader="dot"/>
        </w:tabs>
        <w:spacing w:line="240" w:lineRule="auto" w:before="22" w:after="0"/>
        <w:ind w:left="1266"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应</w:t>
      </w:r>
      <w:r>
        <w:rPr>
          <w:spacing w:val="-3"/>
          <w:sz w:val="21"/>
        </w:rPr>
        <w:t>当</w:t>
      </w:r>
      <w:r>
        <w:rPr>
          <w:sz w:val="21"/>
        </w:rPr>
        <w:t>按</w:t>
      </w:r>
      <w:r>
        <w:rPr>
          <w:spacing w:val="-3"/>
          <w:sz w:val="21"/>
        </w:rPr>
        <w:t>时支</w:t>
      </w:r>
      <w:r>
        <w:rPr>
          <w:sz w:val="21"/>
        </w:rPr>
        <w:t>付保</w:t>
      </w:r>
      <w:r>
        <w:rPr>
          <w:spacing w:val="-3"/>
          <w:sz w:val="21"/>
        </w:rPr>
        <w:t>险</w:t>
      </w:r>
      <w:r>
        <w:rPr>
          <w:sz w:val="21"/>
        </w:rPr>
        <w:t>费</w:t>
        <w:tab/>
        <w:t>4.1</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5" w:val="left" w:leader="none"/>
          <w:tab w:pos="1276" w:val="left" w:leader="none"/>
          <w:tab w:pos="9362" w:val="right" w:leader="dot"/>
        </w:tabs>
        <w:spacing w:line="240" w:lineRule="auto" w:before="22" w:after="0"/>
        <w:ind w:left="1275"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6" w:val="left" w:leader="none"/>
        </w:tabs>
        <w:spacing w:before="22"/>
        <w:ind w:left="2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6" w:val="left" w:leader="none"/>
        </w:tabs>
        <w:spacing w:before="25"/>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1"/>
        <w:ind w:left="0"/>
        <w:rPr>
          <w:b/>
          <w:sz w:val="6"/>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3409"/>
        <w:gridCol w:w="3478"/>
      </w:tblGrid>
      <w:tr>
        <w:trPr>
          <w:trHeight w:val="5827" w:hRule="atLeast"/>
        </w:trPr>
        <w:tc>
          <w:tcPr>
            <w:tcW w:w="3194"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保险金的给付</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诉讼时效</w:t>
            </w:r>
          </w:p>
        </w:tc>
        <w:tc>
          <w:tcPr>
            <w:tcW w:w="3409" w:type="dxa"/>
          </w:tcPr>
          <w:p>
            <w:pPr>
              <w:pStyle w:val="TableParagraph"/>
              <w:numPr>
                <w:ilvl w:val="0"/>
                <w:numId w:val="3"/>
              </w:numPr>
              <w:tabs>
                <w:tab w:pos="473" w:val="left" w:leader="none"/>
              </w:tabs>
              <w:spacing w:line="211" w:lineRule="exact" w:before="0" w:after="0"/>
              <w:ind w:left="472" w:right="0" w:hanging="317"/>
              <w:jc w:val="left"/>
              <w:rPr>
                <w:b/>
                <w:sz w:val="21"/>
              </w:rPr>
            </w:pPr>
            <w:r>
              <w:rPr>
                <w:b/>
                <w:spacing w:val="-1"/>
                <w:sz w:val="21"/>
              </w:rPr>
              <w:t>保险费的支付和现金价值权益</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保险费的支付</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保险单的现金价值</w:t>
            </w:r>
          </w:p>
          <w:p>
            <w:pPr>
              <w:pStyle w:val="TableParagraph"/>
              <w:numPr>
                <w:ilvl w:val="1"/>
                <w:numId w:val="3"/>
              </w:numPr>
              <w:tabs>
                <w:tab w:pos="684" w:val="left" w:leader="none"/>
              </w:tabs>
              <w:spacing w:line="240" w:lineRule="auto" w:before="37" w:after="0"/>
              <w:ind w:left="683" w:right="0" w:hanging="423"/>
              <w:jc w:val="left"/>
              <w:rPr>
                <w:sz w:val="21"/>
              </w:rPr>
            </w:pPr>
            <w:r>
              <w:rPr>
                <w:spacing w:val="-2"/>
                <w:sz w:val="21"/>
              </w:rPr>
              <w:t>宽限期</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合同效力中止</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合同效力恢复</w:t>
            </w:r>
          </w:p>
          <w:p>
            <w:pPr>
              <w:pStyle w:val="TableParagraph"/>
              <w:numPr>
                <w:ilvl w:val="0"/>
                <w:numId w:val="3"/>
              </w:numPr>
              <w:tabs>
                <w:tab w:pos="473" w:val="left" w:leader="none"/>
              </w:tabs>
              <w:spacing w:line="240" w:lineRule="auto" w:before="37" w:after="0"/>
              <w:ind w:left="472" w:right="0" w:hanging="317"/>
              <w:jc w:val="left"/>
              <w:rPr>
                <w:b/>
                <w:sz w:val="21"/>
              </w:rPr>
            </w:pPr>
            <w:r>
              <w:rPr>
                <w:b/>
                <w:sz w:val="21"/>
              </w:rPr>
              <w:t>其他事项</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明确说明与如实告知</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本公司合同解除权的限制</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年龄性别错误</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未还款项</w:t>
            </w:r>
          </w:p>
          <w:p>
            <w:pPr>
              <w:pStyle w:val="TableParagraph"/>
              <w:numPr>
                <w:ilvl w:val="0"/>
                <w:numId w:val="3"/>
              </w:numPr>
              <w:tabs>
                <w:tab w:pos="473" w:val="left" w:leader="none"/>
              </w:tabs>
              <w:spacing w:line="240" w:lineRule="auto" w:before="37" w:after="0"/>
              <w:ind w:left="472" w:right="0" w:hanging="317"/>
              <w:jc w:val="left"/>
              <w:rPr>
                <w:b/>
                <w:sz w:val="21"/>
              </w:rPr>
            </w:pPr>
            <w:r>
              <w:rPr>
                <w:b/>
                <w:sz w:val="21"/>
              </w:rPr>
              <w:t>释义</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周岁</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有效身份证件</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现金价值</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少儿重大疾病</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成人重大疾病</w:t>
            </w:r>
          </w:p>
          <w:p>
            <w:pPr>
              <w:pStyle w:val="TableParagraph"/>
              <w:numPr>
                <w:ilvl w:val="1"/>
                <w:numId w:val="3"/>
              </w:numPr>
              <w:tabs>
                <w:tab w:pos="684" w:val="left" w:leader="none"/>
              </w:tabs>
              <w:spacing w:line="240" w:lineRule="auto" w:before="36" w:after="0"/>
              <w:ind w:left="683" w:right="0" w:hanging="423"/>
              <w:jc w:val="left"/>
              <w:rPr>
                <w:sz w:val="21"/>
              </w:rPr>
            </w:pPr>
            <w:r>
              <w:rPr>
                <w:spacing w:val="-3"/>
                <w:sz w:val="21"/>
              </w:rPr>
              <w:t>意外伤害</w:t>
            </w:r>
          </w:p>
        </w:tc>
        <w:tc>
          <w:tcPr>
            <w:tcW w:w="3478" w:type="dxa"/>
          </w:tcPr>
          <w:p>
            <w:pPr>
              <w:pStyle w:val="TableParagraph"/>
              <w:numPr>
                <w:ilvl w:val="1"/>
                <w:numId w:val="4"/>
              </w:numPr>
              <w:tabs>
                <w:tab w:pos="621" w:val="left" w:leader="none"/>
              </w:tabs>
              <w:spacing w:line="211" w:lineRule="exact" w:before="0" w:after="0"/>
              <w:ind w:left="685" w:right="0" w:hanging="488"/>
              <w:jc w:val="left"/>
              <w:rPr>
                <w:sz w:val="21"/>
              </w:rPr>
            </w:pPr>
            <w:r>
              <w:rPr>
                <w:spacing w:val="-3"/>
                <w:sz w:val="21"/>
              </w:rPr>
              <w:t>专科医生</w:t>
            </w:r>
          </w:p>
          <w:p>
            <w:pPr>
              <w:pStyle w:val="TableParagraph"/>
              <w:numPr>
                <w:ilvl w:val="1"/>
                <w:numId w:val="4"/>
              </w:numPr>
              <w:tabs>
                <w:tab w:pos="621" w:val="left" w:leader="none"/>
              </w:tabs>
              <w:spacing w:line="240" w:lineRule="auto" w:before="37" w:after="0"/>
              <w:ind w:left="685" w:right="0" w:hanging="488"/>
              <w:jc w:val="left"/>
              <w:rPr>
                <w:sz w:val="21"/>
              </w:rPr>
            </w:pPr>
            <w:r>
              <w:rPr>
                <w:spacing w:val="-3"/>
                <w:sz w:val="21"/>
              </w:rPr>
              <w:t>毒品</w:t>
            </w:r>
          </w:p>
          <w:p>
            <w:pPr>
              <w:pStyle w:val="TableParagraph"/>
              <w:numPr>
                <w:ilvl w:val="1"/>
                <w:numId w:val="4"/>
              </w:numPr>
              <w:tabs>
                <w:tab w:pos="621" w:val="left" w:leader="none"/>
              </w:tabs>
              <w:spacing w:line="240" w:lineRule="auto" w:before="37" w:after="0"/>
              <w:ind w:left="685" w:right="0" w:hanging="488"/>
              <w:jc w:val="left"/>
              <w:rPr>
                <w:sz w:val="21"/>
              </w:rPr>
            </w:pPr>
            <w:r>
              <w:rPr>
                <w:spacing w:val="-3"/>
                <w:sz w:val="21"/>
              </w:rPr>
              <w:t>酒后驾驶</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无合法有效驾驶证驾驶</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无有效行驶证</w:t>
            </w:r>
          </w:p>
          <w:p>
            <w:pPr>
              <w:pStyle w:val="TableParagraph"/>
              <w:numPr>
                <w:ilvl w:val="1"/>
                <w:numId w:val="4"/>
              </w:numPr>
              <w:tabs>
                <w:tab w:pos="671" w:val="left" w:leader="none"/>
              </w:tabs>
              <w:spacing w:line="240" w:lineRule="auto" w:before="37" w:after="0"/>
              <w:ind w:left="670" w:right="0" w:hanging="473"/>
              <w:jc w:val="left"/>
              <w:rPr>
                <w:sz w:val="21"/>
              </w:rPr>
            </w:pPr>
            <w:r>
              <w:rPr>
                <w:sz w:val="21"/>
              </w:rPr>
              <w:t>潜水</w:t>
            </w:r>
          </w:p>
          <w:p>
            <w:pPr>
              <w:pStyle w:val="TableParagraph"/>
              <w:numPr>
                <w:ilvl w:val="1"/>
                <w:numId w:val="4"/>
              </w:numPr>
              <w:tabs>
                <w:tab w:pos="671" w:val="left" w:leader="none"/>
              </w:tabs>
              <w:spacing w:line="240" w:lineRule="auto" w:before="37" w:after="0"/>
              <w:ind w:left="670" w:right="0" w:hanging="473"/>
              <w:jc w:val="left"/>
              <w:rPr>
                <w:sz w:val="21"/>
              </w:rPr>
            </w:pPr>
            <w:r>
              <w:rPr>
                <w:sz w:val="21"/>
              </w:rPr>
              <w:t>攀岩</w:t>
            </w:r>
          </w:p>
          <w:p>
            <w:pPr>
              <w:pStyle w:val="TableParagraph"/>
              <w:numPr>
                <w:ilvl w:val="1"/>
                <w:numId w:val="4"/>
              </w:numPr>
              <w:tabs>
                <w:tab w:pos="671" w:val="left" w:leader="none"/>
              </w:tabs>
              <w:spacing w:line="240" w:lineRule="auto" w:before="37" w:after="0"/>
              <w:ind w:left="670" w:right="0" w:hanging="473"/>
              <w:jc w:val="left"/>
              <w:rPr>
                <w:sz w:val="21"/>
              </w:rPr>
            </w:pPr>
            <w:r>
              <w:rPr>
                <w:spacing w:val="-2"/>
                <w:sz w:val="21"/>
              </w:rPr>
              <w:t>探险活动</w:t>
            </w:r>
          </w:p>
          <w:p>
            <w:pPr>
              <w:pStyle w:val="TableParagraph"/>
              <w:numPr>
                <w:ilvl w:val="1"/>
                <w:numId w:val="4"/>
              </w:numPr>
              <w:tabs>
                <w:tab w:pos="671" w:val="left" w:leader="none"/>
              </w:tabs>
              <w:spacing w:line="240" w:lineRule="auto" w:before="37" w:after="0"/>
              <w:ind w:left="670" w:right="0" w:hanging="473"/>
              <w:jc w:val="left"/>
              <w:rPr>
                <w:sz w:val="21"/>
              </w:rPr>
            </w:pPr>
            <w:r>
              <w:rPr>
                <w:spacing w:val="-2"/>
                <w:sz w:val="21"/>
              </w:rPr>
              <w:t>武术比赛</w:t>
            </w:r>
          </w:p>
          <w:p>
            <w:pPr>
              <w:pStyle w:val="TableParagraph"/>
              <w:numPr>
                <w:ilvl w:val="1"/>
                <w:numId w:val="4"/>
              </w:numPr>
              <w:tabs>
                <w:tab w:pos="671" w:val="left" w:leader="none"/>
              </w:tabs>
              <w:spacing w:line="240" w:lineRule="auto" w:before="37" w:after="0"/>
              <w:ind w:left="670" w:right="0" w:hanging="473"/>
              <w:jc w:val="left"/>
              <w:rPr>
                <w:sz w:val="21"/>
              </w:rPr>
            </w:pPr>
            <w:r>
              <w:rPr>
                <w:spacing w:val="-3"/>
                <w:sz w:val="21"/>
              </w:rPr>
              <w:t>遗传性疾病</w:t>
            </w:r>
          </w:p>
          <w:p>
            <w:pPr>
              <w:pStyle w:val="TableParagraph"/>
              <w:numPr>
                <w:ilvl w:val="1"/>
                <w:numId w:val="4"/>
              </w:numPr>
              <w:tabs>
                <w:tab w:pos="726" w:val="left" w:leader="none"/>
              </w:tabs>
              <w:spacing w:line="273" w:lineRule="auto" w:before="37" w:after="0"/>
              <w:ind w:left="685" w:right="196" w:hanging="490"/>
              <w:jc w:val="left"/>
              <w:rPr>
                <w:sz w:val="21"/>
              </w:rPr>
            </w:pPr>
            <w:r>
              <w:rPr>
                <w:sz w:val="21"/>
              </w:rPr>
              <w:t>先天性畸形、变形或染色体异常</w:t>
            </w:r>
          </w:p>
          <w:p>
            <w:pPr>
              <w:pStyle w:val="TableParagraph"/>
              <w:numPr>
                <w:ilvl w:val="1"/>
                <w:numId w:val="4"/>
              </w:numPr>
              <w:tabs>
                <w:tab w:pos="671" w:val="left" w:leader="none"/>
              </w:tabs>
              <w:spacing w:line="240" w:lineRule="auto" w:before="7" w:after="0"/>
              <w:ind w:left="670" w:right="0" w:hanging="473"/>
              <w:jc w:val="left"/>
              <w:rPr>
                <w:sz w:val="21"/>
              </w:rPr>
            </w:pPr>
            <w:r>
              <w:rPr>
                <w:spacing w:val="-3"/>
                <w:sz w:val="21"/>
              </w:rPr>
              <w:t>本合同约定利率</w:t>
            </w:r>
          </w:p>
          <w:p>
            <w:pPr>
              <w:pStyle w:val="TableParagraph"/>
              <w:numPr>
                <w:ilvl w:val="1"/>
                <w:numId w:val="4"/>
              </w:numPr>
              <w:tabs>
                <w:tab w:pos="671" w:val="left" w:leader="none"/>
              </w:tabs>
              <w:spacing w:line="240" w:lineRule="auto" w:before="36" w:after="0"/>
              <w:ind w:left="670" w:right="0" w:hanging="473"/>
              <w:jc w:val="left"/>
              <w:rPr>
                <w:sz w:val="21"/>
              </w:rPr>
            </w:pPr>
            <w:r>
              <w:rPr>
                <w:spacing w:val="-3"/>
                <w:sz w:val="21"/>
              </w:rPr>
              <w:t>肢体机能完全丧失</w:t>
            </w:r>
          </w:p>
          <w:p>
            <w:pPr>
              <w:pStyle w:val="TableParagraph"/>
              <w:numPr>
                <w:ilvl w:val="1"/>
                <w:numId w:val="4"/>
              </w:numPr>
              <w:tabs>
                <w:tab w:pos="729" w:val="left" w:leader="none"/>
              </w:tabs>
              <w:spacing w:line="273" w:lineRule="auto" w:before="36" w:after="0"/>
              <w:ind w:left="723" w:right="196" w:hanging="526"/>
              <w:jc w:val="left"/>
              <w:rPr>
                <w:sz w:val="21"/>
              </w:rPr>
            </w:pPr>
            <w:r>
              <w:rPr>
                <w:sz w:val="21"/>
              </w:rPr>
              <w:t>语言能力或咀嚼吞咽能力完全丧失</w:t>
            </w:r>
          </w:p>
          <w:p>
            <w:pPr>
              <w:pStyle w:val="TableParagraph"/>
              <w:numPr>
                <w:ilvl w:val="1"/>
                <w:numId w:val="4"/>
              </w:numPr>
              <w:tabs>
                <w:tab w:pos="671" w:val="left" w:leader="none"/>
              </w:tabs>
              <w:spacing w:line="240" w:lineRule="auto" w:before="7" w:after="0"/>
              <w:ind w:left="670" w:right="0" w:hanging="473"/>
              <w:jc w:val="left"/>
              <w:rPr>
                <w:sz w:val="21"/>
              </w:rPr>
            </w:pPr>
            <w:r>
              <w:rPr>
                <w:spacing w:val="-3"/>
                <w:sz w:val="21"/>
              </w:rPr>
              <w:t>六项基本日常生活活动</w:t>
            </w:r>
          </w:p>
          <w:p>
            <w:pPr>
              <w:pStyle w:val="TableParagraph"/>
              <w:numPr>
                <w:ilvl w:val="1"/>
                <w:numId w:val="4"/>
              </w:numPr>
              <w:tabs>
                <w:tab w:pos="671" w:val="left" w:leader="none"/>
              </w:tabs>
              <w:spacing w:line="240" w:lineRule="auto" w:before="37" w:after="0"/>
              <w:ind w:left="670" w:right="0" w:hanging="473"/>
              <w:jc w:val="left"/>
              <w:rPr>
                <w:sz w:val="21"/>
              </w:rPr>
            </w:pPr>
            <w:r>
              <w:rPr>
                <w:spacing w:val="-3"/>
                <w:sz w:val="21"/>
              </w:rPr>
              <w:t>永久不可逆</w:t>
            </w:r>
          </w:p>
        </w:tc>
      </w:tr>
    </w:tbl>
    <w:p>
      <w:pPr>
        <w:spacing w:after="0" w:line="240" w:lineRule="auto"/>
        <w:jc w:val="left"/>
        <w:rPr>
          <w:sz w:val="21"/>
        </w:rPr>
        <w:sectPr>
          <w:type w:val="continuous"/>
          <w:pgSz w:w="11910" w:h="16840"/>
          <w:pgMar w:top="200" w:bottom="1100" w:left="880" w:right="180"/>
        </w:sectPr>
      </w:pPr>
    </w:p>
    <w:p>
      <w:pPr>
        <w:pStyle w:val="Heading1"/>
        <w:spacing w:line="484" w:lineRule="exact"/>
        <w:ind w:right="2120"/>
      </w:pPr>
      <w:r>
        <w:rPr/>
        <w:t>合众附加合家康泰重大疾病保险条款</w:t>
      </w:r>
    </w:p>
    <w:p>
      <w:pPr>
        <w:spacing w:before="80"/>
        <w:ind w:left="2405" w:right="2120" w:firstLine="0"/>
        <w:jc w:val="center"/>
        <w:rPr>
          <w:b/>
          <w:sz w:val="24"/>
        </w:rPr>
      </w:pPr>
      <w:r>
        <w:rPr>
          <w:b/>
          <w:sz w:val="24"/>
        </w:rPr>
        <w:t>（ 通过电话渠道销售 ）</w:t>
      </w:r>
    </w:p>
    <w:p>
      <w:pPr>
        <w:pStyle w:val="BodyText"/>
        <w:spacing w:before="26"/>
        <w:ind w:left="223"/>
      </w:pPr>
      <w:r>
        <w:rPr/>
        <w:t>在本条款中，“您”指投保人，“我们”、“本公司”均指合众人寿保险股份有限公司。</w:t>
      </w:r>
    </w:p>
    <w:p>
      <w:pPr>
        <w:pStyle w:val="BodyText"/>
        <w:spacing w:before="0"/>
        <w:ind w:left="0"/>
        <w:rPr>
          <w:sz w:val="20"/>
        </w:rPr>
      </w:pPr>
    </w:p>
    <w:p>
      <w:pPr>
        <w:pStyle w:val="BodyText"/>
        <w:spacing w:before="3"/>
        <w:ind w:left="0"/>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0"/>
      </w:tblGrid>
      <w:tr>
        <w:trPr>
          <w:trHeight w:val="522" w:hRule="atLeast"/>
        </w:trPr>
        <w:tc>
          <w:tcPr>
            <w:tcW w:w="75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714" w:type="dxa"/>
            <w:gridSpan w:val="2"/>
            <w:tcBorders>
              <w:bottom w:val="single" w:sz="4" w:space="0" w:color="000000"/>
            </w:tcBorders>
          </w:tcPr>
          <w:p>
            <w:pPr>
              <w:pStyle w:val="TableParagraph"/>
              <w:spacing w:before="14"/>
              <w:ind w:left="291"/>
              <w:rPr>
                <w:b/>
                <w:sz w:val="24"/>
              </w:rPr>
            </w:pPr>
            <w:r>
              <w:rPr>
                <w:b/>
                <w:w w:val="95"/>
                <w:sz w:val="24"/>
              </w:rPr>
              <w:t>您与我们的合同</w:t>
            </w:r>
          </w:p>
        </w:tc>
      </w:tr>
      <w:tr>
        <w:trPr>
          <w:trHeight w:val="1621" w:hRule="atLeast"/>
        </w:trPr>
        <w:tc>
          <w:tcPr>
            <w:tcW w:w="758" w:type="dxa"/>
            <w:tcBorders>
              <w:top w:val="single" w:sz="4" w:space="0" w:color="000000"/>
            </w:tcBorders>
          </w:tcPr>
          <w:p>
            <w:pPr>
              <w:pStyle w:val="TableParagraph"/>
              <w:spacing w:before="7"/>
              <w:ind w:left="0"/>
              <w:rPr>
                <w:sz w:val="15"/>
              </w:rPr>
            </w:pPr>
          </w:p>
          <w:p>
            <w:pPr>
              <w:pStyle w:val="TableParagraph"/>
              <w:spacing w:before="0"/>
              <w:ind w:left="108"/>
              <w:rPr>
                <w:b/>
                <w:sz w:val="21"/>
              </w:rPr>
            </w:pPr>
            <w:r>
              <w:rPr>
                <w:b/>
                <w:sz w:val="21"/>
              </w:rPr>
              <w:t>1.1</w:t>
            </w:r>
          </w:p>
        </w:tc>
        <w:tc>
          <w:tcPr>
            <w:tcW w:w="1884" w:type="dxa"/>
            <w:tcBorders>
              <w:top w:val="single" w:sz="4" w:space="0" w:color="000000"/>
            </w:tcBorders>
          </w:tcPr>
          <w:p>
            <w:pPr>
              <w:pStyle w:val="TableParagraph"/>
              <w:spacing w:before="7"/>
              <w:ind w:left="0"/>
              <w:rPr>
                <w:sz w:val="15"/>
              </w:rPr>
            </w:pPr>
          </w:p>
          <w:p>
            <w:pPr>
              <w:pStyle w:val="TableParagraph"/>
              <w:spacing w:before="0"/>
              <w:ind w:left="291"/>
              <w:rPr>
                <w:b/>
                <w:sz w:val="21"/>
              </w:rPr>
            </w:pPr>
            <w:r>
              <w:rPr>
                <w:b/>
                <w:sz w:val="21"/>
              </w:rPr>
              <w:t>投保范围</w:t>
            </w:r>
          </w:p>
        </w:tc>
        <w:tc>
          <w:tcPr>
            <w:tcW w:w="6830" w:type="dxa"/>
            <w:tcBorders>
              <w:top w:val="single" w:sz="4" w:space="0" w:color="000000"/>
            </w:tcBorders>
          </w:tcPr>
          <w:p>
            <w:pPr>
              <w:pStyle w:val="TableParagraph"/>
              <w:spacing w:before="7"/>
              <w:ind w:left="0"/>
              <w:rPr>
                <w:sz w:val="15"/>
              </w:rPr>
            </w:pPr>
          </w:p>
          <w:p>
            <w:pPr>
              <w:pStyle w:val="TableParagraph"/>
              <w:spacing w:line="273" w:lineRule="auto" w:before="0"/>
              <w:ind w:left="111" w:right="103"/>
              <w:rPr>
                <w:sz w:val="21"/>
              </w:rPr>
            </w:pPr>
            <w:r>
              <w:rPr>
                <w:spacing w:val="-2"/>
                <w:w w:val="100"/>
                <w:sz w:val="21"/>
              </w:rPr>
              <w:t>凡年满</w:t>
            </w:r>
            <w:r>
              <w:rPr>
                <w:spacing w:val="-53"/>
                <w:sz w:val="21"/>
              </w:rPr>
              <w:t> </w:t>
            </w:r>
            <w:r>
              <w:rPr>
                <w:w w:val="100"/>
                <w:sz w:val="21"/>
              </w:rPr>
              <w:t>18</w:t>
            </w:r>
            <w:r>
              <w:rPr>
                <w:spacing w:val="-55"/>
                <w:sz w:val="21"/>
              </w:rPr>
              <w:t> </w:t>
            </w:r>
            <w:r>
              <w:rPr>
                <w:b/>
                <w:spacing w:val="-16"/>
                <w:w w:val="100"/>
                <w:sz w:val="21"/>
              </w:rPr>
              <w:t>周岁</w:t>
            </w:r>
            <w:r>
              <w:rPr>
                <w:w w:val="100"/>
                <w:sz w:val="21"/>
              </w:rPr>
              <w:t>（</w:t>
            </w:r>
            <w:r>
              <w:rPr>
                <w:spacing w:val="-2"/>
                <w:w w:val="100"/>
                <w:sz w:val="21"/>
              </w:rPr>
              <w:t>见释义</w:t>
            </w:r>
            <w:r>
              <w:rPr>
                <w:spacing w:val="-55"/>
                <w:sz w:val="21"/>
              </w:rPr>
              <w:t> </w:t>
            </w:r>
            <w:r>
              <w:rPr>
                <w:w w:val="100"/>
                <w:sz w:val="21"/>
              </w:rPr>
              <w:t>6</w:t>
            </w:r>
            <w:r>
              <w:rPr>
                <w:spacing w:val="-3"/>
                <w:w w:val="100"/>
                <w:sz w:val="21"/>
              </w:rPr>
              <w:t>.</w:t>
            </w:r>
            <w:r>
              <w:rPr>
                <w:spacing w:val="-1"/>
                <w:w w:val="100"/>
                <w:sz w:val="21"/>
              </w:rPr>
              <w:t>1</w:t>
            </w:r>
            <w:r>
              <w:rPr>
                <w:spacing w:val="-106"/>
                <w:w w:val="100"/>
                <w:sz w:val="21"/>
              </w:rPr>
              <w:t>）</w:t>
            </w:r>
            <w:r>
              <w:rPr>
                <w:spacing w:val="-7"/>
                <w:w w:val="100"/>
                <w:sz w:val="21"/>
              </w:rPr>
              <w:t>，具有完全民事行为能力且在本保险合同订</w:t>
            </w:r>
            <w:r>
              <w:rPr>
                <w:spacing w:val="-5"/>
                <w:sz w:val="21"/>
              </w:rPr>
              <w:t>立时对被保险人具有保险利益的人，均可以作为投保人。</w:t>
            </w:r>
          </w:p>
          <w:p>
            <w:pPr>
              <w:pStyle w:val="TableParagraph"/>
              <w:spacing w:line="273" w:lineRule="auto" w:before="7"/>
              <w:ind w:left="111" w:right="199"/>
              <w:rPr>
                <w:sz w:val="21"/>
              </w:rPr>
            </w:pPr>
            <w:r>
              <w:rPr>
                <w:spacing w:val="-10"/>
                <w:sz w:val="21"/>
              </w:rPr>
              <w:t>凡出生满 </w:t>
            </w:r>
            <w:r>
              <w:rPr>
                <w:sz w:val="21"/>
              </w:rPr>
              <w:t>28</w:t>
            </w:r>
            <w:r>
              <w:rPr>
                <w:spacing w:val="-25"/>
                <w:sz w:val="21"/>
              </w:rPr>
              <w:t> 天至 </w:t>
            </w:r>
            <w:r>
              <w:rPr>
                <w:sz w:val="21"/>
              </w:rPr>
              <w:t>50</w:t>
            </w:r>
            <w:r>
              <w:rPr>
                <w:spacing w:val="-8"/>
                <w:sz w:val="21"/>
              </w:rPr>
              <w:t> 周岁，符合本公司承保条件的人，均可作为被保险人。</w:t>
            </w:r>
          </w:p>
        </w:tc>
      </w:tr>
      <w:tr>
        <w:trPr>
          <w:trHeight w:val="2184" w:hRule="atLeast"/>
        </w:trPr>
        <w:tc>
          <w:tcPr>
            <w:tcW w:w="758" w:type="dxa"/>
          </w:tcPr>
          <w:p>
            <w:pPr>
              <w:pStyle w:val="TableParagraph"/>
              <w:spacing w:before="143"/>
              <w:ind w:left="108"/>
              <w:rPr>
                <w:b/>
                <w:sz w:val="21"/>
              </w:rPr>
            </w:pPr>
            <w:r>
              <w:rPr>
                <w:b/>
                <w:sz w:val="21"/>
              </w:rPr>
              <w:t>1.2</w:t>
            </w:r>
          </w:p>
        </w:tc>
        <w:tc>
          <w:tcPr>
            <w:tcW w:w="1884" w:type="dxa"/>
          </w:tcPr>
          <w:p>
            <w:pPr>
              <w:pStyle w:val="TableParagraph"/>
              <w:spacing w:before="143"/>
              <w:ind w:left="291"/>
              <w:rPr>
                <w:b/>
                <w:sz w:val="21"/>
              </w:rPr>
            </w:pPr>
            <w:r>
              <w:rPr>
                <w:b/>
                <w:sz w:val="21"/>
              </w:rPr>
              <w:t>合同构成</w:t>
            </w:r>
          </w:p>
        </w:tc>
        <w:tc>
          <w:tcPr>
            <w:tcW w:w="6830" w:type="dxa"/>
          </w:tcPr>
          <w:p>
            <w:pPr>
              <w:pStyle w:val="TableParagraph"/>
              <w:spacing w:line="264" w:lineRule="auto" w:before="143"/>
              <w:ind w:left="111" w:right="105"/>
              <w:jc w:val="both"/>
              <w:rPr>
                <w:sz w:val="21"/>
              </w:rPr>
            </w:pPr>
            <w:r>
              <w:rPr>
                <w:spacing w:val="1"/>
                <w:w w:val="100"/>
                <w:sz w:val="21"/>
              </w:rPr>
              <w:t>本附加保险合同</w:t>
            </w:r>
            <w:r>
              <w:rPr>
                <w:w w:val="100"/>
                <w:sz w:val="21"/>
              </w:rPr>
              <w:t>（</w:t>
            </w:r>
            <w:r>
              <w:rPr>
                <w:spacing w:val="-10"/>
                <w:w w:val="100"/>
                <w:sz w:val="21"/>
              </w:rPr>
              <w:t>以下简称“本附加合同”</w:t>
            </w:r>
            <w:r>
              <w:rPr>
                <w:spacing w:val="-101"/>
                <w:w w:val="100"/>
                <w:sz w:val="21"/>
              </w:rPr>
              <w:t>）</w:t>
            </w:r>
            <w:r>
              <w:rPr>
                <w:w w:val="100"/>
                <w:sz w:val="21"/>
              </w:rPr>
              <w:t>，需由合众合家康泰两全保</w:t>
            </w:r>
            <w:r>
              <w:rPr>
                <w:spacing w:val="-17"/>
                <w:sz w:val="21"/>
              </w:rPr>
              <w:t>险</w:t>
            </w:r>
            <w:r>
              <w:rPr>
                <w:spacing w:val="-3"/>
                <w:sz w:val="21"/>
              </w:rPr>
              <w:t>（分红型</w:t>
            </w:r>
            <w:r>
              <w:rPr>
                <w:spacing w:val="-17"/>
                <w:sz w:val="21"/>
              </w:rPr>
              <w:t>）</w:t>
            </w:r>
            <w:r>
              <w:rPr>
                <w:spacing w:val="-12"/>
                <w:sz w:val="21"/>
              </w:rPr>
              <w:t>合同</w:t>
            </w:r>
            <w:r>
              <w:rPr>
                <w:sz w:val="21"/>
              </w:rPr>
              <w:t>（</w:t>
            </w:r>
            <w:r>
              <w:rPr>
                <w:spacing w:val="-2"/>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pacing w:val="-10"/>
                <w:sz w:val="21"/>
              </w:rPr>
              <w:t>”</w:t>
            </w:r>
            <w:r>
              <w:rPr>
                <w:spacing w:val="-10"/>
                <w:sz w:val="21"/>
              </w:rPr>
              <w:t>）</w:t>
            </w:r>
            <w:r>
              <w:rPr>
                <w:spacing w:val="-5"/>
                <w:sz w:val="21"/>
              </w:rPr>
              <w:t>的投保人提出申请，经我们同意</w:t>
            </w:r>
            <w:r>
              <w:rPr>
                <w:spacing w:val="-4"/>
                <w:sz w:val="21"/>
              </w:rPr>
              <w:t>而订立。</w:t>
            </w:r>
          </w:p>
          <w:p>
            <w:pPr>
              <w:pStyle w:val="TableParagraph"/>
              <w:spacing w:line="273" w:lineRule="auto" w:before="16"/>
              <w:ind w:left="111" w:right="199"/>
              <w:jc w:val="both"/>
              <w:rPr>
                <w:sz w:val="21"/>
              </w:rPr>
            </w:pPr>
            <w:r>
              <w:rPr>
                <w:sz w:val="21"/>
              </w:rPr>
              <w:t>主合同所附条款、投保书、合法有效的声明、批注、附贴批单、其他书面协议，凡与本附加合同相关者，都是本附加合同的构成部分。若主合同与本附加合同的条款互有冲突，则以本附加合同的条款为准。</w:t>
            </w:r>
          </w:p>
        </w:tc>
      </w:tr>
      <w:tr>
        <w:trPr>
          <w:trHeight w:val="2184" w:hRule="atLeast"/>
        </w:trPr>
        <w:tc>
          <w:tcPr>
            <w:tcW w:w="758" w:type="dxa"/>
          </w:tcPr>
          <w:p>
            <w:pPr>
              <w:pStyle w:val="TableParagraph"/>
              <w:spacing w:before="142"/>
              <w:ind w:left="108"/>
              <w:rPr>
                <w:b/>
                <w:sz w:val="21"/>
              </w:rPr>
            </w:pPr>
            <w:r>
              <w:rPr>
                <w:b/>
                <w:sz w:val="21"/>
              </w:rPr>
              <w:t>1.3</w:t>
            </w:r>
          </w:p>
        </w:tc>
        <w:tc>
          <w:tcPr>
            <w:tcW w:w="1884" w:type="dxa"/>
          </w:tcPr>
          <w:p>
            <w:pPr>
              <w:pStyle w:val="TableParagraph"/>
              <w:spacing w:before="142"/>
              <w:ind w:left="291"/>
              <w:rPr>
                <w:b/>
                <w:sz w:val="21"/>
              </w:rPr>
            </w:pPr>
            <w:r>
              <w:rPr>
                <w:b/>
                <w:sz w:val="21"/>
              </w:rPr>
              <w:t>合同成立与生效</w:t>
            </w:r>
          </w:p>
        </w:tc>
        <w:tc>
          <w:tcPr>
            <w:tcW w:w="6830" w:type="dxa"/>
          </w:tcPr>
          <w:p>
            <w:pPr>
              <w:pStyle w:val="TableParagraph"/>
              <w:spacing w:line="273" w:lineRule="auto" w:before="142"/>
              <w:ind w:left="111" w:right="199"/>
              <w:jc w:val="both"/>
              <w:rPr>
                <w:sz w:val="21"/>
              </w:rPr>
            </w:pPr>
            <w:r>
              <w:rPr>
                <w:sz w:val="21"/>
              </w:rPr>
              <w:t>除另有约定外，本附加合同须与主合同同时投保，本附加合同的成立日及生效日与主合同相同，并在保险单上载明。</w:t>
            </w:r>
          </w:p>
          <w:p>
            <w:pPr>
              <w:pStyle w:val="TableParagraph"/>
              <w:spacing w:line="273" w:lineRule="auto" w:before="7"/>
              <w:ind w:left="111" w:right="199"/>
              <w:jc w:val="both"/>
              <w:rPr>
                <w:sz w:val="21"/>
              </w:rPr>
            </w:pPr>
            <w:r>
              <w:rPr>
                <w:sz w:val="21"/>
              </w:rPr>
              <w:t>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808" w:hRule="atLeast"/>
        </w:trPr>
        <w:tc>
          <w:tcPr>
            <w:tcW w:w="758" w:type="dxa"/>
          </w:tcPr>
          <w:p>
            <w:pPr>
              <w:pStyle w:val="TableParagraph"/>
              <w:spacing w:before="142"/>
              <w:ind w:left="108"/>
              <w:rPr>
                <w:b/>
                <w:sz w:val="21"/>
              </w:rPr>
            </w:pPr>
            <w:r>
              <w:rPr>
                <w:b/>
                <w:sz w:val="21"/>
              </w:rPr>
              <w:t>1.4</w:t>
            </w:r>
          </w:p>
        </w:tc>
        <w:tc>
          <w:tcPr>
            <w:tcW w:w="1884" w:type="dxa"/>
          </w:tcPr>
          <w:p>
            <w:pPr>
              <w:pStyle w:val="TableParagraph"/>
              <w:spacing w:before="142"/>
              <w:ind w:left="291"/>
              <w:rPr>
                <w:b/>
                <w:sz w:val="21"/>
              </w:rPr>
            </w:pPr>
            <w:r>
              <w:rPr>
                <w:b/>
                <w:sz w:val="21"/>
              </w:rPr>
              <w:t>犹豫期</w:t>
            </w:r>
          </w:p>
        </w:tc>
        <w:tc>
          <w:tcPr>
            <w:tcW w:w="6830" w:type="dxa"/>
          </w:tcPr>
          <w:p>
            <w:pPr>
              <w:pStyle w:val="TableParagraph"/>
              <w:spacing w:line="273" w:lineRule="auto" w:before="142"/>
              <w:ind w:left="111" w:right="103"/>
              <w:rPr>
                <w:sz w:val="21"/>
              </w:rPr>
            </w:pPr>
            <w:r>
              <w:rPr>
                <w:spacing w:val="-3"/>
                <w:sz w:val="21"/>
              </w:rPr>
              <w:t>为了使您充分了解本附加合同的保障范围，确定选择了合适的基本保险</w:t>
            </w:r>
            <w:r>
              <w:rPr>
                <w:spacing w:val="-6"/>
                <w:sz w:val="21"/>
              </w:rPr>
              <w:t>金额、交费期限和交费金额，自您签收保险合同之日起，有 </w:t>
            </w:r>
            <w:r>
              <w:rPr>
                <w:sz w:val="21"/>
              </w:rPr>
              <w:t>10</w:t>
            </w:r>
            <w:r>
              <w:rPr>
                <w:spacing w:val="-10"/>
                <w:sz w:val="21"/>
              </w:rPr>
              <w:t> 天的犹豫</w:t>
            </w:r>
            <w:r>
              <w:rPr>
                <w:spacing w:val="-5"/>
                <w:sz w:val="21"/>
              </w:rPr>
              <w:t>期。如果您在此期间提出解除本附加合同，须与主合同一并解除，同时</w:t>
            </w:r>
            <w:r>
              <w:rPr>
                <w:spacing w:val="-4"/>
                <w:sz w:val="21"/>
              </w:rPr>
              <w:t>需要填写书面申请书，并提供您的保险合同及</w:t>
            </w:r>
            <w:r>
              <w:rPr>
                <w:b/>
                <w:spacing w:val="-2"/>
                <w:sz w:val="21"/>
              </w:rPr>
              <w:t>有效身份证件</w:t>
            </w:r>
            <w:r>
              <w:rPr>
                <w:spacing w:val="-3"/>
                <w:sz w:val="21"/>
              </w:rPr>
              <w:t>（</w:t>
            </w:r>
            <w:r>
              <w:rPr>
                <w:spacing w:val="-2"/>
                <w:sz w:val="21"/>
              </w:rPr>
              <w:t>见释义</w:t>
            </w:r>
          </w:p>
          <w:p>
            <w:pPr>
              <w:pStyle w:val="TableParagraph"/>
              <w:spacing w:line="273" w:lineRule="auto" w:before="7"/>
              <w:ind w:left="111" w:right="1"/>
              <w:rPr>
                <w:sz w:val="21"/>
              </w:rPr>
            </w:pPr>
            <w:r>
              <w:rPr>
                <w:w w:val="100"/>
                <w:sz w:val="21"/>
              </w:rPr>
              <w:t>6.2</w:t>
            </w:r>
            <w:r>
              <w:rPr>
                <w:spacing w:val="-106"/>
                <w:w w:val="100"/>
                <w:sz w:val="21"/>
              </w:rPr>
              <w:t>）</w:t>
            </w:r>
            <w:r>
              <w:rPr>
                <w:spacing w:val="-4"/>
                <w:w w:val="100"/>
                <w:sz w:val="21"/>
              </w:rPr>
              <w:t>，我们会在扣除不超过人民币</w:t>
            </w:r>
            <w:r>
              <w:rPr>
                <w:spacing w:val="-53"/>
                <w:sz w:val="21"/>
              </w:rPr>
              <w:t> </w:t>
            </w:r>
            <w:r>
              <w:rPr>
                <w:spacing w:val="-3"/>
                <w:w w:val="100"/>
                <w:sz w:val="21"/>
              </w:rPr>
              <w:t>1</w:t>
            </w:r>
            <w:r>
              <w:rPr>
                <w:w w:val="100"/>
                <w:sz w:val="21"/>
              </w:rPr>
              <w:t>0</w:t>
            </w:r>
            <w:r>
              <w:rPr>
                <w:spacing w:val="-53"/>
                <w:sz w:val="21"/>
              </w:rPr>
              <w:t> </w:t>
            </w:r>
            <w:r>
              <w:rPr>
                <w:spacing w:val="-3"/>
                <w:w w:val="100"/>
                <w:sz w:val="21"/>
              </w:rPr>
              <w:t>元的保单工本费后无息退还您所交</w:t>
            </w:r>
            <w:r>
              <w:rPr>
                <w:spacing w:val="-4"/>
                <w:sz w:val="21"/>
              </w:rPr>
              <w:t>的本附加合同的保险费。自我们收到您解除本附加合同的书面申请时起， </w:t>
            </w:r>
            <w:r>
              <w:rPr>
                <w:spacing w:val="-3"/>
                <w:sz w:val="21"/>
              </w:rPr>
              <w:t>本附加合同即被解除。对本附加合同解除前发生的保险事故我们不承担 保险责任。</w:t>
            </w:r>
          </w:p>
        </w:tc>
      </w:tr>
      <w:tr>
        <w:trPr>
          <w:trHeight w:val="1559" w:hRule="atLeast"/>
        </w:trPr>
        <w:tc>
          <w:tcPr>
            <w:tcW w:w="758" w:type="dxa"/>
          </w:tcPr>
          <w:p>
            <w:pPr>
              <w:pStyle w:val="TableParagraph"/>
              <w:spacing w:before="142"/>
              <w:ind w:left="108"/>
              <w:rPr>
                <w:b/>
                <w:sz w:val="21"/>
              </w:rPr>
            </w:pPr>
            <w:r>
              <w:rPr>
                <w:b/>
                <w:sz w:val="21"/>
              </w:rPr>
              <w:t>1.5</w:t>
            </w:r>
          </w:p>
        </w:tc>
        <w:tc>
          <w:tcPr>
            <w:tcW w:w="1884" w:type="dxa"/>
          </w:tcPr>
          <w:p>
            <w:pPr>
              <w:pStyle w:val="TableParagraph"/>
              <w:spacing w:before="142"/>
              <w:ind w:left="291"/>
              <w:rPr>
                <w:b/>
                <w:sz w:val="21"/>
              </w:rPr>
            </w:pPr>
            <w:r>
              <w:rPr>
                <w:b/>
                <w:sz w:val="21"/>
              </w:rPr>
              <w:t>合同内容变更</w:t>
            </w:r>
          </w:p>
        </w:tc>
        <w:tc>
          <w:tcPr>
            <w:tcW w:w="6830" w:type="dxa"/>
          </w:tcPr>
          <w:p>
            <w:pPr>
              <w:pStyle w:val="TableParagraph"/>
              <w:spacing w:line="273" w:lineRule="auto" w:before="142"/>
              <w:ind w:left="111" w:right="199"/>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353" w:hRule="atLeast"/>
        </w:trPr>
        <w:tc>
          <w:tcPr>
            <w:tcW w:w="758" w:type="dxa"/>
          </w:tcPr>
          <w:p>
            <w:pPr>
              <w:pStyle w:val="TableParagraph"/>
              <w:spacing w:before="142"/>
              <w:ind w:left="108"/>
              <w:rPr>
                <w:b/>
                <w:sz w:val="21"/>
              </w:rPr>
            </w:pPr>
            <w:r>
              <w:rPr>
                <w:b/>
                <w:sz w:val="21"/>
              </w:rPr>
              <w:t>1.6</w:t>
            </w:r>
          </w:p>
        </w:tc>
        <w:tc>
          <w:tcPr>
            <w:tcW w:w="1884" w:type="dxa"/>
          </w:tcPr>
          <w:p>
            <w:pPr>
              <w:pStyle w:val="TableParagraph"/>
              <w:spacing w:line="273" w:lineRule="auto" w:before="142"/>
              <w:ind w:left="291" w:right="112"/>
              <w:rPr>
                <w:b/>
                <w:sz w:val="21"/>
              </w:rPr>
            </w:pPr>
            <w:r>
              <w:rPr>
                <w:b/>
                <w:sz w:val="21"/>
              </w:rPr>
              <w:t>您解除合同的手续及风险</w:t>
            </w:r>
          </w:p>
        </w:tc>
        <w:tc>
          <w:tcPr>
            <w:tcW w:w="6830" w:type="dxa"/>
          </w:tcPr>
          <w:p>
            <w:pPr>
              <w:pStyle w:val="TableParagraph"/>
              <w:spacing w:line="273" w:lineRule="auto" w:before="142"/>
              <w:ind w:left="111" w:right="199"/>
              <w:jc w:val="both"/>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，您可申请解除本附加合同。申请解除本附加合同时，主合同需一并申请解除，请填写解除合同申请书并向我们提供下列资料：</w:t>
            </w:r>
          </w:p>
          <w:p>
            <w:pPr>
              <w:pStyle w:val="TableParagraph"/>
              <w:spacing w:line="255" w:lineRule="exact" w:before="7"/>
              <w:ind w:left="111"/>
              <w:jc w:val="both"/>
              <w:rPr>
                <w:sz w:val="21"/>
              </w:rPr>
            </w:pPr>
            <w:r>
              <w:rPr>
                <w:sz w:val="21"/>
              </w:rPr>
              <w:t>（1）保险合同；</w:t>
            </w:r>
          </w:p>
        </w:tc>
      </w:tr>
    </w:tbl>
    <w:p>
      <w:pPr>
        <w:spacing w:after="0" w:line="255" w:lineRule="exact"/>
        <w:jc w:val="both"/>
        <w:rPr>
          <w:sz w:val="21"/>
        </w:rPr>
        <w:sectPr>
          <w:pgSz w:w="11910" w:h="16840"/>
          <w:pgMar w:header="0" w:footer="912" w:top="1420" w:bottom="1180" w:left="108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2"/>
      </w:tblGrid>
      <w:tr>
        <w:trPr>
          <w:trHeight w:val="1222"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2" w:type="dxa"/>
          </w:tcPr>
          <w:p>
            <w:pPr>
              <w:pStyle w:val="TableParagraph"/>
              <w:spacing w:line="202" w:lineRule="exact" w:before="0"/>
              <w:ind w:left="111"/>
              <w:rPr>
                <w:sz w:val="21"/>
              </w:rPr>
            </w:pPr>
            <w:r>
              <w:rPr>
                <w:sz w:val="21"/>
              </w:rPr>
              <w:t>（2）您的有效身份证件。</w:t>
            </w:r>
          </w:p>
          <w:p>
            <w:pPr>
              <w:pStyle w:val="TableParagraph"/>
              <w:spacing w:line="273" w:lineRule="auto" w:before="37"/>
              <w:ind w:left="111" w:right="201"/>
              <w:rPr>
                <w:sz w:val="21"/>
              </w:rPr>
            </w:pPr>
            <w:r>
              <w:rPr>
                <w:spacing w:val="-3"/>
                <w:sz w:val="21"/>
              </w:rPr>
              <w:t>自我们收到解除合同申请书时起，本附加合同终止。我们自收到解除合</w:t>
            </w: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before="7"/>
              <w:ind w:left="111"/>
              <w:rPr>
                <w:sz w:val="21"/>
              </w:rPr>
            </w:pPr>
            <w:r>
              <w:rPr>
                <w:sz w:val="21"/>
              </w:rPr>
              <w:t>您在犹豫期后解除合同会遭受一定损失。</w:t>
            </w:r>
          </w:p>
        </w:tc>
      </w:tr>
      <w:tr>
        <w:trPr>
          <w:trHeight w:val="597" w:hRule="atLeast"/>
        </w:trPr>
        <w:tc>
          <w:tcPr>
            <w:tcW w:w="758" w:type="dxa"/>
            <w:tcBorders>
              <w:bottom w:val="single" w:sz="4" w:space="0" w:color="000000"/>
            </w:tcBorders>
          </w:tcPr>
          <w:p>
            <w:pPr>
              <w:pStyle w:val="TableParagraph"/>
              <w:spacing w:before="29"/>
              <w:ind w:left="108"/>
              <w:rPr>
                <w:rFonts w:ascii="Arial" w:hAnsi="Arial"/>
                <w:b/>
                <w:sz w:val="40"/>
              </w:rPr>
            </w:pPr>
            <w:r>
              <w:rPr>
                <w:rFonts w:ascii="Arial" w:hAnsi="Arial"/>
                <w:b/>
                <w:w w:val="119"/>
                <w:sz w:val="40"/>
              </w:rPr>
              <w:t></w:t>
            </w:r>
          </w:p>
        </w:tc>
        <w:tc>
          <w:tcPr>
            <w:tcW w:w="8716" w:type="dxa"/>
            <w:gridSpan w:val="2"/>
            <w:tcBorders>
              <w:bottom w:val="single" w:sz="4" w:space="0" w:color="000000"/>
            </w:tcBorders>
          </w:tcPr>
          <w:p>
            <w:pPr>
              <w:pStyle w:val="TableParagraph"/>
              <w:spacing w:before="81"/>
              <w:ind w:left="291"/>
              <w:rPr>
                <w:b/>
                <w:sz w:val="24"/>
              </w:rPr>
            </w:pPr>
            <w:r>
              <w:rPr>
                <w:b/>
                <w:w w:val="95"/>
                <w:sz w:val="24"/>
              </w:rPr>
              <w:t>我们提供的保障</w:t>
            </w:r>
          </w:p>
        </w:tc>
      </w:tr>
      <w:tr>
        <w:trPr>
          <w:trHeight w:val="1073" w:hRule="atLeast"/>
        </w:trPr>
        <w:tc>
          <w:tcPr>
            <w:tcW w:w="758" w:type="dxa"/>
            <w:tcBorders>
              <w:top w:val="single" w:sz="4" w:space="0" w:color="000000"/>
            </w:tcBorders>
          </w:tcPr>
          <w:p>
            <w:pPr>
              <w:pStyle w:val="TableParagraph"/>
              <w:spacing w:before="9"/>
              <w:ind w:left="0"/>
              <w:rPr>
                <w:sz w:val="20"/>
              </w:rPr>
            </w:pPr>
          </w:p>
          <w:p>
            <w:pPr>
              <w:pStyle w:val="TableParagraph"/>
              <w:spacing w:before="0"/>
              <w:ind w:left="108"/>
              <w:rPr>
                <w:b/>
                <w:sz w:val="21"/>
              </w:rPr>
            </w:pPr>
            <w:r>
              <w:rPr>
                <w:b/>
                <w:sz w:val="21"/>
              </w:rPr>
              <w:t>2.1</w:t>
            </w:r>
          </w:p>
        </w:tc>
        <w:tc>
          <w:tcPr>
            <w:tcW w:w="1884" w:type="dxa"/>
            <w:tcBorders>
              <w:top w:val="single" w:sz="4" w:space="0" w:color="000000"/>
            </w:tcBorders>
          </w:tcPr>
          <w:p>
            <w:pPr>
              <w:pStyle w:val="TableParagraph"/>
              <w:spacing w:before="9"/>
              <w:ind w:left="0"/>
              <w:rPr>
                <w:sz w:val="20"/>
              </w:rPr>
            </w:pPr>
          </w:p>
          <w:p>
            <w:pPr>
              <w:pStyle w:val="TableParagraph"/>
              <w:spacing w:before="0"/>
              <w:ind w:left="291"/>
              <w:rPr>
                <w:b/>
                <w:sz w:val="21"/>
              </w:rPr>
            </w:pPr>
            <w:r>
              <w:rPr>
                <w:b/>
                <w:sz w:val="21"/>
              </w:rPr>
              <w:t>基本保险金额</w:t>
            </w:r>
          </w:p>
        </w:tc>
        <w:tc>
          <w:tcPr>
            <w:tcW w:w="6832" w:type="dxa"/>
            <w:tcBorders>
              <w:top w:val="single" w:sz="4" w:space="0" w:color="000000"/>
            </w:tcBorders>
          </w:tcPr>
          <w:p>
            <w:pPr>
              <w:pStyle w:val="TableParagraph"/>
              <w:spacing w:before="9"/>
              <w:ind w:left="0"/>
              <w:rPr>
                <w:sz w:val="20"/>
              </w:rPr>
            </w:pPr>
          </w:p>
          <w:p>
            <w:pPr>
              <w:pStyle w:val="TableParagraph"/>
              <w:spacing w:line="273" w:lineRule="auto" w:before="0"/>
              <w:ind w:left="111" w:right="412"/>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758" w:type="dxa"/>
          </w:tcPr>
          <w:p>
            <w:pPr>
              <w:pStyle w:val="TableParagraph"/>
              <w:ind w:left="108"/>
              <w:rPr>
                <w:b/>
                <w:sz w:val="21"/>
              </w:rPr>
            </w:pPr>
            <w:r>
              <w:rPr>
                <w:b/>
                <w:sz w:val="21"/>
              </w:rPr>
              <w:t>2.2</w:t>
            </w:r>
          </w:p>
        </w:tc>
        <w:tc>
          <w:tcPr>
            <w:tcW w:w="1884" w:type="dxa"/>
          </w:tcPr>
          <w:p>
            <w:pPr>
              <w:pStyle w:val="TableParagraph"/>
              <w:ind w:left="291"/>
              <w:rPr>
                <w:b/>
                <w:sz w:val="21"/>
              </w:rPr>
            </w:pPr>
            <w:r>
              <w:rPr>
                <w:b/>
                <w:sz w:val="21"/>
              </w:rPr>
              <w:t>保险期间</w:t>
            </w:r>
          </w:p>
        </w:tc>
        <w:tc>
          <w:tcPr>
            <w:tcW w:w="6832" w:type="dxa"/>
          </w:tcPr>
          <w:p>
            <w:pPr>
              <w:pStyle w:val="TableParagraph"/>
              <w:ind w:left="111"/>
              <w:rPr>
                <w:sz w:val="21"/>
              </w:rPr>
            </w:pPr>
            <w:r>
              <w:rPr>
                <w:sz w:val="21"/>
              </w:rPr>
              <w:t>本附加合同的保险期间与主合同的保险期间相同，并在保险单上载明。</w:t>
            </w:r>
          </w:p>
        </w:tc>
      </w:tr>
      <w:tr>
        <w:trPr>
          <w:trHeight w:val="624" w:hRule="atLeast"/>
        </w:trPr>
        <w:tc>
          <w:tcPr>
            <w:tcW w:w="758" w:type="dxa"/>
          </w:tcPr>
          <w:p>
            <w:pPr>
              <w:pStyle w:val="TableParagraph"/>
              <w:ind w:left="108"/>
              <w:rPr>
                <w:b/>
                <w:sz w:val="21"/>
              </w:rPr>
            </w:pPr>
            <w:r>
              <w:rPr>
                <w:b/>
                <w:sz w:val="21"/>
              </w:rPr>
              <w:t>2.3</w:t>
            </w:r>
          </w:p>
        </w:tc>
        <w:tc>
          <w:tcPr>
            <w:tcW w:w="1884" w:type="dxa"/>
          </w:tcPr>
          <w:p>
            <w:pPr>
              <w:pStyle w:val="TableParagraph"/>
              <w:ind w:left="291"/>
              <w:rPr>
                <w:b/>
                <w:sz w:val="21"/>
              </w:rPr>
            </w:pPr>
            <w:r>
              <w:rPr>
                <w:b/>
                <w:sz w:val="21"/>
              </w:rPr>
              <w:t>保险责任</w:t>
            </w:r>
          </w:p>
        </w:tc>
        <w:tc>
          <w:tcPr>
            <w:tcW w:w="6832" w:type="dxa"/>
          </w:tcPr>
          <w:p>
            <w:pPr>
              <w:pStyle w:val="TableParagraph"/>
              <w:ind w:left="111"/>
              <w:rPr>
                <w:sz w:val="21"/>
              </w:rPr>
            </w:pPr>
            <w:r>
              <w:rPr>
                <w:sz w:val="21"/>
              </w:rPr>
              <w:t>在本附加合同保险期间内，我们承担如下保险责任：</w:t>
            </w:r>
          </w:p>
        </w:tc>
      </w:tr>
      <w:tr>
        <w:trPr>
          <w:trHeight w:val="2184" w:hRule="atLeast"/>
        </w:trPr>
        <w:tc>
          <w:tcPr>
            <w:tcW w:w="758" w:type="dxa"/>
          </w:tcPr>
          <w:p>
            <w:pPr>
              <w:pStyle w:val="TableParagraph"/>
              <w:spacing w:before="0"/>
              <w:ind w:left="0"/>
              <w:rPr>
                <w:rFonts w:ascii="Times New Roman"/>
                <w:sz w:val="20"/>
              </w:rPr>
            </w:pPr>
          </w:p>
        </w:tc>
        <w:tc>
          <w:tcPr>
            <w:tcW w:w="1884" w:type="dxa"/>
          </w:tcPr>
          <w:p>
            <w:pPr>
              <w:pStyle w:val="TableParagraph"/>
              <w:ind w:left="291"/>
              <w:rPr>
                <w:rFonts w:ascii="黑体" w:eastAsia="黑体" w:hint="eastAsia"/>
                <w:b/>
                <w:sz w:val="21"/>
              </w:rPr>
            </w:pPr>
            <w:r>
              <w:rPr>
                <w:rFonts w:ascii="黑体" w:eastAsia="黑体" w:hint="eastAsia"/>
                <w:b/>
                <w:sz w:val="21"/>
              </w:rPr>
              <w:t>等待期</w:t>
            </w:r>
          </w:p>
        </w:tc>
        <w:tc>
          <w:tcPr>
            <w:tcW w:w="6832" w:type="dxa"/>
          </w:tcPr>
          <w:p>
            <w:pPr>
              <w:pStyle w:val="TableParagraph"/>
              <w:spacing w:line="273" w:lineRule="auto"/>
              <w:ind w:left="111" w:right="105"/>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4"/>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w:t>
            </w:r>
            <w:r>
              <w:rPr>
                <w:rFonts w:ascii="黑体" w:eastAsia="黑体" w:hint="eastAsia"/>
                <w:spacing w:val="-3"/>
                <w:sz w:val="21"/>
              </w:rPr>
              <w:t>附加合同所定义的</w:t>
            </w:r>
            <w:r>
              <w:rPr>
                <w:rFonts w:ascii="黑体" w:eastAsia="黑体" w:hint="eastAsia"/>
                <w:b/>
                <w:spacing w:val="-4"/>
                <w:sz w:val="21"/>
              </w:rPr>
              <w:t>少儿重大疾病</w:t>
            </w:r>
            <w:r>
              <w:rPr>
                <w:rFonts w:ascii="黑体" w:eastAsia="黑体" w:hint="eastAsia"/>
                <w:sz w:val="21"/>
              </w:rPr>
              <w:t>（</w:t>
            </w:r>
            <w:r>
              <w:rPr>
                <w:rFonts w:ascii="黑体" w:eastAsia="黑体" w:hint="eastAsia"/>
                <w:spacing w:val="-8"/>
                <w:sz w:val="21"/>
              </w:rPr>
              <w:t>见释义 6.4）</w:t>
            </w:r>
            <w:r>
              <w:rPr>
                <w:rFonts w:ascii="黑体" w:eastAsia="黑体" w:hint="eastAsia"/>
                <w:sz w:val="21"/>
              </w:rPr>
              <w:t>或</w:t>
            </w:r>
            <w:r>
              <w:rPr>
                <w:rFonts w:ascii="黑体" w:eastAsia="黑体" w:hint="eastAsia"/>
                <w:b/>
                <w:spacing w:val="-4"/>
                <w:sz w:val="21"/>
              </w:rPr>
              <w:t>成人重大疾病</w:t>
            </w:r>
            <w:r>
              <w:rPr>
                <w:rFonts w:ascii="黑体" w:eastAsia="黑体" w:hint="eastAsia"/>
                <w:sz w:val="21"/>
              </w:rPr>
              <w:t>（</w:t>
            </w:r>
            <w:r>
              <w:rPr>
                <w:rFonts w:ascii="黑体" w:eastAsia="黑体" w:hint="eastAsia"/>
                <w:spacing w:val="-2"/>
                <w:sz w:val="21"/>
              </w:rPr>
              <w:t>见释义</w:t>
            </w:r>
          </w:p>
          <w:p>
            <w:pPr>
              <w:pStyle w:val="TableParagraph"/>
              <w:spacing w:line="273" w:lineRule="auto" w:before="8"/>
              <w:ind w:left="111" w:right="1"/>
              <w:rPr>
                <w:rFonts w:ascii="黑体" w:eastAsia="黑体" w:hint="eastAsia"/>
                <w:sz w:val="21"/>
              </w:rPr>
            </w:pPr>
            <w:r>
              <w:rPr>
                <w:rFonts w:ascii="黑体" w:eastAsia="黑体" w:hint="eastAsia"/>
                <w:spacing w:val="-16"/>
                <w:sz w:val="21"/>
              </w:rPr>
              <w:t>6.5），</w:t>
            </w:r>
            <w:r>
              <w:rPr>
                <w:rFonts w:ascii="黑体" w:eastAsia="黑体" w:hint="eastAsia"/>
                <w:spacing w:val="-5"/>
                <w:sz w:val="21"/>
              </w:rPr>
              <w:t>我们将无息返还您所交的本附加合同的保险费，本附加合同终止。</w:t>
            </w:r>
            <w:r>
              <w:rPr>
                <w:rFonts w:ascii="黑体" w:eastAsia="黑体" w:hint="eastAsia"/>
                <w:spacing w:val="-26"/>
                <w:sz w:val="21"/>
              </w:rPr>
              <w:t>这 </w:t>
            </w:r>
            <w:r>
              <w:rPr>
                <w:rFonts w:ascii="黑体" w:eastAsia="黑体" w:hint="eastAsia"/>
                <w:sz w:val="21"/>
              </w:rPr>
              <w:t>180</w:t>
            </w:r>
            <w:r>
              <w:rPr>
                <w:rFonts w:ascii="黑体" w:eastAsia="黑体" w:hint="eastAsia"/>
                <w:spacing w:val="-10"/>
                <w:sz w:val="21"/>
              </w:rPr>
              <w:t> 天的时间称为等待期。被保险人因</w:t>
            </w:r>
            <w:r>
              <w:rPr>
                <w:rFonts w:ascii="黑体" w:eastAsia="黑体" w:hint="eastAsia"/>
                <w:b/>
                <w:spacing w:val="-6"/>
                <w:sz w:val="21"/>
              </w:rPr>
              <w:t>意外伤害</w:t>
            </w:r>
            <w:r>
              <w:rPr>
                <w:rFonts w:ascii="黑体" w:eastAsia="黑体" w:hint="eastAsia"/>
                <w:sz w:val="21"/>
              </w:rPr>
              <w:t>（</w:t>
            </w:r>
            <w:r>
              <w:rPr>
                <w:rFonts w:ascii="黑体" w:eastAsia="黑体" w:hint="eastAsia"/>
                <w:spacing w:val="-14"/>
                <w:sz w:val="21"/>
              </w:rPr>
              <w:t>见释义 </w:t>
            </w:r>
            <w:r>
              <w:rPr>
                <w:rFonts w:ascii="黑体" w:eastAsia="黑体" w:hint="eastAsia"/>
                <w:spacing w:val="-7"/>
                <w:sz w:val="21"/>
              </w:rPr>
              <w:t>6.6）</w:t>
            </w:r>
            <w:r>
              <w:rPr>
                <w:rFonts w:ascii="黑体" w:eastAsia="黑体" w:hint="eastAsia"/>
                <w:spacing w:val="-2"/>
                <w:sz w:val="21"/>
              </w:rPr>
              <w:t>导致本</w:t>
            </w:r>
            <w:r>
              <w:rPr>
                <w:rFonts w:ascii="黑体" w:eastAsia="黑体" w:hint="eastAsia"/>
                <w:spacing w:val="-3"/>
                <w:sz w:val="21"/>
              </w:rPr>
              <w:t>附加合同定义的重大疾病，无等待期。</w:t>
            </w:r>
          </w:p>
          <w:p>
            <w:pPr>
              <w:pStyle w:val="TableParagraph"/>
              <w:spacing w:before="8"/>
              <w:ind w:left="111"/>
              <w:rPr>
                <w:rFonts w:ascii="黑体" w:eastAsia="黑体" w:hint="eastAsia"/>
                <w:b/>
                <w:sz w:val="21"/>
              </w:rPr>
            </w:pPr>
            <w:r>
              <w:rPr>
                <w:rFonts w:ascii="黑体" w:eastAsia="黑体" w:hint="eastAsia"/>
                <w:b/>
                <w:sz w:val="21"/>
              </w:rPr>
              <w:t>等待期后发Th保险事故，我们按照下列方式给付保险金：</w:t>
            </w:r>
          </w:p>
        </w:tc>
      </w:tr>
      <w:tr>
        <w:trPr>
          <w:trHeight w:val="1560"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ind w:left="291" w:right="112"/>
              <w:rPr>
                <w:rFonts w:ascii="黑体" w:eastAsia="黑体" w:hint="eastAsia"/>
                <w:b/>
                <w:sz w:val="21"/>
              </w:rPr>
            </w:pPr>
            <w:r>
              <w:rPr>
                <w:rFonts w:ascii="黑体" w:eastAsia="黑体" w:hint="eastAsia"/>
                <w:b/>
                <w:sz w:val="21"/>
              </w:rPr>
              <w:t>少儿重大疾病保险金</w:t>
            </w:r>
          </w:p>
        </w:tc>
        <w:tc>
          <w:tcPr>
            <w:tcW w:w="6832" w:type="dxa"/>
          </w:tcPr>
          <w:p>
            <w:pPr>
              <w:pStyle w:val="TableParagraph"/>
              <w:spacing w:line="273" w:lineRule="auto"/>
              <w:ind w:left="111" w:right="105"/>
              <w:jc w:val="both"/>
              <w:rPr>
                <w:sz w:val="21"/>
              </w:rPr>
            </w:pPr>
            <w:r>
              <w:rPr>
                <w:spacing w:val="-8"/>
                <w:sz w:val="21"/>
              </w:rPr>
              <w:t>被保险人在年满 </w:t>
            </w:r>
            <w:r>
              <w:rPr>
                <w:sz w:val="21"/>
              </w:rPr>
              <w:t>18</w:t>
            </w:r>
            <w:r>
              <w:rPr>
                <w:spacing w:val="-8"/>
                <w:sz w:val="21"/>
              </w:rPr>
              <w:t> 周岁的保单周年日之前</w:t>
            </w:r>
            <w:r>
              <w:rPr>
                <w:sz w:val="21"/>
              </w:rPr>
              <w:t>（</w:t>
            </w:r>
            <w:r>
              <w:rPr>
                <w:spacing w:val="-2"/>
                <w:sz w:val="21"/>
              </w:rPr>
              <w:t>不含</w:t>
            </w:r>
            <w:r>
              <w:rPr>
                <w:spacing w:val="-8"/>
                <w:sz w:val="21"/>
              </w:rPr>
              <w:t>）</w:t>
            </w:r>
            <w:r>
              <w:rPr>
                <w:spacing w:val="-2"/>
                <w:sz w:val="21"/>
              </w:rPr>
              <w:t>初次发生且经</w:t>
            </w:r>
            <w:r>
              <w:rPr>
                <w:b/>
                <w:sz w:val="21"/>
              </w:rPr>
              <w:t>专科医</w:t>
            </w:r>
            <w:r>
              <w:rPr>
                <w:b/>
                <w:spacing w:val="-20"/>
                <w:sz w:val="21"/>
              </w:rPr>
              <w:t>生</w:t>
            </w:r>
            <w:r>
              <w:rPr>
                <w:spacing w:val="-3"/>
                <w:sz w:val="21"/>
              </w:rPr>
              <w:t>（</w:t>
            </w:r>
            <w:r>
              <w:rPr>
                <w:spacing w:val="-7"/>
                <w:sz w:val="21"/>
              </w:rPr>
              <w:t>见释义 6.7）</w:t>
            </w:r>
            <w:r>
              <w:rPr>
                <w:spacing w:val="-4"/>
                <w:sz w:val="21"/>
              </w:rPr>
              <w:t>明确诊断确诊患本附加合同所定义的少儿重大疾病，并</w:t>
            </w:r>
            <w:r>
              <w:rPr>
                <w:spacing w:val="-8"/>
                <w:sz w:val="21"/>
              </w:rPr>
              <w:t>且自确诊之日起 </w:t>
            </w:r>
            <w:r>
              <w:rPr>
                <w:sz w:val="21"/>
              </w:rPr>
              <w:t>30</w:t>
            </w:r>
            <w:r>
              <w:rPr>
                <w:spacing w:val="-9"/>
                <w:sz w:val="21"/>
              </w:rPr>
              <w:t> 天后仍生存的，我们将按本附加合同的基本保险金额</w:t>
            </w:r>
            <w:r>
              <w:rPr>
                <w:spacing w:val="-5"/>
                <w:sz w:val="21"/>
              </w:rPr>
              <w:t>给付少儿重大疾病保险金，本附加合同终止。</w:t>
            </w:r>
          </w:p>
        </w:tc>
      </w:tr>
      <w:tr>
        <w:trPr>
          <w:trHeight w:val="2496"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ind w:left="291" w:right="112"/>
              <w:rPr>
                <w:rFonts w:ascii="黑体" w:eastAsia="黑体" w:hint="eastAsia"/>
                <w:b/>
                <w:sz w:val="21"/>
              </w:rPr>
            </w:pPr>
            <w:r>
              <w:rPr>
                <w:rFonts w:ascii="黑体" w:eastAsia="黑体" w:hint="eastAsia"/>
                <w:b/>
                <w:sz w:val="21"/>
              </w:rPr>
              <w:t>成人重大疾病保险金</w:t>
            </w:r>
          </w:p>
        </w:tc>
        <w:tc>
          <w:tcPr>
            <w:tcW w:w="6832" w:type="dxa"/>
          </w:tcPr>
          <w:p>
            <w:pPr>
              <w:pStyle w:val="TableParagraph"/>
              <w:spacing w:line="273" w:lineRule="auto"/>
              <w:ind w:left="111" w:right="105"/>
              <w:rPr>
                <w:sz w:val="21"/>
              </w:rPr>
            </w:pPr>
            <w:r>
              <w:rPr>
                <w:spacing w:val="-8"/>
                <w:sz w:val="21"/>
              </w:rPr>
              <w:t>被保险人在年满 </w:t>
            </w:r>
            <w:r>
              <w:rPr>
                <w:sz w:val="21"/>
              </w:rPr>
              <w:t>18</w:t>
            </w:r>
            <w:r>
              <w:rPr>
                <w:spacing w:val="-8"/>
                <w:sz w:val="21"/>
              </w:rPr>
              <w:t> 周岁的保单周年日之后</w:t>
            </w:r>
            <w:r>
              <w:rPr>
                <w:spacing w:val="-3"/>
                <w:sz w:val="21"/>
              </w:rPr>
              <w:t>（含）初次发生且经专科医生明确诊断确诊患本附加合同所定义的成人重大疾病，并且自确诊之日起</w:t>
            </w:r>
          </w:p>
          <w:p>
            <w:pPr>
              <w:pStyle w:val="TableParagraph"/>
              <w:spacing w:line="273" w:lineRule="auto" w:before="8"/>
              <w:ind w:left="111" w:right="150"/>
              <w:rPr>
                <w:sz w:val="21"/>
              </w:rPr>
            </w:pPr>
            <w:r>
              <w:rPr>
                <w:sz w:val="21"/>
              </w:rPr>
              <w:t>30</w:t>
            </w:r>
            <w:r>
              <w:rPr>
                <w:spacing w:val="-7"/>
                <w:sz w:val="21"/>
              </w:rPr>
              <w:t> 天后仍生存的，我们将按本附加合同的基本保险金额给付成人重大疾</w:t>
            </w:r>
            <w:r>
              <w:rPr>
                <w:spacing w:val="-5"/>
                <w:sz w:val="21"/>
              </w:rPr>
              <w:t>病保险金，本附加合同终止。</w:t>
            </w:r>
          </w:p>
          <w:p>
            <w:pPr>
              <w:pStyle w:val="TableParagraph"/>
              <w:spacing w:before="5"/>
              <w:ind w:left="0"/>
              <w:rPr>
                <w:sz w:val="24"/>
              </w:rPr>
            </w:pPr>
          </w:p>
          <w:p>
            <w:pPr>
              <w:pStyle w:val="TableParagraph"/>
              <w:spacing w:line="273" w:lineRule="auto" w:before="1"/>
              <w:ind w:left="111" w:right="201"/>
              <w:rPr>
                <w:sz w:val="21"/>
              </w:rPr>
            </w:pPr>
            <w:r>
              <w:rPr>
                <w:sz w:val="21"/>
              </w:rPr>
              <w:t>本附加合同少儿重大疾病保险金或成人重大疾病保险金的给付以一次为限。我们给付任何一项重大疾病保险金后，本附加合同终止。</w:t>
            </w:r>
          </w:p>
        </w:tc>
      </w:tr>
      <w:tr>
        <w:trPr>
          <w:trHeight w:val="3381" w:hRule="atLeast"/>
        </w:trPr>
        <w:tc>
          <w:tcPr>
            <w:tcW w:w="758" w:type="dxa"/>
          </w:tcPr>
          <w:p>
            <w:pPr>
              <w:pStyle w:val="TableParagraph"/>
              <w:ind w:left="108"/>
              <w:rPr>
                <w:b/>
                <w:sz w:val="21"/>
              </w:rPr>
            </w:pPr>
            <w:r>
              <w:rPr>
                <w:b/>
                <w:sz w:val="21"/>
              </w:rPr>
              <w:t>2.4</w:t>
            </w:r>
          </w:p>
        </w:tc>
        <w:tc>
          <w:tcPr>
            <w:tcW w:w="1884" w:type="dxa"/>
          </w:tcPr>
          <w:p>
            <w:pPr>
              <w:pStyle w:val="TableParagraph"/>
              <w:ind w:left="291"/>
              <w:rPr>
                <w:rFonts w:ascii="黑体" w:eastAsia="黑体" w:hint="eastAsia"/>
                <w:b/>
                <w:sz w:val="21"/>
              </w:rPr>
            </w:pPr>
            <w:r>
              <w:rPr>
                <w:rFonts w:ascii="黑体" w:eastAsia="黑体" w:hint="eastAsia"/>
                <w:b/>
                <w:sz w:val="21"/>
              </w:rPr>
              <w:t>保险责任的免除</w:t>
            </w:r>
          </w:p>
        </w:tc>
        <w:tc>
          <w:tcPr>
            <w:tcW w:w="6832" w:type="dxa"/>
          </w:tcPr>
          <w:p>
            <w:pPr>
              <w:pStyle w:val="TableParagraph"/>
              <w:ind w:left="11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5"/>
              </w:numPr>
              <w:tabs>
                <w:tab w:pos="832" w:val="left" w:leader="none"/>
              </w:tabs>
              <w:spacing w:line="273" w:lineRule="auto" w:before="0" w:after="0"/>
              <w:ind w:left="831" w:right="105" w:hanging="720"/>
              <w:jc w:val="left"/>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8"/>
                <w:sz w:val="21"/>
              </w:rPr>
              <w:t> 年内自杀， </w:t>
            </w:r>
            <w:r>
              <w:rPr>
                <w:rFonts w:ascii="黑体" w:eastAsia="黑体" w:hint="eastAsia"/>
                <w:spacing w:val="-5"/>
                <w:sz w:val="21"/>
              </w:rPr>
              <w:t>但被保险人自杀时为无民事行为能力人的除外；</w:t>
            </w:r>
          </w:p>
          <w:p>
            <w:pPr>
              <w:pStyle w:val="TableParagraph"/>
              <w:numPr>
                <w:ilvl w:val="0"/>
                <w:numId w:val="5"/>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2" w:val="left" w:leader="none"/>
              </w:tabs>
              <w:spacing w:line="273" w:lineRule="auto" w:before="37" w:after="0"/>
              <w:ind w:left="831" w:right="105" w:hanging="720"/>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numPr>
                <w:ilvl w:val="0"/>
                <w:numId w:val="5"/>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5"/>
              </w:numPr>
              <w:tabs>
                <w:tab w:pos="832" w:val="left" w:leader="none"/>
              </w:tabs>
              <w:spacing w:line="310" w:lineRule="atLeast" w:before="1" w:after="0"/>
              <w:ind w:left="831" w:right="107"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w w:val="100"/>
                <w:sz w:val="21"/>
              </w:rPr>
              <w:t>（</w:t>
            </w:r>
            <w:r>
              <w:rPr>
                <w:rFonts w:ascii="黑体" w:eastAsia="黑体" w:hint="eastAsia"/>
                <w:spacing w:val="-2"/>
                <w:w w:val="100"/>
                <w:sz w:val="21"/>
              </w:rPr>
              <w:t>见释</w:t>
            </w:r>
            <w:r>
              <w:rPr>
                <w:rFonts w:ascii="黑体" w:eastAsia="黑体" w:hint="eastAsia"/>
                <w:spacing w:val="-24"/>
                <w:sz w:val="21"/>
              </w:rPr>
              <w:t>义 </w:t>
            </w:r>
            <w:r>
              <w:rPr>
                <w:rFonts w:ascii="黑体" w:eastAsia="黑体" w:hint="eastAsia"/>
                <w:sz w:val="21"/>
              </w:rPr>
              <w:t>6.10）</w:t>
            </w:r>
            <w:r>
              <w:rPr>
                <w:rFonts w:ascii="黑体" w:eastAsia="黑体" w:hint="eastAsia"/>
                <w:spacing w:val="-2"/>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6.11）</w:t>
            </w:r>
            <w:r>
              <w:rPr>
                <w:rFonts w:ascii="黑体" w:eastAsia="黑体" w:hint="eastAsia"/>
                <w:spacing w:val="-2"/>
                <w:sz w:val="21"/>
              </w:rPr>
              <w:t>的机动车；</w:t>
            </w:r>
          </w:p>
        </w:tc>
      </w:tr>
    </w:tbl>
    <w:p>
      <w:pPr>
        <w:spacing w:after="0" w:line="310" w:lineRule="atLeast"/>
        <w:jc w:val="left"/>
        <w:rPr>
          <w:rFonts w:ascii="黑体" w:eastAsia="黑体" w:hint="eastAsia"/>
          <w:sz w:val="21"/>
        </w:rPr>
        <w:sectPr>
          <w:pgSz w:w="11910" w:h="16840"/>
          <w:pgMar w:header="0" w:footer="912" w:top="1460" w:bottom="110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2"/>
      </w:tblGrid>
      <w:tr>
        <w:trPr>
          <w:trHeight w:val="4474"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2" w:type="dxa"/>
          </w:tcPr>
          <w:p>
            <w:pPr>
              <w:pStyle w:val="TableParagraph"/>
              <w:numPr>
                <w:ilvl w:val="0"/>
                <w:numId w:val="6"/>
              </w:numPr>
              <w:tabs>
                <w:tab w:pos="832" w:val="left" w:leader="none"/>
              </w:tabs>
              <w:spacing w:line="202" w:lineRule="exact" w:before="0" w:after="0"/>
              <w:ind w:left="83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w w:val="100"/>
                <w:sz w:val="21"/>
              </w:rPr>
              <w:t>（</w:t>
            </w:r>
            <w:r>
              <w:rPr>
                <w:rFonts w:ascii="黑体" w:eastAsia="黑体" w:hint="eastAsia"/>
                <w:spacing w:val="-2"/>
                <w:w w:val="100"/>
                <w:sz w:val="21"/>
              </w:rPr>
              <w:t>见释义</w:t>
            </w:r>
          </w:p>
          <w:p>
            <w:pPr>
              <w:pStyle w:val="TableParagraph"/>
              <w:spacing w:line="273" w:lineRule="auto" w:before="36"/>
              <w:ind w:left="831" w:right="59"/>
              <w:jc w:val="both"/>
              <w:rPr>
                <w:rFonts w:ascii="黑体" w:eastAsia="黑体" w:hint="eastAsia"/>
                <w:sz w:val="21"/>
              </w:rPr>
            </w:pPr>
            <w:r>
              <w:rPr>
                <w:rFonts w:ascii="黑体" w:eastAsia="黑体" w:hint="eastAsia"/>
                <w:w w:val="100"/>
                <w:sz w:val="21"/>
              </w:rPr>
              <w:t>6.13</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1"/>
                <w:w w:val="100"/>
                <w:sz w:val="21"/>
              </w:rPr>
              <w:t>摔跤、</w:t>
            </w:r>
            <w:r>
              <w:rPr>
                <w:rFonts w:ascii="黑体" w:eastAsia="黑体" w:hint="eastAsia"/>
                <w:b/>
                <w:w w:val="100"/>
                <w:sz w:val="21"/>
              </w:rPr>
              <w:t>武术比赛</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、特技表演、赛马、赛车等高风</w:t>
            </w:r>
            <w:r>
              <w:rPr>
                <w:rFonts w:ascii="黑体" w:eastAsia="黑体" w:hint="eastAsia"/>
                <w:spacing w:val="-3"/>
                <w:sz w:val="21"/>
              </w:rPr>
              <w:t>险运动；</w:t>
            </w:r>
          </w:p>
          <w:p>
            <w:pPr>
              <w:pStyle w:val="TableParagraph"/>
              <w:spacing w:line="273" w:lineRule="auto" w:before="7"/>
              <w:ind w:left="831" w:right="111" w:hanging="720"/>
              <w:rPr>
                <w:rFonts w:ascii="黑体" w:eastAsia="黑体" w:hint="eastAsia"/>
                <w:sz w:val="21"/>
              </w:rPr>
            </w:pPr>
            <w:r>
              <w:rPr>
                <w:rFonts w:ascii="黑体" w:eastAsia="黑体" w:hint="eastAsia"/>
                <w:w w:val="100"/>
                <w:sz w:val="21"/>
              </w:rPr>
              <w:t>（10）</w:t>
            </w:r>
            <w:r>
              <w:rPr>
                <w:rFonts w:ascii="黑体" w:eastAsia="黑体" w:hint="eastAsia"/>
                <w:spacing w:val="-19"/>
                <w:sz w:val="21"/>
              </w:rPr>
              <w:t> </w:t>
            </w:r>
            <w:r>
              <w:rPr>
                <w:rFonts w:ascii="黑体" w:eastAsia="黑体" w:hint="eastAsia"/>
                <w:b/>
                <w:spacing w:val="-9"/>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8"/>
                <w:w w:val="100"/>
                <w:sz w:val="21"/>
              </w:rPr>
              <w:t>）</w:t>
            </w:r>
            <w:r>
              <w:rPr>
                <w:rFonts w:ascii="黑体" w:eastAsia="黑体" w:hint="eastAsia"/>
                <w:spacing w:val="-44"/>
                <w:w w:val="100"/>
                <w:sz w:val="21"/>
              </w:rPr>
              <w:t>，</w:t>
            </w:r>
            <w:r>
              <w:rPr>
                <w:rFonts w:ascii="黑体" w:eastAsia="黑体" w:hint="eastAsia"/>
                <w:b/>
                <w:spacing w:val="-9"/>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7</w:t>
            </w:r>
            <w:r>
              <w:rPr>
                <w:rFonts w:ascii="黑体" w:eastAsia="黑体" w:hint="eastAsia"/>
                <w:spacing w:val="-108"/>
                <w:w w:val="100"/>
                <w:sz w:val="21"/>
              </w:rPr>
              <w:t>）。</w:t>
            </w:r>
          </w:p>
          <w:p>
            <w:pPr>
              <w:pStyle w:val="TableParagraph"/>
              <w:spacing w:line="273" w:lineRule="auto" w:before="7"/>
              <w:ind w:left="111" w:right="1"/>
              <w:rPr>
                <w:sz w:val="21"/>
              </w:rPr>
            </w:pPr>
            <w:r>
              <w:rPr>
                <w:spacing w:val="-2"/>
                <w:sz w:val="21"/>
              </w:rPr>
              <w:t>发生上述第</w:t>
            </w:r>
            <w:r>
              <w:rPr>
                <w:spacing w:val="-3"/>
                <w:sz w:val="21"/>
              </w:rPr>
              <w:t>（2）项情形导致被保险人发生本附加合同所定义的少儿重大</w:t>
            </w:r>
            <w:r>
              <w:rPr>
                <w:spacing w:val="-7"/>
                <w:sz w:val="21"/>
              </w:rPr>
              <w:t>疾病或成人重大疾病的，本附加合同终止，您已交足 </w:t>
            </w:r>
            <w:r>
              <w:rPr>
                <w:sz w:val="21"/>
              </w:rPr>
              <w:t>2</w:t>
            </w:r>
            <w:r>
              <w:rPr>
                <w:spacing w:val="-8"/>
                <w:sz w:val="21"/>
              </w:rPr>
              <w:t> 年以上保险费的， </w:t>
            </w:r>
            <w:r>
              <w:rPr>
                <w:spacing w:val="-5"/>
                <w:sz w:val="21"/>
              </w:rPr>
              <w:t>我们向其他权利人退还保险单的现金价值。</w:t>
            </w:r>
          </w:p>
          <w:p>
            <w:pPr>
              <w:pStyle w:val="TableParagraph"/>
              <w:spacing w:line="273" w:lineRule="auto" w:before="7"/>
              <w:ind w:left="111" w:right="105"/>
              <w:jc w:val="both"/>
              <w:rPr>
                <w:sz w:val="21"/>
              </w:rPr>
            </w:pPr>
            <w:r>
              <w:rPr>
                <w:sz w:val="21"/>
              </w:rPr>
              <w:t>发生上述第（1）项、第（3）—（10）项情形，造成被保险人发生本附加合同所定义的少儿重大疾病或成人重大疾病的，本附加合同终止，我们向您退还保险单的现金价值。</w:t>
            </w:r>
          </w:p>
        </w:tc>
      </w:tr>
      <w:tr>
        <w:trPr>
          <w:trHeight w:val="2209" w:hRule="atLeast"/>
        </w:trPr>
        <w:tc>
          <w:tcPr>
            <w:tcW w:w="758" w:type="dxa"/>
          </w:tcPr>
          <w:p>
            <w:pPr>
              <w:pStyle w:val="TableParagraph"/>
              <w:ind w:left="108"/>
              <w:rPr>
                <w:b/>
                <w:sz w:val="21"/>
              </w:rPr>
            </w:pPr>
            <w:r>
              <w:rPr>
                <w:b/>
                <w:sz w:val="21"/>
              </w:rPr>
              <w:t>2.5</w:t>
            </w:r>
          </w:p>
        </w:tc>
        <w:tc>
          <w:tcPr>
            <w:tcW w:w="1884" w:type="dxa"/>
          </w:tcPr>
          <w:p>
            <w:pPr>
              <w:pStyle w:val="TableParagraph"/>
              <w:ind w:left="291"/>
              <w:rPr>
                <w:b/>
                <w:sz w:val="21"/>
              </w:rPr>
            </w:pPr>
            <w:r>
              <w:rPr>
                <w:b/>
                <w:sz w:val="21"/>
              </w:rPr>
              <w:t>保险责任的终止</w:t>
            </w:r>
          </w:p>
        </w:tc>
        <w:tc>
          <w:tcPr>
            <w:tcW w:w="6832" w:type="dxa"/>
          </w:tcPr>
          <w:p>
            <w:pPr>
              <w:pStyle w:val="TableParagraph"/>
              <w:ind w:left="114"/>
              <w:rPr>
                <w:sz w:val="21"/>
              </w:rPr>
            </w:pPr>
            <w:r>
              <w:rPr>
                <w:sz w:val="21"/>
              </w:rPr>
              <w:t>以下任何一种情况发生时，本附加合同及其保险责任自动终止：</w:t>
            </w:r>
          </w:p>
          <w:p>
            <w:pPr>
              <w:pStyle w:val="TableParagraph"/>
              <w:spacing w:before="37"/>
              <w:ind w:left="114"/>
              <w:rPr>
                <w:sz w:val="21"/>
              </w:rPr>
            </w:pPr>
            <w:r>
              <w:rPr>
                <w:sz w:val="21"/>
              </w:rPr>
              <w:t>（1）在本附加合同有效期内您向我们申请解除合同；</w:t>
            </w:r>
          </w:p>
          <w:p>
            <w:pPr>
              <w:pStyle w:val="TableParagraph"/>
              <w:spacing w:before="37"/>
              <w:ind w:left="114"/>
              <w:rPr>
                <w:sz w:val="21"/>
              </w:rPr>
            </w:pPr>
            <w:r>
              <w:rPr>
                <w:sz w:val="21"/>
              </w:rPr>
              <w:t>（2）本附加合同其他条款所列保险责任终止或本附加合同终止的情形；</w:t>
            </w:r>
          </w:p>
          <w:p>
            <w:pPr>
              <w:pStyle w:val="TableParagraph"/>
              <w:spacing w:before="37"/>
              <w:ind w:left="114"/>
              <w:rPr>
                <w:sz w:val="21"/>
              </w:rPr>
            </w:pPr>
            <w:r>
              <w:rPr>
                <w:sz w:val="21"/>
              </w:rPr>
              <w:t>（3）主合同效力终止；</w:t>
            </w:r>
          </w:p>
          <w:p>
            <w:pPr>
              <w:pStyle w:val="TableParagraph"/>
              <w:spacing w:line="273" w:lineRule="auto" w:before="37"/>
              <w:ind w:left="637" w:right="105" w:hanging="526"/>
              <w:rPr>
                <w:sz w:val="21"/>
              </w:rPr>
            </w:pPr>
            <w:r>
              <w:rPr>
                <w:sz w:val="21"/>
              </w:rPr>
              <w:t>（4）本附加合同因其他条款所列情况而中止效力，且自本附加合同效力中止之日起 2 年内您与我们未达成复效协议的。</w:t>
            </w:r>
          </w:p>
        </w:tc>
      </w:tr>
      <w:tr>
        <w:trPr>
          <w:trHeight w:val="754" w:hRule="atLeast"/>
        </w:trPr>
        <w:tc>
          <w:tcPr>
            <w:tcW w:w="75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716" w:type="dxa"/>
            <w:gridSpan w:val="2"/>
            <w:tcBorders>
              <w:bottom w:val="single" w:sz="4" w:space="0" w:color="000000"/>
            </w:tcBorders>
          </w:tcPr>
          <w:p>
            <w:pPr>
              <w:pStyle w:val="TableParagraph"/>
              <w:spacing w:before="1"/>
              <w:ind w:left="0"/>
              <w:rPr>
                <w:sz w:val="18"/>
              </w:rPr>
            </w:pPr>
          </w:p>
          <w:p>
            <w:pPr>
              <w:pStyle w:val="TableParagraph"/>
              <w:spacing w:before="0"/>
              <w:ind w:left="291"/>
              <w:rPr>
                <w:b/>
                <w:sz w:val="24"/>
              </w:rPr>
            </w:pPr>
            <w:r>
              <w:rPr>
                <w:b/>
                <w:w w:val="95"/>
                <w:sz w:val="24"/>
              </w:rPr>
              <w:t>如何申请领取保险金</w:t>
            </w:r>
          </w:p>
        </w:tc>
      </w:tr>
      <w:tr>
        <w:trPr>
          <w:trHeight w:val="1070" w:hRule="atLeast"/>
        </w:trPr>
        <w:tc>
          <w:tcPr>
            <w:tcW w:w="758" w:type="dxa"/>
            <w:tcBorders>
              <w:top w:val="single" w:sz="4" w:space="0" w:color="000000"/>
            </w:tcBorders>
          </w:tcPr>
          <w:p>
            <w:pPr>
              <w:pStyle w:val="TableParagraph"/>
              <w:spacing w:before="12"/>
              <w:ind w:left="0"/>
              <w:rPr>
                <w:sz w:val="20"/>
              </w:rPr>
            </w:pPr>
          </w:p>
          <w:p>
            <w:pPr>
              <w:pStyle w:val="TableParagraph"/>
              <w:spacing w:before="0"/>
              <w:ind w:left="108"/>
              <w:rPr>
                <w:b/>
                <w:sz w:val="21"/>
              </w:rPr>
            </w:pPr>
            <w:r>
              <w:rPr>
                <w:b/>
                <w:sz w:val="21"/>
              </w:rPr>
              <w:t>3.1</w:t>
            </w:r>
          </w:p>
        </w:tc>
        <w:tc>
          <w:tcPr>
            <w:tcW w:w="1884" w:type="dxa"/>
            <w:tcBorders>
              <w:top w:val="single" w:sz="4" w:space="0" w:color="000000"/>
            </w:tcBorders>
          </w:tcPr>
          <w:p>
            <w:pPr>
              <w:pStyle w:val="TableParagraph"/>
              <w:spacing w:before="12"/>
              <w:ind w:left="0"/>
              <w:rPr>
                <w:sz w:val="20"/>
              </w:rPr>
            </w:pPr>
          </w:p>
          <w:p>
            <w:pPr>
              <w:pStyle w:val="TableParagraph"/>
              <w:spacing w:before="0"/>
              <w:ind w:left="291"/>
              <w:rPr>
                <w:b/>
                <w:sz w:val="21"/>
              </w:rPr>
            </w:pPr>
            <w:r>
              <w:rPr>
                <w:b/>
                <w:sz w:val="21"/>
              </w:rPr>
              <w:t>保险金受益人</w:t>
            </w:r>
          </w:p>
        </w:tc>
        <w:tc>
          <w:tcPr>
            <w:tcW w:w="6832" w:type="dxa"/>
            <w:tcBorders>
              <w:top w:val="single" w:sz="4" w:space="0" w:color="000000"/>
            </w:tcBorders>
          </w:tcPr>
          <w:p>
            <w:pPr>
              <w:pStyle w:val="TableParagraph"/>
              <w:spacing w:before="12"/>
              <w:ind w:left="0"/>
              <w:rPr>
                <w:sz w:val="20"/>
              </w:rPr>
            </w:pPr>
          </w:p>
          <w:p>
            <w:pPr>
              <w:pStyle w:val="TableParagraph"/>
              <w:spacing w:line="273" w:lineRule="auto" w:before="0"/>
              <w:ind w:left="111" w:right="201"/>
              <w:rPr>
                <w:sz w:val="21"/>
              </w:rPr>
            </w:pPr>
            <w:r>
              <w:rPr>
                <w:sz w:val="21"/>
              </w:rPr>
              <w:t>除另有约定，本附加合同少儿重大疾病保险金或成人重大疾病保险金的受益人为被保险人本人。</w:t>
            </w:r>
          </w:p>
        </w:tc>
      </w:tr>
      <w:tr>
        <w:trPr>
          <w:trHeight w:val="2189" w:hRule="atLeast"/>
        </w:trPr>
        <w:tc>
          <w:tcPr>
            <w:tcW w:w="758" w:type="dxa"/>
          </w:tcPr>
          <w:p>
            <w:pPr>
              <w:pStyle w:val="TableParagraph"/>
              <w:spacing w:before="139"/>
              <w:ind w:left="108"/>
              <w:rPr>
                <w:b/>
                <w:sz w:val="21"/>
              </w:rPr>
            </w:pPr>
            <w:r>
              <w:rPr>
                <w:b/>
                <w:sz w:val="21"/>
              </w:rPr>
              <w:t>3.2</w:t>
            </w:r>
          </w:p>
        </w:tc>
        <w:tc>
          <w:tcPr>
            <w:tcW w:w="1884" w:type="dxa"/>
          </w:tcPr>
          <w:p>
            <w:pPr>
              <w:pStyle w:val="TableParagraph"/>
              <w:spacing w:before="139"/>
              <w:ind w:left="291"/>
              <w:rPr>
                <w:b/>
                <w:sz w:val="21"/>
              </w:rPr>
            </w:pPr>
            <w:r>
              <w:rPr>
                <w:b/>
                <w:sz w:val="21"/>
              </w:rPr>
              <w:t>保险事故通知</w:t>
            </w:r>
          </w:p>
        </w:tc>
        <w:tc>
          <w:tcPr>
            <w:tcW w:w="6832" w:type="dxa"/>
          </w:tcPr>
          <w:p>
            <w:pPr>
              <w:pStyle w:val="TableParagraph"/>
              <w:spacing w:before="127"/>
              <w:ind w:left="111"/>
              <w:rPr>
                <w:i/>
                <w:sz w:val="22"/>
              </w:rPr>
            </w:pPr>
            <w:r>
              <w:rPr>
                <w:sz w:val="21"/>
              </w:rPr>
              <w:t>您或受益人知道保险事故后应当在 10 日内通知本公司</w:t>
            </w:r>
            <w:r>
              <w:rPr>
                <w:i/>
                <w:sz w:val="22"/>
              </w:rPr>
              <w:t>。</w:t>
            </w:r>
          </w:p>
          <w:p>
            <w:pPr>
              <w:pStyle w:val="TableParagraph"/>
              <w:spacing w:line="273" w:lineRule="auto" w:before="35"/>
              <w:ind w:left="111" w:right="1"/>
              <w:rPr>
                <w:sz w:val="21"/>
              </w:rPr>
            </w:pPr>
            <w:r>
              <w:rPr>
                <w:spacing w:val="-4"/>
                <w:sz w:val="21"/>
              </w:rPr>
              <w:t>如果您或受益人故意或者因重大过失未及时通知，致使保险事故的性质、</w:t>
            </w:r>
            <w:r>
              <w:rPr>
                <w:spacing w:val="-3"/>
                <w:sz w:val="21"/>
              </w:rPr>
              <w:t>原因、损失程度等难以确定的，本公司对无法确定的部分，不承担给付 保险金的责任，但本公司通过其他途径已经及时知道或者应当及时知道 保险事故发生或者虽未及时通知但不影响本公司确定保险事故的性质、 原因、损失程度的除外。</w:t>
            </w:r>
          </w:p>
        </w:tc>
      </w:tr>
      <w:tr>
        <w:trPr>
          <w:trHeight w:val="624" w:hRule="atLeast"/>
        </w:trPr>
        <w:tc>
          <w:tcPr>
            <w:tcW w:w="758" w:type="dxa"/>
          </w:tcPr>
          <w:p>
            <w:pPr>
              <w:pStyle w:val="TableParagraph"/>
              <w:ind w:left="108"/>
              <w:rPr>
                <w:b/>
                <w:sz w:val="21"/>
              </w:rPr>
            </w:pPr>
            <w:r>
              <w:rPr>
                <w:b/>
                <w:sz w:val="21"/>
              </w:rPr>
              <w:t>3.3</w:t>
            </w:r>
          </w:p>
        </w:tc>
        <w:tc>
          <w:tcPr>
            <w:tcW w:w="1884" w:type="dxa"/>
          </w:tcPr>
          <w:p>
            <w:pPr>
              <w:pStyle w:val="TableParagraph"/>
              <w:ind w:left="291"/>
              <w:rPr>
                <w:b/>
                <w:sz w:val="21"/>
              </w:rPr>
            </w:pPr>
            <w:r>
              <w:rPr>
                <w:b/>
                <w:sz w:val="21"/>
              </w:rPr>
              <w:t>保险金申请</w:t>
            </w:r>
          </w:p>
        </w:tc>
        <w:tc>
          <w:tcPr>
            <w:tcW w:w="6832" w:type="dxa"/>
          </w:tcPr>
          <w:p>
            <w:pPr>
              <w:pStyle w:val="TableParagraph"/>
              <w:ind w:left="111"/>
              <w:rPr>
                <w:sz w:val="21"/>
              </w:rPr>
            </w:pPr>
            <w:r>
              <w:rPr>
                <w:sz w:val="21"/>
              </w:rPr>
              <w:t>在申请保险金时，请按照下列方式办理：</w:t>
            </w:r>
          </w:p>
        </w:tc>
      </w:tr>
      <w:tr>
        <w:trPr>
          <w:trHeight w:val="2601"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ind w:left="291" w:right="112"/>
              <w:jc w:val="both"/>
              <w:rPr>
                <w:rFonts w:ascii="黑体" w:eastAsia="黑体" w:hint="eastAsia"/>
                <w:b/>
                <w:sz w:val="21"/>
              </w:rPr>
            </w:pPr>
            <w:r>
              <w:rPr>
                <w:rFonts w:ascii="黑体" w:eastAsia="黑体" w:hint="eastAsia"/>
                <w:b/>
                <w:sz w:val="21"/>
              </w:rPr>
              <w:t>少儿重大疾病保险金或成人重大疾病保险金申请</w:t>
            </w:r>
          </w:p>
        </w:tc>
        <w:tc>
          <w:tcPr>
            <w:tcW w:w="6832" w:type="dxa"/>
          </w:tcPr>
          <w:p>
            <w:pPr>
              <w:pStyle w:val="TableParagraph"/>
              <w:ind w:left="111"/>
              <w:rPr>
                <w:sz w:val="21"/>
              </w:rPr>
            </w:pPr>
            <w:r>
              <w:rPr>
                <w:sz w:val="21"/>
              </w:rPr>
              <w:t>申请人须填写保险金给付申请书，并须提供下列证明和资料：</w:t>
            </w:r>
          </w:p>
          <w:p>
            <w:pPr>
              <w:pStyle w:val="TableParagraph"/>
              <w:spacing w:before="37"/>
              <w:ind w:left="114"/>
              <w:rPr>
                <w:sz w:val="21"/>
              </w:rPr>
            </w:pPr>
            <w:r>
              <w:rPr>
                <w:sz w:val="21"/>
              </w:rPr>
              <w:t>（1）保险合同；</w:t>
            </w:r>
          </w:p>
          <w:p>
            <w:pPr>
              <w:pStyle w:val="TableParagraph"/>
              <w:spacing w:before="37"/>
              <w:ind w:left="111"/>
              <w:rPr>
                <w:sz w:val="21"/>
              </w:rPr>
            </w:pPr>
            <w:r>
              <w:rPr>
                <w:sz w:val="21"/>
              </w:rPr>
              <w:t>（2）申请人的有效身份证件；</w:t>
            </w:r>
          </w:p>
          <w:p>
            <w:pPr>
              <w:pStyle w:val="TableParagraph"/>
              <w:spacing w:line="273" w:lineRule="auto" w:before="37"/>
              <w:ind w:left="603" w:right="129"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312" w:lineRule="exact" w:before="3"/>
              <w:ind w:left="111" w:right="3" w:firstLine="2"/>
              <w:rPr>
                <w:sz w:val="21"/>
              </w:rPr>
            </w:pPr>
            <w:r>
              <w:rPr>
                <w:spacing w:val="-20"/>
                <w:sz w:val="21"/>
              </w:rPr>
              <w:t>（4）</w:t>
            </w:r>
            <w:r>
              <w:rPr>
                <w:spacing w:val="-7"/>
                <w:sz w:val="21"/>
              </w:rPr>
              <w:t>所能提供的与确认保险事故的性质、原因等有关的其他证明和资料。</w:t>
            </w:r>
            <w:r>
              <w:rPr>
                <w:spacing w:val="-5"/>
                <w:sz w:val="21"/>
              </w:rPr>
              <w:t>以上证明和资料不完整的，我们将及时一次性通知申请人补充提供有关</w:t>
            </w:r>
          </w:p>
        </w:tc>
      </w:tr>
    </w:tbl>
    <w:p>
      <w:pPr>
        <w:spacing w:after="0" w:line="312" w:lineRule="exact"/>
        <w:rPr>
          <w:sz w:val="21"/>
        </w:rPr>
        <w:sectPr>
          <w:pgSz w:w="11910" w:h="16840"/>
          <w:pgMar w:header="0" w:footer="912" w:top="1460" w:bottom="110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3"/>
      </w:tblGrid>
      <w:tr>
        <w:trPr>
          <w:trHeight w:val="417"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3" w:type="dxa"/>
          </w:tcPr>
          <w:p>
            <w:pPr>
              <w:pStyle w:val="TableParagraph"/>
              <w:spacing w:line="202" w:lineRule="exact" w:before="0"/>
              <w:ind w:left="111"/>
              <w:rPr>
                <w:sz w:val="21"/>
              </w:rPr>
            </w:pPr>
            <w:r>
              <w:rPr>
                <w:sz w:val="21"/>
              </w:rPr>
              <w:t>证明和资料。</w:t>
            </w:r>
          </w:p>
        </w:tc>
      </w:tr>
      <w:tr>
        <w:trPr>
          <w:trHeight w:val="3744" w:hRule="atLeast"/>
        </w:trPr>
        <w:tc>
          <w:tcPr>
            <w:tcW w:w="758" w:type="dxa"/>
          </w:tcPr>
          <w:p>
            <w:pPr>
              <w:pStyle w:val="TableParagraph"/>
              <w:ind w:left="108"/>
              <w:rPr>
                <w:b/>
                <w:sz w:val="21"/>
              </w:rPr>
            </w:pPr>
            <w:r>
              <w:rPr>
                <w:b/>
                <w:sz w:val="21"/>
              </w:rPr>
              <w:t>3.4</w:t>
            </w:r>
          </w:p>
        </w:tc>
        <w:tc>
          <w:tcPr>
            <w:tcW w:w="1884" w:type="dxa"/>
          </w:tcPr>
          <w:p>
            <w:pPr>
              <w:pStyle w:val="TableParagraph"/>
              <w:ind w:left="291"/>
              <w:rPr>
                <w:b/>
                <w:sz w:val="21"/>
              </w:rPr>
            </w:pPr>
            <w:r>
              <w:rPr>
                <w:b/>
                <w:sz w:val="21"/>
              </w:rPr>
              <w:t>保险金的给付</w:t>
            </w:r>
          </w:p>
        </w:tc>
        <w:tc>
          <w:tcPr>
            <w:tcW w:w="6833" w:type="dxa"/>
          </w:tcPr>
          <w:p>
            <w:pPr>
              <w:pStyle w:val="TableParagraph"/>
              <w:ind w:left="111"/>
              <w:rPr>
                <w:sz w:val="21"/>
              </w:rPr>
            </w:pPr>
            <w:r>
              <w:rPr>
                <w:sz w:val="21"/>
              </w:rPr>
              <w:t>本公司在收到保险金给付申请书及合同约定的证明和资料后，将在 5 日</w:t>
            </w:r>
          </w:p>
          <w:p>
            <w:pPr>
              <w:pStyle w:val="TableParagraph"/>
              <w:spacing w:before="37"/>
              <w:ind w:left="111"/>
              <w:rPr>
                <w:sz w:val="21"/>
              </w:rPr>
            </w:pPr>
            <w:r>
              <w:rPr>
                <w:sz w:val="21"/>
              </w:rPr>
              <w:t>内作出核定；情形复杂的，在 30 日内作出核定。</w:t>
            </w:r>
          </w:p>
          <w:p>
            <w:pPr>
              <w:pStyle w:val="TableParagraph"/>
              <w:spacing w:line="273" w:lineRule="auto" w:before="37"/>
              <w:ind w:left="111"/>
              <w:rPr>
                <w:sz w:val="21"/>
              </w:rPr>
            </w:pPr>
            <w:r>
              <w:rPr>
                <w:spacing w:val="-13"/>
                <w:sz w:val="21"/>
              </w:rPr>
              <w:t>对属于保险责任的，本公司在与受益人达成给付保险金的协议后 </w:t>
            </w:r>
            <w:r>
              <w:rPr>
                <w:sz w:val="21"/>
              </w:rPr>
              <w:t>10</w:t>
            </w:r>
            <w:r>
              <w:rPr>
                <w:spacing w:val="-12"/>
                <w:sz w:val="21"/>
              </w:rPr>
              <w:t> 日内， </w:t>
            </w:r>
            <w:r>
              <w:rPr>
                <w:spacing w:val="-6"/>
                <w:sz w:val="21"/>
              </w:rPr>
              <w:t>履行给付保险金义务。</w:t>
            </w:r>
          </w:p>
          <w:p>
            <w:pPr>
              <w:pStyle w:val="TableParagraph"/>
              <w:spacing w:line="273" w:lineRule="auto" w:before="7"/>
              <w:ind w:left="111" w:right="106"/>
              <w:rPr>
                <w:sz w:val="21"/>
              </w:rPr>
            </w:pPr>
            <w:r>
              <w:rPr>
                <w:sz w:val="21"/>
              </w:rPr>
              <w:t>本公司未及时履行前款规定义务的，除支付保险金外，应当赔偿受益人因此受到的损失。</w:t>
            </w:r>
          </w:p>
          <w:p>
            <w:pPr>
              <w:pStyle w:val="TableParagraph"/>
              <w:spacing w:line="273" w:lineRule="auto" w:before="7"/>
              <w:ind w:left="111" w:right="201"/>
              <w:rPr>
                <w:sz w:val="21"/>
              </w:rPr>
            </w:pPr>
            <w:r>
              <w:rPr>
                <w:spacing w:val="-5"/>
                <w:sz w:val="21"/>
              </w:rPr>
              <w:t>对不属于保险责任的，本公司自作出核定之日起 </w:t>
            </w:r>
            <w:r>
              <w:rPr>
                <w:sz w:val="21"/>
              </w:rPr>
              <w:t>3</w:t>
            </w:r>
            <w:r>
              <w:rPr>
                <w:spacing w:val="-7"/>
                <w:sz w:val="21"/>
              </w:rPr>
              <w:t> 日内向受益人发出拒</w:t>
            </w:r>
            <w:r>
              <w:rPr>
                <w:spacing w:val="-3"/>
                <w:sz w:val="21"/>
              </w:rPr>
              <w:t>绝给付保险金通知书并说明理由。</w:t>
            </w:r>
          </w:p>
          <w:p>
            <w:pPr>
              <w:pStyle w:val="TableParagraph"/>
              <w:spacing w:line="273" w:lineRule="auto" w:before="7"/>
              <w:ind w:left="111" w:right="106"/>
              <w:rPr>
                <w:sz w:val="21"/>
              </w:rPr>
            </w:pPr>
            <w:r>
              <w:rPr>
                <w:spacing w:val="-5"/>
                <w:sz w:val="21"/>
              </w:rPr>
              <w:t>本公司在收到保险金给付申请书及有关证明和资料之日起 </w:t>
            </w:r>
            <w:r>
              <w:rPr>
                <w:sz w:val="21"/>
              </w:rPr>
              <w:t>60</w:t>
            </w:r>
            <w:r>
              <w:rPr>
                <w:spacing w:val="-10"/>
                <w:sz w:val="21"/>
              </w:rPr>
              <w:t> 日内，对给</w:t>
            </w:r>
            <w:r>
              <w:rPr>
                <w:spacing w:val="-5"/>
                <w:sz w:val="21"/>
              </w:rPr>
              <w:t>付保险金的数额不能确定的，根据已有证明和资料可以确定的数额先予</w:t>
            </w:r>
            <w:r>
              <w:rPr>
                <w:spacing w:val="-4"/>
                <w:sz w:val="21"/>
              </w:rPr>
              <w:t>支付；本公司最终确定给付保险金的数额后，将支付相应的差额。</w:t>
            </w:r>
          </w:p>
        </w:tc>
      </w:tr>
      <w:tr>
        <w:trPr>
          <w:trHeight w:val="960" w:hRule="atLeast"/>
        </w:trPr>
        <w:tc>
          <w:tcPr>
            <w:tcW w:w="758" w:type="dxa"/>
          </w:tcPr>
          <w:p>
            <w:pPr>
              <w:pStyle w:val="TableParagraph"/>
              <w:ind w:left="108"/>
              <w:rPr>
                <w:b/>
                <w:sz w:val="21"/>
              </w:rPr>
            </w:pPr>
            <w:r>
              <w:rPr>
                <w:b/>
                <w:sz w:val="21"/>
              </w:rPr>
              <w:t>3.5</w:t>
            </w:r>
          </w:p>
        </w:tc>
        <w:tc>
          <w:tcPr>
            <w:tcW w:w="1884" w:type="dxa"/>
          </w:tcPr>
          <w:p>
            <w:pPr>
              <w:pStyle w:val="TableParagraph"/>
              <w:ind w:left="291"/>
              <w:rPr>
                <w:b/>
                <w:sz w:val="21"/>
              </w:rPr>
            </w:pPr>
            <w:r>
              <w:rPr>
                <w:b/>
                <w:sz w:val="21"/>
              </w:rPr>
              <w:t>诉讼时效</w:t>
            </w:r>
          </w:p>
        </w:tc>
        <w:tc>
          <w:tcPr>
            <w:tcW w:w="6833" w:type="dxa"/>
          </w:tcPr>
          <w:p>
            <w:pPr>
              <w:pStyle w:val="TableParagraph"/>
              <w:spacing w:line="273" w:lineRule="auto"/>
              <w:ind w:left="111" w:right="201"/>
              <w:rPr>
                <w:sz w:val="21"/>
              </w:rPr>
            </w:pPr>
            <w:r>
              <w:rPr>
                <w:spacing w:val="-5"/>
                <w:sz w:val="21"/>
              </w:rPr>
              <w:t>受益人向我们请求给付保险金的诉讼时效期间为 </w:t>
            </w:r>
            <w:r>
              <w:rPr>
                <w:sz w:val="21"/>
              </w:rPr>
              <w:t>2</w:t>
            </w:r>
            <w:r>
              <w:rPr>
                <w:spacing w:val="-7"/>
                <w:sz w:val="21"/>
              </w:rPr>
              <w:t> 年，自其知道或应当</w:t>
            </w:r>
            <w:r>
              <w:rPr>
                <w:spacing w:val="-5"/>
                <w:sz w:val="21"/>
              </w:rPr>
              <w:t>知道保险事故发生之日起计算。</w:t>
            </w:r>
          </w:p>
        </w:tc>
      </w:tr>
      <w:tr>
        <w:trPr>
          <w:trHeight w:val="753" w:hRule="atLeast"/>
        </w:trPr>
        <w:tc>
          <w:tcPr>
            <w:tcW w:w="75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717" w:type="dxa"/>
            <w:gridSpan w:val="2"/>
            <w:tcBorders>
              <w:bottom w:val="single" w:sz="4" w:space="0" w:color="000000"/>
            </w:tcBorders>
          </w:tcPr>
          <w:p>
            <w:pPr>
              <w:pStyle w:val="TableParagraph"/>
              <w:spacing w:before="1"/>
              <w:ind w:left="0"/>
              <w:rPr>
                <w:sz w:val="18"/>
              </w:rPr>
            </w:pPr>
          </w:p>
          <w:p>
            <w:pPr>
              <w:pStyle w:val="TableParagraph"/>
              <w:spacing w:before="0"/>
              <w:ind w:left="303"/>
              <w:rPr>
                <w:b/>
                <w:sz w:val="24"/>
              </w:rPr>
            </w:pPr>
            <w:r>
              <w:rPr>
                <w:b/>
                <w:w w:val="95"/>
                <w:sz w:val="24"/>
              </w:rPr>
              <w:t>保险费的支付和现金价值权益</w:t>
            </w:r>
          </w:p>
        </w:tc>
      </w:tr>
      <w:tr>
        <w:trPr>
          <w:trHeight w:val="1404" w:hRule="atLeast"/>
        </w:trPr>
        <w:tc>
          <w:tcPr>
            <w:tcW w:w="758" w:type="dxa"/>
            <w:tcBorders>
              <w:top w:val="single" w:sz="4" w:space="0" w:color="000000"/>
            </w:tcBorders>
          </w:tcPr>
          <w:p>
            <w:pPr>
              <w:pStyle w:val="TableParagraph"/>
              <w:spacing w:before="2"/>
              <w:ind w:left="0"/>
              <w:rPr>
                <w:sz w:val="22"/>
              </w:rPr>
            </w:pPr>
          </w:p>
          <w:p>
            <w:pPr>
              <w:pStyle w:val="TableParagraph"/>
              <w:spacing w:before="0"/>
              <w:ind w:left="108"/>
              <w:rPr>
                <w:b/>
                <w:sz w:val="21"/>
              </w:rPr>
            </w:pPr>
            <w:r>
              <w:rPr>
                <w:b/>
                <w:sz w:val="21"/>
              </w:rPr>
              <w:t>4.1</w:t>
            </w:r>
          </w:p>
        </w:tc>
        <w:tc>
          <w:tcPr>
            <w:tcW w:w="1884" w:type="dxa"/>
            <w:tcBorders>
              <w:top w:val="single" w:sz="4" w:space="0" w:color="000000"/>
            </w:tcBorders>
          </w:tcPr>
          <w:p>
            <w:pPr>
              <w:pStyle w:val="TableParagraph"/>
              <w:spacing w:before="2"/>
              <w:ind w:left="0"/>
              <w:rPr>
                <w:sz w:val="22"/>
              </w:rPr>
            </w:pPr>
          </w:p>
          <w:p>
            <w:pPr>
              <w:pStyle w:val="TableParagraph"/>
              <w:spacing w:before="0"/>
              <w:ind w:left="291"/>
              <w:rPr>
                <w:b/>
                <w:sz w:val="21"/>
              </w:rPr>
            </w:pPr>
            <w:r>
              <w:rPr>
                <w:b/>
                <w:sz w:val="21"/>
              </w:rPr>
              <w:t>保险费的支付</w:t>
            </w:r>
          </w:p>
        </w:tc>
        <w:tc>
          <w:tcPr>
            <w:tcW w:w="6833" w:type="dxa"/>
            <w:tcBorders>
              <w:top w:val="single" w:sz="4" w:space="0" w:color="000000"/>
            </w:tcBorders>
          </w:tcPr>
          <w:p>
            <w:pPr>
              <w:pStyle w:val="TableParagraph"/>
              <w:spacing w:before="2"/>
              <w:ind w:left="0"/>
              <w:rPr>
                <w:sz w:val="22"/>
              </w:rPr>
            </w:pPr>
          </w:p>
          <w:p>
            <w:pPr>
              <w:pStyle w:val="TableParagraph"/>
              <w:spacing w:line="273" w:lineRule="auto" w:before="0"/>
              <w:ind w:left="111" w:right="202"/>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1248" w:hRule="atLeast"/>
        </w:trPr>
        <w:tc>
          <w:tcPr>
            <w:tcW w:w="758" w:type="dxa"/>
          </w:tcPr>
          <w:p>
            <w:pPr>
              <w:pStyle w:val="TableParagraph"/>
              <w:ind w:left="108"/>
              <w:rPr>
                <w:b/>
                <w:sz w:val="21"/>
              </w:rPr>
            </w:pPr>
            <w:r>
              <w:rPr>
                <w:b/>
                <w:sz w:val="21"/>
              </w:rPr>
              <w:t>4.2</w:t>
            </w:r>
          </w:p>
        </w:tc>
        <w:tc>
          <w:tcPr>
            <w:tcW w:w="1884" w:type="dxa"/>
          </w:tcPr>
          <w:p>
            <w:pPr>
              <w:pStyle w:val="TableParagraph"/>
              <w:spacing w:line="273" w:lineRule="auto"/>
              <w:ind w:left="291" w:right="112"/>
              <w:rPr>
                <w:b/>
                <w:sz w:val="21"/>
              </w:rPr>
            </w:pPr>
            <w:r>
              <w:rPr>
                <w:b/>
                <w:sz w:val="21"/>
              </w:rPr>
              <w:t>保险单的现金价值</w:t>
            </w:r>
          </w:p>
        </w:tc>
        <w:tc>
          <w:tcPr>
            <w:tcW w:w="6833" w:type="dxa"/>
          </w:tcPr>
          <w:p>
            <w:pPr>
              <w:pStyle w:val="TableParagraph"/>
              <w:spacing w:line="273" w:lineRule="auto"/>
              <w:ind w:left="111" w:right="202"/>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2184" w:hRule="atLeast"/>
        </w:trPr>
        <w:tc>
          <w:tcPr>
            <w:tcW w:w="758" w:type="dxa"/>
          </w:tcPr>
          <w:p>
            <w:pPr>
              <w:pStyle w:val="TableParagraph"/>
              <w:ind w:left="108"/>
              <w:rPr>
                <w:b/>
                <w:sz w:val="21"/>
              </w:rPr>
            </w:pPr>
            <w:r>
              <w:rPr>
                <w:b/>
                <w:sz w:val="21"/>
              </w:rPr>
              <w:t>4.3</w:t>
            </w:r>
          </w:p>
        </w:tc>
        <w:tc>
          <w:tcPr>
            <w:tcW w:w="1884" w:type="dxa"/>
          </w:tcPr>
          <w:p>
            <w:pPr>
              <w:pStyle w:val="TableParagraph"/>
              <w:ind w:left="291"/>
              <w:rPr>
                <w:b/>
                <w:sz w:val="21"/>
              </w:rPr>
            </w:pPr>
            <w:r>
              <w:rPr>
                <w:b/>
                <w:sz w:val="21"/>
              </w:rPr>
              <w:t>宽限期</w:t>
            </w:r>
          </w:p>
        </w:tc>
        <w:tc>
          <w:tcPr>
            <w:tcW w:w="6833" w:type="dxa"/>
          </w:tcPr>
          <w:p>
            <w:pPr>
              <w:pStyle w:val="TableParagraph"/>
              <w:spacing w:line="273" w:lineRule="auto"/>
              <w:ind w:left="111" w:right="2"/>
              <w:rPr>
                <w:sz w:val="21"/>
              </w:rPr>
            </w:pPr>
            <w:r>
              <w:rPr>
                <w:spacing w:val="-4"/>
                <w:sz w:val="21"/>
              </w:rPr>
              <w:t>您支付首期保险费后，除本合同另有约定外，如果您到期未支付保险费， </w:t>
            </w:r>
            <w:r>
              <w:rPr>
                <w:spacing w:val="-6"/>
                <w:sz w:val="21"/>
              </w:rPr>
              <w:t>自保险费约定支付日的次日零时起 </w:t>
            </w:r>
            <w:r>
              <w:rPr>
                <w:sz w:val="21"/>
              </w:rPr>
              <w:t>60</w:t>
            </w:r>
            <w:r>
              <w:rPr>
                <w:spacing w:val="-8"/>
                <w:sz w:val="21"/>
              </w:rPr>
              <w:t> 日为宽限期。宽限期内发生的保险</w:t>
            </w:r>
            <w:r>
              <w:rPr>
                <w:spacing w:val="-5"/>
                <w:sz w:val="21"/>
              </w:rPr>
              <w:t>事故，本公司仍会承担保险责任，但在给付保险金时会扣减您欠交的保 险费。</w:t>
            </w:r>
          </w:p>
          <w:p>
            <w:pPr>
              <w:pStyle w:val="TableParagraph"/>
              <w:spacing w:line="273" w:lineRule="auto" w:before="8"/>
              <w:ind w:left="111" w:right="202"/>
              <w:rPr>
                <w:sz w:val="21"/>
              </w:rPr>
            </w:pPr>
            <w:r>
              <w:rPr>
                <w:sz w:val="21"/>
              </w:rPr>
              <w:t>如果您宽限期结束之后仍未支付保险费，则本附加合同自宽限期满的次日零时起效力中止。</w:t>
            </w:r>
          </w:p>
        </w:tc>
      </w:tr>
      <w:tr>
        <w:trPr>
          <w:trHeight w:val="1248" w:hRule="atLeast"/>
        </w:trPr>
        <w:tc>
          <w:tcPr>
            <w:tcW w:w="758" w:type="dxa"/>
          </w:tcPr>
          <w:p>
            <w:pPr>
              <w:pStyle w:val="TableParagraph"/>
              <w:ind w:left="108"/>
              <w:rPr>
                <w:b/>
                <w:sz w:val="21"/>
              </w:rPr>
            </w:pPr>
            <w:r>
              <w:rPr>
                <w:b/>
                <w:sz w:val="21"/>
              </w:rPr>
              <w:t>4.4</w:t>
            </w:r>
          </w:p>
        </w:tc>
        <w:tc>
          <w:tcPr>
            <w:tcW w:w="1884" w:type="dxa"/>
          </w:tcPr>
          <w:p>
            <w:pPr>
              <w:pStyle w:val="TableParagraph"/>
              <w:ind w:left="291"/>
              <w:rPr>
                <w:b/>
                <w:sz w:val="21"/>
              </w:rPr>
            </w:pPr>
            <w:r>
              <w:rPr>
                <w:b/>
                <w:sz w:val="21"/>
              </w:rPr>
              <w:t>合同效力中止</w:t>
            </w:r>
          </w:p>
        </w:tc>
        <w:tc>
          <w:tcPr>
            <w:tcW w:w="6833" w:type="dxa"/>
          </w:tcPr>
          <w:p>
            <w:pPr>
              <w:pStyle w:val="TableParagraph"/>
              <w:spacing w:line="273" w:lineRule="auto"/>
              <w:ind w:left="111" w:right="202"/>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1977" w:hRule="atLeast"/>
        </w:trPr>
        <w:tc>
          <w:tcPr>
            <w:tcW w:w="758" w:type="dxa"/>
          </w:tcPr>
          <w:p>
            <w:pPr>
              <w:pStyle w:val="TableParagraph"/>
              <w:ind w:left="108"/>
              <w:rPr>
                <w:b/>
                <w:sz w:val="21"/>
              </w:rPr>
            </w:pPr>
            <w:r>
              <w:rPr>
                <w:b/>
                <w:sz w:val="21"/>
              </w:rPr>
              <w:t>4.5</w:t>
            </w:r>
          </w:p>
        </w:tc>
        <w:tc>
          <w:tcPr>
            <w:tcW w:w="1884" w:type="dxa"/>
          </w:tcPr>
          <w:p>
            <w:pPr>
              <w:pStyle w:val="TableParagraph"/>
              <w:ind w:left="291"/>
              <w:rPr>
                <w:b/>
                <w:sz w:val="21"/>
              </w:rPr>
            </w:pPr>
            <w:r>
              <w:rPr>
                <w:b/>
                <w:sz w:val="21"/>
              </w:rPr>
              <w:t>合同效力恢复</w:t>
            </w:r>
          </w:p>
        </w:tc>
        <w:tc>
          <w:tcPr>
            <w:tcW w:w="6833" w:type="dxa"/>
          </w:tcPr>
          <w:p>
            <w:pPr>
              <w:pStyle w:val="TableParagraph"/>
              <w:spacing w:line="273" w:lineRule="auto"/>
              <w:ind w:left="111" w:right="201"/>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3"/>
                <w:sz w:val="21"/>
              </w:rPr>
              <w:t>（</w:t>
            </w:r>
            <w:r>
              <w:rPr>
                <w:spacing w:val="-11"/>
                <w:sz w:val="21"/>
              </w:rPr>
              <w:t>见释义 </w:t>
            </w:r>
            <w:r>
              <w:rPr>
                <w:sz w:val="21"/>
              </w:rPr>
              <w:t>6.18）</w:t>
            </w:r>
            <w:r>
              <w:rPr>
                <w:spacing w:val="-3"/>
                <w:sz w:val="21"/>
              </w:rPr>
              <w:t>按日复利计算。</w:t>
            </w:r>
          </w:p>
          <w:p>
            <w:pPr>
              <w:pStyle w:val="TableParagraph"/>
              <w:spacing w:line="312" w:lineRule="exact" w:before="3"/>
              <w:ind w:left="111" w:right="202"/>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bl>
    <w:p>
      <w:pPr>
        <w:spacing w:after="0" w:line="312" w:lineRule="exact"/>
        <w:jc w:val="both"/>
        <w:rPr>
          <w:sz w:val="21"/>
        </w:rPr>
        <w:sectPr>
          <w:pgSz w:w="11910" w:h="16840"/>
          <w:pgMar w:header="0" w:footer="912" w:top="1460" w:bottom="1100" w:left="1080" w:right="1120"/>
        </w:sectPr>
      </w:pPr>
    </w:p>
    <w:p>
      <w:pPr>
        <w:pStyle w:val="BodyText"/>
        <w:spacing w:before="3"/>
        <w:ind w:left="0"/>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87"/>
        <w:gridCol w:w="6893"/>
      </w:tblGrid>
      <w:tr>
        <w:trPr>
          <w:trHeight w:val="522" w:hRule="atLeast"/>
        </w:trPr>
        <w:tc>
          <w:tcPr>
            <w:tcW w:w="791"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1787" w:type="dxa"/>
            <w:tcBorders>
              <w:bottom w:val="single" w:sz="4" w:space="0" w:color="000000"/>
            </w:tcBorders>
          </w:tcPr>
          <w:p>
            <w:pPr>
              <w:pStyle w:val="TableParagraph"/>
              <w:spacing w:before="14"/>
              <w:ind w:left="325"/>
              <w:rPr>
                <w:b/>
                <w:sz w:val="24"/>
              </w:rPr>
            </w:pPr>
            <w:r>
              <w:rPr>
                <w:b/>
                <w:sz w:val="24"/>
              </w:rPr>
              <w:t>其他事项</w:t>
            </w:r>
          </w:p>
        </w:tc>
        <w:tc>
          <w:tcPr>
            <w:tcW w:w="6893" w:type="dxa"/>
            <w:tcBorders>
              <w:bottom w:val="single" w:sz="4" w:space="0" w:color="000000"/>
            </w:tcBorders>
          </w:tcPr>
          <w:p>
            <w:pPr>
              <w:pStyle w:val="TableParagraph"/>
              <w:spacing w:before="0"/>
              <w:ind w:left="0"/>
              <w:rPr>
                <w:rFonts w:ascii="Times New Roman"/>
                <w:sz w:val="20"/>
              </w:rPr>
            </w:pPr>
          </w:p>
        </w:tc>
      </w:tr>
      <w:tr>
        <w:trPr>
          <w:trHeight w:val="5458" w:hRule="atLeast"/>
        </w:trPr>
        <w:tc>
          <w:tcPr>
            <w:tcW w:w="791" w:type="dxa"/>
            <w:tcBorders>
              <w:top w:val="single" w:sz="4" w:space="0" w:color="000000"/>
            </w:tcBorders>
          </w:tcPr>
          <w:p>
            <w:pPr>
              <w:pStyle w:val="TableParagraph"/>
              <w:spacing w:before="9"/>
              <w:ind w:left="0"/>
              <w:rPr>
                <w:rFonts w:ascii="Times New Roman"/>
                <w:sz w:val="25"/>
              </w:rPr>
            </w:pPr>
          </w:p>
          <w:p>
            <w:pPr>
              <w:pStyle w:val="TableParagraph"/>
              <w:spacing w:before="0"/>
              <w:ind w:left="108"/>
              <w:rPr>
                <w:b/>
                <w:sz w:val="21"/>
              </w:rPr>
            </w:pPr>
            <w:r>
              <w:rPr>
                <w:b/>
                <w:sz w:val="21"/>
              </w:rPr>
              <w:t>5.1</w:t>
            </w:r>
          </w:p>
        </w:tc>
        <w:tc>
          <w:tcPr>
            <w:tcW w:w="1787"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325" w:right="192"/>
              <w:rPr>
                <w:b/>
                <w:sz w:val="21"/>
              </w:rPr>
            </w:pPr>
            <w:r>
              <w:rPr>
                <w:b/>
                <w:sz w:val="21"/>
              </w:rPr>
              <w:t>明确说明与如实告知</w:t>
            </w:r>
          </w:p>
        </w:tc>
        <w:tc>
          <w:tcPr>
            <w:tcW w:w="6893" w:type="dxa"/>
            <w:tcBorders>
              <w:top w:val="single" w:sz="4" w:space="0" w:color="000000"/>
            </w:tcBorders>
          </w:tcPr>
          <w:p>
            <w:pPr>
              <w:pStyle w:val="TableParagraph"/>
              <w:spacing w:before="9"/>
              <w:ind w:left="0"/>
              <w:rPr>
                <w:rFonts w:ascii="Times New Roman"/>
                <w:sz w:val="25"/>
              </w:rPr>
            </w:pPr>
          </w:p>
          <w:p>
            <w:pPr>
              <w:pStyle w:val="TableParagraph"/>
              <w:spacing w:before="0"/>
              <w:ind w:left="195"/>
              <w:rPr>
                <w:sz w:val="21"/>
              </w:rPr>
            </w:pPr>
            <w:r>
              <w:rPr>
                <w:sz w:val="21"/>
              </w:rPr>
              <w:t>订立本合同时，本公司应向投保人说明本合同的内容。</w:t>
            </w:r>
          </w:p>
          <w:p>
            <w:pPr>
              <w:pStyle w:val="TableParagraph"/>
              <w:spacing w:line="273" w:lineRule="auto" w:before="36"/>
              <w:ind w:left="195" w:right="17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95"/>
              <w:rPr>
                <w:sz w:val="21"/>
              </w:rPr>
            </w:pPr>
            <w:r>
              <w:rPr>
                <w:spacing w:val="-5"/>
                <w:sz w:val="21"/>
              </w:rPr>
              <w:t>本公司就投保人和被保险人的有关情况提出询问，投保人应当如实告知。</w:t>
            </w:r>
            <w:r>
              <w:rPr>
                <w:spacing w:val="-4"/>
                <w:sz w:val="21"/>
              </w:rPr>
              <w:t>如果投保人故意或者因重大过失未履行前款规定的如实告知义务，足以 </w:t>
            </w:r>
            <w:r>
              <w:rPr>
                <w:spacing w:val="-3"/>
                <w:sz w:val="21"/>
              </w:rPr>
              <w:t>影响本公司决定是否同意承保或者提高保险费率的，本公司有权解除本 合同。</w:t>
            </w:r>
          </w:p>
          <w:p>
            <w:pPr>
              <w:pStyle w:val="TableParagraph"/>
              <w:spacing w:line="273" w:lineRule="auto" w:before="7"/>
              <w:ind w:left="195" w:right="179"/>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195" w:right="179"/>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95" w:right="179"/>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91" w:type="dxa"/>
          </w:tcPr>
          <w:p>
            <w:pPr>
              <w:pStyle w:val="TableParagraph"/>
              <w:spacing w:before="142"/>
              <w:ind w:left="108"/>
              <w:rPr>
                <w:b/>
                <w:sz w:val="21"/>
              </w:rPr>
            </w:pPr>
            <w:r>
              <w:rPr>
                <w:b/>
                <w:sz w:val="21"/>
              </w:rPr>
              <w:t>5.2</w:t>
            </w:r>
          </w:p>
        </w:tc>
        <w:tc>
          <w:tcPr>
            <w:tcW w:w="1787" w:type="dxa"/>
          </w:tcPr>
          <w:p>
            <w:pPr>
              <w:pStyle w:val="TableParagraph"/>
              <w:spacing w:line="273" w:lineRule="auto" w:before="142"/>
              <w:ind w:left="325" w:right="192"/>
              <w:rPr>
                <w:b/>
                <w:sz w:val="21"/>
              </w:rPr>
            </w:pPr>
            <w:r>
              <w:rPr>
                <w:b/>
                <w:sz w:val="21"/>
              </w:rPr>
              <w:t>本公司合同解除权的限制</w:t>
            </w:r>
          </w:p>
        </w:tc>
        <w:tc>
          <w:tcPr>
            <w:tcW w:w="6893" w:type="dxa"/>
          </w:tcPr>
          <w:p>
            <w:pPr>
              <w:pStyle w:val="TableParagraph"/>
              <w:spacing w:before="142"/>
              <w:ind w:left="195"/>
              <w:rPr>
                <w:sz w:val="21"/>
              </w:rPr>
            </w:pPr>
            <w:r>
              <w:rPr>
                <w:spacing w:val="-8"/>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195" w:right="179"/>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744" w:hRule="atLeast"/>
        </w:trPr>
        <w:tc>
          <w:tcPr>
            <w:tcW w:w="791" w:type="dxa"/>
          </w:tcPr>
          <w:p>
            <w:pPr>
              <w:pStyle w:val="TableParagraph"/>
              <w:spacing w:before="142"/>
              <w:ind w:left="108"/>
              <w:rPr>
                <w:b/>
                <w:sz w:val="21"/>
              </w:rPr>
            </w:pPr>
            <w:r>
              <w:rPr>
                <w:b/>
                <w:sz w:val="21"/>
              </w:rPr>
              <w:t>5.3</w:t>
            </w:r>
          </w:p>
        </w:tc>
        <w:tc>
          <w:tcPr>
            <w:tcW w:w="1787" w:type="dxa"/>
          </w:tcPr>
          <w:p>
            <w:pPr>
              <w:pStyle w:val="TableParagraph"/>
              <w:spacing w:before="142"/>
              <w:ind w:left="325"/>
              <w:rPr>
                <w:b/>
                <w:sz w:val="21"/>
              </w:rPr>
            </w:pPr>
            <w:r>
              <w:rPr>
                <w:b/>
                <w:sz w:val="21"/>
              </w:rPr>
              <w:t>年龄性别错误</w:t>
            </w:r>
          </w:p>
        </w:tc>
        <w:tc>
          <w:tcPr>
            <w:tcW w:w="6893" w:type="dxa"/>
          </w:tcPr>
          <w:p>
            <w:pPr>
              <w:pStyle w:val="TableParagraph"/>
              <w:spacing w:line="273" w:lineRule="auto" w:before="142"/>
              <w:ind w:left="195" w:right="178"/>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86" w:right="102" w:hanging="490"/>
              <w:jc w:val="both"/>
              <w:rPr>
                <w:sz w:val="21"/>
              </w:rPr>
            </w:pPr>
            <w:r>
              <w:rPr>
                <w:spacing w:val="-6"/>
                <w:sz w:val="21"/>
              </w:rPr>
              <w:t>（1）</w:t>
            </w:r>
            <w:r>
              <w:rPr>
                <w:spacing w:val="-4"/>
                <w:sz w:val="21"/>
              </w:rPr>
              <w:t>您申报的被保险人年龄不真实，并且其真实年龄不符合本附加合同</w:t>
            </w:r>
            <w:r>
              <w:rPr>
                <w:spacing w:val="-3"/>
                <w:sz w:val="21"/>
              </w:rPr>
              <w:t>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686" w:right="102" w:hanging="490"/>
              <w:jc w:val="both"/>
              <w:rPr>
                <w:sz w:val="21"/>
              </w:rPr>
            </w:pPr>
            <w:r>
              <w:rPr>
                <w:spacing w:val="-6"/>
                <w:sz w:val="21"/>
              </w:rPr>
              <w:t>（2）</w:t>
            </w:r>
            <w:r>
              <w:rPr>
                <w:spacing w:val="-4"/>
                <w:sz w:val="21"/>
              </w:rPr>
              <w:t>您申报的被保险人年龄或性别不真实，致使您实付保险费少于应付</w:t>
            </w:r>
            <w:r>
              <w:rPr>
                <w:spacing w:val="-3"/>
                <w:sz w:val="21"/>
              </w:rPr>
              <w:t>保险费的，我们有权更正并要求您补交保险费。若已经发生保险事故，在给付保险金时按实付保险费和应付保险费的比例给付。</w:t>
            </w:r>
          </w:p>
          <w:p>
            <w:pPr>
              <w:pStyle w:val="TableParagraph"/>
              <w:spacing w:line="273" w:lineRule="auto" w:before="7"/>
              <w:ind w:left="720" w:right="102" w:hanging="526"/>
              <w:jc w:val="both"/>
              <w:rPr>
                <w:sz w:val="21"/>
              </w:rPr>
            </w:pPr>
            <w:r>
              <w:rPr>
                <w:spacing w:val="-6"/>
                <w:sz w:val="21"/>
              </w:rPr>
              <w:t>（3）</w:t>
            </w:r>
            <w:r>
              <w:rPr>
                <w:spacing w:val="-4"/>
                <w:sz w:val="21"/>
              </w:rPr>
              <w:t>您申报的被保险人年龄或性别不真实，致使您实付保险费多于应付</w:t>
            </w:r>
            <w:r>
              <w:rPr>
                <w:spacing w:val="-3"/>
                <w:sz w:val="21"/>
              </w:rPr>
              <w:t>保险费的，我们会将多收的保险费退还给您。</w:t>
            </w:r>
          </w:p>
        </w:tc>
      </w:tr>
      <w:tr>
        <w:trPr>
          <w:trHeight w:val="1584" w:hRule="atLeast"/>
        </w:trPr>
        <w:tc>
          <w:tcPr>
            <w:tcW w:w="791" w:type="dxa"/>
          </w:tcPr>
          <w:p>
            <w:pPr>
              <w:pStyle w:val="TableParagraph"/>
              <w:spacing w:before="142"/>
              <w:ind w:left="108"/>
              <w:rPr>
                <w:b/>
                <w:sz w:val="21"/>
              </w:rPr>
            </w:pPr>
            <w:r>
              <w:rPr>
                <w:b/>
                <w:sz w:val="21"/>
              </w:rPr>
              <w:t>5.4</w:t>
            </w:r>
          </w:p>
        </w:tc>
        <w:tc>
          <w:tcPr>
            <w:tcW w:w="1787" w:type="dxa"/>
          </w:tcPr>
          <w:p>
            <w:pPr>
              <w:pStyle w:val="TableParagraph"/>
              <w:spacing w:before="142"/>
              <w:ind w:left="325"/>
              <w:rPr>
                <w:b/>
                <w:sz w:val="21"/>
              </w:rPr>
            </w:pPr>
            <w:r>
              <w:rPr>
                <w:b/>
                <w:sz w:val="21"/>
              </w:rPr>
              <w:t>未还款项</w:t>
            </w:r>
          </w:p>
        </w:tc>
        <w:tc>
          <w:tcPr>
            <w:tcW w:w="6893" w:type="dxa"/>
          </w:tcPr>
          <w:p>
            <w:pPr>
              <w:pStyle w:val="TableParagraph"/>
              <w:spacing w:line="273" w:lineRule="auto" w:before="142"/>
              <w:ind w:left="195" w:right="-15"/>
              <w:rPr>
                <w:sz w:val="21"/>
              </w:rPr>
            </w:pPr>
            <w:r>
              <w:rPr>
                <w:sz w:val="21"/>
              </w:rPr>
              <w:t>我们在给付各项保险金、退还现金价值或返还保险费时，如果您有欠交</w:t>
            </w:r>
            <w:r>
              <w:rPr>
                <w:spacing w:val="-5"/>
                <w:sz w:val="21"/>
              </w:rPr>
              <w:t>的保险费或其他未还清款项，我们会在扣除上述欠款及应付利息后给付。应付利息按本合同约定利率按日复利计算，但本附加合同另有约定的除外。</w:t>
            </w:r>
          </w:p>
        </w:tc>
      </w:tr>
      <w:tr>
        <w:trPr>
          <w:trHeight w:val="753" w:hRule="atLeast"/>
        </w:trPr>
        <w:tc>
          <w:tcPr>
            <w:tcW w:w="79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87" w:type="dxa"/>
            <w:tcBorders>
              <w:bottom w:val="single" w:sz="4" w:space="0" w:color="000000"/>
            </w:tcBorders>
          </w:tcPr>
          <w:p>
            <w:pPr>
              <w:pStyle w:val="TableParagraph"/>
              <w:spacing w:before="4"/>
              <w:ind w:left="0"/>
              <w:rPr>
                <w:rFonts w:ascii="Times New Roman"/>
                <w:sz w:val="21"/>
              </w:rPr>
            </w:pPr>
          </w:p>
          <w:p>
            <w:pPr>
              <w:pStyle w:val="TableParagraph"/>
              <w:spacing w:before="0"/>
              <w:ind w:left="325"/>
              <w:rPr>
                <w:b/>
                <w:sz w:val="24"/>
              </w:rPr>
            </w:pPr>
            <w:r>
              <w:rPr>
                <w:b/>
                <w:sz w:val="24"/>
              </w:rPr>
              <w:t>释义</w:t>
            </w:r>
          </w:p>
        </w:tc>
        <w:tc>
          <w:tcPr>
            <w:tcW w:w="6893" w:type="dxa"/>
            <w:tcBorders>
              <w:bottom w:val="single" w:sz="4"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header="0" w:footer="912" w:top="1580" w:bottom="1100" w:left="1080" w:right="11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859"/>
        <w:gridCol w:w="7040"/>
      </w:tblGrid>
      <w:tr>
        <w:trPr>
          <w:trHeight w:val="730" w:hRule="atLeast"/>
        </w:trPr>
        <w:tc>
          <w:tcPr>
            <w:tcW w:w="862" w:type="dxa"/>
          </w:tcPr>
          <w:p>
            <w:pPr>
              <w:pStyle w:val="TableParagraph"/>
              <w:spacing w:line="202" w:lineRule="exact" w:before="0"/>
              <w:rPr>
                <w:b/>
                <w:sz w:val="21"/>
              </w:rPr>
            </w:pPr>
            <w:r>
              <w:rPr>
                <w:b/>
                <w:sz w:val="21"/>
              </w:rPr>
              <w:t>6.1</w:t>
            </w:r>
          </w:p>
        </w:tc>
        <w:tc>
          <w:tcPr>
            <w:tcW w:w="1859" w:type="dxa"/>
          </w:tcPr>
          <w:p>
            <w:pPr>
              <w:pStyle w:val="TableParagraph"/>
              <w:spacing w:line="202" w:lineRule="exact" w:before="0"/>
              <w:ind w:left="345"/>
              <w:rPr>
                <w:b/>
                <w:sz w:val="21"/>
              </w:rPr>
            </w:pPr>
            <w:r>
              <w:rPr>
                <w:b/>
                <w:sz w:val="21"/>
              </w:rPr>
              <w:t>周岁</w:t>
            </w:r>
          </w:p>
        </w:tc>
        <w:tc>
          <w:tcPr>
            <w:tcW w:w="7040" w:type="dxa"/>
          </w:tcPr>
          <w:p>
            <w:pPr>
              <w:pStyle w:val="TableParagraph"/>
              <w:spacing w:line="202" w:lineRule="exact" w:before="0"/>
              <w:ind w:left="107"/>
              <w:rPr>
                <w:sz w:val="21"/>
              </w:rPr>
            </w:pPr>
            <w:r>
              <w:rPr>
                <w:sz w:val="21"/>
              </w:rPr>
              <w:t>周岁年龄是指按法定有效身份证件文件中记载的出生日期计算的年龄，自</w:t>
            </w:r>
          </w:p>
          <w:p>
            <w:pPr>
              <w:pStyle w:val="TableParagraph"/>
              <w:spacing w:before="37"/>
              <w:ind w:left="107"/>
              <w:rPr>
                <w:sz w:val="21"/>
              </w:rPr>
            </w:pPr>
            <w:r>
              <w:rPr>
                <w:sz w:val="21"/>
              </w:rPr>
              <w:t>出生之日起为零周岁，每经过一年增加一岁，不足一年的不计。</w:t>
            </w:r>
          </w:p>
        </w:tc>
      </w:tr>
      <w:tr>
        <w:trPr>
          <w:trHeight w:val="935" w:hRule="atLeast"/>
        </w:trPr>
        <w:tc>
          <w:tcPr>
            <w:tcW w:w="862" w:type="dxa"/>
          </w:tcPr>
          <w:p>
            <w:pPr>
              <w:pStyle w:val="TableParagraph"/>
              <w:rPr>
                <w:b/>
                <w:sz w:val="21"/>
              </w:rPr>
            </w:pPr>
            <w:r>
              <w:rPr>
                <w:b/>
                <w:sz w:val="21"/>
              </w:rPr>
              <w:t>6.2</w:t>
            </w:r>
          </w:p>
        </w:tc>
        <w:tc>
          <w:tcPr>
            <w:tcW w:w="1859" w:type="dxa"/>
          </w:tcPr>
          <w:p>
            <w:pPr>
              <w:pStyle w:val="TableParagraph"/>
              <w:ind w:left="345"/>
              <w:rPr>
                <w:b/>
                <w:sz w:val="21"/>
              </w:rPr>
            </w:pPr>
            <w:r>
              <w:rPr>
                <w:b/>
                <w:sz w:val="21"/>
              </w:rPr>
              <w:t>有效身份证件</w:t>
            </w:r>
          </w:p>
        </w:tc>
        <w:tc>
          <w:tcPr>
            <w:tcW w:w="7040" w:type="dxa"/>
          </w:tcPr>
          <w:p>
            <w:pPr>
              <w:pStyle w:val="TableParagraph"/>
              <w:spacing w:line="273" w:lineRule="auto"/>
              <w:ind w:left="107" w:right="303"/>
              <w:rPr>
                <w:sz w:val="21"/>
              </w:rPr>
            </w:pPr>
            <w:r>
              <w:rPr>
                <w:spacing w:val="-8"/>
                <w:sz w:val="21"/>
              </w:rPr>
              <w:t>指由政府主管部门规定的证明其身份的证件，如：居民身份证、按规定可</w:t>
            </w:r>
            <w:r>
              <w:rPr>
                <w:spacing w:val="-5"/>
                <w:sz w:val="21"/>
              </w:rPr>
              <w:t>使用的有效护照、军官证、警官证、士兵证等证件。</w:t>
            </w:r>
          </w:p>
        </w:tc>
      </w:tr>
      <w:tr>
        <w:trPr>
          <w:trHeight w:val="935" w:hRule="atLeast"/>
        </w:trPr>
        <w:tc>
          <w:tcPr>
            <w:tcW w:w="862" w:type="dxa"/>
          </w:tcPr>
          <w:p>
            <w:pPr>
              <w:pStyle w:val="TableParagraph"/>
              <w:rPr>
                <w:b/>
                <w:sz w:val="21"/>
              </w:rPr>
            </w:pPr>
            <w:r>
              <w:rPr>
                <w:b/>
                <w:sz w:val="21"/>
              </w:rPr>
              <w:t>6.3</w:t>
            </w:r>
          </w:p>
        </w:tc>
        <w:tc>
          <w:tcPr>
            <w:tcW w:w="1859" w:type="dxa"/>
          </w:tcPr>
          <w:p>
            <w:pPr>
              <w:pStyle w:val="TableParagraph"/>
              <w:ind w:left="345"/>
              <w:rPr>
                <w:b/>
                <w:sz w:val="21"/>
              </w:rPr>
            </w:pPr>
            <w:r>
              <w:rPr>
                <w:b/>
                <w:sz w:val="21"/>
              </w:rPr>
              <w:t>现金价值</w:t>
            </w:r>
          </w:p>
        </w:tc>
        <w:tc>
          <w:tcPr>
            <w:tcW w:w="7040" w:type="dxa"/>
          </w:tcPr>
          <w:p>
            <w:pPr>
              <w:pStyle w:val="TableParagraph"/>
              <w:spacing w:line="273" w:lineRule="auto"/>
              <w:ind w:left="107" w:right="204"/>
              <w:rPr>
                <w:sz w:val="21"/>
              </w:rPr>
            </w:pPr>
            <w:r>
              <w:rPr>
                <w:sz w:val="21"/>
              </w:rPr>
              <w:t>指保险单所具有的价值，通常体现为解除合同时，根据精算原理计算的， 由本公司退还的那部分金额。</w:t>
            </w:r>
          </w:p>
        </w:tc>
      </w:tr>
      <w:tr>
        <w:trPr>
          <w:trHeight w:val="936" w:hRule="atLeast"/>
        </w:trPr>
        <w:tc>
          <w:tcPr>
            <w:tcW w:w="862" w:type="dxa"/>
          </w:tcPr>
          <w:p>
            <w:pPr>
              <w:pStyle w:val="TableParagraph"/>
              <w:rPr>
                <w:b/>
                <w:sz w:val="21"/>
              </w:rPr>
            </w:pPr>
            <w:r>
              <w:rPr>
                <w:b/>
                <w:sz w:val="21"/>
              </w:rPr>
              <w:t>6.4</w:t>
            </w:r>
          </w:p>
        </w:tc>
        <w:tc>
          <w:tcPr>
            <w:tcW w:w="1859" w:type="dxa"/>
          </w:tcPr>
          <w:p>
            <w:pPr>
              <w:pStyle w:val="TableParagraph"/>
              <w:ind w:left="345"/>
              <w:rPr>
                <w:b/>
                <w:sz w:val="21"/>
              </w:rPr>
            </w:pPr>
            <w:r>
              <w:rPr>
                <w:b/>
                <w:sz w:val="21"/>
              </w:rPr>
              <w:t>少儿重大疾病</w:t>
            </w:r>
          </w:p>
        </w:tc>
        <w:tc>
          <w:tcPr>
            <w:tcW w:w="7040" w:type="dxa"/>
          </w:tcPr>
          <w:p>
            <w:pPr>
              <w:pStyle w:val="TableParagraph"/>
              <w:spacing w:line="273" w:lineRule="auto"/>
              <w:ind w:left="107" w:right="300"/>
              <w:rPr>
                <w:sz w:val="21"/>
              </w:rPr>
            </w:pPr>
            <w:r>
              <w:rPr>
                <w:spacing w:val="-12"/>
                <w:sz w:val="21"/>
              </w:rPr>
              <w:t>指保险责任生效后，经专科医生明确诊断，被保险人初次发生符合以下疾</w:t>
            </w:r>
            <w:r>
              <w:rPr>
                <w:spacing w:val="-6"/>
                <w:sz w:val="21"/>
              </w:rPr>
              <w:t>病定义所述条件的疾病：</w:t>
            </w:r>
          </w:p>
        </w:tc>
      </w:tr>
      <w:tr>
        <w:trPr>
          <w:trHeight w:val="3694" w:hRule="atLeast"/>
        </w:trPr>
        <w:tc>
          <w:tcPr>
            <w:tcW w:w="862" w:type="dxa"/>
          </w:tcPr>
          <w:p>
            <w:pPr>
              <w:pStyle w:val="TableParagraph"/>
              <w:spacing w:before="0"/>
              <w:ind w:left="0"/>
              <w:rPr>
                <w:rFonts w:ascii="Times New Roman"/>
                <w:sz w:val="20"/>
              </w:rPr>
            </w:pPr>
          </w:p>
        </w:tc>
        <w:tc>
          <w:tcPr>
            <w:tcW w:w="1859" w:type="dxa"/>
          </w:tcPr>
          <w:p>
            <w:pPr>
              <w:pStyle w:val="TableParagraph"/>
              <w:ind w:left="345"/>
              <w:rPr>
                <w:sz w:val="21"/>
              </w:rPr>
            </w:pPr>
            <w:r>
              <w:rPr>
                <w:sz w:val="21"/>
              </w:rPr>
              <w:t>(一) 恶性肿瘤</w:t>
            </w:r>
          </w:p>
          <w:p>
            <w:pPr>
              <w:pStyle w:val="TableParagraph"/>
              <w:spacing w:line="273" w:lineRule="auto" w:before="37"/>
              <w:ind w:left="345" w:right="33"/>
              <w:rPr>
                <w:sz w:val="21"/>
              </w:rPr>
            </w:pPr>
            <w:r>
              <w:rPr>
                <w:sz w:val="21"/>
              </w:rPr>
              <w:t>－“中国保险行业协会推荐”</w:t>
            </w:r>
          </w:p>
        </w:tc>
        <w:tc>
          <w:tcPr>
            <w:tcW w:w="7040" w:type="dxa"/>
          </w:tcPr>
          <w:p>
            <w:pPr>
              <w:pStyle w:val="TableParagraph"/>
              <w:spacing w:line="273" w:lineRule="auto"/>
              <w:ind w:left="107" w:right="300"/>
              <w:jc w:val="both"/>
              <w:rPr>
                <w:sz w:val="21"/>
              </w:rPr>
            </w:pPr>
            <w:r>
              <w:rPr>
                <w:spacing w:val="-8"/>
                <w:sz w:val="21"/>
              </w:rPr>
              <w:t>指恶性细胞不受控制的进行性增长和扩散，浸润和破坏周围正常组织，可</w:t>
            </w:r>
            <w:r>
              <w:rPr>
                <w:spacing w:val="-12"/>
                <w:sz w:val="21"/>
              </w:rPr>
              <w:t>以经血管、淋巴管和体腔扩散转移到身体其他部位的疾病。经病理学检查结果明确诊断，临床诊断属于世界卫生组织《疾病和有关健康问题的国际</w:t>
            </w:r>
            <w:r>
              <w:rPr>
                <w:spacing w:val="-3"/>
                <w:sz w:val="21"/>
              </w:rPr>
              <w:t>统计分类》</w:t>
            </w:r>
            <w:r>
              <w:rPr>
                <w:spacing w:val="-1"/>
                <w:sz w:val="21"/>
              </w:rPr>
              <w:t>（ICD-10）</w:t>
            </w:r>
            <w:r>
              <w:rPr>
                <w:spacing w:val="-3"/>
                <w:sz w:val="21"/>
              </w:rPr>
              <w:t>的恶性肿瘤范畴。</w:t>
            </w:r>
          </w:p>
          <w:p>
            <w:pPr>
              <w:pStyle w:val="TableParagraph"/>
              <w:spacing w:before="7"/>
              <w:ind w:left="107"/>
              <w:jc w:val="both"/>
              <w:rPr>
                <w:sz w:val="21"/>
              </w:rPr>
            </w:pPr>
            <w:r>
              <w:rPr>
                <w:sz w:val="21"/>
              </w:rPr>
              <w:t>下列疾病不在保障范围内：</w:t>
            </w:r>
          </w:p>
          <w:p>
            <w:pPr>
              <w:pStyle w:val="TableParagraph"/>
              <w:spacing w:before="36"/>
              <w:ind w:left="107"/>
              <w:jc w:val="both"/>
              <w:rPr>
                <w:sz w:val="21"/>
              </w:rPr>
            </w:pPr>
            <w:r>
              <w:rPr>
                <w:sz w:val="21"/>
              </w:rPr>
              <w:t>（1）原位癌；</w:t>
            </w:r>
          </w:p>
          <w:p>
            <w:pPr>
              <w:pStyle w:val="TableParagraph"/>
              <w:spacing w:before="36"/>
              <w:ind w:left="107"/>
              <w:jc w:val="both"/>
              <w:rPr>
                <w:sz w:val="21"/>
              </w:rPr>
            </w:pPr>
            <w:r>
              <w:rPr>
                <w:sz w:val="21"/>
              </w:rPr>
              <w:t>（2）相当于Binet分期方案A期程度的慢性淋巴细胞白血病；</w:t>
            </w:r>
          </w:p>
          <w:p>
            <w:pPr>
              <w:pStyle w:val="TableParagraph"/>
              <w:spacing w:before="36"/>
              <w:ind w:left="107"/>
              <w:jc w:val="both"/>
              <w:rPr>
                <w:sz w:val="21"/>
              </w:rPr>
            </w:pPr>
            <w:r>
              <w:rPr>
                <w:sz w:val="21"/>
              </w:rPr>
              <w:t>（3）相当于Ann Arbor分期方案I期程度的何杰金氏病；</w:t>
            </w:r>
          </w:p>
          <w:p>
            <w:pPr>
              <w:pStyle w:val="TableParagraph"/>
              <w:spacing w:line="273" w:lineRule="exact" w:before="15"/>
              <w:ind w:left="107"/>
              <w:jc w:val="both"/>
              <w:rPr>
                <w:sz w:val="21"/>
              </w:rPr>
            </w:pPr>
            <w:r>
              <w:rPr>
                <w:sz w:val="21"/>
              </w:rPr>
              <w:t>（4）皮肤癌（不包括恶性黑色素瘤及已发生转移的皮肤癌）；</w:t>
            </w:r>
          </w:p>
          <w:p>
            <w:pPr>
              <w:pStyle w:val="TableParagraph"/>
              <w:spacing w:line="229" w:lineRule="exact" w:before="0"/>
              <w:ind w:left="107"/>
              <w:jc w:val="both"/>
              <w:rPr>
                <w:sz w:val="21"/>
              </w:rPr>
            </w:pPr>
            <w:r>
              <w:rPr>
                <w:sz w:val="21"/>
              </w:rPr>
              <w:t>（5）TNM分期为T N M 期或更轻分期的前列腺癌；</w:t>
            </w:r>
          </w:p>
          <w:p>
            <w:pPr>
              <w:pStyle w:val="TableParagraph"/>
              <w:spacing w:line="100" w:lineRule="exact" w:before="0"/>
              <w:ind w:left="1684"/>
              <w:rPr>
                <w:sz w:val="11"/>
              </w:rPr>
            </w:pPr>
            <w:r>
              <w:rPr>
                <w:sz w:val="11"/>
              </w:rPr>
              <w:t>1  0 0</w:t>
            </w:r>
          </w:p>
          <w:p>
            <w:pPr>
              <w:pStyle w:val="TableParagraph"/>
              <w:spacing w:before="3"/>
              <w:ind w:left="107"/>
              <w:jc w:val="both"/>
              <w:rPr>
                <w:sz w:val="21"/>
              </w:rPr>
            </w:pPr>
            <w:r>
              <w:rPr>
                <w:sz w:val="21"/>
              </w:rPr>
              <w:t>（6）感染艾滋病病毒或患艾滋病期间所患恶性肿瘤。</w:t>
            </w:r>
          </w:p>
        </w:tc>
      </w:tr>
      <w:tr>
        <w:trPr>
          <w:trHeight w:val="1862"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before="124"/>
              <w:ind w:left="345" w:right="105"/>
              <w:jc w:val="both"/>
              <w:rPr>
                <w:sz w:val="21"/>
              </w:rPr>
            </w:pPr>
            <w:r>
              <w:rPr>
                <w:sz w:val="21"/>
              </w:rPr>
              <w:t>(二) 重大器官移植术或造血干细胞移植术</w:t>
            </w:r>
          </w:p>
          <w:p>
            <w:pPr>
              <w:pStyle w:val="TableParagraph"/>
              <w:spacing w:line="273" w:lineRule="auto" w:before="7"/>
              <w:ind w:left="345" w:right="104"/>
              <w:jc w:val="both"/>
              <w:rPr>
                <w:sz w:val="21"/>
              </w:rPr>
            </w:pPr>
            <w:r>
              <w:rPr>
                <w:spacing w:val="-12"/>
                <w:sz w:val="21"/>
              </w:rPr>
              <w:t>－“中国保险行</w:t>
            </w:r>
            <w:r>
              <w:rPr>
                <w:spacing w:val="-6"/>
                <w:sz w:val="21"/>
              </w:rPr>
              <w:t>业协会推荐”</w:t>
            </w:r>
          </w:p>
        </w:tc>
        <w:tc>
          <w:tcPr>
            <w:tcW w:w="7040" w:type="dxa"/>
          </w:tcPr>
          <w:p>
            <w:pPr>
              <w:pStyle w:val="TableParagraph"/>
              <w:spacing w:line="273" w:lineRule="auto" w:before="124"/>
              <w:ind w:left="107" w:right="300"/>
              <w:rPr>
                <w:sz w:val="21"/>
              </w:rPr>
            </w:pPr>
            <w:r>
              <w:rPr>
                <w:spacing w:val="-9"/>
                <w:sz w:val="21"/>
              </w:rPr>
              <w:t>重大器官移植术，指因相应器官功能衰竭，已经实施了肾脏、肝脏、心脏</w:t>
            </w:r>
            <w:r>
              <w:rPr>
                <w:spacing w:val="-5"/>
                <w:sz w:val="21"/>
              </w:rPr>
              <w:t>或肺脏的异体移植手术。</w:t>
            </w:r>
          </w:p>
          <w:p>
            <w:pPr>
              <w:pStyle w:val="TableParagraph"/>
              <w:spacing w:line="273" w:lineRule="auto" w:before="7"/>
              <w:ind w:left="107" w:right="197"/>
              <w:rPr>
                <w:sz w:val="21"/>
              </w:rPr>
            </w:pPr>
            <w:r>
              <w:rPr>
                <w:spacing w:val="-11"/>
                <w:sz w:val="21"/>
              </w:rPr>
              <w:t>造血干细胞移植术，指因造血功能损害或造血系统恶性肿瘤，已经实施了</w:t>
            </w:r>
            <w:r>
              <w:rPr>
                <w:spacing w:val="-27"/>
                <w:sz w:val="21"/>
              </w:rPr>
              <w:t>造血干细胞</w:t>
            </w:r>
            <w:r>
              <w:rPr>
                <w:sz w:val="21"/>
              </w:rPr>
              <w:t>（</w:t>
            </w:r>
            <w:r>
              <w:rPr>
                <w:spacing w:val="-12"/>
                <w:sz w:val="21"/>
              </w:rPr>
              <w:t>包括骨髓造血干细胞、外周血造血干细胞和脐血造血干细胞</w:t>
            </w:r>
            <w:r>
              <w:rPr>
                <w:sz w:val="21"/>
              </w:rPr>
              <w:t>） </w:t>
            </w:r>
            <w:r>
              <w:rPr>
                <w:spacing w:val="-3"/>
                <w:sz w:val="21"/>
              </w:rPr>
              <w:t>的异体移植手术。</w:t>
            </w:r>
          </w:p>
        </w:tc>
      </w:tr>
      <w:tr>
        <w:trPr>
          <w:trHeight w:val="2184"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ind w:left="345" w:right="104"/>
              <w:jc w:val="both"/>
              <w:rPr>
                <w:sz w:val="21"/>
              </w:rPr>
            </w:pPr>
            <w:r>
              <w:rPr>
                <w:spacing w:val="1"/>
                <w:sz w:val="21"/>
              </w:rPr>
              <w:t>(三) 终末期肾</w:t>
            </w:r>
            <w:r>
              <w:rPr>
                <w:spacing w:val="-68"/>
                <w:sz w:val="21"/>
              </w:rPr>
              <w:t>病</w:t>
            </w:r>
            <w:r>
              <w:rPr>
                <w:sz w:val="21"/>
              </w:rPr>
              <w:t>（</w:t>
            </w:r>
            <w:r>
              <w:rPr>
                <w:spacing w:val="-3"/>
                <w:sz w:val="21"/>
              </w:rPr>
              <w:t>或称慢性肾</w:t>
            </w:r>
            <w:r>
              <w:rPr>
                <w:spacing w:val="20"/>
                <w:sz w:val="21"/>
              </w:rPr>
              <w:t>功能衰竭尿毒症期</w:t>
            </w:r>
            <w:r>
              <w:rPr>
                <w:spacing w:val="-24"/>
                <w:sz w:val="21"/>
              </w:rPr>
              <w:t>）</w:t>
            </w:r>
            <w:r>
              <w:rPr>
                <w:spacing w:val="-13"/>
                <w:sz w:val="21"/>
              </w:rPr>
              <w:t>－“中国</w:t>
            </w:r>
            <w:r>
              <w:rPr>
                <w:spacing w:val="20"/>
                <w:sz w:val="21"/>
              </w:rPr>
              <w:t>保险行业协会推荐”</w:t>
            </w:r>
          </w:p>
        </w:tc>
        <w:tc>
          <w:tcPr>
            <w:tcW w:w="7040" w:type="dxa"/>
          </w:tcPr>
          <w:p>
            <w:pPr>
              <w:pStyle w:val="TableParagraph"/>
              <w:ind w:left="107"/>
              <w:rPr>
                <w:sz w:val="21"/>
              </w:rPr>
            </w:pPr>
            <w:r>
              <w:rPr>
                <w:sz w:val="21"/>
              </w:rPr>
              <w:t>指双肾功能慢性不可逆性衰竭，达到尿毒症期，经诊断后已经进行了至少</w:t>
            </w:r>
          </w:p>
          <w:p>
            <w:pPr>
              <w:pStyle w:val="TableParagraph"/>
              <w:spacing w:before="37"/>
              <w:ind w:left="107"/>
              <w:rPr>
                <w:sz w:val="21"/>
              </w:rPr>
            </w:pPr>
            <w:r>
              <w:rPr>
                <w:rFonts w:ascii="Times New Roman" w:eastAsia="Times New Roman"/>
                <w:sz w:val="21"/>
              </w:rPr>
              <w:t>90 </w:t>
            </w:r>
            <w:r>
              <w:rPr>
                <w:sz w:val="21"/>
              </w:rPr>
              <w:t>天的规律性透析治疗或实施了肾脏移植手术。</w:t>
            </w:r>
          </w:p>
        </w:tc>
      </w:tr>
      <w:tr>
        <w:trPr>
          <w:trHeight w:val="2183"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ind w:left="345" w:right="105"/>
              <w:rPr>
                <w:sz w:val="21"/>
              </w:rPr>
            </w:pPr>
            <w:r>
              <w:rPr>
                <w:sz w:val="21"/>
              </w:rPr>
              <w:t>(四) 急性或亚急性重症肝炎</w:t>
            </w:r>
          </w:p>
          <w:p>
            <w:pPr>
              <w:pStyle w:val="TableParagraph"/>
              <w:spacing w:line="273" w:lineRule="auto" w:before="8"/>
              <w:ind w:left="345" w:right="33"/>
              <w:rPr>
                <w:sz w:val="21"/>
              </w:rPr>
            </w:pPr>
            <w:r>
              <w:rPr>
                <w:sz w:val="21"/>
              </w:rPr>
              <w:t>－“中国保险行业协会推荐”</w:t>
            </w:r>
          </w:p>
        </w:tc>
        <w:tc>
          <w:tcPr>
            <w:tcW w:w="7040" w:type="dxa"/>
          </w:tcPr>
          <w:p>
            <w:pPr>
              <w:pStyle w:val="TableParagraph"/>
              <w:spacing w:line="273" w:lineRule="auto"/>
              <w:ind w:left="107" w:right="300"/>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spacing w:before="8"/>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（3）B超或其他影像学检查显示肝脏体积急速萎缩；</w:t>
            </w:r>
          </w:p>
          <w:p>
            <w:pPr>
              <w:pStyle w:val="TableParagraph"/>
              <w:spacing w:before="37"/>
              <w:ind w:left="107"/>
              <w:rPr>
                <w:sz w:val="21"/>
              </w:rPr>
            </w:pPr>
            <w:r>
              <w:rPr>
                <w:sz w:val="21"/>
              </w:rPr>
              <w:t>（4）肝功能指标进行性恶化。</w:t>
            </w:r>
          </w:p>
        </w:tc>
      </w:tr>
      <w:tr>
        <w:trPr>
          <w:trHeight w:val="417" w:hRule="atLeast"/>
        </w:trPr>
        <w:tc>
          <w:tcPr>
            <w:tcW w:w="862" w:type="dxa"/>
          </w:tcPr>
          <w:p>
            <w:pPr>
              <w:pStyle w:val="TableParagraph"/>
              <w:spacing w:before="0"/>
              <w:ind w:left="0"/>
              <w:rPr>
                <w:rFonts w:ascii="Times New Roman"/>
                <w:sz w:val="20"/>
              </w:rPr>
            </w:pPr>
          </w:p>
        </w:tc>
        <w:tc>
          <w:tcPr>
            <w:tcW w:w="1859" w:type="dxa"/>
          </w:tcPr>
          <w:p>
            <w:pPr>
              <w:pStyle w:val="TableParagraph"/>
              <w:spacing w:line="264" w:lineRule="exact"/>
              <w:ind w:left="345"/>
              <w:rPr>
                <w:sz w:val="21"/>
              </w:rPr>
            </w:pPr>
            <w:r>
              <w:rPr>
                <w:sz w:val="21"/>
              </w:rPr>
              <w:t>(五) 良性脑肿</w:t>
            </w:r>
          </w:p>
        </w:tc>
        <w:tc>
          <w:tcPr>
            <w:tcW w:w="7040" w:type="dxa"/>
          </w:tcPr>
          <w:p>
            <w:pPr>
              <w:pStyle w:val="TableParagraph"/>
              <w:spacing w:line="264" w:lineRule="exact"/>
              <w:ind w:left="107"/>
              <w:rPr>
                <w:sz w:val="21"/>
              </w:rPr>
            </w:pPr>
            <w:r>
              <w:rPr>
                <w:sz w:val="21"/>
              </w:rPr>
              <w:t>指脑的良性肿瘤，已经引起颅内压增高，临床表现为视神经乳头水肿、精</w:t>
            </w:r>
          </w:p>
        </w:tc>
      </w:tr>
    </w:tbl>
    <w:p>
      <w:pPr>
        <w:spacing w:after="0" w:line="264" w:lineRule="exact"/>
        <w:rPr>
          <w:sz w:val="21"/>
        </w:rPr>
        <w:sectPr>
          <w:pgSz w:w="11910" w:h="16840"/>
          <w:pgMar w:header="0" w:footer="912" w:top="1460" w:bottom="1100" w:left="100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7006"/>
      </w:tblGrid>
      <w:tr>
        <w:trPr>
          <w:trHeight w:val="1977" w:hRule="atLeast"/>
        </w:trPr>
        <w:tc>
          <w:tcPr>
            <w:tcW w:w="1747" w:type="dxa"/>
          </w:tcPr>
          <w:p>
            <w:pPr>
              <w:pStyle w:val="TableParagraph"/>
              <w:spacing w:line="202" w:lineRule="exact" w:before="0"/>
              <w:rPr>
                <w:sz w:val="21"/>
              </w:rPr>
            </w:pPr>
            <w:r>
              <w:rPr>
                <w:sz w:val="21"/>
              </w:rPr>
              <w:t>瘤－“中国保险</w:t>
            </w:r>
          </w:p>
          <w:p>
            <w:pPr>
              <w:pStyle w:val="TableParagraph"/>
              <w:spacing w:before="37"/>
              <w:rPr>
                <w:sz w:val="21"/>
              </w:rPr>
            </w:pPr>
            <w:r>
              <w:rPr>
                <w:sz w:val="21"/>
              </w:rPr>
              <w:t>行业协会推荐”</w:t>
            </w:r>
          </w:p>
        </w:tc>
        <w:tc>
          <w:tcPr>
            <w:tcW w:w="7006" w:type="dxa"/>
          </w:tcPr>
          <w:p>
            <w:pPr>
              <w:pStyle w:val="TableParagraph"/>
              <w:spacing w:line="202" w:lineRule="exact" w:before="0"/>
              <w:ind w:left="73"/>
              <w:rPr>
                <w:sz w:val="21"/>
              </w:rPr>
            </w:pPr>
            <w:r>
              <w:rPr>
                <w:sz w:val="21"/>
              </w:rPr>
              <w:t>神症状、癫痫及运动感觉障碍等，并危及生命。须由头颅断层扫描（CT）、</w:t>
            </w:r>
          </w:p>
          <w:p>
            <w:pPr>
              <w:pStyle w:val="TableParagraph"/>
              <w:spacing w:line="273" w:lineRule="auto" w:before="37"/>
              <w:ind w:left="73" w:right="206"/>
              <w:rPr>
                <w:sz w:val="21"/>
              </w:rPr>
            </w:pPr>
            <w:r>
              <w:rPr>
                <w:sz w:val="21"/>
              </w:rPr>
              <w:t>核磁共振检查（MRI）或正电子发射断层扫描（PET）等影像学检查证实， 并须满足下列至少一项条件：</w:t>
            </w:r>
          </w:p>
          <w:p>
            <w:pPr>
              <w:pStyle w:val="TableParagraph"/>
              <w:spacing w:before="7"/>
              <w:ind w:left="73"/>
              <w:rPr>
                <w:sz w:val="21"/>
              </w:rPr>
            </w:pPr>
            <w:r>
              <w:rPr>
                <w:sz w:val="21"/>
              </w:rPr>
              <w:t>（1）实际实施了开颅进行的脑肿瘤完全切除或部分切除的手术；</w:t>
            </w:r>
          </w:p>
          <w:p>
            <w:pPr>
              <w:pStyle w:val="TableParagraph"/>
              <w:spacing w:before="37"/>
              <w:ind w:left="73"/>
              <w:rPr>
                <w:sz w:val="21"/>
              </w:rPr>
            </w:pPr>
            <w:r>
              <w:rPr>
                <w:sz w:val="21"/>
              </w:rPr>
              <w:t>（2）实际实施了对脑肿瘤进行的放射治疗。</w:t>
            </w:r>
          </w:p>
          <w:p>
            <w:pPr>
              <w:pStyle w:val="TableParagraph"/>
              <w:spacing w:before="37"/>
              <w:ind w:left="73"/>
              <w:rPr>
                <w:sz w:val="21"/>
              </w:rPr>
            </w:pPr>
            <w:r>
              <w:rPr>
                <w:sz w:val="21"/>
              </w:rPr>
              <w:t>脑垂体瘤、脑囊肿、脑血管性疾病不在保障范围内。</w:t>
            </w:r>
          </w:p>
        </w:tc>
      </w:tr>
      <w:tr>
        <w:trPr>
          <w:trHeight w:val="2184" w:hRule="atLeast"/>
        </w:trPr>
        <w:tc>
          <w:tcPr>
            <w:tcW w:w="1747" w:type="dxa"/>
          </w:tcPr>
          <w:p>
            <w:pPr>
              <w:pStyle w:val="TableParagraph"/>
              <w:spacing w:line="273" w:lineRule="auto"/>
              <w:ind w:right="71"/>
              <w:jc w:val="both"/>
              <w:rPr>
                <w:sz w:val="21"/>
              </w:rPr>
            </w:pPr>
            <w:r>
              <w:rPr>
                <w:sz w:val="21"/>
              </w:rPr>
              <w:t>(六) 慢性肝功能衰竭失代偿期－“中国保险行业协会推荐”</w:t>
            </w:r>
          </w:p>
        </w:tc>
        <w:tc>
          <w:tcPr>
            <w:tcW w:w="7006" w:type="dxa"/>
          </w:tcPr>
          <w:p>
            <w:pPr>
              <w:pStyle w:val="TableParagraph"/>
              <w:ind w:left="73"/>
              <w:rPr>
                <w:sz w:val="21"/>
              </w:rPr>
            </w:pPr>
            <w:r>
              <w:rPr>
                <w:sz w:val="21"/>
              </w:rPr>
              <w:t>指因慢性肝脏疾病导致肝功能衰竭。须满足下列全部条件：</w:t>
            </w:r>
          </w:p>
          <w:p>
            <w:pPr>
              <w:pStyle w:val="TableParagraph"/>
              <w:spacing w:before="37"/>
              <w:ind w:left="73"/>
              <w:rPr>
                <w:sz w:val="21"/>
              </w:rPr>
            </w:pPr>
            <w:r>
              <w:rPr>
                <w:sz w:val="21"/>
              </w:rPr>
              <w:t>（1）持续性黄疸；</w:t>
            </w:r>
          </w:p>
          <w:p>
            <w:pPr>
              <w:pStyle w:val="TableParagraph"/>
              <w:spacing w:before="37"/>
              <w:ind w:left="73"/>
              <w:rPr>
                <w:sz w:val="21"/>
              </w:rPr>
            </w:pPr>
            <w:r>
              <w:rPr>
                <w:sz w:val="21"/>
              </w:rPr>
              <w:t>（2）腹水；</w:t>
            </w:r>
          </w:p>
          <w:p>
            <w:pPr>
              <w:pStyle w:val="TableParagraph"/>
              <w:spacing w:before="37"/>
              <w:ind w:left="73"/>
              <w:rPr>
                <w:sz w:val="21"/>
              </w:rPr>
            </w:pPr>
            <w:r>
              <w:rPr>
                <w:sz w:val="21"/>
              </w:rPr>
              <w:t>（3）肝性脑病；</w:t>
            </w:r>
          </w:p>
          <w:p>
            <w:pPr>
              <w:pStyle w:val="TableParagraph"/>
              <w:spacing w:line="273" w:lineRule="auto" w:before="37"/>
              <w:ind w:left="73" w:right="1781"/>
              <w:rPr>
                <w:sz w:val="21"/>
              </w:rPr>
            </w:pPr>
            <w:r>
              <w:rPr>
                <w:sz w:val="21"/>
              </w:rPr>
              <w:t>（4）充血性脾肿大伴脾功能亢进或食管胃底静脉曲张。因酗酒或药物滥用导致的肝功能衰竭不在保障范围内。</w:t>
            </w:r>
          </w:p>
        </w:tc>
      </w:tr>
      <w:tr>
        <w:trPr>
          <w:trHeight w:val="2184" w:hRule="atLeast"/>
        </w:trPr>
        <w:tc>
          <w:tcPr>
            <w:tcW w:w="1747" w:type="dxa"/>
          </w:tcPr>
          <w:p>
            <w:pPr>
              <w:pStyle w:val="TableParagraph"/>
              <w:spacing w:line="273" w:lineRule="auto"/>
              <w:ind w:right="138"/>
              <w:jc w:val="both"/>
              <w:rPr>
                <w:sz w:val="21"/>
              </w:rPr>
            </w:pPr>
            <w:r>
              <w:rPr>
                <w:sz w:val="21"/>
              </w:rPr>
              <w:t>(七) 脑炎后遗症或脑膜炎后遗症－“中国保险行业协会推荐”</w:t>
            </w:r>
          </w:p>
        </w:tc>
        <w:tc>
          <w:tcPr>
            <w:tcW w:w="7006" w:type="dxa"/>
          </w:tcPr>
          <w:p>
            <w:pPr>
              <w:pStyle w:val="TableParagraph"/>
              <w:spacing w:line="273" w:lineRule="auto"/>
              <w:ind w:left="73" w:right="300"/>
              <w:rPr>
                <w:sz w:val="21"/>
              </w:rPr>
            </w:pPr>
            <w:r>
              <w:rPr>
                <w:spacing w:val="-7"/>
                <w:sz w:val="21"/>
              </w:rPr>
              <w:t>指因患脑炎或脑膜炎导致的神经系统永久性的功能障碍。神经系统永久性</w:t>
            </w:r>
            <w:r>
              <w:rPr>
                <w:spacing w:val="-3"/>
                <w:sz w:val="21"/>
              </w:rPr>
              <w:t>的功能障碍，指疾病确诊</w:t>
            </w:r>
            <w:r>
              <w:rPr>
                <w:sz w:val="21"/>
              </w:rPr>
              <w:t>180</w:t>
            </w:r>
            <w:r>
              <w:rPr>
                <w:spacing w:val="-3"/>
                <w:sz w:val="21"/>
              </w:rPr>
              <w:t>天后，仍遗留下列一种或一种以上障碍：</w:t>
            </w:r>
          </w:p>
          <w:p>
            <w:pPr>
              <w:pStyle w:val="TableParagraph"/>
              <w:spacing w:before="8"/>
              <w:ind w:left="73"/>
              <w:rPr>
                <w:sz w:val="21"/>
              </w:rPr>
            </w:pPr>
            <w:r>
              <w:rPr>
                <w:sz w:val="21"/>
              </w:rPr>
              <w:t>（1）一肢或一肢以上</w:t>
            </w:r>
            <w:r>
              <w:rPr>
                <w:b/>
                <w:sz w:val="21"/>
              </w:rPr>
              <w:t>肢体机能完全丧失</w:t>
            </w:r>
            <w:r>
              <w:rPr>
                <w:sz w:val="21"/>
              </w:rPr>
              <w:t>（见释义6.19）；</w:t>
            </w:r>
          </w:p>
          <w:p>
            <w:pPr>
              <w:pStyle w:val="TableParagraph"/>
              <w:spacing w:before="37"/>
              <w:ind w:left="73"/>
              <w:rPr>
                <w:sz w:val="21"/>
              </w:rPr>
            </w:pPr>
            <w:r>
              <w:rPr>
                <w:sz w:val="21"/>
              </w:rPr>
              <w:t>（2）</w:t>
            </w:r>
            <w:r>
              <w:rPr>
                <w:b/>
                <w:sz w:val="21"/>
              </w:rPr>
              <w:t>语言能力或咀嚼吞咽能力完全丧失</w:t>
            </w:r>
            <w:r>
              <w:rPr>
                <w:sz w:val="21"/>
              </w:rPr>
              <w:t>（见释义6.20）；</w:t>
            </w:r>
          </w:p>
          <w:p>
            <w:pPr>
              <w:pStyle w:val="TableParagraph"/>
              <w:spacing w:line="273" w:lineRule="auto" w:before="37"/>
              <w:ind w:left="599" w:right="305" w:hanging="526"/>
              <w:rPr>
                <w:sz w:val="21"/>
              </w:rPr>
            </w:pPr>
            <w:r>
              <w:rPr>
                <w:sz w:val="21"/>
              </w:rPr>
              <w:t>（3）自主生活能力完全丧失，无法独立完成</w:t>
            </w:r>
            <w:r>
              <w:rPr>
                <w:b/>
                <w:sz w:val="21"/>
              </w:rPr>
              <w:t>六项基本日常生活活动</w:t>
            </w:r>
            <w:r>
              <w:rPr>
                <w:sz w:val="21"/>
              </w:rPr>
              <w:t>（见释义 6.21）中的三项或三项以上。</w:t>
            </w:r>
          </w:p>
        </w:tc>
      </w:tr>
      <w:tr>
        <w:trPr>
          <w:trHeight w:val="1560" w:hRule="atLeast"/>
        </w:trPr>
        <w:tc>
          <w:tcPr>
            <w:tcW w:w="1747" w:type="dxa"/>
          </w:tcPr>
          <w:p>
            <w:pPr>
              <w:pStyle w:val="TableParagraph"/>
              <w:rPr>
                <w:sz w:val="21"/>
              </w:rPr>
            </w:pPr>
            <w:r>
              <w:rPr>
                <w:sz w:val="21"/>
              </w:rPr>
              <w:t>(八) 深度昏迷</w:t>
            </w:r>
          </w:p>
          <w:p>
            <w:pPr>
              <w:pStyle w:val="TableParagraph"/>
              <w:spacing w:line="273" w:lineRule="auto" w:before="37"/>
              <w:ind w:right="67"/>
              <w:rPr>
                <w:sz w:val="21"/>
              </w:rPr>
            </w:pPr>
            <w:r>
              <w:rPr>
                <w:sz w:val="21"/>
              </w:rPr>
              <w:t>－“中国保险行业协会推荐”</w:t>
            </w:r>
          </w:p>
        </w:tc>
        <w:tc>
          <w:tcPr>
            <w:tcW w:w="7006" w:type="dxa"/>
          </w:tcPr>
          <w:p>
            <w:pPr>
              <w:pStyle w:val="TableParagraph"/>
              <w:spacing w:line="273" w:lineRule="auto"/>
              <w:ind w:left="73" w:right="241"/>
              <w:rPr>
                <w:sz w:val="21"/>
              </w:rPr>
            </w:pPr>
            <w:r>
              <w:rPr>
                <w:spacing w:val="-3"/>
                <w:sz w:val="21"/>
              </w:rPr>
              <w:t>指因疾病或意外伤害导致意识丧失,对外界刺激和体内需求均无反应,昏迷程度按照格拉斯哥昏迷分级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z w:val="21"/>
              </w:rPr>
              <w:t>分以</w:t>
            </w:r>
            <w:r>
              <w:rPr>
                <w:spacing w:val="-3"/>
                <w:sz w:val="21"/>
              </w:rPr>
              <w:t>下，且已经持续使用呼吸机及其他生命维持系统</w:t>
            </w:r>
            <w:r>
              <w:rPr>
                <w:sz w:val="21"/>
              </w:rPr>
              <w:t>96</w:t>
            </w:r>
            <w:r>
              <w:rPr>
                <w:spacing w:val="-1"/>
                <w:sz w:val="21"/>
              </w:rPr>
              <w:t>小时以上。</w:t>
            </w:r>
          </w:p>
          <w:p>
            <w:pPr>
              <w:pStyle w:val="TableParagraph"/>
              <w:spacing w:before="8"/>
              <w:ind w:left="73"/>
              <w:rPr>
                <w:sz w:val="21"/>
              </w:rPr>
            </w:pPr>
            <w:r>
              <w:rPr>
                <w:sz w:val="21"/>
              </w:rPr>
              <w:t>因酗酒或药物滥用导致的深度昏迷不在保障范围内。</w:t>
            </w:r>
          </w:p>
        </w:tc>
      </w:tr>
      <w:tr>
        <w:trPr>
          <w:trHeight w:val="1871" w:hRule="atLeast"/>
        </w:trPr>
        <w:tc>
          <w:tcPr>
            <w:tcW w:w="1747" w:type="dxa"/>
          </w:tcPr>
          <w:p>
            <w:pPr>
              <w:pStyle w:val="TableParagraph"/>
              <w:rPr>
                <w:sz w:val="21"/>
              </w:rPr>
            </w:pPr>
            <w:r>
              <w:rPr>
                <w:sz w:val="21"/>
              </w:rPr>
              <w:t>(九) 双耳失聪</w:t>
            </w:r>
          </w:p>
          <w:p>
            <w:pPr>
              <w:pStyle w:val="TableParagraph"/>
              <w:spacing w:line="273" w:lineRule="auto" w:before="37"/>
              <w:ind w:right="67"/>
              <w:rPr>
                <w:sz w:val="21"/>
              </w:rPr>
            </w:pPr>
            <w:r>
              <w:rPr>
                <w:sz w:val="21"/>
              </w:rPr>
              <w:t>－“中国保险行业协会推荐”</w:t>
            </w:r>
          </w:p>
        </w:tc>
        <w:tc>
          <w:tcPr>
            <w:tcW w:w="7006" w:type="dxa"/>
          </w:tcPr>
          <w:p>
            <w:pPr>
              <w:pStyle w:val="TableParagraph"/>
              <w:spacing w:line="273" w:lineRule="auto"/>
              <w:ind w:left="73" w:right="197"/>
              <w:rPr>
                <w:sz w:val="21"/>
              </w:rPr>
            </w:pPr>
            <w:r>
              <w:rPr>
                <w:spacing w:val="-3"/>
                <w:sz w:val="21"/>
              </w:rPr>
              <w:t>指因疾病或意外伤害导致双耳听力</w:t>
            </w:r>
            <w:r>
              <w:rPr>
                <w:b/>
                <w:sz w:val="21"/>
              </w:rPr>
              <w:t>永久不可逆</w:t>
            </w:r>
            <w:r>
              <w:rPr>
                <w:sz w:val="21"/>
              </w:rPr>
              <w:t>（</w:t>
            </w:r>
            <w:r>
              <w:rPr>
                <w:spacing w:val="0"/>
                <w:sz w:val="21"/>
              </w:rPr>
              <w:t>见释义 </w:t>
            </w:r>
            <w:r>
              <w:rPr>
                <w:sz w:val="21"/>
              </w:rPr>
              <w:t>6.22）</w:t>
            </w:r>
            <w:r>
              <w:rPr>
                <w:spacing w:val="-2"/>
                <w:sz w:val="21"/>
              </w:rPr>
              <w:t>性丧失， </w:t>
            </w:r>
            <w:r>
              <w:rPr>
                <w:spacing w:val="-26"/>
                <w:sz w:val="21"/>
              </w:rPr>
              <w:t>在 </w:t>
            </w:r>
            <w:r>
              <w:rPr>
                <w:sz w:val="21"/>
              </w:rPr>
              <w:t>500</w:t>
            </w:r>
            <w:r>
              <w:rPr>
                <w:spacing w:val="-20"/>
                <w:sz w:val="21"/>
              </w:rPr>
              <w:t> 赫兹、</w:t>
            </w:r>
            <w:r>
              <w:rPr>
                <w:sz w:val="21"/>
              </w:rPr>
              <w:t>1000</w:t>
            </w:r>
            <w:r>
              <w:rPr>
                <w:spacing w:val="-23"/>
                <w:sz w:val="21"/>
              </w:rPr>
              <w:t> 赫兹和 </w:t>
            </w:r>
            <w:r>
              <w:rPr>
                <w:sz w:val="21"/>
              </w:rPr>
              <w:t>2000</w:t>
            </w:r>
            <w:r>
              <w:rPr>
                <w:spacing w:val="-13"/>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8"/>
              <w:ind w:left="73" w:right="300"/>
              <w:rPr>
                <w:sz w:val="21"/>
              </w:rPr>
            </w:pPr>
            <w:r>
              <w:rPr>
                <w:spacing w:val="-8"/>
                <w:sz w:val="21"/>
              </w:rPr>
              <w:t>被保险人申请理赔时年龄必须在三周岁以上，并且需提供理赔当时的听力</w:t>
            </w:r>
            <w:r>
              <w:rPr>
                <w:spacing w:val="-5"/>
                <w:sz w:val="21"/>
              </w:rPr>
              <w:t>丧失诊断及检查证据。</w:t>
            </w:r>
          </w:p>
        </w:tc>
      </w:tr>
      <w:tr>
        <w:trPr>
          <w:trHeight w:val="2808" w:hRule="atLeast"/>
        </w:trPr>
        <w:tc>
          <w:tcPr>
            <w:tcW w:w="1747" w:type="dxa"/>
          </w:tcPr>
          <w:p>
            <w:pPr>
              <w:pStyle w:val="TableParagraph"/>
              <w:rPr>
                <w:sz w:val="21"/>
              </w:rPr>
            </w:pPr>
            <w:r>
              <w:rPr>
                <w:sz w:val="21"/>
              </w:rPr>
              <w:t>(十) 双目失明</w:t>
            </w:r>
          </w:p>
          <w:p>
            <w:pPr>
              <w:pStyle w:val="TableParagraph"/>
              <w:spacing w:line="273" w:lineRule="auto" w:before="37"/>
              <w:ind w:right="67"/>
              <w:rPr>
                <w:sz w:val="21"/>
              </w:rPr>
            </w:pPr>
            <w:r>
              <w:rPr>
                <w:sz w:val="21"/>
              </w:rPr>
              <w:t>－“中国保险行业协会推荐”</w:t>
            </w:r>
          </w:p>
        </w:tc>
        <w:tc>
          <w:tcPr>
            <w:tcW w:w="7006" w:type="dxa"/>
          </w:tcPr>
          <w:p>
            <w:pPr>
              <w:pStyle w:val="TableParagraph"/>
              <w:spacing w:line="273" w:lineRule="auto"/>
              <w:ind w:left="73" w:right="300"/>
              <w:rPr>
                <w:sz w:val="21"/>
              </w:rPr>
            </w:pPr>
            <w:r>
              <w:rPr>
                <w:spacing w:val="-7"/>
                <w:sz w:val="21"/>
              </w:rPr>
              <w:t>指因疾病或意外伤害导致双眼视力永久不可逆性丧失，双眼中较好眼须满</w:t>
            </w:r>
            <w:r>
              <w:rPr>
                <w:spacing w:val="-5"/>
                <w:sz w:val="21"/>
              </w:rPr>
              <w:t>足下列至少一项条件：</w:t>
            </w:r>
          </w:p>
          <w:p>
            <w:pPr>
              <w:pStyle w:val="TableParagraph"/>
              <w:spacing w:before="8"/>
              <w:ind w:left="73"/>
              <w:rPr>
                <w:sz w:val="21"/>
              </w:rPr>
            </w:pPr>
            <w:r>
              <w:rPr>
                <w:sz w:val="21"/>
              </w:rPr>
              <w:t>（1）眼球缺失或摘除；</w:t>
            </w:r>
          </w:p>
          <w:p>
            <w:pPr>
              <w:pStyle w:val="TableParagraph"/>
              <w:spacing w:line="273" w:lineRule="auto" w:before="36"/>
              <w:ind w:left="599" w:right="300" w:hanging="526"/>
              <w:rPr>
                <w:sz w:val="21"/>
              </w:rPr>
            </w:pPr>
            <w:r>
              <w:rPr>
                <w:sz w:val="21"/>
              </w:rPr>
              <w:t>（2）矫正视力低于0.02（采用国际标准视力表，如果使用其他视力表应进行换算）；</w:t>
            </w:r>
          </w:p>
          <w:p>
            <w:pPr>
              <w:pStyle w:val="TableParagraph"/>
              <w:spacing w:before="7"/>
              <w:ind w:left="73"/>
              <w:rPr>
                <w:sz w:val="21"/>
              </w:rPr>
            </w:pPr>
            <w:r>
              <w:rPr>
                <w:sz w:val="21"/>
              </w:rPr>
              <w:t>（3）视野半径小于 5 度。</w:t>
            </w:r>
          </w:p>
          <w:p>
            <w:pPr>
              <w:pStyle w:val="TableParagraph"/>
              <w:spacing w:line="273" w:lineRule="auto" w:before="37"/>
              <w:ind w:left="73" w:right="300"/>
              <w:rPr>
                <w:sz w:val="21"/>
              </w:rPr>
            </w:pPr>
            <w:r>
              <w:rPr>
                <w:spacing w:val="-8"/>
                <w:sz w:val="21"/>
              </w:rPr>
              <w:t>被保险人申请理赔时年龄必须在三周岁以上，并且需提供理赔当时视力丧</w:t>
            </w:r>
            <w:r>
              <w:rPr>
                <w:spacing w:val="-5"/>
                <w:sz w:val="21"/>
              </w:rPr>
              <w:t>失诊断及检查证据。</w:t>
            </w:r>
          </w:p>
        </w:tc>
      </w:tr>
      <w:tr>
        <w:trPr>
          <w:trHeight w:val="1041" w:hRule="atLeast"/>
        </w:trPr>
        <w:tc>
          <w:tcPr>
            <w:tcW w:w="1747" w:type="dxa"/>
          </w:tcPr>
          <w:p>
            <w:pPr>
              <w:pStyle w:val="TableParagraph"/>
              <w:rPr>
                <w:sz w:val="21"/>
              </w:rPr>
            </w:pPr>
            <w:r>
              <w:rPr>
                <w:sz w:val="21"/>
              </w:rPr>
              <w:t>(十一) 瘫痪－</w:t>
            </w:r>
          </w:p>
          <w:p>
            <w:pPr>
              <w:pStyle w:val="TableParagraph"/>
              <w:spacing w:line="310" w:lineRule="atLeast" w:before="2"/>
              <w:ind w:right="139"/>
              <w:rPr>
                <w:sz w:val="21"/>
              </w:rPr>
            </w:pPr>
            <w:r>
              <w:rPr>
                <w:sz w:val="21"/>
              </w:rPr>
              <w:t>“ 中国保险行业协会推荐”</w:t>
            </w:r>
          </w:p>
        </w:tc>
        <w:tc>
          <w:tcPr>
            <w:tcW w:w="7006" w:type="dxa"/>
          </w:tcPr>
          <w:p>
            <w:pPr>
              <w:pStyle w:val="TableParagraph"/>
              <w:spacing w:line="312" w:lineRule="exact" w:before="129"/>
              <w:ind w:left="73" w:right="300"/>
              <w:jc w:val="both"/>
              <w:rPr>
                <w:sz w:val="21"/>
              </w:rPr>
            </w:pPr>
            <w:r>
              <w:rPr>
                <w:spacing w:val="-7"/>
                <w:sz w:val="21"/>
              </w:rPr>
              <w:t>指因疾病或意外伤害导致两肢或两肢以上肢体机能永久完全丧失。肢体机</w:t>
            </w:r>
            <w:r>
              <w:rPr>
                <w:spacing w:val="-13"/>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1"/>
                <w:sz w:val="21"/>
              </w:rPr>
              <w:t>天后，每肢三</w:t>
            </w:r>
            <w:r>
              <w:rPr>
                <w:spacing w:val="-6"/>
                <w:sz w:val="21"/>
              </w:rPr>
              <w:t>大关节中的两大关节仍然完全僵硬，或不能随意识活动。</w:t>
            </w:r>
          </w:p>
        </w:tc>
      </w:tr>
    </w:tbl>
    <w:p>
      <w:pPr>
        <w:spacing w:after="0" w:line="312" w:lineRule="exact"/>
        <w:jc w:val="both"/>
        <w:rPr>
          <w:sz w:val="21"/>
        </w:rPr>
        <w:sectPr>
          <w:pgSz w:w="11910" w:h="16840"/>
          <w:pgMar w:header="0" w:footer="912" w:top="1460" w:bottom="1100" w:left="168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6903"/>
      </w:tblGrid>
      <w:tr>
        <w:trPr>
          <w:trHeight w:val="1354" w:hRule="atLeast"/>
        </w:trPr>
        <w:tc>
          <w:tcPr>
            <w:tcW w:w="1747" w:type="dxa"/>
          </w:tcPr>
          <w:p>
            <w:pPr>
              <w:pStyle w:val="TableParagraph"/>
              <w:spacing w:line="202" w:lineRule="exact" w:before="0"/>
              <w:rPr>
                <w:sz w:val="21"/>
              </w:rPr>
            </w:pPr>
            <w:r>
              <w:rPr>
                <w:sz w:val="21"/>
              </w:rPr>
              <w:t>(十二) 心脏瓣</w:t>
            </w:r>
          </w:p>
          <w:p>
            <w:pPr>
              <w:pStyle w:val="TableParagraph"/>
              <w:spacing w:line="273" w:lineRule="auto" w:before="37"/>
              <w:ind w:right="138"/>
              <w:jc w:val="both"/>
              <w:rPr>
                <w:sz w:val="21"/>
              </w:rPr>
            </w:pPr>
            <w:r>
              <w:rPr>
                <w:spacing w:val="-12"/>
                <w:sz w:val="21"/>
              </w:rPr>
              <w:t>膜手术－“中国</w:t>
            </w:r>
            <w:r>
              <w:rPr>
                <w:spacing w:val="20"/>
                <w:sz w:val="21"/>
              </w:rPr>
              <w:t>保险行业协会推荐”</w:t>
            </w:r>
          </w:p>
        </w:tc>
        <w:tc>
          <w:tcPr>
            <w:tcW w:w="6903" w:type="dxa"/>
          </w:tcPr>
          <w:p>
            <w:pPr>
              <w:pStyle w:val="TableParagraph"/>
              <w:spacing w:line="202" w:lineRule="exact" w:before="0"/>
              <w:ind w:left="73"/>
              <w:rPr>
                <w:sz w:val="21"/>
              </w:rPr>
            </w:pPr>
            <w:r>
              <w:rPr>
                <w:sz w:val="21"/>
              </w:rPr>
              <w:t>指为治疗心脏瓣膜疾病，实际实施了开胸进行的心脏瓣膜置换或修复的手</w:t>
            </w:r>
          </w:p>
          <w:p>
            <w:pPr>
              <w:pStyle w:val="TableParagraph"/>
              <w:spacing w:before="37"/>
              <w:ind w:left="73"/>
              <w:rPr>
                <w:sz w:val="21"/>
              </w:rPr>
            </w:pPr>
            <w:r>
              <w:rPr>
                <w:sz w:val="21"/>
              </w:rPr>
              <w:t>术。</w:t>
            </w:r>
          </w:p>
        </w:tc>
      </w:tr>
      <w:tr>
        <w:trPr>
          <w:trHeight w:val="2805" w:hRule="atLeast"/>
        </w:trPr>
        <w:tc>
          <w:tcPr>
            <w:tcW w:w="1747" w:type="dxa"/>
          </w:tcPr>
          <w:p>
            <w:pPr>
              <w:pStyle w:val="TableParagraph"/>
              <w:spacing w:line="273" w:lineRule="auto"/>
              <w:ind w:right="138"/>
              <w:jc w:val="both"/>
              <w:rPr>
                <w:sz w:val="21"/>
              </w:rPr>
            </w:pPr>
            <w:r>
              <w:rPr>
                <w:spacing w:val="1"/>
                <w:sz w:val="21"/>
              </w:rPr>
              <w:t>(十三) 严重脑</w:t>
            </w:r>
            <w:r>
              <w:rPr>
                <w:spacing w:val="-12"/>
                <w:sz w:val="21"/>
              </w:rPr>
              <w:t>损伤－“中国保</w:t>
            </w:r>
            <w:r>
              <w:rPr>
                <w:spacing w:val="20"/>
                <w:sz w:val="21"/>
              </w:rPr>
              <w:t>险行业协会推荐”</w:t>
            </w:r>
          </w:p>
        </w:tc>
        <w:tc>
          <w:tcPr>
            <w:tcW w:w="6903" w:type="dxa"/>
          </w:tcPr>
          <w:p>
            <w:pPr>
              <w:pStyle w:val="TableParagraph"/>
              <w:spacing w:line="273" w:lineRule="auto"/>
              <w:ind w:left="73" w:right="197"/>
              <w:jc w:val="both"/>
              <w:rPr>
                <w:sz w:val="21"/>
              </w:rPr>
            </w:pPr>
            <w:r>
              <w:rPr>
                <w:spacing w:val="-9"/>
                <w:sz w:val="21"/>
              </w:rPr>
              <w:t>指因头部遭受机械性外力，引起脑重要部位损伤，导致神经系统永久性的</w:t>
            </w:r>
            <w:r>
              <w:rPr>
                <w:spacing w:val="-5"/>
                <w:sz w:val="21"/>
              </w:rPr>
              <w:t>功能障碍。须由头颅断层扫描</w:t>
            </w:r>
            <w:r>
              <w:rPr>
                <w:sz w:val="21"/>
              </w:rPr>
              <w:t>（CT）</w:t>
            </w:r>
            <w:r>
              <w:rPr>
                <w:spacing w:val="-3"/>
                <w:sz w:val="21"/>
              </w:rPr>
              <w:t>、核磁共振检查</w:t>
            </w:r>
            <w:r>
              <w:rPr>
                <w:sz w:val="21"/>
              </w:rPr>
              <w:t>（MRI）</w:t>
            </w:r>
            <w:r>
              <w:rPr>
                <w:spacing w:val="-3"/>
                <w:sz w:val="21"/>
              </w:rPr>
              <w:t>或正电子发射断层扫描</w:t>
            </w:r>
            <w:r>
              <w:rPr>
                <w:sz w:val="21"/>
              </w:rPr>
              <w:t>（PET）</w:t>
            </w:r>
            <w:r>
              <w:rPr>
                <w:spacing w:val="-3"/>
                <w:sz w:val="21"/>
              </w:rPr>
              <w:t>等影像学检查证实。神经系统永久性的功能障碍，指</w:t>
            </w:r>
            <w:r>
              <w:rPr>
                <w:spacing w:val="-2"/>
                <w:sz w:val="21"/>
              </w:rPr>
              <w:t>脑损伤</w:t>
            </w:r>
            <w:r>
              <w:rPr>
                <w:spacing w:val="-1"/>
                <w:sz w:val="21"/>
              </w:rPr>
              <w:t>180</w:t>
            </w:r>
            <w:r>
              <w:rPr>
                <w:spacing w:val="-3"/>
                <w:sz w:val="21"/>
              </w:rPr>
              <w:t>天后，仍遗留下列一种或一种以上障碍：</w:t>
            </w:r>
          </w:p>
          <w:p>
            <w:pPr>
              <w:pStyle w:val="TableParagraph"/>
              <w:spacing w:before="8"/>
              <w:ind w:left="73"/>
              <w:rPr>
                <w:sz w:val="21"/>
              </w:rPr>
            </w:pPr>
            <w:r>
              <w:rPr>
                <w:sz w:val="21"/>
              </w:rPr>
              <w:t>（1）一肢或一肢以上肢体机能完全丧失；</w:t>
            </w:r>
          </w:p>
          <w:p>
            <w:pPr>
              <w:pStyle w:val="TableParagraph"/>
              <w:spacing w:before="37"/>
              <w:ind w:left="73"/>
              <w:rPr>
                <w:sz w:val="21"/>
              </w:rPr>
            </w:pPr>
            <w:r>
              <w:rPr>
                <w:sz w:val="21"/>
              </w:rPr>
              <w:t>（2）语言能力或咀嚼吞咽能力完全丧失；</w:t>
            </w:r>
          </w:p>
          <w:p>
            <w:pPr>
              <w:pStyle w:val="TableParagraph"/>
              <w:spacing w:line="273" w:lineRule="auto" w:before="37"/>
              <w:ind w:left="599" w:right="197" w:hanging="526"/>
              <w:rPr>
                <w:sz w:val="21"/>
              </w:rPr>
            </w:pPr>
            <w:r>
              <w:rPr>
                <w:sz w:val="21"/>
              </w:rPr>
              <w:t>（3）自主生活能力完全丧失，无法独立完成六项基本日常生活活动中的三项或三项以上。</w:t>
            </w:r>
          </w:p>
        </w:tc>
      </w:tr>
      <w:tr>
        <w:trPr>
          <w:trHeight w:val="1558" w:hRule="atLeast"/>
        </w:trPr>
        <w:tc>
          <w:tcPr>
            <w:tcW w:w="1747" w:type="dxa"/>
          </w:tcPr>
          <w:p>
            <w:pPr>
              <w:pStyle w:val="TableParagraph"/>
              <w:spacing w:line="266" w:lineRule="auto" w:before="137"/>
              <w:ind w:right="138"/>
              <w:jc w:val="both"/>
              <w:rPr>
                <w:sz w:val="21"/>
              </w:rPr>
            </w:pPr>
            <w:r>
              <w:rPr>
                <w:rFonts w:ascii="Times New Roman" w:hAnsi="Times New Roman" w:eastAsia="Times New Roman"/>
                <w:spacing w:val="-17"/>
                <w:sz w:val="21"/>
              </w:rPr>
              <w:t>( </w:t>
            </w:r>
            <w:r>
              <w:rPr>
                <w:spacing w:val="15"/>
                <w:sz w:val="21"/>
              </w:rPr>
              <w:t>十四</w:t>
            </w:r>
            <w:r>
              <w:rPr>
                <w:rFonts w:ascii="Times New Roman" w:hAnsi="Times New Roman" w:eastAsia="Times New Roman"/>
                <w:spacing w:val="10"/>
                <w:sz w:val="21"/>
              </w:rPr>
              <w:t>) </w:t>
            </w:r>
            <w:r>
              <w:rPr>
                <w:spacing w:val="10"/>
                <w:sz w:val="21"/>
              </w:rPr>
              <w:t>严重Ⅲ </w:t>
            </w:r>
            <w:r>
              <w:rPr>
                <w:spacing w:val="-9"/>
                <w:sz w:val="21"/>
              </w:rPr>
              <w:t>度烧伤－“中国</w:t>
            </w:r>
            <w:r>
              <w:rPr>
                <w:spacing w:val="20"/>
                <w:sz w:val="21"/>
              </w:rPr>
              <w:t>保险行业协会推荐”</w:t>
            </w:r>
          </w:p>
        </w:tc>
        <w:tc>
          <w:tcPr>
            <w:tcW w:w="6903" w:type="dxa"/>
          </w:tcPr>
          <w:p>
            <w:pPr>
              <w:pStyle w:val="TableParagraph"/>
              <w:spacing w:line="273" w:lineRule="auto" w:before="137"/>
              <w:ind w:left="73" w:right="197"/>
              <w:rPr>
                <w:sz w:val="21"/>
              </w:rPr>
            </w:pPr>
            <w:r>
              <w:rPr>
                <w:spacing w:val="-5"/>
                <w:sz w:val="21"/>
              </w:rPr>
              <w:t>指烧伤程度为Ⅲ度，且Ⅲ度烧伤的面积达到全身体表面积的 </w:t>
            </w:r>
            <w:r>
              <w:rPr>
                <w:sz w:val="21"/>
              </w:rPr>
              <w:t>20</w:t>
            </w:r>
            <w:r>
              <w:rPr>
                <w:spacing w:val="-12"/>
                <w:sz w:val="21"/>
              </w:rPr>
              <w:t>%或 </w:t>
            </w:r>
            <w:r>
              <w:rPr>
                <w:sz w:val="21"/>
              </w:rPr>
              <w:t>20%以</w:t>
            </w:r>
            <w:r>
              <w:rPr>
                <w:spacing w:val="-3"/>
                <w:sz w:val="21"/>
              </w:rPr>
              <w:t>上。体表面积根据《中国新九分法》计算。</w:t>
            </w:r>
          </w:p>
        </w:tc>
      </w:tr>
      <w:tr>
        <w:trPr>
          <w:trHeight w:val="1561" w:hRule="atLeast"/>
        </w:trPr>
        <w:tc>
          <w:tcPr>
            <w:tcW w:w="1747" w:type="dxa"/>
          </w:tcPr>
          <w:p>
            <w:pPr>
              <w:pStyle w:val="TableParagraph"/>
              <w:spacing w:line="268" w:lineRule="auto" w:before="138"/>
              <w:ind w:right="71"/>
              <w:jc w:val="both"/>
              <w:rPr>
                <w:sz w:val="21"/>
              </w:rPr>
            </w:pPr>
            <w:r>
              <w:rPr>
                <w:rFonts w:ascii="Arial" w:hAnsi="Arial" w:eastAsia="Arial"/>
                <w:sz w:val="21"/>
              </w:rPr>
              <w:t>( </w:t>
            </w:r>
            <w:r>
              <w:rPr>
                <w:sz w:val="21"/>
              </w:rPr>
              <w:t>十五</w:t>
            </w:r>
            <w:r>
              <w:rPr>
                <w:rFonts w:ascii="Arial" w:hAnsi="Arial" w:eastAsia="Arial"/>
                <w:sz w:val="21"/>
              </w:rPr>
              <w:t>) </w:t>
            </w:r>
            <w:r>
              <w:rPr>
                <w:sz w:val="21"/>
              </w:rPr>
              <w:t>严重原发性肺动脉高压－“中国保险行业协会推荐”</w:t>
            </w:r>
          </w:p>
        </w:tc>
        <w:tc>
          <w:tcPr>
            <w:tcW w:w="6903" w:type="dxa"/>
          </w:tcPr>
          <w:p>
            <w:pPr>
              <w:pStyle w:val="TableParagraph"/>
              <w:spacing w:line="273" w:lineRule="auto" w:before="138"/>
              <w:ind w:left="73" w:right="197"/>
              <w:jc w:val="both"/>
              <w:rPr>
                <w:sz w:val="21"/>
              </w:rPr>
            </w:pPr>
            <w:r>
              <w:rPr>
                <w:spacing w:val="-8"/>
                <w:sz w:val="21"/>
              </w:rPr>
              <w:t>指不明原因的肺动脉压力持续性增高，进行性发展而导致的慢性疾病，已</w:t>
            </w:r>
            <w:r>
              <w:rPr>
                <w:spacing w:val="-10"/>
                <w:sz w:val="21"/>
              </w:rPr>
              <w:t>经造成永久不可逆性的体力活动能力受限，达到美国纽约心脏病学会心功</w:t>
            </w:r>
            <w:r>
              <w:rPr>
                <w:spacing w:val="-13"/>
                <w:sz w:val="21"/>
              </w:rPr>
              <w:t>能状态分级 </w:t>
            </w:r>
            <w:r>
              <w:rPr>
                <w:sz w:val="21"/>
              </w:rPr>
              <w:t>IV</w:t>
            </w:r>
            <w:r>
              <w:rPr>
                <w:spacing w:val="-11"/>
                <w:sz w:val="21"/>
              </w:rPr>
              <w:t> 级，且静息状态下肺动脉平均压超过 </w:t>
            </w:r>
            <w:r>
              <w:rPr>
                <w:sz w:val="21"/>
              </w:rPr>
              <w:t>30mmHg。</w:t>
            </w:r>
          </w:p>
        </w:tc>
      </w:tr>
      <w:tr>
        <w:trPr>
          <w:trHeight w:val="1872" w:hRule="atLeast"/>
        </w:trPr>
        <w:tc>
          <w:tcPr>
            <w:tcW w:w="1747" w:type="dxa"/>
          </w:tcPr>
          <w:p>
            <w:pPr>
              <w:pStyle w:val="TableParagraph"/>
              <w:spacing w:line="266" w:lineRule="auto" w:before="137"/>
              <w:ind w:right="138"/>
              <w:jc w:val="both"/>
              <w:rPr>
                <w:sz w:val="21"/>
              </w:rPr>
            </w:pPr>
            <w:r>
              <w:rPr>
                <w:rFonts w:ascii="Times New Roman" w:hAnsi="Times New Roman" w:eastAsia="Times New Roman"/>
                <w:spacing w:val="-17"/>
                <w:sz w:val="21"/>
              </w:rPr>
              <w:t>( </w:t>
            </w:r>
            <w:r>
              <w:rPr>
                <w:spacing w:val="15"/>
                <w:sz w:val="21"/>
              </w:rPr>
              <w:t>十六</w:t>
            </w:r>
            <w:r>
              <w:rPr>
                <w:rFonts w:ascii="Times New Roman" w:hAnsi="Times New Roman" w:eastAsia="Times New Roman"/>
                <w:spacing w:val="10"/>
                <w:sz w:val="21"/>
              </w:rPr>
              <w:t>) </w:t>
            </w:r>
            <w:r>
              <w:rPr>
                <w:spacing w:val="10"/>
                <w:sz w:val="21"/>
              </w:rPr>
              <w:t>语言能</w:t>
            </w:r>
            <w:r>
              <w:rPr>
                <w:spacing w:val="-9"/>
                <w:sz w:val="21"/>
              </w:rPr>
              <w:t>力丧失－“中国</w:t>
            </w:r>
            <w:r>
              <w:rPr>
                <w:spacing w:val="20"/>
                <w:sz w:val="21"/>
              </w:rPr>
              <w:t>保险行业协会推荐”</w:t>
            </w:r>
          </w:p>
        </w:tc>
        <w:tc>
          <w:tcPr>
            <w:tcW w:w="6903" w:type="dxa"/>
          </w:tcPr>
          <w:p>
            <w:pPr>
              <w:pStyle w:val="TableParagraph"/>
              <w:spacing w:before="137"/>
              <w:ind w:left="73"/>
              <w:rPr>
                <w:sz w:val="21"/>
              </w:rPr>
            </w:pPr>
            <w:r>
              <w:rPr>
                <w:sz w:val="21"/>
              </w:rPr>
              <w:t>指因疾病或意外伤害导致完全丧失语言能力，经过积极治疗至少12个月</w:t>
            </w:r>
          </w:p>
          <w:p>
            <w:pPr>
              <w:pStyle w:val="TableParagraph"/>
              <w:spacing w:line="273" w:lineRule="auto" w:before="36"/>
              <w:ind w:left="73" w:right="521"/>
              <w:rPr>
                <w:sz w:val="21"/>
              </w:rPr>
            </w:pPr>
            <w:r>
              <w:rPr>
                <w:sz w:val="21"/>
              </w:rPr>
              <w:t>（声带完全切除不受此时间限制），仍无法通过现有医疗手段恢复。精神心理因素所致的语言能力丧失不在保障范围内。</w:t>
            </w:r>
          </w:p>
          <w:p>
            <w:pPr>
              <w:pStyle w:val="TableParagraph"/>
              <w:spacing w:line="273" w:lineRule="auto" w:before="7"/>
              <w:ind w:left="73" w:right="197"/>
              <w:rPr>
                <w:sz w:val="21"/>
              </w:rPr>
            </w:pPr>
            <w:r>
              <w:rPr>
                <w:spacing w:val="-8"/>
                <w:sz w:val="21"/>
              </w:rPr>
              <w:t>被保险人申请理赔时年龄必须在三周岁以上，并且需提供理赔当时的语言</w:t>
            </w:r>
            <w:r>
              <w:rPr>
                <w:spacing w:val="-5"/>
                <w:sz w:val="21"/>
              </w:rPr>
              <w:t>能力丧失诊断及检查证据。</w:t>
            </w:r>
          </w:p>
        </w:tc>
      </w:tr>
      <w:tr>
        <w:trPr>
          <w:trHeight w:val="2466" w:hRule="atLeast"/>
        </w:trPr>
        <w:tc>
          <w:tcPr>
            <w:tcW w:w="1747" w:type="dxa"/>
          </w:tcPr>
          <w:p>
            <w:pPr>
              <w:pStyle w:val="TableParagraph"/>
              <w:spacing w:line="256" w:lineRule="auto" w:before="137"/>
              <w:ind w:right="138"/>
              <w:rPr>
                <w:sz w:val="21"/>
              </w:rPr>
            </w:pPr>
            <w:r>
              <w:rPr>
                <w:rFonts w:ascii="Times New Roman" w:eastAsia="Times New Roman"/>
                <w:sz w:val="21"/>
              </w:rPr>
              <w:t>( </w:t>
            </w:r>
            <w:r>
              <w:rPr>
                <w:sz w:val="21"/>
              </w:rPr>
              <w:t>十七</w:t>
            </w:r>
            <w:r>
              <w:rPr>
                <w:rFonts w:ascii="Times New Roman" w:eastAsia="Times New Roman"/>
                <w:sz w:val="21"/>
              </w:rPr>
              <w:t>) </w:t>
            </w:r>
            <w:r>
              <w:rPr>
                <w:sz w:val="21"/>
              </w:rPr>
              <w:t>重型再生障碍性贫血</w:t>
            </w:r>
          </w:p>
          <w:p>
            <w:pPr>
              <w:pStyle w:val="TableParagraph"/>
              <w:spacing w:line="273" w:lineRule="auto" w:before="22"/>
              <w:ind w:right="67"/>
              <w:rPr>
                <w:sz w:val="21"/>
              </w:rPr>
            </w:pPr>
            <w:r>
              <w:rPr>
                <w:sz w:val="21"/>
              </w:rPr>
              <w:t>－“中国保险行业协会推荐”</w:t>
            </w:r>
          </w:p>
        </w:tc>
        <w:tc>
          <w:tcPr>
            <w:tcW w:w="6903" w:type="dxa"/>
          </w:tcPr>
          <w:p>
            <w:pPr>
              <w:pStyle w:val="TableParagraph"/>
              <w:spacing w:line="273" w:lineRule="auto" w:before="137"/>
              <w:ind w:left="73" w:right="197"/>
              <w:rPr>
                <w:sz w:val="21"/>
              </w:rPr>
            </w:pPr>
            <w:r>
              <w:rPr>
                <w:spacing w:val="-8"/>
                <w:sz w:val="21"/>
              </w:rPr>
              <w:t>指因骨髓造血功能慢性持续性衰竭导致的贫血、中性粒细胞减少及血小板</w:t>
            </w:r>
            <w:r>
              <w:rPr>
                <w:spacing w:val="-5"/>
                <w:sz w:val="21"/>
              </w:rPr>
              <w:t>减少。须满足下列全部条件：</w:t>
            </w:r>
          </w:p>
          <w:p>
            <w:pPr>
              <w:pStyle w:val="TableParagraph"/>
              <w:spacing w:before="7"/>
              <w:ind w:left="73"/>
              <w:rPr>
                <w:sz w:val="21"/>
              </w:rPr>
            </w:pPr>
            <w:r>
              <w:rPr>
                <w:sz w:val="21"/>
              </w:rPr>
              <w:t>（1）骨髓穿刺检查或骨髓活检结果支持诊断；</w:t>
            </w:r>
          </w:p>
          <w:p>
            <w:pPr>
              <w:pStyle w:val="TableParagraph"/>
              <w:spacing w:before="15"/>
              <w:ind w:left="73"/>
              <w:rPr>
                <w:sz w:val="21"/>
              </w:rPr>
            </w:pPr>
            <w:r>
              <w:rPr>
                <w:sz w:val="21"/>
              </w:rPr>
              <w:t>（2）外周血象须具备以下三项条件：</w:t>
            </w:r>
          </w:p>
          <w:p>
            <w:pPr>
              <w:pStyle w:val="TableParagraph"/>
              <w:spacing w:line="99" w:lineRule="exact" w:before="3"/>
              <w:ind w:left="303"/>
              <w:jc w:val="center"/>
              <w:rPr>
                <w:sz w:val="11"/>
              </w:rPr>
            </w:pPr>
            <w:r>
              <w:rPr>
                <w:w w:val="100"/>
                <w:sz w:val="11"/>
              </w:rPr>
              <w:t>9</w:t>
            </w:r>
          </w:p>
          <w:p>
            <w:pPr>
              <w:pStyle w:val="TableParagraph"/>
              <w:spacing w:line="229" w:lineRule="exact" w:before="0"/>
              <w:ind w:left="632"/>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32"/>
              <w:rPr>
                <w:sz w:val="21"/>
              </w:rPr>
            </w:pPr>
            <w:r>
              <w:rPr>
                <w:sz w:val="21"/>
              </w:rPr>
              <w:t>② 网织红细胞＜1%；</w:t>
            </w:r>
          </w:p>
          <w:p>
            <w:pPr>
              <w:pStyle w:val="TableParagraph"/>
              <w:spacing w:line="99" w:lineRule="exact" w:before="2"/>
              <w:ind w:left="0" w:right="750"/>
              <w:jc w:val="center"/>
              <w:rPr>
                <w:sz w:val="11"/>
              </w:rPr>
            </w:pPr>
            <w:r>
              <w:rPr>
                <w:w w:val="100"/>
                <w:sz w:val="11"/>
              </w:rPr>
              <w:t>9</w:t>
            </w:r>
          </w:p>
          <w:p>
            <w:pPr>
              <w:pStyle w:val="TableParagraph"/>
              <w:spacing w:line="230" w:lineRule="exact" w:before="0"/>
              <w:ind w:left="632"/>
              <w:rPr>
                <w:sz w:val="21"/>
              </w:rPr>
            </w:pPr>
            <w:r>
              <w:rPr>
                <w:sz w:val="21"/>
              </w:rPr>
              <w:t>③ 血小板绝对值≤20×10 /L。</w:t>
            </w:r>
          </w:p>
        </w:tc>
      </w:tr>
      <w:tr>
        <w:trPr>
          <w:trHeight w:val="1554" w:hRule="atLeast"/>
        </w:trPr>
        <w:tc>
          <w:tcPr>
            <w:tcW w:w="1747" w:type="dxa"/>
          </w:tcPr>
          <w:p>
            <w:pPr>
              <w:pStyle w:val="TableParagraph"/>
              <w:spacing w:line="266" w:lineRule="auto" w:before="129"/>
              <w:ind w:right="138"/>
              <w:jc w:val="both"/>
              <w:rPr>
                <w:sz w:val="21"/>
              </w:rPr>
            </w:pPr>
            <w:r>
              <w:rPr>
                <w:rFonts w:ascii="Times New Roman" w:hAnsi="Times New Roman" w:eastAsia="Times New Roman"/>
                <w:spacing w:val="-17"/>
                <w:sz w:val="21"/>
              </w:rPr>
              <w:t>( </w:t>
            </w:r>
            <w:r>
              <w:rPr>
                <w:spacing w:val="15"/>
                <w:sz w:val="21"/>
              </w:rPr>
              <w:t>十八</w:t>
            </w:r>
            <w:r>
              <w:rPr>
                <w:rFonts w:ascii="Times New Roman" w:hAnsi="Times New Roman" w:eastAsia="Times New Roman"/>
                <w:spacing w:val="10"/>
                <w:sz w:val="21"/>
              </w:rPr>
              <w:t>) </w:t>
            </w:r>
            <w:r>
              <w:rPr>
                <w:spacing w:val="10"/>
                <w:sz w:val="21"/>
              </w:rPr>
              <w:t>主动脉</w:t>
            </w:r>
            <w:r>
              <w:rPr>
                <w:spacing w:val="-10"/>
                <w:sz w:val="21"/>
              </w:rPr>
              <w:t>手术－“中国保</w:t>
            </w:r>
            <w:r>
              <w:rPr>
                <w:spacing w:val="20"/>
                <w:sz w:val="21"/>
              </w:rPr>
              <w:t>险行业协会推荐”</w:t>
            </w:r>
          </w:p>
        </w:tc>
        <w:tc>
          <w:tcPr>
            <w:tcW w:w="6903" w:type="dxa"/>
          </w:tcPr>
          <w:p>
            <w:pPr>
              <w:pStyle w:val="TableParagraph"/>
              <w:spacing w:line="273" w:lineRule="auto" w:before="129"/>
              <w:ind w:left="73" w:right="197"/>
              <w:jc w:val="both"/>
              <w:rPr>
                <w:sz w:val="21"/>
              </w:rPr>
            </w:pPr>
            <w:r>
              <w:rPr>
                <w:spacing w:val="-10"/>
                <w:sz w:val="21"/>
              </w:rPr>
              <w:t>指为治疗主动脉疾病，实际实施了开胸或开腹进行的切除、置换、修补病</w:t>
            </w:r>
            <w:r>
              <w:rPr>
                <w:spacing w:val="-12"/>
                <w:sz w:val="21"/>
              </w:rPr>
              <w:t>损主动脉血管的手术。主动脉指胸主动脉和腹主动脉，不包括胸主动脉和</w:t>
            </w:r>
            <w:r>
              <w:rPr>
                <w:spacing w:val="-6"/>
                <w:sz w:val="21"/>
              </w:rPr>
              <w:t>腹主动脉的分支血管。</w:t>
            </w:r>
          </w:p>
          <w:p>
            <w:pPr>
              <w:pStyle w:val="TableParagraph"/>
              <w:spacing w:before="8"/>
              <w:ind w:left="73"/>
              <w:jc w:val="both"/>
              <w:rPr>
                <w:sz w:val="21"/>
              </w:rPr>
            </w:pPr>
            <w:r>
              <w:rPr>
                <w:sz w:val="21"/>
              </w:rPr>
              <w:t>动脉内血管成形术不在保障范围内。</w:t>
            </w:r>
          </w:p>
        </w:tc>
      </w:tr>
      <w:tr>
        <w:trPr>
          <w:trHeight w:val="729" w:hRule="atLeast"/>
        </w:trPr>
        <w:tc>
          <w:tcPr>
            <w:tcW w:w="1747" w:type="dxa"/>
          </w:tcPr>
          <w:p>
            <w:pPr>
              <w:pStyle w:val="TableParagraph"/>
              <w:spacing w:line="310" w:lineRule="atLeast" w:before="98"/>
              <w:ind w:right="138"/>
              <w:rPr>
                <w:sz w:val="21"/>
              </w:rPr>
            </w:pPr>
            <w:r>
              <w:rPr>
                <w:sz w:val="21"/>
              </w:rPr>
              <w:t>（十九</w:t>
            </w:r>
            <w:r>
              <w:rPr>
                <w:spacing w:val="-70"/>
                <w:sz w:val="21"/>
              </w:rPr>
              <w:t>）</w:t>
            </w:r>
            <w:r>
              <w:rPr>
                <w:spacing w:val="-2"/>
                <w:sz w:val="21"/>
              </w:rPr>
              <w:t>经输血</w:t>
            </w:r>
            <w:r>
              <w:rPr>
                <w:spacing w:val="20"/>
                <w:sz w:val="21"/>
              </w:rPr>
              <w:t>导致的人类免</w:t>
            </w:r>
          </w:p>
        </w:tc>
        <w:tc>
          <w:tcPr>
            <w:tcW w:w="6903" w:type="dxa"/>
          </w:tcPr>
          <w:p>
            <w:pPr>
              <w:pStyle w:val="TableParagraph"/>
              <w:ind w:left="73"/>
              <w:rPr>
                <w:sz w:val="21"/>
              </w:rPr>
            </w:pPr>
            <w:r>
              <w:rPr>
                <w:sz w:val="21"/>
              </w:rPr>
              <w:t>被保险人感染上人类免疫缺陷病毒（HIV）并且符合下列所有条件：</w:t>
            </w:r>
          </w:p>
          <w:p>
            <w:pPr>
              <w:pStyle w:val="TableParagraph"/>
              <w:spacing w:line="264" w:lineRule="exact" w:before="37"/>
              <w:ind w:left="155"/>
              <w:rPr>
                <w:sz w:val="21"/>
              </w:rPr>
            </w:pPr>
            <w:r>
              <w:rPr>
                <w:sz w:val="21"/>
              </w:rPr>
              <w:t>（1）在保障起始日或复效日之后，被保险人因输血而感染HIV；</w:t>
            </w:r>
          </w:p>
        </w:tc>
      </w:tr>
    </w:tbl>
    <w:p>
      <w:pPr>
        <w:spacing w:after="0" w:line="264" w:lineRule="exact"/>
        <w:rPr>
          <w:sz w:val="21"/>
        </w:rPr>
        <w:sectPr>
          <w:pgSz w:w="11910" w:h="16840"/>
          <w:pgMar w:header="0" w:footer="912" w:top="1460" w:bottom="1100" w:left="1680" w:right="1040"/>
        </w:sectPr>
      </w:pPr>
    </w:p>
    <w:p>
      <w:pPr>
        <w:pStyle w:val="BodyText"/>
        <w:spacing w:line="273" w:lineRule="auto" w:before="7"/>
        <w:ind w:left="631"/>
      </w:pPr>
      <w:r>
        <w:rPr/>
        <w:t>疫缺陷病毒感染</w:t>
      </w:r>
    </w:p>
    <w:p>
      <w:pPr>
        <w:pStyle w:val="BodyText"/>
        <w:spacing w:line="273" w:lineRule="auto" w:before="7"/>
        <w:ind w:left="797" w:right="151" w:hanging="540"/>
      </w:pPr>
      <w:r>
        <w:rPr/>
        <w:br w:type="column"/>
      </w:r>
      <w:r>
        <w:rPr/>
        <w:t>（2）提供输血治疗的输血中心或医院出具该项输血感染属医疗责任事故的报告，或者法院终审裁定为医疗责任并且不准上诉；</w:t>
      </w:r>
    </w:p>
    <w:p>
      <w:pPr>
        <w:pStyle w:val="BodyText"/>
        <w:spacing w:before="7"/>
        <w:ind w:left="281"/>
      </w:pPr>
      <w:r>
        <w:rPr/>
        <w:t>（3）供输血治疗的输血中心或医院必须拥有合法经营执照；</w:t>
      </w:r>
    </w:p>
    <w:p>
      <w:pPr>
        <w:pStyle w:val="BodyText"/>
        <w:spacing w:before="37"/>
        <w:ind w:left="257"/>
      </w:pPr>
      <w:r>
        <w:rPr/>
        <w:pict>
          <v:rect style="position:absolute;margin-left:373.98999pt;margin-top:2.47365pt;width:21pt;height:14.76pt;mso-position-horizontal-relative:page;mso-position-vertical-relative:paragraph;z-index:-36592" filled="true" fillcolor="#ffff00" stroked="false">
            <v:fill type="solid"/>
            <w10:wrap type="none"/>
          </v:rect>
        </w:pict>
      </w:r>
      <w:r>
        <w:rPr/>
        <w:t>（4）受感染的被保险人不是血友病患者；</w:t>
      </w:r>
    </w:p>
    <w:p>
      <w:pPr>
        <w:pStyle w:val="BodyText"/>
        <w:spacing w:line="273" w:lineRule="auto" w:before="37"/>
        <w:ind w:left="175" w:right="222"/>
      </w:pPr>
      <w:r>
        <w:rPr>
          <w:spacing w:val="-7"/>
        </w:rPr>
        <w:t>在任何治愈艾滋病（AIDS）</w:t>
      </w:r>
      <w:r>
        <w:rPr>
          <w:spacing w:val="-11"/>
        </w:rPr>
        <w:t>或阻止 </w:t>
      </w:r>
      <w:r>
        <w:rPr/>
        <w:t>HIV</w:t>
      </w:r>
      <w:r>
        <w:rPr>
          <w:spacing w:val="-10"/>
        </w:rPr>
        <w:t> 病毒作用的疗法被发现以后，或能</w:t>
      </w:r>
      <w:r>
        <w:rPr>
          <w:spacing w:val="-15"/>
        </w:rPr>
        <w:t>防止 </w:t>
      </w:r>
      <w:r>
        <w:rPr/>
        <w:t>AIDS</w:t>
      </w:r>
      <w:r>
        <w:rPr>
          <w:spacing w:val="-6"/>
        </w:rPr>
        <w:t> 发生的医疗方法被研究出来以后，本保障将不再予以赔付。任</w:t>
      </w:r>
      <w:r>
        <w:rPr>
          <w:spacing w:val="-8"/>
        </w:rPr>
        <w:t>何因其他传播方式</w:t>
      </w:r>
      <w:r>
        <w:rPr>
          <w:spacing w:val="-3"/>
        </w:rPr>
        <w:t>（</w:t>
      </w:r>
      <w:r>
        <w:rPr>
          <w:spacing w:val="-7"/>
        </w:rPr>
        <w:t>包括：性传播或静脉注射毒品</w:t>
      </w:r>
      <w:r>
        <w:rPr>
          <w:spacing w:val="-34"/>
        </w:rPr>
        <w:t>）</w:t>
      </w:r>
      <w:r>
        <w:rPr>
          <w:spacing w:val="-12"/>
        </w:rPr>
        <w:t>导致的 </w:t>
      </w:r>
      <w:r>
        <w:rPr/>
        <w:t>HIV</w:t>
      </w:r>
      <w:r>
        <w:rPr>
          <w:spacing w:val="-9"/>
        </w:rPr>
        <w:t> 感染不在</w:t>
      </w:r>
      <w:r>
        <w:rPr>
          <w:spacing w:val="-12"/>
        </w:rPr>
        <w:t>本保单保障范围内。保险公司必须拥有获得和使用被保险人的所有血液样</w:t>
      </w:r>
      <w:r>
        <w:rPr>
          <w:spacing w:val="-3"/>
        </w:rPr>
        <w:t>本的权利和能够对这些样本进行独立检验的权利。</w:t>
      </w:r>
    </w:p>
    <w:p>
      <w:pPr>
        <w:spacing w:after="0" w:line="273" w:lineRule="auto"/>
        <w:sectPr>
          <w:pgSz w:w="11910" w:h="16840"/>
          <w:pgMar w:header="0" w:footer="912" w:top="1380" w:bottom="1100" w:left="1680" w:right="1120"/>
          <w:cols w:num="2" w:equalWidth="0">
            <w:col w:w="2037" w:space="40"/>
            <w:col w:w="7033"/>
          </w:cols>
        </w:sectPr>
      </w:pPr>
    </w:p>
    <w:p>
      <w:pPr>
        <w:pStyle w:val="BodyText"/>
        <w:spacing w:before="8"/>
        <w:ind w:left="0"/>
      </w:pPr>
    </w:p>
    <w:p>
      <w:pPr>
        <w:pStyle w:val="BodyText"/>
        <w:tabs>
          <w:tab w:pos="2252" w:val="left" w:leader="none"/>
        </w:tabs>
        <w:spacing w:line="273" w:lineRule="auto"/>
        <w:ind w:left="2252" w:right="119" w:hanging="1621"/>
      </w:pPr>
      <w:r>
        <w:rPr/>
        <w:t>（二十</w:t>
      </w:r>
      <w:r>
        <w:rPr>
          <w:spacing w:val="-70"/>
        </w:rPr>
        <w:t>）</w:t>
      </w:r>
      <w:r>
        <w:rPr/>
        <w:t>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r>
        <w:rPr>
          <w:spacing w:val="-3"/>
        </w:rPr>
        <w:t>并</w:t>
      </w:r>
      <w:r>
        <w:rPr/>
        <w:t>伴</w:t>
      </w:r>
      <w:r>
        <w:rPr>
          <w:spacing w:val="-3"/>
        </w:rPr>
        <w:t>有</w:t>
      </w:r>
      <w:r>
        <w:rPr/>
        <w:t>冠</w:t>
      </w:r>
      <w:r>
        <w:rPr>
          <w:spacing w:val="-3"/>
        </w:rPr>
        <w:t>状</w:t>
      </w:r>
      <w:r>
        <w:rPr/>
        <w:t>动脉</w:t>
      </w:r>
      <w:r>
        <w:rPr>
          <w:spacing w:val="-3"/>
        </w:rPr>
        <w:t>瘤</w:t>
      </w:r>
      <w:r>
        <w:rPr/>
        <w:t>或</w:t>
      </w:r>
      <w:r>
        <w:rPr>
          <w:spacing w:val="-3"/>
        </w:rPr>
        <w:t>其</w:t>
      </w:r>
      <w:r>
        <w:rPr/>
        <w:t>他</w:t>
      </w:r>
      <w:r>
        <w:rPr>
          <w:spacing w:val="-3"/>
        </w:rPr>
        <w:t>心</w:t>
      </w:r>
      <w:r>
        <w:rPr/>
        <w:t>血管 并发</w:t>
      </w:r>
      <w:r>
        <w:rPr>
          <w:spacing w:val="-70"/>
        </w:rPr>
        <w:t>症</w:t>
      </w:r>
      <w:r>
        <w:rPr/>
        <w:t>（</w:t>
      </w:r>
      <w:r>
        <w:rPr>
          <w:spacing w:val="-3"/>
        </w:rPr>
        <w:t>须</w:t>
      </w:r>
      <w:r>
        <w:rPr/>
        <w:t>经</w:t>
      </w:r>
      <w:r>
        <w:rPr>
          <w:spacing w:val="-3"/>
        </w:rPr>
        <w:t>过</w:t>
      </w:r>
      <w:r>
        <w:rPr/>
        <w:t>血</w:t>
      </w:r>
      <w:r>
        <w:rPr>
          <w:spacing w:val="-3"/>
        </w:rPr>
        <w:t>管</w:t>
      </w:r>
      <w:r>
        <w:rPr/>
        <w:t>造</w:t>
      </w:r>
      <w:r>
        <w:rPr>
          <w:spacing w:val="-3"/>
        </w:rPr>
        <w:t>影或</w:t>
      </w:r>
      <w:r>
        <w:rPr/>
        <w:t>超声</w:t>
      </w:r>
      <w:r>
        <w:rPr>
          <w:spacing w:val="-3"/>
        </w:rPr>
        <w:t>心</w:t>
      </w:r>
      <w:r>
        <w:rPr/>
        <w:t>动</w:t>
      </w:r>
      <w:r>
        <w:rPr>
          <w:spacing w:val="-3"/>
        </w:rPr>
        <w:t>检</w:t>
      </w:r>
      <w:r>
        <w:rPr/>
        <w:t>查</w:t>
      </w:r>
      <w:r>
        <w:rPr>
          <w:spacing w:val="-3"/>
        </w:rPr>
        <w:t>诊</w:t>
      </w:r>
      <w:r>
        <w:rPr/>
        <w:t>断</w:t>
      </w:r>
      <w:r>
        <w:rPr>
          <w:spacing w:val="-69"/>
        </w:rPr>
        <w:t>），</w:t>
      </w:r>
      <w:r>
        <w:rPr>
          <w:spacing w:val="-3"/>
        </w:rPr>
        <w:t>血液</w:t>
      </w:r>
      <w:r>
        <w:rPr/>
        <w:t>化验</w:t>
      </w:r>
      <w:r>
        <w:rPr>
          <w:spacing w:val="-3"/>
        </w:rPr>
        <w:t>发</w:t>
      </w:r>
      <w:r>
        <w:rPr/>
        <w:t>现</w:t>
      </w:r>
      <w:r>
        <w:rPr>
          <w:spacing w:val="-3"/>
        </w:rPr>
        <w:t>轻</w:t>
      </w:r>
      <w:r>
        <w:rPr/>
        <w:t>度</w:t>
      </w:r>
      <w:r>
        <w:rPr>
          <w:spacing w:val="-3"/>
        </w:rPr>
        <w:t>贫</w:t>
      </w:r>
      <w:r>
        <w:rPr/>
        <w:t>血、白细</w:t>
      </w:r>
      <w:r>
        <w:rPr>
          <w:spacing w:val="-3"/>
        </w:rPr>
        <w:t>胞</w:t>
      </w:r>
      <w:r>
        <w:rPr/>
        <w:t>计</w:t>
      </w:r>
      <w:r>
        <w:rPr>
          <w:spacing w:val="-3"/>
        </w:rPr>
        <w:t>数</w:t>
      </w:r>
      <w:r>
        <w:rPr/>
        <w:t>升</w:t>
      </w:r>
      <w:r>
        <w:rPr>
          <w:spacing w:val="-3"/>
        </w:rPr>
        <w:t>高</w:t>
      </w:r>
      <w:r>
        <w:rPr/>
        <w:t>和</w:t>
      </w:r>
      <w:r>
        <w:rPr>
          <w:spacing w:val="-3"/>
        </w:rPr>
        <w:t>红</w:t>
      </w:r>
      <w:r>
        <w:rPr/>
        <w:t>细</w:t>
      </w:r>
      <w:r>
        <w:rPr>
          <w:spacing w:val="-3"/>
        </w:rPr>
        <w:t>胞</w:t>
      </w:r>
      <w:r>
        <w:rPr/>
        <w:t>沉降</w:t>
      </w:r>
      <w:r>
        <w:rPr>
          <w:spacing w:val="-3"/>
        </w:rPr>
        <w:t>率</w:t>
      </w:r>
      <w:r>
        <w:rPr/>
        <w:t>升</w:t>
      </w:r>
      <w:r>
        <w:rPr>
          <w:spacing w:val="-3"/>
        </w:rPr>
        <w:t>高</w:t>
      </w:r>
      <w:r>
        <w:rPr>
          <w:spacing w:val="-48"/>
        </w:rPr>
        <w:t>、</w:t>
      </w:r>
      <w:r>
        <w:rPr>
          <w:spacing w:val="-3"/>
        </w:rPr>
        <w:t>且</w:t>
      </w:r>
      <w:r>
        <w:rPr/>
        <w:t>发</w:t>
      </w:r>
      <w:r>
        <w:rPr>
          <w:spacing w:val="-3"/>
        </w:rPr>
        <w:t>现</w:t>
      </w:r>
      <w:r>
        <w:rPr/>
        <w:t>血</w:t>
      </w:r>
      <w:r>
        <w:rPr>
          <w:spacing w:val="-3"/>
        </w:rPr>
        <w:t>小</w:t>
      </w:r>
      <w:r>
        <w:rPr/>
        <w:t>板显</w:t>
      </w:r>
      <w:r>
        <w:rPr>
          <w:spacing w:val="-3"/>
        </w:rPr>
        <w:t>著</w:t>
      </w:r>
      <w:r>
        <w:rPr/>
        <w:t>升</w:t>
      </w:r>
      <w:r>
        <w:rPr>
          <w:spacing w:val="-3"/>
        </w:rPr>
        <w:t>高</w:t>
      </w:r>
      <w:r>
        <w:rPr>
          <w:spacing w:val="-48"/>
        </w:rPr>
        <w:t>，</w:t>
      </w:r>
      <w:r>
        <w:rPr>
          <w:spacing w:val="-3"/>
        </w:rPr>
        <w:t>而</w:t>
      </w:r>
      <w:r>
        <w:rPr/>
        <w:t>且</w:t>
      </w:r>
      <w:r>
        <w:rPr>
          <w:spacing w:val="-3"/>
        </w:rPr>
        <w:t>实</w:t>
      </w:r>
      <w:r>
        <w:rPr/>
        <w:t>际接受</w:t>
      </w:r>
      <w:r>
        <w:rPr>
          <w:spacing w:val="-3"/>
        </w:rPr>
        <w:t>了</w:t>
      </w:r>
      <w:r>
        <w:rPr/>
        <w:t>对</w:t>
      </w:r>
      <w:r>
        <w:rPr>
          <w:spacing w:val="-3"/>
        </w:rPr>
        <w:t>冠</w:t>
      </w:r>
      <w:r>
        <w:rPr/>
        <w:t>状</w:t>
      </w:r>
      <w:r>
        <w:rPr>
          <w:spacing w:val="-3"/>
        </w:rPr>
        <w:t>动</w:t>
      </w:r>
      <w:r>
        <w:rPr/>
        <w:t>脉</w:t>
      </w:r>
      <w:r>
        <w:rPr>
          <w:spacing w:val="-3"/>
        </w:rPr>
        <w:t>瘤</w:t>
      </w:r>
      <w:r>
        <w:rPr/>
        <w:t>或</w:t>
      </w:r>
      <w:r>
        <w:rPr>
          <w:spacing w:val="-3"/>
        </w:rPr>
        <w:t>其</w:t>
      </w:r>
      <w:r>
        <w:rPr/>
        <w:t>他心</w:t>
      </w:r>
      <w:r>
        <w:rPr>
          <w:spacing w:val="-3"/>
        </w:rPr>
        <w:t>血</w:t>
      </w:r>
      <w:r>
        <w:rPr/>
        <w:t>管</w:t>
      </w:r>
      <w:r>
        <w:rPr>
          <w:spacing w:val="-3"/>
        </w:rPr>
        <w:t>并</w:t>
      </w:r>
      <w:r>
        <w:rPr/>
        <w:t>发</w:t>
      </w:r>
      <w:r>
        <w:rPr>
          <w:spacing w:val="-3"/>
        </w:rPr>
        <w:t>症</w:t>
      </w:r>
      <w:r>
        <w:rPr/>
        <w:t>进</w:t>
      </w:r>
      <w:r>
        <w:rPr>
          <w:spacing w:val="-3"/>
        </w:rPr>
        <w:t>行</w:t>
      </w:r>
      <w:r>
        <w:rPr/>
        <w:t>的</w:t>
      </w:r>
      <w:r>
        <w:rPr>
          <w:spacing w:val="-3"/>
        </w:rPr>
        <w:t>手</w:t>
      </w:r>
      <w:r>
        <w:rPr/>
        <w:t>术治</w:t>
      </w:r>
      <w:r>
        <w:rPr>
          <w:spacing w:val="-3"/>
        </w:rPr>
        <w:t>疗</w:t>
      </w:r>
      <w:r>
        <w:rPr/>
        <w:t>。</w:t>
      </w:r>
    </w:p>
    <w:p>
      <w:pPr>
        <w:pStyle w:val="BodyText"/>
        <w:spacing w:before="8"/>
        <w:ind w:left="0"/>
      </w:pPr>
    </w:p>
    <w:p>
      <w:pPr>
        <w:spacing w:after="0"/>
        <w:sectPr>
          <w:type w:val="continuous"/>
          <w:pgSz w:w="11910" w:h="16840"/>
          <w:pgMar w:top="200" w:bottom="1100" w:left="1680" w:right="1120"/>
        </w:sectPr>
      </w:pPr>
    </w:p>
    <w:p>
      <w:pPr>
        <w:pStyle w:val="BodyText"/>
        <w:spacing w:line="273" w:lineRule="auto"/>
        <w:ind w:left="631"/>
        <w:jc w:val="both"/>
      </w:pPr>
      <w:r>
        <w:rPr/>
        <w:t>（</w:t>
      </w:r>
      <w:r>
        <w:rPr>
          <w:spacing w:val="-2"/>
        </w:rPr>
        <w:t>二十一</w:t>
      </w:r>
      <w:r>
        <w:rPr>
          <w:spacing w:val="-68"/>
        </w:rPr>
        <w:t>）</w:t>
      </w:r>
      <w:r>
        <w:rPr>
          <w:spacing w:val="-2"/>
        </w:rPr>
        <w:t>严重</w:t>
      </w:r>
      <w:r>
        <w:rPr>
          <w:spacing w:val="20"/>
        </w:rPr>
        <w:t>幼年型类风湿关节炎</w:t>
      </w:r>
    </w:p>
    <w:p>
      <w:pPr>
        <w:pStyle w:val="BodyText"/>
        <w:spacing w:line="273" w:lineRule="auto"/>
        <w:ind w:right="116"/>
      </w:pPr>
      <w:r>
        <w:rPr/>
        <w:br w:type="column"/>
      </w:r>
      <w:r>
        <w:rPr>
          <w:spacing w:val="-8"/>
        </w:rPr>
        <w:t>幼年型类风湿关节炎是一种一种免疫性、全身性、感染性的病变，主要累</w:t>
      </w:r>
      <w:r>
        <w:rPr>
          <w:spacing w:val="-27"/>
        </w:rPr>
        <w:t>及大关节，也表现为发热、血管炎性皮疹、淋巴结肿大、消瘦，且 </w:t>
      </w:r>
      <w:r>
        <w:rPr/>
        <w:t>ANA(</w:t>
      </w:r>
      <w:r>
        <w:rPr>
          <w:spacing w:val="-9"/>
        </w:rPr>
        <w:t> +),、RF</w:t>
      </w:r>
      <w:r>
        <w:rPr>
          <w:spacing w:val="-3"/>
        </w:rPr>
        <w:t> (+)等。患者必须已经进行髋关节或膝关节关节置换手术。</w:t>
      </w:r>
    </w:p>
    <w:p>
      <w:pPr>
        <w:spacing w:after="0" w:line="273" w:lineRule="auto"/>
        <w:sectPr>
          <w:type w:val="continuous"/>
          <w:pgSz w:w="11910" w:h="16840"/>
          <w:pgMar w:top="200" w:bottom="1100" w:left="1680" w:right="1120"/>
          <w:cols w:num="2" w:equalWidth="0">
            <w:col w:w="2039" w:space="40"/>
            <w:col w:w="7031"/>
          </w:cols>
        </w:sectPr>
      </w:pPr>
    </w:p>
    <w:p>
      <w:pPr>
        <w:pStyle w:val="BodyText"/>
        <w:spacing w:before="1"/>
        <w:ind w:left="0"/>
      </w:pPr>
    </w:p>
    <w:p>
      <w:pPr>
        <w:spacing w:after="0"/>
        <w:sectPr>
          <w:type w:val="continuous"/>
          <w:pgSz w:w="11910" w:h="16840"/>
          <w:pgMar w:top="200" w:bottom="1100" w:left="1680" w:right="1120"/>
        </w:sectPr>
      </w:pPr>
    </w:p>
    <w:p>
      <w:pPr>
        <w:pStyle w:val="BodyText"/>
        <w:spacing w:line="256" w:lineRule="auto" w:before="43"/>
        <w:ind w:left="631"/>
      </w:pPr>
      <w:r>
        <w:rPr>
          <w:rFonts w:ascii="Times New Roman" w:eastAsia="Times New Roman"/>
        </w:rPr>
        <w:t>( </w:t>
      </w:r>
      <w:r>
        <w:rPr/>
        <w:t>二十二</w:t>
      </w:r>
      <w:r>
        <w:rPr>
          <w:rFonts w:ascii="Times New Roman" w:eastAsia="Times New Roman"/>
        </w:rPr>
        <w:t>) </w:t>
      </w:r>
      <w:r>
        <w:rPr/>
        <w:t>Ｉ型糖尿病</w:t>
      </w:r>
    </w:p>
    <w:p>
      <w:pPr>
        <w:pStyle w:val="BodyText"/>
        <w:spacing w:before="43"/>
        <w:ind w:left="262"/>
      </w:pPr>
      <w:r>
        <w:rPr/>
        <w:br w:type="column"/>
      </w:r>
      <w:r>
        <w:rPr/>
        <w:t>指经内分泌专科医生明确诊断为Ｉ型糖尿病，且须同时满足下列条件：</w:t>
      </w:r>
    </w:p>
    <w:p>
      <w:pPr>
        <w:pStyle w:val="BodyText"/>
        <w:ind w:left="157"/>
      </w:pPr>
      <w:r>
        <w:rPr/>
        <w:t>（1）必须持续性地依赖外源性胰岛素维持生命至少180天以上。</w:t>
      </w:r>
    </w:p>
    <w:p>
      <w:pPr>
        <w:pStyle w:val="BodyText"/>
        <w:ind w:left="157"/>
      </w:pPr>
      <w:r>
        <w:rPr/>
        <w:t>（2）血胰岛素测定、血C肽测定或尿C肽测定结果异常。</w:t>
      </w:r>
    </w:p>
    <w:p>
      <w:pPr>
        <w:pStyle w:val="BodyText"/>
        <w:ind w:left="157"/>
      </w:pPr>
      <w:r>
        <w:rPr/>
        <w:t>（3）出现下述三种并发症之一或一种以上：</w:t>
      </w:r>
    </w:p>
    <w:p>
      <w:pPr>
        <w:pStyle w:val="BodyText"/>
        <w:spacing w:before="37"/>
        <w:ind w:left="682"/>
      </w:pPr>
      <w:r>
        <w:rPr/>
        <w:t>① 并发增殖性视网膜病变；</w:t>
      </w:r>
    </w:p>
    <w:p>
      <w:pPr>
        <w:pStyle w:val="BodyText"/>
        <w:spacing w:before="37"/>
        <w:ind w:left="682"/>
      </w:pPr>
      <w:r>
        <w:rPr/>
        <w:t>② 并发心脏病变，并须植入心脏起搏器进行治疗；</w:t>
      </w:r>
    </w:p>
    <w:p>
      <w:pPr>
        <w:pStyle w:val="BodyText"/>
        <w:spacing w:before="37"/>
        <w:ind w:left="682"/>
      </w:pPr>
      <w:r>
        <w:rPr/>
        <w:t>③ 至少一个脚趾发生坏疽并已达到手术切除指征。</w:t>
      </w:r>
    </w:p>
    <w:p>
      <w:pPr>
        <w:spacing w:after="0"/>
        <w:sectPr>
          <w:type w:val="continuous"/>
          <w:pgSz w:w="11910" w:h="16840"/>
          <w:pgMar w:top="200" w:bottom="1100" w:left="1680" w:right="1120"/>
          <w:cols w:num="2" w:equalWidth="0">
            <w:col w:w="2055" w:space="40"/>
            <w:col w:w="7015"/>
          </w:cols>
        </w:sectPr>
      </w:pPr>
    </w:p>
    <w:p>
      <w:pPr>
        <w:pStyle w:val="BodyText"/>
        <w:spacing w:before="11"/>
        <w:ind w:left="0"/>
        <w:rPr>
          <w:sz w:val="23"/>
        </w:rPr>
      </w:pPr>
    </w:p>
    <w:p>
      <w:pPr>
        <w:spacing w:after="0"/>
        <w:rPr>
          <w:sz w:val="23"/>
        </w:rPr>
        <w:sectPr>
          <w:type w:val="continuous"/>
          <w:pgSz w:w="11910" w:h="16840"/>
          <w:pgMar w:top="200" w:bottom="1100" w:left="1680" w:right="1120"/>
        </w:sectPr>
      </w:pPr>
    </w:p>
    <w:p>
      <w:pPr>
        <w:pStyle w:val="BodyText"/>
        <w:spacing w:line="273" w:lineRule="auto" w:before="37"/>
        <w:ind w:left="631"/>
      </w:pPr>
      <w:r>
        <w:rPr/>
        <w:t>（</w:t>
      </w:r>
      <w:r>
        <w:rPr>
          <w:spacing w:val="-2"/>
        </w:rPr>
        <w:t>二十三</w:t>
      </w:r>
      <w:r>
        <w:rPr>
          <w:spacing w:val="-68"/>
        </w:rPr>
        <w:t>）</w:t>
      </w:r>
      <w:r>
        <w:rPr>
          <w:spacing w:val="-2"/>
        </w:rPr>
        <w:t>坏死</w:t>
      </w:r>
      <w:r>
        <w:rPr>
          <w:spacing w:val="-3"/>
        </w:rPr>
        <w:t>性筋膜炎</w:t>
      </w:r>
    </w:p>
    <w:p>
      <w:pPr>
        <w:pStyle w:val="BodyText"/>
        <w:spacing w:before="37"/>
      </w:pPr>
      <w:r>
        <w:rPr/>
        <w:br w:type="column"/>
      </w:r>
      <w:r>
        <w:rPr/>
        <w:t>坏死性筋膜炎的诊断须同时符合下列要求：</w:t>
      </w:r>
    </w:p>
    <w:p>
      <w:pPr>
        <w:pStyle w:val="BodyText"/>
        <w:spacing w:before="37"/>
      </w:pPr>
      <w:r>
        <w:rPr/>
        <w:t>（1）符合坏死性筋膜炎的一般临床表现；</w:t>
      </w:r>
    </w:p>
    <w:p>
      <w:pPr>
        <w:pStyle w:val="BodyText"/>
        <w:spacing w:before="37"/>
      </w:pPr>
      <w:r>
        <w:rPr/>
        <w:t>（2）细菌培养检出致病菌；</w:t>
      </w:r>
    </w:p>
    <w:p>
      <w:pPr>
        <w:pStyle w:val="BodyText"/>
        <w:spacing w:line="273" w:lineRule="auto" w:before="37"/>
        <w:ind w:right="231"/>
      </w:pPr>
      <w:r>
        <w:rPr/>
        <w:t>（3）</w:t>
      </w:r>
      <w:r>
        <w:rPr>
          <w:spacing w:val="-3"/>
        </w:rPr>
        <w:t>出现广泛性肌肉及软组织坏死，并导致身体受影响部位永久完全失</w:t>
      </w:r>
      <w:r>
        <w:rPr>
          <w:spacing w:val="-5"/>
        </w:rPr>
        <w:t>去功能。所谓永久完全失去功能是指受影响部位的功能丧失超过 </w:t>
      </w:r>
      <w:r>
        <w:rPr/>
        <w:t>6</w:t>
      </w:r>
      <w:r>
        <w:rPr>
          <w:spacing w:val="-16"/>
        </w:rPr>
        <w:t> 个月者。</w:t>
      </w:r>
    </w:p>
    <w:p>
      <w:pPr>
        <w:spacing w:after="0" w:line="273" w:lineRule="auto"/>
        <w:sectPr>
          <w:type w:val="continuous"/>
          <w:pgSz w:w="11910" w:h="16840"/>
          <w:pgMar w:top="200" w:bottom="1100" w:left="1680" w:right="1120"/>
          <w:cols w:num="2" w:equalWidth="0">
            <w:col w:w="2039" w:space="40"/>
            <w:col w:w="7031"/>
          </w:cols>
        </w:sectPr>
      </w:pPr>
    </w:p>
    <w:p>
      <w:pPr>
        <w:pStyle w:val="BodyText"/>
        <w:spacing w:before="9"/>
        <w:ind w:left="0"/>
      </w:pPr>
    </w:p>
    <w:p>
      <w:pPr>
        <w:spacing w:after="0"/>
        <w:sectPr>
          <w:type w:val="continuous"/>
          <w:pgSz w:w="11910" w:h="16840"/>
          <w:pgMar w:top="200" w:bottom="1100" w:left="1680" w:right="1120"/>
        </w:sectPr>
      </w:pPr>
    </w:p>
    <w:p>
      <w:pPr>
        <w:pStyle w:val="BodyText"/>
        <w:spacing w:line="273" w:lineRule="auto"/>
        <w:ind w:left="631"/>
      </w:pPr>
      <w:r>
        <w:rPr/>
        <w:t>（</w:t>
      </w:r>
      <w:r>
        <w:rPr>
          <w:spacing w:val="-2"/>
        </w:rPr>
        <w:t>二十四</w:t>
      </w:r>
      <w:r>
        <w:rPr>
          <w:spacing w:val="-68"/>
        </w:rPr>
        <w:t>）</w:t>
      </w:r>
      <w:r>
        <w:rPr>
          <w:spacing w:val="-2"/>
        </w:rPr>
        <w:t>脊髓灰质炎</w:t>
      </w:r>
    </w:p>
    <w:p>
      <w:pPr>
        <w:pStyle w:val="BodyText"/>
        <w:spacing w:line="273" w:lineRule="auto"/>
        <w:ind w:right="116"/>
      </w:pPr>
      <w:r>
        <w:rPr/>
        <w:br w:type="column"/>
      </w:r>
      <w:r>
        <w:rPr>
          <w:spacing w:val="-7"/>
        </w:rPr>
        <w:t>脊髓灰质炎是由于脊髓灰质炎病毒感染所致的瘫痪性疾病，临床表现为运</w:t>
      </w:r>
      <w:r>
        <w:rPr>
          <w:spacing w:val="-12"/>
        </w:rPr>
        <w:t>动功能损害或呼吸无力。脊髓灰质炎必须明确诊断。本保单仅对脊髓灰质</w:t>
      </w:r>
      <w:r>
        <w:rPr>
          <w:spacing w:val="-7"/>
        </w:rPr>
        <w:t>炎造成的神经系统功能损害导致被保险人一肢或一肢以上肢体机能永久 </w:t>
      </w:r>
      <w:r>
        <w:rPr>
          <w:spacing w:val="-11"/>
        </w:rPr>
        <w:t>完全丧失的情况予以理赔。肢体机能永久完全丧失，指疾病确诊</w:t>
      </w:r>
      <w:r>
        <w:rPr/>
        <w:t>180天后， </w:t>
      </w:r>
      <w:r>
        <w:rPr>
          <w:spacing w:val="-3"/>
        </w:rPr>
        <w:t>每肢三大关节中的两大关节仍然完全僵硬，或不能随意识活动。</w:t>
      </w:r>
    </w:p>
    <w:p>
      <w:pPr>
        <w:spacing w:after="0" w:line="273" w:lineRule="auto"/>
        <w:sectPr>
          <w:type w:val="continuous"/>
          <w:pgSz w:w="11910" w:h="16840"/>
          <w:pgMar w:top="200" w:bottom="1100" w:left="1680" w:right="1120"/>
          <w:cols w:num="2" w:equalWidth="0">
            <w:col w:w="2039" w:space="40"/>
            <w:col w:w="7031"/>
          </w:cols>
        </w:sectPr>
      </w:pPr>
    </w:p>
    <w:p>
      <w:pPr>
        <w:pStyle w:val="BodyText"/>
        <w:spacing w:before="8"/>
        <w:ind w:left="0"/>
      </w:pPr>
    </w:p>
    <w:p>
      <w:pPr>
        <w:spacing w:after="0"/>
        <w:sectPr>
          <w:type w:val="continuous"/>
          <w:pgSz w:w="11910" w:h="16840"/>
          <w:pgMar w:top="200" w:bottom="1100" w:left="1680" w:right="1120"/>
        </w:sectPr>
      </w:pPr>
    </w:p>
    <w:p>
      <w:pPr>
        <w:pStyle w:val="BodyText"/>
        <w:spacing w:line="273" w:lineRule="auto"/>
        <w:ind w:left="631"/>
      </w:pPr>
      <w:r>
        <w:rPr/>
        <w:t>（</w:t>
      </w:r>
      <w:r>
        <w:rPr>
          <w:spacing w:val="-2"/>
        </w:rPr>
        <w:t>二十五</w:t>
      </w:r>
      <w:r>
        <w:rPr>
          <w:spacing w:val="-68"/>
        </w:rPr>
        <w:t>）</w:t>
      </w:r>
      <w:r>
        <w:rPr>
          <w:spacing w:val="-2"/>
        </w:rPr>
        <w:t>肌营养不良</w:t>
      </w:r>
    </w:p>
    <w:p>
      <w:pPr>
        <w:pStyle w:val="BodyText"/>
      </w:pPr>
      <w:r>
        <w:rPr/>
        <w:br w:type="column"/>
      </w:r>
      <w:r>
        <w:rPr/>
        <w:t>肌营养不良症需要神经专科医生确诊，并且须满足下列全部条件：</w:t>
      </w:r>
    </w:p>
    <w:p>
      <w:pPr>
        <w:pStyle w:val="BodyText"/>
      </w:pPr>
      <w:r>
        <w:rPr/>
        <w:t>(1)临床表现包括：无感觉神经紊乱，正常脑脊液及轻微腱反射的减退；</w:t>
      </w:r>
    </w:p>
    <w:p>
      <w:pPr>
        <w:pStyle w:val="BodyText"/>
      </w:pPr>
      <w:r>
        <w:rPr/>
        <w:t>(2)典型的肌电图；</w:t>
      </w:r>
    </w:p>
    <w:p>
      <w:pPr>
        <w:pStyle w:val="BodyText"/>
      </w:pPr>
      <w:r>
        <w:rPr/>
        <w:t>(3)临床的异常表现已被活检确诊。</w:t>
      </w:r>
    </w:p>
    <w:p>
      <w:pPr>
        <w:spacing w:after="0"/>
        <w:sectPr>
          <w:type w:val="continuous"/>
          <w:pgSz w:w="11910" w:h="16840"/>
          <w:pgMar w:top="200" w:bottom="1100" w:left="1680" w:right="1120"/>
          <w:cols w:num="2" w:equalWidth="0">
            <w:col w:w="2039" w:space="40"/>
            <w:col w:w="7031"/>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919"/>
        <w:gridCol w:w="7479"/>
      </w:tblGrid>
      <w:tr>
        <w:trPr>
          <w:trHeight w:val="730" w:hRule="atLeast"/>
        </w:trPr>
        <w:tc>
          <w:tcPr>
            <w:tcW w:w="862" w:type="dxa"/>
          </w:tcPr>
          <w:p>
            <w:pPr>
              <w:pStyle w:val="TableParagraph"/>
              <w:spacing w:line="202" w:lineRule="exact" w:before="0"/>
              <w:rPr>
                <w:b/>
                <w:sz w:val="21"/>
              </w:rPr>
            </w:pPr>
            <w:r>
              <w:rPr>
                <w:b/>
                <w:sz w:val="21"/>
              </w:rPr>
              <w:t>6.5</w:t>
            </w:r>
          </w:p>
        </w:tc>
        <w:tc>
          <w:tcPr>
            <w:tcW w:w="1919" w:type="dxa"/>
          </w:tcPr>
          <w:p>
            <w:pPr>
              <w:pStyle w:val="TableParagraph"/>
              <w:spacing w:line="202" w:lineRule="exact" w:before="0"/>
              <w:ind w:left="345"/>
              <w:rPr>
                <w:b/>
                <w:sz w:val="21"/>
              </w:rPr>
            </w:pPr>
            <w:r>
              <w:rPr>
                <w:b/>
                <w:sz w:val="21"/>
              </w:rPr>
              <w:t>成人重大疾病</w:t>
            </w:r>
          </w:p>
        </w:tc>
        <w:tc>
          <w:tcPr>
            <w:tcW w:w="7479" w:type="dxa"/>
          </w:tcPr>
          <w:p>
            <w:pPr>
              <w:pStyle w:val="TableParagraph"/>
              <w:spacing w:line="202" w:lineRule="exact" w:before="0"/>
              <w:ind w:left="47"/>
              <w:rPr>
                <w:sz w:val="21"/>
              </w:rPr>
            </w:pPr>
            <w:r>
              <w:rPr>
                <w:sz w:val="21"/>
              </w:rPr>
              <w:t>指保险责任生效后，经专科医生明确诊断，被保险人初次发生符合以下疾</w:t>
            </w:r>
          </w:p>
          <w:p>
            <w:pPr>
              <w:pStyle w:val="TableParagraph"/>
              <w:spacing w:before="37"/>
              <w:ind w:left="47"/>
              <w:rPr>
                <w:sz w:val="21"/>
              </w:rPr>
            </w:pPr>
            <w:r>
              <w:rPr>
                <w:sz w:val="21"/>
              </w:rPr>
              <w:t>病定义所述条件的疾病：</w:t>
            </w:r>
          </w:p>
        </w:tc>
      </w:tr>
      <w:tr>
        <w:trPr>
          <w:trHeight w:val="3725" w:hRule="atLeast"/>
        </w:trPr>
        <w:tc>
          <w:tcPr>
            <w:tcW w:w="862" w:type="dxa"/>
          </w:tcPr>
          <w:p>
            <w:pPr>
              <w:pStyle w:val="TableParagraph"/>
              <w:spacing w:before="0"/>
              <w:ind w:left="0"/>
              <w:rPr>
                <w:rFonts w:ascii="Times New Roman"/>
                <w:sz w:val="20"/>
              </w:rPr>
            </w:pPr>
          </w:p>
        </w:tc>
        <w:tc>
          <w:tcPr>
            <w:tcW w:w="1919" w:type="dxa"/>
          </w:tcPr>
          <w:p>
            <w:pPr>
              <w:pStyle w:val="TableParagraph"/>
              <w:ind w:left="-22"/>
              <w:rPr>
                <w:sz w:val="21"/>
              </w:rPr>
            </w:pPr>
            <w:r>
              <w:rPr>
                <w:sz w:val="21"/>
              </w:rPr>
              <w:t>(一) 恶性肿瘤－</w:t>
            </w:r>
          </w:p>
          <w:p>
            <w:pPr>
              <w:pStyle w:val="TableParagraph"/>
              <w:spacing w:line="273" w:lineRule="auto" w:before="37"/>
              <w:ind w:left="-22" w:right="255"/>
              <w:rPr>
                <w:sz w:val="21"/>
              </w:rPr>
            </w:pPr>
            <w:r>
              <w:rPr>
                <w:sz w:val="21"/>
              </w:rPr>
              <w:t>“中国保险行业协会推荐”</w:t>
            </w:r>
          </w:p>
        </w:tc>
        <w:tc>
          <w:tcPr>
            <w:tcW w:w="7479" w:type="dxa"/>
          </w:tcPr>
          <w:p>
            <w:pPr>
              <w:pStyle w:val="TableParagraph"/>
              <w:spacing w:line="273" w:lineRule="auto"/>
              <w:ind w:left="76" w:right="302"/>
              <w:jc w:val="both"/>
              <w:rPr>
                <w:sz w:val="21"/>
              </w:rPr>
            </w:pPr>
            <w:r>
              <w:rPr>
                <w:spacing w:val="-6"/>
                <w:sz w:val="21"/>
              </w:rPr>
              <w:t>指恶性细胞不受控制的进行性增长和扩散，浸润和破坏周围正常组织，可以经</w:t>
            </w:r>
            <w:r>
              <w:rPr>
                <w:spacing w:val="-8"/>
                <w:sz w:val="21"/>
              </w:rPr>
              <w:t>血管、淋巴管和体腔扩散转移到身体其他部位的疾病。经病理学检查结果明确</w:t>
            </w:r>
            <w:r>
              <w:rPr>
                <w:spacing w:val="-5"/>
                <w:sz w:val="21"/>
              </w:rPr>
              <w:t>诊断，临床诊断属于世界卫生组织《疾病和有关健康问题的国际统计分类》</w:t>
            </w:r>
          </w:p>
          <w:p>
            <w:pPr>
              <w:pStyle w:val="TableParagraph"/>
              <w:spacing w:line="273" w:lineRule="auto" w:before="8"/>
              <w:ind w:left="76" w:right="4666"/>
              <w:rPr>
                <w:sz w:val="21"/>
              </w:rPr>
            </w:pPr>
            <w:r>
              <w:rPr>
                <w:sz w:val="21"/>
              </w:rPr>
              <w:t>（ICD-10）的恶性肿瘤范畴。下列疾病不在保障范围内：</w:t>
            </w:r>
          </w:p>
          <w:p>
            <w:pPr>
              <w:pStyle w:val="TableParagraph"/>
              <w:spacing w:before="8"/>
              <w:ind w:left="76"/>
              <w:jc w:val="both"/>
              <w:rPr>
                <w:sz w:val="21"/>
              </w:rPr>
            </w:pPr>
            <w:r>
              <w:rPr>
                <w:sz w:val="21"/>
              </w:rPr>
              <w:t>（1）原位癌；</w:t>
            </w:r>
          </w:p>
          <w:p>
            <w:pPr>
              <w:pStyle w:val="TableParagraph"/>
              <w:spacing w:before="37"/>
              <w:ind w:left="76"/>
              <w:jc w:val="both"/>
              <w:rPr>
                <w:sz w:val="21"/>
              </w:rPr>
            </w:pPr>
            <w:r>
              <w:rPr>
                <w:sz w:val="21"/>
              </w:rPr>
              <w:t>（2）相当于Binet分期方案A期程度的慢性淋巴细胞白血病；</w:t>
            </w:r>
          </w:p>
          <w:p>
            <w:pPr>
              <w:pStyle w:val="TableParagraph"/>
              <w:spacing w:before="37"/>
              <w:ind w:left="76"/>
              <w:jc w:val="both"/>
              <w:rPr>
                <w:sz w:val="21"/>
              </w:rPr>
            </w:pPr>
            <w:r>
              <w:rPr>
                <w:sz w:val="21"/>
              </w:rPr>
              <w:t>（3）相当于Ann Arbor分期方案I期程度的何杰金氏病；</w:t>
            </w:r>
          </w:p>
          <w:p>
            <w:pPr>
              <w:pStyle w:val="TableParagraph"/>
              <w:spacing w:line="273" w:lineRule="exact" w:before="15"/>
              <w:ind w:left="76"/>
              <w:jc w:val="both"/>
              <w:rPr>
                <w:sz w:val="21"/>
              </w:rPr>
            </w:pPr>
            <w:r>
              <w:rPr>
                <w:sz w:val="21"/>
              </w:rPr>
              <w:t>（4）皮肤癌（不包括恶性黑色素瘤及已发生转移的皮肤癌）；</w:t>
            </w:r>
          </w:p>
          <w:p>
            <w:pPr>
              <w:pStyle w:val="TableParagraph"/>
              <w:spacing w:line="229" w:lineRule="exact" w:before="0"/>
              <w:ind w:left="76"/>
              <w:jc w:val="both"/>
              <w:rPr>
                <w:sz w:val="21"/>
              </w:rPr>
            </w:pPr>
            <w:r>
              <w:rPr>
                <w:sz w:val="21"/>
              </w:rPr>
              <w:t>（5）TNM 分期为 T N M 期或更轻分期的前列腺癌；</w:t>
            </w:r>
          </w:p>
          <w:p>
            <w:pPr>
              <w:pStyle w:val="TableParagraph"/>
              <w:spacing w:line="100" w:lineRule="exact" w:before="0"/>
              <w:ind w:left="1758"/>
              <w:rPr>
                <w:sz w:val="11"/>
              </w:rPr>
            </w:pPr>
            <w:r>
              <w:rPr>
                <w:sz w:val="11"/>
              </w:rPr>
              <w:t>1  0 0</w:t>
            </w:r>
          </w:p>
          <w:p>
            <w:pPr>
              <w:pStyle w:val="TableParagraph"/>
              <w:spacing w:before="24"/>
              <w:ind w:left="76"/>
              <w:jc w:val="both"/>
              <w:rPr>
                <w:sz w:val="21"/>
              </w:rPr>
            </w:pPr>
            <w:r>
              <w:rPr>
                <w:sz w:val="21"/>
              </w:rPr>
              <w:t>（6）感染艾滋病病毒或患艾滋病期间所患恶性肿瘤。</w:t>
            </w:r>
          </w:p>
        </w:tc>
      </w:tr>
      <w:tr>
        <w:trPr>
          <w:trHeight w:val="2496" w:hRule="atLeast"/>
        </w:trPr>
        <w:tc>
          <w:tcPr>
            <w:tcW w:w="862" w:type="dxa"/>
          </w:tcPr>
          <w:p>
            <w:pPr>
              <w:pStyle w:val="TableParagraph"/>
              <w:spacing w:before="0"/>
              <w:ind w:left="0"/>
              <w:rPr>
                <w:rFonts w:ascii="Times New Roman"/>
                <w:sz w:val="20"/>
              </w:rPr>
            </w:pPr>
          </w:p>
        </w:tc>
        <w:tc>
          <w:tcPr>
            <w:tcW w:w="1919" w:type="dxa"/>
          </w:tcPr>
          <w:p>
            <w:pPr>
              <w:pStyle w:val="TableParagraph"/>
              <w:ind w:left="-22"/>
              <w:rPr>
                <w:sz w:val="21"/>
              </w:rPr>
            </w:pPr>
            <w:r>
              <w:rPr>
                <w:sz w:val="21"/>
              </w:rPr>
              <w:t>(二) 急性心肌梗塞</w:t>
            </w:r>
          </w:p>
          <w:p>
            <w:pPr>
              <w:pStyle w:val="TableParagraph"/>
              <w:spacing w:line="273" w:lineRule="auto" w:before="37"/>
              <w:ind w:left="-22" w:right="135"/>
              <w:rPr>
                <w:sz w:val="21"/>
              </w:rPr>
            </w:pPr>
            <w:r>
              <w:rPr>
                <w:spacing w:val="-14"/>
                <w:w w:val="100"/>
                <w:sz w:val="21"/>
              </w:rPr>
              <w:t>－“中国保险行业协</w:t>
            </w:r>
            <w:r>
              <w:rPr>
                <w:spacing w:val="-9"/>
                <w:sz w:val="21"/>
              </w:rPr>
              <w:t>会推荐”</w:t>
            </w:r>
          </w:p>
        </w:tc>
        <w:tc>
          <w:tcPr>
            <w:tcW w:w="7479" w:type="dxa"/>
          </w:tcPr>
          <w:p>
            <w:pPr>
              <w:pStyle w:val="TableParagraph"/>
              <w:spacing w:line="273" w:lineRule="auto"/>
              <w:ind w:left="76" w:right="244"/>
              <w:rPr>
                <w:sz w:val="21"/>
              </w:rPr>
            </w:pPr>
            <w:r>
              <w:rPr>
                <w:sz w:val="21"/>
              </w:rPr>
              <w:t>指因冠状动脉阻塞导致的相应区域供血不足造成部分心肌坏死。须满足下列至少三项条件：</w:t>
            </w:r>
          </w:p>
          <w:p>
            <w:pPr>
              <w:pStyle w:val="TableParagraph"/>
              <w:spacing w:before="8"/>
              <w:ind w:left="76"/>
              <w:rPr>
                <w:sz w:val="21"/>
              </w:rPr>
            </w:pPr>
            <w:r>
              <w:rPr>
                <w:sz w:val="21"/>
              </w:rPr>
              <w:t>（1）典型临床表现，例如急性胸痛等；</w:t>
            </w:r>
          </w:p>
          <w:p>
            <w:pPr>
              <w:pStyle w:val="TableParagraph"/>
              <w:spacing w:before="37"/>
              <w:ind w:left="76"/>
              <w:rPr>
                <w:sz w:val="21"/>
              </w:rPr>
            </w:pPr>
            <w:r>
              <w:rPr>
                <w:sz w:val="21"/>
              </w:rPr>
              <w:t>（2）新近的心电图改变提示急性心肌梗塞；</w:t>
            </w:r>
          </w:p>
          <w:p>
            <w:pPr>
              <w:pStyle w:val="TableParagraph"/>
              <w:spacing w:line="273" w:lineRule="auto" w:before="37"/>
              <w:ind w:left="539" w:right="304" w:hanging="464"/>
              <w:rPr>
                <w:sz w:val="21"/>
              </w:rPr>
            </w:pPr>
            <w:r>
              <w:rPr>
                <w:sz w:val="21"/>
              </w:rPr>
              <w:t>（3）心肌酶或肌钙蛋白有诊断意义的升高，或呈符合急性心肌梗塞的动态性变化；</w:t>
            </w:r>
          </w:p>
          <w:p>
            <w:pPr>
              <w:pStyle w:val="TableParagraph"/>
              <w:spacing w:before="8"/>
              <w:ind w:left="76"/>
              <w:rPr>
                <w:sz w:val="21"/>
              </w:rPr>
            </w:pPr>
            <w:r>
              <w:rPr>
                <w:spacing w:val="-12"/>
                <w:sz w:val="21"/>
              </w:rPr>
              <w:t>（4）</w:t>
            </w:r>
            <w:r>
              <w:rPr>
                <w:spacing w:val="-15"/>
                <w:sz w:val="21"/>
              </w:rPr>
              <w:t>发病 </w:t>
            </w:r>
            <w:r>
              <w:rPr>
                <w:sz w:val="21"/>
              </w:rPr>
              <w:t>90</w:t>
            </w:r>
            <w:r>
              <w:rPr>
                <w:spacing w:val="-14"/>
                <w:sz w:val="21"/>
              </w:rPr>
              <w:t> 天后，经检查证实左心室功能降低，如左心室射血分数低于 </w:t>
            </w:r>
            <w:r>
              <w:rPr>
                <w:sz w:val="21"/>
              </w:rPr>
              <w:t>50%。</w:t>
            </w:r>
          </w:p>
        </w:tc>
      </w:tr>
      <w:tr>
        <w:trPr>
          <w:trHeight w:val="2496" w:hRule="atLeast"/>
        </w:trPr>
        <w:tc>
          <w:tcPr>
            <w:tcW w:w="862" w:type="dxa"/>
          </w:tcPr>
          <w:p>
            <w:pPr>
              <w:pStyle w:val="TableParagraph"/>
              <w:spacing w:before="0"/>
              <w:ind w:left="0"/>
              <w:rPr>
                <w:rFonts w:ascii="Times New Roman"/>
                <w:sz w:val="20"/>
              </w:rPr>
            </w:pPr>
          </w:p>
        </w:tc>
        <w:tc>
          <w:tcPr>
            <w:tcW w:w="1919" w:type="dxa"/>
          </w:tcPr>
          <w:p>
            <w:pPr>
              <w:pStyle w:val="TableParagraph"/>
              <w:ind w:left="-22"/>
              <w:rPr>
                <w:sz w:val="21"/>
              </w:rPr>
            </w:pPr>
            <w:r>
              <w:rPr>
                <w:sz w:val="21"/>
              </w:rPr>
              <w:t>(三) 脑中风后遗症</w:t>
            </w:r>
          </w:p>
          <w:p>
            <w:pPr>
              <w:pStyle w:val="TableParagraph"/>
              <w:spacing w:line="273" w:lineRule="auto" w:before="37"/>
              <w:ind w:left="-22" w:right="135"/>
              <w:rPr>
                <w:sz w:val="21"/>
              </w:rPr>
            </w:pPr>
            <w:r>
              <w:rPr>
                <w:spacing w:val="-14"/>
                <w:w w:val="100"/>
                <w:sz w:val="21"/>
              </w:rPr>
              <w:t>－“中国保险行业协</w:t>
            </w:r>
            <w:r>
              <w:rPr>
                <w:spacing w:val="-9"/>
                <w:sz w:val="21"/>
              </w:rPr>
              <w:t>会推荐”</w:t>
            </w:r>
          </w:p>
        </w:tc>
        <w:tc>
          <w:tcPr>
            <w:tcW w:w="7479" w:type="dxa"/>
          </w:tcPr>
          <w:p>
            <w:pPr>
              <w:pStyle w:val="TableParagraph"/>
              <w:spacing w:line="273" w:lineRule="auto"/>
              <w:ind w:left="76" w:right="303"/>
              <w:jc w:val="both"/>
              <w:rPr>
                <w:sz w:val="21"/>
              </w:rPr>
            </w:pPr>
            <w:r>
              <w:rPr>
                <w:spacing w:val="-6"/>
                <w:sz w:val="21"/>
              </w:rPr>
              <w:t>指因脑血管的突发病变引起脑血管出血、栓塞或梗塞，并导致神经系统永久性的功能障碍。神经系统永久性的功能障碍，指疾病确诊180天后，仍遗留下列</w:t>
            </w:r>
            <w:r>
              <w:rPr>
                <w:spacing w:val="-4"/>
                <w:sz w:val="21"/>
              </w:rPr>
              <w:t>一种或一种以上障碍：</w:t>
            </w:r>
          </w:p>
          <w:p>
            <w:pPr>
              <w:pStyle w:val="TableParagraph"/>
              <w:spacing w:before="7"/>
              <w:ind w:left="76"/>
              <w:rPr>
                <w:sz w:val="21"/>
              </w:rPr>
            </w:pPr>
            <w:r>
              <w:rPr>
                <w:sz w:val="21"/>
              </w:rPr>
              <w:t>（1）一肢或一肢以上肢体机能完全丧失；</w:t>
            </w:r>
          </w:p>
          <w:p>
            <w:pPr>
              <w:pStyle w:val="TableParagraph"/>
              <w:spacing w:before="36"/>
              <w:ind w:left="76"/>
              <w:rPr>
                <w:sz w:val="21"/>
              </w:rPr>
            </w:pPr>
            <w:r>
              <w:rPr>
                <w:sz w:val="21"/>
              </w:rPr>
              <w:t>（2）语言能力或咀嚼吞咽能力完全丧失；</w:t>
            </w:r>
          </w:p>
          <w:p>
            <w:pPr>
              <w:pStyle w:val="TableParagraph"/>
              <w:spacing w:line="273" w:lineRule="auto" w:before="36"/>
              <w:ind w:left="681" w:right="304" w:hanging="605"/>
              <w:rPr>
                <w:sz w:val="21"/>
              </w:rPr>
            </w:pPr>
            <w:r>
              <w:rPr>
                <w:sz w:val="21"/>
              </w:rPr>
              <w:t>（3）自主生活能力完全丧失，无法独立完成六项基本日常生活活动中的三项或三项以上。</w:t>
            </w:r>
          </w:p>
        </w:tc>
      </w:tr>
      <w:tr>
        <w:trPr>
          <w:trHeight w:val="1872" w:hRule="atLeast"/>
        </w:trPr>
        <w:tc>
          <w:tcPr>
            <w:tcW w:w="862" w:type="dxa"/>
          </w:tcPr>
          <w:p>
            <w:pPr>
              <w:pStyle w:val="TableParagraph"/>
              <w:spacing w:before="0"/>
              <w:ind w:left="0"/>
              <w:rPr>
                <w:rFonts w:ascii="Times New Roman"/>
                <w:sz w:val="20"/>
              </w:rPr>
            </w:pPr>
          </w:p>
        </w:tc>
        <w:tc>
          <w:tcPr>
            <w:tcW w:w="1919" w:type="dxa"/>
          </w:tcPr>
          <w:p>
            <w:pPr>
              <w:pStyle w:val="TableParagraph"/>
              <w:spacing w:line="273" w:lineRule="auto"/>
              <w:ind w:left="-22" w:right="135"/>
              <w:rPr>
                <w:sz w:val="21"/>
              </w:rPr>
            </w:pPr>
            <w:r>
              <w:rPr>
                <w:spacing w:val="-2"/>
                <w:sz w:val="21"/>
              </w:rPr>
              <w:t>(四) 重大器官移植</w:t>
            </w:r>
            <w:r>
              <w:rPr>
                <w:spacing w:val="-3"/>
                <w:sz w:val="21"/>
              </w:rPr>
              <w:t>术或造血干细胞移</w:t>
            </w:r>
            <w:r>
              <w:rPr>
                <w:spacing w:val="-14"/>
                <w:w w:val="100"/>
                <w:sz w:val="21"/>
              </w:rPr>
              <w:t>植术－“中国保险行</w:t>
            </w:r>
            <w:r>
              <w:rPr>
                <w:spacing w:val="-7"/>
                <w:sz w:val="21"/>
              </w:rPr>
              <w:t>业协会推荐”</w:t>
            </w:r>
          </w:p>
        </w:tc>
        <w:tc>
          <w:tcPr>
            <w:tcW w:w="7479" w:type="dxa"/>
          </w:tcPr>
          <w:p>
            <w:pPr>
              <w:pStyle w:val="TableParagraph"/>
              <w:spacing w:line="273" w:lineRule="auto"/>
              <w:ind w:left="76" w:right="302"/>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8"/>
              <w:ind w:left="76" w:right="302"/>
              <w:jc w:val="both"/>
              <w:rPr>
                <w:sz w:val="21"/>
              </w:rPr>
            </w:pPr>
            <w:r>
              <w:rPr>
                <w:spacing w:val="-7"/>
                <w:sz w:val="21"/>
              </w:rPr>
              <w:t>造血干细胞移植术，指因造血功能损害或造血系统恶性肿瘤，已经实施了造血</w:t>
            </w:r>
            <w:r>
              <w:rPr>
                <w:spacing w:val="-11"/>
                <w:sz w:val="21"/>
              </w:rPr>
              <w:t>干细胞</w:t>
            </w:r>
            <w:r>
              <w:rPr>
                <w:spacing w:val="-3"/>
                <w:sz w:val="21"/>
              </w:rPr>
              <w:t>（</w:t>
            </w:r>
            <w:r>
              <w:rPr>
                <w:spacing w:val="-5"/>
                <w:sz w:val="21"/>
              </w:rPr>
              <w:t>包括骨髓造血干细胞、外周血造血干细胞和脐血造血干细胞</w:t>
            </w:r>
            <w:r>
              <w:rPr>
                <w:spacing w:val="-15"/>
                <w:sz w:val="21"/>
              </w:rPr>
              <w:t>）</w:t>
            </w:r>
            <w:r>
              <w:rPr>
                <w:spacing w:val="-2"/>
                <w:sz w:val="21"/>
              </w:rPr>
              <w:t>的异体</w:t>
            </w:r>
            <w:r>
              <w:rPr>
                <w:spacing w:val="-3"/>
                <w:sz w:val="21"/>
              </w:rPr>
              <w:t>移植手术。</w:t>
            </w:r>
          </w:p>
        </w:tc>
      </w:tr>
      <w:tr>
        <w:trPr>
          <w:trHeight w:val="1556" w:hRule="atLeast"/>
        </w:trPr>
        <w:tc>
          <w:tcPr>
            <w:tcW w:w="862" w:type="dxa"/>
          </w:tcPr>
          <w:p>
            <w:pPr>
              <w:pStyle w:val="TableParagraph"/>
              <w:spacing w:before="0"/>
              <w:ind w:left="0"/>
              <w:rPr>
                <w:rFonts w:ascii="Times New Roman"/>
                <w:sz w:val="20"/>
              </w:rPr>
            </w:pPr>
          </w:p>
        </w:tc>
        <w:tc>
          <w:tcPr>
            <w:tcW w:w="1919" w:type="dxa"/>
          </w:tcPr>
          <w:p>
            <w:pPr>
              <w:pStyle w:val="TableParagraph"/>
              <w:spacing w:line="273" w:lineRule="auto"/>
              <w:ind w:left="-22" w:right="44"/>
              <w:jc w:val="both"/>
              <w:rPr>
                <w:sz w:val="21"/>
              </w:rPr>
            </w:pPr>
            <w:r>
              <w:rPr>
                <w:spacing w:val="-2"/>
                <w:sz w:val="21"/>
              </w:rPr>
              <w:t>(五) 冠状动脉搭桥</w:t>
            </w:r>
            <w:r>
              <w:rPr>
                <w:spacing w:val="-92"/>
                <w:sz w:val="21"/>
              </w:rPr>
              <w:t>术</w:t>
            </w:r>
            <w:r>
              <w:rPr>
                <w:sz w:val="21"/>
              </w:rPr>
              <w:t>（</w:t>
            </w:r>
            <w:r>
              <w:rPr>
                <w:spacing w:val="-3"/>
                <w:sz w:val="21"/>
              </w:rPr>
              <w:t>或称冠状动脉旁路移植术</w:t>
            </w:r>
            <w:r>
              <w:rPr>
                <w:spacing w:val="-32"/>
                <w:sz w:val="21"/>
              </w:rPr>
              <w:t>）</w:t>
            </w:r>
            <w:r>
              <w:rPr>
                <w:spacing w:val="-18"/>
                <w:sz w:val="21"/>
              </w:rPr>
              <w:t>－“中国</w:t>
            </w:r>
            <w:r>
              <w:rPr>
                <w:spacing w:val="-7"/>
                <w:sz w:val="21"/>
              </w:rPr>
              <w:t>保险行业协会推荐”</w:t>
            </w:r>
          </w:p>
        </w:tc>
        <w:tc>
          <w:tcPr>
            <w:tcW w:w="7479" w:type="dxa"/>
          </w:tcPr>
          <w:p>
            <w:pPr>
              <w:pStyle w:val="TableParagraph"/>
              <w:spacing w:line="273" w:lineRule="auto"/>
              <w:ind w:left="76" w:right="310"/>
              <w:rPr>
                <w:sz w:val="21"/>
              </w:rPr>
            </w:pPr>
            <w:r>
              <w:rPr>
                <w:sz w:val="21"/>
              </w:rPr>
              <w:t>指为治疗严重的冠心病，实际实施了开胸进行的冠状动脉血管旁路移植的手术。</w:t>
            </w:r>
          </w:p>
          <w:p>
            <w:pPr>
              <w:pStyle w:val="TableParagraph"/>
              <w:spacing w:line="273" w:lineRule="auto" w:before="8"/>
              <w:ind w:left="76" w:right="302"/>
              <w:rPr>
                <w:sz w:val="21"/>
              </w:rPr>
            </w:pPr>
            <w:r>
              <w:rPr>
                <w:spacing w:val="-7"/>
                <w:sz w:val="21"/>
              </w:rPr>
              <w:t>冠状动脉支架植入术、心导管球囊扩张术、激光射频技术及其他非开胸的介入</w:t>
            </w:r>
            <w:r>
              <w:rPr>
                <w:spacing w:val="-5"/>
                <w:sz w:val="21"/>
              </w:rPr>
              <w:t>手术、腔镜手术不在保障范围内。</w:t>
            </w:r>
          </w:p>
        </w:tc>
      </w:tr>
      <w:tr>
        <w:trPr>
          <w:trHeight w:val="1044" w:hRule="atLeast"/>
        </w:trPr>
        <w:tc>
          <w:tcPr>
            <w:tcW w:w="862" w:type="dxa"/>
          </w:tcPr>
          <w:p>
            <w:pPr>
              <w:pStyle w:val="TableParagraph"/>
              <w:spacing w:before="0"/>
              <w:ind w:left="0"/>
              <w:rPr>
                <w:rFonts w:ascii="Times New Roman"/>
                <w:sz w:val="20"/>
              </w:rPr>
            </w:pPr>
          </w:p>
        </w:tc>
        <w:tc>
          <w:tcPr>
            <w:tcW w:w="1919" w:type="dxa"/>
          </w:tcPr>
          <w:p>
            <w:pPr>
              <w:pStyle w:val="TableParagraph"/>
              <w:spacing w:before="137"/>
              <w:ind w:left="-22"/>
              <w:rPr>
                <w:sz w:val="21"/>
              </w:rPr>
            </w:pPr>
            <w:r>
              <w:rPr>
                <w:sz w:val="21"/>
              </w:rPr>
              <w:t>(六) 终末期肾病</w:t>
            </w:r>
          </w:p>
          <w:p>
            <w:pPr>
              <w:pStyle w:val="TableParagraph"/>
              <w:spacing w:line="310" w:lineRule="atLeast" w:before="1"/>
              <w:ind w:left="-22" w:right="255"/>
              <w:rPr>
                <w:sz w:val="21"/>
              </w:rPr>
            </w:pPr>
            <w:r>
              <w:rPr>
                <w:sz w:val="21"/>
              </w:rPr>
              <w:t>（或称慢性肾功能衰竭尿毒症期）－</w:t>
            </w:r>
          </w:p>
        </w:tc>
        <w:tc>
          <w:tcPr>
            <w:tcW w:w="7479" w:type="dxa"/>
          </w:tcPr>
          <w:p>
            <w:pPr>
              <w:pStyle w:val="TableParagraph"/>
              <w:spacing w:before="137"/>
              <w:ind w:left="76"/>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ind w:left="76"/>
              <w:rPr>
                <w:sz w:val="21"/>
              </w:rPr>
            </w:pPr>
            <w:r>
              <w:rPr>
                <w:sz w:val="21"/>
              </w:rPr>
              <w:t>天的规律性透析治疗或实施了肾脏移植手术。</w:t>
            </w:r>
          </w:p>
        </w:tc>
      </w:tr>
    </w:tbl>
    <w:p>
      <w:pPr>
        <w:spacing w:after="0"/>
        <w:rPr>
          <w:sz w:val="21"/>
        </w:rPr>
        <w:sectPr>
          <w:pgSz w:w="11910" w:h="16840"/>
          <w:pgMar w:header="0" w:footer="912" w:top="1460" w:bottom="1100" w:left="1000" w:right="4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7362"/>
      </w:tblGrid>
      <w:tr>
        <w:trPr>
          <w:trHeight w:val="730" w:hRule="atLeast"/>
        </w:trPr>
        <w:tc>
          <w:tcPr>
            <w:tcW w:w="2155" w:type="dxa"/>
          </w:tcPr>
          <w:p>
            <w:pPr>
              <w:pStyle w:val="TableParagraph"/>
              <w:spacing w:line="202" w:lineRule="exact" w:before="0"/>
              <w:rPr>
                <w:sz w:val="21"/>
              </w:rPr>
            </w:pPr>
            <w:r>
              <w:rPr>
                <w:sz w:val="21"/>
              </w:rPr>
              <w:t>“中国保险行业协</w:t>
            </w:r>
          </w:p>
          <w:p>
            <w:pPr>
              <w:pStyle w:val="TableParagraph"/>
              <w:spacing w:before="37"/>
              <w:rPr>
                <w:sz w:val="21"/>
              </w:rPr>
            </w:pPr>
            <w:r>
              <w:rPr>
                <w:sz w:val="21"/>
              </w:rPr>
              <w:t>会推荐”</w:t>
            </w:r>
          </w:p>
        </w:tc>
        <w:tc>
          <w:tcPr>
            <w:tcW w:w="7362" w:type="dxa"/>
          </w:tcPr>
          <w:p>
            <w:pPr>
              <w:pStyle w:val="TableParagraph"/>
              <w:spacing w:before="0"/>
              <w:ind w:left="0"/>
              <w:rPr>
                <w:rFonts w:ascii="Times New Roman"/>
                <w:sz w:val="20"/>
              </w:rPr>
            </w:pPr>
          </w:p>
        </w:tc>
      </w:tr>
      <w:tr>
        <w:trPr>
          <w:trHeight w:val="1247" w:hRule="atLeast"/>
        </w:trPr>
        <w:tc>
          <w:tcPr>
            <w:tcW w:w="2155" w:type="dxa"/>
          </w:tcPr>
          <w:p>
            <w:pPr>
              <w:pStyle w:val="TableParagraph"/>
              <w:rPr>
                <w:sz w:val="21"/>
              </w:rPr>
            </w:pPr>
            <w:r>
              <w:rPr>
                <w:sz w:val="21"/>
              </w:rPr>
              <w:t>(七) 多个肢体缺失</w:t>
            </w:r>
          </w:p>
          <w:p>
            <w:pPr>
              <w:pStyle w:val="TableParagraph"/>
              <w:spacing w:line="273" w:lineRule="auto" w:before="37"/>
              <w:ind w:right="150"/>
              <w:rPr>
                <w:sz w:val="21"/>
              </w:rPr>
            </w:pPr>
            <w:r>
              <w:rPr>
                <w:spacing w:val="-14"/>
                <w:w w:val="100"/>
                <w:sz w:val="21"/>
              </w:rPr>
              <w:t>－“中国保险行业协</w:t>
            </w:r>
            <w:r>
              <w:rPr>
                <w:spacing w:val="-9"/>
                <w:sz w:val="21"/>
              </w:rPr>
              <w:t>会推荐”</w:t>
            </w:r>
          </w:p>
        </w:tc>
        <w:tc>
          <w:tcPr>
            <w:tcW w:w="7362" w:type="dxa"/>
          </w:tcPr>
          <w:p>
            <w:pPr>
              <w:pStyle w:val="TableParagraph"/>
              <w:spacing w:line="273" w:lineRule="auto"/>
              <w:ind w:left="61" w:right="139"/>
              <w:rPr>
                <w:sz w:val="21"/>
              </w:rPr>
            </w:pPr>
            <w:r>
              <w:rPr>
                <w:sz w:val="21"/>
              </w:rPr>
              <w:t>指因疾病或意外伤害导致两个或两个以上肢体自腕关节或踝关节近端（靠近躯干端）以上完全性断离。</w:t>
            </w:r>
          </w:p>
        </w:tc>
      </w:tr>
      <w:tr>
        <w:trPr>
          <w:trHeight w:val="2184" w:hRule="atLeast"/>
        </w:trPr>
        <w:tc>
          <w:tcPr>
            <w:tcW w:w="2155" w:type="dxa"/>
          </w:tcPr>
          <w:p>
            <w:pPr>
              <w:pStyle w:val="TableParagraph"/>
              <w:spacing w:line="273" w:lineRule="auto"/>
              <w:ind w:right="150"/>
              <w:jc w:val="both"/>
              <w:rPr>
                <w:sz w:val="21"/>
              </w:rPr>
            </w:pPr>
            <w:r>
              <w:rPr>
                <w:spacing w:val="-2"/>
                <w:sz w:val="21"/>
              </w:rPr>
              <w:t>(八) 急性或亚急性</w:t>
            </w:r>
            <w:r>
              <w:rPr>
                <w:spacing w:val="-14"/>
                <w:w w:val="100"/>
                <w:sz w:val="21"/>
              </w:rPr>
              <w:t>重症肝炎－“中国保</w:t>
            </w:r>
            <w:r>
              <w:rPr>
                <w:spacing w:val="-7"/>
                <w:sz w:val="21"/>
              </w:rPr>
              <w:t>险行业协会推荐”</w:t>
            </w:r>
          </w:p>
        </w:tc>
        <w:tc>
          <w:tcPr>
            <w:tcW w:w="7362" w:type="dxa"/>
          </w:tcPr>
          <w:p>
            <w:pPr>
              <w:pStyle w:val="TableParagraph"/>
              <w:spacing w:line="273" w:lineRule="auto"/>
              <w:ind w:left="61" w:right="142"/>
              <w:rPr>
                <w:sz w:val="21"/>
              </w:rPr>
            </w:pPr>
            <w:r>
              <w:rPr>
                <w:sz w:val="21"/>
              </w:rPr>
              <w:t>指因肝炎病毒感染引起肝脏组织弥漫性坏死，导致急性肝功能衰竭，且经血清学或病毒学检查证实，并须满足下列全部条件：</w:t>
            </w:r>
          </w:p>
          <w:p>
            <w:pPr>
              <w:pStyle w:val="TableParagraph"/>
              <w:spacing w:before="8"/>
              <w:ind w:left="61"/>
              <w:rPr>
                <w:sz w:val="21"/>
              </w:rPr>
            </w:pPr>
            <w:r>
              <w:rPr>
                <w:sz w:val="21"/>
              </w:rPr>
              <w:t>（1）重度黄疸或黄疸迅速加重；</w:t>
            </w:r>
          </w:p>
          <w:p>
            <w:pPr>
              <w:pStyle w:val="TableParagraph"/>
              <w:spacing w:before="37"/>
              <w:ind w:left="61"/>
              <w:rPr>
                <w:sz w:val="21"/>
              </w:rPr>
            </w:pPr>
            <w:r>
              <w:rPr>
                <w:sz w:val="21"/>
              </w:rPr>
              <w:t>（2）肝性脑病；</w:t>
            </w:r>
          </w:p>
          <w:p>
            <w:pPr>
              <w:pStyle w:val="TableParagraph"/>
              <w:spacing w:before="37"/>
              <w:ind w:left="61"/>
              <w:rPr>
                <w:sz w:val="21"/>
              </w:rPr>
            </w:pPr>
            <w:r>
              <w:rPr>
                <w:sz w:val="21"/>
              </w:rPr>
              <w:t>（3）B超或其他影像学检查显示肝脏体积急速萎缩；</w:t>
            </w:r>
          </w:p>
          <w:p>
            <w:pPr>
              <w:pStyle w:val="TableParagraph"/>
              <w:spacing w:before="38"/>
              <w:ind w:left="61"/>
              <w:rPr>
                <w:sz w:val="21"/>
              </w:rPr>
            </w:pPr>
            <w:r>
              <w:rPr>
                <w:sz w:val="21"/>
              </w:rPr>
              <w:t>（4）肝功能指标进行性恶化。</w:t>
            </w:r>
          </w:p>
        </w:tc>
      </w:tr>
      <w:tr>
        <w:trPr>
          <w:trHeight w:val="2496" w:hRule="atLeast"/>
        </w:trPr>
        <w:tc>
          <w:tcPr>
            <w:tcW w:w="2155" w:type="dxa"/>
          </w:tcPr>
          <w:p>
            <w:pPr>
              <w:pStyle w:val="TableParagraph"/>
              <w:rPr>
                <w:sz w:val="21"/>
              </w:rPr>
            </w:pPr>
            <w:r>
              <w:rPr>
                <w:sz w:val="21"/>
              </w:rPr>
              <w:t>(九) 良性脑肿瘤－</w:t>
            </w:r>
          </w:p>
          <w:p>
            <w:pPr>
              <w:pStyle w:val="TableParagraph"/>
              <w:spacing w:line="273" w:lineRule="auto" w:before="37"/>
              <w:ind w:right="270"/>
              <w:rPr>
                <w:sz w:val="21"/>
              </w:rPr>
            </w:pPr>
            <w:r>
              <w:rPr>
                <w:sz w:val="21"/>
              </w:rPr>
              <w:t>“中国保险行业协会推荐”</w:t>
            </w:r>
          </w:p>
        </w:tc>
        <w:tc>
          <w:tcPr>
            <w:tcW w:w="7362" w:type="dxa"/>
          </w:tcPr>
          <w:p>
            <w:pPr>
              <w:pStyle w:val="TableParagraph"/>
              <w:spacing w:line="273" w:lineRule="auto"/>
              <w:ind w:left="61" w:right="198"/>
              <w:jc w:val="both"/>
              <w:rPr>
                <w:sz w:val="21"/>
              </w:rPr>
            </w:pPr>
            <w:r>
              <w:rPr>
                <w:spacing w:val="-7"/>
                <w:sz w:val="21"/>
              </w:rPr>
              <w:t>指脑的良性肿瘤，已经引起颅内压增高，临床表现为视神经乳头水肿、精神症</w:t>
            </w:r>
            <w:r>
              <w:rPr>
                <w:spacing w:val="-8"/>
                <w:sz w:val="21"/>
              </w:rPr>
              <w:t>状、癫痫及运动感觉障碍等，并危及生命。须由头颅断层扫描</w:t>
            </w:r>
            <w:r>
              <w:rPr>
                <w:spacing w:val="-4"/>
                <w:sz w:val="21"/>
              </w:rPr>
              <w:t>（CT）、核磁共</w:t>
            </w:r>
            <w:r>
              <w:rPr>
                <w:spacing w:val="-7"/>
                <w:sz w:val="21"/>
              </w:rPr>
              <w:t>振检查</w:t>
            </w:r>
            <w:r>
              <w:rPr>
                <w:spacing w:val="-3"/>
                <w:sz w:val="21"/>
              </w:rPr>
              <w:t>（MRI）</w:t>
            </w:r>
            <w:r>
              <w:rPr>
                <w:spacing w:val="-4"/>
                <w:sz w:val="21"/>
              </w:rPr>
              <w:t>或正电子发射断层扫描</w:t>
            </w:r>
            <w:r>
              <w:rPr>
                <w:spacing w:val="-3"/>
                <w:sz w:val="21"/>
              </w:rPr>
              <w:t>（PET）</w:t>
            </w:r>
            <w:r>
              <w:rPr>
                <w:spacing w:val="-4"/>
                <w:sz w:val="21"/>
              </w:rPr>
              <w:t>等影像学检查证实，并须满足下</w:t>
            </w:r>
            <w:r>
              <w:rPr>
                <w:spacing w:val="-3"/>
                <w:sz w:val="21"/>
              </w:rPr>
              <w:t>列至少一项条件：</w:t>
            </w:r>
          </w:p>
          <w:p>
            <w:pPr>
              <w:pStyle w:val="TableParagraph"/>
              <w:spacing w:before="8"/>
              <w:ind w:left="61"/>
              <w:jc w:val="both"/>
              <w:rPr>
                <w:sz w:val="21"/>
              </w:rPr>
            </w:pPr>
            <w:r>
              <w:rPr>
                <w:sz w:val="21"/>
              </w:rPr>
              <w:t>（1）实际实施了开颅进行的脑肿瘤完全切除或部分切除的手术；</w:t>
            </w:r>
          </w:p>
          <w:p>
            <w:pPr>
              <w:pStyle w:val="TableParagraph"/>
              <w:spacing w:before="37"/>
              <w:ind w:left="61"/>
              <w:jc w:val="both"/>
              <w:rPr>
                <w:sz w:val="21"/>
              </w:rPr>
            </w:pPr>
            <w:r>
              <w:rPr>
                <w:sz w:val="21"/>
              </w:rPr>
              <w:t>（2）实际实施了对脑肿瘤进行的放射治疗。</w:t>
            </w:r>
          </w:p>
          <w:p>
            <w:pPr>
              <w:pStyle w:val="TableParagraph"/>
              <w:spacing w:before="37"/>
              <w:ind w:left="61"/>
              <w:jc w:val="both"/>
              <w:rPr>
                <w:sz w:val="21"/>
              </w:rPr>
            </w:pPr>
            <w:r>
              <w:rPr>
                <w:sz w:val="21"/>
              </w:rPr>
              <w:t>脑垂体瘤、脑囊肿、脑血管性疾病不在保障范围内。</w:t>
            </w:r>
          </w:p>
        </w:tc>
      </w:tr>
      <w:tr>
        <w:trPr>
          <w:trHeight w:val="2184" w:hRule="atLeast"/>
        </w:trPr>
        <w:tc>
          <w:tcPr>
            <w:tcW w:w="2155" w:type="dxa"/>
          </w:tcPr>
          <w:p>
            <w:pPr>
              <w:pStyle w:val="TableParagraph"/>
              <w:spacing w:line="273" w:lineRule="auto"/>
              <w:ind w:right="59"/>
              <w:jc w:val="both"/>
              <w:rPr>
                <w:sz w:val="21"/>
              </w:rPr>
            </w:pPr>
            <w:r>
              <w:rPr>
                <w:spacing w:val="-2"/>
                <w:sz w:val="21"/>
              </w:rPr>
              <w:t>(十) 慢性肝功能衰</w:t>
            </w:r>
            <w:r>
              <w:rPr>
                <w:spacing w:val="-14"/>
                <w:w w:val="100"/>
                <w:sz w:val="21"/>
              </w:rPr>
              <w:t>竭失代偿期－“中国</w:t>
            </w:r>
            <w:r>
              <w:rPr>
                <w:spacing w:val="-7"/>
                <w:sz w:val="21"/>
              </w:rPr>
              <w:t>保险行业协会推荐”</w:t>
            </w:r>
          </w:p>
        </w:tc>
        <w:tc>
          <w:tcPr>
            <w:tcW w:w="7362" w:type="dxa"/>
          </w:tcPr>
          <w:p>
            <w:pPr>
              <w:pStyle w:val="TableParagraph"/>
              <w:ind w:left="61"/>
              <w:rPr>
                <w:sz w:val="21"/>
              </w:rPr>
            </w:pPr>
            <w:r>
              <w:rPr>
                <w:sz w:val="21"/>
              </w:rPr>
              <w:t>指因慢性肝脏疾病导致肝功能衰竭。须满足下列全部条件：</w:t>
            </w:r>
          </w:p>
          <w:p>
            <w:pPr>
              <w:pStyle w:val="TableParagraph"/>
              <w:spacing w:before="37"/>
              <w:ind w:left="61"/>
              <w:rPr>
                <w:sz w:val="21"/>
              </w:rPr>
            </w:pPr>
            <w:r>
              <w:rPr>
                <w:sz w:val="21"/>
              </w:rPr>
              <w:t>（1）持续性黄疸；</w:t>
            </w:r>
          </w:p>
          <w:p>
            <w:pPr>
              <w:pStyle w:val="TableParagraph"/>
              <w:spacing w:before="36"/>
              <w:ind w:left="61"/>
              <w:rPr>
                <w:sz w:val="21"/>
              </w:rPr>
            </w:pPr>
            <w:r>
              <w:rPr>
                <w:sz w:val="21"/>
              </w:rPr>
              <w:t>（2）腹水；</w:t>
            </w:r>
          </w:p>
          <w:p>
            <w:pPr>
              <w:pStyle w:val="TableParagraph"/>
              <w:spacing w:before="36"/>
              <w:ind w:left="61"/>
              <w:rPr>
                <w:sz w:val="21"/>
              </w:rPr>
            </w:pPr>
            <w:r>
              <w:rPr>
                <w:sz w:val="21"/>
              </w:rPr>
              <w:t>（3）肝性脑病；</w:t>
            </w:r>
          </w:p>
          <w:p>
            <w:pPr>
              <w:pStyle w:val="TableParagraph"/>
              <w:spacing w:line="273" w:lineRule="auto" w:before="36"/>
              <w:ind w:left="61" w:right="2149"/>
              <w:rPr>
                <w:sz w:val="21"/>
              </w:rPr>
            </w:pPr>
            <w:r>
              <w:rPr>
                <w:sz w:val="21"/>
              </w:rPr>
              <w:t>（4）充血性脾肿大伴脾功能亢进或食管胃底静脉曲张。因酗酒或药物滥用导致的肝功能衰竭不在保障范围内。</w:t>
            </w:r>
          </w:p>
        </w:tc>
      </w:tr>
      <w:tr>
        <w:trPr>
          <w:trHeight w:val="2184" w:hRule="atLeast"/>
        </w:trPr>
        <w:tc>
          <w:tcPr>
            <w:tcW w:w="2155" w:type="dxa"/>
          </w:tcPr>
          <w:p>
            <w:pPr>
              <w:pStyle w:val="TableParagraph"/>
              <w:spacing w:line="273" w:lineRule="auto"/>
              <w:ind w:right="164"/>
              <w:rPr>
                <w:sz w:val="21"/>
              </w:rPr>
            </w:pPr>
            <w:r>
              <w:rPr>
                <w:sz w:val="21"/>
              </w:rPr>
              <w:t>(十一) 脑炎后遗症或脑膜炎后遗症－</w:t>
            </w:r>
          </w:p>
          <w:p>
            <w:pPr>
              <w:pStyle w:val="TableParagraph"/>
              <w:spacing w:line="273" w:lineRule="auto" w:before="8"/>
              <w:ind w:right="270"/>
              <w:rPr>
                <w:sz w:val="21"/>
              </w:rPr>
            </w:pPr>
            <w:r>
              <w:rPr>
                <w:sz w:val="21"/>
              </w:rPr>
              <w:t>“中国保险行业协会推荐”</w:t>
            </w:r>
          </w:p>
        </w:tc>
        <w:tc>
          <w:tcPr>
            <w:tcW w:w="7362" w:type="dxa"/>
          </w:tcPr>
          <w:p>
            <w:pPr>
              <w:pStyle w:val="TableParagraph"/>
              <w:spacing w:line="273" w:lineRule="auto"/>
              <w:ind w:left="61" w:right="142"/>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8"/>
              <w:ind w:left="143"/>
              <w:rPr>
                <w:sz w:val="21"/>
              </w:rPr>
            </w:pPr>
            <w:r>
              <w:rPr>
                <w:sz w:val="21"/>
              </w:rPr>
              <w:t>（1）一肢或一肢以上肢体机能完全丧失；</w:t>
            </w:r>
          </w:p>
          <w:p>
            <w:pPr>
              <w:pStyle w:val="TableParagraph"/>
              <w:spacing w:before="37"/>
              <w:ind w:left="143"/>
              <w:rPr>
                <w:sz w:val="21"/>
              </w:rPr>
            </w:pPr>
            <w:r>
              <w:rPr>
                <w:sz w:val="21"/>
              </w:rPr>
              <w:t>（2）语言能力或咀嚼吞咽能力完全丧失；</w:t>
            </w:r>
          </w:p>
          <w:p>
            <w:pPr>
              <w:pStyle w:val="TableParagraph"/>
              <w:spacing w:line="273" w:lineRule="auto" w:before="37"/>
              <w:ind w:left="666" w:right="200" w:hanging="605"/>
              <w:rPr>
                <w:sz w:val="21"/>
              </w:rPr>
            </w:pPr>
            <w:r>
              <w:rPr>
                <w:sz w:val="21"/>
              </w:rPr>
              <w:t>（3）自主生活能力完全丧失，无法独立完成六项基本日常生活活动中的三项或三项以上。</w:t>
            </w:r>
          </w:p>
        </w:tc>
      </w:tr>
      <w:tr>
        <w:trPr>
          <w:trHeight w:val="1556" w:hRule="atLeast"/>
        </w:trPr>
        <w:tc>
          <w:tcPr>
            <w:tcW w:w="2155" w:type="dxa"/>
          </w:tcPr>
          <w:p>
            <w:pPr>
              <w:pStyle w:val="TableParagraph"/>
              <w:rPr>
                <w:sz w:val="21"/>
              </w:rPr>
            </w:pPr>
            <w:r>
              <w:rPr>
                <w:sz w:val="21"/>
              </w:rPr>
              <w:t>(十二) 深度昏迷－</w:t>
            </w:r>
          </w:p>
          <w:p>
            <w:pPr>
              <w:pStyle w:val="TableParagraph"/>
              <w:spacing w:line="273" w:lineRule="auto" w:before="37"/>
              <w:ind w:right="270"/>
              <w:rPr>
                <w:sz w:val="21"/>
              </w:rPr>
            </w:pPr>
            <w:r>
              <w:rPr>
                <w:sz w:val="21"/>
              </w:rPr>
              <w:t>“中国保险行业协会推荐”</w:t>
            </w:r>
          </w:p>
        </w:tc>
        <w:tc>
          <w:tcPr>
            <w:tcW w:w="7362" w:type="dxa"/>
          </w:tcPr>
          <w:p>
            <w:pPr>
              <w:pStyle w:val="TableParagraph"/>
              <w:spacing w:line="273" w:lineRule="auto"/>
              <w:ind w:left="61" w:right="198"/>
              <w:rPr>
                <w:sz w:val="21"/>
              </w:rPr>
            </w:pPr>
            <w:r>
              <w:rPr>
                <w:spacing w:val="-3"/>
                <w:sz w:val="21"/>
              </w:rPr>
              <w:t>指因疾病或意外伤害导致意识丧失,对外界刺激和体内需求均无反应,昏迷程 度按照格拉斯哥昏迷分级</w:t>
            </w:r>
            <w:r>
              <w:rPr>
                <w:sz w:val="21"/>
              </w:rPr>
              <w:t>（Glasgow</w:t>
            </w:r>
            <w:r>
              <w:rPr>
                <w:spacing w:val="-14"/>
                <w:sz w:val="21"/>
              </w:rPr>
              <w:t> </w:t>
            </w:r>
            <w:r>
              <w:rPr>
                <w:sz w:val="21"/>
              </w:rPr>
              <w:t>coma</w:t>
            </w:r>
            <w:r>
              <w:rPr>
                <w:spacing w:val="-11"/>
                <w:sz w:val="21"/>
              </w:rPr>
              <w:t> </w:t>
            </w:r>
            <w:r>
              <w:rPr>
                <w:sz w:val="21"/>
              </w:rPr>
              <w:t>scale）结果为5</w:t>
            </w:r>
            <w:r>
              <w:rPr>
                <w:spacing w:val="-2"/>
                <w:sz w:val="21"/>
              </w:rPr>
              <w:t>分或</w:t>
            </w:r>
            <w:r>
              <w:rPr>
                <w:sz w:val="21"/>
              </w:rPr>
              <w:t>5</w:t>
            </w:r>
            <w:r>
              <w:rPr>
                <w:spacing w:val="-3"/>
                <w:sz w:val="21"/>
              </w:rPr>
              <w:t>分以下，且已经持续使用呼吸机及其他生命维持系统</w:t>
            </w:r>
            <w:r>
              <w:rPr>
                <w:sz w:val="21"/>
              </w:rPr>
              <w:t>96</w:t>
            </w:r>
            <w:r>
              <w:rPr>
                <w:spacing w:val="-3"/>
                <w:sz w:val="21"/>
              </w:rPr>
              <w:t>小时以上。</w:t>
            </w:r>
          </w:p>
          <w:p>
            <w:pPr>
              <w:pStyle w:val="TableParagraph"/>
              <w:spacing w:before="8"/>
              <w:ind w:left="61"/>
              <w:rPr>
                <w:sz w:val="21"/>
              </w:rPr>
            </w:pPr>
            <w:r>
              <w:rPr>
                <w:sz w:val="21"/>
              </w:rPr>
              <w:t>因酗酒或药物滥用导致的深度昏迷不在保障范围内。</w:t>
            </w:r>
          </w:p>
        </w:tc>
      </w:tr>
      <w:tr>
        <w:trPr>
          <w:trHeight w:val="1044" w:hRule="atLeast"/>
        </w:trPr>
        <w:tc>
          <w:tcPr>
            <w:tcW w:w="2155" w:type="dxa"/>
          </w:tcPr>
          <w:p>
            <w:pPr>
              <w:pStyle w:val="TableParagraph"/>
              <w:spacing w:before="137"/>
              <w:rPr>
                <w:sz w:val="21"/>
              </w:rPr>
            </w:pPr>
            <w:r>
              <w:rPr>
                <w:sz w:val="21"/>
              </w:rPr>
              <w:t>(十三) 双耳失聪－</w:t>
            </w:r>
          </w:p>
          <w:p>
            <w:pPr>
              <w:pStyle w:val="TableParagraph"/>
              <w:spacing w:line="310" w:lineRule="atLeast" w:before="1"/>
              <w:ind w:right="270"/>
              <w:rPr>
                <w:sz w:val="21"/>
              </w:rPr>
            </w:pPr>
            <w:r>
              <w:rPr>
                <w:sz w:val="21"/>
              </w:rPr>
              <w:t>“中国保险行业协会推荐”</w:t>
            </w:r>
          </w:p>
        </w:tc>
        <w:tc>
          <w:tcPr>
            <w:tcW w:w="7362" w:type="dxa"/>
          </w:tcPr>
          <w:p>
            <w:pPr>
              <w:pStyle w:val="TableParagraph"/>
              <w:spacing w:line="312" w:lineRule="exact" w:before="133"/>
              <w:ind w:left="61" w:right="200"/>
              <w:jc w:val="both"/>
              <w:rPr>
                <w:sz w:val="21"/>
              </w:rPr>
            </w:pPr>
            <w:r>
              <w:rPr>
                <w:spacing w:val="-7"/>
                <w:sz w:val="21"/>
              </w:rPr>
              <w:t>指因疾病或意外伤害导致双耳听力永久不可逆性丧失，在 </w:t>
            </w:r>
            <w:r>
              <w:rPr>
                <w:rFonts w:ascii="Times New Roman" w:eastAsia="Times New Roman"/>
                <w:sz w:val="21"/>
              </w:rPr>
              <w:t>500 </w:t>
            </w:r>
            <w:r>
              <w:rPr>
                <w:spacing w:val="-18"/>
                <w:sz w:val="21"/>
              </w:rPr>
              <w:t>赫兹、</w:t>
            </w:r>
            <w:r>
              <w:rPr>
                <w:rFonts w:ascii="Times New Roman" w:eastAsia="Times New Roman"/>
                <w:sz w:val="21"/>
              </w:rPr>
              <w:t>1000 </w:t>
            </w:r>
            <w:r>
              <w:rPr>
                <w:spacing w:val="-3"/>
                <w:sz w:val="21"/>
              </w:rPr>
              <w:t>赫兹</w:t>
            </w:r>
            <w:r>
              <w:rPr>
                <w:spacing w:val="-23"/>
                <w:sz w:val="21"/>
              </w:rPr>
              <w:t>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6"/>
                <w:sz w:val="21"/>
              </w:rPr>
              <w:t>分贝，且经纯音听力测试、声导抗</w:t>
            </w:r>
            <w:r>
              <w:rPr>
                <w:spacing w:val="-4"/>
                <w:sz w:val="21"/>
              </w:rPr>
              <w:t>检测或听觉诱发电位检测等证实。</w:t>
            </w:r>
          </w:p>
        </w:tc>
      </w:tr>
    </w:tbl>
    <w:p>
      <w:pPr>
        <w:spacing w:after="0" w:line="312" w:lineRule="exact"/>
        <w:jc w:val="both"/>
        <w:rPr>
          <w:sz w:val="21"/>
        </w:rPr>
        <w:sectPr>
          <w:pgSz w:w="11910" w:h="16840"/>
          <w:pgMar w:header="0" w:footer="912" w:top="1460" w:bottom="1100" w:left="1640" w:right="5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7514"/>
      </w:tblGrid>
      <w:tr>
        <w:trPr>
          <w:trHeight w:val="1977" w:hRule="atLeast"/>
        </w:trPr>
        <w:tc>
          <w:tcPr>
            <w:tcW w:w="2110" w:type="dxa"/>
          </w:tcPr>
          <w:p>
            <w:pPr>
              <w:pStyle w:val="TableParagraph"/>
              <w:spacing w:line="202" w:lineRule="exact" w:before="0"/>
              <w:rPr>
                <w:sz w:val="21"/>
              </w:rPr>
            </w:pPr>
            <w:r>
              <w:rPr>
                <w:sz w:val="21"/>
              </w:rPr>
              <w:t>(十四) 双目失明－</w:t>
            </w:r>
          </w:p>
          <w:p>
            <w:pPr>
              <w:pStyle w:val="TableParagraph"/>
              <w:spacing w:line="273" w:lineRule="auto" w:before="37"/>
              <w:ind w:right="225"/>
              <w:rPr>
                <w:sz w:val="21"/>
              </w:rPr>
            </w:pPr>
            <w:r>
              <w:rPr>
                <w:sz w:val="21"/>
              </w:rPr>
              <w:t>“中国保险行业协会推荐”</w:t>
            </w:r>
          </w:p>
        </w:tc>
        <w:tc>
          <w:tcPr>
            <w:tcW w:w="7514" w:type="dxa"/>
          </w:tcPr>
          <w:p>
            <w:pPr>
              <w:pStyle w:val="TableParagraph"/>
              <w:spacing w:line="202" w:lineRule="exact" w:before="0"/>
              <w:ind w:left="106"/>
              <w:rPr>
                <w:sz w:val="21"/>
              </w:rPr>
            </w:pPr>
            <w:r>
              <w:rPr>
                <w:sz w:val="21"/>
              </w:rPr>
              <w:t>指因疾病或意外伤害导致双眼视力永久不可逆性丧失，双眼中较好眼须满足下</w:t>
            </w:r>
          </w:p>
          <w:p>
            <w:pPr>
              <w:pStyle w:val="TableParagraph"/>
              <w:spacing w:before="37"/>
              <w:ind w:left="106"/>
              <w:rPr>
                <w:sz w:val="21"/>
              </w:rPr>
            </w:pPr>
            <w:r>
              <w:rPr>
                <w:sz w:val="21"/>
              </w:rPr>
              <w:t>列至少一项条件：</w:t>
            </w:r>
          </w:p>
          <w:p>
            <w:pPr>
              <w:pStyle w:val="TableParagraph"/>
              <w:spacing w:before="36"/>
              <w:ind w:left="106"/>
              <w:rPr>
                <w:sz w:val="21"/>
              </w:rPr>
            </w:pPr>
            <w:r>
              <w:rPr>
                <w:sz w:val="21"/>
              </w:rPr>
              <w:t>（1）眼球缺失或摘除；</w:t>
            </w:r>
          </w:p>
          <w:p>
            <w:pPr>
              <w:pStyle w:val="TableParagraph"/>
              <w:spacing w:line="256" w:lineRule="auto" w:before="36"/>
              <w:ind w:left="569" w:right="305" w:hanging="464"/>
              <w:rPr>
                <w:sz w:val="21"/>
              </w:rPr>
            </w:pPr>
            <w:r>
              <w:rPr>
                <w:sz w:val="21"/>
              </w:rPr>
              <w:t>（</w:t>
            </w:r>
            <w:r>
              <w:rPr>
                <w:rFonts w:ascii="Times New Roman" w:eastAsia="Times New Roman"/>
                <w:sz w:val="21"/>
              </w:rPr>
              <w:t>2</w:t>
            </w:r>
            <w:r>
              <w:rPr>
                <w:sz w:val="21"/>
              </w:rPr>
              <w:t>）</w:t>
            </w:r>
            <w:r>
              <w:rPr>
                <w:spacing w:val="1"/>
                <w:sz w:val="21"/>
              </w:rPr>
              <w:t>矫正视力低于 </w:t>
            </w:r>
            <w:r>
              <w:rPr>
                <w:rFonts w:ascii="Times New Roman" w:eastAsia="Times New Roman"/>
                <w:sz w:val="21"/>
              </w:rPr>
              <w:t>0.02</w:t>
            </w:r>
            <w:r>
              <w:rPr>
                <w:sz w:val="21"/>
              </w:rPr>
              <w:t>（</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spacing w:before="22"/>
              <w:ind w:left="116"/>
              <w:rPr>
                <w:sz w:val="21"/>
              </w:rPr>
            </w:pPr>
            <w:r>
              <w:rPr>
                <w:sz w:val="21"/>
              </w:rPr>
              <w:t>（3）视野半径小于5度。</w:t>
            </w:r>
          </w:p>
        </w:tc>
      </w:tr>
      <w:tr>
        <w:trPr>
          <w:trHeight w:val="1248" w:hRule="atLeast"/>
        </w:trPr>
        <w:tc>
          <w:tcPr>
            <w:tcW w:w="2110" w:type="dxa"/>
          </w:tcPr>
          <w:p>
            <w:pPr>
              <w:pStyle w:val="TableParagraph"/>
              <w:spacing w:line="273" w:lineRule="auto"/>
              <w:ind w:right="120"/>
              <w:rPr>
                <w:sz w:val="21"/>
              </w:rPr>
            </w:pPr>
            <w:r>
              <w:rPr>
                <w:sz w:val="21"/>
              </w:rPr>
              <w:t>(十五) 瘫痪－“中国保险行业协会推荐”</w:t>
            </w:r>
          </w:p>
        </w:tc>
        <w:tc>
          <w:tcPr>
            <w:tcW w:w="7514" w:type="dxa"/>
          </w:tcPr>
          <w:p>
            <w:pPr>
              <w:pStyle w:val="TableParagraph"/>
              <w:spacing w:line="264" w:lineRule="auto"/>
              <w:ind w:left="106" w:right="304"/>
              <w:jc w:val="both"/>
              <w:rPr>
                <w:sz w:val="21"/>
              </w:rPr>
            </w:pPr>
            <w:r>
              <w:rPr>
                <w:spacing w:val="-5"/>
                <w:sz w:val="21"/>
              </w:rPr>
              <w:t>指因疾病或意外伤害导致两肢或两肢以上肢体机能永久完全丧失。肢体机能永</w:t>
            </w:r>
            <w:r>
              <w:rPr>
                <w:spacing w:val="-11"/>
                <w:sz w:val="21"/>
              </w:rPr>
              <w:t>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6"/>
                <w:sz w:val="21"/>
              </w:rPr>
              <w:t>天后，每肢三大关节中</w:t>
            </w:r>
            <w:r>
              <w:rPr>
                <w:spacing w:val="-4"/>
                <w:sz w:val="21"/>
              </w:rPr>
              <w:t>的两大关节仍然完全僵硬，或不能随意识活动。</w:t>
            </w:r>
          </w:p>
        </w:tc>
      </w:tr>
      <w:tr>
        <w:trPr>
          <w:trHeight w:val="1248" w:hRule="atLeast"/>
        </w:trPr>
        <w:tc>
          <w:tcPr>
            <w:tcW w:w="2110" w:type="dxa"/>
          </w:tcPr>
          <w:p>
            <w:pPr>
              <w:pStyle w:val="TableParagraph"/>
              <w:spacing w:line="273" w:lineRule="auto"/>
              <w:ind w:right="105"/>
              <w:jc w:val="both"/>
              <w:rPr>
                <w:sz w:val="21"/>
              </w:rPr>
            </w:pPr>
            <w:r>
              <w:rPr>
                <w:spacing w:val="-1"/>
                <w:sz w:val="21"/>
              </w:rPr>
              <w:t>(十六) 心脏瓣膜手</w:t>
            </w:r>
            <w:r>
              <w:rPr>
                <w:spacing w:val="-14"/>
                <w:w w:val="100"/>
                <w:sz w:val="21"/>
              </w:rPr>
              <w:t>术－“中国保险行业</w:t>
            </w:r>
            <w:r>
              <w:rPr>
                <w:spacing w:val="-8"/>
                <w:sz w:val="21"/>
              </w:rPr>
              <w:t>协会推荐”</w:t>
            </w:r>
          </w:p>
        </w:tc>
        <w:tc>
          <w:tcPr>
            <w:tcW w:w="7514" w:type="dxa"/>
          </w:tcPr>
          <w:p>
            <w:pPr>
              <w:pStyle w:val="TableParagraph"/>
              <w:ind w:left="106"/>
              <w:rPr>
                <w:sz w:val="21"/>
              </w:rPr>
            </w:pPr>
            <w:r>
              <w:rPr>
                <w:sz w:val="21"/>
              </w:rPr>
              <w:t>指为治疗心脏瓣膜疾病，实际实施了开胸进行的心脏瓣膜置换或修复的手术。</w:t>
            </w:r>
          </w:p>
        </w:tc>
      </w:tr>
      <w:tr>
        <w:trPr>
          <w:trHeight w:val="2183" w:hRule="atLeast"/>
        </w:trPr>
        <w:tc>
          <w:tcPr>
            <w:tcW w:w="2110" w:type="dxa"/>
          </w:tcPr>
          <w:p>
            <w:pPr>
              <w:pStyle w:val="TableParagraph"/>
              <w:spacing w:line="273" w:lineRule="auto"/>
              <w:ind w:right="105"/>
              <w:jc w:val="both"/>
              <w:rPr>
                <w:sz w:val="21"/>
              </w:rPr>
            </w:pPr>
            <w:r>
              <w:rPr>
                <w:spacing w:val="-1"/>
                <w:sz w:val="21"/>
              </w:rPr>
              <w:t>(十七) 严重阿尔茨</w:t>
            </w:r>
            <w:r>
              <w:rPr>
                <w:spacing w:val="-14"/>
                <w:w w:val="100"/>
                <w:sz w:val="21"/>
              </w:rPr>
              <w:t>海默病－“中国保险</w:t>
            </w:r>
            <w:r>
              <w:rPr>
                <w:spacing w:val="-6"/>
                <w:sz w:val="21"/>
              </w:rPr>
              <w:t>行业协会推荐”</w:t>
            </w:r>
          </w:p>
        </w:tc>
        <w:tc>
          <w:tcPr>
            <w:tcW w:w="7514" w:type="dxa"/>
          </w:tcPr>
          <w:p>
            <w:pPr>
              <w:pStyle w:val="TableParagraph"/>
              <w:spacing w:line="273" w:lineRule="auto"/>
              <w:ind w:left="106" w:right="199"/>
              <w:rPr>
                <w:sz w:val="21"/>
              </w:rPr>
            </w:pPr>
            <w:r>
              <w:rPr>
                <w:spacing w:val="-7"/>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10"/>
                <w:sz w:val="21"/>
              </w:rPr>
              <w:t>须由头颅断层扫描</w:t>
            </w:r>
            <w:r>
              <w:rPr>
                <w:spacing w:val="-8"/>
                <w:sz w:val="21"/>
              </w:rPr>
              <w:t>（CT）</w:t>
            </w:r>
            <w:r>
              <w:rPr>
                <w:spacing w:val="-11"/>
                <w:sz w:val="21"/>
              </w:rPr>
              <w:t>、核磁共振检查</w:t>
            </w:r>
            <w:r>
              <w:rPr>
                <w:spacing w:val="-7"/>
                <w:sz w:val="21"/>
              </w:rPr>
              <w:t>（MRI）</w:t>
            </w:r>
            <w:r>
              <w:rPr>
                <w:spacing w:val="-6"/>
                <w:sz w:val="21"/>
              </w:rPr>
              <w:t>或正电子发射断层扫描</w:t>
            </w:r>
            <w:r>
              <w:rPr>
                <w:sz w:val="21"/>
              </w:rPr>
              <w:t>（PET） </w:t>
            </w:r>
            <w:r>
              <w:rPr>
                <w:spacing w:val="-7"/>
                <w:sz w:val="21"/>
              </w:rPr>
              <w:t>等影像学检查证实，且自主生活能力完全丧失，无法独立完成六项基本日常生</w:t>
            </w:r>
            <w:r>
              <w:rPr>
                <w:spacing w:val="-5"/>
                <w:sz w:val="21"/>
              </w:rPr>
              <w:t>活活动中的三项或三项以上。</w:t>
            </w:r>
          </w:p>
          <w:p>
            <w:pPr>
              <w:pStyle w:val="TableParagraph"/>
              <w:spacing w:before="8"/>
              <w:ind w:left="106"/>
              <w:rPr>
                <w:sz w:val="21"/>
              </w:rPr>
            </w:pPr>
            <w:r>
              <w:rPr>
                <w:sz w:val="21"/>
              </w:rPr>
              <w:t>神经官能症和精神疾病不在保障范围内。</w:t>
            </w:r>
          </w:p>
        </w:tc>
      </w:tr>
      <w:tr>
        <w:trPr>
          <w:trHeight w:val="2808" w:hRule="atLeast"/>
        </w:trPr>
        <w:tc>
          <w:tcPr>
            <w:tcW w:w="2110" w:type="dxa"/>
          </w:tcPr>
          <w:p>
            <w:pPr>
              <w:pStyle w:val="TableParagraph"/>
              <w:rPr>
                <w:sz w:val="21"/>
              </w:rPr>
            </w:pPr>
            <w:r>
              <w:rPr>
                <w:sz w:val="21"/>
              </w:rPr>
              <w:t>(十八) 严重脑损伤</w:t>
            </w:r>
          </w:p>
          <w:p>
            <w:pPr>
              <w:pStyle w:val="TableParagraph"/>
              <w:spacing w:line="273" w:lineRule="auto" w:before="37"/>
              <w:ind w:right="105"/>
              <w:rPr>
                <w:sz w:val="21"/>
              </w:rPr>
            </w:pPr>
            <w:r>
              <w:rPr>
                <w:spacing w:val="-14"/>
                <w:w w:val="100"/>
                <w:sz w:val="21"/>
              </w:rPr>
              <w:t>－“中国保险行业协</w:t>
            </w:r>
            <w:r>
              <w:rPr>
                <w:spacing w:val="-9"/>
                <w:sz w:val="21"/>
              </w:rPr>
              <w:t>会推荐”</w:t>
            </w:r>
          </w:p>
        </w:tc>
        <w:tc>
          <w:tcPr>
            <w:tcW w:w="7514" w:type="dxa"/>
          </w:tcPr>
          <w:p>
            <w:pPr>
              <w:pStyle w:val="TableParagraph"/>
              <w:spacing w:line="273" w:lineRule="auto"/>
              <w:ind w:left="106" w:right="202"/>
              <w:rPr>
                <w:sz w:val="21"/>
              </w:rPr>
            </w:pPr>
            <w:r>
              <w:rPr>
                <w:spacing w:val="-6"/>
                <w:sz w:val="21"/>
              </w:rPr>
              <w:t>指因头部遭受机械性外力，引起脑重要部位损伤，导致神经系统永久性的功能</w:t>
            </w:r>
            <w:r>
              <w:rPr>
                <w:spacing w:val="-4"/>
                <w:sz w:val="21"/>
              </w:rPr>
              <w:t>障碍。须由头颅断层扫描</w:t>
            </w:r>
            <w:r>
              <w:rPr>
                <w:sz w:val="21"/>
              </w:rPr>
              <w:t>（CT）</w:t>
            </w:r>
            <w:r>
              <w:rPr>
                <w:spacing w:val="-3"/>
                <w:sz w:val="21"/>
              </w:rPr>
              <w:t>、核磁共振检查</w:t>
            </w:r>
            <w:r>
              <w:rPr>
                <w:sz w:val="21"/>
              </w:rPr>
              <w:t>（MRI）</w:t>
            </w:r>
            <w:r>
              <w:rPr>
                <w:spacing w:val="-3"/>
                <w:sz w:val="21"/>
              </w:rPr>
              <w:t>或正电子发射断层扫 </w:t>
            </w:r>
            <w:r>
              <w:rPr>
                <w:spacing w:val="-39"/>
                <w:sz w:val="21"/>
              </w:rPr>
              <w:t>描</w:t>
            </w:r>
            <w:r>
              <w:rPr>
                <w:spacing w:val="-9"/>
                <w:sz w:val="21"/>
              </w:rPr>
              <w:t>（PET）等影像学检查证实。神经系统永久性的功能障碍，指脑损伤</w:t>
            </w:r>
            <w:r>
              <w:rPr>
                <w:sz w:val="21"/>
              </w:rPr>
              <w:t>180</w:t>
            </w:r>
            <w:r>
              <w:rPr>
                <w:spacing w:val="-2"/>
                <w:sz w:val="21"/>
              </w:rPr>
              <w:t>天后， </w:t>
            </w:r>
            <w:r>
              <w:rPr>
                <w:spacing w:val="-3"/>
                <w:sz w:val="21"/>
              </w:rPr>
              <w:t>仍遗留下列一种或一种以上障碍：</w:t>
            </w:r>
          </w:p>
          <w:p>
            <w:pPr>
              <w:pStyle w:val="TableParagraph"/>
              <w:spacing w:before="8"/>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711" w:right="308" w:hanging="605"/>
              <w:rPr>
                <w:sz w:val="21"/>
              </w:rPr>
            </w:pPr>
            <w:r>
              <w:rPr>
                <w:sz w:val="21"/>
              </w:rPr>
              <w:t>（3）自主生活能力完全丧失，无法独立完成六项基本日常生活活动中的三项或三项以上。</w:t>
            </w:r>
          </w:p>
        </w:tc>
      </w:tr>
      <w:tr>
        <w:trPr>
          <w:trHeight w:val="2181" w:hRule="atLeast"/>
        </w:trPr>
        <w:tc>
          <w:tcPr>
            <w:tcW w:w="2110" w:type="dxa"/>
          </w:tcPr>
          <w:p>
            <w:pPr>
              <w:pStyle w:val="TableParagraph"/>
              <w:spacing w:line="273" w:lineRule="auto"/>
              <w:ind w:right="105"/>
              <w:jc w:val="both"/>
              <w:rPr>
                <w:sz w:val="21"/>
              </w:rPr>
            </w:pPr>
            <w:r>
              <w:rPr>
                <w:spacing w:val="-1"/>
                <w:sz w:val="21"/>
              </w:rPr>
              <w:t>(十九) 严重帕金森</w:t>
            </w:r>
            <w:r>
              <w:rPr>
                <w:spacing w:val="-14"/>
                <w:w w:val="100"/>
                <w:sz w:val="21"/>
              </w:rPr>
              <w:t>病－“中国保险行业</w:t>
            </w:r>
            <w:r>
              <w:rPr>
                <w:spacing w:val="-8"/>
                <w:sz w:val="21"/>
              </w:rPr>
              <w:t>协会推荐”</w:t>
            </w:r>
          </w:p>
        </w:tc>
        <w:tc>
          <w:tcPr>
            <w:tcW w:w="7514" w:type="dxa"/>
          </w:tcPr>
          <w:p>
            <w:pPr>
              <w:pStyle w:val="TableParagraph"/>
              <w:spacing w:line="273" w:lineRule="auto"/>
              <w:ind w:left="106" w:right="266"/>
              <w:rPr>
                <w:sz w:val="21"/>
              </w:rPr>
            </w:pPr>
            <w:r>
              <w:rPr>
                <w:sz w:val="21"/>
              </w:rPr>
              <w:t>是一种中枢神经系统的退行性疾病，临床表现为震颤麻痹、共济失调等。须满足下列全部条件：</w:t>
            </w:r>
          </w:p>
          <w:p>
            <w:pPr>
              <w:pStyle w:val="TableParagraph"/>
              <w:spacing w:before="8"/>
              <w:ind w:left="188"/>
              <w:rPr>
                <w:sz w:val="21"/>
              </w:rPr>
            </w:pPr>
            <w:r>
              <w:rPr>
                <w:sz w:val="21"/>
              </w:rPr>
              <w:t>（1）药物治疗无法控制病情；</w:t>
            </w:r>
          </w:p>
          <w:p>
            <w:pPr>
              <w:pStyle w:val="TableParagraph"/>
              <w:spacing w:line="273" w:lineRule="auto" w:before="38"/>
              <w:ind w:left="728" w:right="257" w:hanging="540"/>
              <w:rPr>
                <w:sz w:val="21"/>
              </w:rPr>
            </w:pPr>
            <w:r>
              <w:rPr>
                <w:sz w:val="21"/>
              </w:rPr>
              <w:t>（2）自主生活能力完全丧失，无法独立完成六项基本日常生活活动中的三项或三项以上。</w:t>
            </w:r>
          </w:p>
          <w:p>
            <w:pPr>
              <w:pStyle w:val="TableParagraph"/>
              <w:spacing w:before="8"/>
              <w:ind w:left="106"/>
              <w:rPr>
                <w:sz w:val="21"/>
              </w:rPr>
            </w:pPr>
            <w:r>
              <w:rPr>
                <w:sz w:val="21"/>
              </w:rPr>
              <w:t>继发性帕金森综合征不在保障范围内。</w:t>
            </w:r>
          </w:p>
        </w:tc>
      </w:tr>
      <w:tr>
        <w:trPr>
          <w:trHeight w:val="1246" w:hRule="atLeast"/>
        </w:trPr>
        <w:tc>
          <w:tcPr>
            <w:tcW w:w="2110" w:type="dxa"/>
          </w:tcPr>
          <w:p>
            <w:pPr>
              <w:pStyle w:val="TableParagraph"/>
              <w:spacing w:line="264" w:lineRule="auto" w:before="137"/>
              <w:ind w:right="105"/>
              <w:rPr>
                <w:sz w:val="21"/>
              </w:rPr>
            </w:pPr>
            <w:r>
              <w:rPr>
                <w:rFonts w:ascii="Times New Roman" w:hAnsi="Times New Roman" w:eastAsia="Times New Roman"/>
                <w:sz w:val="21"/>
              </w:rPr>
              <w:t>(</w:t>
            </w:r>
            <w:r>
              <w:rPr>
                <w:sz w:val="21"/>
              </w:rPr>
              <w:t>二十</w:t>
            </w:r>
            <w:r>
              <w:rPr>
                <w:rFonts w:ascii="Times New Roman" w:hAnsi="Times New Roman" w:eastAsia="Times New Roman"/>
                <w:spacing w:val="0"/>
                <w:sz w:val="21"/>
              </w:rPr>
              <w:t>) </w:t>
            </w:r>
            <w:r>
              <w:rPr>
                <w:spacing w:val="-3"/>
                <w:sz w:val="21"/>
              </w:rPr>
              <w:t>严重Ⅲ度烧</w:t>
            </w:r>
            <w:r>
              <w:rPr>
                <w:spacing w:val="-14"/>
                <w:w w:val="100"/>
                <w:sz w:val="21"/>
              </w:rPr>
              <w:t>伤－“中国保险行业</w:t>
            </w:r>
            <w:r>
              <w:rPr>
                <w:spacing w:val="-8"/>
                <w:sz w:val="21"/>
              </w:rPr>
              <w:t>协会推荐”</w:t>
            </w:r>
          </w:p>
        </w:tc>
        <w:tc>
          <w:tcPr>
            <w:tcW w:w="7514" w:type="dxa"/>
          </w:tcPr>
          <w:p>
            <w:pPr>
              <w:pStyle w:val="TableParagraph"/>
              <w:spacing w:line="256" w:lineRule="auto" w:before="137"/>
              <w:ind w:left="106" w:right="228"/>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21"/>
                <w:sz w:val="21"/>
              </w:rPr>
              <w:t>或 </w:t>
            </w:r>
            <w:r>
              <w:rPr>
                <w:rFonts w:ascii="Times New Roman" w:hAnsi="Times New Roman" w:eastAsia="Times New Roman"/>
                <w:sz w:val="21"/>
              </w:rPr>
              <w:t>20%</w:t>
            </w:r>
            <w:r>
              <w:rPr>
                <w:spacing w:val="-3"/>
                <w:sz w:val="21"/>
              </w:rPr>
              <w:t>以上。体表面积根据《中国新九分法》计算。</w:t>
            </w:r>
          </w:p>
        </w:tc>
      </w:tr>
      <w:tr>
        <w:trPr>
          <w:trHeight w:val="1062" w:hRule="atLeast"/>
        </w:trPr>
        <w:tc>
          <w:tcPr>
            <w:tcW w:w="2110" w:type="dxa"/>
          </w:tcPr>
          <w:p>
            <w:pPr>
              <w:pStyle w:val="TableParagraph"/>
              <w:spacing w:line="312" w:lineRule="exact"/>
              <w:ind w:right="105"/>
              <w:rPr>
                <w:sz w:val="21"/>
              </w:rPr>
            </w:pPr>
            <w:r>
              <w:rPr>
                <w:rFonts w:ascii="Arial" w:hAnsi="Arial" w:eastAsia="Arial"/>
                <w:sz w:val="21"/>
              </w:rPr>
              <w:t>(</w:t>
            </w:r>
            <w:r>
              <w:rPr>
                <w:sz w:val="21"/>
              </w:rPr>
              <w:t>二十一</w:t>
            </w:r>
            <w:r>
              <w:rPr>
                <w:rFonts w:ascii="Arial" w:hAnsi="Arial" w:eastAsia="Arial"/>
                <w:spacing w:val="22"/>
                <w:sz w:val="21"/>
              </w:rPr>
              <w:t>) </w:t>
            </w:r>
            <w:r>
              <w:rPr>
                <w:spacing w:val="-2"/>
                <w:sz w:val="21"/>
              </w:rPr>
              <w:t>严重原发</w:t>
            </w:r>
            <w:r>
              <w:rPr>
                <w:spacing w:val="-14"/>
                <w:w w:val="100"/>
                <w:sz w:val="21"/>
              </w:rPr>
              <w:t>性肺动脉高压－“中</w:t>
            </w:r>
            <w:r>
              <w:rPr>
                <w:spacing w:val="-7"/>
                <w:sz w:val="21"/>
              </w:rPr>
              <w:t>国保险行业协会推</w:t>
            </w:r>
          </w:p>
        </w:tc>
        <w:tc>
          <w:tcPr>
            <w:tcW w:w="7514" w:type="dxa"/>
          </w:tcPr>
          <w:p>
            <w:pPr>
              <w:pStyle w:val="TableParagraph"/>
              <w:spacing w:line="312" w:lineRule="exact"/>
              <w:ind w:left="106" w:right="305"/>
              <w:jc w:val="both"/>
              <w:rPr>
                <w:sz w:val="21"/>
              </w:rPr>
            </w:pPr>
            <w:r>
              <w:rPr>
                <w:spacing w:val="-6"/>
                <w:sz w:val="21"/>
              </w:rPr>
              <w:t>指不明原因的肺动脉压力持续性增高，进行性发展而导致的慢性疾病，已经造</w:t>
            </w:r>
            <w:r>
              <w:rPr>
                <w:spacing w:val="-7"/>
                <w:sz w:val="21"/>
              </w:rPr>
              <w:t>成永久不可逆性的体力活动能力受限，达到美国纽约心脏病学会心功能状态分</w:t>
            </w:r>
            <w:r>
              <w:rPr>
                <w:spacing w:val="-28"/>
                <w:sz w:val="21"/>
              </w:rPr>
              <w:t>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bl>
    <w:p>
      <w:pPr>
        <w:spacing w:after="0" w:line="312" w:lineRule="exact"/>
        <w:jc w:val="both"/>
        <w:rPr>
          <w:sz w:val="21"/>
        </w:rPr>
        <w:sectPr>
          <w:pgSz w:w="11910" w:h="16840"/>
          <w:pgMar w:header="0" w:footer="912" w:top="1460" w:bottom="1100" w:left="1640" w:right="4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7467"/>
      </w:tblGrid>
      <w:tr>
        <w:trPr>
          <w:trHeight w:val="414" w:hRule="atLeast"/>
        </w:trPr>
        <w:tc>
          <w:tcPr>
            <w:tcW w:w="2155" w:type="dxa"/>
          </w:tcPr>
          <w:p>
            <w:pPr>
              <w:pStyle w:val="TableParagraph"/>
              <w:spacing w:line="202" w:lineRule="exact" w:before="0"/>
              <w:rPr>
                <w:sz w:val="21"/>
              </w:rPr>
            </w:pPr>
            <w:r>
              <w:rPr>
                <w:sz w:val="21"/>
              </w:rPr>
              <w:t>荐”</w:t>
            </w:r>
          </w:p>
        </w:tc>
        <w:tc>
          <w:tcPr>
            <w:tcW w:w="7467" w:type="dxa"/>
          </w:tcPr>
          <w:p>
            <w:pPr>
              <w:pStyle w:val="TableParagraph"/>
              <w:spacing w:before="0"/>
              <w:ind w:left="0"/>
              <w:rPr>
                <w:rFonts w:ascii="Times New Roman"/>
                <w:sz w:val="20"/>
              </w:rPr>
            </w:pPr>
          </w:p>
        </w:tc>
      </w:tr>
      <w:tr>
        <w:trPr>
          <w:trHeight w:val="1560" w:hRule="atLeast"/>
        </w:trPr>
        <w:tc>
          <w:tcPr>
            <w:tcW w:w="2155" w:type="dxa"/>
          </w:tcPr>
          <w:p>
            <w:pPr>
              <w:pStyle w:val="TableParagraph"/>
              <w:spacing w:line="264" w:lineRule="auto" w:before="137"/>
              <w:ind w:right="150"/>
              <w:rPr>
                <w:sz w:val="21"/>
              </w:rPr>
            </w:pPr>
            <w:r>
              <w:rPr>
                <w:rFonts w:ascii="Times New Roman" w:hAnsi="Times New Roman" w:eastAsia="Times New Roman"/>
                <w:sz w:val="21"/>
              </w:rPr>
              <w:t>(</w:t>
            </w:r>
            <w:r>
              <w:rPr>
                <w:sz w:val="21"/>
              </w:rPr>
              <w:t>二十二</w:t>
            </w:r>
            <w:r>
              <w:rPr>
                <w:rFonts w:ascii="Times New Roman" w:hAnsi="Times New Roman" w:eastAsia="Times New Roman"/>
                <w:sz w:val="21"/>
              </w:rPr>
              <w:t>) </w:t>
            </w:r>
            <w:r>
              <w:rPr>
                <w:spacing w:val="-2"/>
                <w:sz w:val="21"/>
              </w:rPr>
              <w:t>严重运动</w:t>
            </w:r>
            <w:r>
              <w:rPr>
                <w:spacing w:val="-14"/>
                <w:w w:val="100"/>
                <w:sz w:val="21"/>
              </w:rPr>
              <w:t>神经元病－“中国保</w:t>
            </w:r>
            <w:r>
              <w:rPr>
                <w:spacing w:val="-7"/>
                <w:sz w:val="21"/>
              </w:rPr>
              <w:t>险行业协会推荐”</w:t>
            </w:r>
          </w:p>
        </w:tc>
        <w:tc>
          <w:tcPr>
            <w:tcW w:w="7467" w:type="dxa"/>
          </w:tcPr>
          <w:p>
            <w:pPr>
              <w:pStyle w:val="TableParagraph"/>
              <w:spacing w:line="273" w:lineRule="auto" w:before="137"/>
              <w:ind w:left="61" w:right="257"/>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1247" w:hRule="atLeast"/>
        </w:trPr>
        <w:tc>
          <w:tcPr>
            <w:tcW w:w="2155" w:type="dxa"/>
          </w:tcPr>
          <w:p>
            <w:pPr>
              <w:pStyle w:val="TableParagraph"/>
              <w:spacing w:line="264" w:lineRule="auto" w:before="137"/>
              <w:ind w:right="150"/>
              <w:rPr>
                <w:sz w:val="21"/>
              </w:rPr>
            </w:pPr>
            <w:r>
              <w:rPr>
                <w:rFonts w:ascii="Times New Roman" w:hAnsi="Times New Roman" w:eastAsia="Times New Roman"/>
                <w:sz w:val="21"/>
              </w:rPr>
              <w:t>(</w:t>
            </w:r>
            <w:r>
              <w:rPr>
                <w:sz w:val="21"/>
              </w:rPr>
              <w:t>二十三</w:t>
            </w:r>
            <w:r>
              <w:rPr>
                <w:rFonts w:ascii="Times New Roman" w:hAnsi="Times New Roman" w:eastAsia="Times New Roman"/>
                <w:sz w:val="21"/>
              </w:rPr>
              <w:t>) </w:t>
            </w:r>
            <w:r>
              <w:rPr>
                <w:spacing w:val="-2"/>
                <w:sz w:val="21"/>
              </w:rPr>
              <w:t>语言能力</w:t>
            </w:r>
            <w:r>
              <w:rPr>
                <w:spacing w:val="-14"/>
                <w:w w:val="100"/>
                <w:sz w:val="21"/>
              </w:rPr>
              <w:t>丧失－“中国保险行</w:t>
            </w:r>
            <w:r>
              <w:rPr>
                <w:spacing w:val="-7"/>
                <w:sz w:val="21"/>
              </w:rPr>
              <w:t>业协会推荐”</w:t>
            </w:r>
          </w:p>
        </w:tc>
        <w:tc>
          <w:tcPr>
            <w:tcW w:w="7467" w:type="dxa"/>
          </w:tcPr>
          <w:p>
            <w:pPr>
              <w:pStyle w:val="TableParagraph"/>
              <w:spacing w:line="273" w:lineRule="auto" w:before="137"/>
              <w:ind w:left="61" w:right="245"/>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ind w:left="61"/>
              <w:rPr>
                <w:sz w:val="21"/>
              </w:rPr>
            </w:pPr>
            <w:r>
              <w:rPr>
                <w:sz w:val="21"/>
              </w:rPr>
              <w:t>精神心理因素所致的语言能力丧失不在保障范围内。</w:t>
            </w:r>
          </w:p>
        </w:tc>
      </w:tr>
      <w:tr>
        <w:trPr>
          <w:trHeight w:val="2466" w:hRule="atLeast"/>
        </w:trPr>
        <w:tc>
          <w:tcPr>
            <w:tcW w:w="2155" w:type="dxa"/>
          </w:tcPr>
          <w:p>
            <w:pPr>
              <w:pStyle w:val="TableParagraph"/>
              <w:spacing w:line="264" w:lineRule="auto" w:before="137"/>
              <w:ind w:right="53"/>
              <w:rPr>
                <w:sz w:val="21"/>
              </w:rPr>
            </w:pPr>
            <w:r>
              <w:rPr>
                <w:rFonts w:ascii="Times New Roman" w:hAnsi="Times New Roman" w:eastAsia="Times New Roman"/>
                <w:sz w:val="21"/>
              </w:rPr>
              <w:t>(</w:t>
            </w:r>
            <w:r>
              <w:rPr>
                <w:sz w:val="21"/>
              </w:rPr>
              <w:t>二十四</w:t>
            </w:r>
            <w:r>
              <w:rPr>
                <w:rFonts w:ascii="Times New Roman" w:hAnsi="Times New Roman" w:eastAsia="Times New Roman"/>
                <w:sz w:val="21"/>
              </w:rPr>
              <w:t>) </w:t>
            </w:r>
            <w:r>
              <w:rPr>
                <w:sz w:val="21"/>
              </w:rPr>
              <w:t>重型再生</w:t>
            </w:r>
            <w:r>
              <w:rPr>
                <w:w w:val="100"/>
                <w:sz w:val="21"/>
              </w:rPr>
              <w:t>障碍性贫血－“中国</w:t>
            </w:r>
            <w:r>
              <w:rPr>
                <w:sz w:val="21"/>
              </w:rPr>
              <w:t>保险行业协会推荐”</w:t>
            </w:r>
          </w:p>
        </w:tc>
        <w:tc>
          <w:tcPr>
            <w:tcW w:w="7467" w:type="dxa"/>
          </w:tcPr>
          <w:p>
            <w:pPr>
              <w:pStyle w:val="TableParagraph"/>
              <w:spacing w:line="273" w:lineRule="auto" w:before="137"/>
              <w:ind w:left="61" w:right="313"/>
              <w:rPr>
                <w:sz w:val="21"/>
              </w:rPr>
            </w:pPr>
            <w:r>
              <w:rPr>
                <w:sz w:val="21"/>
              </w:rPr>
              <w:t>指因骨髓造血功能慢性持续性衰竭导致的贫血、中性粒细胞减少及血小板减少。须满足下列全部条件：</w:t>
            </w:r>
          </w:p>
          <w:p>
            <w:pPr>
              <w:pStyle w:val="TableParagraph"/>
              <w:spacing w:before="7"/>
              <w:ind w:left="61"/>
              <w:rPr>
                <w:sz w:val="21"/>
              </w:rPr>
            </w:pPr>
            <w:r>
              <w:rPr>
                <w:sz w:val="21"/>
              </w:rPr>
              <w:t>（1）骨髓穿刺检查或骨髓活检结果支持诊断；</w:t>
            </w:r>
          </w:p>
          <w:p>
            <w:pPr>
              <w:pStyle w:val="TableParagraph"/>
              <w:spacing w:before="15"/>
              <w:ind w:left="61"/>
              <w:rPr>
                <w:sz w:val="21"/>
              </w:rPr>
            </w:pPr>
            <w:r>
              <w:rPr>
                <w:sz w:val="21"/>
              </w:rPr>
              <w:t>（2）外周血象须具备以下三项条件：</w:t>
            </w:r>
          </w:p>
          <w:p>
            <w:pPr>
              <w:pStyle w:val="TableParagraph"/>
              <w:spacing w:line="99" w:lineRule="exact" w:before="2"/>
              <w:ind w:left="0" w:right="282"/>
              <w:jc w:val="center"/>
              <w:rPr>
                <w:sz w:val="11"/>
              </w:rPr>
            </w:pPr>
            <w:r>
              <w:rPr>
                <w:w w:val="100"/>
                <w:sz w:val="11"/>
              </w:rPr>
              <w:t>9</w:t>
            </w:r>
          </w:p>
          <w:p>
            <w:pPr>
              <w:pStyle w:val="TableParagraph"/>
              <w:spacing w:line="229" w:lineRule="exact" w:before="0"/>
              <w:ind w:left="62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20"/>
              <w:rPr>
                <w:sz w:val="21"/>
              </w:rPr>
            </w:pPr>
            <w:r>
              <w:rPr>
                <w:sz w:val="21"/>
              </w:rPr>
              <w:t>② 网织红细胞＜1%；</w:t>
            </w:r>
          </w:p>
          <w:p>
            <w:pPr>
              <w:pStyle w:val="TableParagraph"/>
              <w:spacing w:line="99" w:lineRule="exact" w:before="2"/>
              <w:ind w:left="0" w:right="1338"/>
              <w:jc w:val="center"/>
              <w:rPr>
                <w:sz w:val="11"/>
              </w:rPr>
            </w:pPr>
            <w:r>
              <w:rPr>
                <w:w w:val="100"/>
                <w:sz w:val="11"/>
              </w:rPr>
              <w:t>9</w:t>
            </w:r>
          </w:p>
          <w:p>
            <w:pPr>
              <w:pStyle w:val="TableParagraph"/>
              <w:spacing w:line="230" w:lineRule="exact" w:before="0"/>
              <w:ind w:left="620"/>
              <w:rPr>
                <w:sz w:val="21"/>
              </w:rPr>
            </w:pPr>
            <w:r>
              <w:rPr>
                <w:sz w:val="21"/>
              </w:rPr>
              <w:t>③ 血小板绝对值≤20×10 /L。</w:t>
            </w:r>
          </w:p>
        </w:tc>
      </w:tr>
      <w:tr>
        <w:trPr>
          <w:trHeight w:val="1551" w:hRule="atLeast"/>
        </w:trPr>
        <w:tc>
          <w:tcPr>
            <w:tcW w:w="2155" w:type="dxa"/>
          </w:tcPr>
          <w:p>
            <w:pPr>
              <w:pStyle w:val="TableParagraph"/>
              <w:spacing w:line="264" w:lineRule="auto" w:before="129"/>
              <w:ind w:right="150"/>
              <w:rPr>
                <w:sz w:val="21"/>
              </w:rPr>
            </w:pPr>
            <w:r>
              <w:rPr>
                <w:rFonts w:ascii="Times New Roman" w:hAnsi="Times New Roman" w:eastAsia="Times New Roman"/>
                <w:sz w:val="21"/>
              </w:rPr>
              <w:t>(</w:t>
            </w:r>
            <w:r>
              <w:rPr>
                <w:sz w:val="21"/>
              </w:rPr>
              <w:t>二十五</w:t>
            </w:r>
            <w:r>
              <w:rPr>
                <w:rFonts w:ascii="Times New Roman" w:hAnsi="Times New Roman" w:eastAsia="Times New Roman"/>
                <w:sz w:val="21"/>
              </w:rPr>
              <w:t>) </w:t>
            </w:r>
            <w:r>
              <w:rPr>
                <w:spacing w:val="-2"/>
                <w:sz w:val="21"/>
              </w:rPr>
              <w:t>主动脉手</w:t>
            </w:r>
            <w:r>
              <w:rPr>
                <w:spacing w:val="-14"/>
                <w:w w:val="100"/>
                <w:sz w:val="21"/>
              </w:rPr>
              <w:t>术－“中国保险行业</w:t>
            </w:r>
            <w:r>
              <w:rPr>
                <w:spacing w:val="-8"/>
                <w:sz w:val="21"/>
              </w:rPr>
              <w:t>协会推荐”</w:t>
            </w:r>
          </w:p>
        </w:tc>
        <w:tc>
          <w:tcPr>
            <w:tcW w:w="7467" w:type="dxa"/>
          </w:tcPr>
          <w:p>
            <w:pPr>
              <w:pStyle w:val="TableParagraph"/>
              <w:spacing w:line="273" w:lineRule="auto" w:before="129"/>
              <w:ind w:left="61" w:right="305"/>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5"/>
                <w:sz w:val="21"/>
              </w:rPr>
              <w:t>的分支血管。</w:t>
            </w:r>
          </w:p>
          <w:p>
            <w:pPr>
              <w:pStyle w:val="TableParagraph"/>
              <w:spacing w:before="8"/>
              <w:ind w:left="61"/>
              <w:jc w:val="both"/>
              <w:rPr>
                <w:sz w:val="21"/>
              </w:rPr>
            </w:pPr>
            <w:r>
              <w:rPr>
                <w:sz w:val="21"/>
              </w:rPr>
              <w:t>动脉内血管成形术不在保障范围内。</w:t>
            </w:r>
          </w:p>
        </w:tc>
      </w:tr>
      <w:tr>
        <w:trPr>
          <w:trHeight w:val="1560" w:hRule="atLeast"/>
        </w:trPr>
        <w:tc>
          <w:tcPr>
            <w:tcW w:w="2155" w:type="dxa"/>
          </w:tcPr>
          <w:p>
            <w:pPr>
              <w:pStyle w:val="TableParagraph"/>
              <w:spacing w:line="256" w:lineRule="auto" w:before="137"/>
              <w:ind w:right="234"/>
              <w:rPr>
                <w:sz w:val="21"/>
              </w:rPr>
            </w:pPr>
            <w:r>
              <w:rPr>
                <w:rFonts w:ascii="Times New Roman" w:eastAsia="Times New Roman"/>
                <w:sz w:val="21"/>
              </w:rPr>
              <w:t>(</w:t>
            </w:r>
            <w:r>
              <w:rPr>
                <w:sz w:val="21"/>
              </w:rPr>
              <w:t>二十六</w:t>
            </w:r>
            <w:r>
              <w:rPr>
                <w:rFonts w:ascii="Times New Roman" w:eastAsia="Times New Roman"/>
                <w:sz w:val="21"/>
              </w:rPr>
              <w:t>) </w:t>
            </w:r>
            <w:r>
              <w:rPr>
                <w:sz w:val="21"/>
              </w:rPr>
              <w:t>严重冠心病</w:t>
            </w:r>
          </w:p>
        </w:tc>
        <w:tc>
          <w:tcPr>
            <w:tcW w:w="7467" w:type="dxa"/>
          </w:tcPr>
          <w:p>
            <w:pPr>
              <w:pStyle w:val="TableParagraph"/>
              <w:spacing w:line="273" w:lineRule="auto" w:before="137"/>
              <w:ind w:left="61" w:right="259"/>
              <w:jc w:val="both"/>
              <w:rPr>
                <w:sz w:val="21"/>
              </w:rPr>
            </w:pPr>
            <w:r>
              <w:rPr>
                <w:spacing w:val="-5"/>
                <w:sz w:val="21"/>
              </w:rPr>
              <w:t>指经心脏科专科医师根据冠状动脉造影检查结果确诊的三支主要血管</w:t>
            </w:r>
            <w:r>
              <w:rPr>
                <w:sz w:val="21"/>
              </w:rPr>
              <w:t>（</w:t>
            </w:r>
            <w:r>
              <w:rPr>
                <w:spacing w:val="-3"/>
                <w:sz w:val="21"/>
              </w:rPr>
              <w:t>左冠状</w:t>
            </w:r>
            <w:r>
              <w:rPr>
                <w:spacing w:val="-13"/>
                <w:sz w:val="21"/>
              </w:rPr>
              <w:t>动脉主干和右冠状动脉，或前降支、左旋支和右冠状动脉</w:t>
            </w:r>
            <w:r>
              <w:rPr>
                <w:spacing w:val="-65"/>
                <w:sz w:val="21"/>
              </w:rPr>
              <w:t>）</w:t>
            </w:r>
            <w:r>
              <w:rPr>
                <w:spacing w:val="-12"/>
                <w:sz w:val="21"/>
              </w:rPr>
              <w:t>严重狭窄性病变</w:t>
            </w:r>
            <w:r>
              <w:rPr>
                <w:spacing w:val="-3"/>
                <w:sz w:val="21"/>
              </w:rPr>
              <w:t>（</w:t>
            </w:r>
            <w:r>
              <w:rPr>
                <w:sz w:val="21"/>
              </w:rPr>
              <w:t>至</w:t>
            </w:r>
            <w:r>
              <w:rPr>
                <w:spacing w:val="-7"/>
                <w:sz w:val="21"/>
              </w:rPr>
              <w:t>少一支血管管腔直径减少 </w:t>
            </w:r>
            <w:r>
              <w:rPr>
                <w:sz w:val="21"/>
              </w:rPr>
              <w:t>75％</w:t>
            </w:r>
            <w:r>
              <w:rPr>
                <w:spacing w:val="-6"/>
                <w:sz w:val="21"/>
              </w:rPr>
              <w:t>以上和其他两支血管管腔直径减少 </w:t>
            </w:r>
            <w:r>
              <w:rPr>
                <w:sz w:val="21"/>
              </w:rPr>
              <w:t>60％以上</w:t>
            </w:r>
            <w:r>
              <w:rPr>
                <w:spacing w:val="-108"/>
                <w:sz w:val="21"/>
              </w:rPr>
              <w:t>）</w:t>
            </w:r>
            <w:r>
              <w:rPr>
                <w:sz w:val="21"/>
              </w:rPr>
              <w:t>。</w:t>
            </w:r>
            <w:r>
              <w:rPr>
                <w:spacing w:val="-3"/>
                <w:sz w:val="21"/>
              </w:rPr>
              <w:t>前降支、左旋支及右冠状动脉的分支血管的狭窄不作为本保障的衡量指标。</w:t>
            </w:r>
          </w:p>
        </w:tc>
      </w:tr>
      <w:tr>
        <w:trPr>
          <w:trHeight w:val="1872" w:hRule="atLeast"/>
        </w:trPr>
        <w:tc>
          <w:tcPr>
            <w:tcW w:w="2155" w:type="dxa"/>
          </w:tcPr>
          <w:p>
            <w:pPr>
              <w:pStyle w:val="TableParagraph"/>
              <w:spacing w:line="256" w:lineRule="auto" w:before="137"/>
              <w:ind w:right="143"/>
              <w:rPr>
                <w:sz w:val="21"/>
              </w:rPr>
            </w:pPr>
            <w:r>
              <w:rPr>
                <w:rFonts w:ascii="Times New Roman" w:eastAsia="Times New Roman"/>
                <w:sz w:val="21"/>
              </w:rPr>
              <w:t>(</w:t>
            </w:r>
            <w:r>
              <w:rPr>
                <w:sz w:val="21"/>
              </w:rPr>
              <w:t>二十七</w:t>
            </w:r>
            <w:r>
              <w:rPr>
                <w:rFonts w:ascii="Times New Roman" w:eastAsia="Times New Roman"/>
                <w:sz w:val="21"/>
              </w:rPr>
              <w:t>) </w:t>
            </w:r>
            <w:r>
              <w:rPr>
                <w:sz w:val="21"/>
              </w:rPr>
              <w:t>严重原发性心肌病</w:t>
            </w:r>
          </w:p>
        </w:tc>
        <w:tc>
          <w:tcPr>
            <w:tcW w:w="7467" w:type="dxa"/>
          </w:tcPr>
          <w:p>
            <w:pPr>
              <w:pStyle w:val="TableParagraph"/>
              <w:spacing w:line="273" w:lineRule="auto" w:before="137"/>
              <w:ind w:left="61" w:right="197"/>
              <w:rPr>
                <w:sz w:val="21"/>
              </w:rPr>
            </w:pPr>
            <w:r>
              <w:rPr>
                <w:sz w:val="21"/>
              </w:rPr>
              <w:t>本保障是指被保险人经本公司认可的医院的心脏专科医师确诊被保险人因原发性心肌病而出现的心室功能障碍而使其出现明显的心功能衰竭(纽约心脏病</w:t>
            </w:r>
            <w:r>
              <w:rPr>
                <w:spacing w:val="-6"/>
                <w:sz w:val="21"/>
              </w:rPr>
              <w:t>协会分类标准心功能至少达四级)。本保障范围内的心肌病包括扩张型心肌病、</w:t>
            </w:r>
            <w:r>
              <w:rPr>
                <w:spacing w:val="-4"/>
                <w:sz w:val="21"/>
              </w:rPr>
              <w:t>肥厚型心肌病及限制型心肌病。</w:t>
            </w:r>
          </w:p>
          <w:p>
            <w:pPr>
              <w:pStyle w:val="TableParagraph"/>
              <w:spacing w:before="7"/>
              <w:ind w:left="61"/>
              <w:rPr>
                <w:sz w:val="21"/>
              </w:rPr>
            </w:pPr>
            <w:r>
              <w:rPr>
                <w:sz w:val="21"/>
              </w:rPr>
              <w:t>继发于酒精滥用性的心肌病不在此保障范围之内。</w:t>
            </w:r>
          </w:p>
        </w:tc>
      </w:tr>
      <w:tr>
        <w:trPr>
          <w:trHeight w:val="2028" w:hRule="atLeast"/>
        </w:trPr>
        <w:tc>
          <w:tcPr>
            <w:tcW w:w="2155" w:type="dxa"/>
          </w:tcPr>
          <w:p>
            <w:pPr>
              <w:pStyle w:val="TableParagraph"/>
              <w:spacing w:line="256" w:lineRule="auto" w:before="137"/>
              <w:ind w:right="143"/>
              <w:rPr>
                <w:sz w:val="21"/>
              </w:rPr>
            </w:pPr>
            <w:r>
              <w:rPr>
                <w:rFonts w:ascii="Times New Roman" w:eastAsia="Times New Roman"/>
                <w:sz w:val="21"/>
              </w:rPr>
              <w:t>(</w:t>
            </w:r>
            <w:r>
              <w:rPr>
                <w:sz w:val="21"/>
              </w:rPr>
              <w:t>二十八</w:t>
            </w:r>
            <w:r>
              <w:rPr>
                <w:rFonts w:ascii="Times New Roman" w:eastAsia="Times New Roman"/>
                <w:sz w:val="21"/>
              </w:rPr>
              <w:t>) </w:t>
            </w:r>
            <w:r>
              <w:rPr>
                <w:sz w:val="21"/>
              </w:rPr>
              <w:t>严重多发性硬化</w:t>
            </w:r>
          </w:p>
        </w:tc>
        <w:tc>
          <w:tcPr>
            <w:tcW w:w="7467" w:type="dxa"/>
          </w:tcPr>
          <w:p>
            <w:pPr>
              <w:pStyle w:val="TableParagraph"/>
              <w:spacing w:line="273" w:lineRule="auto" w:before="137"/>
              <w:ind w:left="61" w:right="303"/>
              <w:jc w:val="both"/>
              <w:rPr>
                <w:sz w:val="21"/>
              </w:rPr>
            </w:pPr>
            <w:r>
              <w:rPr>
                <w:spacing w:val="-5"/>
                <w:sz w:val="21"/>
              </w:rPr>
              <w:t>多发性硬化为中枢神经系统白质多灶性脱髓鞘病变，病变有时累及灰质。多发</w:t>
            </w:r>
            <w:r>
              <w:rPr>
                <w:spacing w:val="-9"/>
                <w:sz w:val="21"/>
              </w:rPr>
              <w:t>性硬化必须明确诊断，并且已经造成神经系统功能损害导致被保险人永久不可</w:t>
            </w:r>
            <w:r>
              <w:rPr>
                <w:spacing w:val="-5"/>
                <w:sz w:val="21"/>
              </w:rPr>
              <w:t>逆性的无法独立完成下列基本日常生活活动：</w:t>
            </w:r>
          </w:p>
          <w:p>
            <w:pPr>
              <w:pStyle w:val="TableParagraph"/>
              <w:spacing w:before="7"/>
              <w:ind w:left="61"/>
              <w:jc w:val="both"/>
              <w:rPr>
                <w:sz w:val="21"/>
              </w:rPr>
            </w:pPr>
            <w:r>
              <w:rPr>
                <w:sz w:val="21"/>
              </w:rPr>
              <w:t>（1）移动：自己从一个房间移动到另一个房间；或者</w:t>
            </w:r>
          </w:p>
          <w:p>
            <w:pPr>
              <w:pStyle w:val="TableParagraph"/>
              <w:spacing w:before="37"/>
              <w:ind w:left="61"/>
              <w:jc w:val="both"/>
              <w:rPr>
                <w:sz w:val="21"/>
              </w:rPr>
            </w:pPr>
            <w:r>
              <w:rPr>
                <w:sz w:val="21"/>
              </w:rPr>
              <w:t>（2）进食：自己从已准备好的碗或碟中取食物放入口中。</w:t>
            </w:r>
          </w:p>
        </w:tc>
      </w:tr>
      <w:tr>
        <w:trPr>
          <w:trHeight w:val="1200" w:hRule="atLeast"/>
        </w:trPr>
        <w:tc>
          <w:tcPr>
            <w:tcW w:w="2155" w:type="dxa"/>
          </w:tcPr>
          <w:p>
            <w:pPr>
              <w:pStyle w:val="TableParagraph"/>
              <w:spacing w:before="5"/>
              <w:ind w:left="0"/>
              <w:rPr>
                <w:sz w:val="22"/>
              </w:rPr>
            </w:pPr>
          </w:p>
          <w:p>
            <w:pPr>
              <w:pStyle w:val="TableParagraph"/>
              <w:spacing w:line="256" w:lineRule="auto" w:before="0"/>
              <w:ind w:right="143"/>
              <w:rPr>
                <w:sz w:val="21"/>
              </w:rPr>
            </w:pPr>
            <w:r>
              <w:rPr>
                <w:rFonts w:ascii="Times New Roman" w:eastAsia="Times New Roman"/>
                <w:sz w:val="21"/>
              </w:rPr>
              <w:t>(</w:t>
            </w:r>
            <w:r>
              <w:rPr>
                <w:sz w:val="21"/>
              </w:rPr>
              <w:t>二十九</w:t>
            </w:r>
            <w:r>
              <w:rPr>
                <w:rFonts w:ascii="Times New Roman" w:eastAsia="Times New Roman"/>
                <w:sz w:val="21"/>
              </w:rPr>
              <w:t>) </w:t>
            </w:r>
            <w:r>
              <w:rPr>
                <w:sz w:val="21"/>
              </w:rPr>
              <w:t>慢性呼吸衰竭</w:t>
            </w:r>
          </w:p>
        </w:tc>
        <w:tc>
          <w:tcPr>
            <w:tcW w:w="7467" w:type="dxa"/>
          </w:tcPr>
          <w:p>
            <w:pPr>
              <w:pStyle w:val="TableParagraph"/>
              <w:spacing w:before="5"/>
              <w:ind w:left="0"/>
              <w:rPr>
                <w:sz w:val="22"/>
              </w:rPr>
            </w:pPr>
          </w:p>
          <w:p>
            <w:pPr>
              <w:pStyle w:val="TableParagraph"/>
              <w:spacing w:line="273" w:lineRule="auto" w:before="0"/>
              <w:ind w:left="61" w:right="466"/>
              <w:rPr>
                <w:sz w:val="21"/>
              </w:rPr>
            </w:pPr>
            <w:r>
              <w:rPr>
                <w:sz w:val="21"/>
              </w:rPr>
              <w:t>本保障是指被保险人必须经本公司认可的医院的呼吸科专科医师确诊患有终末期肺病而出现慢性呼吸功能衰竭，其诊断标准包括以下各项：</w:t>
            </w:r>
          </w:p>
          <w:p>
            <w:pPr>
              <w:pStyle w:val="TableParagraph"/>
              <w:spacing w:line="264" w:lineRule="exact" w:before="7"/>
              <w:ind w:left="61"/>
              <w:rPr>
                <w:sz w:val="21"/>
              </w:rPr>
            </w:pPr>
            <w:r>
              <w:rPr>
                <w:sz w:val="21"/>
              </w:rPr>
              <w:t>（1）肺功能测试其FEV1持续低于1升；</w:t>
            </w:r>
          </w:p>
        </w:tc>
      </w:tr>
    </w:tbl>
    <w:p>
      <w:pPr>
        <w:spacing w:after="0" w:line="264" w:lineRule="exact"/>
        <w:rPr>
          <w:sz w:val="21"/>
        </w:rPr>
        <w:sectPr>
          <w:pgSz w:w="11910" w:h="16840"/>
          <w:pgMar w:header="0" w:footer="912" w:top="1460" w:bottom="1100" w:left="1640" w:right="420"/>
        </w:sectPr>
      </w:pPr>
    </w:p>
    <w:p>
      <w:pPr>
        <w:pStyle w:val="BodyText"/>
        <w:spacing w:before="7"/>
        <w:ind w:left="2281"/>
      </w:pPr>
      <w:r>
        <w:rPr/>
        <w:t>（2）病人血氧不足必须持续地进行输氧治疗；</w:t>
      </w:r>
    </w:p>
    <w:p>
      <w:pPr>
        <w:pStyle w:val="BodyText"/>
        <w:spacing w:before="37"/>
        <w:ind w:left="2281"/>
      </w:pPr>
      <w:r>
        <w:rPr/>
        <w:t>（3）动脉血气分析氧分压等于或低于55mmHg；</w:t>
      </w:r>
    </w:p>
    <w:p>
      <w:pPr>
        <w:pStyle w:val="BodyText"/>
        <w:spacing w:before="37"/>
        <w:ind w:left="2281"/>
      </w:pPr>
      <w:r>
        <w:rPr/>
        <w:t>（4）休息时出现呼吸困难。</w:t>
      </w:r>
    </w:p>
    <w:p>
      <w:pPr>
        <w:pStyle w:val="BodyText"/>
        <w:spacing w:before="11"/>
        <w:ind w:left="0"/>
        <w:rPr>
          <w:sz w:val="23"/>
        </w:rPr>
      </w:pPr>
    </w:p>
    <w:p>
      <w:pPr>
        <w:spacing w:after="0"/>
        <w:rPr>
          <w:sz w:val="23"/>
        </w:rPr>
        <w:sectPr>
          <w:pgSz w:w="11910" w:h="16840"/>
          <w:pgMar w:header="0" w:footer="912" w:top="1380" w:bottom="1100" w:left="1680" w:right="680"/>
        </w:sectPr>
      </w:pPr>
    </w:p>
    <w:p>
      <w:pPr>
        <w:pStyle w:val="BodyText"/>
        <w:spacing w:line="273" w:lineRule="auto" w:before="37"/>
        <w:ind w:left="264"/>
        <w:jc w:val="both"/>
      </w:pPr>
      <w:r>
        <w:rPr/>
        <w:t>（三十</w:t>
      </w:r>
      <w:r>
        <w:rPr>
          <w:spacing w:val="-94"/>
        </w:rPr>
        <w:t>）</w:t>
      </w:r>
      <w:r>
        <w:rPr>
          <w:spacing w:val="-3"/>
        </w:rPr>
        <w:t>经输血导致</w:t>
      </w:r>
      <w:r>
        <w:rPr>
          <w:spacing w:val="10"/>
        </w:rPr>
        <w:t>的人类免疫缺陷病毒感染</w:t>
      </w:r>
    </w:p>
    <w:p>
      <w:pPr>
        <w:pStyle w:val="BodyText"/>
        <w:spacing w:before="37"/>
      </w:pPr>
      <w:r>
        <w:rPr/>
        <w:br w:type="column"/>
      </w:r>
      <w:r>
        <w:rPr/>
        <w:t>被保险人感染上人类免疫缺陷病毒（HIV）并且符合下列所有条件：</w:t>
      </w:r>
    </w:p>
    <w:p>
      <w:pPr>
        <w:pStyle w:val="BodyText"/>
        <w:spacing w:before="37"/>
        <w:ind w:left="255"/>
      </w:pPr>
      <w:r>
        <w:rPr/>
        <w:t>（1）在保障起始日或复效日之后，被保险人因输血而感染HIV；</w:t>
      </w:r>
    </w:p>
    <w:p>
      <w:pPr>
        <w:pStyle w:val="BodyText"/>
        <w:spacing w:line="273" w:lineRule="auto" w:before="37"/>
        <w:ind w:left="795" w:right="116" w:hanging="540"/>
      </w:pPr>
      <w:r>
        <w:rPr/>
        <w:t>（2）提供输血治疗的输血中心或医院出具该项输血感染属医疗责任事故的报告，或者法院终审裁定为医疗责任并且不准上诉；</w:t>
      </w:r>
    </w:p>
    <w:p>
      <w:pPr>
        <w:pStyle w:val="BodyText"/>
        <w:spacing w:before="7"/>
        <w:ind w:left="279"/>
      </w:pPr>
      <w:r>
        <w:rPr/>
        <w:t>（</w:t>
      </w:r>
      <w:r>
        <w:rPr>
          <w:rFonts w:ascii="Times New Roman" w:eastAsia="Times New Roman"/>
        </w:rPr>
        <w:t>3</w:t>
      </w:r>
      <w:r>
        <w:rPr/>
        <w:t>）供输血治疗的输血中心或医院必须拥有合法经营执照；</w:t>
      </w:r>
    </w:p>
    <w:p>
      <w:pPr>
        <w:pStyle w:val="BodyText"/>
        <w:spacing w:before="20"/>
        <w:ind w:left="255"/>
      </w:pPr>
      <w:r>
        <w:rPr/>
        <w:pict>
          <v:rect style="position:absolute;margin-left:364.98999pt;margin-top:1.623674pt;width:31.44pt;height:14.76pt;mso-position-horizontal-relative:page;mso-position-vertical-relative:paragraph;z-index:-36568" filled="true" fillcolor="#ffff00" stroked="false">
            <v:fill type="solid"/>
            <w10:wrap type="none"/>
          </v:rect>
        </w:pict>
      </w:r>
      <w:r>
        <w:rPr/>
        <w:t>（4）受感染的被保险人不是血友病患者；</w:t>
      </w:r>
    </w:p>
    <w:p>
      <w:pPr>
        <w:pStyle w:val="BodyText"/>
      </w:pPr>
      <w:r>
        <w:rPr/>
        <w:t>在任何治愈艾滋病（AIDS）或阻止 HIV 病毒作用的疗法被发现以后，或能防止</w:t>
      </w:r>
    </w:p>
    <w:p>
      <w:pPr>
        <w:pStyle w:val="BodyText"/>
      </w:pPr>
      <w:r>
        <w:rPr/>
        <w:t>AIDS 发生的医疗方法被研究出来以后，本保障将不再予以赔付。</w:t>
      </w:r>
    </w:p>
    <w:p>
      <w:pPr>
        <w:pStyle w:val="BodyText"/>
        <w:spacing w:line="264" w:lineRule="auto" w:before="37"/>
        <w:ind w:right="163"/>
        <w:jc w:val="both"/>
      </w:pPr>
      <w:r>
        <w:rPr>
          <w:spacing w:val="-3"/>
        </w:rPr>
        <w:t>任何因其他传播方式</w:t>
      </w:r>
      <w:r>
        <w:rPr/>
        <w:t>（</w:t>
      </w:r>
      <w:r>
        <w:rPr>
          <w:spacing w:val="-3"/>
        </w:rPr>
        <w:t>包括：性传播或静脉注射毒品</w:t>
      </w:r>
      <w:r>
        <w:rPr/>
        <w:t>）</w:t>
      </w:r>
      <w:r>
        <w:rPr>
          <w:spacing w:val="-3"/>
        </w:rPr>
        <w:t>导致的</w:t>
      </w:r>
      <w:r>
        <w:rPr>
          <w:rFonts w:ascii="Times New Roman" w:eastAsia="Times New Roman"/>
        </w:rPr>
        <w:t>HIV</w:t>
      </w:r>
      <w:r>
        <w:rPr>
          <w:spacing w:val="-3"/>
        </w:rPr>
        <w:t>感染不在本</w:t>
      </w:r>
      <w:r>
        <w:rPr>
          <w:spacing w:val="-8"/>
        </w:rPr>
        <w:t>保单保障范围内。保险公司必须拥有获得和使用被保险人的所有血液样本的权</w:t>
      </w:r>
      <w:r>
        <w:rPr>
          <w:spacing w:val="-5"/>
        </w:rPr>
        <w:t>利和能够对这些样本进行独立检验的权利。</w:t>
      </w:r>
    </w:p>
    <w:p>
      <w:pPr>
        <w:spacing w:after="0" w:line="264" w:lineRule="auto"/>
        <w:jc w:val="both"/>
        <w:sectPr>
          <w:type w:val="continuous"/>
          <w:pgSz w:w="11910" w:h="16840"/>
          <w:pgMar w:top="200" w:bottom="1100" w:left="1680" w:right="680"/>
          <w:cols w:num="2" w:equalWidth="0">
            <w:col w:w="2067" w:space="40"/>
            <w:col w:w="7443"/>
          </w:cols>
        </w:sectPr>
      </w:pPr>
    </w:p>
    <w:p>
      <w:pPr>
        <w:pStyle w:val="BodyText"/>
        <w:spacing w:before="3"/>
        <w:ind w:left="0"/>
        <w:rPr>
          <w:sz w:val="22"/>
        </w:rPr>
      </w:pPr>
    </w:p>
    <w:p>
      <w:pPr>
        <w:spacing w:after="0"/>
        <w:rPr>
          <w:sz w:val="22"/>
        </w:rPr>
        <w:sectPr>
          <w:type w:val="continuous"/>
          <w:pgSz w:w="11910" w:h="16840"/>
          <w:pgMar w:top="200" w:bottom="1100" w:left="1680" w:right="680"/>
        </w:sectPr>
      </w:pPr>
    </w:p>
    <w:p>
      <w:pPr>
        <w:pStyle w:val="BodyText"/>
        <w:spacing w:line="273" w:lineRule="auto" w:before="37"/>
        <w:ind w:left="264"/>
      </w:pPr>
      <w:r>
        <w:rPr/>
        <w:t>（</w:t>
      </w:r>
      <w:r>
        <w:rPr>
          <w:spacing w:val="-2"/>
        </w:rPr>
        <w:t>三十一</w:t>
      </w:r>
      <w:r>
        <w:rPr>
          <w:spacing w:val="-92"/>
        </w:rPr>
        <w:t>）</w:t>
      </w:r>
      <w:r>
        <w:rPr>
          <w:spacing w:val="-3"/>
        </w:rPr>
        <w:t>全身性重症肌无力</w:t>
      </w:r>
    </w:p>
    <w:p>
      <w:pPr>
        <w:pStyle w:val="BodyText"/>
        <w:spacing w:line="273" w:lineRule="auto" w:before="37"/>
        <w:ind w:right="111"/>
      </w:pPr>
      <w:r>
        <w:rPr/>
        <w:br w:type="column"/>
      </w:r>
      <w:r>
        <w:rPr/>
        <w:t>重症肌无力是一种神经肌肉接头传递障碍所致的疾病，表现为局部或全身骨骼肌（特别是眼外肌）极易疲劳。疾病可以累及呼吸肌、上肢或下</w:t>
      </w:r>
      <w:r>
        <w:rPr>
          <w:shd w:fill="FFFF00" w:color="auto" w:val="clear"/>
        </w:rPr>
        <w:t>肢的</w:t>
      </w:r>
    </w:p>
    <w:p>
      <w:pPr>
        <w:pStyle w:val="BodyText"/>
        <w:spacing w:before="7"/>
      </w:pPr>
      <w:r>
        <w:rPr/>
        <w:t>近端肌群或全身肌肉，必须满足下列全部条件：</w:t>
      </w:r>
    </w:p>
    <w:p>
      <w:pPr>
        <w:pStyle w:val="BodyText"/>
      </w:pPr>
      <w:r>
        <w:rPr/>
        <w:t>（1）经药物治疗和胸腺切除治疗一年以上仍无法控制病情；</w:t>
      </w:r>
    </w:p>
    <w:p>
      <w:pPr>
        <w:pStyle w:val="BodyText"/>
        <w:spacing w:line="273" w:lineRule="auto"/>
        <w:ind w:left="637" w:right="223" w:hanging="464"/>
      </w:pPr>
      <w:r>
        <w:rPr/>
        <w:t>（2）自主生活能力完全丧失，无法独立完成六项基本日常生活活动中的三项或三项以上。</w:t>
      </w:r>
    </w:p>
    <w:p>
      <w:pPr>
        <w:spacing w:after="0" w:line="273" w:lineRule="auto"/>
        <w:sectPr>
          <w:type w:val="continuous"/>
          <w:pgSz w:w="11910" w:h="16840"/>
          <w:pgMar w:top="200" w:bottom="1100" w:left="1680" w:right="680"/>
          <w:cols w:num="2" w:equalWidth="0">
            <w:col w:w="2067" w:space="40"/>
            <w:col w:w="7443"/>
          </w:cols>
        </w:sectPr>
      </w:pPr>
    </w:p>
    <w:p>
      <w:pPr>
        <w:pStyle w:val="BodyText"/>
        <w:spacing w:before="0"/>
        <w:ind w:left="0"/>
        <w:rPr>
          <w:sz w:val="20"/>
        </w:rPr>
      </w:pPr>
    </w:p>
    <w:p>
      <w:pPr>
        <w:pStyle w:val="BodyText"/>
        <w:spacing w:before="6"/>
        <w:ind w:left="0"/>
        <w:rPr>
          <w:sz w:val="25"/>
        </w:rPr>
      </w:pPr>
    </w:p>
    <w:p>
      <w:pPr>
        <w:spacing w:after="0"/>
        <w:rPr>
          <w:sz w:val="25"/>
        </w:rPr>
        <w:sectPr>
          <w:type w:val="continuous"/>
          <w:pgSz w:w="11910" w:h="16840"/>
          <w:pgMar w:top="200" w:bottom="1100" w:left="1680" w:right="680"/>
        </w:sectPr>
      </w:pPr>
    </w:p>
    <w:p>
      <w:pPr>
        <w:pStyle w:val="BodyText"/>
        <w:spacing w:line="273" w:lineRule="auto"/>
        <w:ind w:left="264"/>
      </w:pPr>
      <w:r>
        <w:rPr/>
        <w:t>（</w:t>
      </w:r>
      <w:r>
        <w:rPr>
          <w:spacing w:val="-2"/>
        </w:rPr>
        <w:t>三十二</w:t>
      </w:r>
      <w:r>
        <w:rPr>
          <w:spacing w:val="-92"/>
        </w:rPr>
        <w:t>）</w:t>
      </w:r>
      <w:r>
        <w:rPr>
          <w:spacing w:val="-3"/>
        </w:rPr>
        <w:t>肺源性心脏病</w:t>
      </w:r>
    </w:p>
    <w:p>
      <w:pPr>
        <w:pStyle w:val="BodyText"/>
        <w:spacing w:line="273" w:lineRule="auto"/>
        <w:ind w:right="225"/>
      </w:pPr>
      <w:r>
        <w:rPr/>
        <w:br w:type="column"/>
      </w:r>
      <w:r>
        <w:rPr>
          <w:spacing w:val="-3"/>
        </w:rPr>
        <w:t>指被保人因慢性肺部疾病导致慢性心功能损害造成永久不可逆性的心功能衰</w:t>
      </w:r>
      <w:r>
        <w:rPr>
          <w:spacing w:val="-5"/>
        </w:rPr>
        <w:t>竭。心功能衰竭程度达到纽约心脏病学会的心功能分级标准之心功能 </w:t>
      </w:r>
      <w:r>
        <w:rPr/>
        <w:t>IV</w:t>
      </w:r>
      <w:r>
        <w:rPr>
          <w:spacing w:val="-15"/>
        </w:rPr>
        <w:t> 级。</w:t>
      </w:r>
      <w:r>
        <w:rPr>
          <w:spacing w:val="-3"/>
        </w:rPr>
        <w:t>被保险人永久不可逆性的体力活动能力受限，不能从事任何体力活动。</w:t>
      </w:r>
    </w:p>
    <w:p>
      <w:pPr>
        <w:spacing w:after="0" w:line="273" w:lineRule="auto"/>
        <w:sectPr>
          <w:type w:val="continuous"/>
          <w:pgSz w:w="11910" w:h="16840"/>
          <w:pgMar w:top="200" w:bottom="1100" w:left="1680" w:right="680"/>
          <w:cols w:num="2" w:equalWidth="0">
            <w:col w:w="2067" w:space="40"/>
            <w:col w:w="7443"/>
          </w:cols>
        </w:sectPr>
      </w:pPr>
    </w:p>
    <w:p>
      <w:pPr>
        <w:pStyle w:val="BodyText"/>
        <w:spacing w:before="8"/>
        <w:ind w:left="0"/>
      </w:pPr>
    </w:p>
    <w:p>
      <w:pPr>
        <w:spacing w:after="0"/>
        <w:sectPr>
          <w:type w:val="continuous"/>
          <w:pgSz w:w="11910" w:h="16840"/>
          <w:pgMar w:top="200" w:bottom="1100" w:left="1680" w:right="680"/>
        </w:sectPr>
      </w:pPr>
    </w:p>
    <w:p>
      <w:pPr>
        <w:pStyle w:val="BodyText"/>
        <w:spacing w:line="273" w:lineRule="auto"/>
        <w:ind w:left="264"/>
      </w:pPr>
      <w:r>
        <w:rPr/>
        <w:t>（</w:t>
      </w:r>
      <w:r>
        <w:rPr>
          <w:spacing w:val="-2"/>
        </w:rPr>
        <w:t>三十三</w:t>
      </w:r>
      <w:r>
        <w:rPr>
          <w:spacing w:val="-92"/>
        </w:rPr>
        <w:t>）</w:t>
      </w:r>
      <w:r>
        <w:rPr>
          <w:spacing w:val="-3"/>
        </w:rPr>
        <w:t>坏死性筋膜炎</w:t>
      </w:r>
    </w:p>
    <w:p>
      <w:pPr>
        <w:pStyle w:val="BodyText"/>
        <w:spacing w:before="62"/>
      </w:pPr>
      <w:r>
        <w:rPr/>
        <w:br w:type="column"/>
      </w:r>
      <w:r>
        <w:rPr/>
        <w:t>坏死性筋膜炎的诊断须同时符合下列要求：</w:t>
      </w:r>
    </w:p>
    <w:p>
      <w:pPr>
        <w:pStyle w:val="BodyText"/>
        <w:spacing w:before="43"/>
      </w:pPr>
      <w:r>
        <w:rPr/>
        <w:t>（1）符合坏死性筋膜炎的一般临床表现；</w:t>
      </w:r>
    </w:p>
    <w:p>
      <w:pPr>
        <w:pStyle w:val="BodyText"/>
        <w:spacing w:before="46"/>
      </w:pPr>
      <w:r>
        <w:rPr/>
        <w:t>（2）细菌培养检出致病菌；</w:t>
      </w:r>
    </w:p>
    <w:p>
      <w:pPr>
        <w:pStyle w:val="BodyText"/>
        <w:spacing w:line="273" w:lineRule="auto" w:before="18"/>
        <w:ind w:right="223"/>
      </w:pPr>
      <w:r>
        <w:rPr/>
        <w:pict>
          <v:rect style="position:absolute;margin-left:502.779999pt;margin-top:17.123663pt;width:10.44pt;height:14.76pt;mso-position-horizontal-relative:page;mso-position-vertical-relative:paragraph;z-index:-36544" filled="true" fillcolor="#ffff00" stroked="false">
            <v:fill type="solid"/>
            <w10:wrap type="none"/>
          </v:rect>
        </w:pict>
      </w:r>
      <w:r>
        <w:rPr/>
        <w:t>（3）出现广泛性肌肉及软组织坏死，并导致身体受影响部位永久完全失去功能。所谓永久完全失去功能是指受影响部位的功能丧失超过 6 个月者</w:t>
      </w:r>
    </w:p>
    <w:p>
      <w:pPr>
        <w:spacing w:after="0" w:line="273" w:lineRule="auto"/>
        <w:sectPr>
          <w:type w:val="continuous"/>
          <w:pgSz w:w="11910" w:h="16840"/>
          <w:pgMar w:top="200" w:bottom="1100" w:left="1680" w:right="680"/>
          <w:cols w:num="2" w:equalWidth="0">
            <w:col w:w="2067" w:space="40"/>
            <w:col w:w="7443"/>
          </w:cols>
        </w:sectPr>
      </w:pPr>
    </w:p>
    <w:p>
      <w:pPr>
        <w:pStyle w:val="BodyText"/>
        <w:spacing w:before="6"/>
        <w:ind w:left="0"/>
        <w:rPr>
          <w:sz w:val="22"/>
        </w:rPr>
      </w:pPr>
    </w:p>
    <w:p>
      <w:pPr>
        <w:spacing w:after="0"/>
        <w:rPr>
          <w:sz w:val="22"/>
        </w:rPr>
        <w:sectPr>
          <w:type w:val="continuous"/>
          <w:pgSz w:w="11910" w:h="16840"/>
          <w:pgMar w:top="200" w:bottom="1100" w:left="1680" w:right="680"/>
        </w:sectPr>
      </w:pPr>
    </w:p>
    <w:p>
      <w:pPr>
        <w:pStyle w:val="BodyText"/>
        <w:spacing w:line="273" w:lineRule="auto"/>
        <w:ind w:left="264"/>
      </w:pPr>
      <w:r>
        <w:rPr/>
        <w:t>（</w:t>
      </w:r>
      <w:r>
        <w:rPr>
          <w:spacing w:val="-2"/>
        </w:rPr>
        <w:t>三十四</w:t>
      </w:r>
      <w:r>
        <w:rPr>
          <w:spacing w:val="-92"/>
        </w:rPr>
        <w:t>）</w:t>
      </w:r>
      <w:r>
        <w:rPr>
          <w:spacing w:val="-3"/>
        </w:rPr>
        <w:t>严重类风湿性关节炎</w:t>
      </w:r>
    </w:p>
    <w:p>
      <w:pPr>
        <w:pStyle w:val="BodyText"/>
        <w:spacing w:line="237" w:lineRule="auto" w:before="65"/>
        <w:ind w:right="117"/>
        <w:jc w:val="both"/>
      </w:pPr>
      <w:r>
        <w:rPr/>
        <w:br w:type="column"/>
      </w:r>
      <w:r>
        <w:rPr>
          <w:spacing w:val="-3"/>
        </w:rPr>
        <w:t>广泛的关节损坏，临床上存在三个或三个以上下列关节的畸形：手、腕、肘、颈椎、膝、踝、蹠-趾关节。并且由本公司认可医院的专科医师确认被保险人</w:t>
      </w:r>
      <w:r>
        <w:rPr>
          <w:spacing w:val="-5"/>
        </w:rPr>
        <w:t>在无他人协助下无法独立完成以下至少三项日常生活活动。上述畸形及功能异</w:t>
      </w:r>
      <w:r>
        <w:rPr>
          <w:spacing w:val="-10"/>
        </w:rPr>
        <w:t>常须持续至少达 </w:t>
      </w:r>
      <w:r>
        <w:rPr/>
        <w:t>180</w:t>
      </w:r>
      <w:r>
        <w:rPr>
          <w:spacing w:val="-1"/>
        </w:rPr>
        <w:t> 天。</w:t>
      </w:r>
    </w:p>
    <w:p>
      <w:pPr>
        <w:pStyle w:val="ListParagraph"/>
        <w:numPr>
          <w:ilvl w:val="0"/>
          <w:numId w:val="7"/>
        </w:numPr>
        <w:tabs>
          <w:tab w:pos="491" w:val="left" w:leader="none"/>
        </w:tabs>
        <w:spacing w:line="240" w:lineRule="auto" w:before="46" w:after="0"/>
        <w:ind w:left="490" w:right="0" w:hanging="316"/>
        <w:jc w:val="both"/>
        <w:rPr>
          <w:sz w:val="21"/>
        </w:rPr>
      </w:pPr>
      <w:r>
        <w:rPr>
          <w:spacing w:val="-3"/>
          <w:sz w:val="21"/>
        </w:rPr>
        <w:t>穿衣 自己能够穿衣及脱衣</w:t>
      </w:r>
    </w:p>
    <w:p>
      <w:pPr>
        <w:pStyle w:val="ListParagraph"/>
        <w:numPr>
          <w:ilvl w:val="0"/>
          <w:numId w:val="7"/>
        </w:numPr>
        <w:tabs>
          <w:tab w:pos="491" w:val="left" w:leader="none"/>
        </w:tabs>
        <w:spacing w:line="240" w:lineRule="auto" w:before="44" w:after="0"/>
        <w:ind w:left="490" w:right="0" w:hanging="316"/>
        <w:jc w:val="both"/>
        <w:rPr>
          <w:sz w:val="21"/>
        </w:rPr>
      </w:pPr>
      <w:r>
        <w:rPr>
          <w:spacing w:val="-3"/>
          <w:sz w:val="21"/>
        </w:rPr>
        <w:t>移动 自己从一个房间到另一个房间</w:t>
      </w:r>
    </w:p>
    <w:p>
      <w:pPr>
        <w:pStyle w:val="ListParagraph"/>
        <w:numPr>
          <w:ilvl w:val="0"/>
          <w:numId w:val="7"/>
        </w:numPr>
        <w:tabs>
          <w:tab w:pos="491" w:val="left" w:leader="none"/>
        </w:tabs>
        <w:spacing w:line="240" w:lineRule="auto" w:before="46" w:after="0"/>
        <w:ind w:left="490" w:right="0" w:hanging="316"/>
        <w:jc w:val="both"/>
        <w:rPr>
          <w:sz w:val="21"/>
        </w:rPr>
      </w:pPr>
      <w:r>
        <w:rPr>
          <w:spacing w:val="-3"/>
          <w:sz w:val="21"/>
        </w:rPr>
        <w:t>行动 自己上下床或上下轮椅。</w:t>
      </w:r>
    </w:p>
    <w:p>
      <w:pPr>
        <w:pStyle w:val="ListParagraph"/>
        <w:numPr>
          <w:ilvl w:val="0"/>
          <w:numId w:val="7"/>
        </w:numPr>
        <w:tabs>
          <w:tab w:pos="491" w:val="left" w:leader="none"/>
        </w:tabs>
        <w:spacing w:line="240" w:lineRule="auto" w:before="43" w:after="0"/>
        <w:ind w:left="490" w:right="0" w:hanging="316"/>
        <w:jc w:val="both"/>
        <w:rPr>
          <w:sz w:val="21"/>
        </w:rPr>
      </w:pPr>
      <w:r>
        <w:rPr>
          <w:spacing w:val="-3"/>
          <w:sz w:val="21"/>
        </w:rPr>
        <w:t>卫生 自己控制进行大小便。</w:t>
      </w:r>
    </w:p>
    <w:p>
      <w:pPr>
        <w:pStyle w:val="ListParagraph"/>
        <w:numPr>
          <w:ilvl w:val="0"/>
          <w:numId w:val="7"/>
        </w:numPr>
        <w:tabs>
          <w:tab w:pos="491" w:val="left" w:leader="none"/>
        </w:tabs>
        <w:spacing w:line="240" w:lineRule="auto" w:before="46" w:after="0"/>
        <w:ind w:left="490" w:right="0" w:hanging="316"/>
        <w:jc w:val="both"/>
        <w:rPr>
          <w:sz w:val="21"/>
        </w:rPr>
      </w:pPr>
      <w:r>
        <w:rPr>
          <w:spacing w:val="-2"/>
          <w:sz w:val="21"/>
        </w:rPr>
        <w:t>进食 自己从已准备好的碗</w:t>
      </w:r>
      <w:r>
        <w:rPr>
          <w:spacing w:val="-3"/>
          <w:sz w:val="21"/>
        </w:rPr>
        <w:t>/碟中摄取食物放入口中</w:t>
      </w:r>
    </w:p>
    <w:p>
      <w:pPr>
        <w:pStyle w:val="ListParagraph"/>
        <w:numPr>
          <w:ilvl w:val="0"/>
          <w:numId w:val="7"/>
        </w:numPr>
        <w:tabs>
          <w:tab w:pos="491" w:val="left" w:leader="none"/>
        </w:tabs>
        <w:spacing w:line="240" w:lineRule="auto" w:before="44" w:after="0"/>
        <w:ind w:left="490" w:right="0" w:hanging="316"/>
        <w:jc w:val="both"/>
        <w:rPr>
          <w:sz w:val="21"/>
        </w:rPr>
      </w:pPr>
      <w:r>
        <w:rPr>
          <w:spacing w:val="-3"/>
          <w:sz w:val="21"/>
        </w:rPr>
        <w:t>洗澡 自己进行淋浴或盆浴。</w:t>
      </w:r>
    </w:p>
    <w:p>
      <w:pPr>
        <w:spacing w:after="0" w:line="240" w:lineRule="auto"/>
        <w:jc w:val="both"/>
        <w:rPr>
          <w:sz w:val="21"/>
        </w:rPr>
        <w:sectPr>
          <w:type w:val="continuous"/>
          <w:pgSz w:w="11910" w:h="16840"/>
          <w:pgMar w:top="200" w:bottom="1100" w:left="1680" w:right="680"/>
          <w:cols w:num="2" w:equalWidth="0">
            <w:col w:w="2067" w:space="40"/>
            <w:col w:w="7443"/>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24"/>
        <w:gridCol w:w="7502"/>
      </w:tblGrid>
      <w:tr>
        <w:trPr>
          <w:trHeight w:val="4040" w:hRule="atLeast"/>
        </w:trPr>
        <w:tc>
          <w:tcPr>
            <w:tcW w:w="679" w:type="dxa"/>
          </w:tcPr>
          <w:p>
            <w:pPr>
              <w:pStyle w:val="TableParagraph"/>
              <w:spacing w:before="0"/>
              <w:ind w:left="0"/>
              <w:rPr>
                <w:rFonts w:ascii="Times New Roman"/>
                <w:sz w:val="20"/>
              </w:rPr>
            </w:pPr>
          </w:p>
        </w:tc>
        <w:tc>
          <w:tcPr>
            <w:tcW w:w="2024" w:type="dxa"/>
          </w:tcPr>
          <w:p>
            <w:pPr>
              <w:pStyle w:val="TableParagraph"/>
              <w:spacing w:line="202" w:lineRule="exact" w:before="0"/>
              <w:ind w:left="161"/>
              <w:rPr>
                <w:sz w:val="21"/>
              </w:rPr>
            </w:pPr>
            <w:r>
              <w:rPr>
                <w:sz w:val="21"/>
              </w:rPr>
              <w:t>（</w:t>
            </w:r>
            <w:r>
              <w:rPr>
                <w:spacing w:val="-2"/>
                <w:sz w:val="21"/>
              </w:rPr>
              <w:t>三十五</w:t>
            </w:r>
            <w:r>
              <w:rPr>
                <w:spacing w:val="-92"/>
                <w:sz w:val="21"/>
              </w:rPr>
              <w:t>）</w:t>
            </w:r>
            <w:r>
              <w:rPr>
                <w:spacing w:val="-3"/>
                <w:sz w:val="21"/>
              </w:rPr>
              <w:t>系统性红</w:t>
            </w:r>
          </w:p>
          <w:p>
            <w:pPr>
              <w:pStyle w:val="TableParagraph"/>
              <w:spacing w:before="37"/>
              <w:ind w:left="161"/>
              <w:rPr>
                <w:sz w:val="21"/>
              </w:rPr>
            </w:pPr>
            <w:r>
              <w:rPr>
                <w:sz w:val="21"/>
              </w:rPr>
              <w:t>斑狼疮</w:t>
            </w:r>
          </w:p>
        </w:tc>
        <w:tc>
          <w:tcPr>
            <w:tcW w:w="7502" w:type="dxa"/>
          </w:tcPr>
          <w:p>
            <w:pPr>
              <w:pStyle w:val="TableParagraph"/>
              <w:spacing w:line="227" w:lineRule="exact" w:before="0"/>
              <w:ind w:left="154"/>
              <w:rPr>
                <w:sz w:val="21"/>
              </w:rPr>
            </w:pPr>
            <w:r>
              <w:rPr>
                <w:sz w:val="21"/>
              </w:rPr>
              <w:t>以产生多种自身抗体，并由免疫反应介导的炎症为特征的自体免疫性疾病。系</w:t>
            </w:r>
          </w:p>
          <w:p>
            <w:pPr>
              <w:pStyle w:val="TableParagraph"/>
              <w:spacing w:line="237" w:lineRule="auto" w:before="1"/>
              <w:ind w:left="154" w:right="199"/>
              <w:jc w:val="both"/>
              <w:rPr>
                <w:sz w:val="21"/>
              </w:rPr>
            </w:pPr>
            <w:r>
              <w:rPr>
                <w:sz w:val="21"/>
              </w:rPr>
              <w:t>统性红斑狼疮的诊断必须由本公司认可医院合格的免疫学专科医师依据作出。本保单所保障的系统性红斑狼疮仅限于累及肾脏的状况, 且经肾脏活检确认， 符合世界卫生组织关于狼疮性肾炎 III 型至 V 型的诊断标准, 并伴有持续性蛋白尿（尿蛋白 ++ 以上）。</w:t>
            </w:r>
          </w:p>
          <w:p>
            <w:pPr>
              <w:pStyle w:val="TableParagraph"/>
              <w:spacing w:before="44"/>
              <w:ind w:left="154" w:right="255"/>
              <w:rPr>
                <w:sz w:val="21"/>
              </w:rPr>
            </w:pPr>
            <w:r>
              <w:rPr>
                <w:sz w:val="21"/>
              </w:rPr>
              <w:t>系统性红斑狼疮的诊断依据国际普遍认可的美国风湿病学会所修订的最新诊断标准。</w:t>
            </w:r>
          </w:p>
          <w:p>
            <w:pPr>
              <w:pStyle w:val="TableParagraph"/>
              <w:spacing w:line="280" w:lineRule="auto" w:before="44"/>
              <w:ind w:left="154" w:right="3351"/>
              <w:rPr>
                <w:sz w:val="21"/>
              </w:rPr>
            </w:pPr>
            <w:r>
              <w:rPr>
                <w:sz w:val="21"/>
              </w:rPr>
              <w:t>世界卫生组织关于狼疮性肾炎的分型标准： 第一型 微小病变型狼疮性肾炎</w:t>
            </w:r>
          </w:p>
          <w:p>
            <w:pPr>
              <w:pStyle w:val="TableParagraph"/>
              <w:spacing w:before="8"/>
              <w:ind w:left="154"/>
              <w:rPr>
                <w:sz w:val="21"/>
              </w:rPr>
            </w:pPr>
            <w:r>
              <w:rPr>
                <w:sz w:val="21"/>
              </w:rPr>
              <w:t>第二型 系膜增生型狼疮性肾炎</w:t>
            </w:r>
          </w:p>
          <w:p>
            <w:pPr>
              <w:pStyle w:val="TableParagraph"/>
              <w:spacing w:line="278" w:lineRule="auto" w:before="46"/>
              <w:ind w:left="154" w:right="4088"/>
              <w:rPr>
                <w:sz w:val="21"/>
              </w:rPr>
            </w:pPr>
            <w:r>
              <w:rPr>
                <w:sz w:val="21"/>
              </w:rPr>
              <w:t>第三型 局灶节段增生型狼疮性肾炎第四型 弥漫增生型狼疮性肾炎</w:t>
            </w:r>
          </w:p>
          <w:p>
            <w:pPr>
              <w:pStyle w:val="TableParagraph"/>
              <w:spacing w:before="13"/>
              <w:ind w:left="154"/>
              <w:jc w:val="both"/>
              <w:rPr>
                <w:sz w:val="21"/>
              </w:rPr>
            </w:pPr>
            <w:r>
              <w:rPr>
                <w:sz w:val="21"/>
              </w:rPr>
              <w:t>第五型 膜型狼疮性肾炎</w:t>
            </w:r>
          </w:p>
        </w:tc>
      </w:tr>
      <w:tr>
        <w:trPr>
          <w:trHeight w:val="2080" w:hRule="atLeast"/>
        </w:trPr>
        <w:tc>
          <w:tcPr>
            <w:tcW w:w="679" w:type="dxa"/>
          </w:tcPr>
          <w:p>
            <w:pPr>
              <w:pStyle w:val="TableParagraph"/>
              <w:spacing w:before="0"/>
              <w:ind w:left="0"/>
              <w:rPr>
                <w:rFonts w:ascii="Times New Roman"/>
                <w:sz w:val="20"/>
              </w:rPr>
            </w:pPr>
          </w:p>
        </w:tc>
        <w:tc>
          <w:tcPr>
            <w:tcW w:w="2024" w:type="dxa"/>
          </w:tcPr>
          <w:p>
            <w:pPr>
              <w:pStyle w:val="TableParagraph"/>
              <w:spacing w:line="256" w:lineRule="auto" w:before="131"/>
              <w:ind w:left="161" w:right="12"/>
              <w:rPr>
                <w:sz w:val="21"/>
              </w:rPr>
            </w:pPr>
            <w:r>
              <w:rPr>
                <w:sz w:val="21"/>
              </w:rPr>
              <w:t>（三十六）</w:t>
            </w:r>
            <w:r>
              <w:rPr>
                <w:rFonts w:ascii="Times New Roman" w:eastAsia="Times New Roman"/>
                <w:sz w:val="21"/>
              </w:rPr>
              <w:t>1 </w:t>
            </w:r>
            <w:r>
              <w:rPr>
                <w:sz w:val="21"/>
              </w:rPr>
              <w:t>型糖尿病</w:t>
            </w:r>
          </w:p>
        </w:tc>
        <w:tc>
          <w:tcPr>
            <w:tcW w:w="7502" w:type="dxa"/>
          </w:tcPr>
          <w:p>
            <w:pPr>
              <w:pStyle w:val="TableParagraph"/>
              <w:spacing w:line="273" w:lineRule="auto" w:before="131"/>
              <w:ind w:left="154" w:right="252"/>
              <w:jc w:val="both"/>
              <w:rPr>
                <w:sz w:val="21"/>
              </w:rPr>
            </w:pPr>
            <w:r>
              <w:rPr>
                <w:sz w:val="21"/>
              </w:rPr>
              <w:t>1</w:t>
            </w:r>
            <w:r>
              <w:rPr>
                <w:spacing w:val="-6"/>
                <w:sz w:val="21"/>
              </w:rPr>
              <w:t> 型糖尿病的特征为由于胰岛素分泌绝对不足引起严重胰岛素缺乏导致慢性血</w:t>
            </w:r>
            <w:r>
              <w:rPr>
                <w:spacing w:val="-4"/>
                <w:sz w:val="21"/>
              </w:rPr>
              <w:t>糖升高，需要依赖外源性胰岛素进行机体的葡萄糖代谢和维持生命。</w:t>
            </w:r>
          </w:p>
          <w:p>
            <w:pPr>
              <w:pStyle w:val="TableParagraph"/>
              <w:spacing w:line="237" w:lineRule="auto" w:before="36"/>
              <w:ind w:left="154" w:right="245"/>
              <w:jc w:val="both"/>
              <w:rPr>
                <w:sz w:val="21"/>
              </w:rPr>
            </w:pPr>
            <w:r>
              <w:rPr>
                <w:spacing w:val="-9"/>
                <w:sz w:val="21"/>
              </w:rPr>
              <w:t>被保险人的 </w:t>
            </w:r>
            <w:r>
              <w:rPr>
                <w:sz w:val="21"/>
              </w:rPr>
              <w:t>1</w:t>
            </w:r>
            <w:r>
              <w:rPr>
                <w:spacing w:val="-7"/>
                <w:sz w:val="21"/>
              </w:rPr>
              <w:t> 型糖尿病的诊断必须由认可医院的合格内分泌专科医师作出，而</w:t>
            </w:r>
            <w:r>
              <w:rPr>
                <w:spacing w:val="-6"/>
                <w:sz w:val="21"/>
              </w:rPr>
              <w:t>且有血胰岛素测定及血 </w:t>
            </w:r>
            <w:r>
              <w:rPr>
                <w:sz w:val="21"/>
              </w:rPr>
              <w:t>C</w:t>
            </w:r>
            <w:r>
              <w:rPr>
                <w:spacing w:val="-3"/>
                <w:sz w:val="21"/>
              </w:rPr>
              <w:t> 肽或尿 </w:t>
            </w:r>
            <w:r>
              <w:rPr>
                <w:sz w:val="21"/>
              </w:rPr>
              <w:t>C</w:t>
            </w:r>
            <w:r>
              <w:rPr>
                <w:spacing w:val="-3"/>
                <w:sz w:val="21"/>
              </w:rPr>
              <w:t> 肽测定结果支持诊断，理赔时被保险人须</w:t>
            </w:r>
            <w:r>
              <w:rPr>
                <w:spacing w:val="-5"/>
                <w:sz w:val="21"/>
              </w:rPr>
              <w:t>已持续性地依赖外源性胰岛素治疗至少 </w:t>
            </w:r>
            <w:r>
              <w:rPr>
                <w:sz w:val="21"/>
              </w:rPr>
              <w:t>6</w:t>
            </w:r>
            <w:r>
              <w:rPr>
                <w:spacing w:val="-12"/>
                <w:sz w:val="21"/>
              </w:rPr>
              <w:t> 个月。可以用其他方法</w:t>
            </w:r>
            <w:r>
              <w:rPr>
                <w:sz w:val="21"/>
              </w:rPr>
              <w:t>（</w:t>
            </w:r>
            <w:r>
              <w:rPr>
                <w:spacing w:val="-3"/>
                <w:sz w:val="21"/>
              </w:rPr>
              <w:t>非胰岛素注射）治疗的糖尿病不在本保障范围之内。</w:t>
            </w:r>
          </w:p>
        </w:tc>
      </w:tr>
      <w:tr>
        <w:trPr>
          <w:trHeight w:val="1550" w:hRule="atLeast"/>
        </w:trPr>
        <w:tc>
          <w:tcPr>
            <w:tcW w:w="679" w:type="dxa"/>
          </w:tcPr>
          <w:p>
            <w:pPr>
              <w:pStyle w:val="TableParagraph"/>
              <w:spacing w:before="0"/>
              <w:ind w:left="0"/>
              <w:rPr>
                <w:rFonts w:ascii="Times New Roman"/>
                <w:sz w:val="20"/>
              </w:rPr>
            </w:pPr>
          </w:p>
        </w:tc>
        <w:tc>
          <w:tcPr>
            <w:tcW w:w="2024" w:type="dxa"/>
          </w:tcPr>
          <w:p>
            <w:pPr>
              <w:pStyle w:val="TableParagraph"/>
              <w:spacing w:line="273" w:lineRule="auto" w:before="124"/>
              <w:ind w:left="161" w:right="57"/>
              <w:rPr>
                <w:sz w:val="21"/>
              </w:rPr>
            </w:pPr>
            <w:r>
              <w:rPr>
                <w:sz w:val="21"/>
              </w:rPr>
              <w:t>（</w:t>
            </w:r>
            <w:r>
              <w:rPr>
                <w:spacing w:val="-2"/>
                <w:sz w:val="21"/>
              </w:rPr>
              <w:t>三十七</w:t>
            </w:r>
            <w:r>
              <w:rPr>
                <w:spacing w:val="-92"/>
                <w:sz w:val="21"/>
              </w:rPr>
              <w:t>）</w:t>
            </w:r>
            <w:r>
              <w:rPr>
                <w:spacing w:val="-3"/>
                <w:sz w:val="21"/>
              </w:rPr>
              <w:t>植物人状态</w:t>
            </w:r>
          </w:p>
        </w:tc>
        <w:tc>
          <w:tcPr>
            <w:tcW w:w="7502" w:type="dxa"/>
          </w:tcPr>
          <w:p>
            <w:pPr>
              <w:pStyle w:val="TableParagraph"/>
              <w:spacing w:line="273" w:lineRule="auto" w:before="124"/>
              <w:ind w:left="154" w:right="199"/>
              <w:jc w:val="both"/>
              <w:rPr>
                <w:sz w:val="21"/>
              </w:rPr>
            </w:pPr>
            <w:r>
              <w:rPr>
                <w:spacing w:val="-3"/>
                <w:sz w:val="21"/>
              </w:rPr>
              <w:t>本保障是指被保险人已丧失大脑皮层功能，对外界刺激或体内需求皆无反应， </w:t>
            </w:r>
            <w:r>
              <w:rPr>
                <w:spacing w:val="-12"/>
                <w:sz w:val="21"/>
              </w:rPr>
              <w:t>人呈无意识状态，但脑干功能仍然保留，并持续依赖外界生命支持系统至少 </w:t>
            </w:r>
            <w:r>
              <w:rPr>
                <w:sz w:val="21"/>
              </w:rPr>
              <w:t>30 </w:t>
            </w:r>
            <w:r>
              <w:rPr>
                <w:spacing w:val="-8"/>
                <w:sz w:val="21"/>
              </w:rPr>
              <w:t>天以上，该病须由本公司认可的医院的神经科专家确诊并证明有永久性神经系</w:t>
            </w:r>
            <w:r>
              <w:rPr>
                <w:spacing w:val="-6"/>
                <w:sz w:val="21"/>
              </w:rPr>
              <w:t>统损害。</w:t>
            </w:r>
          </w:p>
        </w:tc>
      </w:tr>
      <w:tr>
        <w:trPr>
          <w:trHeight w:val="1560" w:hRule="atLeast"/>
        </w:trPr>
        <w:tc>
          <w:tcPr>
            <w:tcW w:w="679" w:type="dxa"/>
          </w:tcPr>
          <w:p>
            <w:pPr>
              <w:pStyle w:val="TableParagraph"/>
              <w:spacing w:before="0"/>
              <w:ind w:left="0"/>
              <w:rPr>
                <w:rFonts w:ascii="Times New Roman"/>
                <w:sz w:val="20"/>
              </w:rPr>
            </w:pPr>
          </w:p>
        </w:tc>
        <w:tc>
          <w:tcPr>
            <w:tcW w:w="2024" w:type="dxa"/>
          </w:tcPr>
          <w:p>
            <w:pPr>
              <w:pStyle w:val="TableParagraph"/>
              <w:spacing w:line="273" w:lineRule="auto"/>
              <w:ind w:left="161" w:right="57"/>
              <w:rPr>
                <w:sz w:val="21"/>
              </w:rPr>
            </w:pPr>
            <w:r>
              <w:rPr>
                <w:sz w:val="21"/>
              </w:rPr>
              <w:t>（</w:t>
            </w:r>
            <w:r>
              <w:rPr>
                <w:spacing w:val="-2"/>
                <w:sz w:val="21"/>
              </w:rPr>
              <w:t>三十八</w:t>
            </w:r>
            <w:r>
              <w:rPr>
                <w:spacing w:val="-92"/>
                <w:sz w:val="21"/>
              </w:rPr>
              <w:t>）</w:t>
            </w:r>
            <w:r>
              <w:rPr>
                <w:spacing w:val="-3"/>
                <w:sz w:val="21"/>
              </w:rPr>
              <w:t>肌营养不良</w:t>
            </w:r>
          </w:p>
        </w:tc>
        <w:tc>
          <w:tcPr>
            <w:tcW w:w="7502" w:type="dxa"/>
          </w:tcPr>
          <w:p>
            <w:pPr>
              <w:pStyle w:val="TableParagraph"/>
              <w:ind w:left="154"/>
              <w:rPr>
                <w:sz w:val="21"/>
              </w:rPr>
            </w:pPr>
            <w:r>
              <w:rPr>
                <w:sz w:val="21"/>
              </w:rPr>
              <w:t>肌营养不良症需要神经专科医生确诊，并且须满足下列全部条件：</w:t>
            </w:r>
          </w:p>
          <w:p>
            <w:pPr>
              <w:pStyle w:val="TableParagraph"/>
              <w:spacing w:before="37"/>
              <w:ind w:left="154"/>
              <w:rPr>
                <w:sz w:val="21"/>
              </w:rPr>
            </w:pPr>
            <w:r>
              <w:rPr>
                <w:sz w:val="21"/>
              </w:rPr>
              <w:t>(1)临床表现包括：无感觉神经紊乱，正常脑脊液及轻微腱反射的减退；</w:t>
            </w:r>
          </w:p>
          <w:p>
            <w:pPr>
              <w:pStyle w:val="TableParagraph"/>
              <w:spacing w:before="37"/>
              <w:ind w:left="154"/>
              <w:rPr>
                <w:sz w:val="21"/>
              </w:rPr>
            </w:pPr>
            <w:r>
              <w:rPr>
                <w:sz w:val="21"/>
              </w:rPr>
              <w:t>(2)典型的肌电图；</w:t>
            </w:r>
          </w:p>
          <w:p>
            <w:pPr>
              <w:pStyle w:val="TableParagraph"/>
              <w:spacing w:before="37"/>
              <w:ind w:left="154"/>
              <w:rPr>
                <w:sz w:val="21"/>
              </w:rPr>
            </w:pPr>
            <w:r>
              <w:rPr>
                <w:sz w:val="21"/>
              </w:rPr>
              <w:t>(3)临床的异常表现已被活检确诊。</w:t>
            </w:r>
          </w:p>
        </w:tc>
      </w:tr>
      <w:tr>
        <w:trPr>
          <w:trHeight w:val="1560" w:hRule="atLeast"/>
        </w:trPr>
        <w:tc>
          <w:tcPr>
            <w:tcW w:w="679" w:type="dxa"/>
          </w:tcPr>
          <w:p>
            <w:pPr>
              <w:pStyle w:val="TableParagraph"/>
              <w:spacing w:before="0"/>
              <w:ind w:left="0"/>
              <w:rPr>
                <w:rFonts w:ascii="Times New Roman"/>
                <w:sz w:val="20"/>
              </w:rPr>
            </w:pPr>
          </w:p>
        </w:tc>
        <w:tc>
          <w:tcPr>
            <w:tcW w:w="2024" w:type="dxa"/>
          </w:tcPr>
          <w:p>
            <w:pPr>
              <w:pStyle w:val="TableParagraph"/>
              <w:spacing w:line="273" w:lineRule="auto"/>
              <w:ind w:left="161" w:right="57"/>
              <w:rPr>
                <w:sz w:val="21"/>
              </w:rPr>
            </w:pPr>
            <w:r>
              <w:rPr>
                <w:sz w:val="21"/>
              </w:rPr>
              <w:t>（</w:t>
            </w:r>
            <w:r>
              <w:rPr>
                <w:spacing w:val="-2"/>
                <w:sz w:val="21"/>
              </w:rPr>
              <w:t>三十九</w:t>
            </w:r>
            <w:r>
              <w:rPr>
                <w:spacing w:val="-92"/>
                <w:sz w:val="21"/>
              </w:rPr>
              <w:t>）</w:t>
            </w:r>
            <w:r>
              <w:rPr>
                <w:spacing w:val="-3"/>
                <w:sz w:val="21"/>
              </w:rPr>
              <w:t>严重溃疡性结肠炎</w:t>
            </w:r>
          </w:p>
        </w:tc>
        <w:tc>
          <w:tcPr>
            <w:tcW w:w="7502" w:type="dxa"/>
          </w:tcPr>
          <w:p>
            <w:pPr>
              <w:pStyle w:val="TableParagraph"/>
              <w:spacing w:line="273" w:lineRule="auto"/>
              <w:ind w:left="154" w:right="245"/>
              <w:rPr>
                <w:sz w:val="21"/>
              </w:rPr>
            </w:pPr>
            <w:r>
              <w:rPr>
                <w:spacing w:val="-3"/>
                <w:sz w:val="21"/>
              </w:rPr>
              <w:t>本附加合同所保障的溃疡性结肠炎是指伴有致命性电解质紊乱的急性暴发性 </w:t>
            </w:r>
            <w:r>
              <w:rPr>
                <w:spacing w:val="-7"/>
                <w:sz w:val="21"/>
              </w:rPr>
              <w:t>溃疡性结肠炎，病变累及全结肠，表现为严重的血便和全身性症状体征，治疗</w:t>
            </w:r>
            <w:r>
              <w:rPr>
                <w:spacing w:val="-8"/>
                <w:sz w:val="21"/>
              </w:rPr>
              <w:t>通常采取全结肠切除和回肠造瘘术。溃疡性结肠炎必须根据组织病理学特点诊</w:t>
            </w:r>
            <w:r>
              <w:rPr>
                <w:spacing w:val="-5"/>
                <w:sz w:val="21"/>
              </w:rPr>
              <w:t>断，并且被保险人已经接受了结肠切除和回肠造瘘术。</w:t>
            </w:r>
          </w:p>
        </w:tc>
      </w:tr>
      <w:tr>
        <w:trPr>
          <w:trHeight w:val="1248" w:hRule="atLeast"/>
        </w:trPr>
        <w:tc>
          <w:tcPr>
            <w:tcW w:w="679" w:type="dxa"/>
          </w:tcPr>
          <w:p>
            <w:pPr>
              <w:pStyle w:val="TableParagraph"/>
              <w:spacing w:before="0"/>
              <w:ind w:left="0"/>
              <w:rPr>
                <w:rFonts w:ascii="Times New Roman"/>
                <w:sz w:val="20"/>
              </w:rPr>
            </w:pPr>
          </w:p>
        </w:tc>
        <w:tc>
          <w:tcPr>
            <w:tcW w:w="2024" w:type="dxa"/>
          </w:tcPr>
          <w:p>
            <w:pPr>
              <w:pStyle w:val="TableParagraph"/>
              <w:ind w:left="161"/>
              <w:rPr>
                <w:sz w:val="21"/>
              </w:rPr>
            </w:pPr>
            <w:r>
              <w:rPr>
                <w:spacing w:val="-1"/>
                <w:sz w:val="21"/>
              </w:rPr>
              <w:t>（</w:t>
            </w:r>
            <w:r>
              <w:rPr>
                <w:sz w:val="21"/>
              </w:rPr>
              <w:t>四十</w:t>
            </w:r>
            <w:r>
              <w:rPr>
                <w:spacing w:val="-94"/>
                <w:sz w:val="21"/>
              </w:rPr>
              <w:t>）</w:t>
            </w:r>
            <w:r>
              <w:rPr>
                <w:spacing w:val="-3"/>
                <w:sz w:val="21"/>
              </w:rPr>
              <w:t>严重克隆病</w:t>
            </w:r>
          </w:p>
        </w:tc>
        <w:tc>
          <w:tcPr>
            <w:tcW w:w="7502" w:type="dxa"/>
          </w:tcPr>
          <w:p>
            <w:pPr>
              <w:pStyle w:val="TableParagraph"/>
              <w:spacing w:line="273" w:lineRule="auto"/>
              <w:ind w:left="154" w:right="245"/>
              <w:jc w:val="both"/>
              <w:rPr>
                <w:sz w:val="21"/>
              </w:rPr>
            </w:pPr>
            <w:r>
              <w:rPr>
                <w:spacing w:val="-6"/>
                <w:sz w:val="21"/>
              </w:rPr>
              <w:t>克隆病是一种慢性肉芽肿性肠炎，具有特征性的克隆病病理组织学变化。疾病</w:t>
            </w:r>
            <w:r>
              <w:rPr>
                <w:spacing w:val="-7"/>
                <w:sz w:val="21"/>
              </w:rPr>
              <w:t>诊断必须由病理检查结果证实，并且必须经本公司认可的专科医师确认被保险</w:t>
            </w:r>
            <w:r>
              <w:rPr>
                <w:spacing w:val="-5"/>
                <w:sz w:val="21"/>
              </w:rPr>
              <w:t>人所患的克隆病已经造成瘘管形成并伴有肠梗阻或肠穿孔。</w:t>
            </w:r>
          </w:p>
        </w:tc>
      </w:tr>
      <w:tr>
        <w:trPr>
          <w:trHeight w:val="623" w:hRule="atLeast"/>
        </w:trPr>
        <w:tc>
          <w:tcPr>
            <w:tcW w:w="679" w:type="dxa"/>
          </w:tcPr>
          <w:p>
            <w:pPr>
              <w:pStyle w:val="TableParagraph"/>
              <w:ind w:left="179" w:right="142"/>
              <w:jc w:val="center"/>
              <w:rPr>
                <w:b/>
                <w:sz w:val="21"/>
              </w:rPr>
            </w:pPr>
            <w:r>
              <w:rPr>
                <w:b/>
                <w:sz w:val="21"/>
              </w:rPr>
              <w:t>6.6</w:t>
            </w:r>
          </w:p>
        </w:tc>
        <w:tc>
          <w:tcPr>
            <w:tcW w:w="2024" w:type="dxa"/>
          </w:tcPr>
          <w:p>
            <w:pPr>
              <w:pStyle w:val="TableParagraph"/>
              <w:ind w:left="161"/>
              <w:rPr>
                <w:b/>
                <w:sz w:val="21"/>
              </w:rPr>
            </w:pPr>
            <w:r>
              <w:rPr>
                <w:b/>
                <w:sz w:val="21"/>
              </w:rPr>
              <w:t>意外伤害</w:t>
            </w:r>
          </w:p>
        </w:tc>
        <w:tc>
          <w:tcPr>
            <w:tcW w:w="7502" w:type="dxa"/>
          </w:tcPr>
          <w:p>
            <w:pPr>
              <w:pStyle w:val="TableParagraph"/>
              <w:ind w:left="154"/>
              <w:rPr>
                <w:sz w:val="21"/>
              </w:rPr>
            </w:pPr>
            <w:r>
              <w:rPr>
                <w:sz w:val="21"/>
              </w:rPr>
              <w:t>指遭受外来的、突发的、非本意的、非疾病的使身体受到伤害的客观事件。</w:t>
            </w:r>
          </w:p>
        </w:tc>
      </w:tr>
      <w:tr>
        <w:trPr>
          <w:trHeight w:val="1041" w:hRule="atLeast"/>
        </w:trPr>
        <w:tc>
          <w:tcPr>
            <w:tcW w:w="679" w:type="dxa"/>
          </w:tcPr>
          <w:p>
            <w:pPr>
              <w:pStyle w:val="TableParagraph"/>
              <w:ind w:left="179" w:right="142"/>
              <w:jc w:val="center"/>
              <w:rPr>
                <w:b/>
                <w:sz w:val="21"/>
              </w:rPr>
            </w:pPr>
            <w:r>
              <w:rPr>
                <w:b/>
                <w:sz w:val="21"/>
              </w:rPr>
              <w:t>6.7</w:t>
            </w:r>
          </w:p>
        </w:tc>
        <w:tc>
          <w:tcPr>
            <w:tcW w:w="2024" w:type="dxa"/>
          </w:tcPr>
          <w:p>
            <w:pPr>
              <w:pStyle w:val="TableParagraph"/>
              <w:ind w:left="161"/>
              <w:rPr>
                <w:b/>
                <w:sz w:val="21"/>
              </w:rPr>
            </w:pPr>
            <w:r>
              <w:rPr>
                <w:b/>
                <w:sz w:val="21"/>
              </w:rPr>
              <w:t>专科医生</w:t>
            </w:r>
          </w:p>
        </w:tc>
        <w:tc>
          <w:tcPr>
            <w:tcW w:w="7502" w:type="dxa"/>
          </w:tcPr>
          <w:p>
            <w:pPr>
              <w:pStyle w:val="TableParagraph"/>
              <w:ind w:left="58"/>
              <w:rPr>
                <w:sz w:val="21"/>
              </w:rPr>
            </w:pPr>
            <w:r>
              <w:rPr>
                <w:sz w:val="21"/>
              </w:rPr>
              <w:t>专科医生应当同时满足以下四项资格条件：</w:t>
            </w:r>
          </w:p>
          <w:p>
            <w:pPr>
              <w:pStyle w:val="TableParagraph"/>
              <w:spacing w:before="37"/>
              <w:ind w:left="58"/>
              <w:rPr>
                <w:sz w:val="21"/>
              </w:rPr>
            </w:pPr>
            <w:r>
              <w:rPr>
                <w:sz w:val="21"/>
              </w:rPr>
              <w:t>（1）具有有效的中华人民共和国《医师资格证书》；</w:t>
            </w:r>
          </w:p>
          <w:p>
            <w:pPr>
              <w:pStyle w:val="TableParagraph"/>
              <w:spacing w:line="264" w:lineRule="exact" w:before="37"/>
              <w:ind w:left="58"/>
              <w:rPr>
                <w:sz w:val="21"/>
              </w:rPr>
            </w:pPr>
            <w:r>
              <w:rPr>
                <w:sz w:val="21"/>
              </w:rPr>
              <w:t>（2）具有有效的中华人民共和国《医师执业证书》，并按期到相关部门登记注</w:t>
            </w:r>
          </w:p>
        </w:tc>
      </w:tr>
    </w:tbl>
    <w:p>
      <w:pPr>
        <w:spacing w:after="0" w:line="264" w:lineRule="exact"/>
        <w:rPr>
          <w:sz w:val="21"/>
        </w:rPr>
        <w:sectPr>
          <w:pgSz w:w="11910" w:h="16840"/>
          <w:pgMar w:header="0" w:footer="912" w:top="1460" w:bottom="1100" w:left="1000" w:right="4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019"/>
        <w:gridCol w:w="7511"/>
      </w:tblGrid>
      <w:tr>
        <w:trPr>
          <w:trHeight w:val="1354" w:hRule="atLeast"/>
        </w:trPr>
        <w:tc>
          <w:tcPr>
            <w:tcW w:w="732" w:type="dxa"/>
          </w:tcPr>
          <w:p>
            <w:pPr>
              <w:pStyle w:val="TableParagraph"/>
              <w:spacing w:before="0"/>
              <w:ind w:left="0"/>
              <w:rPr>
                <w:rFonts w:ascii="Times New Roman"/>
                <w:sz w:val="20"/>
              </w:rPr>
            </w:pPr>
          </w:p>
        </w:tc>
        <w:tc>
          <w:tcPr>
            <w:tcW w:w="2019" w:type="dxa"/>
          </w:tcPr>
          <w:p>
            <w:pPr>
              <w:pStyle w:val="TableParagraph"/>
              <w:spacing w:before="0"/>
              <w:ind w:left="0"/>
              <w:rPr>
                <w:rFonts w:ascii="Times New Roman"/>
                <w:sz w:val="20"/>
              </w:rPr>
            </w:pPr>
          </w:p>
        </w:tc>
        <w:tc>
          <w:tcPr>
            <w:tcW w:w="7511" w:type="dxa"/>
          </w:tcPr>
          <w:p>
            <w:pPr>
              <w:pStyle w:val="TableParagraph"/>
              <w:spacing w:line="202" w:lineRule="exact" w:before="0"/>
              <w:ind w:left="547"/>
              <w:rPr>
                <w:sz w:val="21"/>
              </w:rPr>
            </w:pPr>
            <w:r>
              <w:rPr>
                <w:sz w:val="21"/>
              </w:rPr>
              <w:t>册；</w:t>
            </w:r>
          </w:p>
          <w:p>
            <w:pPr>
              <w:pStyle w:val="TableParagraph"/>
              <w:spacing w:line="273" w:lineRule="auto" w:before="37"/>
              <w:ind w:left="547" w:right="239" w:hanging="538"/>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（4）在二级或二级以上医院的相应科室从事临床工作三年以上。</w:t>
            </w:r>
          </w:p>
        </w:tc>
      </w:tr>
      <w:tr>
        <w:trPr>
          <w:trHeight w:val="1560" w:hRule="atLeast"/>
        </w:trPr>
        <w:tc>
          <w:tcPr>
            <w:tcW w:w="732" w:type="dxa"/>
          </w:tcPr>
          <w:p>
            <w:pPr>
              <w:pStyle w:val="TableParagraph"/>
              <w:rPr>
                <w:b/>
                <w:sz w:val="21"/>
              </w:rPr>
            </w:pPr>
            <w:r>
              <w:rPr>
                <w:b/>
                <w:sz w:val="21"/>
              </w:rPr>
              <w:t>6.8</w:t>
            </w:r>
          </w:p>
        </w:tc>
        <w:tc>
          <w:tcPr>
            <w:tcW w:w="2019" w:type="dxa"/>
          </w:tcPr>
          <w:p>
            <w:pPr>
              <w:pStyle w:val="TableParagraph"/>
              <w:ind w:left="108"/>
              <w:rPr>
                <w:b/>
                <w:sz w:val="21"/>
              </w:rPr>
            </w:pPr>
            <w:r>
              <w:rPr>
                <w:b/>
                <w:sz w:val="21"/>
              </w:rPr>
              <w:t>毒品</w:t>
            </w:r>
          </w:p>
        </w:tc>
        <w:tc>
          <w:tcPr>
            <w:tcW w:w="7511" w:type="dxa"/>
          </w:tcPr>
          <w:p>
            <w:pPr>
              <w:pStyle w:val="TableParagraph"/>
              <w:spacing w:line="273" w:lineRule="auto"/>
              <w:ind w:left="106" w:right="3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9"/>
                <w:sz w:val="21"/>
              </w:rPr>
              <w:t>品，但不包括由医生开具并遵医嘱使用的用于治疗疾病但含有毒品成分的处方药品。</w:t>
            </w:r>
          </w:p>
        </w:tc>
      </w:tr>
      <w:tr>
        <w:trPr>
          <w:trHeight w:val="1248" w:hRule="atLeast"/>
        </w:trPr>
        <w:tc>
          <w:tcPr>
            <w:tcW w:w="732" w:type="dxa"/>
          </w:tcPr>
          <w:p>
            <w:pPr>
              <w:pStyle w:val="TableParagraph"/>
              <w:rPr>
                <w:b/>
                <w:sz w:val="21"/>
              </w:rPr>
            </w:pPr>
            <w:r>
              <w:rPr>
                <w:b/>
                <w:sz w:val="21"/>
              </w:rPr>
              <w:t>6.9</w:t>
            </w:r>
          </w:p>
        </w:tc>
        <w:tc>
          <w:tcPr>
            <w:tcW w:w="2019" w:type="dxa"/>
          </w:tcPr>
          <w:p>
            <w:pPr>
              <w:pStyle w:val="TableParagraph"/>
              <w:ind w:left="108"/>
              <w:rPr>
                <w:b/>
                <w:sz w:val="21"/>
              </w:rPr>
            </w:pPr>
            <w:r>
              <w:rPr>
                <w:b/>
                <w:sz w:val="21"/>
              </w:rPr>
              <w:t>酒后驾驶</w:t>
            </w:r>
          </w:p>
        </w:tc>
        <w:tc>
          <w:tcPr>
            <w:tcW w:w="7511" w:type="dxa"/>
          </w:tcPr>
          <w:p>
            <w:pPr>
              <w:pStyle w:val="TableParagraph"/>
              <w:spacing w:line="273" w:lineRule="auto"/>
              <w:ind w:left="106" w:right="302"/>
              <w:jc w:val="both"/>
              <w:rPr>
                <w:sz w:val="21"/>
              </w:rPr>
            </w:pPr>
            <w:r>
              <w:rPr>
                <w:spacing w:val="-8"/>
                <w:sz w:val="21"/>
              </w:rPr>
              <w:t>指经检测或鉴定，发生事故时车辆驾驶人员每百毫升血液中的酒精含量达到或</w:t>
            </w:r>
            <w:r>
              <w:rPr>
                <w:spacing w:val="-9"/>
                <w:sz w:val="21"/>
              </w:rPr>
              <w:t>超过一定的标准，公安机关交通管理部门依据《道路交通安全法》的规定认定</w:t>
            </w:r>
            <w:r>
              <w:rPr>
                <w:spacing w:val="-5"/>
                <w:sz w:val="21"/>
              </w:rPr>
              <w:t>为饮酒后驾驶或醉酒后驾驶。</w:t>
            </w:r>
          </w:p>
        </w:tc>
      </w:tr>
      <w:tr>
        <w:trPr>
          <w:trHeight w:val="2184" w:hRule="atLeast"/>
        </w:trPr>
        <w:tc>
          <w:tcPr>
            <w:tcW w:w="732" w:type="dxa"/>
          </w:tcPr>
          <w:p>
            <w:pPr>
              <w:pStyle w:val="TableParagraph"/>
              <w:rPr>
                <w:b/>
                <w:sz w:val="21"/>
              </w:rPr>
            </w:pPr>
            <w:r>
              <w:rPr>
                <w:b/>
                <w:sz w:val="21"/>
              </w:rPr>
              <w:t>6.10</w:t>
            </w:r>
          </w:p>
        </w:tc>
        <w:tc>
          <w:tcPr>
            <w:tcW w:w="2019" w:type="dxa"/>
          </w:tcPr>
          <w:p>
            <w:pPr>
              <w:pStyle w:val="TableParagraph"/>
              <w:spacing w:line="273" w:lineRule="auto"/>
              <w:ind w:left="108" w:right="218"/>
              <w:rPr>
                <w:b/>
                <w:sz w:val="21"/>
              </w:rPr>
            </w:pPr>
            <w:r>
              <w:rPr>
                <w:b/>
                <w:sz w:val="21"/>
              </w:rPr>
              <w:t>无合法有效驾驶证驾驶</w:t>
            </w:r>
          </w:p>
        </w:tc>
        <w:tc>
          <w:tcPr>
            <w:tcW w:w="7511" w:type="dxa"/>
          </w:tcPr>
          <w:p>
            <w:pPr>
              <w:pStyle w:val="TableParagraph"/>
              <w:ind w:left="106"/>
              <w:rPr>
                <w:sz w:val="21"/>
              </w:rPr>
            </w:pPr>
            <w:r>
              <w:rPr>
                <w:sz w:val="21"/>
              </w:rPr>
              <w:t>指下列情形之一：</w:t>
            </w:r>
          </w:p>
          <w:p>
            <w:pPr>
              <w:pStyle w:val="TableParagraph"/>
              <w:spacing w:before="37"/>
              <w:ind w:left="178"/>
              <w:rPr>
                <w:sz w:val="21"/>
              </w:rPr>
            </w:pPr>
            <w:r>
              <w:rPr>
                <w:sz w:val="21"/>
              </w:rPr>
              <w:t>（1）没有取得驾驶资格；</w:t>
            </w:r>
          </w:p>
          <w:p>
            <w:pPr>
              <w:pStyle w:val="TableParagraph"/>
              <w:spacing w:before="37"/>
              <w:ind w:left="178"/>
              <w:rPr>
                <w:sz w:val="21"/>
              </w:rPr>
            </w:pPr>
            <w:r>
              <w:rPr>
                <w:sz w:val="21"/>
              </w:rPr>
              <w:t>（2）驾驶与驾驶证准驾车型不相符合的车辆；</w:t>
            </w:r>
          </w:p>
          <w:p>
            <w:pPr>
              <w:pStyle w:val="TableParagraph"/>
              <w:spacing w:before="37"/>
              <w:ind w:left="178"/>
              <w:rPr>
                <w:sz w:val="21"/>
              </w:rPr>
            </w:pPr>
            <w:r>
              <w:rPr>
                <w:sz w:val="21"/>
              </w:rPr>
              <w:t>（3）持审验不合格的驾驶证驾驶；</w:t>
            </w:r>
          </w:p>
          <w:p>
            <w:pPr>
              <w:pStyle w:val="TableParagraph"/>
              <w:spacing w:line="273" w:lineRule="auto" w:before="37"/>
              <w:ind w:left="106" w:right="362"/>
              <w:rPr>
                <w:sz w:val="21"/>
              </w:rPr>
            </w:pPr>
            <w:r>
              <w:rPr>
                <w:sz w:val="21"/>
              </w:rPr>
              <w:t>（4）持学习驾驶证学习驾车时，无教练员随车指导，或不按指定时间、路线学习驾车。</w:t>
            </w:r>
          </w:p>
        </w:tc>
      </w:tr>
      <w:tr>
        <w:trPr>
          <w:trHeight w:val="1248" w:hRule="atLeast"/>
        </w:trPr>
        <w:tc>
          <w:tcPr>
            <w:tcW w:w="732" w:type="dxa"/>
          </w:tcPr>
          <w:p>
            <w:pPr>
              <w:pStyle w:val="TableParagraph"/>
              <w:rPr>
                <w:b/>
                <w:sz w:val="21"/>
              </w:rPr>
            </w:pPr>
            <w:r>
              <w:rPr>
                <w:b/>
                <w:sz w:val="21"/>
              </w:rPr>
              <w:t>6.11</w:t>
            </w:r>
          </w:p>
        </w:tc>
        <w:tc>
          <w:tcPr>
            <w:tcW w:w="2019" w:type="dxa"/>
          </w:tcPr>
          <w:p>
            <w:pPr>
              <w:pStyle w:val="TableParagraph"/>
              <w:ind w:left="108"/>
              <w:rPr>
                <w:b/>
                <w:sz w:val="21"/>
              </w:rPr>
            </w:pPr>
            <w:r>
              <w:rPr>
                <w:b/>
                <w:sz w:val="21"/>
              </w:rPr>
              <w:t>无有效行驶证</w:t>
            </w:r>
          </w:p>
        </w:tc>
        <w:tc>
          <w:tcPr>
            <w:tcW w:w="7511" w:type="dxa"/>
          </w:tcPr>
          <w:p>
            <w:pPr>
              <w:pStyle w:val="TableParagraph"/>
              <w:ind w:left="106"/>
              <w:rPr>
                <w:sz w:val="21"/>
              </w:rPr>
            </w:pPr>
            <w:r>
              <w:rPr>
                <w:sz w:val="21"/>
              </w:rPr>
              <w:t>指下列情形之一：</w:t>
            </w:r>
          </w:p>
          <w:p>
            <w:pPr>
              <w:pStyle w:val="TableParagraph"/>
              <w:spacing w:before="37"/>
              <w:ind w:left="106"/>
              <w:rPr>
                <w:sz w:val="21"/>
              </w:rPr>
            </w:pPr>
            <w:r>
              <w:rPr>
                <w:sz w:val="21"/>
              </w:rPr>
              <w:t>（1）机动车被依法注销登记的；</w:t>
            </w:r>
          </w:p>
          <w:p>
            <w:pPr>
              <w:pStyle w:val="TableParagraph"/>
              <w:spacing w:before="37"/>
              <w:ind w:left="106"/>
              <w:rPr>
                <w:sz w:val="21"/>
              </w:rPr>
            </w:pPr>
            <w:r>
              <w:rPr>
                <w:sz w:val="21"/>
              </w:rPr>
              <w:t>（2）未依法按时进行或通过机动车安全技术检验。</w:t>
            </w:r>
          </w:p>
        </w:tc>
      </w:tr>
      <w:tr>
        <w:trPr>
          <w:trHeight w:val="623" w:hRule="atLeast"/>
        </w:trPr>
        <w:tc>
          <w:tcPr>
            <w:tcW w:w="732" w:type="dxa"/>
          </w:tcPr>
          <w:p>
            <w:pPr>
              <w:pStyle w:val="TableParagraph"/>
              <w:rPr>
                <w:b/>
                <w:sz w:val="21"/>
              </w:rPr>
            </w:pPr>
            <w:r>
              <w:rPr>
                <w:b/>
                <w:sz w:val="21"/>
              </w:rPr>
              <w:t>6.12</w:t>
            </w:r>
          </w:p>
        </w:tc>
        <w:tc>
          <w:tcPr>
            <w:tcW w:w="2019" w:type="dxa"/>
          </w:tcPr>
          <w:p>
            <w:pPr>
              <w:pStyle w:val="TableParagraph"/>
              <w:ind w:left="108"/>
              <w:rPr>
                <w:b/>
                <w:sz w:val="21"/>
              </w:rPr>
            </w:pPr>
            <w:r>
              <w:rPr>
                <w:b/>
                <w:sz w:val="21"/>
              </w:rPr>
              <w:t>潜水</w:t>
            </w:r>
          </w:p>
        </w:tc>
        <w:tc>
          <w:tcPr>
            <w:tcW w:w="7511" w:type="dxa"/>
          </w:tcPr>
          <w:p>
            <w:pPr>
              <w:pStyle w:val="TableParagraph"/>
              <w:ind w:left="106"/>
              <w:rPr>
                <w:sz w:val="21"/>
              </w:rPr>
            </w:pPr>
            <w:r>
              <w:rPr>
                <w:sz w:val="21"/>
              </w:rPr>
              <w:t>指以辅助呼吸器材在江、河、湖、海、水库、运河等水域进行的水下运动。</w:t>
            </w:r>
          </w:p>
        </w:tc>
      </w:tr>
      <w:tr>
        <w:trPr>
          <w:trHeight w:val="624" w:hRule="atLeast"/>
        </w:trPr>
        <w:tc>
          <w:tcPr>
            <w:tcW w:w="732" w:type="dxa"/>
          </w:tcPr>
          <w:p>
            <w:pPr>
              <w:pStyle w:val="TableParagraph"/>
              <w:rPr>
                <w:b/>
                <w:sz w:val="21"/>
              </w:rPr>
            </w:pPr>
            <w:r>
              <w:rPr>
                <w:b/>
                <w:sz w:val="21"/>
              </w:rPr>
              <w:t>6.13</w:t>
            </w:r>
          </w:p>
        </w:tc>
        <w:tc>
          <w:tcPr>
            <w:tcW w:w="2019" w:type="dxa"/>
          </w:tcPr>
          <w:p>
            <w:pPr>
              <w:pStyle w:val="TableParagraph"/>
              <w:ind w:left="108"/>
              <w:rPr>
                <w:b/>
                <w:sz w:val="21"/>
              </w:rPr>
            </w:pPr>
            <w:r>
              <w:rPr>
                <w:b/>
                <w:sz w:val="21"/>
              </w:rPr>
              <w:t>攀岩</w:t>
            </w:r>
          </w:p>
        </w:tc>
        <w:tc>
          <w:tcPr>
            <w:tcW w:w="7511" w:type="dxa"/>
          </w:tcPr>
          <w:p>
            <w:pPr>
              <w:pStyle w:val="TableParagraph"/>
              <w:ind w:left="106"/>
              <w:rPr>
                <w:sz w:val="21"/>
              </w:rPr>
            </w:pPr>
            <w:r>
              <w:rPr>
                <w:sz w:val="21"/>
              </w:rPr>
              <w:t>指攀登悬崖、建筑物外墙、人造悬崖、冰崖、冰ft等运动。</w:t>
            </w:r>
          </w:p>
        </w:tc>
      </w:tr>
      <w:tr>
        <w:trPr>
          <w:trHeight w:val="1247" w:hRule="atLeast"/>
        </w:trPr>
        <w:tc>
          <w:tcPr>
            <w:tcW w:w="732" w:type="dxa"/>
          </w:tcPr>
          <w:p>
            <w:pPr>
              <w:pStyle w:val="TableParagraph"/>
              <w:rPr>
                <w:b/>
                <w:sz w:val="21"/>
              </w:rPr>
            </w:pPr>
            <w:r>
              <w:rPr>
                <w:b/>
                <w:sz w:val="21"/>
              </w:rPr>
              <w:t>6.14</w:t>
            </w:r>
          </w:p>
        </w:tc>
        <w:tc>
          <w:tcPr>
            <w:tcW w:w="2019" w:type="dxa"/>
          </w:tcPr>
          <w:p>
            <w:pPr>
              <w:pStyle w:val="TableParagraph"/>
              <w:ind w:left="108"/>
              <w:rPr>
                <w:b/>
                <w:sz w:val="21"/>
              </w:rPr>
            </w:pPr>
            <w:r>
              <w:rPr>
                <w:b/>
                <w:sz w:val="21"/>
              </w:rPr>
              <w:t>探险活动</w:t>
            </w:r>
          </w:p>
        </w:tc>
        <w:tc>
          <w:tcPr>
            <w:tcW w:w="7511" w:type="dxa"/>
          </w:tcPr>
          <w:p>
            <w:pPr>
              <w:pStyle w:val="TableParagraph"/>
              <w:spacing w:line="273" w:lineRule="auto"/>
              <w:ind w:left="106" w:right="302"/>
              <w:jc w:val="both"/>
              <w:rPr>
                <w:sz w:val="21"/>
              </w:rPr>
            </w:pPr>
            <w:r>
              <w:rPr>
                <w:spacing w:val="-5"/>
                <w:sz w:val="21"/>
              </w:rPr>
              <w:t>指明知在某种特定的自然条件下有失去生命或使身体受到伤害的危险，而故意</w:t>
            </w:r>
            <w:r>
              <w:rPr>
                <w:spacing w:val="-7"/>
                <w:sz w:val="21"/>
              </w:rPr>
              <w:t>使自己置身其中的行为。包括但不限于江河漂流、徒步穿越沙漠或人迹罕至的</w:t>
            </w:r>
            <w:r>
              <w:rPr>
                <w:spacing w:val="-5"/>
                <w:sz w:val="21"/>
              </w:rPr>
              <w:t>原始森林等活动。</w:t>
            </w:r>
          </w:p>
        </w:tc>
      </w:tr>
      <w:tr>
        <w:trPr>
          <w:trHeight w:val="936" w:hRule="atLeast"/>
        </w:trPr>
        <w:tc>
          <w:tcPr>
            <w:tcW w:w="732" w:type="dxa"/>
          </w:tcPr>
          <w:p>
            <w:pPr>
              <w:pStyle w:val="TableParagraph"/>
              <w:rPr>
                <w:b/>
                <w:sz w:val="21"/>
              </w:rPr>
            </w:pPr>
            <w:r>
              <w:rPr>
                <w:b/>
                <w:sz w:val="21"/>
              </w:rPr>
              <w:t>6.15</w:t>
            </w:r>
          </w:p>
        </w:tc>
        <w:tc>
          <w:tcPr>
            <w:tcW w:w="2019" w:type="dxa"/>
          </w:tcPr>
          <w:p>
            <w:pPr>
              <w:pStyle w:val="TableParagraph"/>
              <w:ind w:left="108"/>
              <w:rPr>
                <w:b/>
                <w:sz w:val="21"/>
              </w:rPr>
            </w:pPr>
            <w:r>
              <w:rPr>
                <w:b/>
                <w:sz w:val="21"/>
              </w:rPr>
              <w:t>武术比赛</w:t>
            </w:r>
          </w:p>
        </w:tc>
        <w:tc>
          <w:tcPr>
            <w:tcW w:w="7511" w:type="dxa"/>
          </w:tcPr>
          <w:p>
            <w:pPr>
              <w:pStyle w:val="TableParagraph"/>
              <w:spacing w:line="273" w:lineRule="auto"/>
              <w:ind w:left="106" w:right="302"/>
              <w:rPr>
                <w:sz w:val="21"/>
              </w:rPr>
            </w:pPr>
            <w:r>
              <w:rPr>
                <w:spacing w:val="-7"/>
                <w:sz w:val="21"/>
              </w:rPr>
              <w:t>指两人或两人以上对抗柔道、空手道、跆拳道、散打、拳击等各种拳术及各种</w:t>
            </w:r>
            <w:r>
              <w:rPr>
                <w:spacing w:val="-5"/>
                <w:sz w:val="21"/>
              </w:rPr>
              <w:t>使用器械的对抗性比赛。</w:t>
            </w:r>
          </w:p>
        </w:tc>
      </w:tr>
      <w:tr>
        <w:trPr>
          <w:trHeight w:val="936" w:hRule="atLeast"/>
        </w:trPr>
        <w:tc>
          <w:tcPr>
            <w:tcW w:w="732" w:type="dxa"/>
          </w:tcPr>
          <w:p>
            <w:pPr>
              <w:pStyle w:val="TableParagraph"/>
              <w:rPr>
                <w:b/>
                <w:sz w:val="21"/>
              </w:rPr>
            </w:pPr>
            <w:r>
              <w:rPr>
                <w:b/>
                <w:sz w:val="21"/>
              </w:rPr>
              <w:t>6.16</w:t>
            </w:r>
          </w:p>
        </w:tc>
        <w:tc>
          <w:tcPr>
            <w:tcW w:w="2019" w:type="dxa"/>
          </w:tcPr>
          <w:p>
            <w:pPr>
              <w:pStyle w:val="TableParagraph"/>
              <w:ind w:left="108"/>
              <w:rPr>
                <w:b/>
                <w:sz w:val="21"/>
              </w:rPr>
            </w:pPr>
            <w:r>
              <w:rPr>
                <w:b/>
                <w:sz w:val="21"/>
              </w:rPr>
              <w:t>遗传性疾病</w:t>
            </w:r>
          </w:p>
        </w:tc>
        <w:tc>
          <w:tcPr>
            <w:tcW w:w="7511" w:type="dxa"/>
          </w:tcPr>
          <w:p>
            <w:pPr>
              <w:pStyle w:val="TableParagraph"/>
              <w:spacing w:line="273" w:lineRule="auto"/>
              <w:ind w:left="106" w:right="24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32" w:type="dxa"/>
          </w:tcPr>
          <w:p>
            <w:pPr>
              <w:pStyle w:val="TableParagraph"/>
              <w:rPr>
                <w:b/>
                <w:sz w:val="21"/>
              </w:rPr>
            </w:pPr>
            <w:r>
              <w:rPr>
                <w:b/>
                <w:sz w:val="21"/>
              </w:rPr>
              <w:t>6.17</w:t>
            </w:r>
          </w:p>
        </w:tc>
        <w:tc>
          <w:tcPr>
            <w:tcW w:w="2019" w:type="dxa"/>
          </w:tcPr>
          <w:p>
            <w:pPr>
              <w:pStyle w:val="TableParagraph"/>
              <w:spacing w:line="273" w:lineRule="auto"/>
              <w:ind w:left="108" w:right="105"/>
              <w:rPr>
                <w:b/>
                <w:sz w:val="21"/>
              </w:rPr>
            </w:pPr>
            <w:r>
              <w:rPr>
                <w:b/>
                <w:spacing w:val="-13"/>
                <w:sz w:val="21"/>
              </w:rPr>
              <w:t>先天性畸形、变形或染色体异常</w:t>
            </w:r>
          </w:p>
        </w:tc>
        <w:tc>
          <w:tcPr>
            <w:tcW w:w="7511" w:type="dxa"/>
          </w:tcPr>
          <w:p>
            <w:pPr>
              <w:pStyle w:val="TableParagraph"/>
              <w:spacing w:line="273" w:lineRule="auto"/>
              <w:ind w:left="106" w:right="198"/>
              <w:rPr>
                <w:sz w:val="21"/>
              </w:rPr>
            </w:pPr>
            <w:r>
              <w:rPr>
                <w:spacing w:val="-6"/>
                <w:sz w:val="21"/>
              </w:rPr>
              <w:t>指被保险人出生时就具有的畸形、变形或染色体异常。先天性畸形、变形和染色体异常依照世界卫生组织《疾病和有关健康问题的国际统计分类</w:t>
            </w:r>
            <w:r>
              <w:rPr>
                <w:spacing w:val="-128"/>
                <w:sz w:val="21"/>
              </w:rPr>
              <w:t>》</w:t>
            </w:r>
            <w:r>
              <w:rPr>
                <w:sz w:val="21"/>
              </w:rPr>
              <w:t>（ICD-10） 确定。</w:t>
            </w:r>
          </w:p>
        </w:tc>
      </w:tr>
      <w:tr>
        <w:trPr>
          <w:trHeight w:val="729" w:hRule="atLeast"/>
        </w:trPr>
        <w:tc>
          <w:tcPr>
            <w:tcW w:w="732" w:type="dxa"/>
          </w:tcPr>
          <w:p>
            <w:pPr>
              <w:pStyle w:val="TableParagraph"/>
              <w:rPr>
                <w:b/>
                <w:sz w:val="21"/>
              </w:rPr>
            </w:pPr>
            <w:r>
              <w:rPr>
                <w:b/>
                <w:sz w:val="21"/>
              </w:rPr>
              <w:t>6.18</w:t>
            </w:r>
          </w:p>
        </w:tc>
        <w:tc>
          <w:tcPr>
            <w:tcW w:w="2019" w:type="dxa"/>
          </w:tcPr>
          <w:p>
            <w:pPr>
              <w:pStyle w:val="TableParagraph"/>
              <w:ind w:left="108"/>
              <w:rPr>
                <w:b/>
                <w:sz w:val="21"/>
              </w:rPr>
            </w:pPr>
            <w:r>
              <w:rPr>
                <w:b/>
                <w:sz w:val="21"/>
              </w:rPr>
              <w:t>本合同约定利率</w:t>
            </w:r>
          </w:p>
        </w:tc>
        <w:tc>
          <w:tcPr>
            <w:tcW w:w="7511" w:type="dxa"/>
          </w:tcPr>
          <w:p>
            <w:pPr>
              <w:pStyle w:val="TableParagraph"/>
              <w:spacing w:line="310" w:lineRule="atLeast" w:before="98"/>
              <w:ind w:left="106" w:right="247"/>
              <w:rPr>
                <w:sz w:val="21"/>
              </w:rPr>
            </w:pPr>
            <w:r>
              <w:rPr>
                <w:sz w:val="21"/>
              </w:rPr>
              <w:t>由本公司参照同期中国人民银行六个月期贷款基准利率确定并宣布，宣布时间分别为每年的一月一日和七月一日。该利率以同期中国人民银行六个月期贷款</w:t>
            </w:r>
          </w:p>
        </w:tc>
      </w:tr>
    </w:tbl>
    <w:p>
      <w:pPr>
        <w:spacing w:after="0" w:line="310" w:lineRule="atLeast"/>
        <w:rPr>
          <w:sz w:val="21"/>
        </w:rPr>
        <w:sectPr>
          <w:pgSz w:w="11910" w:h="16840"/>
          <w:pgMar w:header="0" w:footer="912" w:top="1460" w:bottom="1100" w:left="1000" w:right="4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63"/>
        <w:gridCol w:w="7570"/>
      </w:tblGrid>
      <w:tr>
        <w:trPr>
          <w:trHeight w:val="417" w:hRule="atLeast"/>
        </w:trPr>
        <w:tc>
          <w:tcPr>
            <w:tcW w:w="732" w:type="dxa"/>
          </w:tcPr>
          <w:p>
            <w:pPr>
              <w:pStyle w:val="TableParagraph"/>
              <w:spacing w:before="0"/>
              <w:ind w:left="0"/>
              <w:rPr>
                <w:rFonts w:ascii="Times New Roman"/>
                <w:sz w:val="20"/>
              </w:rPr>
            </w:pPr>
          </w:p>
        </w:tc>
        <w:tc>
          <w:tcPr>
            <w:tcW w:w="1963" w:type="dxa"/>
          </w:tcPr>
          <w:p>
            <w:pPr>
              <w:pStyle w:val="TableParagraph"/>
              <w:spacing w:before="0"/>
              <w:ind w:left="0"/>
              <w:rPr>
                <w:rFonts w:ascii="Times New Roman"/>
                <w:sz w:val="20"/>
              </w:rPr>
            </w:pPr>
          </w:p>
        </w:tc>
        <w:tc>
          <w:tcPr>
            <w:tcW w:w="7570" w:type="dxa"/>
          </w:tcPr>
          <w:p>
            <w:pPr>
              <w:pStyle w:val="TableParagraph"/>
              <w:spacing w:line="202" w:lineRule="exact" w:before="0"/>
              <w:ind w:left="162"/>
              <w:rPr>
                <w:sz w:val="21"/>
              </w:rPr>
            </w:pPr>
            <w:r>
              <w:rPr>
                <w:sz w:val="21"/>
              </w:rPr>
              <w:t>基准利率＋0.5%为上限。</w:t>
            </w:r>
          </w:p>
        </w:tc>
      </w:tr>
      <w:tr>
        <w:trPr>
          <w:trHeight w:val="936" w:hRule="atLeast"/>
        </w:trPr>
        <w:tc>
          <w:tcPr>
            <w:tcW w:w="732" w:type="dxa"/>
          </w:tcPr>
          <w:p>
            <w:pPr>
              <w:pStyle w:val="TableParagraph"/>
              <w:ind w:left="0" w:right="107"/>
              <w:jc w:val="right"/>
              <w:rPr>
                <w:b/>
                <w:sz w:val="21"/>
              </w:rPr>
            </w:pPr>
            <w:r>
              <w:rPr>
                <w:b/>
                <w:w w:val="95"/>
                <w:sz w:val="21"/>
              </w:rPr>
              <w:t>6.19</w:t>
            </w:r>
          </w:p>
        </w:tc>
        <w:tc>
          <w:tcPr>
            <w:tcW w:w="1963" w:type="dxa"/>
          </w:tcPr>
          <w:p>
            <w:pPr>
              <w:pStyle w:val="TableParagraph"/>
              <w:ind w:left="108"/>
              <w:rPr>
                <w:b/>
                <w:sz w:val="21"/>
              </w:rPr>
            </w:pPr>
            <w:r>
              <w:rPr>
                <w:b/>
                <w:sz w:val="21"/>
              </w:rPr>
              <w:t>肢体机能完全丧失</w:t>
            </w:r>
          </w:p>
        </w:tc>
        <w:tc>
          <w:tcPr>
            <w:tcW w:w="7570" w:type="dxa"/>
          </w:tcPr>
          <w:p>
            <w:pPr>
              <w:pStyle w:val="TableParagraph"/>
              <w:spacing w:line="273" w:lineRule="auto"/>
              <w:ind w:left="162" w:right="266"/>
              <w:rPr>
                <w:sz w:val="21"/>
              </w:rPr>
            </w:pPr>
            <w:r>
              <w:rPr>
                <w:sz w:val="21"/>
              </w:rPr>
              <w:t>指肢体的三大关节中的两大关节僵硬，或不能随意识活动。肢体是指包括肩关节的整个上肢或包括髋关节的整个下肢。</w:t>
            </w:r>
          </w:p>
        </w:tc>
      </w:tr>
      <w:tr>
        <w:trPr>
          <w:trHeight w:val="1560" w:hRule="atLeast"/>
        </w:trPr>
        <w:tc>
          <w:tcPr>
            <w:tcW w:w="732" w:type="dxa"/>
          </w:tcPr>
          <w:p>
            <w:pPr>
              <w:pStyle w:val="TableParagraph"/>
              <w:ind w:left="0" w:right="107"/>
              <w:jc w:val="right"/>
              <w:rPr>
                <w:b/>
                <w:sz w:val="21"/>
              </w:rPr>
            </w:pPr>
            <w:r>
              <w:rPr>
                <w:b/>
                <w:w w:val="95"/>
                <w:sz w:val="21"/>
              </w:rPr>
              <w:t>6.20</w:t>
            </w:r>
          </w:p>
        </w:tc>
        <w:tc>
          <w:tcPr>
            <w:tcW w:w="1963" w:type="dxa"/>
          </w:tcPr>
          <w:p>
            <w:pPr>
              <w:pStyle w:val="TableParagraph"/>
              <w:spacing w:line="273" w:lineRule="auto"/>
              <w:ind w:left="108" w:right="162"/>
              <w:rPr>
                <w:b/>
                <w:sz w:val="21"/>
              </w:rPr>
            </w:pPr>
            <w:r>
              <w:rPr>
                <w:b/>
                <w:sz w:val="21"/>
              </w:rPr>
              <w:t>语言能力或咀嚼吞咽能力完全丧失</w:t>
            </w:r>
          </w:p>
        </w:tc>
        <w:tc>
          <w:tcPr>
            <w:tcW w:w="7570" w:type="dxa"/>
          </w:tcPr>
          <w:p>
            <w:pPr>
              <w:pStyle w:val="TableParagraph"/>
              <w:spacing w:line="273" w:lineRule="auto"/>
              <w:ind w:left="162" w:right="199"/>
              <w:rPr>
                <w:sz w:val="21"/>
              </w:rPr>
            </w:pPr>
            <w:r>
              <w:rPr>
                <w:spacing w:val="-6"/>
                <w:sz w:val="21"/>
              </w:rPr>
              <w:t>语言能力完全丧失，指无法发出四种语音</w:t>
            </w:r>
            <w:r>
              <w:rPr>
                <w:sz w:val="21"/>
              </w:rPr>
              <w:t>（</w:t>
            </w:r>
            <w:r>
              <w:rPr>
                <w:spacing w:val="-6"/>
                <w:sz w:val="21"/>
              </w:rPr>
              <w:t>包括口唇音、齿舌音、口盖音和喉头音</w:t>
            </w:r>
            <w:r>
              <w:rPr>
                <w:spacing w:val="-53"/>
                <w:sz w:val="21"/>
              </w:rPr>
              <w:t>）</w:t>
            </w:r>
            <w:r>
              <w:rPr>
                <w:spacing w:val="-12"/>
                <w:sz w:val="21"/>
              </w:rPr>
              <w:t>中的任何三种、或声带全部切除，或因大脑语言中枢受伤害而患失语症。</w:t>
            </w:r>
            <w:r>
              <w:rPr>
                <w:spacing w:val="-9"/>
                <w:sz w:val="21"/>
              </w:rPr>
              <w:t>咀嚼吞咽能力完全丧失，指因牙齿以外的原因导致器质障碍或机能障碍，以致</w:t>
            </w:r>
            <w:r>
              <w:rPr>
                <w:spacing w:val="-5"/>
                <w:sz w:val="21"/>
              </w:rPr>
              <w:t>不能作咀嚼吞咽运动，除流质食物外不能摄取或吞咽的状态。</w:t>
            </w:r>
          </w:p>
        </w:tc>
      </w:tr>
      <w:tr>
        <w:trPr>
          <w:trHeight w:val="2496" w:hRule="atLeast"/>
        </w:trPr>
        <w:tc>
          <w:tcPr>
            <w:tcW w:w="732" w:type="dxa"/>
          </w:tcPr>
          <w:p>
            <w:pPr>
              <w:pStyle w:val="TableParagraph"/>
              <w:ind w:left="0" w:right="107"/>
              <w:jc w:val="right"/>
              <w:rPr>
                <w:b/>
                <w:sz w:val="21"/>
              </w:rPr>
            </w:pPr>
            <w:r>
              <w:rPr>
                <w:b/>
                <w:w w:val="95"/>
                <w:sz w:val="21"/>
              </w:rPr>
              <w:t>6.21</w:t>
            </w:r>
          </w:p>
        </w:tc>
        <w:tc>
          <w:tcPr>
            <w:tcW w:w="1963" w:type="dxa"/>
          </w:tcPr>
          <w:p>
            <w:pPr>
              <w:pStyle w:val="TableParagraph"/>
              <w:spacing w:line="273" w:lineRule="auto"/>
              <w:ind w:left="108" w:right="162"/>
              <w:rPr>
                <w:b/>
                <w:sz w:val="21"/>
              </w:rPr>
            </w:pPr>
            <w:r>
              <w:rPr>
                <w:b/>
                <w:sz w:val="21"/>
              </w:rPr>
              <w:t>六项基本日常生活活动</w:t>
            </w:r>
          </w:p>
        </w:tc>
        <w:tc>
          <w:tcPr>
            <w:tcW w:w="7570" w:type="dxa"/>
          </w:tcPr>
          <w:p>
            <w:pPr>
              <w:pStyle w:val="TableParagraph"/>
              <w:ind w:left="162"/>
              <w:rPr>
                <w:sz w:val="21"/>
              </w:rPr>
            </w:pPr>
            <w:r>
              <w:rPr>
                <w:sz w:val="21"/>
              </w:rPr>
              <w:t>六项基本日常生活活动是指：</w:t>
            </w:r>
          </w:p>
          <w:p>
            <w:pPr>
              <w:pStyle w:val="TableParagraph"/>
              <w:spacing w:before="37"/>
              <w:ind w:left="162"/>
              <w:rPr>
                <w:sz w:val="21"/>
              </w:rPr>
            </w:pPr>
            <w:r>
              <w:rPr>
                <w:sz w:val="21"/>
              </w:rPr>
              <w:t>（1）穿衣：自己能够穿衣及脱衣；</w:t>
            </w:r>
          </w:p>
          <w:p>
            <w:pPr>
              <w:pStyle w:val="TableParagraph"/>
              <w:spacing w:before="37"/>
              <w:ind w:left="162"/>
              <w:rPr>
                <w:sz w:val="21"/>
              </w:rPr>
            </w:pPr>
            <w:r>
              <w:rPr>
                <w:sz w:val="21"/>
              </w:rPr>
              <w:t>（2）移动：自己从一个房间到另一个房间；</w:t>
            </w:r>
          </w:p>
          <w:p>
            <w:pPr>
              <w:pStyle w:val="TableParagraph"/>
              <w:spacing w:before="36"/>
              <w:ind w:left="162"/>
              <w:rPr>
                <w:sz w:val="21"/>
              </w:rPr>
            </w:pPr>
            <w:r>
              <w:rPr>
                <w:sz w:val="21"/>
              </w:rPr>
              <w:t>（3）行动：自己上下床或上下轮椅；</w:t>
            </w:r>
          </w:p>
          <w:p>
            <w:pPr>
              <w:pStyle w:val="TableParagraph"/>
              <w:spacing w:before="36"/>
              <w:ind w:left="162"/>
              <w:rPr>
                <w:sz w:val="21"/>
              </w:rPr>
            </w:pPr>
            <w:r>
              <w:rPr>
                <w:sz w:val="21"/>
              </w:rPr>
              <w:t>（4）如厕：自己控制进行大小便；</w:t>
            </w:r>
          </w:p>
          <w:p>
            <w:pPr>
              <w:pStyle w:val="TableParagraph"/>
              <w:spacing w:before="36"/>
              <w:ind w:left="162"/>
              <w:rPr>
                <w:sz w:val="21"/>
              </w:rPr>
            </w:pPr>
            <w:r>
              <w:rPr>
                <w:sz w:val="21"/>
              </w:rPr>
              <w:t>（5）进食：自己从已准备好的碗或碟中取食物放入口中；</w:t>
            </w:r>
          </w:p>
          <w:p>
            <w:pPr>
              <w:pStyle w:val="TableParagraph"/>
              <w:spacing w:before="36"/>
              <w:ind w:left="162"/>
              <w:rPr>
                <w:sz w:val="21"/>
              </w:rPr>
            </w:pPr>
            <w:r>
              <w:rPr>
                <w:sz w:val="21"/>
              </w:rPr>
              <w:t>（6）洗澡：自己进行淋浴或盆浴。</w:t>
            </w:r>
          </w:p>
        </w:tc>
      </w:tr>
      <w:tr>
        <w:trPr>
          <w:trHeight w:val="729" w:hRule="atLeast"/>
        </w:trPr>
        <w:tc>
          <w:tcPr>
            <w:tcW w:w="732" w:type="dxa"/>
          </w:tcPr>
          <w:p>
            <w:pPr>
              <w:pStyle w:val="TableParagraph"/>
              <w:ind w:left="0" w:right="107"/>
              <w:jc w:val="right"/>
              <w:rPr>
                <w:b/>
                <w:sz w:val="21"/>
              </w:rPr>
            </w:pPr>
            <w:r>
              <w:rPr>
                <w:b/>
                <w:w w:val="95"/>
                <w:sz w:val="21"/>
              </w:rPr>
              <w:t>6.22</w:t>
            </w:r>
          </w:p>
        </w:tc>
        <w:tc>
          <w:tcPr>
            <w:tcW w:w="1963" w:type="dxa"/>
          </w:tcPr>
          <w:p>
            <w:pPr>
              <w:pStyle w:val="TableParagraph"/>
              <w:ind w:left="108"/>
              <w:rPr>
                <w:b/>
                <w:sz w:val="21"/>
              </w:rPr>
            </w:pPr>
            <w:r>
              <w:rPr>
                <w:b/>
                <w:sz w:val="21"/>
              </w:rPr>
              <w:t>永久不可逆</w:t>
            </w:r>
          </w:p>
        </w:tc>
        <w:tc>
          <w:tcPr>
            <w:tcW w:w="7570" w:type="dxa"/>
          </w:tcPr>
          <w:p>
            <w:pPr>
              <w:pStyle w:val="TableParagraph"/>
              <w:spacing w:line="310" w:lineRule="atLeast" w:before="98"/>
              <w:ind w:left="162" w:right="307"/>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bl>
    <w:sectPr>
      <w:pgSz w:w="11910" w:h="16840"/>
      <w:pgMar w:header="0" w:footer="912" w:top="1460" w:bottom="1100" w:left="10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96.850006pt;margin-top:781.299988pt;width:13.15pt;height:12pt;mso-position-horizontal-relative:page;mso-position-vertical-relative:page;z-index:-36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90" w:hanging="317"/>
        <w:jc w:val="left"/>
      </w:pPr>
      <w:rPr>
        <w:rFonts w:hint="default" w:ascii="宋体" w:hAnsi="宋体" w:eastAsia="宋体" w:cs="宋体"/>
        <w:w w:val="100"/>
        <w:sz w:val="21"/>
        <w:szCs w:val="21"/>
      </w:rPr>
    </w:lvl>
    <w:lvl w:ilvl="1">
      <w:start w:val="0"/>
      <w:numFmt w:val="bullet"/>
      <w:lvlText w:val="•"/>
      <w:lvlJc w:val="left"/>
      <w:pPr>
        <w:ind w:left="1193" w:hanging="317"/>
      </w:pPr>
      <w:rPr>
        <w:rFonts w:hint="default"/>
      </w:rPr>
    </w:lvl>
    <w:lvl w:ilvl="2">
      <w:start w:val="0"/>
      <w:numFmt w:val="bullet"/>
      <w:lvlText w:val="•"/>
      <w:lvlJc w:val="left"/>
      <w:pPr>
        <w:ind w:left="1887" w:hanging="317"/>
      </w:pPr>
      <w:rPr>
        <w:rFonts w:hint="default"/>
      </w:rPr>
    </w:lvl>
    <w:lvl w:ilvl="3">
      <w:start w:val="0"/>
      <w:numFmt w:val="bullet"/>
      <w:lvlText w:val="•"/>
      <w:lvlJc w:val="left"/>
      <w:pPr>
        <w:ind w:left="2581" w:hanging="317"/>
      </w:pPr>
      <w:rPr>
        <w:rFonts w:hint="default"/>
      </w:rPr>
    </w:lvl>
    <w:lvl w:ilvl="4">
      <w:start w:val="0"/>
      <w:numFmt w:val="bullet"/>
      <w:lvlText w:val="•"/>
      <w:lvlJc w:val="left"/>
      <w:pPr>
        <w:ind w:left="3275" w:hanging="317"/>
      </w:pPr>
      <w:rPr>
        <w:rFonts w:hint="default"/>
      </w:rPr>
    </w:lvl>
    <w:lvl w:ilvl="5">
      <w:start w:val="0"/>
      <w:numFmt w:val="bullet"/>
      <w:lvlText w:val="•"/>
      <w:lvlJc w:val="left"/>
      <w:pPr>
        <w:ind w:left="3969" w:hanging="317"/>
      </w:pPr>
      <w:rPr>
        <w:rFonts w:hint="default"/>
      </w:rPr>
    </w:lvl>
    <w:lvl w:ilvl="6">
      <w:start w:val="0"/>
      <w:numFmt w:val="bullet"/>
      <w:lvlText w:val="•"/>
      <w:lvlJc w:val="left"/>
      <w:pPr>
        <w:ind w:left="4663" w:hanging="317"/>
      </w:pPr>
      <w:rPr>
        <w:rFonts w:hint="default"/>
      </w:rPr>
    </w:lvl>
    <w:lvl w:ilvl="7">
      <w:start w:val="0"/>
      <w:numFmt w:val="bullet"/>
      <w:lvlText w:val="•"/>
      <w:lvlJc w:val="left"/>
      <w:pPr>
        <w:ind w:left="5357" w:hanging="317"/>
      </w:pPr>
      <w:rPr>
        <w:rFonts w:hint="default"/>
      </w:rPr>
    </w:lvl>
    <w:lvl w:ilvl="8">
      <w:start w:val="0"/>
      <w:numFmt w:val="bullet"/>
      <w:lvlText w:val="•"/>
      <w:lvlJc w:val="left"/>
      <w:pPr>
        <w:ind w:left="6051" w:hanging="317"/>
      </w:pPr>
      <w:rPr>
        <w:rFonts w:hint="default"/>
      </w:rPr>
    </w:lvl>
  </w:abstractNum>
  <w:abstractNum w:abstractNumId="5">
    <w:multiLevelType w:val="hybridMultilevel"/>
    <w:lvl w:ilvl="0">
      <w:start w:val="7"/>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9" w:hanging="720"/>
      </w:pPr>
      <w:rPr>
        <w:rFonts w:hint="default"/>
      </w:rPr>
    </w:lvl>
    <w:lvl w:ilvl="2">
      <w:start w:val="0"/>
      <w:numFmt w:val="bullet"/>
      <w:lvlText w:val="•"/>
      <w:lvlJc w:val="left"/>
      <w:pPr>
        <w:ind w:left="2038" w:hanging="720"/>
      </w:pPr>
      <w:rPr>
        <w:rFonts w:hint="default"/>
      </w:rPr>
    </w:lvl>
    <w:lvl w:ilvl="3">
      <w:start w:val="0"/>
      <w:numFmt w:val="bullet"/>
      <w:lvlText w:val="•"/>
      <w:lvlJc w:val="left"/>
      <w:pPr>
        <w:ind w:left="2637" w:hanging="720"/>
      </w:pPr>
      <w:rPr>
        <w:rFonts w:hint="default"/>
      </w:rPr>
    </w:lvl>
    <w:lvl w:ilvl="4">
      <w:start w:val="0"/>
      <w:numFmt w:val="bullet"/>
      <w:lvlText w:val="•"/>
      <w:lvlJc w:val="left"/>
      <w:pPr>
        <w:ind w:left="3236" w:hanging="720"/>
      </w:pPr>
      <w:rPr>
        <w:rFonts w:hint="default"/>
      </w:rPr>
    </w:lvl>
    <w:lvl w:ilvl="5">
      <w:start w:val="0"/>
      <w:numFmt w:val="bullet"/>
      <w:lvlText w:val="•"/>
      <w:lvlJc w:val="left"/>
      <w:pPr>
        <w:ind w:left="3836" w:hanging="720"/>
      </w:pPr>
      <w:rPr>
        <w:rFonts w:hint="default"/>
      </w:rPr>
    </w:lvl>
    <w:lvl w:ilvl="6">
      <w:start w:val="0"/>
      <w:numFmt w:val="bullet"/>
      <w:lvlText w:val="•"/>
      <w:lvlJc w:val="left"/>
      <w:pPr>
        <w:ind w:left="4435" w:hanging="720"/>
      </w:pPr>
      <w:rPr>
        <w:rFonts w:hint="default"/>
      </w:rPr>
    </w:lvl>
    <w:lvl w:ilvl="7">
      <w:start w:val="0"/>
      <w:numFmt w:val="bullet"/>
      <w:lvlText w:val="•"/>
      <w:lvlJc w:val="left"/>
      <w:pPr>
        <w:ind w:left="5034" w:hanging="720"/>
      </w:pPr>
      <w:rPr>
        <w:rFonts w:hint="default"/>
      </w:rPr>
    </w:lvl>
    <w:lvl w:ilvl="8">
      <w:start w:val="0"/>
      <w:numFmt w:val="bullet"/>
      <w:lvlText w:val="•"/>
      <w:lvlJc w:val="left"/>
      <w:pPr>
        <w:ind w:left="5633" w:hanging="720"/>
      </w:pPr>
      <w:rPr>
        <w:rFonts w:hint="default"/>
      </w:rPr>
    </w:lvl>
  </w:abstractNum>
  <w:abstractNum w:abstractNumId="4">
    <w:multiLevelType w:val="hybridMultilevel"/>
    <w:lvl w:ilvl="0">
      <w:start w:val="1"/>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9" w:hanging="720"/>
      </w:pPr>
      <w:rPr>
        <w:rFonts w:hint="default"/>
      </w:rPr>
    </w:lvl>
    <w:lvl w:ilvl="2">
      <w:start w:val="0"/>
      <w:numFmt w:val="bullet"/>
      <w:lvlText w:val="•"/>
      <w:lvlJc w:val="left"/>
      <w:pPr>
        <w:ind w:left="2038" w:hanging="720"/>
      </w:pPr>
      <w:rPr>
        <w:rFonts w:hint="default"/>
      </w:rPr>
    </w:lvl>
    <w:lvl w:ilvl="3">
      <w:start w:val="0"/>
      <w:numFmt w:val="bullet"/>
      <w:lvlText w:val="•"/>
      <w:lvlJc w:val="left"/>
      <w:pPr>
        <w:ind w:left="2637" w:hanging="720"/>
      </w:pPr>
      <w:rPr>
        <w:rFonts w:hint="default"/>
      </w:rPr>
    </w:lvl>
    <w:lvl w:ilvl="4">
      <w:start w:val="0"/>
      <w:numFmt w:val="bullet"/>
      <w:lvlText w:val="•"/>
      <w:lvlJc w:val="left"/>
      <w:pPr>
        <w:ind w:left="3236" w:hanging="720"/>
      </w:pPr>
      <w:rPr>
        <w:rFonts w:hint="default"/>
      </w:rPr>
    </w:lvl>
    <w:lvl w:ilvl="5">
      <w:start w:val="0"/>
      <w:numFmt w:val="bullet"/>
      <w:lvlText w:val="•"/>
      <w:lvlJc w:val="left"/>
      <w:pPr>
        <w:ind w:left="3836" w:hanging="720"/>
      </w:pPr>
      <w:rPr>
        <w:rFonts w:hint="default"/>
      </w:rPr>
    </w:lvl>
    <w:lvl w:ilvl="6">
      <w:start w:val="0"/>
      <w:numFmt w:val="bullet"/>
      <w:lvlText w:val="•"/>
      <w:lvlJc w:val="left"/>
      <w:pPr>
        <w:ind w:left="4435" w:hanging="720"/>
      </w:pPr>
      <w:rPr>
        <w:rFonts w:hint="default"/>
      </w:rPr>
    </w:lvl>
    <w:lvl w:ilvl="7">
      <w:start w:val="0"/>
      <w:numFmt w:val="bullet"/>
      <w:lvlText w:val="•"/>
      <w:lvlJc w:val="left"/>
      <w:pPr>
        <w:ind w:left="5034" w:hanging="720"/>
      </w:pPr>
      <w:rPr>
        <w:rFonts w:hint="default"/>
      </w:rPr>
    </w:lvl>
    <w:lvl w:ilvl="8">
      <w:start w:val="0"/>
      <w:numFmt w:val="bullet"/>
      <w:lvlText w:val="•"/>
      <w:lvlJc w:val="left"/>
      <w:pPr>
        <w:ind w:left="5633" w:hanging="720"/>
      </w:pPr>
      <w:rPr>
        <w:rFonts w:hint="default"/>
      </w:rPr>
    </w:lvl>
  </w:abstractNum>
  <w:abstractNum w:abstractNumId="3">
    <w:multiLevelType w:val="hybridMultilevel"/>
    <w:lvl w:ilvl="0">
      <w:start w:val="6"/>
      <w:numFmt w:val="decimal"/>
      <w:lvlText w:val="%1"/>
      <w:lvlJc w:val="left"/>
      <w:pPr>
        <w:ind w:left="620" w:hanging="423"/>
        <w:jc w:val="left"/>
      </w:pPr>
      <w:rPr>
        <w:rFonts w:hint="default"/>
      </w:rPr>
    </w:lvl>
    <w:lvl w:ilvl="1">
      <w:start w:val="7"/>
      <w:numFmt w:val="decimal"/>
      <w:lvlText w:val="%1.%2"/>
      <w:lvlJc w:val="left"/>
      <w:pPr>
        <w:ind w:left="685" w:hanging="423"/>
        <w:jc w:val="left"/>
      </w:pPr>
      <w:rPr>
        <w:rFonts w:hint="default" w:ascii="宋体" w:hAnsi="宋体" w:eastAsia="宋体" w:cs="宋体"/>
        <w:w w:val="100"/>
        <w:sz w:val="21"/>
        <w:szCs w:val="21"/>
      </w:rPr>
    </w:lvl>
    <w:lvl w:ilvl="2">
      <w:start w:val="0"/>
      <w:numFmt w:val="bullet"/>
      <w:lvlText w:val="•"/>
      <w:lvlJc w:val="left"/>
      <w:pPr>
        <w:ind w:left="990" w:hanging="423"/>
      </w:pPr>
      <w:rPr>
        <w:rFonts w:hint="default"/>
      </w:rPr>
    </w:lvl>
    <w:lvl w:ilvl="3">
      <w:start w:val="0"/>
      <w:numFmt w:val="bullet"/>
      <w:lvlText w:val="•"/>
      <w:lvlJc w:val="left"/>
      <w:pPr>
        <w:ind w:left="1301" w:hanging="423"/>
      </w:pPr>
      <w:rPr>
        <w:rFonts w:hint="default"/>
      </w:rPr>
    </w:lvl>
    <w:lvl w:ilvl="4">
      <w:start w:val="0"/>
      <w:numFmt w:val="bullet"/>
      <w:lvlText w:val="•"/>
      <w:lvlJc w:val="left"/>
      <w:pPr>
        <w:ind w:left="1612" w:hanging="423"/>
      </w:pPr>
      <w:rPr>
        <w:rFonts w:hint="default"/>
      </w:rPr>
    </w:lvl>
    <w:lvl w:ilvl="5">
      <w:start w:val="0"/>
      <w:numFmt w:val="bullet"/>
      <w:lvlText w:val="•"/>
      <w:lvlJc w:val="left"/>
      <w:pPr>
        <w:ind w:left="1923" w:hanging="423"/>
      </w:pPr>
      <w:rPr>
        <w:rFonts w:hint="default"/>
      </w:rPr>
    </w:lvl>
    <w:lvl w:ilvl="6">
      <w:start w:val="0"/>
      <w:numFmt w:val="bullet"/>
      <w:lvlText w:val="•"/>
      <w:lvlJc w:val="left"/>
      <w:pPr>
        <w:ind w:left="2234" w:hanging="423"/>
      </w:pPr>
      <w:rPr>
        <w:rFonts w:hint="default"/>
      </w:rPr>
    </w:lvl>
    <w:lvl w:ilvl="7">
      <w:start w:val="0"/>
      <w:numFmt w:val="bullet"/>
      <w:lvlText w:val="•"/>
      <w:lvlJc w:val="left"/>
      <w:pPr>
        <w:ind w:left="2545" w:hanging="423"/>
      </w:pPr>
      <w:rPr>
        <w:rFonts w:hint="default"/>
      </w:rPr>
    </w:lvl>
    <w:lvl w:ilvl="8">
      <w:start w:val="0"/>
      <w:numFmt w:val="bullet"/>
      <w:lvlText w:val="•"/>
      <w:lvlJc w:val="left"/>
      <w:pPr>
        <w:ind w:left="2856" w:hanging="423"/>
      </w:pPr>
      <w:rPr>
        <w:rFonts w:hint="default"/>
      </w:rPr>
    </w:lvl>
  </w:abstractNum>
  <w:abstractNum w:abstractNumId="2">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6"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92" w:hanging="423"/>
      </w:pPr>
      <w:rPr>
        <w:rFonts w:hint="default"/>
      </w:rPr>
    </w:lvl>
    <w:lvl w:ilvl="6">
      <w:start w:val="0"/>
      <w:numFmt w:val="bullet"/>
      <w:lvlText w:val="•"/>
      <w:lvlJc w:val="left"/>
      <w:pPr>
        <w:ind w:left="2196" w:hanging="423"/>
      </w:pPr>
      <w:rPr>
        <w:rFonts w:hint="default"/>
      </w:rPr>
    </w:lvl>
    <w:lvl w:ilvl="7">
      <w:start w:val="0"/>
      <w:numFmt w:val="bullet"/>
      <w:lvlText w:val="•"/>
      <w:lvlJc w:val="left"/>
      <w:pPr>
        <w:ind w:left="2499" w:hanging="423"/>
      </w:pPr>
      <w:rPr>
        <w:rFonts w:hint="default"/>
      </w:rPr>
    </w:lvl>
    <w:lvl w:ilvl="8">
      <w:start w:val="0"/>
      <w:numFmt w:val="bullet"/>
      <w:lvlText w:val="•"/>
      <w:lvlJc w:val="left"/>
      <w:pPr>
        <w:ind w:left="2802"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4" w:hanging="423"/>
      </w:pPr>
      <w:rPr>
        <w:rFonts w:hint="default"/>
      </w:rPr>
    </w:lvl>
    <w:lvl w:ilvl="3">
      <w:start w:val="0"/>
      <w:numFmt w:val="bullet"/>
      <w:lvlText w:val="•"/>
      <w:lvlJc w:val="left"/>
      <w:pPr>
        <w:ind w:left="1269" w:hanging="423"/>
      </w:pPr>
      <w:rPr>
        <w:rFonts w:hint="default"/>
      </w:rPr>
    </w:lvl>
    <w:lvl w:ilvl="4">
      <w:start w:val="0"/>
      <w:numFmt w:val="bullet"/>
      <w:lvlText w:val="•"/>
      <w:lvlJc w:val="left"/>
      <w:pPr>
        <w:ind w:left="1544" w:hanging="423"/>
      </w:pPr>
      <w:rPr>
        <w:rFonts w:hint="default"/>
      </w:rPr>
    </w:lvl>
    <w:lvl w:ilvl="5">
      <w:start w:val="0"/>
      <w:numFmt w:val="bullet"/>
      <w:lvlText w:val="•"/>
      <w:lvlJc w:val="left"/>
      <w:pPr>
        <w:ind w:left="1819" w:hanging="423"/>
      </w:pPr>
      <w:rPr>
        <w:rFonts w:hint="default"/>
      </w:rPr>
    </w:lvl>
    <w:lvl w:ilvl="6">
      <w:start w:val="0"/>
      <w:numFmt w:val="bullet"/>
      <w:lvlText w:val="•"/>
      <w:lvlJc w:val="left"/>
      <w:pPr>
        <w:ind w:left="2094" w:hanging="423"/>
      </w:pPr>
      <w:rPr>
        <w:rFonts w:hint="default"/>
      </w:rPr>
    </w:lvl>
    <w:lvl w:ilvl="7">
      <w:start w:val="0"/>
      <w:numFmt w:val="bullet"/>
      <w:lvlText w:val="•"/>
      <w:lvlJc w:val="left"/>
      <w:pPr>
        <w:ind w:left="2369" w:hanging="423"/>
      </w:pPr>
      <w:rPr>
        <w:rFonts w:hint="default"/>
      </w:rPr>
    </w:lvl>
    <w:lvl w:ilvl="8">
      <w:start w:val="0"/>
      <w:numFmt w:val="bullet"/>
      <w:lvlText w:val="•"/>
      <w:lvlJc w:val="left"/>
      <w:pPr>
        <w:ind w:left="2644" w:hanging="423"/>
      </w:pPr>
      <w:rPr>
        <w:rFonts w:hint="default"/>
      </w:rPr>
    </w:lvl>
  </w:abstractNum>
  <w:abstractNum w:abstractNumId="0">
    <w:multiLevelType w:val="hybridMultilevel"/>
    <w:lvl w:ilvl="0">
      <w:start w:val="0"/>
      <w:numFmt w:val="bullet"/>
      <w:lvlText w:val=""/>
      <w:lvlJc w:val="left"/>
      <w:pPr>
        <w:ind w:left="1275" w:hanging="399"/>
      </w:pPr>
      <w:rPr>
        <w:rFonts w:hint="default" w:ascii="Wingdings" w:hAnsi="Wingdings" w:eastAsia="Wingdings" w:cs="Wingdings"/>
        <w:w w:val="100"/>
        <w:sz w:val="21"/>
        <w:szCs w:val="21"/>
      </w:rPr>
    </w:lvl>
    <w:lvl w:ilvl="1">
      <w:start w:val="0"/>
      <w:numFmt w:val="bullet"/>
      <w:lvlText w:val="•"/>
      <w:lvlJc w:val="left"/>
      <w:pPr>
        <w:ind w:left="2236" w:hanging="399"/>
      </w:pPr>
      <w:rPr>
        <w:rFonts w:hint="default"/>
      </w:rPr>
    </w:lvl>
    <w:lvl w:ilvl="2">
      <w:start w:val="0"/>
      <w:numFmt w:val="bullet"/>
      <w:lvlText w:val="•"/>
      <w:lvlJc w:val="left"/>
      <w:pPr>
        <w:ind w:left="3193" w:hanging="399"/>
      </w:pPr>
      <w:rPr>
        <w:rFonts w:hint="default"/>
      </w:rPr>
    </w:lvl>
    <w:lvl w:ilvl="3">
      <w:start w:val="0"/>
      <w:numFmt w:val="bullet"/>
      <w:lvlText w:val="•"/>
      <w:lvlJc w:val="left"/>
      <w:pPr>
        <w:ind w:left="4149" w:hanging="399"/>
      </w:pPr>
      <w:rPr>
        <w:rFonts w:hint="default"/>
      </w:rPr>
    </w:lvl>
    <w:lvl w:ilvl="4">
      <w:start w:val="0"/>
      <w:numFmt w:val="bullet"/>
      <w:lvlText w:val="•"/>
      <w:lvlJc w:val="left"/>
      <w:pPr>
        <w:ind w:left="5106" w:hanging="399"/>
      </w:pPr>
      <w:rPr>
        <w:rFonts w:hint="default"/>
      </w:rPr>
    </w:lvl>
    <w:lvl w:ilvl="5">
      <w:start w:val="0"/>
      <w:numFmt w:val="bullet"/>
      <w:lvlText w:val="•"/>
      <w:lvlJc w:val="left"/>
      <w:pPr>
        <w:ind w:left="6063" w:hanging="399"/>
      </w:pPr>
      <w:rPr>
        <w:rFonts w:hint="default"/>
      </w:rPr>
    </w:lvl>
    <w:lvl w:ilvl="6">
      <w:start w:val="0"/>
      <w:numFmt w:val="bullet"/>
      <w:lvlText w:val="•"/>
      <w:lvlJc w:val="left"/>
      <w:pPr>
        <w:ind w:left="7019" w:hanging="399"/>
      </w:pPr>
      <w:rPr>
        <w:rFonts w:hint="default"/>
      </w:rPr>
    </w:lvl>
    <w:lvl w:ilvl="7">
      <w:start w:val="0"/>
      <w:numFmt w:val="bullet"/>
      <w:lvlText w:val="•"/>
      <w:lvlJc w:val="left"/>
      <w:pPr>
        <w:ind w:left="7976" w:hanging="399"/>
      </w:pPr>
      <w:rPr>
        <w:rFonts w:hint="default"/>
      </w:rPr>
    </w:lvl>
    <w:lvl w:ilvl="8">
      <w:start w:val="0"/>
      <w:numFmt w:val="bullet"/>
      <w:lvlText w:val="•"/>
      <w:lvlJc w:val="left"/>
      <w:pPr>
        <w:ind w:left="8933"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174"/>
    </w:pPr>
    <w:rPr>
      <w:rFonts w:ascii="宋体" w:hAnsi="宋体" w:eastAsia="宋体" w:cs="宋体"/>
      <w:sz w:val="21"/>
      <w:szCs w:val="21"/>
    </w:rPr>
  </w:style>
  <w:style w:styleId="Heading1" w:type="paragraph">
    <w:name w:val="Heading 1"/>
    <w:basedOn w:val="Normal"/>
    <w:uiPriority w:val="1"/>
    <w:qFormat/>
    <w:pPr>
      <w:ind w:left="2409" w:right="547"/>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75" w:hanging="399"/>
    </w:pPr>
    <w:rPr>
      <w:rFonts w:ascii="宋体" w:hAnsi="宋体" w:eastAsia="宋体" w:cs="宋体"/>
    </w:rPr>
  </w:style>
  <w:style w:styleId="TableParagraph" w:type="paragraph">
    <w:name w:val="Table Paragraph"/>
    <w:basedOn w:val="Normal"/>
    <w:uiPriority w:val="1"/>
    <w:qFormat/>
    <w:pPr>
      <w:spacing w:before="134"/>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2-1 合众附加合家康提前给付重大疾病保险条款</dc:title>
  <dcterms:created xsi:type="dcterms:W3CDTF">2018-10-20T03:50:48Z</dcterms:created>
  <dcterms:modified xsi:type="dcterms:W3CDTF">2018-10-20T03:50:48Z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