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4"/>
        <w:ind w:left="0" w:right="99" w:firstLine="0"/>
        <w:jc w:val="right"/>
        <w:rPr>
          <w:rFonts w:ascii="仿宋" w:eastAsia="仿宋" w:hint="eastAsia"/>
          <w:sz w:val="12"/>
        </w:rPr>
      </w:pPr>
      <w:r>
        <w:rPr/>
        <w:drawing>
          <wp:anchor distT="0" distB="0" distL="0" distR="0" allowOverlap="1" layoutInCell="1" locked="0" behindDoc="0" simplePos="0" relativeHeight="0">
            <wp:simplePos x="0" y="0"/>
            <wp:positionH relativeFrom="page">
              <wp:posOffset>6459220</wp:posOffset>
            </wp:positionH>
            <wp:positionV relativeFrom="paragraph">
              <wp:posOffset>185646</wp:posOffset>
            </wp:positionV>
            <wp:extent cx="723265" cy="7232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65" cy="723265"/>
                    </a:xfrm>
                    <a:prstGeom prst="rect">
                      <a:avLst/>
                    </a:prstGeom>
                  </pic:spPr>
                </pic:pic>
              </a:graphicData>
            </a:graphic>
          </wp:anchor>
        </w:drawing>
      </w:r>
      <w:r>
        <w:rPr>
          <w:rFonts w:ascii="仿宋" w:eastAsia="仿宋" w:hint="eastAsia"/>
          <w:sz w:val="12"/>
        </w:rPr>
        <w:t>国联人寿〔2017〕疾病保险 005 号</w:t>
      </w:r>
    </w:p>
    <w:p>
      <w:pPr>
        <w:pStyle w:val="BodyText"/>
        <w:rPr>
          <w:rFonts w:ascii="仿宋"/>
          <w:sz w:val="20"/>
        </w:rPr>
      </w:pPr>
    </w:p>
    <w:p>
      <w:pPr>
        <w:pStyle w:val="BodyText"/>
        <w:rPr>
          <w:rFonts w:ascii="仿宋"/>
          <w:sz w:val="20"/>
        </w:rPr>
      </w:pPr>
    </w:p>
    <w:p>
      <w:pPr>
        <w:pStyle w:val="BodyText"/>
        <w:rPr>
          <w:rFonts w:ascii="仿宋"/>
          <w:sz w:val="20"/>
        </w:rPr>
      </w:pPr>
    </w:p>
    <w:p>
      <w:pPr>
        <w:pStyle w:val="BodyText"/>
        <w:spacing w:before="3"/>
        <w:rPr>
          <w:rFonts w:ascii="仿宋"/>
          <w:sz w:val="14"/>
        </w:rPr>
      </w:pPr>
    </w:p>
    <w:p>
      <w:pPr>
        <w:spacing w:after="0"/>
        <w:rPr>
          <w:rFonts w:ascii="仿宋"/>
          <w:sz w:val="14"/>
        </w:rPr>
        <w:sectPr>
          <w:type w:val="continuous"/>
          <w:pgSz w:w="11910" w:h="16840"/>
          <w:pgMar w:top="140" w:bottom="280" w:left="1020" w:right="160"/>
        </w:sectPr>
      </w:pPr>
    </w:p>
    <w:p>
      <w:pPr>
        <w:pStyle w:val="Heading1"/>
        <w:ind w:left="2046" w:right="7"/>
        <w:jc w:val="center"/>
      </w:pPr>
      <w:r>
        <w:rPr>
          <w:w w:val="95"/>
        </w:rPr>
        <w:t>国联人寿保险股份有限公司</w:t>
      </w:r>
    </w:p>
    <w:p>
      <w:pPr>
        <w:spacing w:line="390" w:lineRule="exact" w:before="0"/>
        <w:ind w:left="2047" w:right="7" w:firstLine="0"/>
        <w:jc w:val="center"/>
        <w:rPr>
          <w:rFonts w:ascii="黑体" w:eastAsia="黑体" w:hint="eastAsia"/>
          <w:b/>
          <w:sz w:val="32"/>
        </w:rPr>
      </w:pPr>
      <w:r>
        <w:rPr>
          <w:rFonts w:ascii="黑体" w:eastAsia="黑体" w:hint="eastAsia"/>
          <w:b/>
          <w:w w:val="95"/>
          <w:sz w:val="32"/>
        </w:rPr>
        <w:t>附加康健人Th提前给付重大疾病保险条款</w:t>
      </w:r>
    </w:p>
    <w:p>
      <w:pPr>
        <w:spacing w:before="101"/>
        <w:ind w:left="2047" w:right="7" w:firstLine="0"/>
        <w:jc w:val="center"/>
        <w:rPr>
          <w:rFonts w:ascii="黑体" w:eastAsia="黑体" w:hint="eastAsia"/>
          <w:b/>
          <w:sz w:val="28"/>
        </w:rPr>
      </w:pPr>
      <w:r>
        <w:rPr>
          <w:rFonts w:ascii="黑体" w:eastAsia="黑体" w:hint="eastAsia"/>
          <w:b/>
          <w:sz w:val="28"/>
        </w:rPr>
        <w:t>阅 读 指 引</w:t>
      </w:r>
    </w:p>
    <w:p>
      <w:pPr>
        <w:spacing w:before="9"/>
        <w:ind w:left="2047" w:right="7" w:firstLine="0"/>
        <w:jc w:val="center"/>
        <w:rPr>
          <w:sz w:val="18"/>
        </w:rPr>
      </w:pPr>
      <w:r>
        <w:rPr>
          <w:spacing w:val="-128"/>
          <w:sz w:val="18"/>
        </w:rPr>
        <w:t>本</w:t>
      </w:r>
      <w:r>
        <w:rPr>
          <w:rFonts w:ascii="宋体" w:eastAsia="宋体" w:hint="eastAsia"/>
          <w:spacing w:val="-53"/>
          <w:position w:val="-6"/>
          <w:sz w:val="18"/>
        </w:rPr>
        <w:t>．</w:t>
      </w:r>
      <w:r>
        <w:rPr>
          <w:spacing w:val="-128"/>
          <w:sz w:val="18"/>
        </w:rPr>
        <w:t>阅</w:t>
      </w:r>
      <w:r>
        <w:rPr>
          <w:rFonts w:ascii="宋体" w:eastAsia="宋体" w:hint="eastAsia"/>
          <w:spacing w:val="-53"/>
          <w:position w:val="-6"/>
          <w:sz w:val="18"/>
        </w:rPr>
        <w:t>．</w:t>
      </w:r>
      <w:r>
        <w:rPr>
          <w:spacing w:val="-128"/>
          <w:sz w:val="18"/>
        </w:rPr>
        <w:t>读</w:t>
      </w:r>
      <w:r>
        <w:rPr>
          <w:rFonts w:ascii="宋体" w:eastAsia="宋体" w:hint="eastAsia"/>
          <w:spacing w:val="-53"/>
          <w:position w:val="-6"/>
          <w:sz w:val="18"/>
        </w:rPr>
        <w:t>．</w:t>
      </w:r>
      <w:r>
        <w:rPr>
          <w:spacing w:val="-128"/>
          <w:sz w:val="18"/>
        </w:rPr>
        <w:t>指</w:t>
      </w:r>
      <w:r>
        <w:rPr>
          <w:rFonts w:ascii="宋体" w:eastAsia="宋体" w:hint="eastAsia"/>
          <w:spacing w:val="-53"/>
          <w:position w:val="-6"/>
          <w:sz w:val="18"/>
        </w:rPr>
        <w:t>．</w:t>
      </w:r>
      <w:r>
        <w:rPr>
          <w:spacing w:val="-127"/>
          <w:sz w:val="18"/>
        </w:rPr>
        <w:t>引</w:t>
      </w:r>
      <w:r>
        <w:rPr>
          <w:rFonts w:ascii="宋体" w:eastAsia="宋体" w:hint="eastAsia"/>
          <w:spacing w:val="-54"/>
          <w:position w:val="-6"/>
          <w:sz w:val="18"/>
        </w:rPr>
        <w:t>．</w:t>
      </w:r>
      <w:r>
        <w:rPr>
          <w:spacing w:val="-127"/>
          <w:sz w:val="18"/>
        </w:rPr>
        <w:t>有</w:t>
      </w:r>
      <w:r>
        <w:rPr>
          <w:rFonts w:ascii="宋体" w:eastAsia="宋体" w:hint="eastAsia"/>
          <w:spacing w:val="-54"/>
          <w:position w:val="-6"/>
          <w:sz w:val="18"/>
        </w:rPr>
        <w:t>．</w:t>
      </w:r>
      <w:r>
        <w:rPr>
          <w:spacing w:val="-127"/>
          <w:sz w:val="18"/>
        </w:rPr>
        <w:t>助</w:t>
      </w:r>
      <w:r>
        <w:rPr>
          <w:rFonts w:ascii="宋体" w:eastAsia="宋体" w:hint="eastAsia"/>
          <w:spacing w:val="-54"/>
          <w:position w:val="-6"/>
          <w:sz w:val="18"/>
        </w:rPr>
        <w:t>．</w:t>
      </w:r>
      <w:r>
        <w:rPr>
          <w:spacing w:val="-127"/>
          <w:sz w:val="18"/>
        </w:rPr>
        <w:t>于</w:t>
      </w:r>
      <w:r>
        <w:rPr>
          <w:rFonts w:ascii="宋体" w:eastAsia="宋体" w:hint="eastAsia"/>
          <w:spacing w:val="-54"/>
          <w:position w:val="-6"/>
          <w:sz w:val="18"/>
        </w:rPr>
        <w:t>．</w:t>
      </w:r>
      <w:r>
        <w:rPr>
          <w:spacing w:val="-127"/>
          <w:sz w:val="18"/>
        </w:rPr>
        <w:t>您</w:t>
      </w:r>
      <w:r>
        <w:rPr>
          <w:rFonts w:ascii="宋体" w:eastAsia="宋体" w:hint="eastAsia"/>
          <w:spacing w:val="-54"/>
          <w:position w:val="-6"/>
          <w:sz w:val="18"/>
        </w:rPr>
        <w:t>．</w:t>
      </w:r>
      <w:r>
        <w:rPr>
          <w:spacing w:val="-127"/>
          <w:sz w:val="18"/>
        </w:rPr>
        <w:t>理</w:t>
      </w:r>
      <w:r>
        <w:rPr>
          <w:rFonts w:ascii="宋体" w:eastAsia="宋体" w:hint="eastAsia"/>
          <w:spacing w:val="-54"/>
          <w:position w:val="-6"/>
          <w:sz w:val="18"/>
        </w:rPr>
        <w:t>．</w:t>
      </w:r>
      <w:r>
        <w:rPr>
          <w:spacing w:val="-127"/>
          <w:sz w:val="18"/>
        </w:rPr>
        <w:t>解</w:t>
      </w:r>
      <w:r>
        <w:rPr>
          <w:rFonts w:ascii="宋体" w:eastAsia="宋体" w:hint="eastAsia"/>
          <w:spacing w:val="-54"/>
          <w:position w:val="-6"/>
          <w:sz w:val="18"/>
        </w:rPr>
        <w:t>．</w:t>
      </w:r>
      <w:r>
        <w:rPr>
          <w:spacing w:val="-127"/>
          <w:sz w:val="18"/>
        </w:rPr>
        <w:t>条</w:t>
      </w:r>
      <w:r>
        <w:rPr>
          <w:rFonts w:ascii="宋体" w:eastAsia="宋体" w:hint="eastAsia"/>
          <w:spacing w:val="-54"/>
          <w:position w:val="-6"/>
          <w:sz w:val="18"/>
        </w:rPr>
        <w:t>．</w:t>
      </w:r>
      <w:r>
        <w:rPr>
          <w:spacing w:val="-127"/>
          <w:sz w:val="18"/>
        </w:rPr>
        <w:t>款</w:t>
      </w:r>
      <w:r>
        <w:rPr>
          <w:rFonts w:ascii="宋体" w:eastAsia="宋体" w:hint="eastAsia"/>
          <w:spacing w:val="-54"/>
          <w:position w:val="-6"/>
          <w:sz w:val="18"/>
        </w:rPr>
        <w:t>．</w:t>
      </w:r>
      <w:r>
        <w:rPr>
          <w:spacing w:val="-127"/>
          <w:sz w:val="18"/>
        </w:rPr>
        <w:t>，</w:t>
      </w:r>
      <w:r>
        <w:rPr>
          <w:rFonts w:ascii="宋体" w:eastAsia="宋体" w:hint="eastAsia"/>
          <w:spacing w:val="-54"/>
          <w:position w:val="-6"/>
          <w:sz w:val="18"/>
        </w:rPr>
        <w:t>．</w:t>
      </w:r>
      <w:r>
        <w:rPr>
          <w:spacing w:val="-127"/>
          <w:sz w:val="18"/>
        </w:rPr>
        <w:t>对</w:t>
      </w:r>
      <w:r>
        <w:rPr>
          <w:rFonts w:ascii="宋体" w:eastAsia="宋体" w:hint="eastAsia"/>
          <w:spacing w:val="-54"/>
          <w:position w:val="-6"/>
          <w:sz w:val="18"/>
        </w:rPr>
        <w:t>．</w:t>
      </w:r>
      <w:r>
        <w:rPr>
          <w:spacing w:val="-127"/>
          <w:sz w:val="18"/>
        </w:rPr>
        <w:t>本</w:t>
      </w:r>
      <w:r>
        <w:rPr>
          <w:rFonts w:ascii="宋体" w:eastAsia="宋体" w:hint="eastAsia"/>
          <w:spacing w:val="-53"/>
          <w:position w:val="-6"/>
          <w:sz w:val="18"/>
        </w:rPr>
        <w:t>．</w:t>
      </w:r>
      <w:r>
        <w:rPr>
          <w:spacing w:val="-128"/>
          <w:sz w:val="18"/>
        </w:rPr>
        <w:t>附</w:t>
      </w:r>
      <w:r>
        <w:rPr>
          <w:rFonts w:ascii="宋体" w:eastAsia="宋体" w:hint="eastAsia"/>
          <w:spacing w:val="-53"/>
          <w:position w:val="-6"/>
          <w:sz w:val="18"/>
        </w:rPr>
        <w:t>．</w:t>
      </w:r>
      <w:r>
        <w:rPr>
          <w:spacing w:val="-128"/>
          <w:sz w:val="18"/>
        </w:rPr>
        <w:t>加</w:t>
      </w:r>
      <w:r>
        <w:rPr>
          <w:rFonts w:ascii="宋体" w:eastAsia="宋体" w:hint="eastAsia"/>
          <w:spacing w:val="-53"/>
          <w:position w:val="-6"/>
          <w:sz w:val="18"/>
        </w:rPr>
        <w:t>．</w:t>
      </w:r>
      <w:r>
        <w:rPr>
          <w:spacing w:val="-127"/>
          <w:sz w:val="18"/>
        </w:rPr>
        <w:t>险</w:t>
      </w:r>
      <w:r>
        <w:rPr>
          <w:rFonts w:ascii="宋体" w:eastAsia="宋体" w:hint="eastAsia"/>
          <w:spacing w:val="-53"/>
          <w:position w:val="-6"/>
          <w:sz w:val="18"/>
        </w:rPr>
        <w:t>．</w:t>
      </w:r>
      <w:r>
        <w:rPr>
          <w:spacing w:val="-128"/>
          <w:sz w:val="18"/>
        </w:rPr>
        <w:t>合</w:t>
      </w:r>
      <w:r>
        <w:rPr>
          <w:rFonts w:ascii="宋体" w:eastAsia="宋体" w:hint="eastAsia"/>
          <w:spacing w:val="-53"/>
          <w:position w:val="-6"/>
          <w:sz w:val="18"/>
        </w:rPr>
        <w:t>．</w:t>
      </w:r>
      <w:r>
        <w:rPr>
          <w:spacing w:val="-128"/>
          <w:sz w:val="18"/>
        </w:rPr>
        <w:t>同</w:t>
      </w:r>
      <w:r>
        <w:rPr>
          <w:rFonts w:ascii="宋体" w:eastAsia="宋体" w:hint="eastAsia"/>
          <w:spacing w:val="-53"/>
          <w:position w:val="-6"/>
          <w:sz w:val="18"/>
        </w:rPr>
        <w:t>．</w:t>
      </w:r>
      <w:r>
        <w:rPr>
          <w:spacing w:val="-128"/>
          <w:sz w:val="18"/>
        </w:rPr>
        <w:t>内</w:t>
      </w:r>
      <w:r>
        <w:rPr>
          <w:rFonts w:ascii="宋体" w:eastAsia="宋体" w:hint="eastAsia"/>
          <w:spacing w:val="-53"/>
          <w:position w:val="-6"/>
          <w:sz w:val="18"/>
        </w:rPr>
        <w:t>．</w:t>
      </w:r>
      <w:r>
        <w:rPr>
          <w:spacing w:val="-128"/>
          <w:sz w:val="18"/>
        </w:rPr>
        <w:t>容</w:t>
      </w:r>
      <w:r>
        <w:rPr>
          <w:rFonts w:ascii="宋体" w:eastAsia="宋体" w:hint="eastAsia"/>
          <w:spacing w:val="-53"/>
          <w:position w:val="-6"/>
          <w:sz w:val="18"/>
        </w:rPr>
        <w:t>．</w:t>
      </w:r>
      <w:r>
        <w:rPr>
          <w:spacing w:val="-128"/>
          <w:sz w:val="18"/>
        </w:rPr>
        <w:t>的</w:t>
      </w:r>
      <w:r>
        <w:rPr>
          <w:rFonts w:ascii="宋体" w:eastAsia="宋体" w:hint="eastAsia"/>
          <w:spacing w:val="-53"/>
          <w:position w:val="-6"/>
          <w:sz w:val="18"/>
        </w:rPr>
        <w:t>．</w:t>
      </w:r>
      <w:r>
        <w:rPr>
          <w:spacing w:val="-128"/>
          <w:sz w:val="18"/>
        </w:rPr>
        <w:t>解</w:t>
      </w:r>
      <w:r>
        <w:rPr>
          <w:rFonts w:ascii="宋体" w:eastAsia="宋体" w:hint="eastAsia"/>
          <w:spacing w:val="-53"/>
          <w:position w:val="-6"/>
          <w:sz w:val="18"/>
        </w:rPr>
        <w:t>．</w:t>
      </w:r>
      <w:r>
        <w:rPr>
          <w:spacing w:val="-128"/>
          <w:sz w:val="18"/>
        </w:rPr>
        <w:t>释</w:t>
      </w:r>
      <w:r>
        <w:rPr>
          <w:rFonts w:ascii="宋体" w:eastAsia="宋体" w:hint="eastAsia"/>
          <w:spacing w:val="-53"/>
          <w:position w:val="-6"/>
          <w:sz w:val="18"/>
        </w:rPr>
        <w:t>．</w:t>
      </w:r>
      <w:r>
        <w:rPr>
          <w:spacing w:val="-128"/>
          <w:sz w:val="18"/>
        </w:rPr>
        <w:t>以</w:t>
      </w:r>
      <w:r>
        <w:rPr>
          <w:rFonts w:ascii="宋体" w:eastAsia="宋体" w:hint="eastAsia"/>
          <w:spacing w:val="-53"/>
          <w:position w:val="-6"/>
          <w:sz w:val="18"/>
        </w:rPr>
        <w:t>．</w:t>
      </w:r>
      <w:r>
        <w:rPr>
          <w:spacing w:val="-128"/>
          <w:sz w:val="18"/>
        </w:rPr>
        <w:t>条</w:t>
      </w:r>
      <w:r>
        <w:rPr>
          <w:rFonts w:ascii="宋体" w:eastAsia="宋体" w:hint="eastAsia"/>
          <w:spacing w:val="-53"/>
          <w:position w:val="-6"/>
          <w:sz w:val="18"/>
        </w:rPr>
        <w:t>．</w:t>
      </w:r>
      <w:r>
        <w:rPr>
          <w:spacing w:val="-128"/>
          <w:sz w:val="18"/>
        </w:rPr>
        <w:t>款</w:t>
      </w:r>
      <w:r>
        <w:rPr>
          <w:rFonts w:ascii="宋体" w:eastAsia="宋体" w:hint="eastAsia"/>
          <w:spacing w:val="-53"/>
          <w:position w:val="-6"/>
          <w:sz w:val="18"/>
        </w:rPr>
        <w:t>．</w:t>
      </w:r>
      <w:r>
        <w:rPr>
          <w:spacing w:val="-128"/>
          <w:sz w:val="18"/>
        </w:rPr>
        <w:t>为</w:t>
      </w:r>
      <w:r>
        <w:rPr>
          <w:rFonts w:ascii="宋体" w:eastAsia="宋体" w:hint="eastAsia"/>
          <w:spacing w:val="-53"/>
          <w:position w:val="-6"/>
          <w:sz w:val="18"/>
        </w:rPr>
        <w:t>．</w:t>
      </w:r>
      <w:r>
        <w:rPr>
          <w:spacing w:val="-128"/>
          <w:sz w:val="18"/>
        </w:rPr>
        <w:t>准</w:t>
      </w:r>
      <w:r>
        <w:rPr>
          <w:rFonts w:ascii="宋体" w:eastAsia="宋体" w:hint="eastAsia"/>
          <w:spacing w:val="-53"/>
          <w:position w:val="-6"/>
          <w:sz w:val="18"/>
        </w:rPr>
        <w:t>．</w:t>
      </w:r>
      <w:r>
        <w:rPr>
          <w:sz w:val="18"/>
        </w:rPr>
        <w:t>。</w:t>
      </w:r>
    </w:p>
    <w:p>
      <w:pPr>
        <w:pStyle w:val="Heading2"/>
        <w:tabs>
          <w:tab w:pos="775" w:val="left" w:leader="none"/>
        </w:tabs>
        <w:spacing w:line="485" w:lineRule="exact" w:before="126"/>
        <w:ind w:left="115"/>
      </w:pPr>
      <w:r>
        <w:rPr>
          <w:rFonts w:ascii="Arial" w:hAnsi="Arial" w:eastAsia="Arial"/>
          <w:w w:val="105"/>
          <w:position w:val="-11"/>
          <w:sz w:val="48"/>
        </w:rPr>
        <w:t></w:t>
        <w:tab/>
      </w:r>
      <w:r>
        <w:rPr/>
        <w:t>您拥有的重要权益</w:t>
      </w:r>
    </w:p>
    <w:p>
      <w:pPr>
        <w:pStyle w:val="BodyText"/>
        <w:rPr>
          <w:rFonts w:ascii="黑体"/>
          <w:b/>
          <w:sz w:val="12"/>
        </w:rPr>
      </w:pPr>
      <w:r>
        <w:rPr/>
        <w:br w:type="column"/>
      </w:r>
      <w:r>
        <w:rPr>
          <w:rFonts w:ascii="黑体"/>
          <w:b/>
          <w:sz w:val="12"/>
        </w:rPr>
      </w:r>
    </w:p>
    <w:p>
      <w:pPr>
        <w:pStyle w:val="BodyText"/>
        <w:spacing w:before="3"/>
        <w:rPr>
          <w:rFonts w:ascii="黑体"/>
          <w:b/>
          <w:sz w:val="10"/>
        </w:rPr>
      </w:pPr>
    </w:p>
    <w:p>
      <w:pPr>
        <w:spacing w:before="1"/>
        <w:ind w:left="115" w:right="0" w:firstLine="0"/>
        <w:jc w:val="left"/>
        <w:rPr>
          <w:rFonts w:ascii="仿宋" w:eastAsia="仿宋" w:hint="eastAsia"/>
          <w:sz w:val="12"/>
        </w:rPr>
      </w:pPr>
      <w:r>
        <w:rPr>
          <w:rFonts w:ascii="仿宋" w:eastAsia="仿宋" w:hint="eastAsia"/>
          <w:sz w:val="12"/>
        </w:rPr>
        <w:t>请扫描以查询验证条款</w:t>
      </w:r>
    </w:p>
    <w:p>
      <w:pPr>
        <w:spacing w:after="0"/>
        <w:jc w:val="left"/>
        <w:rPr>
          <w:rFonts w:ascii="仿宋" w:eastAsia="仿宋" w:hint="eastAsia"/>
          <w:sz w:val="12"/>
        </w:rPr>
        <w:sectPr>
          <w:type w:val="continuous"/>
          <w:pgSz w:w="11910" w:h="16840"/>
          <w:pgMar w:top="140" w:bottom="280" w:left="1020" w:right="160"/>
          <w:cols w:num="2" w:equalWidth="0">
            <w:col w:w="7826" w:space="1181"/>
            <w:col w:w="1723"/>
          </w:cols>
        </w:sectPr>
      </w:pPr>
    </w:p>
    <w:p>
      <w:pPr>
        <w:pStyle w:val="ListParagraph"/>
        <w:numPr>
          <w:ilvl w:val="0"/>
          <w:numId w:val="1"/>
        </w:numPr>
        <w:tabs>
          <w:tab w:pos="822" w:val="left" w:leader="none"/>
        </w:tabs>
        <w:spacing w:line="200" w:lineRule="exact" w:before="0" w:after="0"/>
        <w:ind w:left="821" w:right="0" w:hanging="281"/>
        <w:jc w:val="left"/>
        <w:rPr>
          <w:sz w:val="18"/>
        </w:rPr>
      </w:pPr>
      <w:r>
        <w:rPr>
          <w:spacing w:val="-4"/>
          <w:sz w:val="18"/>
        </w:rPr>
        <w:t>签收本附加险合同次日起 </w:t>
      </w:r>
      <w:r>
        <w:rPr>
          <w:sz w:val="18"/>
        </w:rPr>
        <w:t>10</w:t>
      </w:r>
      <w:r>
        <w:rPr>
          <w:spacing w:val="-50"/>
          <w:sz w:val="18"/>
        </w:rPr>
        <w:t> 日</w:t>
      </w:r>
      <w:r>
        <w:rPr>
          <w:sz w:val="18"/>
        </w:rPr>
        <w:t>（</w:t>
      </w:r>
      <w:r>
        <w:rPr>
          <w:spacing w:val="-13"/>
          <w:sz w:val="18"/>
        </w:rPr>
        <w:t>即犹豫期，若通过商业银行代理渠道购买，则犹豫期为 </w:t>
      </w:r>
      <w:r>
        <w:rPr>
          <w:sz w:val="18"/>
        </w:rPr>
        <w:t>15</w:t>
      </w:r>
      <w:r>
        <w:rPr>
          <w:spacing w:val="-23"/>
          <w:sz w:val="18"/>
        </w:rPr>
        <w:t> 日</w:t>
      </w:r>
      <w:r>
        <w:rPr>
          <w:spacing w:val="-53"/>
          <w:sz w:val="18"/>
        </w:rPr>
        <w:t>）</w:t>
      </w:r>
      <w:r>
        <w:rPr>
          <w:sz w:val="18"/>
        </w:rPr>
        <w:t>内您若要求退保，</w:t>
      </w:r>
    </w:p>
    <w:p>
      <w:pPr>
        <w:tabs>
          <w:tab w:pos="9614" w:val="right" w:leader="dot"/>
        </w:tabs>
        <w:spacing w:before="63"/>
        <w:ind w:left="821" w:right="0" w:firstLine="0"/>
        <w:jc w:val="left"/>
        <w:rPr>
          <w:sz w:val="18"/>
        </w:rPr>
      </w:pPr>
      <w:r>
        <w:rPr>
          <w:spacing w:val="26"/>
          <w:sz w:val="18"/>
        </w:rPr>
        <w:t>我们全额退还保险费</w:t>
        <w:tab/>
      </w:r>
      <w:r>
        <w:rPr>
          <w:sz w:val="18"/>
        </w:rPr>
        <w:t>1</w:t>
      </w:r>
      <w:r>
        <w:rPr>
          <w:spacing w:val="-63"/>
          <w:sz w:val="18"/>
        </w:rPr>
        <w:t> </w:t>
      </w:r>
      <w:r>
        <w:rPr>
          <w:sz w:val="18"/>
        </w:rPr>
        <w:t>.</w:t>
      </w:r>
      <w:r>
        <w:rPr>
          <w:spacing w:val="-61"/>
          <w:sz w:val="18"/>
        </w:rPr>
        <w:t> </w:t>
      </w:r>
      <w:r>
        <w:rPr>
          <w:sz w:val="18"/>
        </w:rPr>
        <w:t>4</w:t>
      </w:r>
    </w:p>
    <w:p>
      <w:pPr>
        <w:pStyle w:val="ListParagraph"/>
        <w:numPr>
          <w:ilvl w:val="0"/>
          <w:numId w:val="1"/>
        </w:numPr>
        <w:tabs>
          <w:tab w:pos="822" w:val="left" w:leader="none"/>
          <w:tab w:pos="9623" w:val="right" w:leader="dot"/>
        </w:tabs>
        <w:spacing w:line="240" w:lineRule="auto" w:before="75" w:after="0"/>
        <w:ind w:left="821" w:right="0" w:hanging="281"/>
        <w:jc w:val="left"/>
        <w:rPr>
          <w:sz w:val="18"/>
        </w:rPr>
      </w:pPr>
      <w:r>
        <w:rPr>
          <w:spacing w:val="10"/>
          <w:sz w:val="18"/>
        </w:rPr>
        <w:t>本附</w:t>
      </w:r>
      <w:r>
        <w:rPr>
          <w:spacing w:val="7"/>
          <w:sz w:val="18"/>
        </w:rPr>
        <w:t>加</w:t>
      </w:r>
      <w:r>
        <w:rPr>
          <w:spacing w:val="10"/>
          <w:sz w:val="18"/>
        </w:rPr>
        <w:t>险</w:t>
      </w:r>
      <w:r>
        <w:rPr>
          <w:spacing w:val="7"/>
          <w:sz w:val="18"/>
        </w:rPr>
        <w:t>合</w:t>
      </w:r>
      <w:r>
        <w:rPr>
          <w:spacing w:val="10"/>
          <w:sz w:val="18"/>
        </w:rPr>
        <w:t>同</w:t>
      </w:r>
      <w:r>
        <w:rPr>
          <w:spacing w:val="7"/>
          <w:sz w:val="18"/>
        </w:rPr>
        <w:t>提</w:t>
      </w:r>
      <w:r>
        <w:rPr>
          <w:spacing w:val="10"/>
          <w:sz w:val="18"/>
        </w:rPr>
        <w:t>供</w:t>
      </w:r>
      <w:r>
        <w:rPr>
          <w:spacing w:val="7"/>
          <w:sz w:val="18"/>
        </w:rPr>
        <w:t>的</w:t>
      </w:r>
      <w:r>
        <w:rPr>
          <w:spacing w:val="10"/>
          <w:sz w:val="18"/>
        </w:rPr>
        <w:t>保</w:t>
      </w:r>
      <w:r>
        <w:rPr>
          <w:spacing w:val="7"/>
          <w:sz w:val="18"/>
        </w:rPr>
        <w:t>障在</w:t>
      </w:r>
      <w:r>
        <w:rPr>
          <w:spacing w:val="10"/>
          <w:sz w:val="18"/>
        </w:rPr>
        <w:t>保险</w:t>
      </w:r>
      <w:r>
        <w:rPr>
          <w:spacing w:val="7"/>
          <w:sz w:val="18"/>
        </w:rPr>
        <w:t>责</w:t>
      </w:r>
      <w:r>
        <w:rPr>
          <w:spacing w:val="10"/>
          <w:sz w:val="18"/>
        </w:rPr>
        <w:t>任</w:t>
      </w:r>
      <w:r>
        <w:rPr>
          <w:spacing w:val="7"/>
          <w:sz w:val="18"/>
        </w:rPr>
        <w:t>条</w:t>
      </w:r>
      <w:r>
        <w:rPr>
          <w:spacing w:val="10"/>
          <w:sz w:val="18"/>
        </w:rPr>
        <w:t>款</w:t>
      </w:r>
      <w:r>
        <w:rPr>
          <w:spacing w:val="7"/>
          <w:sz w:val="18"/>
        </w:rPr>
        <w:t>中</w:t>
      </w:r>
      <w:r>
        <w:rPr>
          <w:spacing w:val="10"/>
          <w:sz w:val="18"/>
        </w:rPr>
        <w:t>列</w:t>
      </w:r>
      <w:r>
        <w:rPr>
          <w:sz w:val="18"/>
        </w:rPr>
        <w:t>明</w:t>
        <w:tab/>
      </w:r>
      <w:r>
        <w:rPr>
          <w:spacing w:val="10"/>
          <w:sz w:val="18"/>
        </w:rPr>
        <w:t>2.3</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pict>
          <v:shapetype id="_x0000_t202" o:spt="202" coordsize="21600,21600" path="m,l,21600r21600,l21600,xe">
            <v:stroke joinstyle="miter"/>
            <v:path gradientshapeok="t" o:connecttype="rect"/>
          </v:shapetype>
          <v:shape style="position:absolute;margin-left:56.759998pt;margin-top:15.263428pt;width:22.6pt;height:25.35pt;mso-position-horizontal-relative:page;mso-position-vertical-relative:paragraph;z-index:-30400" type="#_x0000_t202" filled="false" stroked="false">
            <v:textbox inset="0,0,0,0">
              <w:txbxContent>
                <w:p>
                  <w:pPr>
                    <w:spacing w:line="506" w:lineRule="exact" w:before="0"/>
                    <w:ind w:left="0" w:right="0" w:firstLine="0"/>
                    <w:jc w:val="left"/>
                    <w:rPr>
                      <w:rFonts w:ascii="Arial" w:hAnsi="Arial"/>
                      <w:b/>
                      <w:sz w:val="48"/>
                    </w:rPr>
                  </w:pPr>
                  <w:r>
                    <w:rPr>
                      <w:rFonts w:ascii="Arial" w:hAnsi="Arial"/>
                      <w:b/>
                      <w:w w:val="125"/>
                      <w:sz w:val="48"/>
                    </w:rPr>
                    <w:t></w:t>
                  </w:r>
                </w:p>
              </w:txbxContent>
            </v:textbox>
            <w10:wrap type="none"/>
          </v:shape>
        </w:pict>
      </w:r>
      <w:r>
        <w:rPr>
          <w:spacing w:val="10"/>
          <w:sz w:val="18"/>
        </w:rPr>
        <w:t>您有</w:t>
      </w:r>
      <w:r>
        <w:rPr>
          <w:spacing w:val="7"/>
          <w:sz w:val="18"/>
        </w:rPr>
        <w:t>退</w:t>
      </w:r>
      <w:r>
        <w:rPr>
          <w:spacing w:val="10"/>
          <w:sz w:val="18"/>
        </w:rPr>
        <w:t>保</w:t>
      </w:r>
      <w:r>
        <w:rPr>
          <w:spacing w:val="7"/>
          <w:sz w:val="18"/>
        </w:rPr>
        <w:t>的</w:t>
      </w:r>
      <w:r>
        <w:rPr>
          <w:spacing w:val="10"/>
          <w:sz w:val="18"/>
        </w:rPr>
        <w:t>权</w:t>
      </w:r>
      <w:r>
        <w:rPr>
          <w:sz w:val="18"/>
        </w:rPr>
        <w:t>利</w:t>
        <w:tab/>
      </w:r>
      <w:r>
        <w:rPr>
          <w:spacing w:val="10"/>
          <w:sz w:val="18"/>
        </w:rPr>
        <w:t>5.1</w:t>
      </w:r>
    </w:p>
    <w:p>
      <w:pPr>
        <w:pStyle w:val="Heading2"/>
        <w:spacing w:line="240" w:lineRule="auto" w:before="33"/>
        <w:ind w:left="775"/>
      </w:pPr>
      <w:r>
        <w:rPr/>
        <w:t>您应当特别注意的事项</w:t>
      </w:r>
    </w:p>
    <w:p>
      <w:pPr>
        <w:pStyle w:val="ListParagraph"/>
        <w:numPr>
          <w:ilvl w:val="0"/>
          <w:numId w:val="1"/>
        </w:numPr>
        <w:tabs>
          <w:tab w:pos="822" w:val="left" w:leader="none"/>
          <w:tab w:pos="9623" w:val="right" w:leader="dot"/>
        </w:tabs>
        <w:spacing w:line="240" w:lineRule="auto" w:before="36" w:after="0"/>
        <w:ind w:left="821" w:right="0" w:hanging="281"/>
        <w:jc w:val="left"/>
        <w:rPr>
          <w:sz w:val="18"/>
        </w:rPr>
      </w:pPr>
      <w:r>
        <w:rPr>
          <w:spacing w:val="10"/>
          <w:sz w:val="18"/>
        </w:rPr>
        <w:t>本附</w:t>
      </w:r>
      <w:r>
        <w:rPr>
          <w:spacing w:val="7"/>
          <w:sz w:val="18"/>
        </w:rPr>
        <w:t>加</w:t>
      </w:r>
      <w:r>
        <w:rPr>
          <w:spacing w:val="10"/>
          <w:sz w:val="18"/>
        </w:rPr>
        <w:t>险</w:t>
      </w:r>
      <w:r>
        <w:rPr>
          <w:spacing w:val="7"/>
          <w:sz w:val="18"/>
        </w:rPr>
        <w:t>合</w:t>
      </w:r>
      <w:r>
        <w:rPr>
          <w:spacing w:val="10"/>
          <w:sz w:val="18"/>
        </w:rPr>
        <w:t>同</w:t>
      </w:r>
      <w:r>
        <w:rPr>
          <w:spacing w:val="7"/>
          <w:sz w:val="18"/>
        </w:rPr>
        <w:t>有</w:t>
      </w:r>
      <w:r>
        <w:rPr>
          <w:spacing w:val="10"/>
          <w:sz w:val="18"/>
        </w:rPr>
        <w:t>责</w:t>
      </w:r>
      <w:r>
        <w:rPr>
          <w:spacing w:val="7"/>
          <w:sz w:val="18"/>
        </w:rPr>
        <w:t>任</w:t>
      </w:r>
      <w:r>
        <w:rPr>
          <w:spacing w:val="10"/>
          <w:sz w:val="18"/>
        </w:rPr>
        <w:t>免</w:t>
      </w:r>
      <w:r>
        <w:rPr>
          <w:spacing w:val="7"/>
          <w:sz w:val="18"/>
        </w:rPr>
        <w:t>除条</w:t>
      </w:r>
      <w:r>
        <w:rPr>
          <w:spacing w:val="10"/>
          <w:sz w:val="18"/>
        </w:rPr>
        <w:t>款，</w:t>
      </w:r>
      <w:r>
        <w:rPr>
          <w:spacing w:val="7"/>
          <w:sz w:val="18"/>
        </w:rPr>
        <w:t>请</w:t>
      </w:r>
      <w:r>
        <w:rPr>
          <w:spacing w:val="10"/>
          <w:sz w:val="18"/>
        </w:rPr>
        <w:t>您</w:t>
      </w:r>
      <w:r>
        <w:rPr>
          <w:spacing w:val="7"/>
          <w:sz w:val="18"/>
        </w:rPr>
        <w:t>注</w:t>
      </w:r>
      <w:r>
        <w:rPr>
          <w:sz w:val="18"/>
        </w:rPr>
        <w:t>意</w:t>
        <w:tab/>
      </w:r>
      <w:r>
        <w:rPr>
          <w:spacing w:val="10"/>
          <w:sz w:val="18"/>
        </w:rPr>
        <w:t>2.4</w:t>
      </w:r>
    </w:p>
    <w:p>
      <w:pPr>
        <w:pStyle w:val="ListParagraph"/>
        <w:numPr>
          <w:ilvl w:val="0"/>
          <w:numId w:val="1"/>
        </w:numPr>
        <w:tabs>
          <w:tab w:pos="822" w:val="left" w:leader="none"/>
          <w:tab w:pos="9623" w:val="right" w:leader="dot"/>
        </w:tabs>
        <w:spacing w:line="240" w:lineRule="auto" w:before="64" w:after="0"/>
        <w:ind w:left="821" w:right="0" w:hanging="281"/>
        <w:jc w:val="left"/>
        <w:rPr>
          <w:sz w:val="18"/>
        </w:rPr>
      </w:pPr>
      <w:r>
        <w:rPr>
          <w:spacing w:val="10"/>
          <w:sz w:val="18"/>
        </w:rPr>
        <w:t>退保</w:t>
      </w:r>
      <w:r>
        <w:rPr>
          <w:spacing w:val="7"/>
          <w:sz w:val="18"/>
        </w:rPr>
        <w:t>会</w:t>
      </w:r>
      <w:r>
        <w:rPr>
          <w:spacing w:val="10"/>
          <w:sz w:val="18"/>
        </w:rPr>
        <w:t>给</w:t>
      </w:r>
      <w:r>
        <w:rPr>
          <w:spacing w:val="7"/>
          <w:sz w:val="18"/>
        </w:rPr>
        <w:t>您</w:t>
      </w:r>
      <w:r>
        <w:rPr>
          <w:spacing w:val="10"/>
          <w:sz w:val="18"/>
        </w:rPr>
        <w:t>造</w:t>
      </w:r>
      <w:r>
        <w:rPr>
          <w:spacing w:val="7"/>
          <w:sz w:val="18"/>
        </w:rPr>
        <w:t>成</w:t>
      </w:r>
      <w:r>
        <w:rPr>
          <w:spacing w:val="10"/>
          <w:sz w:val="18"/>
        </w:rPr>
        <w:t>一</w:t>
      </w:r>
      <w:r>
        <w:rPr>
          <w:spacing w:val="7"/>
          <w:sz w:val="18"/>
        </w:rPr>
        <w:t>定</w:t>
      </w:r>
      <w:r>
        <w:rPr>
          <w:spacing w:val="10"/>
          <w:sz w:val="18"/>
        </w:rPr>
        <w:t>的</w:t>
      </w:r>
      <w:r>
        <w:rPr>
          <w:spacing w:val="7"/>
          <w:sz w:val="18"/>
        </w:rPr>
        <w:t>损失</w:t>
      </w:r>
      <w:r>
        <w:rPr>
          <w:spacing w:val="10"/>
          <w:sz w:val="18"/>
        </w:rPr>
        <w:t>，请</w:t>
      </w:r>
      <w:r>
        <w:rPr>
          <w:spacing w:val="7"/>
          <w:sz w:val="18"/>
        </w:rPr>
        <w:t>您</w:t>
      </w:r>
      <w:r>
        <w:rPr>
          <w:spacing w:val="10"/>
          <w:sz w:val="18"/>
        </w:rPr>
        <w:t>慎</w:t>
      </w:r>
      <w:r>
        <w:rPr>
          <w:spacing w:val="7"/>
          <w:sz w:val="18"/>
        </w:rPr>
        <w:t>重</w:t>
      </w:r>
      <w:r>
        <w:rPr>
          <w:spacing w:val="10"/>
          <w:sz w:val="18"/>
        </w:rPr>
        <w:t>决</w:t>
      </w:r>
      <w:r>
        <w:rPr>
          <w:sz w:val="18"/>
        </w:rPr>
        <w:t>策</w:t>
        <w:tab/>
      </w:r>
      <w:r>
        <w:rPr>
          <w:spacing w:val="10"/>
          <w:sz w:val="18"/>
        </w:rPr>
        <w:t>5.1</w:t>
      </w:r>
    </w:p>
    <w:p>
      <w:pPr>
        <w:pStyle w:val="ListParagraph"/>
        <w:numPr>
          <w:ilvl w:val="0"/>
          <w:numId w:val="1"/>
        </w:numPr>
        <w:tabs>
          <w:tab w:pos="822" w:val="left" w:leader="none"/>
          <w:tab w:pos="9623" w:val="right" w:leader="dot"/>
        </w:tabs>
        <w:spacing w:line="240" w:lineRule="auto" w:before="64" w:after="0"/>
        <w:ind w:left="821" w:right="0" w:hanging="281"/>
        <w:jc w:val="left"/>
        <w:rPr>
          <w:sz w:val="18"/>
        </w:rPr>
      </w:pPr>
      <w:r>
        <w:rPr>
          <w:spacing w:val="10"/>
          <w:sz w:val="18"/>
        </w:rPr>
        <w:t>主险</w:t>
      </w:r>
      <w:r>
        <w:rPr>
          <w:spacing w:val="7"/>
          <w:sz w:val="18"/>
        </w:rPr>
        <w:t>合</w:t>
      </w:r>
      <w:r>
        <w:rPr>
          <w:spacing w:val="10"/>
          <w:sz w:val="18"/>
        </w:rPr>
        <w:t>同</w:t>
      </w:r>
      <w:r>
        <w:rPr>
          <w:spacing w:val="7"/>
          <w:sz w:val="18"/>
        </w:rPr>
        <w:t>终</w:t>
      </w:r>
      <w:r>
        <w:rPr>
          <w:spacing w:val="10"/>
          <w:sz w:val="18"/>
        </w:rPr>
        <w:t>止</w:t>
      </w:r>
      <w:r>
        <w:rPr>
          <w:spacing w:val="7"/>
          <w:sz w:val="18"/>
        </w:rPr>
        <w:t>时</w:t>
      </w:r>
      <w:r>
        <w:rPr>
          <w:spacing w:val="10"/>
          <w:sz w:val="18"/>
        </w:rPr>
        <w:t>，</w:t>
      </w:r>
      <w:r>
        <w:rPr>
          <w:spacing w:val="7"/>
          <w:sz w:val="18"/>
        </w:rPr>
        <w:t>本</w:t>
      </w:r>
      <w:r>
        <w:rPr>
          <w:spacing w:val="10"/>
          <w:sz w:val="18"/>
        </w:rPr>
        <w:t>附加</w:t>
      </w:r>
      <w:r>
        <w:rPr>
          <w:spacing w:val="7"/>
          <w:sz w:val="18"/>
        </w:rPr>
        <w:t>险</w:t>
      </w:r>
      <w:r>
        <w:rPr>
          <w:spacing w:val="10"/>
          <w:sz w:val="18"/>
        </w:rPr>
        <w:t>合同</w:t>
      </w:r>
      <w:r>
        <w:rPr>
          <w:spacing w:val="7"/>
          <w:sz w:val="18"/>
        </w:rPr>
        <w:t>同</w:t>
      </w:r>
      <w:r>
        <w:rPr>
          <w:spacing w:val="10"/>
          <w:sz w:val="18"/>
        </w:rPr>
        <w:t>时</w:t>
      </w:r>
      <w:r>
        <w:rPr>
          <w:spacing w:val="7"/>
          <w:sz w:val="18"/>
        </w:rPr>
        <w:t>终</w:t>
      </w:r>
      <w:r>
        <w:rPr>
          <w:sz w:val="18"/>
        </w:rPr>
        <w:t>止</w:t>
        <w:tab/>
      </w:r>
      <w:r>
        <w:rPr>
          <w:spacing w:val="10"/>
          <w:sz w:val="18"/>
        </w:rPr>
        <w:t>6.1</w:t>
      </w:r>
    </w:p>
    <w:p>
      <w:pPr>
        <w:pStyle w:val="ListParagraph"/>
        <w:numPr>
          <w:ilvl w:val="0"/>
          <w:numId w:val="1"/>
        </w:numPr>
        <w:tabs>
          <w:tab w:pos="822" w:val="left" w:leader="none"/>
          <w:tab w:pos="9623" w:val="right" w:leader="dot"/>
        </w:tabs>
        <w:spacing w:line="240" w:lineRule="auto" w:before="63" w:after="0"/>
        <w:ind w:left="821" w:right="0" w:hanging="281"/>
        <w:jc w:val="left"/>
        <w:rPr>
          <w:sz w:val="18"/>
        </w:rPr>
      </w:pPr>
      <w:r>
        <w:rPr>
          <w:spacing w:val="10"/>
          <w:sz w:val="18"/>
        </w:rPr>
        <w:t>本附</w:t>
      </w:r>
      <w:r>
        <w:rPr>
          <w:spacing w:val="7"/>
          <w:sz w:val="18"/>
        </w:rPr>
        <w:t>加</w:t>
      </w:r>
      <w:r>
        <w:rPr>
          <w:spacing w:val="10"/>
          <w:sz w:val="18"/>
        </w:rPr>
        <w:t>险</w:t>
      </w:r>
      <w:r>
        <w:rPr>
          <w:spacing w:val="7"/>
          <w:sz w:val="18"/>
        </w:rPr>
        <w:t>合</w:t>
      </w:r>
      <w:r>
        <w:rPr>
          <w:spacing w:val="10"/>
          <w:sz w:val="18"/>
        </w:rPr>
        <w:t>同</w:t>
      </w:r>
      <w:r>
        <w:rPr>
          <w:spacing w:val="7"/>
          <w:sz w:val="18"/>
        </w:rPr>
        <w:t>的</w:t>
      </w:r>
      <w:r>
        <w:rPr>
          <w:spacing w:val="10"/>
          <w:sz w:val="18"/>
        </w:rPr>
        <w:t>某</w:t>
      </w:r>
      <w:r>
        <w:rPr>
          <w:spacing w:val="7"/>
          <w:sz w:val="18"/>
        </w:rPr>
        <w:t>些</w:t>
      </w:r>
      <w:r>
        <w:rPr>
          <w:spacing w:val="10"/>
          <w:sz w:val="18"/>
        </w:rPr>
        <w:t>事</w:t>
      </w:r>
      <w:r>
        <w:rPr>
          <w:spacing w:val="7"/>
          <w:sz w:val="18"/>
        </w:rPr>
        <w:t>项适</w:t>
      </w:r>
      <w:r>
        <w:rPr>
          <w:spacing w:val="10"/>
          <w:sz w:val="18"/>
        </w:rPr>
        <w:t>用主</w:t>
      </w:r>
      <w:r>
        <w:rPr>
          <w:spacing w:val="7"/>
          <w:sz w:val="18"/>
        </w:rPr>
        <w:t>险</w:t>
      </w:r>
      <w:r>
        <w:rPr>
          <w:spacing w:val="10"/>
          <w:sz w:val="18"/>
        </w:rPr>
        <w:t>合</w:t>
      </w:r>
      <w:r>
        <w:rPr>
          <w:spacing w:val="7"/>
          <w:sz w:val="18"/>
        </w:rPr>
        <w:t>同</w:t>
      </w:r>
      <w:r>
        <w:rPr>
          <w:spacing w:val="10"/>
          <w:sz w:val="18"/>
        </w:rPr>
        <w:t>条</w:t>
      </w:r>
      <w:r>
        <w:rPr>
          <w:spacing w:val="7"/>
          <w:sz w:val="18"/>
        </w:rPr>
        <w:t>款</w:t>
      </w:r>
      <w:r>
        <w:rPr>
          <w:spacing w:val="10"/>
          <w:sz w:val="18"/>
        </w:rPr>
        <w:t>，</w:t>
      </w:r>
      <w:r>
        <w:rPr>
          <w:spacing w:val="7"/>
          <w:sz w:val="18"/>
        </w:rPr>
        <w:t>请</w:t>
      </w:r>
      <w:r>
        <w:rPr>
          <w:spacing w:val="10"/>
          <w:sz w:val="18"/>
        </w:rPr>
        <w:t>您</w:t>
      </w:r>
      <w:r>
        <w:rPr>
          <w:spacing w:val="7"/>
          <w:sz w:val="18"/>
        </w:rPr>
        <w:t>注</w:t>
      </w:r>
      <w:r>
        <w:rPr>
          <w:sz w:val="18"/>
        </w:rPr>
        <w:t>意</w:t>
        <w:tab/>
      </w:r>
      <w:r>
        <w:rPr>
          <w:spacing w:val="10"/>
          <w:sz w:val="18"/>
        </w:rPr>
        <w:t>6.2</w:t>
      </w:r>
    </w:p>
    <w:p>
      <w:pPr>
        <w:pStyle w:val="ListParagraph"/>
        <w:numPr>
          <w:ilvl w:val="0"/>
          <w:numId w:val="1"/>
        </w:numPr>
        <w:tabs>
          <w:tab w:pos="822" w:val="left" w:leader="none"/>
          <w:tab w:pos="9615" w:val="right" w:leader="dot"/>
        </w:tabs>
        <w:spacing w:line="247" w:lineRule="exact" w:before="63" w:after="0"/>
        <w:ind w:left="821" w:right="0" w:hanging="281"/>
        <w:jc w:val="left"/>
        <w:rPr>
          <w:sz w:val="18"/>
        </w:rPr>
      </w:pPr>
      <w:r>
        <w:rPr>
          <w:spacing w:val="15"/>
          <w:sz w:val="18"/>
        </w:rPr>
        <w:t>我</w:t>
      </w:r>
      <w:r>
        <w:rPr>
          <w:spacing w:val="12"/>
          <w:sz w:val="18"/>
        </w:rPr>
        <w:t>们</w:t>
      </w:r>
      <w:r>
        <w:rPr>
          <w:spacing w:val="15"/>
          <w:sz w:val="18"/>
        </w:rPr>
        <w:t>对</w:t>
      </w:r>
      <w:r>
        <w:rPr>
          <w:spacing w:val="12"/>
          <w:sz w:val="18"/>
        </w:rPr>
        <w:t>一些</w:t>
      </w:r>
      <w:r>
        <w:rPr>
          <w:spacing w:val="15"/>
          <w:sz w:val="18"/>
        </w:rPr>
        <w:t>重</w:t>
      </w:r>
      <w:r>
        <w:rPr>
          <w:spacing w:val="12"/>
          <w:sz w:val="18"/>
        </w:rPr>
        <w:t>要</w:t>
      </w:r>
      <w:r>
        <w:rPr>
          <w:spacing w:val="15"/>
          <w:sz w:val="18"/>
        </w:rPr>
        <w:t>术</w:t>
      </w:r>
      <w:r>
        <w:rPr>
          <w:spacing w:val="12"/>
          <w:sz w:val="18"/>
        </w:rPr>
        <w:t>语进</w:t>
      </w:r>
      <w:r>
        <w:rPr>
          <w:spacing w:val="15"/>
          <w:sz w:val="18"/>
        </w:rPr>
        <w:t>行</w:t>
      </w:r>
      <w:r>
        <w:rPr>
          <w:spacing w:val="12"/>
          <w:sz w:val="18"/>
        </w:rPr>
        <w:t>了</w:t>
      </w:r>
      <w:r>
        <w:rPr>
          <w:spacing w:val="15"/>
          <w:sz w:val="18"/>
        </w:rPr>
        <w:t>解</w:t>
      </w:r>
      <w:r>
        <w:rPr>
          <w:spacing w:val="12"/>
          <w:sz w:val="18"/>
        </w:rPr>
        <w:t>释</w:t>
      </w:r>
      <w:r>
        <w:rPr>
          <w:sz w:val="18"/>
        </w:rPr>
        <w:t>，</w:t>
      </w:r>
      <w:r>
        <w:rPr>
          <w:spacing w:val="-74"/>
          <w:sz w:val="18"/>
        </w:rPr>
        <w:t> </w:t>
      </w:r>
      <w:r>
        <w:rPr>
          <w:spacing w:val="12"/>
          <w:sz w:val="18"/>
        </w:rPr>
        <w:t>并作</w:t>
      </w:r>
      <w:r>
        <w:rPr>
          <w:spacing w:val="15"/>
          <w:sz w:val="18"/>
        </w:rPr>
        <w:t>了</w:t>
      </w:r>
      <w:r>
        <w:rPr>
          <w:spacing w:val="12"/>
          <w:sz w:val="18"/>
        </w:rPr>
        <w:t>显</w:t>
      </w:r>
      <w:r>
        <w:rPr>
          <w:spacing w:val="15"/>
          <w:sz w:val="18"/>
        </w:rPr>
        <w:t>著</w:t>
      </w:r>
      <w:r>
        <w:rPr>
          <w:spacing w:val="12"/>
          <w:sz w:val="18"/>
        </w:rPr>
        <w:t>标识</w:t>
      </w:r>
      <w:r>
        <w:rPr>
          <w:sz w:val="18"/>
        </w:rPr>
        <w:t>，</w:t>
      </w:r>
      <w:r>
        <w:rPr>
          <w:spacing w:val="-74"/>
          <w:sz w:val="18"/>
        </w:rPr>
        <w:t> </w:t>
      </w:r>
      <w:r>
        <w:rPr>
          <w:spacing w:val="12"/>
          <w:sz w:val="18"/>
        </w:rPr>
        <w:t>请</w:t>
      </w:r>
      <w:r>
        <w:rPr>
          <w:spacing w:val="15"/>
          <w:sz w:val="18"/>
        </w:rPr>
        <w:t>您</w:t>
      </w:r>
      <w:r>
        <w:rPr>
          <w:spacing w:val="12"/>
          <w:sz w:val="18"/>
        </w:rPr>
        <w:t>注</w:t>
      </w:r>
      <w:r>
        <w:rPr>
          <w:sz w:val="18"/>
        </w:rPr>
        <w:t>意</w:t>
        <w:tab/>
        <w:t>8</w:t>
      </w:r>
    </w:p>
    <w:p>
      <w:pPr>
        <w:pStyle w:val="Heading2"/>
        <w:tabs>
          <w:tab w:pos="773" w:val="left" w:leader="none"/>
        </w:tabs>
        <w:spacing w:line="445" w:lineRule="exact"/>
        <w:ind w:left="112"/>
      </w:pPr>
      <w:r>
        <w:rPr>
          <w:rFonts w:ascii="Arial" w:hAnsi="Arial" w:eastAsia="Arial"/>
          <w:w w:val="105"/>
          <w:position w:val="-11"/>
          <w:sz w:val="48"/>
        </w:rPr>
        <w:t></w:t>
        <w:tab/>
      </w:r>
      <w:r>
        <w:rPr>
          <w:spacing w:val="-3"/>
        </w:rPr>
        <w:t>保险条款是保险合同的重要内容，为充分保障您的权益，请您仔细阅读本保险条款。</w:t>
      </w:r>
    </w:p>
    <w:p>
      <w:pPr>
        <w:tabs>
          <w:tab w:pos="773" w:val="left" w:leader="none"/>
        </w:tabs>
        <w:spacing w:line="446" w:lineRule="exact" w:before="0"/>
        <w:ind w:left="112" w:right="0" w:firstLine="0"/>
        <w:jc w:val="left"/>
        <w:rPr>
          <w:rFonts w:ascii="黑体" w:hAnsi="黑体" w:eastAsia="黑体" w:hint="eastAsia"/>
          <w:b/>
          <w:sz w:val="21"/>
        </w:rPr>
      </w:pPr>
      <w:r>
        <w:rPr/>
        <w:pict>
          <v:shape style="position:absolute;margin-left:84.463997pt;margin-top:17.778519pt;width:426.5pt;height:216.6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7"/>
                    <w:gridCol w:w="2958"/>
                    <w:gridCol w:w="3314"/>
                  </w:tblGrid>
                  <w:tr>
                    <w:trPr>
                      <w:trHeight w:val="250" w:hRule="atLeast"/>
                    </w:trPr>
                    <w:tc>
                      <w:tcPr>
                        <w:tcW w:w="2257" w:type="dxa"/>
                      </w:tcPr>
                      <w:p>
                        <w:pPr>
                          <w:pStyle w:val="TableParagraph"/>
                          <w:spacing w:line="180" w:lineRule="exact"/>
                          <w:ind w:left="9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1</w:t>
                        </w:r>
                        <w:r>
                          <w:rPr>
                            <w:rFonts w:ascii="黑体" w:eastAsia="黑体" w:hint="eastAsia"/>
                            <w:spacing w:val="-1"/>
                            <w:sz w:val="18"/>
                            <w:shd w:fill="A6A6A6" w:color="auto" w:val="clear"/>
                          </w:rPr>
                          <w:t> 您与我们订立的合同</w:t>
                        </w:r>
                        <w:r>
                          <w:rPr>
                            <w:rFonts w:ascii="黑体" w:eastAsia="黑体" w:hint="eastAsia"/>
                            <w:spacing w:val="-41"/>
                            <w:sz w:val="18"/>
                            <w:shd w:fill="A6A6A6" w:color="auto" w:val="clear"/>
                          </w:rPr>
                          <w:t> </w:t>
                        </w:r>
                      </w:p>
                    </w:tc>
                    <w:tc>
                      <w:tcPr>
                        <w:tcW w:w="2958" w:type="dxa"/>
                      </w:tcPr>
                      <w:p>
                        <w:pPr>
                          <w:pStyle w:val="TableParagraph"/>
                          <w:spacing w:line="180" w:lineRule="exact"/>
                          <w:ind w:left="257"/>
                          <w:rPr>
                            <w:rFonts w:ascii="黑体" w:eastAsia="黑体" w:hint="eastAsia"/>
                            <w:sz w:val="18"/>
                          </w:rPr>
                        </w:pPr>
                        <w:r>
                          <w:rPr>
                            <w:rFonts w:ascii="黑体" w:eastAsia="黑体" w:hint="eastAsia"/>
                            <w:sz w:val="18"/>
                          </w:rPr>
                          <w:t>3.4 诉讼时效</w:t>
                        </w:r>
                      </w:p>
                    </w:tc>
                    <w:tc>
                      <w:tcPr>
                        <w:tcW w:w="3314" w:type="dxa"/>
                      </w:tcPr>
                      <w:p>
                        <w:pPr>
                          <w:pStyle w:val="TableParagraph"/>
                          <w:spacing w:line="180" w:lineRule="exact"/>
                          <w:ind w:left="227"/>
                          <w:rPr>
                            <w:rFonts w:ascii="黑体" w:eastAsia="黑体" w:hint="eastAsia"/>
                            <w:sz w:val="18"/>
                          </w:rPr>
                        </w:pPr>
                        <w:r>
                          <w:rPr>
                            <w:rFonts w:ascii="黑体" w:eastAsia="黑体" w:hint="eastAsia"/>
                            <w:sz w:val="18"/>
                          </w:rPr>
                          <w:t>8.2 保险费约定支付日</w:t>
                        </w:r>
                      </w:p>
                    </w:tc>
                  </w:tr>
                  <w:tr>
                    <w:trPr>
                      <w:trHeight w:val="320" w:hRule="atLeast"/>
                    </w:trPr>
                    <w:tc>
                      <w:tcPr>
                        <w:tcW w:w="2257" w:type="dxa"/>
                      </w:tcPr>
                      <w:p>
                        <w:pPr>
                          <w:pStyle w:val="TableParagraph"/>
                          <w:spacing w:before="15"/>
                          <w:rPr>
                            <w:rFonts w:ascii="黑体" w:eastAsia="黑体" w:hint="eastAsia"/>
                            <w:sz w:val="18"/>
                          </w:rPr>
                        </w:pPr>
                        <w:r>
                          <w:rPr>
                            <w:rFonts w:ascii="黑体" w:eastAsia="黑体" w:hint="eastAsia"/>
                            <w:sz w:val="18"/>
                          </w:rPr>
                          <w:t>1.1 合同构成</w:t>
                        </w:r>
                      </w:p>
                    </w:tc>
                    <w:tc>
                      <w:tcPr>
                        <w:tcW w:w="2958" w:type="dxa"/>
                      </w:tcPr>
                      <w:p>
                        <w:pPr>
                          <w:pStyle w:val="TableParagraph"/>
                          <w:tabs>
                            <w:tab w:pos="2693" w:val="left" w:leader="none"/>
                          </w:tabs>
                          <w:spacing w:before="15"/>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4 如何支付保险费</w:t>
                          <w:tab/>
                        </w:r>
                      </w:p>
                    </w:tc>
                    <w:tc>
                      <w:tcPr>
                        <w:tcW w:w="3314" w:type="dxa"/>
                      </w:tcPr>
                      <w:p>
                        <w:pPr>
                          <w:pStyle w:val="TableParagraph"/>
                          <w:spacing w:before="15"/>
                          <w:ind w:left="227"/>
                          <w:rPr>
                            <w:rFonts w:ascii="黑体" w:eastAsia="黑体" w:hint="eastAsia"/>
                            <w:sz w:val="18"/>
                          </w:rPr>
                        </w:pPr>
                        <w:r>
                          <w:rPr>
                            <w:rFonts w:ascii="黑体" w:eastAsia="黑体" w:hint="eastAsia"/>
                            <w:sz w:val="18"/>
                          </w:rPr>
                          <w:t>8.3 周岁</w:t>
                        </w:r>
                      </w:p>
                    </w:tc>
                  </w:tr>
                  <w:tr>
                    <w:trPr>
                      <w:trHeight w:val="319" w:hRule="atLeast"/>
                    </w:trPr>
                    <w:tc>
                      <w:tcPr>
                        <w:tcW w:w="2257" w:type="dxa"/>
                      </w:tcPr>
                      <w:p>
                        <w:pPr>
                          <w:pStyle w:val="TableParagraph"/>
                          <w:spacing w:before="14"/>
                          <w:rPr>
                            <w:rFonts w:ascii="黑体" w:eastAsia="黑体" w:hint="eastAsia"/>
                            <w:sz w:val="18"/>
                          </w:rPr>
                        </w:pPr>
                        <w:r>
                          <w:rPr>
                            <w:rFonts w:ascii="黑体" w:eastAsia="黑体" w:hint="eastAsia"/>
                            <w:sz w:val="18"/>
                          </w:rPr>
                          <w:t>1.2 合同成立与Th效</w:t>
                        </w:r>
                      </w:p>
                    </w:tc>
                    <w:tc>
                      <w:tcPr>
                        <w:tcW w:w="2958" w:type="dxa"/>
                      </w:tcPr>
                      <w:p>
                        <w:pPr>
                          <w:pStyle w:val="TableParagraph"/>
                          <w:spacing w:before="14"/>
                          <w:ind w:left="257"/>
                          <w:rPr>
                            <w:rFonts w:ascii="黑体" w:eastAsia="黑体" w:hint="eastAsia"/>
                            <w:sz w:val="18"/>
                          </w:rPr>
                        </w:pPr>
                        <w:r>
                          <w:rPr>
                            <w:rFonts w:ascii="黑体" w:eastAsia="黑体" w:hint="eastAsia"/>
                            <w:sz w:val="18"/>
                          </w:rPr>
                          <w:t>4.1 保险费的支付</w:t>
                        </w:r>
                      </w:p>
                    </w:tc>
                    <w:tc>
                      <w:tcPr>
                        <w:tcW w:w="3314" w:type="dxa"/>
                      </w:tcPr>
                      <w:p>
                        <w:pPr>
                          <w:pStyle w:val="TableParagraph"/>
                          <w:spacing w:before="14"/>
                          <w:ind w:left="227"/>
                          <w:rPr>
                            <w:rFonts w:ascii="黑体" w:eastAsia="黑体" w:hint="eastAsia"/>
                            <w:sz w:val="18"/>
                          </w:rPr>
                        </w:pPr>
                        <w:r>
                          <w:rPr>
                            <w:rFonts w:ascii="黑体" w:eastAsia="黑体" w:hint="eastAsia"/>
                            <w:sz w:val="18"/>
                          </w:rPr>
                          <w:t>8.4 有效身份证件</w:t>
                        </w:r>
                      </w:p>
                    </w:tc>
                  </w:tr>
                  <w:tr>
                    <w:trPr>
                      <w:trHeight w:val="339" w:hRule="atLeast"/>
                    </w:trPr>
                    <w:tc>
                      <w:tcPr>
                        <w:tcW w:w="2257" w:type="dxa"/>
                      </w:tcPr>
                      <w:p>
                        <w:pPr>
                          <w:pStyle w:val="TableParagraph"/>
                          <w:spacing w:before="14"/>
                          <w:rPr>
                            <w:rFonts w:ascii="黑体" w:eastAsia="黑体" w:hint="eastAsia"/>
                            <w:sz w:val="18"/>
                          </w:rPr>
                        </w:pPr>
                        <w:r>
                          <w:rPr>
                            <w:rFonts w:ascii="黑体" w:eastAsia="黑体" w:hint="eastAsia"/>
                            <w:sz w:val="18"/>
                          </w:rPr>
                          <w:t>1.3 投保年龄</w:t>
                        </w:r>
                      </w:p>
                    </w:tc>
                    <w:tc>
                      <w:tcPr>
                        <w:tcW w:w="2958" w:type="dxa"/>
                      </w:tcPr>
                      <w:p>
                        <w:pPr>
                          <w:pStyle w:val="TableParagraph"/>
                          <w:tabs>
                            <w:tab w:pos="2693" w:val="left" w:leader="none"/>
                          </w:tabs>
                          <w:spacing w:before="14"/>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5 如何解除保险合同</w:t>
                          <w:tab/>
                        </w:r>
                      </w:p>
                    </w:tc>
                    <w:tc>
                      <w:tcPr>
                        <w:tcW w:w="3314" w:type="dxa"/>
                      </w:tcPr>
                      <w:p>
                        <w:pPr>
                          <w:pStyle w:val="TableParagraph"/>
                          <w:spacing w:before="52"/>
                          <w:ind w:left="227"/>
                          <w:rPr>
                            <w:rFonts w:ascii="黑体" w:eastAsia="黑体" w:hint="eastAsia"/>
                            <w:sz w:val="18"/>
                          </w:rPr>
                        </w:pPr>
                        <w:r>
                          <w:rPr>
                            <w:rFonts w:ascii="黑体" w:eastAsia="黑体" w:hint="eastAsia"/>
                            <w:sz w:val="18"/>
                          </w:rPr>
                          <w:t>8.5 意外伤害</w:t>
                        </w:r>
                      </w:p>
                    </w:tc>
                  </w:tr>
                  <w:tr>
                    <w:trPr>
                      <w:trHeight w:val="320" w:hRule="atLeast"/>
                    </w:trPr>
                    <w:tc>
                      <w:tcPr>
                        <w:tcW w:w="2257" w:type="dxa"/>
                      </w:tcPr>
                      <w:p>
                        <w:pPr>
                          <w:pStyle w:val="TableParagraph"/>
                          <w:spacing w:line="232" w:lineRule="exact"/>
                          <w:rPr>
                            <w:rFonts w:ascii="黑体" w:eastAsia="黑体" w:hint="eastAsia"/>
                            <w:sz w:val="18"/>
                          </w:rPr>
                        </w:pPr>
                        <w:r>
                          <w:rPr>
                            <w:rFonts w:ascii="黑体" w:eastAsia="黑体" w:hint="eastAsia"/>
                            <w:sz w:val="18"/>
                          </w:rPr>
                          <w:t>1.4 犹豫期</w:t>
                        </w:r>
                      </w:p>
                    </w:tc>
                    <w:tc>
                      <w:tcPr>
                        <w:tcW w:w="2958" w:type="dxa"/>
                      </w:tcPr>
                      <w:p>
                        <w:pPr>
                          <w:pStyle w:val="TableParagraph"/>
                          <w:spacing w:line="232" w:lineRule="exact"/>
                          <w:ind w:left="257"/>
                          <w:rPr>
                            <w:rFonts w:ascii="黑体" w:eastAsia="黑体" w:hint="eastAsia"/>
                            <w:sz w:val="18"/>
                          </w:rPr>
                        </w:pPr>
                        <w:r>
                          <w:rPr>
                            <w:rFonts w:ascii="黑体" w:eastAsia="黑体" w:hint="eastAsia"/>
                            <w:sz w:val="18"/>
                          </w:rPr>
                          <w:t>5.1 您解除合同的手续及风险</w:t>
                        </w:r>
                      </w:p>
                    </w:tc>
                    <w:tc>
                      <w:tcPr>
                        <w:tcW w:w="3314" w:type="dxa"/>
                      </w:tcPr>
                      <w:p>
                        <w:pPr>
                          <w:pStyle w:val="TableParagraph"/>
                          <w:spacing w:before="34"/>
                          <w:ind w:left="227"/>
                          <w:rPr>
                            <w:rFonts w:ascii="黑体" w:eastAsia="黑体" w:hint="eastAsia"/>
                            <w:sz w:val="18"/>
                          </w:rPr>
                        </w:pPr>
                        <w:r>
                          <w:rPr>
                            <w:rFonts w:ascii="黑体" w:eastAsia="黑体" w:hint="eastAsia"/>
                            <w:sz w:val="18"/>
                          </w:rPr>
                          <w:t>8.6 毒品</w:t>
                        </w:r>
                      </w:p>
                    </w:tc>
                  </w:tr>
                  <w:tr>
                    <w:trPr>
                      <w:trHeight w:val="319" w:hRule="atLeast"/>
                    </w:trPr>
                    <w:tc>
                      <w:tcPr>
                        <w:tcW w:w="2257" w:type="dxa"/>
                      </w:tcPr>
                      <w:p>
                        <w:pPr>
                          <w:pStyle w:val="TableParagraph"/>
                          <w:tabs>
                            <w:tab w:pos="2139" w:val="left" w:leader="none"/>
                          </w:tabs>
                          <w:spacing w:line="230" w:lineRule="exact"/>
                          <w:ind w:left="9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2</w:t>
                        </w:r>
                        <w:r>
                          <w:rPr>
                            <w:rFonts w:ascii="黑体" w:eastAsia="黑体" w:hint="eastAsia"/>
                            <w:spacing w:val="-1"/>
                            <w:sz w:val="18"/>
                            <w:shd w:fill="A6A6A6" w:color="auto" w:val="clear"/>
                          </w:rPr>
                          <w:t> </w:t>
                        </w:r>
                        <w:r>
                          <w:rPr>
                            <w:rFonts w:ascii="黑体" w:eastAsia="黑体" w:hint="eastAsia"/>
                            <w:sz w:val="18"/>
                            <w:shd w:fill="A6A6A6" w:color="auto" w:val="clear"/>
                          </w:rPr>
                          <w:t>我们提供的保障</w:t>
                          <w:tab/>
                        </w:r>
                      </w:p>
                    </w:tc>
                    <w:tc>
                      <w:tcPr>
                        <w:tcW w:w="2958" w:type="dxa"/>
                      </w:tcPr>
                      <w:p>
                        <w:pPr>
                          <w:pStyle w:val="TableParagraph"/>
                          <w:tabs>
                            <w:tab w:pos="2693" w:val="left" w:leader="none"/>
                          </w:tabs>
                          <w:spacing w:line="230" w:lineRule="exact"/>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6 其他需要关注的事项</w:t>
                          <w:tab/>
                        </w:r>
                      </w:p>
                    </w:tc>
                    <w:tc>
                      <w:tcPr>
                        <w:tcW w:w="3314" w:type="dxa"/>
                      </w:tcPr>
                      <w:p>
                        <w:pPr>
                          <w:pStyle w:val="TableParagraph"/>
                          <w:spacing w:before="33"/>
                          <w:ind w:left="227"/>
                          <w:rPr>
                            <w:rFonts w:ascii="黑体" w:eastAsia="黑体" w:hint="eastAsia"/>
                            <w:sz w:val="18"/>
                          </w:rPr>
                        </w:pPr>
                        <w:r>
                          <w:rPr>
                            <w:rFonts w:ascii="黑体" w:eastAsia="黑体" w:hint="eastAsia"/>
                            <w:sz w:val="18"/>
                          </w:rPr>
                          <w:t>8.7 酒后驾驶</w:t>
                        </w:r>
                      </w:p>
                    </w:tc>
                  </w:tr>
                  <w:tr>
                    <w:trPr>
                      <w:trHeight w:val="320"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2.1 保险金额</w:t>
                        </w:r>
                      </w:p>
                    </w:tc>
                    <w:tc>
                      <w:tcPr>
                        <w:tcW w:w="2958" w:type="dxa"/>
                      </w:tcPr>
                      <w:p>
                        <w:pPr>
                          <w:pStyle w:val="TableParagraph"/>
                          <w:spacing w:line="230" w:lineRule="exact"/>
                          <w:ind w:left="257"/>
                          <w:rPr>
                            <w:rFonts w:ascii="黑体" w:eastAsia="黑体" w:hint="eastAsia"/>
                            <w:sz w:val="18"/>
                          </w:rPr>
                        </w:pPr>
                        <w:r>
                          <w:rPr>
                            <w:rFonts w:ascii="黑体" w:eastAsia="黑体" w:hint="eastAsia"/>
                            <w:sz w:val="18"/>
                          </w:rPr>
                          <w:t>6.1 与主险合同效力的关系</w:t>
                        </w:r>
                      </w:p>
                    </w:tc>
                    <w:tc>
                      <w:tcPr>
                        <w:tcW w:w="3314" w:type="dxa"/>
                      </w:tcPr>
                      <w:p>
                        <w:pPr>
                          <w:pStyle w:val="TableParagraph"/>
                          <w:spacing w:before="33"/>
                          <w:ind w:left="227"/>
                          <w:rPr>
                            <w:rFonts w:ascii="黑体" w:eastAsia="黑体" w:hint="eastAsia"/>
                            <w:sz w:val="18"/>
                          </w:rPr>
                        </w:pPr>
                        <w:r>
                          <w:rPr>
                            <w:rFonts w:ascii="黑体" w:eastAsia="黑体" w:hint="eastAsia"/>
                            <w:sz w:val="18"/>
                          </w:rPr>
                          <w:t>8.8 无合法有效驾驶证驾驶</w:t>
                        </w:r>
                      </w:p>
                    </w:tc>
                  </w:tr>
                  <w:tr>
                    <w:trPr>
                      <w:trHeight w:val="320" w:hRule="atLeast"/>
                    </w:trPr>
                    <w:tc>
                      <w:tcPr>
                        <w:tcW w:w="2257" w:type="dxa"/>
                      </w:tcPr>
                      <w:p>
                        <w:pPr>
                          <w:pStyle w:val="TableParagraph"/>
                          <w:spacing w:line="232" w:lineRule="exact"/>
                          <w:rPr>
                            <w:rFonts w:ascii="黑体" w:eastAsia="黑体" w:hint="eastAsia"/>
                            <w:sz w:val="18"/>
                          </w:rPr>
                        </w:pPr>
                        <w:r>
                          <w:rPr>
                            <w:rFonts w:ascii="黑体" w:eastAsia="黑体" w:hint="eastAsia"/>
                            <w:sz w:val="18"/>
                          </w:rPr>
                          <w:t>2.2 保险期间</w:t>
                        </w:r>
                      </w:p>
                    </w:tc>
                    <w:tc>
                      <w:tcPr>
                        <w:tcW w:w="2958" w:type="dxa"/>
                      </w:tcPr>
                      <w:p>
                        <w:pPr>
                          <w:pStyle w:val="TableParagraph"/>
                          <w:spacing w:line="232" w:lineRule="exact"/>
                          <w:ind w:left="257"/>
                          <w:rPr>
                            <w:rFonts w:ascii="黑体" w:eastAsia="黑体" w:hint="eastAsia"/>
                            <w:sz w:val="18"/>
                          </w:rPr>
                        </w:pPr>
                        <w:r>
                          <w:rPr>
                            <w:rFonts w:ascii="黑体" w:eastAsia="黑体" w:hint="eastAsia"/>
                            <w:sz w:val="18"/>
                          </w:rPr>
                          <w:t>6.2 适用主险合同条款</w:t>
                        </w:r>
                      </w:p>
                    </w:tc>
                    <w:tc>
                      <w:tcPr>
                        <w:tcW w:w="3314" w:type="dxa"/>
                      </w:tcPr>
                      <w:p>
                        <w:pPr>
                          <w:pStyle w:val="TableParagraph"/>
                          <w:spacing w:before="34"/>
                          <w:ind w:left="227"/>
                          <w:rPr>
                            <w:rFonts w:ascii="黑体" w:eastAsia="黑体" w:hint="eastAsia"/>
                            <w:sz w:val="18"/>
                          </w:rPr>
                        </w:pPr>
                        <w:r>
                          <w:rPr>
                            <w:rFonts w:ascii="黑体" w:eastAsia="黑体" w:hint="eastAsia"/>
                            <w:sz w:val="18"/>
                          </w:rPr>
                          <w:t>8.9 无有效行驶证</w:t>
                        </w:r>
                      </w:p>
                    </w:tc>
                  </w:tr>
                  <w:tr>
                    <w:trPr>
                      <w:trHeight w:val="319"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2.3 保险责任</w:t>
                        </w:r>
                      </w:p>
                    </w:tc>
                    <w:tc>
                      <w:tcPr>
                        <w:tcW w:w="2958" w:type="dxa"/>
                      </w:tcPr>
                      <w:p>
                        <w:pPr>
                          <w:pStyle w:val="TableParagraph"/>
                          <w:spacing w:line="230" w:lineRule="exact"/>
                          <w:ind w:left="257"/>
                          <w:rPr>
                            <w:rFonts w:ascii="黑体" w:eastAsia="黑体" w:hint="eastAsia"/>
                            <w:sz w:val="18"/>
                          </w:rPr>
                        </w:pPr>
                        <w:r>
                          <w:rPr>
                            <w:rFonts w:ascii="黑体" w:eastAsia="黑体" w:hint="eastAsia"/>
                            <w:sz w:val="18"/>
                          </w:rPr>
                          <w:t>6.3 年龄和性别确定与错误处理</w:t>
                        </w:r>
                      </w:p>
                    </w:tc>
                    <w:tc>
                      <w:tcPr>
                        <w:tcW w:w="3314" w:type="dxa"/>
                      </w:tcPr>
                      <w:p>
                        <w:pPr>
                          <w:pStyle w:val="TableParagraph"/>
                          <w:spacing w:before="33"/>
                          <w:ind w:left="227"/>
                          <w:rPr>
                            <w:rFonts w:ascii="黑体" w:eastAsia="黑体" w:hint="eastAsia"/>
                            <w:sz w:val="18"/>
                          </w:rPr>
                        </w:pPr>
                        <w:r>
                          <w:rPr>
                            <w:rFonts w:ascii="黑体" w:eastAsia="黑体" w:hint="eastAsia"/>
                            <w:sz w:val="18"/>
                          </w:rPr>
                          <w:t>8.10 机动车</w:t>
                        </w:r>
                      </w:p>
                    </w:tc>
                  </w:tr>
                  <w:tr>
                    <w:trPr>
                      <w:trHeight w:val="320"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2.4 责任免除</w:t>
                        </w:r>
                      </w:p>
                    </w:tc>
                    <w:tc>
                      <w:tcPr>
                        <w:tcW w:w="2958" w:type="dxa"/>
                      </w:tcPr>
                      <w:p>
                        <w:pPr>
                          <w:pStyle w:val="TableParagraph"/>
                          <w:tabs>
                            <w:tab w:pos="2693" w:val="left" w:leader="none"/>
                          </w:tabs>
                          <w:spacing w:line="230" w:lineRule="exact"/>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7 重大疾病及特定疾病</w:t>
                          <w:tab/>
                        </w:r>
                      </w:p>
                    </w:tc>
                    <w:tc>
                      <w:tcPr>
                        <w:tcW w:w="3314" w:type="dxa"/>
                      </w:tcPr>
                      <w:p>
                        <w:pPr>
                          <w:pStyle w:val="TableParagraph"/>
                          <w:spacing w:before="33"/>
                          <w:ind w:left="227"/>
                          <w:rPr>
                            <w:rFonts w:ascii="黑体" w:eastAsia="黑体" w:hint="eastAsia"/>
                            <w:sz w:val="18"/>
                          </w:rPr>
                        </w:pPr>
                        <w:r>
                          <w:rPr>
                            <w:rFonts w:ascii="黑体" w:eastAsia="黑体" w:hint="eastAsia"/>
                            <w:sz w:val="18"/>
                          </w:rPr>
                          <w:t>8.11 遗传性疾病</w:t>
                        </w:r>
                      </w:p>
                    </w:tc>
                  </w:tr>
                  <w:tr>
                    <w:trPr>
                      <w:trHeight w:val="320" w:hRule="atLeast"/>
                    </w:trPr>
                    <w:tc>
                      <w:tcPr>
                        <w:tcW w:w="2257" w:type="dxa"/>
                      </w:tcPr>
                      <w:p>
                        <w:pPr>
                          <w:pStyle w:val="TableParagraph"/>
                          <w:spacing w:line="232" w:lineRule="exact"/>
                          <w:ind w:left="91"/>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3</w:t>
                        </w:r>
                        <w:r>
                          <w:rPr>
                            <w:rFonts w:ascii="黑体" w:eastAsia="黑体" w:hint="eastAsia"/>
                            <w:spacing w:val="-1"/>
                            <w:sz w:val="18"/>
                            <w:shd w:fill="A6A6A6" w:color="auto" w:val="clear"/>
                          </w:rPr>
                          <w:t> 如何申请领取保险金</w:t>
                        </w:r>
                        <w:r>
                          <w:rPr>
                            <w:rFonts w:ascii="黑体" w:eastAsia="黑体" w:hint="eastAsia"/>
                            <w:spacing w:val="-41"/>
                            <w:sz w:val="18"/>
                            <w:shd w:fill="A6A6A6" w:color="auto" w:val="clear"/>
                          </w:rPr>
                          <w:t> </w:t>
                        </w:r>
                      </w:p>
                    </w:tc>
                    <w:tc>
                      <w:tcPr>
                        <w:tcW w:w="2958" w:type="dxa"/>
                      </w:tcPr>
                      <w:p>
                        <w:pPr>
                          <w:pStyle w:val="TableParagraph"/>
                          <w:spacing w:line="232" w:lineRule="exact"/>
                          <w:ind w:left="257"/>
                          <w:rPr>
                            <w:rFonts w:ascii="黑体" w:eastAsia="黑体" w:hint="eastAsia"/>
                            <w:sz w:val="18"/>
                          </w:rPr>
                        </w:pPr>
                        <w:r>
                          <w:rPr>
                            <w:rFonts w:ascii="黑体" w:eastAsia="黑体" w:hint="eastAsia"/>
                            <w:sz w:val="18"/>
                          </w:rPr>
                          <w:t>7.1 重大疾病的范围及定义</w:t>
                        </w:r>
                      </w:p>
                    </w:tc>
                    <w:tc>
                      <w:tcPr>
                        <w:tcW w:w="3314" w:type="dxa"/>
                      </w:tcPr>
                      <w:p>
                        <w:pPr>
                          <w:pStyle w:val="TableParagraph"/>
                          <w:spacing w:before="34"/>
                          <w:ind w:left="227"/>
                          <w:rPr>
                            <w:rFonts w:ascii="黑体" w:eastAsia="黑体" w:hint="eastAsia"/>
                            <w:sz w:val="18"/>
                          </w:rPr>
                        </w:pPr>
                        <w:r>
                          <w:rPr>
                            <w:rFonts w:ascii="黑体" w:eastAsia="黑体" w:hint="eastAsia"/>
                            <w:sz w:val="18"/>
                          </w:rPr>
                          <w:t>8.12 先天性畸形、变形或染色体异常</w:t>
                        </w:r>
                      </w:p>
                    </w:tc>
                  </w:tr>
                  <w:tr>
                    <w:trPr>
                      <w:trHeight w:val="319"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3.1 受益人</w:t>
                        </w:r>
                      </w:p>
                    </w:tc>
                    <w:tc>
                      <w:tcPr>
                        <w:tcW w:w="2958" w:type="dxa"/>
                      </w:tcPr>
                      <w:p>
                        <w:pPr>
                          <w:pStyle w:val="TableParagraph"/>
                          <w:spacing w:line="230" w:lineRule="exact"/>
                          <w:ind w:left="257"/>
                          <w:rPr>
                            <w:rFonts w:ascii="黑体" w:eastAsia="黑体" w:hint="eastAsia"/>
                            <w:sz w:val="18"/>
                          </w:rPr>
                        </w:pPr>
                        <w:r>
                          <w:rPr>
                            <w:rFonts w:ascii="黑体" w:eastAsia="黑体" w:hint="eastAsia"/>
                            <w:sz w:val="18"/>
                          </w:rPr>
                          <w:t>7.2 特定疾病的范围及定义</w:t>
                        </w:r>
                      </w:p>
                    </w:tc>
                    <w:tc>
                      <w:tcPr>
                        <w:tcW w:w="3314" w:type="dxa"/>
                      </w:tcPr>
                      <w:p>
                        <w:pPr>
                          <w:pStyle w:val="TableParagraph"/>
                          <w:spacing w:before="33"/>
                          <w:ind w:left="227"/>
                          <w:rPr>
                            <w:rFonts w:ascii="黑体" w:eastAsia="黑体" w:hint="eastAsia"/>
                            <w:sz w:val="18"/>
                          </w:rPr>
                        </w:pPr>
                        <w:r>
                          <w:rPr>
                            <w:rFonts w:ascii="黑体" w:eastAsia="黑体" w:hint="eastAsia"/>
                            <w:sz w:val="18"/>
                          </w:rPr>
                          <w:t>8.13 感染艾滋病病毒或患艾滋病</w:t>
                        </w:r>
                      </w:p>
                    </w:tc>
                  </w:tr>
                  <w:tr>
                    <w:trPr>
                      <w:trHeight w:val="296" w:hRule="atLeast"/>
                    </w:trPr>
                    <w:tc>
                      <w:tcPr>
                        <w:tcW w:w="2257" w:type="dxa"/>
                      </w:tcPr>
                      <w:p>
                        <w:pPr>
                          <w:pStyle w:val="TableParagraph"/>
                          <w:spacing w:line="230" w:lineRule="exact"/>
                          <w:rPr>
                            <w:rFonts w:ascii="黑体" w:eastAsia="黑体" w:hint="eastAsia"/>
                            <w:sz w:val="18"/>
                          </w:rPr>
                        </w:pPr>
                        <w:r>
                          <w:rPr>
                            <w:rFonts w:ascii="黑体" w:eastAsia="黑体" w:hint="eastAsia"/>
                            <w:sz w:val="18"/>
                          </w:rPr>
                          <w:t>3.2 保险金申请</w:t>
                        </w:r>
                      </w:p>
                    </w:tc>
                    <w:tc>
                      <w:tcPr>
                        <w:tcW w:w="2958" w:type="dxa"/>
                      </w:tcPr>
                      <w:p>
                        <w:pPr>
                          <w:pStyle w:val="TableParagraph"/>
                          <w:tabs>
                            <w:tab w:pos="2693" w:val="left" w:leader="none"/>
                          </w:tabs>
                          <w:spacing w:line="230" w:lineRule="exact"/>
                          <w:ind w:left="0" w:right="113"/>
                          <w:jc w:val="right"/>
                          <w:rPr>
                            <w:rFonts w:ascii="黑体" w:eastAsia="黑体" w:hint="eastAsia"/>
                            <w:sz w:val="18"/>
                          </w:rPr>
                        </w:pPr>
                        <w:r>
                          <w:rPr>
                            <w:rFonts w:ascii="黑体" w:eastAsia="黑体" w:hint="eastAsia"/>
                            <w:sz w:val="18"/>
                            <w:shd w:fill="A6A6A6" w:color="auto" w:val="clear"/>
                          </w:rPr>
                          <w:t> </w:t>
                        </w:r>
                        <w:r>
                          <w:rPr>
                            <w:rFonts w:ascii="黑体" w:eastAsia="黑体" w:hint="eastAsia"/>
                            <w:spacing w:val="-72"/>
                            <w:sz w:val="18"/>
                            <w:shd w:fill="A6A6A6" w:color="auto" w:val="clear"/>
                          </w:rPr>
                          <w:t> </w:t>
                        </w:r>
                        <w:r>
                          <w:rPr>
                            <w:rFonts w:ascii="黑体" w:eastAsia="黑体" w:hint="eastAsia"/>
                            <w:sz w:val="18"/>
                            <w:shd w:fill="A6A6A6" w:color="auto" w:val="clear"/>
                          </w:rPr>
                          <w:t>8 释义</w:t>
                          <w:tab/>
                        </w:r>
                      </w:p>
                    </w:tc>
                    <w:tc>
                      <w:tcPr>
                        <w:tcW w:w="3314" w:type="dxa"/>
                      </w:tcPr>
                      <w:p>
                        <w:pPr>
                          <w:pStyle w:val="TableParagraph"/>
                          <w:spacing w:line="230" w:lineRule="exact"/>
                          <w:ind w:left="227"/>
                          <w:rPr>
                            <w:rFonts w:ascii="黑体" w:eastAsia="黑体" w:hint="eastAsia"/>
                            <w:sz w:val="18"/>
                          </w:rPr>
                        </w:pPr>
                        <w:r>
                          <w:rPr>
                            <w:rFonts w:ascii="黑体" w:eastAsia="黑体" w:hint="eastAsia"/>
                            <w:sz w:val="18"/>
                          </w:rPr>
                          <w:t>8.14 现金价值</w:t>
                        </w:r>
                      </w:p>
                    </w:tc>
                  </w:tr>
                  <w:tr>
                    <w:trPr>
                      <w:trHeight w:val="245" w:hRule="atLeast"/>
                    </w:trPr>
                    <w:tc>
                      <w:tcPr>
                        <w:tcW w:w="2257" w:type="dxa"/>
                      </w:tcPr>
                      <w:p>
                        <w:pPr>
                          <w:pStyle w:val="TableParagraph"/>
                          <w:spacing w:line="216" w:lineRule="exact" w:before="10"/>
                          <w:rPr>
                            <w:rFonts w:ascii="黑体" w:eastAsia="黑体" w:hint="eastAsia"/>
                            <w:sz w:val="18"/>
                          </w:rPr>
                        </w:pPr>
                        <w:r>
                          <w:rPr>
                            <w:rFonts w:ascii="黑体" w:eastAsia="黑体" w:hint="eastAsia"/>
                            <w:sz w:val="18"/>
                          </w:rPr>
                          <w:t>3.3 保险金给付</w:t>
                        </w:r>
                      </w:p>
                    </w:tc>
                    <w:tc>
                      <w:tcPr>
                        <w:tcW w:w="2958" w:type="dxa"/>
                      </w:tcPr>
                      <w:p>
                        <w:pPr>
                          <w:pStyle w:val="TableParagraph"/>
                          <w:spacing w:line="216" w:lineRule="exact" w:before="10"/>
                          <w:ind w:left="257"/>
                          <w:rPr>
                            <w:rFonts w:ascii="黑体" w:eastAsia="黑体" w:hint="eastAsia"/>
                            <w:sz w:val="18"/>
                          </w:rPr>
                        </w:pPr>
                        <w:r>
                          <w:rPr>
                            <w:rFonts w:ascii="黑体" w:eastAsia="黑体" w:hint="eastAsia"/>
                            <w:sz w:val="18"/>
                          </w:rPr>
                          <w:t>8.1 合同Th效日对应日</w:t>
                        </w:r>
                      </w:p>
                    </w:tc>
                    <w:tc>
                      <w:tcPr>
                        <w:tcW w:w="3314" w:type="dxa"/>
                      </w:tcPr>
                      <w:p>
                        <w:pPr>
                          <w:pStyle w:val="TableParagraph"/>
                          <w:ind w:left="0"/>
                          <w:rPr>
                            <w:rFonts w:ascii="Times New Roman"/>
                            <w:sz w:val="16"/>
                          </w:rPr>
                        </w:pPr>
                      </w:p>
                    </w:tc>
                  </w:tr>
                </w:tbl>
                <w:p>
                  <w:pPr>
                    <w:pStyle w:val="BodyText"/>
                  </w:pPr>
                </w:p>
              </w:txbxContent>
            </v:textbox>
            <w10:wrap type="none"/>
          </v:shape>
        </w:pict>
      </w:r>
      <w:r>
        <w:rPr>
          <w:rFonts w:ascii="Arial" w:hAnsi="Arial" w:eastAsia="Arial"/>
          <w:b/>
          <w:w w:val="110"/>
          <w:position w:val="-11"/>
          <w:sz w:val="48"/>
        </w:rPr>
        <w:t></w:t>
        <w:tab/>
      </w:r>
      <w:r>
        <w:rPr>
          <w:rFonts w:ascii="黑体" w:hAnsi="黑体" w:eastAsia="黑体" w:hint="eastAsia"/>
          <w:b/>
          <w:sz w:val="21"/>
        </w:rPr>
        <w:t>条款目录</w:t>
      </w:r>
    </w:p>
    <w:p>
      <w:pPr>
        <w:spacing w:after="0" w:line="446" w:lineRule="exact"/>
        <w:jc w:val="left"/>
        <w:rPr>
          <w:rFonts w:ascii="黑体" w:hAnsi="黑体" w:eastAsia="黑体" w:hint="eastAsia"/>
          <w:sz w:val="21"/>
        </w:rPr>
        <w:sectPr>
          <w:type w:val="continuous"/>
          <w:pgSz w:w="11910" w:h="16840"/>
          <w:pgMar w:top="140" w:bottom="280" w:left="1020" w:right="160"/>
        </w:sectPr>
      </w:pPr>
    </w:p>
    <w:p>
      <w:pPr>
        <w:pStyle w:val="Heading1"/>
        <w:spacing w:line="364" w:lineRule="exact"/>
        <w:ind w:left="3005"/>
      </w:pPr>
      <w:r>
        <w:rPr>
          <w:w w:val="95"/>
        </w:rPr>
        <w:t>国联人寿保险股份有限公司</w:t>
      </w:r>
    </w:p>
    <w:p>
      <w:pPr>
        <w:spacing w:line="390" w:lineRule="exact" w:before="0"/>
        <w:ind w:left="2040" w:right="0" w:firstLine="0"/>
        <w:jc w:val="left"/>
        <w:rPr>
          <w:rFonts w:ascii="黑体" w:eastAsia="黑体" w:hint="eastAsia"/>
          <w:b/>
          <w:sz w:val="32"/>
        </w:rPr>
      </w:pPr>
      <w:r>
        <w:rPr>
          <w:rFonts w:ascii="黑体" w:eastAsia="黑体" w:hint="eastAsia"/>
          <w:b/>
          <w:w w:val="95"/>
          <w:sz w:val="32"/>
        </w:rPr>
        <w:t>附加康健人Th提前给付重大疾病保险条款</w:t>
      </w:r>
    </w:p>
    <w:p>
      <w:pPr>
        <w:pStyle w:val="BodyText"/>
        <w:spacing w:before="4"/>
        <w:rPr>
          <w:rFonts w:ascii="黑体"/>
          <w:b/>
          <w:sz w:val="27"/>
        </w:rPr>
      </w:pPr>
    </w:p>
    <w:p>
      <w:pPr>
        <w:pStyle w:val="BodyText"/>
        <w:spacing w:line="278" w:lineRule="auto"/>
        <w:ind w:left="112" w:right="107" w:firstLine="420"/>
      </w:pPr>
      <w:r>
        <w:rPr>
          <w:spacing w:val="-20"/>
          <w:w w:val="100"/>
        </w:rPr>
        <w:t>在本附加险条款中，“您”指投保人，“我们”指国联人寿保险股份有限公司，“本附加险合同”指您</w:t>
      </w:r>
      <w:r>
        <w:rPr>
          <w:spacing w:val="-12"/>
        </w:rPr>
        <w:t>与我们之间订立的“附加康健人生提前给付重大疾病保险合同”。</w:t>
      </w:r>
    </w:p>
    <w:p>
      <w:pPr>
        <w:pStyle w:val="BodyText"/>
        <w:spacing w:before="2"/>
        <w:rPr>
          <w:sz w:val="10"/>
        </w:rPr>
      </w:pPr>
      <w:r>
        <w:rPr/>
        <w:pict>
          <v:shape style="position:absolute;margin-left:59.040001pt;margin-top:7.863071pt;width:474.95pt;height:15.6pt;mso-position-horizontal-relative:page;mso-position-vertical-relative:paragraph;z-index:1096;mso-wrap-distance-left:0;mso-wrap-distance-right:0" type="#_x0000_t202" filled="true" fillcolor="#a6a6a6" stroked="false">
            <v:textbox inset="0,0,0,0">
              <w:txbxContent>
                <w:p>
                  <w:pPr>
                    <w:tabs>
                      <w:tab w:pos="780" w:val="left" w:leader="none"/>
                    </w:tabs>
                    <w:spacing w:line="262" w:lineRule="exact" w:before="0"/>
                    <w:ind w:left="108" w:right="0" w:firstLine="0"/>
                    <w:jc w:val="left"/>
                    <w:rPr>
                      <w:rFonts w:ascii="黑体" w:eastAsia="黑体" w:hint="eastAsia"/>
                      <w:b/>
                      <w:sz w:val="21"/>
                    </w:rPr>
                  </w:pPr>
                  <w:r>
                    <w:rPr>
                      <w:rFonts w:ascii="黑体" w:eastAsia="黑体" w:hint="eastAsia"/>
                      <w:b/>
                      <w:sz w:val="21"/>
                    </w:rPr>
                    <w:t>1</w:t>
                    <w:tab/>
                    <w:t>您与我们订立的合同</w:t>
                  </w:r>
                </w:p>
              </w:txbxContent>
            </v:textbox>
            <v:fill type="solid"/>
            <w10:wrap type="topAndBottom"/>
          </v:shape>
        </w:pict>
      </w:r>
    </w:p>
    <w:p>
      <w:pPr>
        <w:pStyle w:val="BodyText"/>
        <w:spacing w:before="12"/>
        <w:rPr>
          <w:sz w:val="5"/>
        </w:rPr>
      </w:pPr>
    </w:p>
    <w:p>
      <w:pPr>
        <w:pStyle w:val="ListParagraph"/>
        <w:numPr>
          <w:ilvl w:val="1"/>
          <w:numId w:val="2"/>
        </w:numPr>
        <w:tabs>
          <w:tab w:pos="942" w:val="left" w:leader="none"/>
        </w:tabs>
        <w:spacing w:line="273" w:lineRule="auto" w:before="36" w:after="0"/>
        <w:ind w:left="2683" w:right="143" w:hanging="2414"/>
        <w:jc w:val="both"/>
        <w:rPr>
          <w:sz w:val="21"/>
        </w:rPr>
      </w:pPr>
      <w:r>
        <w:rPr>
          <w:rFonts w:ascii="黑体" w:eastAsia="黑体" w:hint="eastAsia"/>
          <w:spacing w:val="7"/>
          <w:sz w:val="21"/>
        </w:rPr>
        <w:t>合同构成       </w:t>
      </w:r>
      <w:r>
        <w:rPr>
          <w:spacing w:val="-3"/>
          <w:sz w:val="21"/>
        </w:rPr>
        <w:t>本附加险合同是您与我们约定保险权利义务关系的协议，包括本保险条款、</w:t>
      </w:r>
      <w:r>
        <w:rPr>
          <w:spacing w:val="-9"/>
          <w:sz w:val="21"/>
        </w:rPr>
        <w:t>保险单、投保单及其他投保文件、合法有效的声明、批注、批单及其他您与</w:t>
      </w:r>
      <w:r>
        <w:rPr>
          <w:spacing w:val="-5"/>
          <w:sz w:val="21"/>
        </w:rPr>
        <w:t>我们共同签订的书面协议。</w:t>
      </w:r>
    </w:p>
    <w:p>
      <w:pPr>
        <w:pStyle w:val="ListParagraph"/>
        <w:numPr>
          <w:ilvl w:val="1"/>
          <w:numId w:val="2"/>
        </w:numPr>
        <w:tabs>
          <w:tab w:pos="941" w:val="left" w:leader="none"/>
          <w:tab w:pos="942" w:val="left" w:leader="none"/>
          <w:tab w:pos="2683" w:val="left" w:leader="none"/>
        </w:tabs>
        <w:spacing w:line="240" w:lineRule="auto" w:before="152" w:after="0"/>
        <w:ind w:left="2683" w:right="0" w:hanging="2414"/>
        <w:jc w:val="left"/>
        <w:rPr>
          <w:sz w:val="21"/>
        </w:rPr>
      </w:pPr>
      <w:r>
        <w:rPr>
          <w:rFonts w:ascii="黑体" w:eastAsia="黑体" w:hint="eastAsia"/>
          <w:position w:val="2"/>
          <w:sz w:val="21"/>
        </w:rPr>
        <w:t>合同</w:t>
      </w:r>
      <w:r>
        <w:rPr>
          <w:rFonts w:ascii="黑体" w:eastAsia="黑体" w:hint="eastAsia"/>
          <w:spacing w:val="-3"/>
          <w:position w:val="2"/>
          <w:sz w:val="21"/>
        </w:rPr>
        <w:t>成</w:t>
      </w:r>
      <w:r>
        <w:rPr>
          <w:rFonts w:ascii="黑体" w:eastAsia="黑体" w:hint="eastAsia"/>
          <w:position w:val="2"/>
          <w:sz w:val="21"/>
        </w:rPr>
        <w:t>立</w:t>
      </w:r>
      <w:r>
        <w:rPr>
          <w:rFonts w:ascii="黑体" w:eastAsia="黑体" w:hint="eastAsia"/>
          <w:spacing w:val="-3"/>
          <w:position w:val="2"/>
          <w:sz w:val="21"/>
        </w:rPr>
        <w:t>与</w:t>
      </w:r>
      <w:r>
        <w:rPr>
          <w:rFonts w:ascii="黑体" w:eastAsia="黑体" w:hint="eastAsia"/>
          <w:position w:val="2"/>
          <w:sz w:val="21"/>
        </w:rPr>
        <w:t>Th效</w:t>
        <w:tab/>
      </w:r>
      <w:r>
        <w:rPr>
          <w:spacing w:val="-1"/>
          <w:sz w:val="21"/>
        </w:rPr>
        <w:t>您提</w:t>
      </w:r>
      <w:r>
        <w:rPr>
          <w:spacing w:val="-3"/>
          <w:sz w:val="21"/>
        </w:rPr>
        <w:t>出</w:t>
      </w:r>
      <w:r>
        <w:rPr>
          <w:spacing w:val="-1"/>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，本附</w:t>
      </w:r>
      <w:r>
        <w:rPr>
          <w:spacing w:val="-3"/>
          <w:sz w:val="21"/>
        </w:rPr>
        <w:t>加</w:t>
      </w:r>
      <w:r>
        <w:rPr>
          <w:sz w:val="21"/>
        </w:rPr>
        <w:t>险</w:t>
      </w:r>
      <w:r>
        <w:rPr>
          <w:spacing w:val="-3"/>
          <w:sz w:val="21"/>
        </w:rPr>
        <w:t>合</w:t>
      </w:r>
      <w:r>
        <w:rPr>
          <w:sz w:val="21"/>
        </w:rPr>
        <w:t>同</w:t>
      </w:r>
      <w:r>
        <w:rPr>
          <w:spacing w:val="-3"/>
          <w:sz w:val="21"/>
        </w:rPr>
        <w:t>成</w:t>
      </w:r>
      <w:r>
        <w:rPr>
          <w:sz w:val="21"/>
        </w:rPr>
        <w:t>立。</w:t>
      </w:r>
    </w:p>
    <w:p>
      <w:pPr>
        <w:spacing w:line="273" w:lineRule="auto" w:before="19"/>
        <w:ind w:left="2683" w:right="210" w:firstLine="0"/>
        <w:jc w:val="both"/>
        <w:rPr>
          <w:sz w:val="21"/>
        </w:rPr>
      </w:pPr>
      <w:r>
        <w:rPr>
          <w:spacing w:val="-7"/>
          <w:sz w:val="21"/>
        </w:rPr>
        <w:t>本附加险合同自我们同意承保、收取保险费并签发保险单后生效，具体生效</w:t>
      </w:r>
      <w:r>
        <w:rPr>
          <w:spacing w:val="-5"/>
          <w:sz w:val="21"/>
        </w:rPr>
        <w:t>日以保险单所载的日期为准，</w:t>
      </w:r>
      <w:r>
        <w:rPr>
          <w:b/>
          <w:sz w:val="21"/>
        </w:rPr>
        <w:t>合同生效日对应日</w:t>
      </w:r>
      <w:r>
        <w:rPr>
          <w:b/>
          <w:spacing w:val="-3"/>
          <w:sz w:val="21"/>
        </w:rPr>
        <w:t>（</w:t>
      </w:r>
      <w:r>
        <w:rPr>
          <w:b/>
          <w:sz w:val="21"/>
        </w:rPr>
        <w:t>见释义</w:t>
      </w:r>
      <w:r>
        <w:rPr>
          <w:b/>
          <w:spacing w:val="-106"/>
          <w:sz w:val="21"/>
        </w:rPr>
        <w:t>）</w:t>
      </w:r>
      <w:r>
        <w:rPr>
          <w:spacing w:val="-3"/>
          <w:sz w:val="21"/>
        </w:rPr>
        <w:t>、</w:t>
      </w:r>
      <w:r>
        <w:rPr>
          <w:b/>
          <w:sz w:val="21"/>
        </w:rPr>
        <w:t>保险费约定支付日（见释义）</w:t>
      </w:r>
      <w:r>
        <w:rPr>
          <w:spacing w:val="-3"/>
          <w:sz w:val="21"/>
        </w:rPr>
        <w:t>以该日期计算。</w:t>
      </w:r>
    </w:p>
    <w:p>
      <w:pPr>
        <w:pStyle w:val="ListParagraph"/>
        <w:numPr>
          <w:ilvl w:val="1"/>
          <w:numId w:val="2"/>
        </w:numPr>
        <w:tabs>
          <w:tab w:pos="942" w:val="left" w:leader="none"/>
        </w:tabs>
        <w:spacing w:line="273" w:lineRule="auto" w:before="151" w:after="0"/>
        <w:ind w:left="2683" w:right="210" w:hanging="2414"/>
        <w:jc w:val="both"/>
        <w:rPr>
          <w:sz w:val="21"/>
        </w:rPr>
      </w:pPr>
      <w:r>
        <w:rPr>
          <w:rFonts w:ascii="黑体" w:eastAsia="黑体" w:hint="eastAsia"/>
          <w:spacing w:val="7"/>
          <w:sz w:val="21"/>
        </w:rPr>
        <w:t>投保年龄       </w:t>
      </w:r>
      <w:r>
        <w:rPr>
          <w:spacing w:val="-8"/>
          <w:sz w:val="21"/>
        </w:rPr>
        <w:t>指您投保时被保险人的年龄，本附加险合同接受的被保险人的投保年龄范围</w:t>
      </w:r>
      <w:r>
        <w:rPr>
          <w:spacing w:val="-15"/>
          <w:sz w:val="21"/>
        </w:rPr>
        <w:t>为出生满 </w:t>
      </w:r>
      <w:r>
        <w:rPr>
          <w:sz w:val="21"/>
        </w:rPr>
        <w:t>28</w:t>
      </w:r>
      <w:r>
        <w:rPr>
          <w:spacing w:val="-27"/>
          <w:sz w:val="21"/>
        </w:rPr>
        <w:t> 天至 </w:t>
      </w:r>
      <w:r>
        <w:rPr>
          <w:sz w:val="21"/>
        </w:rPr>
        <w:t>60</w:t>
      </w:r>
      <w:r>
        <w:rPr>
          <w:spacing w:val="-53"/>
          <w:sz w:val="21"/>
        </w:rPr>
        <w:t> </w:t>
      </w:r>
      <w:r>
        <w:rPr>
          <w:b/>
          <w:spacing w:val="-2"/>
          <w:sz w:val="21"/>
        </w:rPr>
        <w:t>周岁</w:t>
      </w:r>
      <w:r>
        <w:rPr>
          <w:b/>
          <w:sz w:val="21"/>
        </w:rPr>
        <w:t>（见释义）</w:t>
      </w:r>
      <w:r>
        <w:rPr>
          <w:sz w:val="21"/>
        </w:rPr>
        <w:t>。</w:t>
      </w:r>
    </w:p>
    <w:p>
      <w:pPr>
        <w:pStyle w:val="ListParagraph"/>
        <w:numPr>
          <w:ilvl w:val="1"/>
          <w:numId w:val="2"/>
        </w:numPr>
        <w:tabs>
          <w:tab w:pos="942" w:val="left" w:leader="none"/>
          <w:tab w:pos="2683" w:val="left" w:leader="none"/>
        </w:tabs>
        <w:spacing w:line="273" w:lineRule="auto" w:before="149" w:after="0"/>
        <w:ind w:left="2683" w:right="210" w:hanging="2414"/>
        <w:jc w:val="both"/>
        <w:rPr>
          <w:sz w:val="21"/>
        </w:rPr>
      </w:pPr>
      <w:r>
        <w:rPr>
          <w:rFonts w:ascii="黑体" w:eastAsia="黑体" w:hint="eastAsia"/>
          <w:sz w:val="21"/>
        </w:rPr>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次</w:t>
      </w:r>
      <w:r>
        <w:rPr>
          <w:sz w:val="21"/>
        </w:rPr>
        <w:t>日起，有</w:t>
      </w:r>
      <w:r>
        <w:rPr>
          <w:spacing w:val="-38"/>
          <w:sz w:val="21"/>
        </w:rPr>
        <w:t> </w:t>
      </w:r>
      <w:r>
        <w:rPr>
          <w:sz w:val="21"/>
        </w:rPr>
        <w:t>10</w:t>
      </w:r>
      <w:r>
        <w:rPr>
          <w:spacing w:val="-38"/>
          <w:sz w:val="21"/>
        </w:rPr>
        <w:t> </w:t>
      </w:r>
      <w:r>
        <w:rPr>
          <w:spacing w:val="-3"/>
          <w:sz w:val="21"/>
        </w:rPr>
        <w:t>日</w:t>
      </w:r>
      <w:r>
        <w:rPr>
          <w:sz w:val="21"/>
        </w:rPr>
        <w:t>的</w:t>
      </w:r>
      <w:r>
        <w:rPr>
          <w:spacing w:val="-3"/>
          <w:sz w:val="21"/>
        </w:rPr>
        <w:t>犹</w:t>
      </w:r>
      <w:r>
        <w:rPr>
          <w:sz w:val="21"/>
        </w:rPr>
        <w:t>豫</w:t>
      </w:r>
      <w:r>
        <w:rPr>
          <w:spacing w:val="-3"/>
          <w:sz w:val="21"/>
        </w:rPr>
        <w:t>期（</w:t>
      </w:r>
      <w:r>
        <w:rPr>
          <w:sz w:val="21"/>
        </w:rPr>
        <w:t>若通过商</w:t>
      </w:r>
      <w:r>
        <w:rPr>
          <w:spacing w:val="-3"/>
          <w:sz w:val="21"/>
        </w:rPr>
        <w:t>业</w:t>
      </w:r>
      <w:r>
        <w:rPr>
          <w:sz w:val="21"/>
        </w:rPr>
        <w:t>银</w:t>
      </w:r>
      <w:r>
        <w:rPr>
          <w:spacing w:val="-3"/>
          <w:sz w:val="21"/>
        </w:rPr>
        <w:t>行</w:t>
      </w:r>
      <w:r>
        <w:rPr>
          <w:sz w:val="21"/>
        </w:rPr>
        <w:t>代</w:t>
      </w:r>
      <w:r>
        <w:rPr>
          <w:spacing w:val="-3"/>
          <w:sz w:val="21"/>
        </w:rPr>
        <w:t>理</w:t>
      </w:r>
      <w:r>
        <w:rPr>
          <w:sz w:val="21"/>
        </w:rPr>
        <w:t>渠道购</w:t>
      </w:r>
      <w:r>
        <w:rPr>
          <w:spacing w:val="-3"/>
          <w:sz w:val="21"/>
        </w:rPr>
        <w:t>买</w:t>
      </w:r>
      <w:r>
        <w:rPr>
          <w:spacing w:val="-17"/>
          <w:sz w:val="21"/>
        </w:rPr>
        <w:t>，</w:t>
      </w:r>
      <w:r>
        <w:rPr>
          <w:spacing w:val="-3"/>
          <w:sz w:val="21"/>
        </w:rPr>
        <w:t>则</w:t>
      </w:r>
      <w:r>
        <w:rPr>
          <w:sz w:val="21"/>
        </w:rPr>
        <w:t>犹</w:t>
      </w:r>
      <w:r>
        <w:rPr>
          <w:spacing w:val="-3"/>
          <w:sz w:val="21"/>
        </w:rPr>
        <w:t>豫</w:t>
      </w:r>
      <w:r>
        <w:rPr>
          <w:sz w:val="21"/>
        </w:rPr>
        <w:t>期为</w:t>
      </w:r>
      <w:r>
        <w:rPr>
          <w:spacing w:val="-37"/>
          <w:sz w:val="21"/>
        </w:rPr>
        <w:t> </w:t>
      </w:r>
      <w:r>
        <w:rPr>
          <w:sz w:val="21"/>
        </w:rPr>
        <w:t>15</w:t>
      </w:r>
      <w:r>
        <w:rPr>
          <w:spacing w:val="-38"/>
          <w:sz w:val="21"/>
        </w:rPr>
        <w:t> </w:t>
      </w:r>
      <w:r>
        <w:rPr>
          <w:spacing w:val="-3"/>
          <w:sz w:val="21"/>
        </w:rPr>
        <w:t>日</w:t>
      </w:r>
      <w:r>
        <w:rPr>
          <w:spacing w:val="-106"/>
          <w:sz w:val="21"/>
        </w:rPr>
        <w:t>）</w:t>
      </w:r>
      <w:r>
        <w:rPr>
          <w:spacing w:val="-17"/>
          <w:sz w:val="21"/>
        </w:rPr>
        <w:t>。</w:t>
      </w:r>
      <w:r>
        <w:rPr>
          <w:sz w:val="21"/>
        </w:rPr>
        <w:t>在</w:t>
      </w:r>
      <w:r>
        <w:rPr>
          <w:spacing w:val="-3"/>
          <w:sz w:val="21"/>
        </w:rPr>
        <w:t>此</w:t>
      </w:r>
      <w:r>
        <w:rPr>
          <w:sz w:val="21"/>
        </w:rPr>
        <w:t>期</w:t>
      </w:r>
      <w:r>
        <w:rPr>
          <w:spacing w:val="-3"/>
          <w:sz w:val="21"/>
        </w:rPr>
        <w:t>间</w:t>
      </w:r>
      <w:r>
        <w:rPr>
          <w:spacing w:val="-17"/>
          <w:sz w:val="21"/>
        </w:rPr>
        <w:t>，</w:t>
      </w:r>
      <w:r>
        <w:rPr>
          <w:spacing w:val="-3"/>
          <w:sz w:val="21"/>
        </w:rPr>
        <w:t>请</w:t>
      </w:r>
      <w:r>
        <w:rPr>
          <w:sz w:val="21"/>
        </w:rPr>
        <w:t>您</w:t>
      </w:r>
      <w:r>
        <w:rPr>
          <w:spacing w:val="-3"/>
          <w:sz w:val="21"/>
        </w:rPr>
        <w:t>认</w:t>
      </w:r>
      <w:r>
        <w:rPr>
          <w:sz w:val="21"/>
        </w:rPr>
        <w:t>真</w:t>
      </w:r>
      <w:r>
        <w:rPr>
          <w:spacing w:val="-3"/>
          <w:sz w:val="21"/>
        </w:rPr>
        <w:t>审</w:t>
      </w:r>
      <w:r>
        <w:rPr>
          <w:sz w:val="21"/>
        </w:rPr>
        <w:t>视本</w:t>
      </w:r>
      <w:r>
        <w:rPr>
          <w:spacing w:val="-3"/>
          <w:sz w:val="21"/>
        </w:rPr>
        <w:t>附</w:t>
      </w:r>
      <w:r>
        <w:rPr>
          <w:sz w:val="21"/>
        </w:rPr>
        <w:t>加</w:t>
      </w:r>
      <w:r>
        <w:rPr>
          <w:spacing w:val="-3"/>
          <w:sz w:val="21"/>
        </w:rPr>
        <w:t>险</w:t>
      </w:r>
      <w:r>
        <w:rPr>
          <w:sz w:val="21"/>
        </w:rPr>
        <w:t>合</w:t>
      </w:r>
      <w:r>
        <w:rPr>
          <w:spacing w:val="-3"/>
          <w:sz w:val="21"/>
        </w:rPr>
        <w:t>同</w:t>
      </w:r>
      <w:r>
        <w:rPr>
          <w:spacing w:val="-17"/>
          <w:sz w:val="21"/>
        </w:rPr>
        <w:t>，</w:t>
      </w:r>
      <w:r>
        <w:rPr>
          <w:spacing w:val="-3"/>
          <w:sz w:val="21"/>
        </w:rPr>
        <w:t>如</w:t>
      </w:r>
      <w:r>
        <w:rPr>
          <w:sz w:val="21"/>
        </w:rPr>
        <w:t>果您认</w:t>
      </w:r>
      <w:r>
        <w:rPr>
          <w:spacing w:val="-3"/>
          <w:sz w:val="21"/>
        </w:rPr>
        <w:t>为</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与</w:t>
      </w:r>
      <w:r>
        <w:rPr>
          <w:spacing w:val="-3"/>
          <w:sz w:val="21"/>
        </w:rPr>
        <w:t>您</w:t>
      </w:r>
      <w:r>
        <w:rPr>
          <w:sz w:val="21"/>
        </w:rPr>
        <w:t>的需</w:t>
      </w:r>
      <w:r>
        <w:rPr>
          <w:spacing w:val="-3"/>
          <w:sz w:val="21"/>
        </w:rPr>
        <w:t>求</w:t>
      </w:r>
      <w:r>
        <w:rPr>
          <w:sz w:val="21"/>
        </w:rPr>
        <w:t>不</w:t>
      </w:r>
      <w:r>
        <w:rPr>
          <w:spacing w:val="-3"/>
          <w:sz w:val="21"/>
        </w:rPr>
        <w:t>相</w:t>
      </w:r>
      <w:r>
        <w:rPr>
          <w:sz w:val="21"/>
        </w:rPr>
        <w:t>符</w:t>
      </w:r>
      <w:r>
        <w:rPr>
          <w:spacing w:val="-68"/>
          <w:sz w:val="21"/>
        </w:rPr>
        <w:t>，</w:t>
      </w:r>
      <w:r>
        <w:rPr>
          <w:sz w:val="21"/>
        </w:rPr>
        <w:t>您</w:t>
      </w:r>
      <w:r>
        <w:rPr>
          <w:spacing w:val="-3"/>
          <w:sz w:val="21"/>
        </w:rPr>
        <w:t>可</w:t>
      </w:r>
      <w:r>
        <w:rPr>
          <w:sz w:val="21"/>
        </w:rPr>
        <w:t>以</w:t>
      </w:r>
      <w:r>
        <w:rPr>
          <w:spacing w:val="-3"/>
          <w:sz w:val="21"/>
        </w:rPr>
        <w:t>在此</w:t>
      </w:r>
      <w:r>
        <w:rPr>
          <w:sz w:val="21"/>
        </w:rPr>
        <w:t>期间</w:t>
      </w:r>
      <w:r>
        <w:rPr>
          <w:spacing w:val="-3"/>
          <w:sz w:val="21"/>
        </w:rPr>
        <w:t>提</w:t>
      </w:r>
      <w:r>
        <w:rPr>
          <w:sz w:val="21"/>
        </w:rPr>
        <w:t>出</w:t>
      </w:r>
      <w:r>
        <w:rPr>
          <w:spacing w:val="-3"/>
          <w:sz w:val="21"/>
        </w:rPr>
        <w:t>解</w:t>
      </w:r>
      <w:r>
        <w:rPr>
          <w:sz w:val="21"/>
        </w:rPr>
        <w:t>除</w:t>
      </w:r>
      <w:r>
        <w:rPr>
          <w:spacing w:val="-3"/>
          <w:sz w:val="21"/>
        </w:rPr>
        <w:t>本</w:t>
      </w:r>
      <w:r>
        <w:rPr>
          <w:sz w:val="21"/>
        </w:rPr>
        <w:t>附</w:t>
      </w:r>
      <w:r>
        <w:rPr>
          <w:spacing w:val="-3"/>
          <w:sz w:val="21"/>
        </w:rPr>
        <w:t>加</w:t>
      </w:r>
      <w:r>
        <w:rPr>
          <w:sz w:val="21"/>
        </w:rPr>
        <w:t>险合同</w:t>
      </w:r>
      <w:r>
        <w:rPr>
          <w:spacing w:val="-3"/>
          <w:sz w:val="21"/>
        </w:rPr>
        <w:t>，</w:t>
      </w:r>
      <w:r>
        <w:rPr>
          <w:sz w:val="21"/>
        </w:rPr>
        <w:t>我</w:t>
      </w:r>
      <w:r>
        <w:rPr>
          <w:spacing w:val="-3"/>
          <w:sz w:val="21"/>
        </w:rPr>
        <w:t>们</w:t>
      </w:r>
      <w:r>
        <w:rPr>
          <w:sz w:val="21"/>
        </w:rPr>
        <w:t>将</w:t>
      </w:r>
      <w:r>
        <w:rPr>
          <w:spacing w:val="-3"/>
          <w:sz w:val="21"/>
        </w:rPr>
        <w:t>退</w:t>
      </w:r>
      <w:r>
        <w:rPr>
          <w:sz w:val="21"/>
        </w:rPr>
        <w:t>还</w:t>
      </w:r>
      <w:r>
        <w:rPr>
          <w:spacing w:val="-3"/>
          <w:sz w:val="21"/>
        </w:rPr>
        <w:t>您</w:t>
      </w:r>
      <w:r>
        <w:rPr>
          <w:sz w:val="21"/>
        </w:rPr>
        <w:t>所</w:t>
      </w:r>
      <w:r>
        <w:rPr>
          <w:spacing w:val="-3"/>
          <w:sz w:val="21"/>
        </w:rPr>
        <w:t>支</w:t>
      </w:r>
      <w:r>
        <w:rPr>
          <w:sz w:val="21"/>
        </w:rPr>
        <w:t>付的</w:t>
      </w:r>
      <w:r>
        <w:rPr>
          <w:spacing w:val="-3"/>
          <w:sz w:val="21"/>
        </w:rPr>
        <w:t>保</w:t>
      </w:r>
      <w:r>
        <w:rPr>
          <w:sz w:val="21"/>
        </w:rPr>
        <w:t>险</w:t>
      </w:r>
      <w:r>
        <w:rPr>
          <w:spacing w:val="-3"/>
          <w:sz w:val="21"/>
        </w:rPr>
        <w:t>费</w:t>
      </w:r>
      <w:r>
        <w:rPr>
          <w:sz w:val="21"/>
        </w:rPr>
        <w:t>。</w:t>
      </w:r>
    </w:p>
    <w:p>
      <w:pPr>
        <w:pStyle w:val="BodyText"/>
        <w:spacing w:line="273" w:lineRule="auto" w:before="7"/>
        <w:ind w:left="2683" w:right="140"/>
      </w:pPr>
      <w:r>
        <w:rPr>
          <w:spacing w:val="-8"/>
        </w:rPr>
        <w:t>解除合同时，您需要填写申请书，并提供您的保险合同及</w:t>
      </w:r>
      <w:r>
        <w:rPr>
          <w:b/>
          <w:spacing w:val="-4"/>
        </w:rPr>
        <w:t>有效身份证件</w:t>
      </w:r>
      <w:r>
        <w:rPr>
          <w:b/>
          <w:spacing w:val="-3"/>
        </w:rPr>
        <w:t>（见</w:t>
      </w:r>
      <w:r>
        <w:rPr>
          <w:b/>
        </w:rPr>
        <w:t>释义）</w:t>
      </w:r>
      <w:r>
        <w:rPr/>
        <w:t>。</w:t>
      </w:r>
      <w:r>
        <w:rPr>
          <w:spacing w:val="-3"/>
          <w:shd w:fill="A6A6A6" w:color="auto" w:val="clear"/>
        </w:rPr>
        <w:t>自我们收到您解除合同的书面申请时起，本附加险合同即被解除，</w:t>
      </w:r>
      <w:r>
        <w:rPr>
          <w:spacing w:val="-209"/>
          <w:shd w:fill="A6A6A6" w:color="auto" w:val="clear"/>
        </w:rPr>
        <w:t>对</w:t>
      </w:r>
      <w:r>
        <w:rPr>
          <w:spacing w:val="-3"/>
          <w:shd w:fill="A6A6A6" w:color="auto" w:val="clear"/>
        </w:rPr>
        <w:t>于合同解除前发生的保险事故，我们不承担保险责任。</w:t>
      </w:r>
    </w:p>
    <w:p>
      <w:pPr>
        <w:pStyle w:val="BodyText"/>
        <w:spacing w:before="4"/>
      </w:pPr>
      <w:r>
        <w:rPr/>
        <w:pict>
          <v:shape style="position:absolute;margin-left:59.040001pt;margin-top:15.14461pt;width:474.95pt;height:15.65pt;mso-position-horizontal-relative:page;mso-position-vertical-relative:paragraph;z-index:1120;mso-wrap-distance-left:0;mso-wrap-distance-right:0" type="#_x0000_t202" filled="true" fillcolor="#a6a6a6" stroked="false">
            <v:textbox inset="0,0,0,0">
              <w:txbxContent>
                <w:p>
                  <w:pPr>
                    <w:tabs>
                      <w:tab w:pos="780" w:val="left" w:leader="none"/>
                    </w:tabs>
                    <w:spacing w:line="263" w:lineRule="exact" w:before="0"/>
                    <w:ind w:left="108" w:right="0" w:firstLine="0"/>
                    <w:jc w:val="left"/>
                    <w:rPr>
                      <w:rFonts w:ascii="黑体" w:eastAsia="黑体" w:hint="eastAsia"/>
                      <w:b/>
                      <w:sz w:val="21"/>
                    </w:rPr>
                  </w:pPr>
                  <w:r>
                    <w:rPr>
                      <w:rFonts w:ascii="黑体" w:eastAsia="黑体" w:hint="eastAsia"/>
                      <w:b/>
                      <w:sz w:val="21"/>
                    </w:rPr>
                    <w:t>2</w:t>
                    <w:tab/>
                    <w:t>我们提供的保障</w:t>
                  </w:r>
                </w:p>
              </w:txbxContent>
            </v:textbox>
            <v:fill type="solid"/>
            <w10:wrap type="topAndBottom"/>
          </v:shape>
        </w:pict>
      </w:r>
    </w:p>
    <w:p>
      <w:pPr>
        <w:pStyle w:val="BodyText"/>
        <w:spacing w:before="12"/>
        <w:rPr>
          <w:sz w:val="5"/>
        </w:rPr>
      </w:pPr>
    </w:p>
    <w:p>
      <w:pPr>
        <w:pStyle w:val="ListParagraph"/>
        <w:numPr>
          <w:ilvl w:val="1"/>
          <w:numId w:val="3"/>
        </w:numPr>
        <w:tabs>
          <w:tab w:pos="942" w:val="left" w:leader="none"/>
        </w:tabs>
        <w:spacing w:line="273" w:lineRule="auto" w:before="36" w:after="0"/>
        <w:ind w:left="2683" w:right="143" w:hanging="2414"/>
        <w:jc w:val="both"/>
        <w:rPr>
          <w:sz w:val="21"/>
        </w:rPr>
      </w:pPr>
      <w:r>
        <w:rPr>
          <w:rFonts w:ascii="黑体" w:eastAsia="黑体" w:hint="eastAsia"/>
          <w:spacing w:val="7"/>
          <w:sz w:val="21"/>
        </w:rPr>
        <w:t>保险金额       </w:t>
      </w:r>
      <w:r>
        <w:rPr>
          <w:spacing w:val="-3"/>
          <w:sz w:val="21"/>
        </w:rPr>
        <w:t>本附加险合同的基本保险金额由您在投保时与我们约定并在保险单上载明， 若该金额发生变更，则以变更后的金额为基本保险金额。</w:t>
      </w:r>
    </w:p>
    <w:p>
      <w:pPr>
        <w:pStyle w:val="ListParagraph"/>
        <w:numPr>
          <w:ilvl w:val="1"/>
          <w:numId w:val="3"/>
        </w:numPr>
        <w:tabs>
          <w:tab w:pos="942" w:val="left" w:leader="none"/>
        </w:tabs>
        <w:spacing w:line="278" w:lineRule="auto" w:before="152" w:after="0"/>
        <w:ind w:left="2683" w:right="207" w:hanging="2414"/>
        <w:jc w:val="both"/>
        <w:rPr>
          <w:sz w:val="21"/>
        </w:rPr>
      </w:pPr>
      <w:r>
        <w:rPr>
          <w:rFonts w:ascii="黑体" w:eastAsia="黑体" w:hint="eastAsia"/>
          <w:spacing w:val="6"/>
          <w:position w:val="2"/>
          <w:sz w:val="21"/>
        </w:rPr>
        <w:t>保险期间       </w:t>
      </w:r>
      <w:r>
        <w:rPr>
          <w:spacing w:val="-6"/>
          <w:sz w:val="21"/>
        </w:rPr>
        <w:t>本附加险合同的保险期间有至 </w:t>
      </w:r>
      <w:r>
        <w:rPr>
          <w:sz w:val="21"/>
        </w:rPr>
        <w:t>70</w:t>
      </w:r>
      <w:r>
        <w:rPr>
          <w:spacing w:val="-11"/>
          <w:sz w:val="21"/>
        </w:rPr>
        <w:t> 周岁(指至被保险人 </w:t>
      </w:r>
      <w:r>
        <w:rPr>
          <w:sz w:val="21"/>
        </w:rPr>
        <w:t>70</w:t>
      </w:r>
      <w:r>
        <w:rPr>
          <w:spacing w:val="-8"/>
          <w:sz w:val="21"/>
        </w:rPr>
        <w:t> 周岁后首个合同生</w:t>
      </w:r>
      <w:r>
        <w:rPr>
          <w:spacing w:val="-10"/>
          <w:sz w:val="21"/>
        </w:rPr>
        <w:t>效日对应日前一日 </w:t>
      </w:r>
      <w:r>
        <w:rPr>
          <w:sz w:val="21"/>
        </w:rPr>
        <w:t>24</w:t>
      </w:r>
      <w:r>
        <w:rPr>
          <w:spacing w:val="-24"/>
          <w:sz w:val="21"/>
        </w:rPr>
        <w:t> 时</w:t>
      </w:r>
      <w:r>
        <w:rPr>
          <w:spacing w:val="-68"/>
          <w:sz w:val="21"/>
        </w:rPr>
        <w:t>）</w:t>
      </w:r>
      <w:r>
        <w:rPr>
          <w:spacing w:val="-16"/>
          <w:sz w:val="21"/>
        </w:rPr>
        <w:t>和至 </w:t>
      </w:r>
      <w:r>
        <w:rPr>
          <w:sz w:val="21"/>
        </w:rPr>
        <w:t>80</w:t>
      </w:r>
      <w:r>
        <w:rPr>
          <w:spacing w:val="-12"/>
          <w:sz w:val="21"/>
        </w:rPr>
        <w:t> 周岁(指至被保险人 </w:t>
      </w:r>
      <w:r>
        <w:rPr>
          <w:sz w:val="21"/>
        </w:rPr>
        <w:t>80</w:t>
      </w:r>
      <w:r>
        <w:rPr>
          <w:spacing w:val="-8"/>
          <w:sz w:val="21"/>
        </w:rPr>
        <w:t> 周岁后首个合同生</w:t>
      </w:r>
      <w:r>
        <w:rPr>
          <w:spacing w:val="-7"/>
          <w:sz w:val="21"/>
        </w:rPr>
        <w:t>效日对应日前一日 </w:t>
      </w:r>
      <w:r>
        <w:rPr>
          <w:sz w:val="21"/>
        </w:rPr>
        <w:t>24</w:t>
      </w:r>
      <w:r>
        <w:rPr>
          <w:spacing w:val="-10"/>
          <w:sz w:val="21"/>
        </w:rPr>
        <w:t> 时</w:t>
      </w:r>
      <w:r>
        <w:rPr>
          <w:spacing w:val="-3"/>
          <w:sz w:val="21"/>
        </w:rPr>
        <w:t>）两种，自本附加险合同生效日起至附加险合同约定终止时止。您可以与我们约定其中一种保险期间并在保险单上载明。</w:t>
      </w:r>
    </w:p>
    <w:p>
      <w:pPr>
        <w:pStyle w:val="ListParagraph"/>
        <w:numPr>
          <w:ilvl w:val="1"/>
          <w:numId w:val="3"/>
        </w:numPr>
        <w:tabs>
          <w:tab w:pos="941" w:val="left" w:leader="none"/>
          <w:tab w:pos="942" w:val="left" w:leader="none"/>
          <w:tab w:pos="2683" w:val="left" w:leader="none"/>
        </w:tabs>
        <w:spacing w:line="240" w:lineRule="auto" w:before="134" w:after="0"/>
        <w:ind w:left="2683" w:right="0" w:hanging="2414"/>
        <w:jc w:val="left"/>
        <w:rPr>
          <w:sz w:val="21"/>
        </w:rPr>
      </w:pPr>
      <w:r>
        <w:rPr>
          <w:rFonts w:ascii="黑体" w:eastAsia="黑体" w:hint="eastAsia"/>
          <w:position w:val="2"/>
          <w:sz w:val="21"/>
        </w:rPr>
        <w:t>保险</w:t>
      </w:r>
      <w:r>
        <w:rPr>
          <w:rFonts w:ascii="黑体" w:eastAsia="黑体" w:hint="eastAsia"/>
          <w:spacing w:val="-3"/>
          <w:position w:val="2"/>
          <w:sz w:val="21"/>
        </w:rPr>
        <w:t>责</w:t>
      </w:r>
      <w:r>
        <w:rPr>
          <w:rFonts w:ascii="黑体" w:eastAsia="黑体" w:hint="eastAsia"/>
          <w:position w:val="2"/>
          <w:sz w:val="21"/>
        </w:rPr>
        <w:t>任</w:t>
        <w:tab/>
      </w:r>
      <w:r>
        <w:rPr>
          <w:spacing w:val="-1"/>
          <w:sz w:val="21"/>
        </w:rPr>
        <w:t>在</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，我</w:t>
      </w:r>
      <w:r>
        <w:rPr>
          <w:spacing w:val="-3"/>
          <w:sz w:val="21"/>
        </w:rPr>
        <w:t>们</w:t>
      </w:r>
      <w:r>
        <w:rPr>
          <w:sz w:val="21"/>
        </w:rPr>
        <w:t>按</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line="268" w:lineRule="auto" w:before="162"/>
        <w:ind w:left="2683" w:right="207" w:hanging="1743"/>
        <w:jc w:val="both"/>
      </w:pPr>
      <w:r>
        <w:rPr>
          <w:rFonts w:ascii="黑体" w:hAnsi="黑体" w:eastAsia="黑体" w:hint="eastAsia"/>
          <w:i/>
          <w:spacing w:val="5"/>
          <w:position w:val="-1"/>
          <w:sz w:val="22"/>
        </w:rPr>
        <w:t>等待期 </w:t>
      </w:r>
      <w:r>
        <w:rPr>
          <w:spacing w:val="-7"/>
          <w:shd w:fill="A6A6A6" w:color="auto" w:val="clear"/>
        </w:rPr>
        <w:t>若被保险人在本附加险合同生效或最后一次复效</w:t>
      </w:r>
      <w:r>
        <w:rPr>
          <w:shd w:fill="A6A6A6" w:color="auto" w:val="clear"/>
        </w:rPr>
        <w:t>（</w:t>
      </w:r>
      <w:r>
        <w:rPr>
          <w:spacing w:val="-3"/>
          <w:shd w:fill="A6A6A6" w:color="auto" w:val="clear"/>
        </w:rPr>
        <w:t>以较迟者为准</w:t>
      </w:r>
      <w:r>
        <w:rPr>
          <w:spacing w:val="-87"/>
          <w:shd w:fill="A6A6A6" w:color="auto" w:val="clear"/>
        </w:rPr>
        <w:t>）</w:t>
      </w:r>
      <w:r>
        <w:rPr>
          <w:spacing w:val="-2"/>
          <w:shd w:fill="A6A6A6" w:color="auto" w:val="clear"/>
        </w:rPr>
        <w:t>之日起</w:t>
      </w:r>
      <w:r>
        <w:rPr>
          <w:shd w:fill="A6A6A6" w:color="auto" w:val="clear"/>
        </w:rPr>
        <w:t>180 </w:t>
      </w:r>
      <w:r>
        <w:rPr>
          <w:spacing w:val="-14"/>
          <w:w w:val="100"/>
          <w:shd w:fill="A6A6A6" w:color="auto" w:val="clear"/>
        </w:rPr>
        <w:t>日</w:t>
      </w:r>
      <w:r>
        <w:rPr>
          <w:w w:val="100"/>
          <w:shd w:fill="A6A6A6" w:color="auto" w:val="clear"/>
        </w:rPr>
        <w:t>（</w:t>
      </w:r>
      <w:r>
        <w:rPr>
          <w:spacing w:val="-3"/>
          <w:w w:val="100"/>
          <w:shd w:fill="A6A6A6" w:color="auto" w:val="clear"/>
        </w:rPr>
        <w:t>这</w:t>
      </w:r>
      <w:r>
        <w:rPr>
          <w:w w:val="100"/>
          <w:shd w:fill="A6A6A6" w:color="auto" w:val="clear"/>
        </w:rPr>
        <w:t>18</w:t>
      </w:r>
      <w:r>
        <w:rPr>
          <w:spacing w:val="-3"/>
          <w:w w:val="100"/>
          <w:shd w:fill="A6A6A6" w:color="auto" w:val="clear"/>
        </w:rPr>
        <w:t>0</w:t>
      </w:r>
      <w:r>
        <w:rPr>
          <w:spacing w:val="-31"/>
          <w:w w:val="100"/>
          <w:shd w:fill="A6A6A6" w:color="auto" w:val="clear"/>
        </w:rPr>
        <w:t>日的时间段称为“等待期”</w:t>
      </w:r>
      <w:r>
        <w:rPr>
          <w:spacing w:val="-17"/>
          <w:w w:val="100"/>
          <w:shd w:fill="A6A6A6" w:color="auto" w:val="clear"/>
        </w:rPr>
        <w:t>）</w:t>
      </w:r>
      <w:r>
        <w:rPr>
          <w:spacing w:val="-2"/>
          <w:w w:val="100"/>
          <w:shd w:fill="A6A6A6" w:color="auto" w:val="clear"/>
        </w:rPr>
        <w:t>内因</w:t>
      </w:r>
      <w:r>
        <w:rPr>
          <w:b/>
          <w:spacing w:val="-5"/>
          <w:w w:val="100"/>
          <w:shd w:fill="A6A6A6" w:color="auto" w:val="clear"/>
        </w:rPr>
        <w:t>意外伤害</w:t>
      </w:r>
      <w:r>
        <w:rPr>
          <w:b/>
          <w:w w:val="100"/>
          <w:shd w:fill="A6A6A6" w:color="auto" w:val="clear"/>
        </w:rPr>
        <w:t>（见释义</w:t>
      </w:r>
      <w:r>
        <w:rPr>
          <w:b/>
          <w:spacing w:val="-15"/>
          <w:w w:val="100"/>
          <w:shd w:fill="A6A6A6" w:color="auto" w:val="clear"/>
        </w:rPr>
        <w:t>）</w:t>
      </w:r>
      <w:r>
        <w:rPr>
          <w:spacing w:val="-3"/>
          <w:w w:val="100"/>
          <w:shd w:fill="A6A6A6" w:color="auto" w:val="clear"/>
        </w:rPr>
        <w:t>以外的原因初</w:t>
      </w:r>
      <w:r>
        <w:rPr>
          <w:spacing w:val="-2"/>
          <w:shd w:fill="A6A6A6" w:color="auto" w:val="clear"/>
        </w:rPr>
        <w:t>次发生</w:t>
      </w:r>
      <w:r>
        <w:rPr>
          <w:spacing w:val="-6"/>
          <w:shd w:fill="A6A6A6" w:color="auto" w:val="clear"/>
        </w:rPr>
        <w:t>并经专科医生确诊初次患本附加险合同约定的重大疾病</w:t>
      </w:r>
      <w:r>
        <w:rPr>
          <w:spacing w:val="-3"/>
          <w:shd w:fill="A6A6A6" w:color="auto" w:val="clear"/>
        </w:rPr>
        <w:t>（</w:t>
      </w:r>
      <w:r>
        <w:rPr>
          <w:spacing w:val="-5"/>
          <w:shd w:fill="A6A6A6" w:color="auto" w:val="clear"/>
        </w:rPr>
        <w:t>无论一种或多种，</w:t>
      </w:r>
      <w:r>
        <w:rPr>
          <w:spacing w:val="-2"/>
          <w:shd w:fill="A6A6A6" w:color="auto" w:val="clear"/>
        </w:rPr>
        <w:t>下同</w:t>
      </w:r>
      <w:r>
        <w:rPr>
          <w:spacing w:val="-17"/>
          <w:shd w:fill="A6A6A6" w:color="auto" w:val="clear"/>
        </w:rPr>
        <w:t>）</w:t>
      </w:r>
      <w:r>
        <w:rPr>
          <w:spacing w:val="-7"/>
          <w:shd w:fill="A6A6A6" w:color="auto" w:val="clear"/>
        </w:rPr>
        <w:t>或特定疾病的，我们将无息退还您已支付的保险费，本附加险合同和</w:t>
      </w:r>
      <w:r>
        <w:rPr>
          <w:spacing w:val="-3"/>
          <w:shd w:fill="A6A6A6" w:color="auto" w:val="clear"/>
        </w:rPr>
        <w:t>主合同同时终止。</w:t>
      </w:r>
    </w:p>
    <w:p>
      <w:pPr>
        <w:pStyle w:val="BodyText"/>
        <w:spacing w:line="278" w:lineRule="auto" w:before="168"/>
        <w:ind w:left="2702" w:right="207" w:hanging="1762"/>
        <w:jc w:val="both"/>
      </w:pPr>
      <w:r>
        <w:rPr>
          <w:rFonts w:ascii="黑体" w:eastAsia="黑体" w:hint="eastAsia"/>
          <w:i/>
          <w:spacing w:val="5"/>
          <w:sz w:val="22"/>
        </w:rPr>
        <w:t>重大疾病保险金 </w:t>
      </w:r>
      <w:r>
        <w:rPr/>
        <w:t>若被保险人因遭受意外伤害或在等待期后因意外伤害以外的原因初次发生</w:t>
      </w:r>
      <w:r>
        <w:rPr>
          <w:spacing w:val="-7"/>
        </w:rPr>
        <w:t>并经专科医生确诊初次患本附加险合同约定的重大疾病，我们按本附加险合</w:t>
      </w:r>
      <w:r>
        <w:rPr>
          <w:spacing w:val="-8"/>
        </w:rPr>
        <w:t>同的基本保险金额给付重大疾病保险金后，不再承担主险合同的保险金给付</w:t>
      </w:r>
    </w:p>
    <w:p>
      <w:pPr>
        <w:spacing w:after="0" w:line="278" w:lineRule="auto"/>
        <w:jc w:val="both"/>
        <w:sectPr>
          <w:pgSz w:w="11910" w:h="16840"/>
          <w:pgMar w:top="1340" w:bottom="280" w:left="1020" w:right="1120"/>
        </w:sect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
        <w:gridCol w:w="1785"/>
        <w:gridCol w:w="7057"/>
      </w:tblGrid>
      <w:tr>
        <w:trPr>
          <w:trHeight w:val="331" w:hRule="atLeast"/>
        </w:trPr>
        <w:tc>
          <w:tcPr>
            <w:tcW w:w="544" w:type="dxa"/>
            <w:vMerge w:val="restart"/>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057" w:type="dxa"/>
          </w:tcPr>
          <w:p>
            <w:pPr>
              <w:pStyle w:val="TableParagraph"/>
              <w:spacing w:line="206" w:lineRule="exact"/>
              <w:ind w:left="154"/>
              <w:rPr>
                <w:sz w:val="21"/>
              </w:rPr>
            </w:pPr>
            <w:r>
              <w:rPr>
                <w:sz w:val="21"/>
              </w:rPr>
              <w:t>责任，本附加险合同和主险合同同时终止。</w:t>
            </w:r>
          </w:p>
        </w:tc>
      </w:tr>
      <w:tr>
        <w:trPr>
          <w:trHeight w:val="717" w:hRule="atLeast"/>
        </w:trPr>
        <w:tc>
          <w:tcPr>
            <w:tcW w:w="544" w:type="dxa"/>
            <w:vMerge/>
            <w:tcBorders>
              <w:top w:val="nil"/>
            </w:tcBorders>
          </w:tcPr>
          <w:p>
            <w:pPr>
              <w:rPr>
                <w:sz w:val="2"/>
                <w:szCs w:val="2"/>
              </w:rPr>
            </w:pPr>
          </w:p>
        </w:tc>
        <w:tc>
          <w:tcPr>
            <w:tcW w:w="1785" w:type="dxa"/>
          </w:tcPr>
          <w:p>
            <w:pPr>
              <w:pStyle w:val="TableParagraph"/>
              <w:spacing w:line="268" w:lineRule="auto" w:before="49"/>
              <w:ind w:left="178" w:right="131"/>
              <w:rPr>
                <w:rFonts w:ascii="黑体" w:eastAsia="黑体" w:hint="eastAsia"/>
                <w:i/>
                <w:sz w:val="22"/>
              </w:rPr>
            </w:pPr>
            <w:r>
              <w:rPr>
                <w:rFonts w:ascii="黑体" w:eastAsia="黑体" w:hint="eastAsia"/>
                <w:i/>
                <w:w w:val="95"/>
                <w:sz w:val="22"/>
              </w:rPr>
              <w:t>特定疾病额外保险金</w:t>
            </w:r>
          </w:p>
        </w:tc>
        <w:tc>
          <w:tcPr>
            <w:tcW w:w="7057" w:type="dxa"/>
          </w:tcPr>
          <w:p>
            <w:pPr>
              <w:pStyle w:val="TableParagraph"/>
              <w:spacing w:line="280" w:lineRule="auto" w:before="61"/>
              <w:ind w:left="154" w:right="46" w:hanging="20"/>
              <w:rPr>
                <w:sz w:val="21"/>
              </w:rPr>
            </w:pPr>
            <w:r>
              <w:rPr>
                <w:sz w:val="21"/>
              </w:rPr>
              <w:t>若被保险人因遭受意外伤害或在等待期后因意外伤害以外的原因初次发生</w:t>
            </w:r>
            <w:r>
              <w:rPr>
                <w:spacing w:val="-6"/>
                <w:sz w:val="21"/>
              </w:rPr>
              <w:t>并经专科医生确诊初次患本附加险合同约定的五种特定疾病之一，我们按本</w:t>
            </w:r>
          </w:p>
        </w:tc>
      </w:tr>
      <w:tr>
        <w:trPr>
          <w:trHeight w:val="318" w:hRule="atLeast"/>
        </w:trPr>
        <w:tc>
          <w:tcPr>
            <w:tcW w:w="544" w:type="dxa"/>
            <w:vMerge/>
            <w:tcBorders>
              <w:top w:val="nil"/>
            </w:tcBorders>
          </w:tcPr>
          <w:p>
            <w:pPr>
              <w:rPr>
                <w:sz w:val="2"/>
                <w:szCs w:val="2"/>
              </w:rPr>
            </w:pPr>
          </w:p>
        </w:tc>
        <w:tc>
          <w:tcPr>
            <w:tcW w:w="1785" w:type="dxa"/>
          </w:tcPr>
          <w:p>
            <w:pPr>
              <w:pStyle w:val="TableParagraph"/>
              <w:ind w:left="0"/>
              <w:rPr>
                <w:rFonts w:ascii="Times New Roman"/>
                <w:sz w:val="20"/>
              </w:rPr>
            </w:pPr>
          </w:p>
        </w:tc>
        <w:tc>
          <w:tcPr>
            <w:tcW w:w="7057" w:type="dxa"/>
          </w:tcPr>
          <w:p>
            <w:pPr>
              <w:pStyle w:val="TableParagraph"/>
              <w:spacing w:line="260" w:lineRule="exact"/>
              <w:ind w:left="154"/>
              <w:rPr>
                <w:sz w:val="21"/>
              </w:rPr>
            </w:pPr>
            <w:r>
              <w:rPr>
                <w:spacing w:val="-5"/>
                <w:sz w:val="21"/>
              </w:rPr>
              <w:t>附加险合同基本保险金额的 </w:t>
            </w:r>
            <w:r>
              <w:rPr>
                <w:sz w:val="21"/>
              </w:rPr>
              <w:t>10</w:t>
            </w:r>
            <w:r>
              <w:rPr>
                <w:spacing w:val="-9"/>
                <w:sz w:val="21"/>
              </w:rPr>
              <w:t>给付特定疾病额外保险金，该项保险责任终</w:t>
            </w:r>
          </w:p>
        </w:tc>
      </w:tr>
      <w:tr>
        <w:trPr>
          <w:trHeight w:val="320" w:hRule="atLeast"/>
        </w:trPr>
        <w:tc>
          <w:tcPr>
            <w:tcW w:w="544" w:type="dxa"/>
            <w:vMerge/>
            <w:tcBorders>
              <w:top w:val="nil"/>
            </w:tcBorders>
          </w:tcPr>
          <w:p>
            <w:pPr>
              <w:rPr>
                <w:sz w:val="2"/>
                <w:szCs w:val="2"/>
              </w:rPr>
            </w:pPr>
          </w:p>
        </w:tc>
        <w:tc>
          <w:tcPr>
            <w:tcW w:w="1785" w:type="dxa"/>
          </w:tcPr>
          <w:p>
            <w:pPr>
              <w:pStyle w:val="TableParagraph"/>
              <w:ind w:left="0"/>
              <w:rPr>
                <w:rFonts w:ascii="Times New Roman"/>
                <w:sz w:val="20"/>
              </w:rPr>
            </w:pPr>
          </w:p>
        </w:tc>
        <w:tc>
          <w:tcPr>
            <w:tcW w:w="7057" w:type="dxa"/>
          </w:tcPr>
          <w:p>
            <w:pPr>
              <w:pStyle w:val="TableParagraph"/>
              <w:spacing w:line="260" w:lineRule="exact"/>
              <w:ind w:left="154"/>
              <w:rPr>
                <w:sz w:val="21"/>
              </w:rPr>
            </w:pPr>
            <w:r>
              <w:rPr>
                <w:spacing w:val="-12"/>
                <w:sz w:val="21"/>
              </w:rPr>
              <w:t>止。若患多种特定疾病，以其中一种特定疾病按约定给付特定疾病额外保险</w:t>
            </w:r>
          </w:p>
        </w:tc>
      </w:tr>
      <w:tr>
        <w:trPr>
          <w:trHeight w:val="391" w:hRule="atLeast"/>
        </w:trPr>
        <w:tc>
          <w:tcPr>
            <w:tcW w:w="544" w:type="dxa"/>
            <w:vMerge/>
            <w:tcBorders>
              <w:top w:val="nil"/>
            </w:tcBorders>
          </w:tcPr>
          <w:p>
            <w:pPr>
              <w:rPr>
                <w:sz w:val="2"/>
                <w:szCs w:val="2"/>
              </w:rPr>
            </w:pPr>
          </w:p>
        </w:tc>
        <w:tc>
          <w:tcPr>
            <w:tcW w:w="1785" w:type="dxa"/>
          </w:tcPr>
          <w:p>
            <w:pPr>
              <w:pStyle w:val="TableParagraph"/>
              <w:ind w:left="0"/>
              <w:rPr>
                <w:rFonts w:ascii="Times New Roman"/>
                <w:sz w:val="20"/>
              </w:rPr>
            </w:pPr>
          </w:p>
        </w:tc>
        <w:tc>
          <w:tcPr>
            <w:tcW w:w="7057" w:type="dxa"/>
          </w:tcPr>
          <w:p>
            <w:pPr>
              <w:pStyle w:val="TableParagraph"/>
              <w:spacing w:line="262" w:lineRule="exact"/>
              <w:ind w:left="154"/>
              <w:rPr>
                <w:sz w:val="21"/>
              </w:rPr>
            </w:pPr>
            <w:r>
              <w:rPr>
                <w:sz w:val="21"/>
              </w:rPr>
              <w:t>金。</w:t>
            </w:r>
          </w:p>
        </w:tc>
      </w:tr>
      <w:tr>
        <w:trPr>
          <w:trHeight w:val="391" w:hRule="atLeast"/>
        </w:trPr>
        <w:tc>
          <w:tcPr>
            <w:tcW w:w="544" w:type="dxa"/>
            <w:vMerge/>
            <w:tcBorders>
              <w:top w:val="nil"/>
            </w:tcBorders>
          </w:tcPr>
          <w:p>
            <w:pPr>
              <w:rPr>
                <w:sz w:val="2"/>
                <w:szCs w:val="2"/>
              </w:rPr>
            </w:pPr>
          </w:p>
        </w:tc>
        <w:tc>
          <w:tcPr>
            <w:tcW w:w="1785" w:type="dxa"/>
          </w:tcPr>
          <w:p>
            <w:pPr>
              <w:pStyle w:val="TableParagraph"/>
              <w:ind w:left="0"/>
              <w:rPr>
                <w:rFonts w:ascii="Times New Roman"/>
                <w:sz w:val="20"/>
              </w:rPr>
            </w:pPr>
          </w:p>
        </w:tc>
        <w:tc>
          <w:tcPr>
            <w:tcW w:w="7057" w:type="dxa"/>
          </w:tcPr>
          <w:p>
            <w:pPr>
              <w:pStyle w:val="TableParagraph"/>
              <w:spacing w:before="56"/>
              <w:ind w:left="135"/>
              <w:rPr>
                <w:sz w:val="21"/>
              </w:rPr>
            </w:pPr>
            <w:r>
              <w:rPr>
                <w:spacing w:val="-8"/>
                <w:sz w:val="21"/>
              </w:rPr>
              <w:t>“已支付的保险费”的含义：本条所述“已支付的保险费”指您根据本附加</w:t>
            </w:r>
          </w:p>
        </w:tc>
      </w:tr>
      <w:tr>
        <w:trPr>
          <w:trHeight w:val="379" w:hRule="atLeast"/>
        </w:trPr>
        <w:tc>
          <w:tcPr>
            <w:tcW w:w="544" w:type="dxa"/>
            <w:vMerge/>
            <w:tcBorders>
              <w:top w:val="nil"/>
            </w:tcBorders>
          </w:tcPr>
          <w:p>
            <w:pPr>
              <w:rPr>
                <w:sz w:val="2"/>
                <w:szCs w:val="2"/>
              </w:rPr>
            </w:pPr>
          </w:p>
        </w:tc>
        <w:tc>
          <w:tcPr>
            <w:tcW w:w="1785" w:type="dxa"/>
          </w:tcPr>
          <w:p>
            <w:pPr>
              <w:pStyle w:val="TableParagraph"/>
              <w:ind w:left="0"/>
              <w:rPr>
                <w:rFonts w:ascii="Times New Roman"/>
                <w:sz w:val="20"/>
              </w:rPr>
            </w:pPr>
          </w:p>
        </w:tc>
        <w:tc>
          <w:tcPr>
            <w:tcW w:w="7057" w:type="dxa"/>
          </w:tcPr>
          <w:p>
            <w:pPr>
              <w:pStyle w:val="TableParagraph"/>
              <w:spacing w:line="262" w:lineRule="exact"/>
              <w:ind w:left="154"/>
              <w:rPr>
                <w:sz w:val="21"/>
              </w:rPr>
            </w:pPr>
            <w:r>
              <w:rPr>
                <w:sz w:val="21"/>
              </w:rPr>
              <w:t>险合同和主险合同的约定已支付的保险费。</w:t>
            </w:r>
          </w:p>
        </w:tc>
      </w:tr>
      <w:tr>
        <w:trPr>
          <w:trHeight w:val="402" w:hRule="atLeast"/>
        </w:trPr>
        <w:tc>
          <w:tcPr>
            <w:tcW w:w="544" w:type="dxa"/>
          </w:tcPr>
          <w:p>
            <w:pPr>
              <w:pStyle w:val="TableParagraph"/>
              <w:spacing w:before="44"/>
              <w:ind w:left="50"/>
              <w:rPr>
                <w:rFonts w:ascii="黑体"/>
                <w:sz w:val="21"/>
              </w:rPr>
            </w:pPr>
            <w:r>
              <w:rPr>
                <w:rFonts w:ascii="黑体"/>
                <w:sz w:val="21"/>
              </w:rPr>
              <w:t>2.4</w:t>
            </w:r>
          </w:p>
        </w:tc>
        <w:tc>
          <w:tcPr>
            <w:tcW w:w="1785" w:type="dxa"/>
          </w:tcPr>
          <w:p>
            <w:pPr>
              <w:pStyle w:val="TableParagraph"/>
              <w:spacing w:before="44"/>
              <w:ind w:left="177"/>
              <w:rPr>
                <w:rFonts w:ascii="黑体" w:eastAsia="黑体" w:hint="eastAsia"/>
                <w:sz w:val="21"/>
              </w:rPr>
            </w:pPr>
            <w:r>
              <w:rPr>
                <w:rFonts w:ascii="黑体" w:eastAsia="黑体" w:hint="eastAsia"/>
                <w:sz w:val="21"/>
              </w:rPr>
              <w:t>责任免除</w:t>
            </w:r>
          </w:p>
        </w:tc>
        <w:tc>
          <w:tcPr>
            <w:tcW w:w="7057" w:type="dxa"/>
          </w:tcPr>
          <w:p>
            <w:pPr>
              <w:pStyle w:val="TableParagraph"/>
              <w:spacing w:before="68"/>
              <w:ind w:left="135"/>
              <w:rPr>
                <w:sz w:val="21"/>
              </w:rPr>
            </w:pPr>
            <w:r>
              <w:rPr>
                <w:sz w:val="21"/>
                <w:shd w:fill="A6A6A6" w:color="auto" w:val="clear"/>
              </w:rPr>
              <w:t>因下列情形之一，导致被保险人发生保险事故的，我们不承担给付保险金</w:t>
            </w:r>
          </w:p>
        </w:tc>
      </w:tr>
      <w:tr>
        <w:trPr>
          <w:trHeight w:val="320" w:hRule="atLeast"/>
        </w:trPr>
        <w:tc>
          <w:tcPr>
            <w:tcW w:w="2329" w:type="dxa"/>
            <w:gridSpan w:val="2"/>
            <w:vMerge w:val="restart"/>
          </w:tcPr>
          <w:p>
            <w:pPr>
              <w:pStyle w:val="TableParagraph"/>
              <w:ind w:left="0"/>
              <w:rPr>
                <w:rFonts w:ascii="Times New Roman"/>
                <w:sz w:val="20"/>
              </w:rPr>
            </w:pPr>
          </w:p>
        </w:tc>
        <w:tc>
          <w:tcPr>
            <w:tcW w:w="7057" w:type="dxa"/>
          </w:tcPr>
          <w:p>
            <w:pPr>
              <w:pStyle w:val="TableParagraph"/>
              <w:spacing w:line="260" w:lineRule="exact"/>
              <w:ind w:left="135"/>
              <w:rPr>
                <w:sz w:val="21"/>
              </w:rPr>
            </w:pPr>
            <w:r>
              <w:rPr>
                <w:sz w:val="21"/>
                <w:shd w:fill="A6A6A6" w:color="auto" w:val="clear"/>
              </w:rPr>
              <w:t>的责任：</w:t>
            </w:r>
          </w:p>
        </w:tc>
      </w:tr>
      <w:tr>
        <w:trPr>
          <w:trHeight w:val="320" w:hRule="atLeast"/>
        </w:trPr>
        <w:tc>
          <w:tcPr>
            <w:tcW w:w="2329" w:type="dxa"/>
            <w:gridSpan w:val="2"/>
            <w:vMerge/>
            <w:tcBorders>
              <w:top w:val="nil"/>
            </w:tcBorders>
          </w:tcPr>
          <w:p>
            <w:pPr>
              <w:rPr>
                <w:sz w:val="2"/>
                <w:szCs w:val="2"/>
              </w:rPr>
            </w:pPr>
          </w:p>
        </w:tc>
        <w:tc>
          <w:tcPr>
            <w:tcW w:w="7057" w:type="dxa"/>
          </w:tcPr>
          <w:p>
            <w:pPr>
              <w:pStyle w:val="TableParagraph"/>
              <w:spacing w:line="262" w:lineRule="exact"/>
              <w:ind w:left="135"/>
              <w:rPr>
                <w:sz w:val="21"/>
              </w:rPr>
            </w:pPr>
            <w:r>
              <w:rPr>
                <w:sz w:val="21"/>
                <w:shd w:fill="A6A6A6" w:color="auto" w:val="clear"/>
              </w:rPr>
              <w:t>(1)投保人对被保险人的故意杀害、故意伤害；</w:t>
            </w:r>
          </w:p>
        </w:tc>
      </w:tr>
      <w:tr>
        <w:trPr>
          <w:trHeight w:val="319" w:hRule="atLeast"/>
        </w:trPr>
        <w:tc>
          <w:tcPr>
            <w:tcW w:w="2329" w:type="dxa"/>
            <w:gridSpan w:val="2"/>
            <w:vMerge/>
            <w:tcBorders>
              <w:top w:val="nil"/>
            </w:tcBorders>
          </w:tcPr>
          <w:p>
            <w:pPr>
              <w:rPr>
                <w:sz w:val="2"/>
                <w:szCs w:val="2"/>
              </w:rPr>
            </w:pPr>
          </w:p>
        </w:tc>
        <w:tc>
          <w:tcPr>
            <w:tcW w:w="7057" w:type="dxa"/>
          </w:tcPr>
          <w:p>
            <w:pPr>
              <w:pStyle w:val="TableParagraph"/>
              <w:spacing w:line="260" w:lineRule="exact"/>
              <w:ind w:left="135"/>
              <w:rPr>
                <w:sz w:val="21"/>
              </w:rPr>
            </w:pPr>
            <w:r>
              <w:rPr>
                <w:sz w:val="21"/>
                <w:shd w:fill="A6A6A6" w:color="auto" w:val="clear"/>
              </w:rPr>
              <w:t>(2)被保险人故意自伤、故意犯罪或者抗拒依法采取的刑事强制措施；</w:t>
            </w:r>
          </w:p>
        </w:tc>
      </w:tr>
      <w:tr>
        <w:trPr>
          <w:trHeight w:val="320" w:hRule="atLeast"/>
        </w:trPr>
        <w:tc>
          <w:tcPr>
            <w:tcW w:w="2329" w:type="dxa"/>
            <w:gridSpan w:val="2"/>
            <w:vMerge/>
            <w:tcBorders>
              <w:top w:val="nil"/>
            </w:tcBorders>
          </w:tcPr>
          <w:p>
            <w:pPr>
              <w:rPr>
                <w:sz w:val="2"/>
                <w:szCs w:val="2"/>
              </w:rPr>
            </w:pPr>
          </w:p>
        </w:tc>
        <w:tc>
          <w:tcPr>
            <w:tcW w:w="7057" w:type="dxa"/>
          </w:tcPr>
          <w:p>
            <w:pPr>
              <w:pStyle w:val="TableParagraph"/>
              <w:spacing w:line="261" w:lineRule="exact"/>
              <w:ind w:left="135"/>
              <w:rPr>
                <w:sz w:val="21"/>
              </w:rPr>
            </w:pPr>
            <w:r>
              <w:rPr>
                <w:w w:val="100"/>
                <w:sz w:val="21"/>
                <w:shd w:fill="A6A6A6" w:color="auto" w:val="clear"/>
              </w:rPr>
              <w:t>(3)</w:t>
            </w:r>
            <w:r>
              <w:rPr>
                <w:spacing w:val="-3"/>
                <w:w w:val="100"/>
                <w:sz w:val="21"/>
                <w:shd w:fill="A6A6A6" w:color="auto" w:val="clear"/>
              </w:rPr>
              <w:t>被保险人主动吸食或注射</w:t>
            </w:r>
            <w:r>
              <w:rPr>
                <w:b/>
                <w:w w:val="100"/>
                <w:sz w:val="21"/>
                <w:shd w:fill="A6A6A6" w:color="auto" w:val="clear"/>
              </w:rPr>
              <w:t>毒品（见释义</w:t>
            </w:r>
            <w:r>
              <w:rPr>
                <w:b/>
                <w:spacing w:val="-106"/>
                <w:w w:val="100"/>
                <w:sz w:val="21"/>
                <w:shd w:fill="A6A6A6" w:color="auto" w:val="clear"/>
              </w:rPr>
              <w:t>）</w:t>
            </w:r>
            <w:r>
              <w:rPr>
                <w:w w:val="100"/>
                <w:sz w:val="21"/>
                <w:shd w:fill="A6A6A6" w:color="auto" w:val="clear"/>
              </w:rPr>
              <w:t>；</w:t>
            </w:r>
          </w:p>
        </w:tc>
      </w:tr>
      <w:tr>
        <w:trPr>
          <w:trHeight w:val="320" w:hRule="atLeast"/>
        </w:trPr>
        <w:tc>
          <w:tcPr>
            <w:tcW w:w="2329" w:type="dxa"/>
            <w:gridSpan w:val="2"/>
            <w:vMerge/>
            <w:tcBorders>
              <w:top w:val="nil"/>
            </w:tcBorders>
          </w:tcPr>
          <w:p>
            <w:pPr>
              <w:rPr>
                <w:sz w:val="2"/>
                <w:szCs w:val="2"/>
              </w:rPr>
            </w:pPr>
          </w:p>
        </w:tc>
        <w:tc>
          <w:tcPr>
            <w:tcW w:w="7057" w:type="dxa"/>
          </w:tcPr>
          <w:p>
            <w:pPr>
              <w:pStyle w:val="TableParagraph"/>
              <w:spacing w:line="262" w:lineRule="exact"/>
              <w:ind w:left="135"/>
              <w:rPr>
                <w:sz w:val="21"/>
              </w:rPr>
            </w:pPr>
            <w:r>
              <w:rPr>
                <w:w w:val="100"/>
                <w:sz w:val="21"/>
                <w:shd w:fill="A6A6A6" w:color="auto" w:val="clear"/>
              </w:rPr>
              <w:t>(4)</w:t>
            </w:r>
            <w:r>
              <w:rPr>
                <w:spacing w:val="-3"/>
                <w:w w:val="100"/>
                <w:sz w:val="21"/>
                <w:shd w:fill="A6A6A6" w:color="auto" w:val="clear"/>
              </w:rPr>
              <w:t>被保险人</w:t>
            </w:r>
            <w:r>
              <w:rPr>
                <w:b/>
                <w:spacing w:val="-3"/>
                <w:w w:val="100"/>
                <w:sz w:val="21"/>
                <w:shd w:fill="A6A6A6" w:color="auto" w:val="clear"/>
              </w:rPr>
              <w:t>酒后驾驶</w:t>
            </w:r>
            <w:r>
              <w:rPr>
                <w:b/>
                <w:w w:val="100"/>
                <w:sz w:val="21"/>
                <w:shd w:fill="A6A6A6" w:color="auto" w:val="clear"/>
              </w:rPr>
              <w:t>（</w:t>
            </w:r>
            <w:r>
              <w:rPr>
                <w:b/>
                <w:spacing w:val="-2"/>
                <w:w w:val="100"/>
                <w:sz w:val="21"/>
                <w:shd w:fill="A6A6A6" w:color="auto" w:val="clear"/>
              </w:rPr>
              <w:t>见释义</w:t>
            </w:r>
            <w:r>
              <w:rPr>
                <w:b/>
                <w:spacing w:val="-106"/>
                <w:w w:val="100"/>
                <w:sz w:val="21"/>
                <w:shd w:fill="A6A6A6" w:color="auto" w:val="clear"/>
              </w:rPr>
              <w:t>）</w:t>
            </w:r>
            <w:r>
              <w:rPr>
                <w:spacing w:val="-15"/>
                <w:w w:val="100"/>
                <w:sz w:val="21"/>
                <w:shd w:fill="A6A6A6" w:color="auto" w:val="clear"/>
              </w:rPr>
              <w:t>，</w:t>
            </w:r>
            <w:r>
              <w:rPr>
                <w:b/>
                <w:spacing w:val="-3"/>
                <w:w w:val="100"/>
                <w:sz w:val="21"/>
                <w:shd w:fill="A6A6A6" w:color="auto" w:val="clear"/>
              </w:rPr>
              <w:t>无合法有效驾驶证驾驶</w:t>
            </w:r>
            <w:r>
              <w:rPr>
                <w:b/>
                <w:w w:val="100"/>
                <w:sz w:val="21"/>
                <w:shd w:fill="A6A6A6" w:color="auto" w:val="clear"/>
              </w:rPr>
              <w:t>（见释义</w:t>
            </w:r>
            <w:r>
              <w:rPr>
                <w:b/>
                <w:spacing w:val="-106"/>
                <w:w w:val="100"/>
                <w:sz w:val="21"/>
                <w:shd w:fill="A6A6A6" w:color="auto" w:val="clear"/>
              </w:rPr>
              <w:t>）</w:t>
            </w:r>
            <w:r>
              <w:rPr>
                <w:spacing w:val="-6"/>
                <w:w w:val="100"/>
                <w:sz w:val="21"/>
                <w:shd w:fill="A6A6A6" w:color="auto" w:val="clear"/>
              </w:rPr>
              <w:t>，或驾</w:t>
            </w:r>
          </w:p>
        </w:tc>
      </w:tr>
      <w:tr>
        <w:trPr>
          <w:trHeight w:val="319" w:hRule="atLeast"/>
        </w:trPr>
        <w:tc>
          <w:tcPr>
            <w:tcW w:w="2329" w:type="dxa"/>
            <w:gridSpan w:val="2"/>
            <w:vMerge/>
            <w:tcBorders>
              <w:top w:val="nil"/>
            </w:tcBorders>
          </w:tcPr>
          <w:p>
            <w:pPr>
              <w:rPr>
                <w:sz w:val="2"/>
                <w:szCs w:val="2"/>
              </w:rPr>
            </w:pPr>
          </w:p>
        </w:tc>
        <w:tc>
          <w:tcPr>
            <w:tcW w:w="7057" w:type="dxa"/>
          </w:tcPr>
          <w:p>
            <w:pPr>
              <w:pStyle w:val="TableParagraph"/>
              <w:spacing w:line="260" w:lineRule="exact"/>
              <w:ind w:left="135"/>
              <w:rPr>
                <w:sz w:val="21"/>
              </w:rPr>
            </w:pPr>
            <w:r>
              <w:rPr>
                <w:spacing w:val="-2"/>
                <w:w w:val="100"/>
                <w:sz w:val="21"/>
                <w:shd w:fill="A6A6A6" w:color="auto" w:val="clear"/>
              </w:rPr>
              <w:t>驶</w:t>
            </w:r>
            <w:r>
              <w:rPr>
                <w:b/>
                <w:w w:val="100"/>
                <w:sz w:val="21"/>
                <w:shd w:fill="A6A6A6" w:color="auto" w:val="clear"/>
              </w:rPr>
              <w:t>无有效行驶证（</w:t>
            </w:r>
            <w:r>
              <w:rPr>
                <w:b/>
                <w:spacing w:val="-1"/>
                <w:w w:val="100"/>
                <w:sz w:val="21"/>
                <w:shd w:fill="A6A6A6" w:color="auto" w:val="clear"/>
              </w:rPr>
              <w:t>见释义）</w:t>
            </w:r>
            <w:r>
              <w:rPr>
                <w:spacing w:val="-2"/>
                <w:w w:val="100"/>
                <w:sz w:val="21"/>
                <w:shd w:fill="A6A6A6" w:color="auto" w:val="clear"/>
              </w:rPr>
              <w:t>的</w:t>
            </w:r>
            <w:r>
              <w:rPr>
                <w:b/>
                <w:w w:val="100"/>
                <w:sz w:val="21"/>
                <w:shd w:fill="A6A6A6" w:color="auto" w:val="clear"/>
              </w:rPr>
              <w:t>机动车（见释义</w:t>
            </w:r>
            <w:r>
              <w:rPr>
                <w:b/>
                <w:spacing w:val="-106"/>
                <w:w w:val="100"/>
                <w:sz w:val="21"/>
                <w:shd w:fill="A6A6A6" w:color="auto" w:val="clear"/>
              </w:rPr>
              <w:t>）</w:t>
            </w:r>
            <w:r>
              <w:rPr>
                <w:w w:val="100"/>
                <w:sz w:val="21"/>
                <w:shd w:fill="A6A6A6" w:color="auto" w:val="clear"/>
              </w:rPr>
              <w:t>；</w:t>
            </w:r>
          </w:p>
        </w:tc>
      </w:tr>
      <w:tr>
        <w:trPr>
          <w:trHeight w:val="320" w:hRule="atLeast"/>
        </w:trPr>
        <w:tc>
          <w:tcPr>
            <w:tcW w:w="2329" w:type="dxa"/>
            <w:gridSpan w:val="2"/>
            <w:vMerge/>
            <w:tcBorders>
              <w:top w:val="nil"/>
            </w:tcBorders>
          </w:tcPr>
          <w:p>
            <w:pPr>
              <w:rPr>
                <w:sz w:val="2"/>
                <w:szCs w:val="2"/>
              </w:rPr>
            </w:pPr>
          </w:p>
        </w:tc>
        <w:tc>
          <w:tcPr>
            <w:tcW w:w="7057" w:type="dxa"/>
          </w:tcPr>
          <w:p>
            <w:pPr>
              <w:pStyle w:val="TableParagraph"/>
              <w:spacing w:line="260" w:lineRule="exact"/>
              <w:ind w:left="135"/>
              <w:rPr>
                <w:b/>
                <w:sz w:val="21"/>
              </w:rPr>
            </w:pPr>
            <w:r>
              <w:rPr>
                <w:w w:val="100"/>
                <w:sz w:val="21"/>
                <w:shd w:fill="A6A6A6" w:color="auto" w:val="clear"/>
              </w:rPr>
              <w:t>(5)被保险人所患</w:t>
            </w:r>
            <w:r>
              <w:rPr>
                <w:b/>
                <w:spacing w:val="0"/>
                <w:w w:val="100"/>
                <w:sz w:val="21"/>
                <w:shd w:fill="A6A6A6" w:color="auto" w:val="clear"/>
              </w:rPr>
              <w:t>遗传性疾病</w:t>
            </w:r>
            <w:r>
              <w:rPr>
                <w:b/>
                <w:spacing w:val="1"/>
                <w:w w:val="100"/>
                <w:sz w:val="21"/>
                <w:shd w:fill="A6A6A6" w:color="auto" w:val="clear"/>
              </w:rPr>
              <w:t>（</w:t>
            </w:r>
            <w:r>
              <w:rPr>
                <w:b/>
                <w:w w:val="100"/>
                <w:sz w:val="21"/>
                <w:shd w:fill="A6A6A6" w:color="auto" w:val="clear"/>
              </w:rPr>
              <w:t>见释义</w:t>
            </w:r>
            <w:r>
              <w:rPr>
                <w:b/>
                <w:spacing w:val="-103"/>
                <w:w w:val="100"/>
                <w:sz w:val="21"/>
                <w:shd w:fill="A6A6A6" w:color="auto" w:val="clear"/>
              </w:rPr>
              <w:t>）</w:t>
            </w:r>
            <w:r>
              <w:rPr>
                <w:w w:val="100"/>
                <w:sz w:val="21"/>
                <w:shd w:fill="A6A6A6" w:color="auto" w:val="clear"/>
              </w:rPr>
              <w:t>，</w:t>
            </w:r>
            <w:r>
              <w:rPr>
                <w:b/>
                <w:w w:val="100"/>
                <w:sz w:val="21"/>
                <w:shd w:fill="A6A6A6" w:color="auto" w:val="clear"/>
              </w:rPr>
              <w:t>先天性畸形、变形或染色体异常</w:t>
            </w:r>
          </w:p>
        </w:tc>
      </w:tr>
      <w:tr>
        <w:trPr>
          <w:trHeight w:val="320" w:hRule="atLeast"/>
        </w:trPr>
        <w:tc>
          <w:tcPr>
            <w:tcW w:w="2329" w:type="dxa"/>
            <w:gridSpan w:val="2"/>
            <w:vMerge/>
            <w:tcBorders>
              <w:top w:val="nil"/>
            </w:tcBorders>
          </w:tcPr>
          <w:p>
            <w:pPr>
              <w:rPr>
                <w:sz w:val="2"/>
                <w:szCs w:val="2"/>
              </w:rPr>
            </w:pPr>
          </w:p>
        </w:tc>
        <w:tc>
          <w:tcPr>
            <w:tcW w:w="7057" w:type="dxa"/>
          </w:tcPr>
          <w:p>
            <w:pPr>
              <w:pStyle w:val="TableParagraph"/>
              <w:spacing w:line="262" w:lineRule="exact"/>
              <w:ind w:left="135"/>
              <w:rPr>
                <w:sz w:val="21"/>
              </w:rPr>
            </w:pPr>
            <w:r>
              <w:rPr>
                <w:b/>
                <w:w w:val="100"/>
                <w:sz w:val="21"/>
                <w:shd w:fill="A6A6A6" w:color="auto" w:val="clear"/>
              </w:rPr>
              <w:t>（见释义</w:t>
            </w:r>
            <w:r>
              <w:rPr>
                <w:b/>
                <w:spacing w:val="-105"/>
                <w:w w:val="100"/>
                <w:sz w:val="21"/>
                <w:shd w:fill="A6A6A6" w:color="auto" w:val="clear"/>
              </w:rPr>
              <w:t>）</w:t>
            </w:r>
            <w:r>
              <w:rPr>
                <w:w w:val="100"/>
                <w:sz w:val="21"/>
                <w:shd w:fill="A6A6A6" w:color="auto" w:val="clear"/>
              </w:rPr>
              <w:t>；</w:t>
            </w:r>
          </w:p>
        </w:tc>
      </w:tr>
      <w:tr>
        <w:trPr>
          <w:trHeight w:val="319" w:hRule="atLeast"/>
        </w:trPr>
        <w:tc>
          <w:tcPr>
            <w:tcW w:w="2329" w:type="dxa"/>
            <w:gridSpan w:val="2"/>
            <w:vMerge/>
            <w:tcBorders>
              <w:top w:val="nil"/>
            </w:tcBorders>
          </w:tcPr>
          <w:p>
            <w:pPr>
              <w:rPr>
                <w:sz w:val="2"/>
                <w:szCs w:val="2"/>
              </w:rPr>
            </w:pPr>
          </w:p>
        </w:tc>
        <w:tc>
          <w:tcPr>
            <w:tcW w:w="7057" w:type="dxa"/>
          </w:tcPr>
          <w:p>
            <w:pPr>
              <w:pStyle w:val="TableParagraph"/>
              <w:spacing w:line="260" w:lineRule="exact"/>
              <w:ind w:left="135"/>
              <w:rPr>
                <w:sz w:val="21"/>
              </w:rPr>
            </w:pPr>
            <w:r>
              <w:rPr>
                <w:sz w:val="21"/>
                <w:shd w:fill="A6A6A6" w:color="auto" w:val="clear"/>
              </w:rPr>
              <w:t>(6)被保险人</w:t>
            </w:r>
            <w:r>
              <w:rPr>
                <w:b/>
                <w:sz w:val="21"/>
                <w:shd w:fill="A6A6A6" w:color="auto" w:val="clear"/>
              </w:rPr>
              <w:t>感染艾滋病病毒或患艾滋病（见释义）</w:t>
            </w:r>
            <w:r>
              <w:rPr>
                <w:sz w:val="21"/>
                <w:shd w:fill="A6A6A6" w:color="auto" w:val="clear"/>
              </w:rPr>
              <w:t>期间(不包括本附加险</w:t>
            </w:r>
          </w:p>
        </w:tc>
      </w:tr>
      <w:tr>
        <w:trPr>
          <w:trHeight w:val="320" w:hRule="atLeast"/>
        </w:trPr>
        <w:tc>
          <w:tcPr>
            <w:tcW w:w="2329" w:type="dxa"/>
            <w:gridSpan w:val="2"/>
            <w:vMerge/>
            <w:tcBorders>
              <w:top w:val="nil"/>
            </w:tcBorders>
          </w:tcPr>
          <w:p>
            <w:pPr>
              <w:rPr>
                <w:sz w:val="2"/>
                <w:szCs w:val="2"/>
              </w:rPr>
            </w:pPr>
          </w:p>
        </w:tc>
        <w:tc>
          <w:tcPr>
            <w:tcW w:w="7057" w:type="dxa"/>
          </w:tcPr>
          <w:p>
            <w:pPr>
              <w:pStyle w:val="TableParagraph"/>
              <w:spacing w:line="260" w:lineRule="exact"/>
              <w:ind w:left="135"/>
              <w:rPr>
                <w:sz w:val="21"/>
              </w:rPr>
            </w:pPr>
            <w:r>
              <w:rPr>
                <w:sz w:val="21"/>
                <w:shd w:fill="A6A6A6" w:color="auto" w:val="clear"/>
              </w:rPr>
              <w:t>合同所保障的“经输血导致的人类免疫缺陷病毒（HIV）感染”)；</w:t>
            </w:r>
          </w:p>
        </w:tc>
      </w:tr>
      <w:tr>
        <w:trPr>
          <w:trHeight w:val="320" w:hRule="atLeast"/>
        </w:trPr>
        <w:tc>
          <w:tcPr>
            <w:tcW w:w="2329" w:type="dxa"/>
            <w:gridSpan w:val="2"/>
            <w:vMerge/>
            <w:tcBorders>
              <w:top w:val="nil"/>
            </w:tcBorders>
          </w:tcPr>
          <w:p>
            <w:pPr>
              <w:rPr>
                <w:sz w:val="2"/>
                <w:szCs w:val="2"/>
              </w:rPr>
            </w:pPr>
          </w:p>
        </w:tc>
        <w:tc>
          <w:tcPr>
            <w:tcW w:w="7057" w:type="dxa"/>
          </w:tcPr>
          <w:p>
            <w:pPr>
              <w:pStyle w:val="TableParagraph"/>
              <w:spacing w:line="262" w:lineRule="exact"/>
              <w:ind w:left="135"/>
              <w:rPr>
                <w:sz w:val="21"/>
              </w:rPr>
            </w:pPr>
            <w:r>
              <w:rPr>
                <w:sz w:val="21"/>
                <w:shd w:fill="A6A6A6" w:color="auto" w:val="clear"/>
              </w:rPr>
              <w:t>(7)战争、军事冲突、暴乱或武装叛乱；</w:t>
            </w:r>
          </w:p>
        </w:tc>
      </w:tr>
      <w:tr>
        <w:trPr>
          <w:trHeight w:val="265" w:hRule="atLeast"/>
        </w:trPr>
        <w:tc>
          <w:tcPr>
            <w:tcW w:w="2329" w:type="dxa"/>
            <w:gridSpan w:val="2"/>
            <w:vMerge/>
            <w:tcBorders>
              <w:top w:val="nil"/>
            </w:tcBorders>
          </w:tcPr>
          <w:p>
            <w:pPr>
              <w:rPr>
                <w:sz w:val="2"/>
                <w:szCs w:val="2"/>
              </w:rPr>
            </w:pPr>
          </w:p>
        </w:tc>
        <w:tc>
          <w:tcPr>
            <w:tcW w:w="7057" w:type="dxa"/>
          </w:tcPr>
          <w:p>
            <w:pPr>
              <w:pStyle w:val="TableParagraph"/>
              <w:spacing w:line="245" w:lineRule="exact"/>
              <w:ind w:left="135"/>
              <w:rPr>
                <w:sz w:val="21"/>
              </w:rPr>
            </w:pPr>
            <w:r>
              <w:rPr>
                <w:sz w:val="21"/>
                <w:shd w:fill="A6A6A6" w:color="auto" w:val="clear"/>
              </w:rPr>
              <w:t>(8)核爆炸、核辐射或核污染。</w:t>
            </w:r>
          </w:p>
        </w:tc>
      </w:tr>
    </w:tbl>
    <w:p>
      <w:pPr>
        <w:pStyle w:val="BodyText"/>
        <w:spacing w:line="280" w:lineRule="auto" w:before="39"/>
        <w:ind w:left="2623" w:right="210" w:firstLine="420"/>
        <w:jc w:val="both"/>
      </w:pPr>
      <w:r>
        <w:rPr/>
        <w:t>发生上述第(1)项情形导致被保险人患重大疾病或特定疾病的，本附加</w:t>
      </w:r>
      <w:r>
        <w:rPr>
          <w:spacing w:val="-9"/>
        </w:rPr>
        <w:t>险合同终止，我们按照被保险人、被保险人的继承人的顺序向其退还本附加</w:t>
      </w:r>
      <w:r>
        <w:rPr>
          <w:spacing w:val="-6"/>
          <w:w w:val="100"/>
        </w:rPr>
        <w:t>险合同的</w:t>
      </w:r>
      <w:r>
        <w:rPr>
          <w:b/>
          <w:w w:val="100"/>
        </w:rPr>
        <w:t>现金价值（</w:t>
      </w:r>
      <w:r>
        <w:rPr>
          <w:b/>
          <w:spacing w:val="-2"/>
          <w:w w:val="100"/>
        </w:rPr>
        <w:t>见释义</w:t>
      </w:r>
      <w:r>
        <w:rPr>
          <w:b/>
          <w:spacing w:val="-106"/>
          <w:w w:val="100"/>
        </w:rPr>
        <w:t>）</w:t>
      </w:r>
      <w:r>
        <w:rPr>
          <w:w w:val="100"/>
        </w:rPr>
        <w:t>；</w:t>
      </w:r>
    </w:p>
    <w:p>
      <w:pPr>
        <w:pStyle w:val="BodyText"/>
        <w:spacing w:line="260" w:lineRule="exact"/>
        <w:ind w:left="3044"/>
      </w:pPr>
      <w:r>
        <w:rPr/>
        <w:t>发生上述其他情形导致被保险人患重大疾病或特定疾病的，本附加险合</w:t>
      </w:r>
    </w:p>
    <w:p>
      <w:pPr>
        <w:pStyle w:val="BodyText"/>
        <w:spacing w:before="37"/>
        <w:ind w:left="2623"/>
      </w:pPr>
      <w:r>
        <w:rPr/>
        <w:t>同终止，我们向您退还本附加险合同的现金价值。</w:t>
      </w:r>
    </w:p>
    <w:p>
      <w:pPr>
        <w:pStyle w:val="BodyText"/>
        <w:spacing w:before="9"/>
        <w:rPr>
          <w:sz w:val="23"/>
        </w:rPr>
      </w:pPr>
      <w:r>
        <w:rPr/>
        <w:pict>
          <v:shape style="position:absolute;margin-left:59.040001pt;margin-top:16.727375pt;width:474.95pt;height:15.6pt;mso-position-horizontal-relative:page;mso-position-vertical-relative:paragraph;z-index:1144;mso-wrap-distance-left:0;mso-wrap-distance-right:0" type="#_x0000_t202" filled="true" fillcolor="#a6a6a6" stroked="false">
            <v:textbox inset="0,0,0,0">
              <w:txbxContent>
                <w:p>
                  <w:pPr>
                    <w:tabs>
                      <w:tab w:pos="780" w:val="left" w:leader="none"/>
                    </w:tabs>
                    <w:spacing w:line="262" w:lineRule="exact" w:before="0"/>
                    <w:ind w:left="108" w:right="0" w:firstLine="0"/>
                    <w:jc w:val="left"/>
                    <w:rPr>
                      <w:rFonts w:ascii="黑体" w:eastAsia="黑体" w:hint="eastAsia"/>
                      <w:b/>
                      <w:sz w:val="21"/>
                    </w:rPr>
                  </w:pPr>
                  <w:r>
                    <w:rPr>
                      <w:rFonts w:ascii="黑体" w:eastAsia="黑体" w:hint="eastAsia"/>
                      <w:b/>
                      <w:sz w:val="21"/>
                    </w:rPr>
                    <w:t>3</w:t>
                    <w:tab/>
                    <w:t>如何申请领取保险金</w:t>
                  </w:r>
                </w:p>
              </w:txbxContent>
            </v:textbox>
            <v:fill type="solid"/>
            <w10:wrap type="topAndBottom"/>
          </v:shape>
        </w:pict>
      </w:r>
    </w:p>
    <w:p>
      <w:pPr>
        <w:pStyle w:val="BodyText"/>
        <w:spacing w:before="12"/>
        <w:rPr>
          <w:sz w:val="5"/>
        </w:rPr>
      </w:pPr>
    </w:p>
    <w:p>
      <w:pPr>
        <w:pStyle w:val="ListParagraph"/>
        <w:numPr>
          <w:ilvl w:val="1"/>
          <w:numId w:val="4"/>
        </w:numPr>
        <w:tabs>
          <w:tab w:pos="881" w:val="left" w:leader="none"/>
          <w:tab w:pos="882" w:val="left" w:leader="none"/>
          <w:tab w:pos="2623" w:val="left" w:leader="none"/>
        </w:tabs>
        <w:spacing w:line="278" w:lineRule="auto" w:before="40" w:after="0"/>
        <w:ind w:left="2623" w:right="210" w:hanging="2414"/>
        <w:jc w:val="left"/>
        <w:rPr>
          <w:sz w:val="21"/>
        </w:rPr>
      </w:pPr>
      <w:r>
        <w:rPr>
          <w:rFonts w:ascii="黑体" w:eastAsia="黑体" w:hint="eastAsia"/>
          <w:position w:val="2"/>
          <w:sz w:val="21"/>
        </w:rPr>
        <w:t>受益人</w:t>
        <w:tab/>
      </w:r>
      <w:r>
        <w:rPr>
          <w:spacing w:val="-1"/>
          <w:sz w:val="21"/>
        </w:rPr>
        <w:t>除</w:t>
      </w:r>
      <w:r>
        <w:rPr>
          <w:sz w:val="21"/>
        </w:rPr>
        <w:t>另</w:t>
      </w:r>
      <w:r>
        <w:rPr>
          <w:spacing w:val="-3"/>
          <w:sz w:val="21"/>
        </w:rPr>
        <w:t>有</w:t>
      </w:r>
      <w:r>
        <w:rPr>
          <w:sz w:val="21"/>
        </w:rPr>
        <w:t>指</w:t>
      </w:r>
      <w:r>
        <w:rPr>
          <w:spacing w:val="-3"/>
          <w:sz w:val="21"/>
        </w:rPr>
        <w:t>定</w:t>
      </w:r>
      <w:r>
        <w:rPr>
          <w:sz w:val="21"/>
        </w:rPr>
        <w:t>外</w:t>
      </w:r>
      <w:r>
        <w:rPr>
          <w:spacing w:val="-68"/>
          <w:sz w:val="21"/>
        </w:rPr>
        <w:t>，</w:t>
      </w:r>
      <w:r>
        <w:rPr>
          <w:sz w:val="21"/>
        </w:rPr>
        <w:t>重</w:t>
      </w:r>
      <w:r>
        <w:rPr>
          <w:spacing w:val="-3"/>
          <w:sz w:val="21"/>
        </w:rPr>
        <w:t>大</w:t>
      </w:r>
      <w:r>
        <w:rPr>
          <w:sz w:val="21"/>
        </w:rPr>
        <w:t>疾</w:t>
      </w:r>
      <w:r>
        <w:rPr>
          <w:spacing w:val="-3"/>
          <w:sz w:val="21"/>
        </w:rPr>
        <w:t>病保</w:t>
      </w:r>
      <w:r>
        <w:rPr>
          <w:sz w:val="21"/>
        </w:rPr>
        <w:t>险金</w:t>
      </w:r>
      <w:r>
        <w:rPr>
          <w:spacing w:val="-3"/>
          <w:sz w:val="21"/>
        </w:rPr>
        <w:t>和</w:t>
      </w:r>
      <w:r>
        <w:rPr>
          <w:sz w:val="21"/>
        </w:rPr>
        <w:t>特</w:t>
      </w:r>
      <w:r>
        <w:rPr>
          <w:spacing w:val="-3"/>
          <w:sz w:val="21"/>
        </w:rPr>
        <w:t>定</w:t>
      </w:r>
      <w:r>
        <w:rPr>
          <w:sz w:val="21"/>
        </w:rPr>
        <w:t>疾</w:t>
      </w:r>
      <w:r>
        <w:rPr>
          <w:spacing w:val="-3"/>
          <w:sz w:val="21"/>
        </w:rPr>
        <w:t>病</w:t>
      </w:r>
      <w:r>
        <w:rPr>
          <w:sz w:val="21"/>
        </w:rPr>
        <w:t>额</w:t>
      </w:r>
      <w:r>
        <w:rPr>
          <w:spacing w:val="-3"/>
          <w:sz w:val="21"/>
        </w:rPr>
        <w:t>外</w:t>
      </w:r>
      <w:r>
        <w:rPr>
          <w:sz w:val="21"/>
        </w:rPr>
        <w:t>保</w:t>
      </w:r>
      <w:r>
        <w:rPr>
          <w:spacing w:val="-3"/>
          <w:sz w:val="21"/>
        </w:rPr>
        <w:t>险</w:t>
      </w:r>
      <w:r>
        <w:rPr>
          <w:sz w:val="21"/>
        </w:rPr>
        <w:t>金的</w:t>
      </w:r>
      <w:r>
        <w:rPr>
          <w:spacing w:val="-3"/>
          <w:sz w:val="21"/>
        </w:rPr>
        <w:t>受</w:t>
      </w:r>
      <w:r>
        <w:rPr>
          <w:sz w:val="21"/>
        </w:rPr>
        <w:t>益</w:t>
      </w:r>
      <w:r>
        <w:rPr>
          <w:spacing w:val="-3"/>
          <w:sz w:val="21"/>
        </w:rPr>
        <w:t>人</w:t>
      </w:r>
      <w:r>
        <w:rPr>
          <w:sz w:val="21"/>
        </w:rPr>
        <w:t>为</w:t>
      </w:r>
      <w:r>
        <w:rPr>
          <w:spacing w:val="-3"/>
          <w:sz w:val="21"/>
        </w:rPr>
        <w:t>被</w:t>
      </w:r>
      <w:r>
        <w:rPr>
          <w:sz w:val="21"/>
        </w:rPr>
        <w:t>保</w:t>
      </w:r>
      <w:r>
        <w:rPr>
          <w:spacing w:val="-3"/>
          <w:sz w:val="21"/>
        </w:rPr>
        <w:t>险</w:t>
      </w:r>
      <w:r>
        <w:rPr>
          <w:sz w:val="21"/>
        </w:rPr>
        <w:t>人 本人。</w:t>
      </w:r>
    </w:p>
    <w:p>
      <w:pPr>
        <w:pStyle w:val="ListParagraph"/>
        <w:numPr>
          <w:ilvl w:val="1"/>
          <w:numId w:val="4"/>
        </w:numPr>
        <w:tabs>
          <w:tab w:pos="881" w:val="left" w:leader="none"/>
          <w:tab w:pos="882" w:val="left" w:leader="none"/>
          <w:tab w:pos="2623" w:val="left" w:leader="none"/>
        </w:tabs>
        <w:spacing w:line="240" w:lineRule="auto" w:before="134" w:after="0"/>
        <w:ind w:left="2623" w:right="0" w:hanging="2414"/>
        <w:jc w:val="left"/>
        <w:rPr>
          <w:sz w:val="21"/>
        </w:rPr>
      </w:pPr>
      <w:r>
        <w:rPr>
          <w:rFonts w:ascii="黑体" w:eastAsia="黑体" w:hint="eastAsia"/>
          <w:sz w:val="21"/>
        </w:rPr>
        <w:t>保险</w:t>
      </w:r>
      <w:r>
        <w:rPr>
          <w:rFonts w:ascii="黑体" w:eastAsia="黑体" w:hint="eastAsia"/>
          <w:spacing w:val="-3"/>
          <w:sz w:val="21"/>
        </w:rPr>
        <w:t>金</w:t>
      </w:r>
      <w:r>
        <w:rPr>
          <w:rFonts w:ascii="黑体" w:eastAsia="黑体" w:hint="eastAsia"/>
          <w:sz w:val="21"/>
        </w:rPr>
        <w:t>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8"/>
        <w:rPr>
          <w:sz w:val="10"/>
        </w:rPr>
      </w:pPr>
    </w:p>
    <w:p>
      <w:pPr>
        <w:spacing w:after="0"/>
        <w:rPr>
          <w:sz w:val="10"/>
        </w:rPr>
        <w:sectPr>
          <w:pgSz w:w="11910" w:h="16840"/>
          <w:pgMar w:top="1480" w:bottom="280" w:left="1080" w:right="1120"/>
        </w:sectPr>
      </w:pPr>
    </w:p>
    <w:p>
      <w:pPr>
        <w:spacing w:line="266" w:lineRule="auto" w:before="35"/>
        <w:ind w:left="881" w:right="0" w:firstLine="0"/>
        <w:jc w:val="left"/>
        <w:rPr>
          <w:rFonts w:ascii="黑体" w:eastAsia="黑体" w:hint="eastAsia"/>
          <w:i/>
          <w:sz w:val="22"/>
        </w:rPr>
      </w:pPr>
      <w:r>
        <w:rPr/>
        <w:drawing>
          <wp:anchor distT="0" distB="0" distL="0" distR="0" allowOverlap="1" layoutInCell="1" locked="0" behindDoc="1" simplePos="0" relativeHeight="268405175">
            <wp:simplePos x="0" y="0"/>
            <wp:positionH relativeFrom="page">
              <wp:posOffset>4133977</wp:posOffset>
            </wp:positionH>
            <wp:positionV relativeFrom="page">
              <wp:posOffset>1668271</wp:posOffset>
            </wp:positionV>
            <wp:extent cx="62864" cy="942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864" cy="94297"/>
                    </a:xfrm>
                    <a:prstGeom prst="rect">
                      <a:avLst/>
                    </a:prstGeom>
                  </pic:spPr>
                </pic:pic>
              </a:graphicData>
            </a:graphic>
          </wp:anchor>
        </w:drawing>
      </w:r>
      <w:r>
        <w:rPr>
          <w:rFonts w:ascii="黑体" w:eastAsia="黑体" w:hint="eastAsia"/>
          <w:i/>
          <w:sz w:val="22"/>
        </w:rPr>
        <w:t>重大疾病保险</w:t>
      </w:r>
      <w:r>
        <w:rPr>
          <w:rFonts w:ascii="黑体" w:eastAsia="黑体" w:hint="eastAsia"/>
          <w:i/>
          <w:w w:val="95"/>
          <w:sz w:val="22"/>
        </w:rPr>
        <w:t>金、特定疾病额外保险金申请</w:t>
      </w:r>
    </w:p>
    <w:p>
      <w:pPr>
        <w:pStyle w:val="BodyText"/>
        <w:spacing w:before="47"/>
        <w:ind w:left="228"/>
      </w:pPr>
      <w:r>
        <w:rPr/>
        <w:br w:type="column"/>
      </w:r>
      <w:r>
        <w:rPr/>
        <w:t>受益人须填写保险金给付申请书，并提供下列证明和资料：</w:t>
      </w:r>
    </w:p>
    <w:p>
      <w:pPr>
        <w:pStyle w:val="BodyText"/>
        <w:spacing w:before="46"/>
        <w:ind w:left="228"/>
      </w:pPr>
      <w:r>
        <w:rPr/>
        <w:t>(1)保险合同；</w:t>
      </w:r>
    </w:p>
    <w:p>
      <w:pPr>
        <w:pStyle w:val="BodyText"/>
        <w:spacing w:before="43"/>
        <w:ind w:left="228"/>
      </w:pPr>
      <w:r>
        <w:rPr/>
        <w:t>(2)受益人的有效身份证件；</w:t>
      </w:r>
    </w:p>
    <w:p>
      <w:pPr>
        <w:pStyle w:val="BodyText"/>
        <w:spacing w:line="280" w:lineRule="auto" w:before="44"/>
        <w:ind w:left="228" w:right="210"/>
      </w:pPr>
      <w:r>
        <w:rPr/>
        <w:t>(3)卫生行政部门认定的二级以上公立医院出具的附有病理学检查、血液检验及其它科学方法检验报告的疾病诊断证明书；</w:t>
      </w:r>
    </w:p>
    <w:p>
      <w:pPr>
        <w:pStyle w:val="BodyText"/>
        <w:spacing w:before="8"/>
        <w:ind w:left="228"/>
      </w:pPr>
      <w:r>
        <w:rPr/>
        <w:t>(4)所能提供的与确认保险事故的性质、原因等有关的其他证明和资料。</w:t>
      </w:r>
    </w:p>
    <w:p>
      <w:pPr>
        <w:pStyle w:val="BodyText"/>
        <w:spacing w:before="2"/>
        <w:rPr>
          <w:sz w:val="14"/>
        </w:rPr>
      </w:pPr>
    </w:p>
    <w:p>
      <w:pPr>
        <w:pStyle w:val="BodyText"/>
        <w:spacing w:line="280" w:lineRule="auto"/>
        <w:ind w:left="228" w:right="210"/>
        <w:jc w:val="both"/>
      </w:pPr>
      <w:r>
        <w:rPr>
          <w:spacing w:val="-7"/>
        </w:rPr>
        <w:t>若申请人为未成年人或无民事行为能力人时，由其合法监护人代其申请领取</w:t>
      </w:r>
      <w:r>
        <w:rPr>
          <w:spacing w:val="-11"/>
        </w:rPr>
        <w:t>保险金，其合法监护人还必须提供申请人为未成年人或无民事行为能力人的</w:t>
      </w:r>
      <w:r>
        <w:rPr>
          <w:spacing w:val="-6"/>
        </w:rPr>
        <w:t>证明和监护人具有合法监护权的证明。</w:t>
      </w:r>
    </w:p>
    <w:p>
      <w:pPr>
        <w:spacing w:after="0" w:line="280" w:lineRule="auto"/>
        <w:jc w:val="both"/>
        <w:sectPr>
          <w:type w:val="continuous"/>
          <w:pgSz w:w="11910" w:h="16840"/>
          <w:pgMar w:top="140" w:bottom="280" w:left="1080" w:right="1120"/>
          <w:cols w:num="2" w:equalWidth="0">
            <w:col w:w="2355" w:space="40"/>
            <w:col w:w="7315"/>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814"/>
        <w:gridCol w:w="7083"/>
      </w:tblGrid>
      <w:tr>
        <w:trPr>
          <w:trHeight w:val="644" w:hRule="atLeast"/>
        </w:trPr>
        <w:tc>
          <w:tcPr>
            <w:tcW w:w="603" w:type="dxa"/>
          </w:tcPr>
          <w:p>
            <w:pPr>
              <w:pStyle w:val="TableParagraph"/>
              <w:ind w:left="0"/>
              <w:rPr>
                <w:rFonts w:ascii="Times New Roman"/>
                <w:sz w:val="20"/>
              </w:rPr>
            </w:pPr>
          </w:p>
        </w:tc>
        <w:tc>
          <w:tcPr>
            <w:tcW w:w="1814" w:type="dxa"/>
          </w:tcPr>
          <w:p>
            <w:pPr>
              <w:pStyle w:val="TableParagraph"/>
              <w:ind w:left="0"/>
              <w:rPr>
                <w:rFonts w:ascii="Times New Roman"/>
                <w:sz w:val="20"/>
              </w:rPr>
            </w:pPr>
          </w:p>
        </w:tc>
        <w:tc>
          <w:tcPr>
            <w:tcW w:w="7083" w:type="dxa"/>
          </w:tcPr>
          <w:p>
            <w:pPr>
              <w:pStyle w:val="TableParagraph"/>
              <w:spacing w:line="202" w:lineRule="exact"/>
              <w:ind w:left="105"/>
              <w:rPr>
                <w:sz w:val="21"/>
              </w:rPr>
            </w:pPr>
            <w:r>
              <w:rPr>
                <w:sz w:val="21"/>
              </w:rPr>
              <w:t>以上各项保险金申请的证明和资料不完整的，我们将及时一次性通知受益人</w:t>
            </w:r>
          </w:p>
          <w:p>
            <w:pPr>
              <w:pStyle w:val="TableParagraph"/>
              <w:spacing w:before="37"/>
              <w:ind w:left="105"/>
              <w:rPr>
                <w:sz w:val="21"/>
              </w:rPr>
            </w:pPr>
            <w:r>
              <w:rPr>
                <w:sz w:val="21"/>
              </w:rPr>
              <w:t>补充提供有关证明和资料。</w:t>
            </w:r>
          </w:p>
        </w:tc>
      </w:tr>
      <w:tr>
        <w:trPr>
          <w:trHeight w:val="3638" w:hRule="atLeast"/>
        </w:trPr>
        <w:tc>
          <w:tcPr>
            <w:tcW w:w="603" w:type="dxa"/>
          </w:tcPr>
          <w:p>
            <w:pPr>
              <w:pStyle w:val="TableParagraph"/>
              <w:spacing w:before="48"/>
              <w:ind w:left="108"/>
              <w:rPr>
                <w:rFonts w:ascii="黑体"/>
                <w:sz w:val="21"/>
              </w:rPr>
            </w:pPr>
            <w:r>
              <w:rPr>
                <w:rFonts w:ascii="黑体"/>
                <w:sz w:val="21"/>
              </w:rPr>
              <w:t>3.3</w:t>
            </w:r>
          </w:p>
        </w:tc>
        <w:tc>
          <w:tcPr>
            <w:tcW w:w="1814" w:type="dxa"/>
          </w:tcPr>
          <w:p>
            <w:pPr>
              <w:pStyle w:val="TableParagraph"/>
              <w:spacing w:before="48"/>
              <w:ind w:left="177"/>
              <w:rPr>
                <w:rFonts w:ascii="黑体" w:eastAsia="黑体" w:hint="eastAsia"/>
                <w:sz w:val="21"/>
              </w:rPr>
            </w:pPr>
            <w:r>
              <w:rPr>
                <w:rFonts w:ascii="黑体" w:eastAsia="黑体" w:hint="eastAsia"/>
                <w:sz w:val="21"/>
              </w:rPr>
              <w:t>保险金给付</w:t>
            </w:r>
          </w:p>
        </w:tc>
        <w:tc>
          <w:tcPr>
            <w:tcW w:w="7083" w:type="dxa"/>
          </w:tcPr>
          <w:p>
            <w:pPr>
              <w:pStyle w:val="TableParagraph"/>
              <w:spacing w:before="72"/>
              <w:ind w:left="105"/>
              <w:rPr>
                <w:sz w:val="21"/>
              </w:rPr>
            </w:pPr>
            <w:r>
              <w:rPr>
                <w:spacing w:val="-7"/>
                <w:sz w:val="21"/>
              </w:rPr>
              <w:t>我们在收到保险金给付申请书及合同约定的证明和资料后，将在 </w:t>
            </w:r>
            <w:r>
              <w:rPr>
                <w:sz w:val="21"/>
              </w:rPr>
              <w:t>5</w:t>
            </w:r>
            <w:r>
              <w:rPr>
                <w:spacing w:val="-8"/>
                <w:sz w:val="21"/>
              </w:rPr>
              <w:t> 日内作出</w:t>
            </w:r>
          </w:p>
          <w:p>
            <w:pPr>
              <w:pStyle w:val="TableParagraph"/>
              <w:spacing w:before="43"/>
              <w:ind w:left="105"/>
              <w:rPr>
                <w:sz w:val="21"/>
              </w:rPr>
            </w:pPr>
            <w:r>
              <w:rPr>
                <w:sz w:val="21"/>
              </w:rPr>
              <w:t>核定；情形复杂的，在 30 日内作出核定。对属于保险责任的，我们在与受</w:t>
            </w:r>
          </w:p>
          <w:p>
            <w:pPr>
              <w:pStyle w:val="TableParagraph"/>
              <w:spacing w:before="46"/>
              <w:ind w:left="105"/>
              <w:rPr>
                <w:sz w:val="21"/>
              </w:rPr>
            </w:pPr>
            <w:r>
              <w:rPr>
                <w:sz w:val="21"/>
              </w:rPr>
              <w:t>益人达成给付保险金的协议后 10 日内，履行给付保险金义务。</w:t>
            </w:r>
          </w:p>
          <w:p>
            <w:pPr>
              <w:pStyle w:val="TableParagraph"/>
              <w:spacing w:line="280" w:lineRule="auto" w:before="44"/>
              <w:ind w:left="105" w:right="105"/>
              <w:jc w:val="both"/>
              <w:rPr>
                <w:sz w:val="21"/>
              </w:rPr>
            </w:pPr>
            <w:r>
              <w:rPr>
                <w:spacing w:val="-8"/>
                <w:sz w:val="21"/>
              </w:rPr>
              <w:t>我们未及时履行前款规定义务的，除支付保险金外，应当赔偿受益人因此受</w:t>
            </w:r>
            <w:r>
              <w:rPr>
                <w:spacing w:val="-12"/>
                <w:sz w:val="21"/>
              </w:rPr>
              <w:t>到的损失。前述“损失”是指根据中国人民银行公布的同期人民币活期存款</w:t>
            </w:r>
            <w:r>
              <w:rPr>
                <w:spacing w:val="-6"/>
                <w:sz w:val="21"/>
              </w:rPr>
              <w:t>基准利率计算的利息损失。</w:t>
            </w:r>
          </w:p>
          <w:p>
            <w:pPr>
              <w:pStyle w:val="TableParagraph"/>
              <w:spacing w:line="278" w:lineRule="auto" w:before="8"/>
              <w:ind w:left="105" w:right="105"/>
              <w:jc w:val="both"/>
              <w:rPr>
                <w:sz w:val="21"/>
              </w:rPr>
            </w:pPr>
            <w:r>
              <w:rPr>
                <w:spacing w:val="-12"/>
                <w:sz w:val="21"/>
              </w:rPr>
              <w:t>对不属于保险责任的，我们自作出核定之日起 </w:t>
            </w:r>
            <w:r>
              <w:rPr>
                <w:sz w:val="21"/>
              </w:rPr>
              <w:t>3</w:t>
            </w:r>
            <w:r>
              <w:rPr>
                <w:spacing w:val="-8"/>
                <w:sz w:val="21"/>
              </w:rPr>
              <w:t> 日内向受益人发出拒绝给付</w:t>
            </w:r>
            <w:r>
              <w:rPr>
                <w:spacing w:val="-5"/>
                <w:sz w:val="21"/>
              </w:rPr>
              <w:t>保险金通知书并说明理由。</w:t>
            </w:r>
          </w:p>
          <w:p>
            <w:pPr>
              <w:pStyle w:val="TableParagraph"/>
              <w:spacing w:line="273" w:lineRule="auto"/>
              <w:ind w:left="105" w:right="104"/>
              <w:jc w:val="both"/>
              <w:rPr>
                <w:sz w:val="21"/>
              </w:rPr>
            </w:pPr>
            <w:r>
              <w:rPr>
                <w:spacing w:val="-5"/>
                <w:sz w:val="21"/>
              </w:rPr>
              <w:t>我们在收到保险金给付申请书及有关证明和资料之日起 </w:t>
            </w:r>
            <w:r>
              <w:rPr>
                <w:sz w:val="21"/>
              </w:rPr>
              <w:t>60</w:t>
            </w:r>
            <w:r>
              <w:rPr>
                <w:spacing w:val="-7"/>
                <w:sz w:val="21"/>
              </w:rPr>
              <w:t> 日内，对给付保</w:t>
            </w:r>
            <w:r>
              <w:rPr>
                <w:spacing w:val="-9"/>
                <w:sz w:val="21"/>
              </w:rPr>
              <w:t>险金的数额不能确定的，根据已有证明和资料可以确定的数额先予支付；我</w:t>
            </w:r>
            <w:r>
              <w:rPr>
                <w:spacing w:val="-5"/>
                <w:sz w:val="21"/>
              </w:rPr>
              <w:t>们最终确定给付保险金的数额后，将支付相应的差额。</w:t>
            </w:r>
          </w:p>
        </w:tc>
      </w:tr>
      <w:tr>
        <w:trPr>
          <w:trHeight w:val="977" w:hRule="atLeast"/>
        </w:trPr>
        <w:tc>
          <w:tcPr>
            <w:tcW w:w="603" w:type="dxa"/>
          </w:tcPr>
          <w:p>
            <w:pPr>
              <w:pStyle w:val="TableParagraph"/>
              <w:spacing w:before="49"/>
              <w:ind w:left="108"/>
              <w:rPr>
                <w:rFonts w:ascii="黑体"/>
                <w:sz w:val="21"/>
              </w:rPr>
            </w:pPr>
            <w:r>
              <w:rPr>
                <w:rFonts w:ascii="黑体"/>
                <w:sz w:val="21"/>
              </w:rPr>
              <w:t>3.4</w:t>
            </w:r>
          </w:p>
        </w:tc>
        <w:tc>
          <w:tcPr>
            <w:tcW w:w="1814" w:type="dxa"/>
          </w:tcPr>
          <w:p>
            <w:pPr>
              <w:pStyle w:val="TableParagraph"/>
              <w:spacing w:before="49"/>
              <w:ind w:left="177"/>
              <w:rPr>
                <w:rFonts w:ascii="黑体" w:eastAsia="黑体" w:hint="eastAsia"/>
                <w:sz w:val="21"/>
              </w:rPr>
            </w:pPr>
            <w:r>
              <w:rPr>
                <w:rFonts w:ascii="黑体" w:eastAsia="黑体" w:hint="eastAsia"/>
                <w:sz w:val="21"/>
              </w:rPr>
              <w:t>诉讼时效</w:t>
            </w:r>
          </w:p>
        </w:tc>
        <w:tc>
          <w:tcPr>
            <w:tcW w:w="7083" w:type="dxa"/>
          </w:tcPr>
          <w:p>
            <w:pPr>
              <w:pStyle w:val="TableParagraph"/>
              <w:spacing w:line="273" w:lineRule="auto" w:before="49"/>
              <w:ind w:left="105" w:right="102"/>
              <w:rPr>
                <w:sz w:val="21"/>
              </w:rPr>
            </w:pPr>
            <w:r>
              <w:rPr>
                <w:spacing w:val="-5"/>
                <w:sz w:val="21"/>
              </w:rPr>
              <w:t>受益人向我们请求给付保险金的诉讼时效期间为 </w:t>
            </w:r>
            <w:r>
              <w:rPr>
                <w:sz w:val="21"/>
              </w:rPr>
              <w:t>2</w:t>
            </w:r>
            <w:r>
              <w:rPr>
                <w:spacing w:val="-12"/>
                <w:sz w:val="21"/>
              </w:rPr>
              <w:t> 年，自其知道或者应当知</w:t>
            </w:r>
            <w:r>
              <w:rPr>
                <w:spacing w:val="-6"/>
                <w:sz w:val="21"/>
              </w:rPr>
              <w:t>道保险事故发生之日起计算。</w:t>
            </w:r>
          </w:p>
        </w:tc>
      </w:tr>
      <w:tr>
        <w:trPr>
          <w:trHeight w:val="312" w:hRule="atLeast"/>
        </w:trPr>
        <w:tc>
          <w:tcPr>
            <w:tcW w:w="603" w:type="dxa"/>
            <w:shd w:val="clear" w:color="auto" w:fill="A6A6A6"/>
          </w:tcPr>
          <w:p>
            <w:pPr>
              <w:pStyle w:val="TableParagraph"/>
              <w:spacing w:line="254" w:lineRule="exact"/>
              <w:ind w:left="108"/>
              <w:rPr>
                <w:rFonts w:ascii="黑体"/>
                <w:b/>
                <w:sz w:val="21"/>
              </w:rPr>
            </w:pPr>
            <w:r>
              <w:rPr>
                <w:rFonts w:ascii="黑体"/>
                <w:b/>
                <w:w w:val="99"/>
                <w:sz w:val="21"/>
              </w:rPr>
              <w:t>4</w:t>
            </w:r>
          </w:p>
        </w:tc>
        <w:tc>
          <w:tcPr>
            <w:tcW w:w="1814" w:type="dxa"/>
            <w:shd w:val="clear" w:color="auto" w:fill="A6A6A6"/>
          </w:tcPr>
          <w:p>
            <w:pPr>
              <w:pStyle w:val="TableParagraph"/>
              <w:spacing w:line="254" w:lineRule="exact"/>
              <w:ind w:left="177"/>
              <w:rPr>
                <w:rFonts w:ascii="黑体" w:eastAsia="黑体" w:hint="eastAsia"/>
                <w:b/>
                <w:sz w:val="21"/>
              </w:rPr>
            </w:pPr>
            <w:r>
              <w:rPr>
                <w:rFonts w:ascii="黑体" w:eastAsia="黑体" w:hint="eastAsia"/>
                <w:b/>
                <w:sz w:val="21"/>
              </w:rPr>
              <w:t>如何支付保险费</w:t>
            </w:r>
          </w:p>
        </w:tc>
        <w:tc>
          <w:tcPr>
            <w:tcW w:w="7083" w:type="dxa"/>
            <w:shd w:val="clear" w:color="auto" w:fill="A6A6A6"/>
          </w:tcPr>
          <w:p>
            <w:pPr>
              <w:pStyle w:val="TableParagraph"/>
              <w:ind w:left="0"/>
              <w:rPr>
                <w:rFonts w:ascii="Times New Roman"/>
                <w:sz w:val="20"/>
              </w:rPr>
            </w:pPr>
          </w:p>
        </w:tc>
      </w:tr>
      <w:tr>
        <w:trPr>
          <w:trHeight w:val="2347" w:hRule="atLeast"/>
        </w:trPr>
        <w:tc>
          <w:tcPr>
            <w:tcW w:w="603" w:type="dxa"/>
          </w:tcPr>
          <w:p>
            <w:pPr>
              <w:pStyle w:val="TableParagraph"/>
              <w:spacing w:before="120"/>
              <w:ind w:left="108"/>
              <w:rPr>
                <w:rFonts w:ascii="黑体"/>
                <w:sz w:val="21"/>
              </w:rPr>
            </w:pPr>
            <w:r>
              <w:rPr>
                <w:rFonts w:ascii="黑体"/>
                <w:sz w:val="21"/>
              </w:rPr>
              <w:t>4.1</w:t>
            </w:r>
          </w:p>
        </w:tc>
        <w:tc>
          <w:tcPr>
            <w:tcW w:w="1814" w:type="dxa"/>
          </w:tcPr>
          <w:p>
            <w:pPr>
              <w:pStyle w:val="TableParagraph"/>
              <w:spacing w:before="120"/>
              <w:ind w:left="177"/>
              <w:rPr>
                <w:rFonts w:ascii="黑体" w:eastAsia="黑体" w:hint="eastAsia"/>
                <w:sz w:val="21"/>
              </w:rPr>
            </w:pPr>
            <w:r>
              <w:rPr>
                <w:rFonts w:ascii="黑体" w:eastAsia="黑体" w:hint="eastAsia"/>
                <w:sz w:val="21"/>
              </w:rPr>
              <w:t>保险费的支付</w:t>
            </w:r>
          </w:p>
        </w:tc>
        <w:tc>
          <w:tcPr>
            <w:tcW w:w="7083" w:type="dxa"/>
          </w:tcPr>
          <w:p>
            <w:pPr>
              <w:pStyle w:val="TableParagraph"/>
              <w:spacing w:line="278" w:lineRule="auto" w:before="144"/>
              <w:ind w:left="105" w:right="104"/>
              <w:jc w:val="both"/>
              <w:rPr>
                <w:sz w:val="21"/>
              </w:rPr>
            </w:pPr>
            <w:r>
              <w:rPr>
                <w:sz w:val="21"/>
              </w:rPr>
              <w:t>本附加险合同的保险费采用一次性交清、期交(即在约定的交费期间内每年支付一次保险费)或我们同意的其他方式支付。本附加险合同提供的期交交</w:t>
            </w:r>
            <w:r>
              <w:rPr>
                <w:spacing w:val="-10"/>
                <w:sz w:val="21"/>
              </w:rPr>
              <w:t>费期间为 </w:t>
            </w:r>
            <w:r>
              <w:rPr>
                <w:sz w:val="21"/>
              </w:rPr>
              <w:t>5</w:t>
            </w:r>
            <w:r>
              <w:rPr>
                <w:spacing w:val="-15"/>
                <w:sz w:val="21"/>
              </w:rPr>
              <w:t> 年交、</w:t>
            </w:r>
            <w:r>
              <w:rPr>
                <w:sz w:val="21"/>
              </w:rPr>
              <w:t>10</w:t>
            </w:r>
            <w:r>
              <w:rPr>
                <w:spacing w:val="-15"/>
                <w:sz w:val="21"/>
              </w:rPr>
              <w:t> 年交、</w:t>
            </w:r>
            <w:r>
              <w:rPr>
                <w:sz w:val="21"/>
              </w:rPr>
              <w:t>15</w:t>
            </w:r>
            <w:r>
              <w:rPr>
                <w:spacing w:val="-15"/>
                <w:sz w:val="21"/>
              </w:rPr>
              <w:t> 年交、</w:t>
            </w:r>
            <w:r>
              <w:rPr>
                <w:sz w:val="21"/>
              </w:rPr>
              <w:t>20</w:t>
            </w:r>
            <w:r>
              <w:rPr>
                <w:spacing w:val="-9"/>
                <w:sz w:val="21"/>
              </w:rPr>
              <w:t> 年交四种。您在投保时与我们约定</w:t>
            </w:r>
            <w:r>
              <w:rPr>
                <w:spacing w:val="-3"/>
                <w:sz w:val="21"/>
              </w:rPr>
              <w:t>交费方式和交费期间，并在保险单上载明。</w:t>
            </w:r>
          </w:p>
          <w:p>
            <w:pPr>
              <w:pStyle w:val="TableParagraph"/>
              <w:spacing w:line="278" w:lineRule="auto" w:before="12"/>
              <w:ind w:left="105" w:right="105"/>
              <w:jc w:val="both"/>
              <w:rPr>
                <w:sz w:val="21"/>
              </w:rPr>
            </w:pPr>
            <w:r>
              <w:rPr>
                <w:spacing w:val="-9"/>
                <w:sz w:val="21"/>
              </w:rPr>
              <w:t>在支付首期保险费后，您应当按照约定，在每个保险费约定支付日支付其余</w:t>
            </w:r>
            <w:r>
              <w:rPr>
                <w:spacing w:val="-5"/>
                <w:sz w:val="21"/>
              </w:rPr>
              <w:t>各期保险费。</w:t>
            </w:r>
          </w:p>
        </w:tc>
      </w:tr>
      <w:tr>
        <w:trPr>
          <w:trHeight w:val="312" w:hRule="atLeast"/>
        </w:trPr>
        <w:tc>
          <w:tcPr>
            <w:tcW w:w="603" w:type="dxa"/>
            <w:shd w:val="clear" w:color="auto" w:fill="A6A6A6"/>
          </w:tcPr>
          <w:p>
            <w:pPr>
              <w:pStyle w:val="TableParagraph"/>
              <w:spacing w:line="254" w:lineRule="exact"/>
              <w:ind w:left="108"/>
              <w:rPr>
                <w:rFonts w:ascii="黑体"/>
                <w:b/>
                <w:sz w:val="21"/>
              </w:rPr>
            </w:pPr>
            <w:r>
              <w:rPr>
                <w:rFonts w:ascii="黑体"/>
                <w:b/>
                <w:w w:val="99"/>
                <w:sz w:val="21"/>
              </w:rPr>
              <w:t>5</w:t>
            </w:r>
          </w:p>
        </w:tc>
        <w:tc>
          <w:tcPr>
            <w:tcW w:w="8897" w:type="dxa"/>
            <w:gridSpan w:val="2"/>
            <w:shd w:val="clear" w:color="auto" w:fill="A6A6A6"/>
          </w:tcPr>
          <w:p>
            <w:pPr>
              <w:pStyle w:val="TableParagraph"/>
              <w:spacing w:line="254" w:lineRule="exact"/>
              <w:ind w:left="177"/>
              <w:rPr>
                <w:rFonts w:ascii="黑体" w:eastAsia="黑体" w:hint="eastAsia"/>
                <w:b/>
                <w:sz w:val="21"/>
              </w:rPr>
            </w:pPr>
            <w:r>
              <w:rPr>
                <w:rFonts w:ascii="黑体" w:eastAsia="黑体" w:hint="eastAsia"/>
                <w:b/>
                <w:sz w:val="21"/>
              </w:rPr>
              <w:t>如何解除保险合同</w:t>
            </w:r>
          </w:p>
        </w:tc>
      </w:tr>
      <w:tr>
        <w:trPr>
          <w:trHeight w:val="2640" w:hRule="atLeast"/>
        </w:trPr>
        <w:tc>
          <w:tcPr>
            <w:tcW w:w="603" w:type="dxa"/>
          </w:tcPr>
          <w:p>
            <w:pPr>
              <w:pStyle w:val="TableParagraph"/>
              <w:spacing w:before="120"/>
              <w:ind w:left="108"/>
              <w:rPr>
                <w:rFonts w:ascii="黑体"/>
                <w:sz w:val="21"/>
              </w:rPr>
            </w:pPr>
            <w:r>
              <w:rPr>
                <w:rFonts w:ascii="黑体"/>
                <w:sz w:val="21"/>
              </w:rPr>
              <w:t>5.1</w:t>
            </w:r>
          </w:p>
        </w:tc>
        <w:tc>
          <w:tcPr>
            <w:tcW w:w="1814" w:type="dxa"/>
          </w:tcPr>
          <w:p>
            <w:pPr>
              <w:pStyle w:val="TableParagraph"/>
              <w:spacing w:line="273" w:lineRule="auto" w:before="120"/>
              <w:ind w:left="177" w:right="105"/>
              <w:rPr>
                <w:rFonts w:ascii="黑体" w:eastAsia="黑体" w:hint="eastAsia"/>
                <w:sz w:val="21"/>
              </w:rPr>
            </w:pPr>
            <w:r>
              <w:rPr>
                <w:rFonts w:ascii="黑体" w:eastAsia="黑体" w:hint="eastAsia"/>
                <w:sz w:val="21"/>
              </w:rPr>
              <w:t>您解除合同的手续及风险</w:t>
            </w:r>
          </w:p>
        </w:tc>
        <w:tc>
          <w:tcPr>
            <w:tcW w:w="7083" w:type="dxa"/>
          </w:tcPr>
          <w:p>
            <w:pPr>
              <w:pStyle w:val="TableParagraph"/>
              <w:spacing w:line="278" w:lineRule="auto" w:before="144"/>
              <w:ind w:left="105" w:right="104"/>
              <w:rPr>
                <w:sz w:val="21"/>
              </w:rPr>
            </w:pPr>
            <w:r>
              <w:rPr>
                <w:spacing w:val="-7"/>
                <w:sz w:val="21"/>
              </w:rPr>
              <w:t>如您在犹豫期后申请解除本附加险合同，请填写解除合同申请书并向我们提</w:t>
            </w:r>
            <w:r>
              <w:rPr>
                <w:spacing w:val="-5"/>
                <w:sz w:val="21"/>
              </w:rPr>
              <w:t>供下列资料：</w:t>
            </w:r>
          </w:p>
          <w:p>
            <w:pPr>
              <w:pStyle w:val="TableParagraph"/>
              <w:spacing w:before="10"/>
              <w:ind w:left="105"/>
              <w:rPr>
                <w:sz w:val="21"/>
              </w:rPr>
            </w:pPr>
            <w:r>
              <w:rPr>
                <w:sz w:val="21"/>
              </w:rPr>
              <w:t>(1)保险合同；</w:t>
            </w:r>
          </w:p>
          <w:p>
            <w:pPr>
              <w:pStyle w:val="TableParagraph"/>
              <w:spacing w:before="46"/>
              <w:ind w:left="105"/>
              <w:rPr>
                <w:sz w:val="21"/>
              </w:rPr>
            </w:pPr>
            <w:r>
              <w:rPr>
                <w:sz w:val="21"/>
              </w:rPr>
              <w:t>(2)您的有效身份证件。</w:t>
            </w:r>
          </w:p>
          <w:p>
            <w:pPr>
              <w:pStyle w:val="TableParagraph"/>
              <w:spacing w:line="273" w:lineRule="auto" w:before="20"/>
              <w:ind w:left="105" w:right="105"/>
              <w:jc w:val="both"/>
              <w:rPr>
                <w:sz w:val="21"/>
              </w:rPr>
            </w:pPr>
            <w:r>
              <w:rPr>
                <w:spacing w:val="-8"/>
                <w:sz w:val="21"/>
              </w:rPr>
              <w:t>自我们收到解除合同申请书时起，本附加险合同终止。我们自收到解除合同</w:t>
            </w:r>
            <w:r>
              <w:rPr>
                <w:spacing w:val="-11"/>
                <w:sz w:val="21"/>
              </w:rPr>
              <w:t>申请书之日起 </w:t>
            </w:r>
            <w:r>
              <w:rPr>
                <w:sz w:val="21"/>
              </w:rPr>
              <w:t>30</w:t>
            </w:r>
            <w:r>
              <w:rPr>
                <w:spacing w:val="-8"/>
                <w:sz w:val="21"/>
              </w:rPr>
              <w:t> 日内向您退还保险单的现金价值。您犹豫期后解除合同会</w:t>
            </w:r>
            <w:r>
              <w:rPr>
                <w:spacing w:val="-5"/>
                <w:sz w:val="21"/>
              </w:rPr>
              <w:t>遭受一定损失。</w:t>
            </w:r>
          </w:p>
        </w:tc>
      </w:tr>
      <w:tr>
        <w:trPr>
          <w:trHeight w:val="312" w:hRule="atLeast"/>
        </w:trPr>
        <w:tc>
          <w:tcPr>
            <w:tcW w:w="603" w:type="dxa"/>
            <w:shd w:val="clear" w:color="auto" w:fill="A6A6A6"/>
          </w:tcPr>
          <w:p>
            <w:pPr>
              <w:pStyle w:val="TableParagraph"/>
              <w:spacing w:line="254" w:lineRule="exact"/>
              <w:ind w:left="108"/>
              <w:rPr>
                <w:rFonts w:ascii="黑体"/>
                <w:b/>
                <w:sz w:val="21"/>
              </w:rPr>
            </w:pPr>
            <w:r>
              <w:rPr>
                <w:rFonts w:ascii="黑体"/>
                <w:b/>
                <w:w w:val="99"/>
                <w:sz w:val="21"/>
              </w:rPr>
              <w:t>6</w:t>
            </w:r>
          </w:p>
        </w:tc>
        <w:tc>
          <w:tcPr>
            <w:tcW w:w="8897" w:type="dxa"/>
            <w:gridSpan w:val="2"/>
            <w:shd w:val="clear" w:color="auto" w:fill="A6A6A6"/>
          </w:tcPr>
          <w:p>
            <w:pPr>
              <w:pStyle w:val="TableParagraph"/>
              <w:spacing w:line="254" w:lineRule="exact"/>
              <w:ind w:left="177"/>
              <w:rPr>
                <w:rFonts w:ascii="黑体" w:eastAsia="黑体" w:hint="eastAsia"/>
                <w:b/>
                <w:sz w:val="21"/>
              </w:rPr>
            </w:pPr>
            <w:r>
              <w:rPr>
                <w:rFonts w:ascii="黑体" w:eastAsia="黑体" w:hint="eastAsia"/>
                <w:b/>
                <w:sz w:val="21"/>
              </w:rPr>
              <w:t>其他需要关注的事项</w:t>
            </w:r>
          </w:p>
        </w:tc>
      </w:tr>
      <w:tr>
        <w:trPr>
          <w:trHeight w:val="863" w:hRule="atLeast"/>
        </w:trPr>
        <w:tc>
          <w:tcPr>
            <w:tcW w:w="603" w:type="dxa"/>
          </w:tcPr>
          <w:p>
            <w:pPr>
              <w:pStyle w:val="TableParagraph"/>
              <w:spacing w:before="123"/>
              <w:ind w:left="108"/>
              <w:rPr>
                <w:rFonts w:ascii="黑体"/>
                <w:sz w:val="21"/>
              </w:rPr>
            </w:pPr>
            <w:r>
              <w:rPr>
                <w:rFonts w:ascii="黑体"/>
                <w:sz w:val="21"/>
              </w:rPr>
              <w:t>6.1</w:t>
            </w:r>
          </w:p>
        </w:tc>
        <w:tc>
          <w:tcPr>
            <w:tcW w:w="1814" w:type="dxa"/>
          </w:tcPr>
          <w:p>
            <w:pPr>
              <w:pStyle w:val="TableParagraph"/>
              <w:spacing w:line="278" w:lineRule="auto" w:before="147"/>
              <w:ind w:left="177" w:right="160"/>
              <w:rPr>
                <w:rFonts w:ascii="黑体" w:eastAsia="黑体" w:hint="eastAsia"/>
                <w:sz w:val="21"/>
              </w:rPr>
            </w:pPr>
            <w:r>
              <w:rPr>
                <w:rFonts w:ascii="黑体" w:eastAsia="黑体" w:hint="eastAsia"/>
                <w:sz w:val="21"/>
              </w:rPr>
              <w:t>与主险合同效力的关系</w:t>
            </w:r>
          </w:p>
        </w:tc>
        <w:tc>
          <w:tcPr>
            <w:tcW w:w="7083" w:type="dxa"/>
          </w:tcPr>
          <w:p>
            <w:pPr>
              <w:pStyle w:val="TableParagraph"/>
              <w:spacing w:before="147"/>
              <w:ind w:left="105"/>
              <w:rPr>
                <w:sz w:val="21"/>
              </w:rPr>
            </w:pPr>
            <w:r>
              <w:rPr>
                <w:sz w:val="21"/>
              </w:rPr>
              <w:t>主险合同效力终止，本附加险合同效力终止。</w:t>
            </w:r>
          </w:p>
        </w:tc>
      </w:tr>
      <w:tr>
        <w:trPr>
          <w:trHeight w:val="1629" w:hRule="atLeast"/>
        </w:trPr>
        <w:tc>
          <w:tcPr>
            <w:tcW w:w="603" w:type="dxa"/>
          </w:tcPr>
          <w:p>
            <w:pPr>
              <w:pStyle w:val="TableParagraph"/>
              <w:spacing w:before="40"/>
              <w:ind w:left="108"/>
              <w:rPr>
                <w:rFonts w:ascii="黑体"/>
                <w:sz w:val="21"/>
              </w:rPr>
            </w:pPr>
            <w:r>
              <w:rPr>
                <w:rFonts w:ascii="黑体"/>
                <w:sz w:val="21"/>
              </w:rPr>
              <w:t>6.2</w:t>
            </w:r>
          </w:p>
        </w:tc>
        <w:tc>
          <w:tcPr>
            <w:tcW w:w="1814" w:type="dxa"/>
          </w:tcPr>
          <w:p>
            <w:pPr>
              <w:pStyle w:val="TableParagraph"/>
              <w:spacing w:line="273" w:lineRule="auto" w:before="40"/>
              <w:ind w:left="177" w:right="160"/>
              <w:rPr>
                <w:rFonts w:ascii="黑体" w:eastAsia="黑体" w:hint="eastAsia"/>
                <w:sz w:val="21"/>
              </w:rPr>
            </w:pPr>
            <w:r>
              <w:rPr>
                <w:rFonts w:ascii="黑体" w:eastAsia="黑体" w:hint="eastAsia"/>
                <w:sz w:val="21"/>
              </w:rPr>
              <w:t>适用主险合同条款</w:t>
            </w:r>
          </w:p>
        </w:tc>
        <w:tc>
          <w:tcPr>
            <w:tcW w:w="7083" w:type="dxa"/>
          </w:tcPr>
          <w:p>
            <w:pPr>
              <w:pStyle w:val="TableParagraph"/>
              <w:spacing w:before="64"/>
              <w:ind w:left="105"/>
              <w:rPr>
                <w:sz w:val="21"/>
              </w:rPr>
            </w:pPr>
            <w:r>
              <w:rPr>
                <w:sz w:val="21"/>
              </w:rPr>
              <w:t>下列事项适用主险合同条款：</w:t>
            </w:r>
          </w:p>
          <w:p>
            <w:pPr>
              <w:pStyle w:val="TableParagraph"/>
              <w:spacing w:before="46"/>
              <w:ind w:left="105"/>
              <w:rPr>
                <w:sz w:val="21"/>
              </w:rPr>
            </w:pPr>
            <w:r>
              <w:rPr>
                <w:sz w:val="21"/>
              </w:rPr>
              <w:t>(1)保险事故通知；</w:t>
            </w:r>
          </w:p>
          <w:p>
            <w:pPr>
              <w:pStyle w:val="TableParagraph"/>
              <w:spacing w:before="44"/>
              <w:ind w:left="105"/>
              <w:rPr>
                <w:sz w:val="21"/>
              </w:rPr>
            </w:pPr>
            <w:r>
              <w:rPr>
                <w:sz w:val="21"/>
              </w:rPr>
              <w:t>(2)宽限期；</w:t>
            </w:r>
          </w:p>
          <w:p>
            <w:pPr>
              <w:pStyle w:val="TableParagraph"/>
              <w:spacing w:before="44"/>
              <w:ind w:left="105"/>
              <w:rPr>
                <w:sz w:val="21"/>
              </w:rPr>
            </w:pPr>
            <w:r>
              <w:rPr>
                <w:sz w:val="21"/>
              </w:rPr>
              <w:t>(3)现金价值；</w:t>
            </w:r>
          </w:p>
          <w:p>
            <w:pPr>
              <w:pStyle w:val="TableParagraph"/>
              <w:spacing w:line="264" w:lineRule="exact" w:before="46"/>
              <w:ind w:left="105"/>
              <w:rPr>
                <w:sz w:val="21"/>
              </w:rPr>
            </w:pPr>
            <w:r>
              <w:rPr>
                <w:sz w:val="21"/>
              </w:rPr>
              <w:t>(4)保单质押贷款；</w:t>
            </w:r>
          </w:p>
        </w:tc>
      </w:tr>
    </w:tbl>
    <w:p>
      <w:pPr>
        <w:spacing w:after="0" w:line="264" w:lineRule="exact"/>
        <w:rPr>
          <w:sz w:val="21"/>
        </w:rPr>
        <w:sectPr>
          <w:pgSz w:w="11910" w:h="16840"/>
          <w:pgMar w:top="1460" w:bottom="280" w:left="1080" w:right="1120"/>
        </w:sectPr>
      </w:pPr>
    </w:p>
    <w:p>
      <w:pPr>
        <w:pStyle w:val="BodyText"/>
        <w:spacing w:before="11"/>
        <w:ind w:left="2623"/>
      </w:pPr>
      <w:r>
        <w:rPr/>
        <w:t>(5)效力中止；</w:t>
      </w:r>
    </w:p>
    <w:p>
      <w:pPr>
        <w:pStyle w:val="BodyText"/>
        <w:spacing w:before="44"/>
        <w:ind w:left="2623"/>
      </w:pPr>
      <w:r>
        <w:rPr/>
        <w:t>(6)效力恢复；</w:t>
      </w:r>
    </w:p>
    <w:p>
      <w:pPr>
        <w:pStyle w:val="BodyText"/>
        <w:spacing w:before="44"/>
        <w:ind w:left="2623"/>
      </w:pPr>
      <w:r>
        <w:rPr/>
        <w:t>(7)明确说明与如实告知；</w:t>
      </w:r>
    </w:p>
    <w:p>
      <w:pPr>
        <w:pStyle w:val="BodyText"/>
        <w:spacing w:before="46"/>
        <w:ind w:left="2623"/>
      </w:pPr>
      <w:r>
        <w:rPr/>
        <w:t>(8)我们合同解除权的限制；</w:t>
      </w:r>
    </w:p>
    <w:p>
      <w:pPr>
        <w:pStyle w:val="BodyText"/>
        <w:spacing w:before="43"/>
        <w:ind w:left="2623"/>
      </w:pPr>
      <w:r>
        <w:rPr/>
        <w:t>(9)未还款项；</w:t>
      </w:r>
    </w:p>
    <w:p>
      <w:pPr>
        <w:pStyle w:val="BodyText"/>
        <w:spacing w:before="43"/>
        <w:ind w:left="2623"/>
      </w:pPr>
      <w:r>
        <w:rPr/>
        <w:t>(10)合同内容变更；</w:t>
      </w:r>
    </w:p>
    <w:p>
      <w:pPr>
        <w:pStyle w:val="BodyText"/>
        <w:spacing w:before="46"/>
        <w:ind w:left="2623"/>
      </w:pPr>
      <w:r>
        <w:rPr/>
        <w:t>(11)联系方式变更；</w:t>
      </w:r>
    </w:p>
    <w:p>
      <w:pPr>
        <w:pStyle w:val="BodyText"/>
        <w:spacing w:before="44"/>
        <w:ind w:left="2623"/>
      </w:pPr>
      <w:r>
        <w:rPr/>
        <w:t>(12)争议处理。</w:t>
      </w:r>
    </w:p>
    <w:p>
      <w:pPr>
        <w:pStyle w:val="BodyText"/>
        <w:spacing w:before="7"/>
        <w:rPr>
          <w:sz w:val="11"/>
        </w:rPr>
      </w:pPr>
    </w:p>
    <w:p>
      <w:pPr>
        <w:spacing w:after="0"/>
        <w:rPr>
          <w:sz w:val="11"/>
        </w:rPr>
        <w:sectPr>
          <w:pgSz w:w="11910" w:h="16840"/>
          <w:pgMar w:top="1400" w:bottom="280" w:left="1080" w:right="1120"/>
        </w:sectPr>
      </w:pPr>
    </w:p>
    <w:p>
      <w:pPr>
        <w:pStyle w:val="BodyText"/>
        <w:tabs>
          <w:tab w:pos="881" w:val="left" w:leader="none"/>
        </w:tabs>
        <w:spacing w:before="37"/>
        <w:ind w:left="209"/>
        <w:rPr>
          <w:rFonts w:ascii="黑体" w:eastAsia="黑体" w:hint="eastAsia"/>
        </w:rPr>
      </w:pPr>
      <w:r>
        <w:rPr>
          <w:rFonts w:ascii="黑体" w:eastAsia="黑体" w:hint="eastAsia"/>
        </w:rPr>
        <w:t>6.3</w:t>
        <w:tab/>
      </w:r>
      <w:r>
        <w:rPr>
          <w:rFonts w:ascii="黑体" w:eastAsia="黑体" w:hint="eastAsia"/>
          <w:spacing w:val="-2"/>
        </w:rPr>
        <w:t>年龄和性别确定</w:t>
      </w:r>
    </w:p>
    <w:p>
      <w:pPr>
        <w:pStyle w:val="BodyText"/>
        <w:spacing w:before="44"/>
        <w:ind w:left="881"/>
        <w:rPr>
          <w:rFonts w:ascii="黑体" w:eastAsia="黑体" w:hint="eastAsia"/>
        </w:rPr>
      </w:pPr>
      <w:r>
        <w:rPr>
          <w:rFonts w:ascii="黑体" w:eastAsia="黑体" w:hint="eastAsia"/>
        </w:rPr>
        <w:t>与错误处理</w:t>
      </w:r>
    </w:p>
    <w:p>
      <w:pPr>
        <w:pStyle w:val="BodyText"/>
        <w:spacing w:line="278" w:lineRule="auto" w:before="37"/>
        <w:ind w:left="209" w:right="208" w:firstLine="2"/>
        <w:jc w:val="both"/>
      </w:pPr>
      <w:r>
        <w:rPr/>
        <w:br w:type="column"/>
      </w:r>
      <w:r>
        <w:rPr>
          <w:spacing w:val="-10"/>
        </w:rPr>
        <w:t>您在申请投保时，应将与有效身份证件相符的被保险人的出生日期和性别在</w:t>
      </w:r>
      <w:r>
        <w:rPr>
          <w:spacing w:val="-5"/>
        </w:rPr>
        <w:t>投保单上填明，如果发生错误按照下列方式办理：</w:t>
      </w:r>
    </w:p>
    <w:p>
      <w:pPr>
        <w:pStyle w:val="BodyText"/>
        <w:spacing w:line="280" w:lineRule="auto" w:before="10"/>
        <w:ind w:left="209" w:right="210"/>
        <w:jc w:val="both"/>
      </w:pPr>
      <w:r>
        <w:rPr/>
        <w:t>(1)</w:t>
      </w:r>
      <w:r>
        <w:rPr>
          <w:shd w:fill="A6A6A6" w:color="auto" w:val="clear"/>
        </w:rPr>
        <w:t>您申报的被保险人年龄不真实，并且其真实年龄不符合本附加险合同约</w:t>
      </w:r>
      <w:r>
        <w:rPr>
          <w:spacing w:val="-2"/>
          <w:shd w:fill="A6A6A6" w:color="auto" w:val="clear"/>
        </w:rPr>
        <w:t>定投保年龄</w:t>
      </w:r>
      <w:r>
        <w:rPr>
          <w:spacing w:val="-19"/>
          <w:shd w:fill="A6A6A6" w:color="auto" w:val="clear"/>
        </w:rPr>
        <w:t>限制的，在保险事故发生之前我们有权解除合同，并向您退还保险</w:t>
      </w:r>
      <w:r>
        <w:rPr>
          <w:spacing w:val="-10"/>
          <w:shd w:fill="A6A6A6" w:color="auto" w:val="clear"/>
        </w:rPr>
        <w:t>单的现金价值。</w:t>
      </w:r>
      <w:r>
        <w:rPr>
          <w:spacing w:val="-5"/>
        </w:rPr>
        <w:t>我们行使合同解除权适用本保险条款“我们合同解除权的限</w:t>
      </w:r>
      <w:r>
        <w:rPr>
          <w:spacing w:val="-3"/>
        </w:rPr>
        <w:t>制”的规定。</w:t>
      </w:r>
    </w:p>
    <w:p>
      <w:pPr>
        <w:pStyle w:val="BodyText"/>
        <w:spacing w:line="278" w:lineRule="auto" w:before="10"/>
        <w:ind w:left="209" w:right="210"/>
        <w:jc w:val="both"/>
      </w:pPr>
      <w:r>
        <w:rPr/>
        <w:t>(2)您申报的被保险人年龄或性别不真实，致使您实付保险费少于应付保险</w:t>
      </w:r>
      <w:r>
        <w:rPr>
          <w:spacing w:val="-8"/>
        </w:rPr>
        <w:t>费的，我们有权作相应的更正并要求您补交保险费差额。若已经发生保险事</w:t>
      </w:r>
      <w:r>
        <w:rPr>
          <w:spacing w:val="-5"/>
        </w:rPr>
        <w:t>故，在给付保险金时按实付保险费和应付保险费的比例给付。</w:t>
      </w:r>
    </w:p>
    <w:p>
      <w:pPr>
        <w:pStyle w:val="BodyText"/>
        <w:spacing w:line="278" w:lineRule="auto" w:before="12"/>
        <w:ind w:left="209" w:right="211"/>
        <w:jc w:val="both"/>
      </w:pPr>
      <w:r>
        <w:rPr/>
        <w:t>(3)您申报的被保险人年龄或性别不真实，致使您实付保险费多于应付保险费的，我们会将多收的保险费退还给您。</w:t>
      </w:r>
    </w:p>
    <w:p>
      <w:pPr>
        <w:spacing w:after="0" w:line="278" w:lineRule="auto"/>
        <w:jc w:val="both"/>
        <w:sectPr>
          <w:type w:val="continuous"/>
          <w:pgSz w:w="11910" w:h="16840"/>
          <w:pgMar w:top="140" w:bottom="280" w:left="1080" w:right="1120"/>
          <w:cols w:num="2" w:equalWidth="0">
            <w:col w:w="2356" w:space="59"/>
            <w:col w:w="7295"/>
          </w:cols>
        </w:sectPr>
      </w:pPr>
    </w:p>
    <w:p>
      <w:pPr>
        <w:pStyle w:val="BodyText"/>
        <w:spacing w:before="9"/>
      </w:pPr>
    </w:p>
    <w:p>
      <w:pPr>
        <w:pStyle w:val="BodyText"/>
        <w:ind w:left="100"/>
        <w:rPr>
          <w:sz w:val="20"/>
        </w:rPr>
      </w:pPr>
      <w:r>
        <w:rPr>
          <w:sz w:val="20"/>
        </w:rPr>
        <w:pict>
          <v:shape style="width:474.95pt;height:15.6pt;mso-position-horizontal-relative:char;mso-position-vertical-relative:line" type="#_x0000_t202" filled="true" fillcolor="#a6a6a6" stroked="false">
            <w10:anchorlock/>
            <v:textbox inset="0,0,0,0">
              <w:txbxContent>
                <w:p>
                  <w:pPr>
                    <w:tabs>
                      <w:tab w:pos="780" w:val="left" w:leader="none"/>
                    </w:tabs>
                    <w:spacing w:line="262" w:lineRule="exact" w:before="0"/>
                    <w:ind w:left="108" w:right="0" w:firstLine="0"/>
                    <w:jc w:val="left"/>
                    <w:rPr>
                      <w:rFonts w:ascii="黑体" w:eastAsia="黑体" w:hint="eastAsia"/>
                      <w:b/>
                      <w:sz w:val="21"/>
                    </w:rPr>
                  </w:pPr>
                  <w:r>
                    <w:rPr>
                      <w:rFonts w:ascii="黑体" w:eastAsia="黑体" w:hint="eastAsia"/>
                      <w:b/>
                      <w:sz w:val="21"/>
                    </w:rPr>
                    <w:t>7</w:t>
                    <w:tab/>
                    <w:t>重大疾病及特定疾病</w:t>
                  </w:r>
                </w:p>
              </w:txbxContent>
            </v:textbox>
            <v:fill type="solid"/>
          </v:shape>
        </w:pict>
      </w:r>
      <w:r>
        <w:rPr>
          <w:sz w:val="20"/>
        </w:rPr>
      </w:r>
    </w:p>
    <w:p>
      <w:pPr>
        <w:pStyle w:val="BodyText"/>
        <w:spacing w:before="7"/>
        <w:rPr>
          <w:sz w:val="7"/>
        </w:rPr>
      </w:pPr>
    </w:p>
    <w:p>
      <w:pPr>
        <w:spacing w:after="0"/>
        <w:rPr>
          <w:sz w:val="7"/>
        </w:rPr>
        <w:sectPr>
          <w:type w:val="continuous"/>
          <w:pgSz w:w="11910" w:h="16840"/>
          <w:pgMar w:top="140" w:bottom="280" w:left="1080" w:right="1120"/>
        </w:sectPr>
      </w:pPr>
    </w:p>
    <w:p>
      <w:pPr>
        <w:pStyle w:val="BodyText"/>
        <w:tabs>
          <w:tab w:pos="881" w:val="left" w:leader="none"/>
        </w:tabs>
        <w:spacing w:line="278" w:lineRule="auto" w:before="36"/>
        <w:ind w:left="881" w:hanging="672"/>
        <w:rPr>
          <w:rFonts w:ascii="黑体" w:eastAsia="黑体" w:hint="eastAsia"/>
        </w:rPr>
      </w:pPr>
      <w:r>
        <w:rPr>
          <w:rFonts w:ascii="黑体" w:eastAsia="黑体" w:hint="eastAsia"/>
        </w:rPr>
        <w:t>7.1</w:t>
        <w:tab/>
      </w:r>
      <w:r>
        <w:rPr>
          <w:rFonts w:ascii="黑体" w:eastAsia="黑体" w:hint="eastAsia"/>
          <w:spacing w:val="-2"/>
        </w:rPr>
        <w:t>重大疾病的范围 及定义</w:t>
      </w:r>
    </w:p>
    <w:p>
      <w:pPr>
        <w:pStyle w:val="BodyText"/>
        <w:spacing w:line="280" w:lineRule="auto" w:before="36"/>
        <w:ind w:left="209" w:right="208"/>
        <w:jc w:val="both"/>
      </w:pPr>
      <w:r>
        <w:rPr/>
        <w:br w:type="column"/>
      </w:r>
      <w:r>
        <w:rPr>
          <w:spacing w:val="-7"/>
        </w:rPr>
        <w:t>指被保险人初次发生符合下列定义的疾病，或初次接受符合下列所定义的手</w:t>
      </w:r>
      <w:r>
        <w:rPr>
          <w:spacing w:val="-8"/>
        </w:rPr>
        <w:t>术。该疾病或手术由</w:t>
      </w:r>
      <w:r>
        <w:rPr>
          <w:b/>
          <w:spacing w:val="-2"/>
        </w:rPr>
        <w:t>专科医生</w:t>
      </w:r>
      <w:r>
        <w:rPr>
          <w:spacing w:val="-8"/>
        </w:rPr>
        <w:t>明确诊断。以下是本附加险合同所附五十种重</w:t>
      </w:r>
      <w:r>
        <w:rPr>
          <w:spacing w:val="-11"/>
        </w:rPr>
        <w:t>大疾病的定义，其中第一种至第二十五种重大疾病是中国保险行业协会制定</w:t>
      </w:r>
      <w:r>
        <w:rPr>
          <w:spacing w:val="-9"/>
        </w:rPr>
        <w:t>的《重大疾病保险的疾病定义使用规范》中列明的疾病，第二十六种至第五十种重大疾病是我们在上述《重大疾病保险的疾病定义使用规范》定义的疾</w:t>
      </w:r>
      <w:r>
        <w:rPr>
          <w:spacing w:val="-5"/>
        </w:rPr>
        <w:t>病范围之外增加的疾病。</w:t>
      </w:r>
    </w:p>
    <w:p>
      <w:pPr>
        <w:pStyle w:val="BodyText"/>
        <w:spacing w:before="149"/>
        <w:ind w:left="209"/>
      </w:pPr>
      <w:r>
        <w:rPr/>
        <w:t>（一）恶性肿瘤</w:t>
      </w:r>
    </w:p>
    <w:p>
      <w:pPr>
        <w:pStyle w:val="BodyText"/>
        <w:spacing w:line="278" w:lineRule="auto" w:before="43"/>
        <w:ind w:left="209" w:right="210"/>
        <w:jc w:val="both"/>
      </w:pPr>
      <w:r>
        <w:rPr>
          <w:spacing w:val="-6"/>
        </w:rPr>
        <w:t>指恶性细胞不受控制的进行性增长和扩散，浸润和破坏周围正常组织，可以</w:t>
      </w:r>
      <w:r>
        <w:rPr>
          <w:spacing w:val="-9"/>
        </w:rPr>
        <w:t>经血管、淋巴管和体腔扩散转移到身体其他部位的疾病。经病理学检查结果</w:t>
      </w:r>
      <w:r>
        <w:rPr>
          <w:spacing w:val="-11"/>
        </w:rPr>
        <w:t>明确诊断，临床诊断属于世界卫生组织《疾病和有关健康问题的国际统计分</w:t>
      </w:r>
      <w:r>
        <w:rPr>
          <w:spacing w:val="-54"/>
        </w:rPr>
        <w:t>类》</w:t>
      </w:r>
      <w:r>
        <w:rPr>
          <w:spacing w:val="-1"/>
        </w:rPr>
        <w:t>（ICD-10）</w:t>
      </w:r>
      <w:r>
        <w:rPr>
          <w:spacing w:val="-3"/>
        </w:rPr>
        <w:t>的恶性肿瘤范畴。</w:t>
      </w:r>
    </w:p>
    <w:p>
      <w:pPr>
        <w:pStyle w:val="BodyText"/>
        <w:spacing w:before="12"/>
        <w:ind w:left="209"/>
        <w:jc w:val="both"/>
      </w:pPr>
      <w:r>
        <w:rPr>
          <w:shd w:fill="A6A6A6" w:color="auto" w:val="clear"/>
        </w:rPr>
        <w:t>下列疾病不在保障范围内：</w:t>
      </w:r>
    </w:p>
    <w:p>
      <w:pPr>
        <w:pStyle w:val="BodyText"/>
        <w:spacing w:before="44"/>
        <w:ind w:left="209"/>
        <w:jc w:val="both"/>
      </w:pPr>
      <w:r>
        <w:rPr>
          <w:shd w:fill="A6A6A6" w:color="auto" w:val="clear"/>
        </w:rPr>
        <w:t>(1)原位癌；</w:t>
      </w:r>
    </w:p>
    <w:p>
      <w:pPr>
        <w:pStyle w:val="BodyText"/>
        <w:spacing w:before="44"/>
        <w:ind w:left="209"/>
        <w:jc w:val="both"/>
      </w:pPr>
      <w:r>
        <w:rPr>
          <w:shd w:fill="A6A6A6" w:color="auto" w:val="clear"/>
        </w:rPr>
        <w:t>(2)相当于 Binet 分期方案 A 期程度的慢性淋巴细胞白血病；</w:t>
      </w:r>
    </w:p>
    <w:p>
      <w:pPr>
        <w:pStyle w:val="BodyText"/>
        <w:spacing w:before="47"/>
        <w:ind w:left="209"/>
        <w:jc w:val="both"/>
      </w:pPr>
      <w:r>
        <w:rPr>
          <w:shd w:fill="A6A6A6" w:color="auto" w:val="clear"/>
        </w:rPr>
        <w:t>(3)相当于 Ann Arbor 分期方案 I 期程度的何杰金氏病；</w:t>
      </w:r>
    </w:p>
    <w:p>
      <w:pPr>
        <w:pStyle w:val="BodyText"/>
        <w:spacing w:before="44"/>
        <w:ind w:left="209"/>
        <w:jc w:val="both"/>
      </w:pPr>
      <w:r>
        <w:rPr>
          <w:w w:val="100"/>
          <w:shd w:fill="A6A6A6" w:color="auto" w:val="clear"/>
        </w:rPr>
        <w:t>(4)</w:t>
      </w:r>
      <w:r>
        <w:rPr>
          <w:spacing w:val="-3"/>
          <w:w w:val="100"/>
          <w:shd w:fill="A6A6A6" w:color="auto" w:val="clear"/>
        </w:rPr>
        <w:t>皮肤癌</w:t>
      </w:r>
      <w:r>
        <w:rPr>
          <w:w w:val="100"/>
          <w:shd w:fill="A6A6A6" w:color="auto" w:val="clear"/>
        </w:rPr>
        <w:t>（</w:t>
      </w:r>
      <w:r>
        <w:rPr>
          <w:spacing w:val="-3"/>
          <w:w w:val="100"/>
          <w:shd w:fill="A6A6A6" w:color="auto" w:val="clear"/>
        </w:rPr>
        <w:t>不包括恶性黑色素瘤及已发生转移的皮肤癌</w:t>
      </w:r>
      <w:r>
        <w:rPr>
          <w:spacing w:val="-108"/>
          <w:w w:val="100"/>
          <w:shd w:fill="A6A6A6" w:color="auto" w:val="clear"/>
        </w:rPr>
        <w:t>）</w:t>
      </w:r>
      <w:r>
        <w:rPr>
          <w:w w:val="100"/>
          <w:shd w:fill="A6A6A6" w:color="auto" w:val="clear"/>
        </w:rPr>
        <w:t>；</w:t>
      </w:r>
    </w:p>
    <w:p>
      <w:pPr>
        <w:pStyle w:val="BodyText"/>
        <w:spacing w:before="44"/>
        <w:ind w:left="209"/>
        <w:jc w:val="both"/>
      </w:pPr>
      <w:r>
        <w:rPr>
          <w:shd w:fill="A6A6A6" w:color="auto" w:val="clear"/>
        </w:rPr>
        <w:t>(5)TNM 分期为 T1N0M0 期或更轻分期的前列腺癌；</w:t>
      </w:r>
    </w:p>
    <w:p>
      <w:pPr>
        <w:pStyle w:val="BodyText"/>
        <w:spacing w:before="47"/>
        <w:ind w:left="209"/>
        <w:jc w:val="both"/>
      </w:pPr>
      <w:r>
        <w:rPr>
          <w:shd w:fill="A6A6A6" w:color="auto" w:val="clear"/>
        </w:rPr>
        <w:t>(6)感染艾滋病病毒或患艾滋病期间所患恶性肿瘤。</w:t>
      </w:r>
    </w:p>
    <w:p>
      <w:pPr>
        <w:pStyle w:val="BodyText"/>
        <w:spacing w:before="2"/>
        <w:rPr>
          <w:sz w:val="14"/>
        </w:rPr>
      </w:pPr>
    </w:p>
    <w:p>
      <w:pPr>
        <w:pStyle w:val="BodyText"/>
        <w:spacing w:before="1"/>
        <w:ind w:left="209"/>
        <w:jc w:val="both"/>
      </w:pPr>
      <w:r>
        <w:rPr/>
        <w:t>（二）急性心肌梗塞</w:t>
      </w:r>
    </w:p>
    <w:p>
      <w:pPr>
        <w:pStyle w:val="BodyText"/>
        <w:spacing w:line="278" w:lineRule="auto" w:before="47"/>
        <w:ind w:left="209" w:right="151"/>
      </w:pPr>
      <w:r>
        <w:rPr/>
        <w:t>指因冠状动脉阻塞导致的相应区域供血不足造成部分心肌坏死。须满足下列至少三项条件：</w:t>
      </w:r>
    </w:p>
    <w:p>
      <w:pPr>
        <w:spacing w:after="0" w:line="278" w:lineRule="auto"/>
        <w:sectPr>
          <w:type w:val="continuous"/>
          <w:pgSz w:w="11910" w:h="16840"/>
          <w:pgMar w:top="140" w:bottom="280" w:left="1080" w:right="1120"/>
          <w:cols w:num="2" w:equalWidth="0">
            <w:col w:w="2356" w:space="59"/>
            <w:col w:w="7295"/>
          </w:cols>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4"/>
      </w:tblGrid>
      <w:tr>
        <w:trPr>
          <w:trHeight w:val="1616" w:hRule="atLeast"/>
        </w:trPr>
        <w:tc>
          <w:tcPr>
            <w:tcW w:w="7374" w:type="dxa"/>
          </w:tcPr>
          <w:p>
            <w:pPr>
              <w:pStyle w:val="TableParagraph"/>
              <w:spacing w:line="206" w:lineRule="exact"/>
              <w:rPr>
                <w:sz w:val="21"/>
              </w:rPr>
            </w:pPr>
            <w:r>
              <w:rPr>
                <w:sz w:val="21"/>
              </w:rPr>
              <w:t>(1)典型临床表现，例如急性胸痛等；</w:t>
            </w:r>
          </w:p>
          <w:p>
            <w:pPr>
              <w:pStyle w:val="TableParagraph"/>
              <w:spacing w:before="44"/>
              <w:rPr>
                <w:sz w:val="21"/>
              </w:rPr>
            </w:pPr>
            <w:r>
              <w:rPr>
                <w:sz w:val="21"/>
              </w:rPr>
              <w:t>(2)新近的心电图改变提示急性心肌梗塞；</w:t>
            </w:r>
          </w:p>
          <w:p>
            <w:pPr>
              <w:pStyle w:val="TableParagraph"/>
              <w:spacing w:line="280" w:lineRule="auto" w:before="43"/>
              <w:ind w:right="303"/>
              <w:rPr>
                <w:sz w:val="21"/>
              </w:rPr>
            </w:pPr>
            <w:r>
              <w:rPr>
                <w:sz w:val="21"/>
              </w:rPr>
              <w:t>(3)心肌酶或肌钙蛋白有诊断意义的升高，或呈符合急性心肌梗塞的动态性变化；</w:t>
            </w:r>
          </w:p>
          <w:p>
            <w:pPr>
              <w:pStyle w:val="TableParagraph"/>
              <w:spacing w:before="8"/>
              <w:rPr>
                <w:sz w:val="21"/>
              </w:rPr>
            </w:pPr>
            <w:r>
              <w:rPr>
                <w:sz w:val="21"/>
              </w:rPr>
              <w:t>(4)</w:t>
            </w:r>
            <w:r>
              <w:rPr>
                <w:spacing w:val="-15"/>
                <w:sz w:val="21"/>
              </w:rPr>
              <w:t>发病 </w:t>
            </w:r>
            <w:r>
              <w:rPr>
                <w:sz w:val="21"/>
              </w:rPr>
              <w:t>90</w:t>
            </w:r>
            <w:r>
              <w:rPr>
                <w:spacing w:val="-16"/>
                <w:sz w:val="21"/>
              </w:rPr>
              <w:t> 天后，经检查证实左心室功能降低，如左心室射血分数低于 </w:t>
            </w:r>
            <w:r>
              <w:rPr>
                <w:sz w:val="21"/>
              </w:rPr>
              <w:t>50。</w:t>
            </w:r>
          </w:p>
        </w:tc>
      </w:tr>
      <w:tr>
        <w:trPr>
          <w:trHeight w:val="2702" w:hRule="atLeast"/>
        </w:trPr>
        <w:tc>
          <w:tcPr>
            <w:tcW w:w="7374" w:type="dxa"/>
          </w:tcPr>
          <w:p>
            <w:pPr>
              <w:pStyle w:val="TableParagraph"/>
              <w:spacing w:before="57"/>
              <w:rPr>
                <w:sz w:val="21"/>
              </w:rPr>
            </w:pPr>
            <w:r>
              <w:rPr>
                <w:sz w:val="21"/>
              </w:rPr>
              <w:t>（三）脑中风后遗症</w:t>
            </w:r>
          </w:p>
          <w:p>
            <w:pPr>
              <w:pStyle w:val="TableParagraph"/>
              <w:spacing w:line="280" w:lineRule="auto" w:before="44"/>
              <w:ind w:right="298"/>
              <w:jc w:val="both"/>
              <w:rPr>
                <w:sz w:val="21"/>
              </w:rPr>
            </w:pPr>
            <w:r>
              <w:rPr>
                <w:spacing w:val="-7"/>
                <w:sz w:val="21"/>
              </w:rPr>
              <w:t>指因脑血管的突发病变引起脑血管出血、栓塞或梗塞，并导致神经系统永久</w:t>
            </w:r>
            <w:r>
              <w:rPr>
                <w:spacing w:val="-10"/>
                <w:sz w:val="21"/>
              </w:rPr>
              <w:t>性的功能障碍。神经系统永久性的功能障碍，指疾病确诊 </w:t>
            </w:r>
            <w:r>
              <w:rPr>
                <w:sz w:val="21"/>
              </w:rPr>
              <w:t>180</w:t>
            </w:r>
            <w:r>
              <w:rPr>
                <w:spacing w:val="-12"/>
                <w:sz w:val="21"/>
              </w:rPr>
              <w:t> 天后，仍遗留</w:t>
            </w:r>
            <w:r>
              <w:rPr>
                <w:spacing w:val="-6"/>
                <w:sz w:val="21"/>
              </w:rPr>
              <w:t>下列一种或一种以上障碍：</w:t>
            </w:r>
          </w:p>
          <w:p>
            <w:pPr>
              <w:pStyle w:val="TableParagraph"/>
              <w:spacing w:before="9"/>
              <w:rPr>
                <w:sz w:val="21"/>
              </w:rPr>
            </w:pPr>
            <w:r>
              <w:rPr>
                <w:sz w:val="21"/>
              </w:rPr>
              <w:t>(1)一肢或一肢以上</w:t>
            </w:r>
            <w:r>
              <w:rPr>
                <w:b/>
                <w:sz w:val="21"/>
              </w:rPr>
              <w:t>肢体机能完全丧失</w:t>
            </w:r>
            <w:r>
              <w:rPr>
                <w:sz w:val="21"/>
              </w:rPr>
              <w:t>；</w:t>
            </w:r>
          </w:p>
          <w:p>
            <w:pPr>
              <w:pStyle w:val="TableParagraph"/>
              <w:spacing w:before="44"/>
              <w:rPr>
                <w:sz w:val="21"/>
              </w:rPr>
            </w:pPr>
            <w:r>
              <w:rPr>
                <w:sz w:val="21"/>
              </w:rPr>
              <w:t>(2)</w:t>
            </w:r>
            <w:r>
              <w:rPr>
                <w:b/>
                <w:sz w:val="21"/>
              </w:rPr>
              <w:t>语言能力或咀嚼吞咽能力完全丧失</w:t>
            </w:r>
            <w:r>
              <w:rPr>
                <w:sz w:val="21"/>
              </w:rPr>
              <w:t>；</w:t>
            </w:r>
          </w:p>
          <w:p>
            <w:pPr>
              <w:pStyle w:val="TableParagraph"/>
              <w:spacing w:line="278" w:lineRule="auto" w:before="46"/>
              <w:ind w:right="301"/>
              <w:rPr>
                <w:sz w:val="21"/>
              </w:rPr>
            </w:pPr>
            <w:r>
              <w:rPr>
                <w:sz w:val="21"/>
              </w:rPr>
              <w:t>(3)自主生活能力完全丧失，无法独立完成</w:t>
            </w:r>
            <w:r>
              <w:rPr>
                <w:b/>
                <w:sz w:val="21"/>
              </w:rPr>
              <w:t>六项基本日常生活活动</w:t>
            </w:r>
            <w:r>
              <w:rPr>
                <w:sz w:val="21"/>
              </w:rPr>
              <w:t>中的三项或三项以上。</w:t>
            </w:r>
          </w:p>
        </w:tc>
      </w:tr>
      <w:tr>
        <w:trPr>
          <w:trHeight w:val="2061" w:hRule="atLeast"/>
        </w:trPr>
        <w:tc>
          <w:tcPr>
            <w:tcW w:w="7374" w:type="dxa"/>
          </w:tcPr>
          <w:p>
            <w:pPr>
              <w:pStyle w:val="TableParagraph"/>
              <w:spacing w:before="58"/>
              <w:rPr>
                <w:sz w:val="21"/>
              </w:rPr>
            </w:pPr>
            <w:r>
              <w:rPr>
                <w:sz w:val="21"/>
              </w:rPr>
              <w:t>（四）重大器官移植术或造血干细胞移植术</w:t>
            </w:r>
          </w:p>
          <w:p>
            <w:pPr>
              <w:pStyle w:val="TableParagraph"/>
              <w:spacing w:line="278" w:lineRule="auto" w:before="44"/>
              <w:ind w:right="302"/>
              <w:jc w:val="both"/>
              <w:rPr>
                <w:sz w:val="21"/>
              </w:rPr>
            </w:pPr>
            <w:r>
              <w:rPr>
                <w:spacing w:val="-8"/>
                <w:sz w:val="21"/>
              </w:rPr>
              <w:t>重大器官移植术，指因相应器官功能衰竭，已经实施了肾脏、肝脏、心脏或</w:t>
            </w:r>
            <w:r>
              <w:rPr>
                <w:spacing w:val="-5"/>
                <w:sz w:val="21"/>
              </w:rPr>
              <w:t>肺脏的异体移植手术。</w:t>
            </w:r>
          </w:p>
          <w:p>
            <w:pPr>
              <w:pStyle w:val="TableParagraph"/>
              <w:spacing w:line="278" w:lineRule="auto" w:before="12"/>
              <w:ind w:right="299"/>
              <w:jc w:val="both"/>
              <w:rPr>
                <w:sz w:val="21"/>
              </w:rPr>
            </w:pPr>
            <w:r>
              <w:rPr>
                <w:spacing w:val="-8"/>
                <w:sz w:val="21"/>
              </w:rPr>
              <w:t>造血干细胞移植术，指因造血功能损害或造血系统恶性肿瘤，已经实施了造</w:t>
            </w:r>
            <w:r>
              <w:rPr>
                <w:spacing w:val="-11"/>
                <w:sz w:val="21"/>
              </w:rPr>
              <w:t>血干细胞</w:t>
            </w:r>
            <w:r>
              <w:rPr>
                <w:spacing w:val="-3"/>
                <w:sz w:val="21"/>
              </w:rPr>
              <w:t>（</w:t>
            </w:r>
            <w:r>
              <w:rPr>
                <w:spacing w:val="-5"/>
                <w:sz w:val="21"/>
              </w:rPr>
              <w:t>包括骨髓造血干细胞、外周血造血干细胞和脐血造血干细胞</w:t>
            </w:r>
            <w:r>
              <w:rPr>
                <w:spacing w:val="-22"/>
                <w:sz w:val="21"/>
              </w:rPr>
              <w:t>）</w:t>
            </w:r>
            <w:r>
              <w:rPr>
                <w:sz w:val="21"/>
              </w:rPr>
              <w:t>的</w:t>
            </w:r>
            <w:r>
              <w:rPr>
                <w:spacing w:val="-2"/>
                <w:sz w:val="21"/>
              </w:rPr>
              <w:t>异体移植手术。</w:t>
            </w:r>
          </w:p>
        </w:tc>
      </w:tr>
      <w:tr>
        <w:trPr>
          <w:trHeight w:val="1742" w:hRule="atLeast"/>
        </w:trPr>
        <w:tc>
          <w:tcPr>
            <w:tcW w:w="7374" w:type="dxa"/>
          </w:tcPr>
          <w:p>
            <w:pPr>
              <w:pStyle w:val="TableParagraph"/>
              <w:spacing w:before="57"/>
              <w:rPr>
                <w:sz w:val="21"/>
              </w:rPr>
            </w:pPr>
            <w:r>
              <w:rPr>
                <w:sz w:val="21"/>
              </w:rPr>
              <w:t>（五）冠状动脉搭桥术（或称冠状动脉旁路移植术）</w:t>
            </w:r>
          </w:p>
          <w:p>
            <w:pPr>
              <w:pStyle w:val="TableParagraph"/>
              <w:spacing w:line="278" w:lineRule="auto" w:before="44"/>
              <w:ind w:right="302"/>
              <w:rPr>
                <w:sz w:val="21"/>
              </w:rPr>
            </w:pPr>
            <w:r>
              <w:rPr>
                <w:spacing w:val="-9"/>
                <w:sz w:val="21"/>
              </w:rPr>
              <w:t>指为治疗严重的冠心病，实际实施了开胸进行的冠状动脉血管旁路移植的手术。</w:t>
            </w:r>
          </w:p>
          <w:p>
            <w:pPr>
              <w:pStyle w:val="TableParagraph"/>
              <w:spacing w:line="278" w:lineRule="auto" w:before="13"/>
              <w:ind w:right="302"/>
              <w:rPr>
                <w:sz w:val="21"/>
              </w:rPr>
            </w:pPr>
            <w:r>
              <w:rPr>
                <w:spacing w:val="-9"/>
                <w:sz w:val="21"/>
                <w:shd w:fill="A6A6A6" w:color="auto" w:val="clear"/>
              </w:rPr>
              <w:t>冠状动脉支架植入术、心导管球囊扩张术、激光射频技术及其他非开胸的介</w:t>
            </w:r>
            <w:r>
              <w:rPr>
                <w:spacing w:val="-5"/>
                <w:sz w:val="21"/>
                <w:shd w:fill="A6A6A6" w:color="auto" w:val="clear"/>
              </w:rPr>
              <w:t>入手术、腔镜手术不在保障范围内。</w:t>
            </w:r>
          </w:p>
        </w:tc>
      </w:tr>
      <w:tr>
        <w:trPr>
          <w:trHeight w:val="1101" w:hRule="atLeast"/>
        </w:trPr>
        <w:tc>
          <w:tcPr>
            <w:tcW w:w="7374" w:type="dxa"/>
          </w:tcPr>
          <w:p>
            <w:pPr>
              <w:pStyle w:val="TableParagraph"/>
              <w:spacing w:before="57"/>
              <w:rPr>
                <w:sz w:val="21"/>
              </w:rPr>
            </w:pPr>
            <w:r>
              <w:rPr>
                <w:sz w:val="21"/>
              </w:rPr>
              <w:t>（六）终末期肾病（或称慢性肾功能衰竭尿毒症期）</w:t>
            </w:r>
          </w:p>
          <w:p>
            <w:pPr>
              <w:pStyle w:val="TableParagraph"/>
              <w:spacing w:before="44"/>
              <w:rPr>
                <w:sz w:val="21"/>
              </w:rPr>
            </w:pPr>
            <w:r>
              <w:rPr>
                <w:sz w:val="21"/>
              </w:rPr>
              <w:t>指双肾功能慢性不可逆性衰竭，达到尿毒症期，经诊断后已经进行了至少</w:t>
            </w:r>
          </w:p>
          <w:p>
            <w:pPr>
              <w:pStyle w:val="TableParagraph"/>
              <w:spacing w:before="44"/>
              <w:rPr>
                <w:sz w:val="21"/>
              </w:rPr>
            </w:pPr>
            <w:r>
              <w:rPr>
                <w:sz w:val="21"/>
              </w:rPr>
              <w:t>90 天的规律性透析治疗或实施了肾脏移植手术。</w:t>
            </w:r>
          </w:p>
        </w:tc>
      </w:tr>
      <w:tr>
        <w:trPr>
          <w:trHeight w:val="1101" w:hRule="atLeast"/>
        </w:trPr>
        <w:tc>
          <w:tcPr>
            <w:tcW w:w="7374" w:type="dxa"/>
          </w:tcPr>
          <w:p>
            <w:pPr>
              <w:pStyle w:val="TableParagraph"/>
              <w:spacing w:before="57"/>
              <w:rPr>
                <w:sz w:val="21"/>
              </w:rPr>
            </w:pPr>
            <w:r>
              <w:rPr>
                <w:sz w:val="21"/>
              </w:rPr>
              <w:t>（七）多个肢体缺失</w:t>
            </w:r>
          </w:p>
          <w:p>
            <w:pPr>
              <w:pStyle w:val="TableParagraph"/>
              <w:spacing w:line="278" w:lineRule="auto" w:before="44"/>
              <w:ind w:right="231"/>
              <w:rPr>
                <w:sz w:val="21"/>
              </w:rPr>
            </w:pPr>
            <w:r>
              <w:rPr>
                <w:sz w:val="21"/>
              </w:rPr>
              <w:t>指因疾病或意外伤害导致两个或两个以上肢体自腕关节或踝关节近端（靠近躯干端）以上完全性断离。</w:t>
            </w:r>
          </w:p>
        </w:tc>
      </w:tr>
      <w:tr>
        <w:trPr>
          <w:trHeight w:val="2382" w:hRule="atLeast"/>
        </w:trPr>
        <w:tc>
          <w:tcPr>
            <w:tcW w:w="7374" w:type="dxa"/>
          </w:tcPr>
          <w:p>
            <w:pPr>
              <w:pStyle w:val="TableParagraph"/>
              <w:spacing w:before="57"/>
              <w:rPr>
                <w:sz w:val="21"/>
              </w:rPr>
            </w:pPr>
            <w:r>
              <w:rPr>
                <w:sz w:val="21"/>
              </w:rPr>
              <w:t>（八）急性或亚急性重症肝炎</w:t>
            </w:r>
          </w:p>
          <w:p>
            <w:pPr>
              <w:pStyle w:val="TableParagraph"/>
              <w:spacing w:line="280" w:lineRule="auto" w:before="44"/>
              <w:ind w:right="239"/>
              <w:rPr>
                <w:sz w:val="21"/>
              </w:rPr>
            </w:pPr>
            <w:r>
              <w:rPr>
                <w:sz w:val="21"/>
              </w:rPr>
              <w:t>指因肝炎病毒感染引起肝脏组织弥漫性坏死，导致急性肝功能衰竭，且经血清学或病毒学检查证实，并须满足下列全部条件：</w:t>
            </w:r>
          </w:p>
          <w:p>
            <w:pPr>
              <w:pStyle w:val="TableParagraph"/>
              <w:spacing w:before="9"/>
              <w:rPr>
                <w:sz w:val="21"/>
              </w:rPr>
            </w:pPr>
            <w:r>
              <w:rPr>
                <w:sz w:val="21"/>
              </w:rPr>
              <w:t>(1)重度黄疸或黄疸迅速加重；</w:t>
            </w:r>
          </w:p>
          <w:p>
            <w:pPr>
              <w:pStyle w:val="TableParagraph"/>
              <w:spacing w:before="45"/>
              <w:rPr>
                <w:sz w:val="21"/>
              </w:rPr>
            </w:pPr>
            <w:r>
              <w:rPr>
                <w:sz w:val="21"/>
              </w:rPr>
              <w:t>(2)肝性脑病；</w:t>
            </w:r>
          </w:p>
          <w:p>
            <w:pPr>
              <w:pStyle w:val="TableParagraph"/>
              <w:spacing w:before="46"/>
              <w:rPr>
                <w:sz w:val="21"/>
              </w:rPr>
            </w:pPr>
            <w:r>
              <w:rPr>
                <w:sz w:val="21"/>
              </w:rPr>
              <w:t>(3)B 超或其他影像学检查显示肝脏体积急速萎缩；</w:t>
            </w:r>
          </w:p>
          <w:p>
            <w:pPr>
              <w:pStyle w:val="TableParagraph"/>
              <w:spacing w:before="43"/>
              <w:rPr>
                <w:sz w:val="21"/>
              </w:rPr>
            </w:pPr>
            <w:r>
              <w:rPr>
                <w:sz w:val="21"/>
              </w:rPr>
              <w:t>(4)肝功能指标进行性恶化。</w:t>
            </w:r>
          </w:p>
        </w:tc>
      </w:tr>
      <w:tr>
        <w:trPr>
          <w:trHeight w:val="976" w:hRule="atLeast"/>
        </w:trPr>
        <w:tc>
          <w:tcPr>
            <w:tcW w:w="7374" w:type="dxa"/>
          </w:tcPr>
          <w:p>
            <w:pPr>
              <w:pStyle w:val="TableParagraph"/>
              <w:spacing w:before="56"/>
              <w:rPr>
                <w:sz w:val="21"/>
              </w:rPr>
            </w:pPr>
            <w:r>
              <w:rPr>
                <w:sz w:val="21"/>
              </w:rPr>
              <w:t>（九）良性脑肿瘤</w:t>
            </w:r>
          </w:p>
          <w:p>
            <w:pPr>
              <w:pStyle w:val="TableParagraph"/>
              <w:spacing w:line="320" w:lineRule="atLeast" w:before="1"/>
              <w:ind w:right="299"/>
              <w:rPr>
                <w:sz w:val="21"/>
              </w:rPr>
            </w:pPr>
            <w:r>
              <w:rPr>
                <w:spacing w:val="-9"/>
                <w:sz w:val="21"/>
              </w:rPr>
              <w:t>指脑的良性肿瘤，已经引起颅内压增高，临床表现为视神经乳头水肿、精神</w:t>
            </w:r>
            <w:r>
              <w:rPr>
                <w:spacing w:val="-9"/>
                <w:w w:val="100"/>
                <w:sz w:val="21"/>
              </w:rPr>
              <w:t>症状、癫痫及运动感觉障碍等，并危及生命。须由头颅断层扫描</w:t>
            </w:r>
            <w:r>
              <w:rPr>
                <w:spacing w:val="3"/>
                <w:w w:val="100"/>
                <w:sz w:val="21"/>
              </w:rPr>
              <w:t>（</w:t>
            </w:r>
            <w:r>
              <w:rPr>
                <w:spacing w:val="-3"/>
                <w:w w:val="100"/>
                <w:sz w:val="21"/>
              </w:rPr>
              <w:t>C</w:t>
            </w:r>
            <w:r>
              <w:rPr>
                <w:spacing w:val="1"/>
                <w:w w:val="100"/>
                <w:sz w:val="21"/>
              </w:rPr>
              <w:t>T</w:t>
            </w:r>
            <w:r>
              <w:rPr>
                <w:spacing w:val="-106"/>
                <w:w w:val="100"/>
                <w:sz w:val="21"/>
              </w:rPr>
              <w:t>）</w:t>
            </w:r>
            <w:r>
              <w:rPr>
                <w:w w:val="100"/>
                <w:sz w:val="21"/>
              </w:rPr>
              <w:t>、核</w:t>
            </w:r>
          </w:p>
        </w:tc>
      </w:tr>
    </w:tbl>
    <w:p>
      <w:pPr>
        <w:rPr>
          <w:sz w:val="2"/>
          <w:szCs w:val="2"/>
        </w:rPr>
      </w:pPr>
      <w:r>
        <w:rPr/>
        <w:drawing>
          <wp:anchor distT="0" distB="0" distL="0" distR="0" allowOverlap="1" layoutInCell="1" locked="0" behindDoc="1" simplePos="0" relativeHeight="268405223">
            <wp:simplePos x="0" y="0"/>
            <wp:positionH relativeFrom="page">
              <wp:posOffset>6580378</wp:posOffset>
            </wp:positionH>
            <wp:positionV relativeFrom="page">
              <wp:posOffset>1781047</wp:posOffset>
            </wp:positionV>
            <wp:extent cx="62865" cy="9429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2865" cy="94297"/>
                    </a:xfrm>
                    <a:prstGeom prst="rect">
                      <a:avLst/>
                    </a:prstGeom>
                  </pic:spPr>
                </pic:pic>
              </a:graphicData>
            </a:graphic>
          </wp:anchor>
        </w:drawing>
      </w:r>
    </w:p>
    <w:p>
      <w:pPr>
        <w:spacing w:after="0"/>
        <w:rPr>
          <w:sz w:val="2"/>
          <w:szCs w:val="2"/>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8"/>
      </w:tblGrid>
      <w:tr>
        <w:trPr>
          <w:trHeight w:val="1616" w:hRule="atLeast"/>
        </w:trPr>
        <w:tc>
          <w:tcPr>
            <w:tcW w:w="7378" w:type="dxa"/>
          </w:tcPr>
          <w:p>
            <w:pPr>
              <w:pStyle w:val="TableParagraph"/>
              <w:spacing w:line="206" w:lineRule="exact"/>
              <w:rPr>
                <w:sz w:val="21"/>
              </w:rPr>
            </w:pPr>
            <w:r>
              <w:rPr>
                <w:sz w:val="21"/>
              </w:rPr>
              <w:t>磁共振检查（MRI）或正电子发射断层扫描（PET）等影像学检查证实，并须</w:t>
            </w:r>
          </w:p>
          <w:p>
            <w:pPr>
              <w:pStyle w:val="TableParagraph"/>
              <w:spacing w:before="44"/>
              <w:rPr>
                <w:sz w:val="21"/>
              </w:rPr>
            </w:pPr>
            <w:r>
              <w:rPr>
                <w:sz w:val="21"/>
              </w:rPr>
              <w:t>满足下列至少一项条件：</w:t>
            </w:r>
          </w:p>
          <w:p>
            <w:pPr>
              <w:pStyle w:val="TableParagraph"/>
              <w:spacing w:before="43"/>
              <w:rPr>
                <w:sz w:val="21"/>
              </w:rPr>
            </w:pPr>
            <w:r>
              <w:rPr>
                <w:sz w:val="21"/>
              </w:rPr>
              <w:t>(1)实际实施了开颅进行的脑肿瘤完全切除或部分切除的手术；</w:t>
            </w:r>
          </w:p>
          <w:p>
            <w:pPr>
              <w:pStyle w:val="TableParagraph"/>
              <w:spacing w:before="46"/>
              <w:rPr>
                <w:sz w:val="21"/>
              </w:rPr>
            </w:pPr>
            <w:r>
              <w:rPr>
                <w:sz w:val="21"/>
              </w:rPr>
              <w:t>(2)实际实施了对脑肿瘤进行的放射治疗。</w:t>
            </w:r>
          </w:p>
          <w:p>
            <w:pPr>
              <w:pStyle w:val="TableParagraph"/>
              <w:spacing w:before="44"/>
              <w:rPr>
                <w:sz w:val="21"/>
              </w:rPr>
            </w:pPr>
            <w:r>
              <w:rPr>
                <w:sz w:val="21"/>
                <w:shd w:fill="A6A6A6" w:color="auto" w:val="clear"/>
              </w:rPr>
              <w:t>脑垂体瘤、脑囊肿、脑血管性疾病不在保障范围内。</w:t>
            </w:r>
          </w:p>
        </w:tc>
      </w:tr>
      <w:tr>
        <w:trPr>
          <w:trHeight w:val="2382" w:hRule="atLeast"/>
        </w:trPr>
        <w:tc>
          <w:tcPr>
            <w:tcW w:w="7378" w:type="dxa"/>
          </w:tcPr>
          <w:p>
            <w:pPr>
              <w:pStyle w:val="TableParagraph"/>
              <w:spacing w:before="57"/>
              <w:rPr>
                <w:sz w:val="21"/>
              </w:rPr>
            </w:pPr>
            <w:r>
              <w:rPr>
                <w:sz w:val="21"/>
              </w:rPr>
              <w:t>（十）慢性肝功能衰竭失代偿期</w:t>
            </w:r>
          </w:p>
          <w:p>
            <w:pPr>
              <w:pStyle w:val="TableParagraph"/>
              <w:spacing w:before="44"/>
              <w:rPr>
                <w:sz w:val="21"/>
              </w:rPr>
            </w:pPr>
            <w:r>
              <w:rPr>
                <w:sz w:val="21"/>
              </w:rPr>
              <w:t>指因慢性肝脏疾病导致肝功能衰竭。须满足下列全部条件：</w:t>
            </w:r>
          </w:p>
          <w:p>
            <w:pPr>
              <w:pStyle w:val="TableParagraph"/>
              <w:spacing w:before="44"/>
              <w:rPr>
                <w:sz w:val="21"/>
              </w:rPr>
            </w:pPr>
            <w:r>
              <w:rPr>
                <w:sz w:val="21"/>
              </w:rPr>
              <w:t>(1)持续性黄疸；</w:t>
            </w:r>
          </w:p>
          <w:p>
            <w:pPr>
              <w:pStyle w:val="TableParagraph"/>
              <w:spacing w:before="46"/>
              <w:rPr>
                <w:sz w:val="21"/>
              </w:rPr>
            </w:pPr>
            <w:r>
              <w:rPr>
                <w:sz w:val="21"/>
              </w:rPr>
              <w:t>(2)腹水；</w:t>
            </w:r>
          </w:p>
          <w:p>
            <w:pPr>
              <w:pStyle w:val="TableParagraph"/>
              <w:spacing w:before="44"/>
              <w:rPr>
                <w:sz w:val="21"/>
              </w:rPr>
            </w:pPr>
            <w:r>
              <w:rPr>
                <w:sz w:val="21"/>
              </w:rPr>
              <w:t>(3)肝性脑病；</w:t>
            </w:r>
          </w:p>
          <w:p>
            <w:pPr>
              <w:pStyle w:val="TableParagraph"/>
              <w:spacing w:line="280" w:lineRule="auto" w:before="44"/>
              <w:ind w:right="2130"/>
              <w:rPr>
                <w:sz w:val="21"/>
              </w:rPr>
            </w:pPr>
            <w:r>
              <w:rPr>
                <w:sz w:val="21"/>
              </w:rPr>
              <w:t>(4)充血性脾肿大伴脾功能亢进或食管胃底静脉曲张。</w:t>
            </w:r>
            <w:r>
              <w:rPr>
                <w:sz w:val="21"/>
                <w:shd w:fill="A6A6A6" w:color="auto" w:val="clear"/>
              </w:rPr>
              <w:t>因酗酒或药物滥用导致的肝功能衰竭不在保障范围内。</w:t>
            </w:r>
          </w:p>
        </w:tc>
      </w:tr>
      <w:tr>
        <w:trPr>
          <w:trHeight w:val="2382" w:hRule="atLeast"/>
        </w:trPr>
        <w:tc>
          <w:tcPr>
            <w:tcW w:w="7378" w:type="dxa"/>
          </w:tcPr>
          <w:p>
            <w:pPr>
              <w:pStyle w:val="TableParagraph"/>
              <w:spacing w:before="56"/>
              <w:rPr>
                <w:sz w:val="21"/>
              </w:rPr>
            </w:pPr>
            <w:r>
              <w:rPr>
                <w:sz w:val="21"/>
              </w:rPr>
              <w:t>（十一）脑炎后遗症或脑膜炎后遗症</w:t>
            </w:r>
          </w:p>
          <w:p>
            <w:pPr>
              <w:pStyle w:val="TableParagraph"/>
              <w:spacing w:line="278" w:lineRule="auto" w:before="46"/>
              <w:ind w:right="245"/>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0"/>
              <w:rPr>
                <w:sz w:val="21"/>
              </w:rPr>
            </w:pPr>
            <w:r>
              <w:rPr>
                <w:sz w:val="21"/>
              </w:rPr>
              <w:t>(1)一肢或一肢以上肢体机能完全丧失；</w:t>
            </w:r>
          </w:p>
          <w:p>
            <w:pPr>
              <w:pStyle w:val="TableParagraph"/>
              <w:spacing w:before="46"/>
              <w:rPr>
                <w:sz w:val="21"/>
              </w:rPr>
            </w:pPr>
            <w:r>
              <w:rPr>
                <w:sz w:val="21"/>
              </w:rPr>
              <w:t>(2)语言能力或咀嚼吞咽能力完全丧失；</w:t>
            </w:r>
          </w:p>
          <w:p>
            <w:pPr>
              <w:pStyle w:val="TableParagraph"/>
              <w:spacing w:line="278" w:lineRule="auto" w:before="44"/>
              <w:ind w:right="307"/>
              <w:rPr>
                <w:sz w:val="21"/>
              </w:rPr>
            </w:pPr>
            <w:r>
              <w:rPr>
                <w:sz w:val="21"/>
              </w:rPr>
              <w:t>(3)自主生活能力完全丧失，无法独立完成六项基本日常生活活动中的三项或三项以上。</w:t>
            </w:r>
          </w:p>
        </w:tc>
      </w:tr>
      <w:tr>
        <w:trPr>
          <w:trHeight w:val="1742" w:hRule="atLeast"/>
        </w:trPr>
        <w:tc>
          <w:tcPr>
            <w:tcW w:w="7378" w:type="dxa"/>
          </w:tcPr>
          <w:p>
            <w:pPr>
              <w:pStyle w:val="TableParagraph"/>
              <w:spacing w:before="57"/>
              <w:rPr>
                <w:sz w:val="21"/>
              </w:rPr>
            </w:pPr>
            <w:r>
              <w:rPr>
                <w:sz w:val="21"/>
              </w:rPr>
              <w:t>（十二）深度昏迷</w:t>
            </w:r>
          </w:p>
          <w:p>
            <w:pPr>
              <w:pStyle w:val="TableParagraph"/>
              <w:spacing w:line="280" w:lineRule="auto" w:before="44"/>
              <w:ind w:right="197"/>
              <w:rPr>
                <w:sz w:val="21"/>
              </w:rPr>
            </w:pPr>
            <w:r>
              <w:rPr>
                <w:sz w:val="21"/>
              </w:rPr>
              <w:t>指因疾病或意外伤害导致意识丧失,对外界刺激和体内需求均无反应,昏迷</w:t>
            </w:r>
            <w:r>
              <w:rPr>
                <w:spacing w:val="-6"/>
                <w:sz w:val="21"/>
              </w:rPr>
              <w:t>程度按照格拉斯哥昏迷分级</w:t>
            </w:r>
            <w:r>
              <w:rPr>
                <w:sz w:val="21"/>
              </w:rPr>
              <w:t>（Glasgow</w:t>
            </w:r>
            <w:r>
              <w:rPr>
                <w:spacing w:val="-48"/>
                <w:sz w:val="21"/>
              </w:rPr>
              <w:t> </w:t>
            </w:r>
            <w:r>
              <w:rPr>
                <w:sz w:val="21"/>
              </w:rPr>
              <w:t>coma</w:t>
            </w:r>
            <w:r>
              <w:rPr>
                <w:spacing w:val="-50"/>
                <w:sz w:val="21"/>
              </w:rPr>
              <w:t> </w:t>
            </w:r>
            <w:r>
              <w:rPr>
                <w:spacing w:val="-7"/>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且已经持续使用呼吸机及其他生命维持系统 </w:t>
            </w:r>
            <w:r>
              <w:rPr>
                <w:sz w:val="21"/>
              </w:rPr>
              <w:t>96</w:t>
            </w:r>
            <w:r>
              <w:rPr>
                <w:spacing w:val="-9"/>
                <w:sz w:val="21"/>
              </w:rPr>
              <w:t> 小时以上。</w:t>
            </w:r>
          </w:p>
          <w:p>
            <w:pPr>
              <w:pStyle w:val="TableParagraph"/>
              <w:spacing w:before="9"/>
              <w:rPr>
                <w:sz w:val="21"/>
              </w:rPr>
            </w:pPr>
            <w:r>
              <w:rPr>
                <w:sz w:val="21"/>
                <w:shd w:fill="A6A6A6" w:color="auto" w:val="clear"/>
              </w:rPr>
              <w:t>因酗酒或药物滥用导致的深度昏迷不在保障范围内。</w:t>
            </w:r>
          </w:p>
        </w:tc>
      </w:tr>
      <w:tr>
        <w:trPr>
          <w:trHeight w:val="2061" w:hRule="atLeast"/>
        </w:trPr>
        <w:tc>
          <w:tcPr>
            <w:tcW w:w="7378" w:type="dxa"/>
          </w:tcPr>
          <w:p>
            <w:pPr>
              <w:pStyle w:val="TableParagraph"/>
              <w:spacing w:before="57"/>
              <w:rPr>
                <w:sz w:val="21"/>
              </w:rPr>
            </w:pPr>
            <w:r>
              <w:rPr>
                <w:sz w:val="21"/>
              </w:rPr>
              <w:t>（十三）双耳失聪</w:t>
            </w:r>
          </w:p>
          <w:p>
            <w:pPr>
              <w:pStyle w:val="TableParagraph"/>
              <w:spacing w:before="44"/>
              <w:rPr>
                <w:sz w:val="21"/>
              </w:rPr>
            </w:pPr>
            <w:r>
              <w:rPr>
                <w:sz w:val="21"/>
              </w:rPr>
              <w:t>指因疾病或意外伤害导致双耳听力</w:t>
            </w:r>
            <w:r>
              <w:rPr>
                <w:b/>
                <w:sz w:val="21"/>
              </w:rPr>
              <w:t>永久不可逆</w:t>
            </w:r>
            <w:r>
              <w:rPr>
                <w:sz w:val="21"/>
              </w:rPr>
              <w:t>性丧失，在 500 赫兹、1000</w:t>
            </w:r>
          </w:p>
          <w:p>
            <w:pPr>
              <w:pStyle w:val="TableParagraph"/>
              <w:spacing w:line="280" w:lineRule="auto" w:before="44"/>
              <w:ind w:right="243"/>
              <w:rPr>
                <w:sz w:val="21"/>
              </w:rPr>
            </w:pPr>
            <w:r>
              <w:rPr>
                <w:spacing w:val="-13"/>
                <w:sz w:val="21"/>
              </w:rPr>
              <w:t>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line="278" w:lineRule="auto" w:before="8"/>
              <w:ind w:right="306"/>
              <w:rPr>
                <w:sz w:val="21"/>
              </w:rPr>
            </w:pPr>
            <w:r>
              <w:rPr>
                <w:spacing w:val="-7"/>
                <w:sz w:val="21"/>
                <w:shd w:fill="A6A6A6" w:color="auto" w:val="clear"/>
              </w:rPr>
              <w:t>被保险人申请理赔时年龄必须在三周岁以上，并且提供理赔当时双耳失聪的</w:t>
            </w:r>
            <w:r>
              <w:rPr>
                <w:spacing w:val="-209"/>
                <w:sz w:val="21"/>
                <w:shd w:fill="A6A6A6" w:color="auto" w:val="clear"/>
              </w:rPr>
              <w:t>诊</w:t>
            </w:r>
            <w:r>
              <w:rPr>
                <w:spacing w:val="-3"/>
                <w:sz w:val="21"/>
                <w:shd w:fill="A6A6A6" w:color="auto" w:val="clear"/>
              </w:rPr>
              <w:t>断及检查证明和资料。</w:t>
            </w:r>
          </w:p>
        </w:tc>
      </w:tr>
      <w:tr>
        <w:trPr>
          <w:trHeight w:val="3022" w:hRule="atLeast"/>
        </w:trPr>
        <w:tc>
          <w:tcPr>
            <w:tcW w:w="7378" w:type="dxa"/>
          </w:tcPr>
          <w:p>
            <w:pPr>
              <w:pStyle w:val="TableParagraph"/>
              <w:spacing w:before="57"/>
              <w:rPr>
                <w:sz w:val="21"/>
              </w:rPr>
            </w:pPr>
            <w:r>
              <w:rPr>
                <w:sz w:val="21"/>
              </w:rPr>
              <w:t>（十四）双目失明</w:t>
            </w:r>
          </w:p>
          <w:p>
            <w:pPr>
              <w:pStyle w:val="TableParagraph"/>
              <w:spacing w:line="278" w:lineRule="auto" w:before="44"/>
              <w:ind w:right="243"/>
              <w:rPr>
                <w:sz w:val="21"/>
              </w:rPr>
            </w:pPr>
            <w:r>
              <w:rPr>
                <w:sz w:val="21"/>
              </w:rPr>
              <w:t>指因疾病或意外伤害导致双眼视力永久不可逆性丧失，双眼中较好眼须满足下列至少一项条件：</w:t>
            </w:r>
          </w:p>
          <w:p>
            <w:pPr>
              <w:pStyle w:val="TableParagraph"/>
              <w:spacing w:before="13"/>
              <w:rPr>
                <w:sz w:val="21"/>
              </w:rPr>
            </w:pPr>
            <w:r>
              <w:rPr>
                <w:sz w:val="21"/>
              </w:rPr>
              <w:t>(1)眼球缺失或摘除；</w:t>
            </w:r>
          </w:p>
          <w:p>
            <w:pPr>
              <w:pStyle w:val="TableParagraph"/>
              <w:spacing w:line="278" w:lineRule="auto" w:before="44"/>
              <w:ind w:right="305"/>
              <w:rPr>
                <w:sz w:val="21"/>
              </w:rPr>
            </w:pPr>
            <w:r>
              <w:rPr>
                <w:sz w:val="21"/>
              </w:rPr>
              <w:t>(2)</w:t>
            </w:r>
            <w:r>
              <w:rPr>
                <w:spacing w:val="-6"/>
                <w:sz w:val="21"/>
              </w:rPr>
              <w:t>矫正视力低于 </w:t>
            </w:r>
            <w:r>
              <w:rPr>
                <w:spacing w:val="-3"/>
                <w:sz w:val="21"/>
              </w:rPr>
              <w:t>0.02（</w:t>
            </w:r>
            <w:r>
              <w:rPr>
                <w:spacing w:val="-4"/>
                <w:sz w:val="21"/>
              </w:rPr>
              <w:t>采用国际标准视力表，如果使用其他视力表应进行</w:t>
            </w:r>
            <w:r>
              <w:rPr>
                <w:spacing w:val="-4"/>
                <w:w w:val="100"/>
                <w:sz w:val="21"/>
              </w:rPr>
              <w:t>换算</w:t>
            </w:r>
            <w:r>
              <w:rPr>
                <w:spacing w:val="-108"/>
                <w:w w:val="100"/>
                <w:sz w:val="21"/>
              </w:rPr>
              <w:t>）</w:t>
            </w:r>
            <w:r>
              <w:rPr>
                <w:w w:val="100"/>
                <w:sz w:val="21"/>
              </w:rPr>
              <w:t>；</w:t>
            </w:r>
          </w:p>
          <w:p>
            <w:pPr>
              <w:pStyle w:val="TableParagraph"/>
              <w:spacing w:before="12"/>
              <w:rPr>
                <w:sz w:val="21"/>
              </w:rPr>
            </w:pPr>
            <w:r>
              <w:rPr>
                <w:sz w:val="21"/>
              </w:rPr>
              <w:t>(3)视野半径小于 5 度。</w:t>
            </w:r>
          </w:p>
          <w:p>
            <w:pPr>
              <w:pStyle w:val="TableParagraph"/>
              <w:spacing w:line="278" w:lineRule="auto" w:before="44"/>
              <w:ind w:right="305"/>
              <w:rPr>
                <w:sz w:val="21"/>
              </w:rPr>
            </w:pPr>
            <w:r>
              <w:rPr>
                <w:spacing w:val="-7"/>
                <w:sz w:val="21"/>
                <w:shd w:fill="A6A6A6" w:color="auto" w:val="clear"/>
              </w:rPr>
              <w:t>被保险人申请理赔时年龄必须在三周岁以上，并且提供理赔当时双目失明的</w:t>
            </w:r>
            <w:r>
              <w:rPr>
                <w:spacing w:val="-209"/>
                <w:sz w:val="21"/>
                <w:shd w:fill="A6A6A6" w:color="auto" w:val="clear"/>
              </w:rPr>
              <w:t>诊</w:t>
            </w:r>
            <w:r>
              <w:rPr>
                <w:spacing w:val="-3"/>
                <w:sz w:val="21"/>
                <w:shd w:fill="A6A6A6" w:color="auto" w:val="clear"/>
              </w:rPr>
              <w:t>断及检查证明和资料。</w:t>
            </w:r>
          </w:p>
        </w:tc>
      </w:tr>
      <w:tr>
        <w:trPr>
          <w:trHeight w:val="656" w:hRule="atLeast"/>
        </w:trPr>
        <w:tc>
          <w:tcPr>
            <w:tcW w:w="7378" w:type="dxa"/>
          </w:tcPr>
          <w:p>
            <w:pPr>
              <w:pStyle w:val="TableParagraph"/>
              <w:spacing w:before="57"/>
              <w:rPr>
                <w:sz w:val="21"/>
              </w:rPr>
            </w:pPr>
            <w:r>
              <w:rPr>
                <w:sz w:val="21"/>
              </w:rPr>
              <w:t>（十五）瘫痪</w:t>
            </w:r>
          </w:p>
          <w:p>
            <w:pPr>
              <w:pStyle w:val="TableParagraph"/>
              <w:spacing w:line="260" w:lineRule="exact" w:before="44"/>
              <w:rPr>
                <w:sz w:val="21"/>
              </w:rPr>
            </w:pPr>
            <w:r>
              <w:rPr>
                <w:sz w:val="21"/>
              </w:rPr>
              <w:t>指因疾病或意外伤害导致两肢或两肢以上肢体机能永久完全丧失。肢体机能</w:t>
            </w:r>
          </w:p>
        </w:tc>
      </w:tr>
    </w:tbl>
    <w:p>
      <w:pPr>
        <w:spacing w:after="0" w:line="260" w:lineRule="exact"/>
        <w:rPr>
          <w:sz w:val="21"/>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3"/>
      </w:tblGrid>
      <w:tr>
        <w:trPr>
          <w:trHeight w:val="656" w:hRule="atLeast"/>
        </w:trPr>
        <w:tc>
          <w:tcPr>
            <w:tcW w:w="7273" w:type="dxa"/>
          </w:tcPr>
          <w:p>
            <w:pPr>
              <w:pStyle w:val="TableParagraph"/>
              <w:spacing w:line="206" w:lineRule="exact"/>
              <w:rPr>
                <w:sz w:val="21"/>
              </w:rPr>
            </w:pPr>
            <w:r>
              <w:rPr>
                <w:spacing w:val="-11"/>
                <w:sz w:val="21"/>
              </w:rPr>
              <w:t>永久完全丧失，指疾病确诊 </w:t>
            </w:r>
            <w:r>
              <w:rPr>
                <w:sz w:val="21"/>
              </w:rPr>
              <w:t>180</w:t>
            </w:r>
            <w:r>
              <w:rPr>
                <w:spacing w:val="-12"/>
                <w:sz w:val="21"/>
              </w:rPr>
              <w:t> 天后或意外伤害发生 </w:t>
            </w:r>
            <w:r>
              <w:rPr>
                <w:sz w:val="21"/>
              </w:rPr>
              <w:t>180</w:t>
            </w:r>
            <w:r>
              <w:rPr>
                <w:spacing w:val="-12"/>
                <w:sz w:val="21"/>
              </w:rPr>
              <w:t> 天后，每肢三大关</w:t>
            </w:r>
          </w:p>
          <w:p>
            <w:pPr>
              <w:pStyle w:val="TableParagraph"/>
              <w:spacing w:before="44"/>
              <w:rPr>
                <w:sz w:val="21"/>
              </w:rPr>
            </w:pPr>
            <w:r>
              <w:rPr>
                <w:sz w:val="21"/>
              </w:rPr>
              <w:t>节中的两大关节仍然完全僵硬，或不能随意识活动。</w:t>
            </w:r>
          </w:p>
        </w:tc>
      </w:tr>
      <w:tr>
        <w:trPr>
          <w:trHeight w:val="1101" w:hRule="atLeast"/>
        </w:trPr>
        <w:tc>
          <w:tcPr>
            <w:tcW w:w="7273" w:type="dxa"/>
          </w:tcPr>
          <w:p>
            <w:pPr>
              <w:pStyle w:val="TableParagraph"/>
              <w:spacing w:before="57"/>
              <w:rPr>
                <w:sz w:val="21"/>
              </w:rPr>
            </w:pPr>
            <w:r>
              <w:rPr>
                <w:sz w:val="21"/>
              </w:rPr>
              <w:t>（十六）心脏瓣膜手术</w:t>
            </w:r>
          </w:p>
          <w:p>
            <w:pPr>
              <w:pStyle w:val="TableParagraph"/>
              <w:spacing w:line="278" w:lineRule="auto" w:before="44"/>
              <w:ind w:right="209"/>
              <w:rPr>
                <w:sz w:val="21"/>
              </w:rPr>
            </w:pPr>
            <w:r>
              <w:rPr>
                <w:sz w:val="21"/>
              </w:rPr>
              <w:t>指为治疗心脏瓣膜疾病，实际实施了开胸进行的心脏瓣膜置换或修复的手术。</w:t>
            </w:r>
          </w:p>
        </w:tc>
      </w:tr>
      <w:tr>
        <w:trPr>
          <w:trHeight w:val="2382" w:hRule="atLeast"/>
        </w:trPr>
        <w:tc>
          <w:tcPr>
            <w:tcW w:w="7273" w:type="dxa"/>
          </w:tcPr>
          <w:p>
            <w:pPr>
              <w:pStyle w:val="TableParagraph"/>
              <w:spacing w:before="57"/>
              <w:rPr>
                <w:sz w:val="21"/>
              </w:rPr>
            </w:pPr>
            <w:r>
              <w:rPr>
                <w:sz w:val="21"/>
              </w:rPr>
              <w:t>（十七）严重阿尔茨海默病</w:t>
            </w:r>
          </w:p>
          <w:p>
            <w:pPr>
              <w:pStyle w:val="TableParagraph"/>
              <w:spacing w:line="280" w:lineRule="auto" w:before="44"/>
              <w:ind w:right="201"/>
              <w:jc w:val="both"/>
              <w:rPr>
                <w:sz w:val="21"/>
              </w:rPr>
            </w:pPr>
            <w:r>
              <w:rPr>
                <w:spacing w:val="-9"/>
                <w:sz w:val="21"/>
              </w:rPr>
              <w:t>指因大脑进行性、不可逆性改变导致智能严重衰退或丧失，临床表现为明显</w:t>
            </w:r>
            <w:r>
              <w:rPr>
                <w:spacing w:val="-10"/>
                <w:sz w:val="21"/>
              </w:rPr>
              <w:t>的认知能力障碍、行为异常和社交能力减退，其日常生活必须持续受到他人</w:t>
            </w:r>
            <w:r>
              <w:rPr>
                <w:spacing w:val="-7"/>
                <w:w w:val="100"/>
                <w:sz w:val="21"/>
              </w:rPr>
              <w:t>监护。须由头颅断层扫描</w:t>
            </w:r>
            <w:r>
              <w:rPr>
                <w:w w:val="100"/>
                <w:sz w:val="21"/>
              </w:rPr>
              <w:t>（C</w:t>
            </w:r>
            <w:r>
              <w:rPr>
                <w:spacing w:val="-2"/>
                <w:w w:val="100"/>
                <w:sz w:val="21"/>
              </w:rPr>
              <w:t>T</w:t>
            </w:r>
            <w:r>
              <w:rPr>
                <w:spacing w:val="-106"/>
                <w:w w:val="100"/>
                <w:sz w:val="21"/>
              </w:rPr>
              <w:t>）</w:t>
            </w:r>
            <w:r>
              <w:rPr>
                <w:spacing w:val="-7"/>
                <w:w w:val="100"/>
                <w:sz w:val="21"/>
              </w:rPr>
              <w:t>、核磁共振检查</w:t>
            </w:r>
            <w:r>
              <w:rPr>
                <w:spacing w:val="-1"/>
                <w:w w:val="100"/>
                <w:sz w:val="21"/>
              </w:rPr>
              <w:t>（</w:t>
            </w:r>
            <w:r>
              <w:rPr>
                <w:spacing w:val="-3"/>
                <w:w w:val="100"/>
                <w:sz w:val="21"/>
              </w:rPr>
              <w:t>MR</w:t>
            </w:r>
            <w:r>
              <w:rPr>
                <w:w w:val="100"/>
                <w:sz w:val="21"/>
              </w:rPr>
              <w:t>I</w:t>
            </w:r>
            <w:r>
              <w:rPr>
                <w:spacing w:val="-15"/>
                <w:w w:val="100"/>
                <w:sz w:val="21"/>
              </w:rPr>
              <w:t>）</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before="9"/>
              <w:jc w:val="both"/>
              <w:rPr>
                <w:sz w:val="21"/>
              </w:rPr>
            </w:pPr>
            <w:r>
              <w:rPr>
                <w:sz w:val="21"/>
                <w:shd w:fill="A6A6A6" w:color="auto" w:val="clear"/>
              </w:rPr>
              <w:t>神经官能症和精神疾病不在保障范围内。</w:t>
            </w:r>
          </w:p>
        </w:tc>
      </w:tr>
      <w:tr>
        <w:trPr>
          <w:trHeight w:val="3023" w:hRule="atLeast"/>
        </w:trPr>
        <w:tc>
          <w:tcPr>
            <w:tcW w:w="7273" w:type="dxa"/>
          </w:tcPr>
          <w:p>
            <w:pPr>
              <w:pStyle w:val="TableParagraph"/>
              <w:spacing w:before="56"/>
              <w:rPr>
                <w:sz w:val="21"/>
              </w:rPr>
            </w:pPr>
            <w:r>
              <w:rPr>
                <w:sz w:val="21"/>
              </w:rPr>
              <w:t>（十八）严重脑损伤</w:t>
            </w:r>
          </w:p>
          <w:p>
            <w:pPr>
              <w:pStyle w:val="TableParagraph"/>
              <w:spacing w:line="278" w:lineRule="auto" w:before="46"/>
              <w:ind w:right="200"/>
              <w:jc w:val="both"/>
              <w:rPr>
                <w:sz w:val="21"/>
              </w:rPr>
            </w:pPr>
            <w:r>
              <w:rPr>
                <w:spacing w:val="-8"/>
                <w:sz w:val="21"/>
              </w:rPr>
              <w:t>指因头部遭受机械性外力，引起脑重要部位损伤，导致神经系统永久性的功</w:t>
            </w:r>
            <w:r>
              <w:rPr>
                <w:spacing w:val="-8"/>
                <w:w w:val="100"/>
                <w:sz w:val="21"/>
              </w:rPr>
              <w:t>能障碍。须由头颅断层扫描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w:t>
            </w:r>
            <w:r>
              <w:rPr>
                <w:spacing w:val="-3"/>
                <w:w w:val="100"/>
                <w:sz w:val="21"/>
              </w:rPr>
              <w:t>I</w:t>
            </w:r>
            <w:r>
              <w:rPr>
                <w:spacing w:val="-13"/>
                <w:w w:val="100"/>
                <w:sz w:val="21"/>
              </w:rPr>
              <w:t>）</w:t>
            </w:r>
            <w:r>
              <w:rPr>
                <w:spacing w:val="-3"/>
                <w:w w:val="100"/>
                <w:sz w:val="21"/>
              </w:rPr>
              <w:t>或正电子发射断层</w:t>
            </w:r>
            <w:r>
              <w:rPr>
                <w:spacing w:val="-18"/>
                <w:sz w:val="21"/>
              </w:rPr>
              <w:t>扫描</w:t>
            </w:r>
            <w:r>
              <w:rPr>
                <w:spacing w:val="-7"/>
                <w:sz w:val="21"/>
              </w:rPr>
              <w:t>（PET）</w:t>
            </w:r>
            <w:r>
              <w:rPr>
                <w:spacing w:val="-9"/>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10"/>
              <w:rPr>
                <w:sz w:val="21"/>
              </w:rPr>
            </w:pPr>
            <w:r>
              <w:rPr>
                <w:sz w:val="21"/>
              </w:rPr>
              <w:t>(1)一肢或一肢以上肢体机能完全丧失；</w:t>
            </w:r>
          </w:p>
          <w:p>
            <w:pPr>
              <w:pStyle w:val="TableParagraph"/>
              <w:spacing w:before="43"/>
              <w:rPr>
                <w:sz w:val="21"/>
              </w:rPr>
            </w:pPr>
            <w:r>
              <w:rPr>
                <w:sz w:val="21"/>
              </w:rPr>
              <w:t>(2)语言能力或咀嚼吞咽能力完全丧失；</w:t>
            </w:r>
          </w:p>
          <w:p>
            <w:pPr>
              <w:pStyle w:val="TableParagraph"/>
              <w:spacing w:line="278" w:lineRule="auto" w:before="46"/>
              <w:ind w:right="202"/>
              <w:rPr>
                <w:sz w:val="21"/>
              </w:rPr>
            </w:pPr>
            <w:r>
              <w:rPr>
                <w:sz w:val="21"/>
              </w:rPr>
              <w:t>(3)自主生活能力完全丧失，无法独立完成六项基本日常生活活动中的三项或三项以上。</w:t>
            </w:r>
          </w:p>
        </w:tc>
      </w:tr>
      <w:tr>
        <w:trPr>
          <w:trHeight w:val="2382" w:hRule="atLeast"/>
        </w:trPr>
        <w:tc>
          <w:tcPr>
            <w:tcW w:w="7273" w:type="dxa"/>
          </w:tcPr>
          <w:p>
            <w:pPr>
              <w:pStyle w:val="TableParagraph"/>
              <w:spacing w:before="57"/>
              <w:rPr>
                <w:sz w:val="21"/>
              </w:rPr>
            </w:pPr>
            <w:r>
              <w:rPr>
                <w:sz w:val="21"/>
              </w:rPr>
              <w:t>（十九）严重帕金森病</w:t>
            </w:r>
          </w:p>
          <w:p>
            <w:pPr>
              <w:pStyle w:val="TableParagraph"/>
              <w:spacing w:line="278" w:lineRule="auto" w:before="44"/>
              <w:ind w:right="198"/>
              <w:rPr>
                <w:sz w:val="21"/>
              </w:rPr>
            </w:pPr>
            <w:r>
              <w:rPr>
                <w:spacing w:val="-7"/>
                <w:sz w:val="21"/>
              </w:rPr>
              <w:t>是一种中枢神经系统的退行性疾病，临床表现为震颤麻痹、共济失调等。须</w:t>
            </w:r>
            <w:r>
              <w:rPr>
                <w:spacing w:val="-5"/>
                <w:sz w:val="21"/>
              </w:rPr>
              <w:t>满足下列全部条件：</w:t>
            </w:r>
          </w:p>
          <w:p>
            <w:pPr>
              <w:pStyle w:val="TableParagraph"/>
              <w:spacing w:before="13"/>
              <w:rPr>
                <w:sz w:val="21"/>
              </w:rPr>
            </w:pPr>
            <w:r>
              <w:rPr>
                <w:sz w:val="21"/>
              </w:rPr>
              <w:t>(1)药物治疗无法控制病情；</w:t>
            </w:r>
          </w:p>
          <w:p>
            <w:pPr>
              <w:pStyle w:val="TableParagraph"/>
              <w:spacing w:line="278" w:lineRule="auto" w:before="44"/>
              <w:ind w:right="202"/>
              <w:rPr>
                <w:sz w:val="21"/>
              </w:rPr>
            </w:pPr>
            <w:r>
              <w:rPr>
                <w:sz w:val="21"/>
              </w:rPr>
              <w:t>(2)自主生活能力完全丧失，无法独立完成六项基本日常生活活动中的三项或三项以上。</w:t>
            </w:r>
          </w:p>
          <w:p>
            <w:pPr>
              <w:pStyle w:val="TableParagraph"/>
              <w:spacing w:before="13"/>
              <w:rPr>
                <w:sz w:val="21"/>
              </w:rPr>
            </w:pPr>
            <w:r>
              <w:rPr>
                <w:sz w:val="21"/>
                <w:shd w:fill="A6A6A6" w:color="auto" w:val="clear"/>
              </w:rPr>
              <w:t>继发性帕金森综合征不在保障范围内。</w:t>
            </w:r>
          </w:p>
        </w:tc>
      </w:tr>
      <w:tr>
        <w:trPr>
          <w:trHeight w:val="1101" w:hRule="atLeast"/>
        </w:trPr>
        <w:tc>
          <w:tcPr>
            <w:tcW w:w="7273" w:type="dxa"/>
          </w:tcPr>
          <w:p>
            <w:pPr>
              <w:pStyle w:val="TableParagraph"/>
              <w:spacing w:before="56"/>
              <w:rPr>
                <w:sz w:val="21"/>
              </w:rPr>
            </w:pPr>
            <w:r>
              <w:rPr>
                <w:sz w:val="21"/>
              </w:rPr>
              <w:t>（二十）严重Ⅲ度烧伤</w:t>
            </w:r>
          </w:p>
          <w:p>
            <w:pPr>
              <w:pStyle w:val="TableParagraph"/>
              <w:spacing w:line="280" w:lineRule="auto" w:before="44"/>
              <w:ind w:right="130"/>
              <w:rPr>
                <w:sz w:val="21"/>
              </w:rPr>
            </w:pPr>
            <w:r>
              <w:rPr>
                <w:sz w:val="21"/>
              </w:rPr>
              <w:t>指烧伤程度为Ⅲ度，且Ⅲ度烧伤的面积达到全身体表面积的 20％或 20％以上。体表面积根据《中国新九分法》计算。</w:t>
            </w:r>
          </w:p>
        </w:tc>
      </w:tr>
      <w:tr>
        <w:trPr>
          <w:trHeight w:val="1422" w:hRule="atLeast"/>
        </w:trPr>
        <w:tc>
          <w:tcPr>
            <w:tcW w:w="7273" w:type="dxa"/>
          </w:tcPr>
          <w:p>
            <w:pPr>
              <w:pStyle w:val="TableParagraph"/>
              <w:spacing w:before="56"/>
              <w:rPr>
                <w:sz w:val="21"/>
              </w:rPr>
            </w:pPr>
            <w:r>
              <w:rPr>
                <w:sz w:val="21"/>
              </w:rPr>
              <w:t>（二十一）严重原发性肺动脉高压</w:t>
            </w:r>
          </w:p>
          <w:p>
            <w:pPr>
              <w:pStyle w:val="TableParagraph"/>
              <w:spacing w:line="278" w:lineRule="auto" w:before="46"/>
              <w:ind w:right="201"/>
              <w:jc w:val="both"/>
              <w:rPr>
                <w:sz w:val="21"/>
              </w:rPr>
            </w:pPr>
            <w:r>
              <w:rPr>
                <w:spacing w:val="-6"/>
                <w:sz w:val="21"/>
              </w:rPr>
              <w:t>指不明原因的肺动脉压力持续性增高，进行性发展而导致的慢性疾病，已经</w:t>
            </w:r>
            <w:r>
              <w:rPr>
                <w:spacing w:val="-8"/>
                <w:sz w:val="21"/>
              </w:rPr>
              <w:t>造成永久不可逆性的体力活动能力受限，达到美国纽约心脏病学会心功能状</w:t>
            </w:r>
            <w:r>
              <w:rPr>
                <w:spacing w:val="-15"/>
                <w:sz w:val="21"/>
              </w:rPr>
              <w:t>态分级 </w:t>
            </w:r>
            <w:r>
              <w:rPr>
                <w:sz w:val="21"/>
              </w:rPr>
              <w:t>IV</w:t>
            </w:r>
            <w:r>
              <w:rPr>
                <w:spacing w:val="-11"/>
                <w:sz w:val="21"/>
              </w:rPr>
              <w:t> 级，且静息状态下肺动脉平均压超过 </w:t>
            </w:r>
            <w:r>
              <w:rPr>
                <w:sz w:val="21"/>
              </w:rPr>
              <w:t>30mmHg。</w:t>
            </w:r>
          </w:p>
        </w:tc>
      </w:tr>
      <w:tr>
        <w:trPr>
          <w:trHeight w:val="1616" w:hRule="atLeast"/>
        </w:trPr>
        <w:tc>
          <w:tcPr>
            <w:tcW w:w="7273" w:type="dxa"/>
          </w:tcPr>
          <w:p>
            <w:pPr>
              <w:pStyle w:val="TableParagraph"/>
              <w:spacing w:before="57"/>
              <w:rPr>
                <w:sz w:val="21"/>
              </w:rPr>
            </w:pPr>
            <w:r>
              <w:rPr>
                <w:sz w:val="21"/>
              </w:rPr>
              <w:t>（二十二）严重运动神经元病</w:t>
            </w:r>
          </w:p>
          <w:p>
            <w:pPr>
              <w:pStyle w:val="TableParagraph"/>
              <w:spacing w:line="278" w:lineRule="auto" w:before="44"/>
              <w:ind w:right="201"/>
              <w:rPr>
                <w:sz w:val="21"/>
              </w:rPr>
            </w:pPr>
            <w:r>
              <w:rPr>
                <w:sz w:val="21"/>
              </w:rPr>
              <w:t>是一组中枢神经系统运动神经元的进行性变性疾病，包括进行性脊肌萎缩</w:t>
            </w:r>
            <w:r>
              <w:rPr>
                <w:spacing w:val="-9"/>
                <w:sz w:val="21"/>
              </w:rPr>
              <w:t>症、进行性延髓麻痹症、原发性侧索硬化症、肌萎缩性侧索硬化症。须满足</w:t>
            </w:r>
          </w:p>
          <w:p>
            <w:pPr>
              <w:pStyle w:val="TableParagraph"/>
              <w:spacing w:line="320" w:lineRule="exact" w:before="2"/>
              <w:ind w:right="201"/>
              <w:rPr>
                <w:sz w:val="21"/>
              </w:rPr>
            </w:pPr>
            <w:r>
              <w:rPr>
                <w:spacing w:val="-9"/>
                <w:sz w:val="21"/>
              </w:rPr>
              <w:t>自主生活能力完全丧失，无法独立完成六项基本日常生活活动中的三项或三</w:t>
            </w:r>
            <w:r>
              <w:rPr>
                <w:spacing w:val="-5"/>
                <w:sz w:val="21"/>
              </w:rPr>
              <w:t>项以上的条件。</w:t>
            </w:r>
          </w:p>
        </w:tc>
      </w:tr>
    </w:tbl>
    <w:p>
      <w:pPr>
        <w:spacing w:after="0" w:line="320" w:lineRule="exact"/>
        <w:rPr>
          <w:sz w:val="21"/>
        </w:rPr>
        <w:sectPr>
          <w:pgSz w:w="11910" w:h="16840"/>
          <w:pgMar w:top="1480" w:bottom="280" w:left="1680" w:right="10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8"/>
      </w:tblGrid>
      <w:tr>
        <w:trPr>
          <w:trHeight w:val="1936" w:hRule="atLeast"/>
        </w:trPr>
        <w:tc>
          <w:tcPr>
            <w:tcW w:w="7378" w:type="dxa"/>
          </w:tcPr>
          <w:p>
            <w:pPr>
              <w:pStyle w:val="TableParagraph"/>
              <w:spacing w:line="206" w:lineRule="exact"/>
              <w:rPr>
                <w:sz w:val="21"/>
              </w:rPr>
            </w:pPr>
            <w:r>
              <w:rPr>
                <w:sz w:val="21"/>
              </w:rPr>
              <w:t>（二十三）语言能力丧失</w:t>
            </w:r>
          </w:p>
          <w:p>
            <w:pPr>
              <w:pStyle w:val="TableParagraph"/>
              <w:spacing w:line="278" w:lineRule="auto" w:before="44"/>
              <w:ind w:right="303"/>
              <w:rPr>
                <w:sz w:val="21"/>
              </w:rPr>
            </w:pPr>
            <w:r>
              <w:rPr>
                <w:spacing w:val="-9"/>
                <w:sz w:val="21"/>
              </w:rPr>
              <w:t>指因疾病或意外伤害导致完全丧失语言能力，经过积极治疗至少 </w:t>
            </w:r>
            <w:r>
              <w:rPr>
                <w:sz w:val="21"/>
              </w:rPr>
              <w:t>12</w:t>
            </w:r>
            <w:r>
              <w:rPr>
                <w:spacing w:val="-42"/>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12"/>
              <w:rPr>
                <w:sz w:val="21"/>
              </w:rPr>
            </w:pPr>
            <w:r>
              <w:rPr>
                <w:sz w:val="21"/>
                <w:shd w:fill="A6A6A6" w:color="auto" w:val="clear"/>
              </w:rPr>
              <w:t>精神心理因素所致的语言能力丧失不在保障范围内。</w:t>
            </w:r>
          </w:p>
          <w:p>
            <w:pPr>
              <w:pStyle w:val="TableParagraph"/>
              <w:spacing w:line="278" w:lineRule="auto" w:before="44"/>
              <w:ind w:right="306"/>
              <w:rPr>
                <w:sz w:val="21"/>
              </w:rPr>
            </w:pPr>
            <w:r>
              <w:rPr>
                <w:spacing w:val="-7"/>
                <w:sz w:val="21"/>
                <w:shd w:fill="A6A6A6" w:color="auto" w:val="clear"/>
              </w:rPr>
              <w:t>被保险人申请理赔时年龄必须在三周岁以上，并且提供理赔当时语言能力丧</w:t>
            </w:r>
            <w:r>
              <w:rPr>
                <w:spacing w:val="-5"/>
                <w:sz w:val="21"/>
                <w:shd w:fill="A6A6A6" w:color="auto" w:val="clear"/>
              </w:rPr>
              <w:t>失的诊断及检查证明和资料。</w:t>
            </w:r>
          </w:p>
        </w:tc>
      </w:tr>
      <w:tr>
        <w:trPr>
          <w:trHeight w:val="2702" w:hRule="atLeast"/>
        </w:trPr>
        <w:tc>
          <w:tcPr>
            <w:tcW w:w="7378" w:type="dxa"/>
          </w:tcPr>
          <w:p>
            <w:pPr>
              <w:pStyle w:val="TableParagraph"/>
              <w:spacing w:before="57"/>
              <w:rPr>
                <w:sz w:val="21"/>
              </w:rPr>
            </w:pPr>
            <w:r>
              <w:rPr>
                <w:sz w:val="21"/>
              </w:rPr>
              <w:t>（二十四）重型再生障碍性贫血</w:t>
            </w:r>
          </w:p>
          <w:p>
            <w:pPr>
              <w:pStyle w:val="TableParagraph"/>
              <w:spacing w:line="280" w:lineRule="auto" w:before="44"/>
              <w:ind w:right="243"/>
              <w:rPr>
                <w:sz w:val="21"/>
              </w:rPr>
            </w:pPr>
            <w:r>
              <w:rPr>
                <w:sz w:val="21"/>
              </w:rPr>
              <w:t>指因骨髓造血功能慢性持续性衰竭导致的贫血、中性粒细胞减少及血小板减少。须满足下列全部条件：</w:t>
            </w:r>
          </w:p>
          <w:p>
            <w:pPr>
              <w:pStyle w:val="TableParagraph"/>
              <w:spacing w:before="9"/>
              <w:rPr>
                <w:sz w:val="21"/>
              </w:rPr>
            </w:pPr>
            <w:r>
              <w:rPr>
                <w:sz w:val="21"/>
              </w:rPr>
              <w:t>(1)骨髓穿刺检查或骨髓活检结果支持诊断；</w:t>
            </w:r>
          </w:p>
          <w:p>
            <w:pPr>
              <w:pStyle w:val="TableParagraph"/>
              <w:spacing w:before="44"/>
              <w:rPr>
                <w:sz w:val="21"/>
              </w:rPr>
            </w:pPr>
            <w:r>
              <w:rPr>
                <w:sz w:val="21"/>
              </w:rPr>
              <w:t>(2)外周血象须具备以下三项条件：</w:t>
            </w:r>
          </w:p>
          <w:p>
            <w:pPr>
              <w:pStyle w:val="TableParagraph"/>
              <w:spacing w:before="46"/>
              <w:rPr>
                <w:sz w:val="21"/>
              </w:rPr>
            </w:pPr>
            <w:r>
              <w:rPr>
                <w:sz w:val="21"/>
              </w:rPr>
              <w:t>①中性粒细胞绝对值≤0.5×10</w:t>
            </w:r>
            <w:r>
              <w:rPr>
                <w:position w:val="11"/>
                <w:sz w:val="11"/>
              </w:rPr>
              <w:t>9</w:t>
            </w:r>
            <w:r>
              <w:rPr>
                <w:sz w:val="21"/>
              </w:rPr>
              <w:t>/L ；</w:t>
            </w:r>
          </w:p>
          <w:p>
            <w:pPr>
              <w:pStyle w:val="TableParagraph"/>
              <w:spacing w:before="44"/>
              <w:rPr>
                <w:sz w:val="21"/>
              </w:rPr>
            </w:pPr>
            <w:r>
              <w:rPr>
                <w:sz w:val="21"/>
              </w:rPr>
              <w:t>②网织红细胞＜1％；</w:t>
            </w:r>
          </w:p>
          <w:p>
            <w:pPr>
              <w:pStyle w:val="TableParagraph"/>
              <w:spacing w:before="45"/>
              <w:rPr>
                <w:sz w:val="21"/>
              </w:rPr>
            </w:pPr>
            <w:r>
              <w:rPr>
                <w:sz w:val="21"/>
              </w:rPr>
              <w:t>③血小板绝对值≤20×10</w:t>
            </w:r>
            <w:r>
              <w:rPr>
                <w:position w:val="11"/>
                <w:sz w:val="11"/>
              </w:rPr>
              <w:t>9</w:t>
            </w:r>
            <w:r>
              <w:rPr>
                <w:sz w:val="21"/>
              </w:rPr>
              <w:t>/L。</w:t>
            </w:r>
          </w:p>
        </w:tc>
      </w:tr>
      <w:tr>
        <w:trPr>
          <w:trHeight w:val="1742" w:hRule="atLeast"/>
        </w:trPr>
        <w:tc>
          <w:tcPr>
            <w:tcW w:w="7378" w:type="dxa"/>
          </w:tcPr>
          <w:p>
            <w:pPr>
              <w:pStyle w:val="TableParagraph"/>
              <w:spacing w:before="57"/>
              <w:rPr>
                <w:sz w:val="21"/>
              </w:rPr>
            </w:pPr>
            <w:r>
              <w:rPr>
                <w:sz w:val="21"/>
              </w:rPr>
              <w:t>（二十五）主动脉手术</w:t>
            </w:r>
          </w:p>
          <w:p>
            <w:pPr>
              <w:pStyle w:val="TableParagraph"/>
              <w:spacing w:line="280" w:lineRule="auto" w:before="44"/>
              <w:ind w:right="303"/>
              <w:jc w:val="both"/>
              <w:rPr>
                <w:sz w:val="21"/>
              </w:rPr>
            </w:pPr>
            <w:r>
              <w:rPr>
                <w:spacing w:val="-7"/>
                <w:sz w:val="21"/>
              </w:rPr>
              <w:t>指为治疗主动脉疾病，实际实施了开胸或开腹进行的切除、置换、修补病损</w:t>
            </w:r>
            <w:r>
              <w:rPr>
                <w:spacing w:val="-10"/>
                <w:sz w:val="21"/>
              </w:rPr>
              <w:t>主动脉血管的手术。主动脉指胸主动脉和腹主动脉，不包括胸主动脉和腹主</w:t>
            </w:r>
            <w:r>
              <w:rPr>
                <w:spacing w:val="-5"/>
                <w:sz w:val="21"/>
              </w:rPr>
              <w:t>动脉的分支血管。</w:t>
            </w:r>
          </w:p>
          <w:p>
            <w:pPr>
              <w:pStyle w:val="TableParagraph"/>
              <w:spacing w:before="9"/>
              <w:jc w:val="both"/>
              <w:rPr>
                <w:sz w:val="21"/>
              </w:rPr>
            </w:pPr>
            <w:r>
              <w:rPr>
                <w:sz w:val="21"/>
                <w:shd w:fill="A6A6A6" w:color="auto" w:val="clear"/>
              </w:rPr>
              <w:t>动脉内血管成形术不在保障范围内。</w:t>
            </w:r>
          </w:p>
        </w:tc>
      </w:tr>
      <w:tr>
        <w:trPr>
          <w:trHeight w:val="2702" w:hRule="atLeast"/>
        </w:trPr>
        <w:tc>
          <w:tcPr>
            <w:tcW w:w="7378" w:type="dxa"/>
          </w:tcPr>
          <w:p>
            <w:pPr>
              <w:pStyle w:val="TableParagraph"/>
              <w:spacing w:before="57"/>
              <w:rPr>
                <w:sz w:val="21"/>
              </w:rPr>
            </w:pPr>
            <w:r>
              <w:rPr>
                <w:sz w:val="21"/>
              </w:rPr>
              <w:t>（二十六）多发性硬化症</w:t>
            </w:r>
          </w:p>
          <w:p>
            <w:pPr>
              <w:pStyle w:val="TableParagraph"/>
              <w:spacing w:line="280" w:lineRule="auto" w:before="44"/>
              <w:ind w:right="303"/>
              <w:jc w:val="both"/>
              <w:rPr>
                <w:sz w:val="21"/>
              </w:rPr>
            </w:pPr>
            <w:r>
              <w:rPr>
                <w:spacing w:val="-6"/>
                <w:sz w:val="21"/>
              </w:rPr>
              <w:t>指因中枢神经系统脱髓鞘而导致的不可逆的身体部位的功能障碍，需由神经专科医生提供确诊，并有计算机断层扫描（CT）或核磁共振（MRI）结果报告支持本诊断。此不可逆的身体部位功能障碍需持续 </w:t>
            </w:r>
            <w:r>
              <w:rPr>
                <w:sz w:val="21"/>
              </w:rPr>
              <w:t>180</w:t>
            </w:r>
            <w:r>
              <w:rPr>
                <w:spacing w:val="-9"/>
                <w:sz w:val="21"/>
              </w:rPr>
              <w:t> 天以上。</w:t>
            </w:r>
          </w:p>
          <w:p>
            <w:pPr>
              <w:pStyle w:val="TableParagraph"/>
              <w:spacing w:before="9"/>
              <w:jc w:val="both"/>
              <w:rPr>
                <w:sz w:val="21"/>
              </w:rPr>
            </w:pPr>
            <w:r>
              <w:rPr>
                <w:sz w:val="21"/>
              </w:rPr>
              <w:t>由神经专科医生提供确诊必须包含下列内容：</w:t>
            </w:r>
          </w:p>
          <w:p>
            <w:pPr>
              <w:pStyle w:val="TableParagraph"/>
              <w:spacing w:before="44"/>
              <w:jc w:val="both"/>
              <w:rPr>
                <w:sz w:val="21"/>
              </w:rPr>
            </w:pPr>
            <w:r>
              <w:rPr>
                <w:sz w:val="21"/>
              </w:rPr>
              <w:t>(1)明确出现因视神经、脑干或脊髓损伤而导致的临床表现；</w:t>
            </w:r>
          </w:p>
          <w:p>
            <w:pPr>
              <w:pStyle w:val="TableParagraph"/>
              <w:spacing w:before="46"/>
              <w:jc w:val="both"/>
              <w:rPr>
                <w:sz w:val="21"/>
              </w:rPr>
            </w:pPr>
            <w:r>
              <w:rPr>
                <w:sz w:val="21"/>
              </w:rPr>
              <w:t>(2)散在的身体损伤的多样性；</w:t>
            </w:r>
          </w:p>
          <w:p>
            <w:pPr>
              <w:pStyle w:val="TableParagraph"/>
              <w:spacing w:before="43"/>
              <w:jc w:val="both"/>
              <w:rPr>
                <w:sz w:val="21"/>
              </w:rPr>
            </w:pPr>
            <w:r>
              <w:rPr>
                <w:sz w:val="21"/>
              </w:rPr>
              <w:t>(3)有明确的上述症状及神经损伤反复恶化与减轻的病史记录。</w:t>
            </w:r>
          </w:p>
        </w:tc>
      </w:tr>
      <w:tr>
        <w:trPr>
          <w:trHeight w:val="4496" w:hRule="atLeast"/>
        </w:trPr>
        <w:tc>
          <w:tcPr>
            <w:tcW w:w="7378" w:type="dxa"/>
          </w:tcPr>
          <w:p>
            <w:pPr>
              <w:pStyle w:val="TableParagraph"/>
              <w:spacing w:before="57"/>
              <w:rPr>
                <w:sz w:val="21"/>
              </w:rPr>
            </w:pPr>
            <w:r>
              <w:rPr>
                <w:sz w:val="21"/>
              </w:rPr>
              <w:t>（二十七）严重狼疮性肾炎</w:t>
            </w:r>
          </w:p>
          <w:p>
            <w:pPr>
              <w:pStyle w:val="TableParagraph"/>
              <w:spacing w:line="278" w:lineRule="auto" w:before="44"/>
              <w:ind w:right="306"/>
              <w:jc w:val="both"/>
              <w:rPr>
                <w:sz w:val="21"/>
              </w:rPr>
            </w:pPr>
            <w:r>
              <w:rPr>
                <w:spacing w:val="-7"/>
                <w:sz w:val="21"/>
              </w:rPr>
              <w:t>狼疮性肾炎是系统性红斑狼疮的一种并发症。系统性红斑狼疮是由多种因素</w:t>
            </w:r>
            <w:r>
              <w:rPr>
                <w:spacing w:val="-10"/>
                <w:sz w:val="21"/>
              </w:rPr>
              <w:t>引起，累及多系统的自身免疫性疾病，其特点是生成自身抗体对抗多种自身</w:t>
            </w:r>
            <w:r>
              <w:rPr>
                <w:spacing w:val="-12"/>
                <w:sz w:val="21"/>
              </w:rPr>
              <w:t>抗原。狼疮性肾炎是指系统性红斑狼疮患者并发狼疮性肾炎而影响和损害肾</w:t>
            </w:r>
            <w:r>
              <w:rPr>
                <w:spacing w:val="-3"/>
                <w:sz w:val="21"/>
              </w:rPr>
              <w:t>脏功能。世界卫生组织</w:t>
            </w:r>
            <w:r>
              <w:rPr>
                <w:spacing w:val="-1"/>
                <w:sz w:val="21"/>
              </w:rPr>
              <w:t>（WHO）</w:t>
            </w:r>
            <w:r>
              <w:rPr>
                <w:spacing w:val="-3"/>
                <w:sz w:val="21"/>
              </w:rPr>
              <w:t>对狼疮性肾炎分型如下：</w:t>
            </w:r>
          </w:p>
          <w:p>
            <w:pPr>
              <w:pStyle w:val="TableParagraph"/>
              <w:numPr>
                <w:ilvl w:val="0"/>
                <w:numId w:val="5"/>
              </w:numPr>
              <w:tabs>
                <w:tab w:pos="359" w:val="left" w:leader="none"/>
              </w:tabs>
              <w:spacing w:line="240" w:lineRule="auto" w:before="11" w:after="0"/>
              <w:ind w:left="359" w:right="0" w:hanging="159"/>
              <w:jc w:val="both"/>
              <w:rPr>
                <w:sz w:val="21"/>
              </w:rPr>
            </w:pPr>
            <w:r>
              <w:rPr>
                <w:w w:val="100"/>
                <w:sz w:val="21"/>
              </w:rPr>
              <w:t>型</w:t>
            </w:r>
            <w:r>
              <w:rPr>
                <w:spacing w:val="-3"/>
                <w:w w:val="100"/>
                <w:sz w:val="21"/>
              </w:rPr>
              <w:t>（微小病变型</w:t>
            </w:r>
            <w:r>
              <w:rPr>
                <w:spacing w:val="-108"/>
                <w:w w:val="100"/>
                <w:sz w:val="21"/>
              </w:rPr>
              <w:t>）</w:t>
            </w:r>
            <w:r>
              <w:rPr>
                <w:spacing w:val="-3"/>
                <w:w w:val="100"/>
                <w:sz w:val="21"/>
              </w:rPr>
              <w:t>：镜下阴性，尿液正常</w:t>
            </w:r>
          </w:p>
          <w:p>
            <w:pPr>
              <w:pStyle w:val="TableParagraph"/>
              <w:numPr>
                <w:ilvl w:val="0"/>
                <w:numId w:val="5"/>
              </w:numPr>
              <w:tabs>
                <w:tab w:pos="465" w:val="left" w:leader="none"/>
              </w:tabs>
              <w:spacing w:line="240" w:lineRule="auto" w:before="47" w:after="0"/>
              <w:ind w:left="464" w:right="0" w:hanging="264"/>
              <w:jc w:val="both"/>
              <w:rPr>
                <w:sz w:val="21"/>
              </w:rPr>
            </w:pPr>
            <w:r>
              <w:rPr>
                <w:spacing w:val="-3"/>
                <w:w w:val="100"/>
                <w:sz w:val="21"/>
              </w:rPr>
              <w:t>型</w:t>
            </w:r>
            <w:r>
              <w:rPr>
                <w:w w:val="100"/>
                <w:sz w:val="21"/>
              </w:rPr>
              <w:t>（</w:t>
            </w:r>
            <w:r>
              <w:rPr>
                <w:spacing w:val="-3"/>
                <w:w w:val="100"/>
                <w:sz w:val="21"/>
              </w:rPr>
              <w:t>系膜病变型</w:t>
            </w:r>
            <w:r>
              <w:rPr>
                <w:spacing w:val="-108"/>
                <w:w w:val="100"/>
                <w:sz w:val="21"/>
              </w:rPr>
              <w:t>）</w:t>
            </w:r>
            <w:r>
              <w:rPr>
                <w:w w:val="100"/>
                <w:sz w:val="21"/>
              </w:rPr>
              <w:t>：</w:t>
            </w:r>
            <w:r>
              <w:rPr>
                <w:spacing w:val="-3"/>
                <w:sz w:val="21"/>
              </w:rPr>
              <w:t> </w:t>
            </w:r>
            <w:r>
              <w:rPr>
                <w:spacing w:val="-3"/>
                <w:w w:val="100"/>
                <w:sz w:val="21"/>
              </w:rPr>
              <w:t>中度蛋白尿，偶有尿沉渣改变</w:t>
            </w:r>
          </w:p>
          <w:p>
            <w:pPr>
              <w:pStyle w:val="TableParagraph"/>
              <w:numPr>
                <w:ilvl w:val="0"/>
                <w:numId w:val="5"/>
              </w:numPr>
              <w:tabs>
                <w:tab w:pos="571" w:val="left" w:leader="none"/>
              </w:tabs>
              <w:spacing w:line="240" w:lineRule="auto" w:before="44" w:after="0"/>
              <w:ind w:left="570" w:right="0" w:hanging="370"/>
              <w:jc w:val="both"/>
              <w:rPr>
                <w:sz w:val="21"/>
              </w:rPr>
            </w:pPr>
            <w:r>
              <w:rPr>
                <w:spacing w:val="-3"/>
                <w:w w:val="100"/>
                <w:sz w:val="21"/>
              </w:rPr>
              <w:t>型(局灶及节段增生型</w:t>
            </w:r>
            <w:r>
              <w:rPr>
                <w:spacing w:val="-106"/>
                <w:w w:val="100"/>
                <w:sz w:val="21"/>
              </w:rPr>
              <w:t>）</w:t>
            </w:r>
            <w:r>
              <w:rPr>
                <w:w w:val="100"/>
                <w:sz w:val="21"/>
              </w:rPr>
              <w:t>：</w:t>
            </w:r>
            <w:r>
              <w:rPr>
                <w:sz w:val="21"/>
              </w:rPr>
              <w:t> </w:t>
            </w:r>
            <w:r>
              <w:rPr>
                <w:spacing w:val="-3"/>
                <w:w w:val="100"/>
                <w:sz w:val="21"/>
              </w:rPr>
              <w:t>蛋白尿，尿沉渣改变</w:t>
            </w:r>
          </w:p>
          <w:p>
            <w:pPr>
              <w:pStyle w:val="TableParagraph"/>
              <w:numPr>
                <w:ilvl w:val="0"/>
                <w:numId w:val="5"/>
              </w:numPr>
              <w:tabs>
                <w:tab w:pos="465" w:val="left" w:leader="none"/>
              </w:tabs>
              <w:spacing w:line="240" w:lineRule="auto" w:before="44" w:after="0"/>
              <w:ind w:left="464" w:right="0" w:hanging="264"/>
              <w:jc w:val="both"/>
              <w:rPr>
                <w:sz w:val="21"/>
              </w:rPr>
            </w:pPr>
            <w:r>
              <w:rPr>
                <w:spacing w:val="-3"/>
                <w:w w:val="100"/>
                <w:sz w:val="21"/>
              </w:rPr>
              <w:t>型</w:t>
            </w:r>
            <w:r>
              <w:rPr>
                <w:w w:val="100"/>
                <w:sz w:val="21"/>
              </w:rPr>
              <w:t>（</w:t>
            </w:r>
            <w:r>
              <w:rPr>
                <w:spacing w:val="-3"/>
                <w:w w:val="100"/>
                <w:sz w:val="21"/>
              </w:rPr>
              <w:t>弥漫增生型</w:t>
            </w:r>
            <w:r>
              <w:rPr>
                <w:spacing w:val="-108"/>
                <w:w w:val="100"/>
                <w:sz w:val="21"/>
              </w:rPr>
              <w:t>）</w:t>
            </w:r>
            <w:r>
              <w:rPr>
                <w:w w:val="100"/>
                <w:sz w:val="21"/>
              </w:rPr>
              <w:t>：</w:t>
            </w:r>
            <w:r>
              <w:rPr>
                <w:spacing w:val="-3"/>
                <w:sz w:val="21"/>
              </w:rPr>
              <w:t> </w:t>
            </w:r>
            <w:r>
              <w:rPr>
                <w:spacing w:val="-3"/>
                <w:w w:val="100"/>
                <w:sz w:val="21"/>
              </w:rPr>
              <w:t>急性肾炎伴有尿沉渣改变及／或肾病综合征</w:t>
            </w:r>
          </w:p>
          <w:p>
            <w:pPr>
              <w:pStyle w:val="TableParagraph"/>
              <w:numPr>
                <w:ilvl w:val="0"/>
                <w:numId w:val="5"/>
              </w:numPr>
              <w:tabs>
                <w:tab w:pos="359" w:val="left" w:leader="none"/>
              </w:tabs>
              <w:spacing w:line="240" w:lineRule="auto" w:before="46" w:after="0"/>
              <w:ind w:left="359" w:right="0" w:hanging="159"/>
              <w:jc w:val="both"/>
              <w:rPr>
                <w:sz w:val="21"/>
              </w:rPr>
            </w:pPr>
            <w:r>
              <w:rPr>
                <w:w w:val="100"/>
                <w:sz w:val="21"/>
              </w:rPr>
              <w:t>型</w:t>
            </w:r>
            <w:r>
              <w:rPr>
                <w:spacing w:val="-3"/>
                <w:w w:val="100"/>
                <w:sz w:val="21"/>
              </w:rPr>
              <w:t>（</w:t>
            </w:r>
            <w:r>
              <w:rPr>
                <w:spacing w:val="-2"/>
                <w:w w:val="100"/>
                <w:sz w:val="21"/>
              </w:rPr>
              <w:t>膜型</w:t>
            </w:r>
            <w:r>
              <w:rPr>
                <w:spacing w:val="-106"/>
                <w:w w:val="100"/>
                <w:sz w:val="21"/>
              </w:rPr>
              <w:t>）</w:t>
            </w:r>
            <w:r>
              <w:rPr>
                <w:spacing w:val="-3"/>
                <w:w w:val="100"/>
                <w:sz w:val="21"/>
              </w:rPr>
              <w:t>：肾病综合征或重度蛋白尿</w:t>
            </w:r>
          </w:p>
          <w:p>
            <w:pPr>
              <w:pStyle w:val="TableParagraph"/>
              <w:spacing w:before="44"/>
              <w:jc w:val="both"/>
              <w:rPr>
                <w:sz w:val="21"/>
              </w:rPr>
            </w:pPr>
            <w:r>
              <w:rPr>
                <w:w w:val="100"/>
                <w:sz w:val="21"/>
              </w:rPr>
              <w:t>Ⅵ型</w:t>
            </w:r>
            <w:r>
              <w:rPr>
                <w:spacing w:val="-3"/>
                <w:w w:val="100"/>
                <w:sz w:val="21"/>
              </w:rPr>
              <w:t>（肾小球硬化型</w:t>
            </w:r>
            <w:r>
              <w:rPr>
                <w:spacing w:val="-106"/>
                <w:w w:val="100"/>
                <w:sz w:val="21"/>
              </w:rPr>
              <w:t>）</w:t>
            </w:r>
            <w:r>
              <w:rPr>
                <w:spacing w:val="-3"/>
                <w:w w:val="100"/>
                <w:sz w:val="21"/>
              </w:rPr>
              <w:t>：肾小球硬化成纤维团状，肾功能差，无法恢复</w:t>
            </w:r>
          </w:p>
          <w:p>
            <w:pPr>
              <w:pStyle w:val="TableParagraph"/>
              <w:spacing w:before="44"/>
              <w:jc w:val="both"/>
              <w:rPr>
                <w:sz w:val="21"/>
              </w:rPr>
            </w:pPr>
            <w:r>
              <w:rPr>
                <w:sz w:val="21"/>
              </w:rPr>
              <w:t>严重狼疮性肾炎是指经肾脏活检确认的，符合 WHO 诊断标准定义 III 型、IV</w:t>
            </w:r>
          </w:p>
          <w:p>
            <w:pPr>
              <w:pStyle w:val="TableParagraph"/>
              <w:spacing w:line="320" w:lineRule="atLeast" w:before="1"/>
              <w:ind w:right="197"/>
              <w:rPr>
                <w:sz w:val="21"/>
              </w:rPr>
            </w:pPr>
            <w:r>
              <w:rPr>
                <w:spacing w:val="-17"/>
                <w:sz w:val="21"/>
              </w:rPr>
              <w:t>型、</w:t>
            </w:r>
            <w:r>
              <w:rPr>
                <w:sz w:val="21"/>
              </w:rPr>
              <w:t>V</w:t>
            </w:r>
            <w:r>
              <w:rPr>
                <w:spacing w:val="-10"/>
                <w:sz w:val="21"/>
              </w:rPr>
              <w:t> 型和Ⅵ型的狼疮性肾炎,且肌酐清除率持续低于 </w:t>
            </w:r>
            <w:r>
              <w:rPr>
                <w:sz w:val="21"/>
              </w:rPr>
              <w:t>30ml/</w:t>
            </w:r>
            <w:r>
              <w:rPr>
                <w:spacing w:val="-19"/>
                <w:sz w:val="21"/>
              </w:rPr>
              <w:t>分。</w:t>
            </w:r>
            <w:r>
              <w:rPr>
                <w:spacing w:val="-3"/>
                <w:sz w:val="21"/>
                <w:shd w:fill="A6A6A6" w:color="auto" w:val="clear"/>
              </w:rPr>
              <w:t>其他类型的</w:t>
            </w:r>
            <w:r>
              <w:rPr>
                <w:spacing w:val="-19"/>
                <w:sz w:val="21"/>
                <w:shd w:fill="A6A6A6" w:color="auto" w:val="clear"/>
              </w:rPr>
              <w:t>红斑性狼疮，如盘状狼疮、仅累及血液及关节的狼疮不在本合同保障范围</w:t>
            </w:r>
            <w:r>
              <w:rPr>
                <w:rFonts w:ascii="宋体" w:hAnsi="宋体" w:eastAsia="宋体" w:hint="eastAsia"/>
                <w:sz w:val="21"/>
                <w:shd w:fill="A6A6A6" w:color="auto" w:val="clear"/>
              </w:rPr>
              <w:t>內</w:t>
            </w:r>
            <w:r>
              <w:rPr>
                <w:sz w:val="21"/>
              </w:rPr>
              <w:t>。</w:t>
            </w:r>
          </w:p>
        </w:tc>
      </w:tr>
    </w:tbl>
    <w:p>
      <w:pPr>
        <w:spacing w:after="0" w:line="320" w:lineRule="atLeast"/>
        <w:rPr>
          <w:sz w:val="21"/>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6"/>
      </w:tblGrid>
      <w:tr>
        <w:trPr>
          <w:trHeight w:val="336" w:hRule="atLeast"/>
        </w:trPr>
        <w:tc>
          <w:tcPr>
            <w:tcW w:w="7376" w:type="dxa"/>
          </w:tcPr>
          <w:p>
            <w:pPr>
              <w:pStyle w:val="TableParagraph"/>
              <w:spacing w:line="206" w:lineRule="exact"/>
              <w:rPr>
                <w:sz w:val="21"/>
              </w:rPr>
            </w:pPr>
            <w:r>
              <w:rPr>
                <w:sz w:val="21"/>
              </w:rPr>
              <w:t>本病必须由免疫和风湿科专科医生确诊。</w:t>
            </w:r>
          </w:p>
        </w:tc>
      </w:tr>
      <w:tr>
        <w:trPr>
          <w:trHeight w:val="2382" w:hRule="atLeast"/>
        </w:trPr>
        <w:tc>
          <w:tcPr>
            <w:tcW w:w="7376" w:type="dxa"/>
          </w:tcPr>
          <w:p>
            <w:pPr>
              <w:pStyle w:val="TableParagraph"/>
              <w:spacing w:before="56"/>
              <w:rPr>
                <w:sz w:val="21"/>
              </w:rPr>
            </w:pPr>
            <w:r>
              <w:rPr>
                <w:sz w:val="21"/>
              </w:rPr>
              <w:t>（二十八）严重哮喘</w:t>
            </w:r>
          </w:p>
          <w:p>
            <w:pPr>
              <w:pStyle w:val="TableParagraph"/>
              <w:spacing w:line="278" w:lineRule="auto" w:before="46"/>
              <w:ind w:right="241"/>
              <w:rPr>
                <w:sz w:val="21"/>
              </w:rPr>
            </w:pPr>
            <w:r>
              <w:rPr>
                <w:sz w:val="21"/>
              </w:rPr>
              <w:t>被保险人必须在过去两年内曾发生哮喘持续状态住院治疗，并符合以下其中两项标准，本公司才承担保险责任：</w:t>
            </w:r>
          </w:p>
          <w:p>
            <w:pPr>
              <w:pStyle w:val="TableParagraph"/>
              <w:numPr>
                <w:ilvl w:val="0"/>
                <w:numId w:val="6"/>
              </w:numPr>
              <w:tabs>
                <w:tab w:pos="623" w:val="left" w:leader="none"/>
              </w:tabs>
              <w:spacing w:line="240" w:lineRule="auto" w:before="10" w:after="0"/>
              <w:ind w:left="623" w:right="0" w:hanging="423"/>
              <w:jc w:val="left"/>
              <w:rPr>
                <w:sz w:val="21"/>
              </w:rPr>
            </w:pPr>
            <w:r>
              <w:rPr>
                <w:spacing w:val="-3"/>
                <w:sz w:val="21"/>
              </w:rPr>
              <w:t>运动耐受力永久并持续地减少并且轻微的运动能引起气促；</w:t>
            </w:r>
          </w:p>
          <w:p>
            <w:pPr>
              <w:pStyle w:val="TableParagraph"/>
              <w:numPr>
                <w:ilvl w:val="0"/>
                <w:numId w:val="6"/>
              </w:numPr>
              <w:tabs>
                <w:tab w:pos="623" w:val="left" w:leader="none"/>
              </w:tabs>
              <w:spacing w:line="240" w:lineRule="auto" w:before="46" w:after="0"/>
              <w:ind w:left="623" w:right="0" w:hanging="423"/>
              <w:jc w:val="left"/>
              <w:rPr>
                <w:sz w:val="21"/>
              </w:rPr>
            </w:pPr>
            <w:r>
              <w:rPr>
                <w:spacing w:val="-3"/>
                <w:sz w:val="21"/>
              </w:rPr>
              <w:t>长期胸腔过度膨胀而导致胸腔畸形；</w:t>
            </w:r>
          </w:p>
          <w:p>
            <w:pPr>
              <w:pStyle w:val="TableParagraph"/>
              <w:numPr>
                <w:ilvl w:val="0"/>
                <w:numId w:val="6"/>
              </w:numPr>
              <w:tabs>
                <w:tab w:pos="623" w:val="left" w:leader="none"/>
              </w:tabs>
              <w:spacing w:line="240" w:lineRule="auto" w:before="44" w:after="0"/>
              <w:ind w:left="623" w:right="0" w:hanging="423"/>
              <w:jc w:val="left"/>
              <w:rPr>
                <w:sz w:val="21"/>
              </w:rPr>
            </w:pPr>
            <w:r>
              <w:rPr>
                <w:spacing w:val="-3"/>
                <w:sz w:val="21"/>
              </w:rPr>
              <w:t>在家及在静息状态下需要吸氧；</w:t>
            </w:r>
          </w:p>
          <w:p>
            <w:pPr>
              <w:pStyle w:val="TableParagraph"/>
              <w:numPr>
                <w:ilvl w:val="0"/>
                <w:numId w:val="6"/>
              </w:numPr>
              <w:tabs>
                <w:tab w:pos="623" w:val="left" w:leader="none"/>
              </w:tabs>
              <w:spacing w:line="240" w:lineRule="auto" w:before="44" w:after="0"/>
              <w:ind w:left="623" w:right="0" w:hanging="423"/>
              <w:jc w:val="left"/>
              <w:rPr>
                <w:sz w:val="21"/>
              </w:rPr>
            </w:pPr>
            <w:r>
              <w:rPr>
                <w:spacing w:val="-3"/>
                <w:sz w:val="21"/>
              </w:rPr>
              <w:t>持续的每天服用类固醇药物(至少持续六个月以上)。</w:t>
            </w:r>
          </w:p>
        </w:tc>
      </w:tr>
      <w:tr>
        <w:trPr>
          <w:trHeight w:val="2703" w:hRule="atLeast"/>
        </w:trPr>
        <w:tc>
          <w:tcPr>
            <w:tcW w:w="7376" w:type="dxa"/>
          </w:tcPr>
          <w:p>
            <w:pPr>
              <w:pStyle w:val="TableParagraph"/>
              <w:spacing w:before="57"/>
              <w:rPr>
                <w:sz w:val="21"/>
              </w:rPr>
            </w:pPr>
            <w:r>
              <w:rPr>
                <w:sz w:val="21"/>
              </w:rPr>
              <w:t>（二十九）严重的Ｉ型糖尿病</w:t>
            </w:r>
          </w:p>
          <w:p>
            <w:pPr>
              <w:pStyle w:val="TableParagraph"/>
              <w:spacing w:line="280" w:lineRule="auto" w:before="44"/>
              <w:ind w:right="301"/>
              <w:jc w:val="both"/>
              <w:rPr>
                <w:sz w:val="21"/>
              </w:rPr>
            </w:pPr>
            <w:r>
              <w:rPr>
                <w:spacing w:val="-6"/>
                <w:sz w:val="21"/>
              </w:rPr>
              <w:t>严重的Ｉ型糖尿病为由于胰岛素分泌绝对不足引起的慢性血糖升高，且已经持续性地依赖外源性胰岛素维持 </w:t>
            </w:r>
            <w:r>
              <w:rPr>
                <w:sz w:val="21"/>
              </w:rPr>
              <w:t>180</w:t>
            </w:r>
            <w:r>
              <w:rPr>
                <w:spacing w:val="-5"/>
                <w:sz w:val="21"/>
              </w:rPr>
              <w:t> 天以上。须经血胰岛素测定、血 </w:t>
            </w:r>
            <w:r>
              <w:rPr>
                <w:sz w:val="21"/>
              </w:rPr>
              <w:t>C</w:t>
            </w:r>
            <w:r>
              <w:rPr>
                <w:spacing w:val="2"/>
                <w:sz w:val="21"/>
              </w:rPr>
              <w:t> 肽</w:t>
            </w:r>
            <w:r>
              <w:rPr>
                <w:spacing w:val="5"/>
                <w:sz w:val="21"/>
              </w:rPr>
              <w:t>测定或尿 </w:t>
            </w:r>
            <w:r>
              <w:rPr>
                <w:sz w:val="21"/>
              </w:rPr>
              <w:t>C 肽测定，结果异常，并由内分泌科专科医生明确诊断。并须在</w:t>
            </w:r>
            <w:r>
              <w:rPr>
                <w:spacing w:val="-6"/>
                <w:sz w:val="21"/>
              </w:rPr>
              <w:t>本附加险合同有效期内，满足下述至少 </w:t>
            </w:r>
            <w:r>
              <w:rPr>
                <w:sz w:val="21"/>
              </w:rPr>
              <w:t>1 个条件：</w:t>
            </w:r>
          </w:p>
          <w:p>
            <w:pPr>
              <w:pStyle w:val="TableParagraph"/>
              <w:spacing w:before="11"/>
              <w:jc w:val="both"/>
              <w:rPr>
                <w:sz w:val="21"/>
              </w:rPr>
            </w:pPr>
            <w:r>
              <w:rPr>
                <w:sz w:val="21"/>
              </w:rPr>
              <w:t>(1)已出现增殖性视网膜病变；</w:t>
            </w:r>
          </w:p>
          <w:p>
            <w:pPr>
              <w:pStyle w:val="TableParagraph"/>
              <w:spacing w:before="44"/>
              <w:jc w:val="both"/>
              <w:rPr>
                <w:sz w:val="21"/>
              </w:rPr>
            </w:pPr>
            <w:r>
              <w:rPr>
                <w:sz w:val="21"/>
              </w:rPr>
              <w:t>(2) 因严重心律失常已植入心脏起搏器进行治疗；</w:t>
            </w:r>
          </w:p>
          <w:p>
            <w:pPr>
              <w:pStyle w:val="TableParagraph"/>
              <w:spacing w:before="44"/>
              <w:jc w:val="both"/>
              <w:rPr>
                <w:sz w:val="21"/>
              </w:rPr>
            </w:pPr>
            <w:r>
              <w:rPr>
                <w:sz w:val="21"/>
              </w:rPr>
              <w:t>(3)因坏疽需切除至少一个脚趾。</w:t>
            </w:r>
          </w:p>
        </w:tc>
      </w:tr>
      <w:tr>
        <w:trPr>
          <w:trHeight w:val="2382" w:hRule="atLeast"/>
        </w:trPr>
        <w:tc>
          <w:tcPr>
            <w:tcW w:w="7376" w:type="dxa"/>
          </w:tcPr>
          <w:p>
            <w:pPr>
              <w:pStyle w:val="TableParagraph"/>
              <w:spacing w:before="57"/>
              <w:rPr>
                <w:sz w:val="21"/>
              </w:rPr>
            </w:pPr>
            <w:r>
              <w:rPr>
                <w:sz w:val="21"/>
              </w:rPr>
              <w:t>（三十）植物人状态</w:t>
            </w:r>
          </w:p>
          <w:p>
            <w:pPr>
              <w:pStyle w:val="TableParagraph"/>
              <w:spacing w:line="278" w:lineRule="auto" w:before="44"/>
              <w:ind w:right="301"/>
              <w:jc w:val="both"/>
              <w:rPr>
                <w:sz w:val="21"/>
              </w:rPr>
            </w:pPr>
            <w:r>
              <w:rPr>
                <w:spacing w:val="-8"/>
                <w:sz w:val="21"/>
              </w:rPr>
              <w:t>一种丧失生理、意识和交流功能后的临床依赖状态。可以是由脑外伤、缺氧</w:t>
            </w:r>
            <w:r>
              <w:rPr>
                <w:spacing w:val="-11"/>
                <w:sz w:val="21"/>
              </w:rPr>
              <w:t>持续状态、严重的脑炎或某种神经毒素造成。患者无法从事主动或有目的的</w:t>
            </w:r>
            <w:r>
              <w:rPr>
                <w:spacing w:val="-10"/>
                <w:sz w:val="21"/>
              </w:rPr>
              <w:t>活动，而只能对疼痛刺激产生反应。被保险人需要在我们认可的医疗机构使</w:t>
            </w:r>
            <w:r>
              <w:rPr>
                <w:spacing w:val="-12"/>
                <w:sz w:val="21"/>
              </w:rPr>
              <w:t>用辅助机器维持生命。申请理赔需被保险人因植物人状态住院 </w:t>
            </w:r>
            <w:r>
              <w:rPr>
                <w:sz w:val="21"/>
              </w:rPr>
              <w:t>180</w:t>
            </w:r>
            <w:r>
              <w:rPr>
                <w:spacing w:val="-10"/>
                <w:sz w:val="21"/>
              </w:rPr>
              <w:t> 天以上并</w:t>
            </w:r>
            <w:r>
              <w:rPr>
                <w:spacing w:val="-5"/>
                <w:sz w:val="21"/>
              </w:rPr>
              <w:t>且必须有神经专科医生的医学诊断证明。</w:t>
            </w:r>
          </w:p>
          <w:p>
            <w:pPr>
              <w:pStyle w:val="TableParagraph"/>
              <w:spacing w:before="13"/>
              <w:jc w:val="both"/>
              <w:rPr>
                <w:sz w:val="21"/>
              </w:rPr>
            </w:pPr>
            <w:r>
              <w:rPr>
                <w:sz w:val="21"/>
                <w:shd w:fill="A6A6A6" w:color="auto" w:val="clear"/>
              </w:rPr>
              <w:t>由于酗酒或滥用药物所致的植物人状态除外。</w:t>
            </w:r>
          </w:p>
        </w:tc>
      </w:tr>
      <w:tr>
        <w:trPr>
          <w:trHeight w:val="2702" w:hRule="atLeast"/>
        </w:trPr>
        <w:tc>
          <w:tcPr>
            <w:tcW w:w="7376" w:type="dxa"/>
          </w:tcPr>
          <w:p>
            <w:pPr>
              <w:pStyle w:val="TableParagraph"/>
              <w:spacing w:before="56"/>
              <w:rPr>
                <w:sz w:val="21"/>
              </w:rPr>
            </w:pPr>
            <w:r>
              <w:rPr>
                <w:sz w:val="21"/>
              </w:rPr>
              <w:t>（三十一）严重慢性呼吸功能衰竭</w:t>
            </w:r>
          </w:p>
          <w:p>
            <w:pPr>
              <w:pStyle w:val="TableParagraph"/>
              <w:spacing w:line="278" w:lineRule="auto" w:before="46"/>
              <w:ind w:right="241"/>
              <w:rPr>
                <w:sz w:val="21"/>
              </w:rPr>
            </w:pPr>
            <w:r>
              <w:rPr>
                <w:sz w:val="21"/>
              </w:rPr>
              <w:t>指因慢性呼吸系统疾病导致永久不可逆性的慢性呼吸功能衰竭，且诊断必须满足以下所有条件：</w:t>
            </w:r>
          </w:p>
          <w:p>
            <w:pPr>
              <w:pStyle w:val="TableParagraph"/>
              <w:spacing w:before="10"/>
              <w:rPr>
                <w:sz w:val="21"/>
              </w:rPr>
            </w:pPr>
            <w:r>
              <w:rPr>
                <w:sz w:val="21"/>
              </w:rPr>
              <w:t>(1)第一秒末用力呼气量（FEV1）小于 1 升；</w:t>
            </w:r>
          </w:p>
          <w:p>
            <w:pPr>
              <w:pStyle w:val="TableParagraph"/>
              <w:spacing w:before="46"/>
              <w:rPr>
                <w:sz w:val="21"/>
              </w:rPr>
            </w:pPr>
            <w:r>
              <w:rPr>
                <w:sz w:val="21"/>
              </w:rPr>
              <w:t>(2)气道内阻力增加，至少达到 0.5 kPa/l/s；</w:t>
            </w:r>
          </w:p>
          <w:p>
            <w:pPr>
              <w:pStyle w:val="TableParagraph"/>
              <w:spacing w:before="44"/>
              <w:rPr>
                <w:sz w:val="21"/>
              </w:rPr>
            </w:pPr>
            <w:r>
              <w:rPr>
                <w:spacing w:val="-1"/>
                <w:sz w:val="21"/>
              </w:rPr>
              <w:t>(3)</w:t>
            </w:r>
            <w:r>
              <w:rPr>
                <w:spacing w:val="-3"/>
                <w:sz w:val="21"/>
              </w:rPr>
              <w:t>残</w:t>
            </w:r>
            <w:r>
              <w:rPr>
                <w:spacing w:val="-1"/>
                <w:sz w:val="21"/>
              </w:rPr>
              <w:t>气</w:t>
            </w:r>
            <w:r>
              <w:rPr>
                <w:spacing w:val="-3"/>
                <w:sz w:val="21"/>
              </w:rPr>
              <w:t>容</w:t>
            </w:r>
            <w:r>
              <w:rPr>
                <w:spacing w:val="-1"/>
                <w:sz w:val="21"/>
              </w:rPr>
              <w:t>积</w:t>
            </w:r>
            <w:r>
              <w:rPr>
                <w:spacing w:val="-3"/>
                <w:sz w:val="21"/>
              </w:rPr>
              <w:t>占</w:t>
            </w:r>
            <w:r>
              <w:rPr>
                <w:spacing w:val="-1"/>
                <w:sz w:val="21"/>
              </w:rPr>
              <w:t>肺</w:t>
            </w:r>
            <w:r>
              <w:rPr>
                <w:spacing w:val="-3"/>
                <w:sz w:val="21"/>
              </w:rPr>
              <w:t>总</w:t>
            </w:r>
            <w:r>
              <w:rPr>
                <w:spacing w:val="-1"/>
                <w:sz w:val="21"/>
              </w:rPr>
              <w:t>量(TLC)</w:t>
            </w:r>
            <w:r>
              <w:rPr>
                <w:sz w:val="21"/>
              </w:rPr>
              <w:t>的</w:t>
            </w:r>
            <w:r>
              <w:rPr>
                <w:spacing w:val="-33"/>
                <w:sz w:val="21"/>
              </w:rPr>
              <w:t> </w:t>
            </w:r>
            <w:r>
              <w:rPr>
                <w:spacing w:val="-3"/>
                <w:w w:val="100"/>
                <w:sz w:val="21"/>
              </w:rPr>
              <w:drawing>
                <wp:inline distT="0" distB="0" distL="0" distR="0">
                  <wp:extent cx="62864" cy="94297"/>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pacing w:val="-3"/>
                <w:sz w:val="21"/>
              </w:rPr>
              <w:t>以</w:t>
            </w:r>
            <w:r>
              <w:rPr>
                <w:sz w:val="21"/>
              </w:rPr>
              <w:t>上；</w:t>
            </w:r>
          </w:p>
          <w:p>
            <w:pPr>
              <w:pStyle w:val="TableParagraph"/>
              <w:spacing w:before="44"/>
              <w:rPr>
                <w:sz w:val="21"/>
              </w:rPr>
            </w:pPr>
            <w:r>
              <w:rPr>
                <w:sz w:val="21"/>
              </w:rPr>
              <w:t>(4)胸内气体容积升高，超过 170 (基值的百分比)；</w:t>
            </w:r>
          </w:p>
          <w:p>
            <w:pPr>
              <w:pStyle w:val="TableParagraph"/>
              <w:spacing w:before="46"/>
              <w:rPr>
                <w:sz w:val="21"/>
              </w:rPr>
            </w:pPr>
            <w:r>
              <w:rPr>
                <w:sz w:val="21"/>
              </w:rPr>
              <w:t>(5) PaO2&lt;60mmHg，PaCO2&gt;50mmHg。</w:t>
            </w:r>
          </w:p>
        </w:tc>
      </w:tr>
      <w:tr>
        <w:trPr>
          <w:trHeight w:val="2701" w:hRule="atLeast"/>
        </w:trPr>
        <w:tc>
          <w:tcPr>
            <w:tcW w:w="7376" w:type="dxa"/>
          </w:tcPr>
          <w:p>
            <w:pPr>
              <w:pStyle w:val="TableParagraph"/>
              <w:spacing w:before="56"/>
              <w:rPr>
                <w:sz w:val="21"/>
              </w:rPr>
            </w:pPr>
            <w:r>
              <w:rPr>
                <w:sz w:val="21"/>
              </w:rPr>
              <w:t>（三十二）严重原发性心肌病</w:t>
            </w:r>
          </w:p>
          <w:p>
            <w:pPr>
              <w:pStyle w:val="TableParagraph"/>
              <w:spacing w:line="280" w:lineRule="auto" w:before="44"/>
              <w:ind w:right="198"/>
              <w:rPr>
                <w:sz w:val="21"/>
              </w:rPr>
            </w:pPr>
            <w:r>
              <w:rPr>
                <w:spacing w:val="-7"/>
                <w:sz w:val="21"/>
              </w:rPr>
              <w:t>指不明原因引起的一类心肌病变，包括原发性扩张型心肌病、原发性肥厚型</w:t>
            </w:r>
            <w:r>
              <w:rPr>
                <w:spacing w:val="-9"/>
                <w:sz w:val="21"/>
              </w:rPr>
              <w:t>心肌病及原发性限制型心肌病三种，病变必须已造成事实上心室功能障碍而</w:t>
            </w:r>
            <w:r>
              <w:rPr>
                <w:spacing w:val="-11"/>
                <w:w w:val="100"/>
                <w:sz w:val="21"/>
              </w:rPr>
              <w:t>出现明显的心功能衰竭</w:t>
            </w:r>
            <w:r>
              <w:rPr>
                <w:spacing w:val="-3"/>
                <w:w w:val="100"/>
                <w:sz w:val="21"/>
              </w:rPr>
              <w:t>（美国纽约心脏协会心功能分类标准心功能达四级</w:t>
            </w:r>
            <w:r>
              <w:rPr>
                <w:spacing w:val="-106"/>
                <w:w w:val="100"/>
                <w:sz w:val="21"/>
              </w:rPr>
              <w:t>）</w:t>
            </w:r>
            <w:r>
              <w:rPr>
                <w:w w:val="100"/>
                <w:sz w:val="21"/>
              </w:rPr>
              <w:t>，</w:t>
            </w:r>
            <w:r>
              <w:rPr>
                <w:spacing w:val="-5"/>
                <w:sz w:val="21"/>
              </w:rPr>
              <w:t>且有相关住院医疗记录显示四级心功能衰竭状态持续至少 </w:t>
            </w:r>
            <w:r>
              <w:rPr>
                <w:sz w:val="21"/>
              </w:rPr>
              <w:t>180</w:t>
            </w:r>
            <w:r>
              <w:rPr>
                <w:spacing w:val="-14"/>
                <w:sz w:val="21"/>
              </w:rPr>
              <w:t> 天。</w:t>
            </w:r>
          </w:p>
          <w:p>
            <w:pPr>
              <w:pStyle w:val="TableParagraph"/>
              <w:spacing w:line="278" w:lineRule="auto" w:before="11"/>
              <w:ind w:right="312"/>
              <w:rPr>
                <w:sz w:val="21"/>
              </w:rPr>
            </w:pPr>
            <w:r>
              <w:rPr>
                <w:spacing w:val="-3"/>
                <w:sz w:val="21"/>
                <w:shd w:fill="A6A6A6" w:color="auto" w:val="clear"/>
              </w:rPr>
              <w:t>继发于全身性疾病或其它器官系统疾病造成的心肌病变不在保障范围内。</w:t>
            </w:r>
            <w:r>
              <w:rPr>
                <w:sz w:val="21"/>
              </w:rPr>
              <w:t>美国纽约心脏协会分类标准心功能四级是指有医院的医疗记录显示病人不</w:t>
            </w:r>
            <w:r>
              <w:rPr>
                <w:spacing w:val="-3"/>
                <w:sz w:val="21"/>
              </w:rPr>
              <w:t>能进行任何活动，休息时仍有心悸、呼吸困难等心力衰竭表现。</w:t>
            </w:r>
          </w:p>
        </w:tc>
      </w:tr>
      <w:tr>
        <w:trPr>
          <w:trHeight w:val="656" w:hRule="atLeast"/>
        </w:trPr>
        <w:tc>
          <w:tcPr>
            <w:tcW w:w="7376" w:type="dxa"/>
          </w:tcPr>
          <w:p>
            <w:pPr>
              <w:pStyle w:val="TableParagraph"/>
              <w:spacing w:before="57"/>
              <w:rPr>
                <w:sz w:val="21"/>
              </w:rPr>
            </w:pPr>
            <w:r>
              <w:rPr>
                <w:sz w:val="21"/>
              </w:rPr>
              <w:t>（三十三）重症肌无力</w:t>
            </w:r>
          </w:p>
          <w:p>
            <w:pPr>
              <w:pStyle w:val="TableParagraph"/>
              <w:spacing w:line="260" w:lineRule="exact" w:before="44"/>
              <w:rPr>
                <w:sz w:val="21"/>
              </w:rPr>
            </w:pPr>
            <w:r>
              <w:rPr>
                <w:sz w:val="21"/>
              </w:rPr>
              <w:t>是指一种神经与肌肉接头部位传递障碍的自身免疫性疾病，临床特征是局部</w:t>
            </w:r>
          </w:p>
        </w:tc>
      </w:tr>
    </w:tbl>
    <w:p>
      <w:pPr>
        <w:spacing w:after="0" w:line="260" w:lineRule="exact"/>
        <w:rPr>
          <w:sz w:val="21"/>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8"/>
      </w:tblGrid>
      <w:tr>
        <w:trPr>
          <w:trHeight w:val="2576" w:hRule="atLeast"/>
        </w:trPr>
        <w:tc>
          <w:tcPr>
            <w:tcW w:w="7378" w:type="dxa"/>
          </w:tcPr>
          <w:p>
            <w:pPr>
              <w:pStyle w:val="TableParagraph"/>
              <w:spacing w:line="206" w:lineRule="exact"/>
              <w:rPr>
                <w:sz w:val="21"/>
              </w:rPr>
            </w:pPr>
            <w:r>
              <w:rPr>
                <w:sz w:val="21"/>
              </w:rPr>
              <w:t>或全身横纹肌于活动时易于疲劳无力，颅神经眼外肌最易累及，也可涉及呼</w:t>
            </w:r>
          </w:p>
          <w:p>
            <w:pPr>
              <w:pStyle w:val="TableParagraph"/>
              <w:spacing w:line="278" w:lineRule="auto" w:before="44"/>
              <w:ind w:right="304"/>
              <w:rPr>
                <w:sz w:val="21"/>
              </w:rPr>
            </w:pPr>
            <w:r>
              <w:rPr>
                <w:spacing w:val="-9"/>
                <w:sz w:val="21"/>
              </w:rPr>
              <w:t>吸肌、下肢近端肌群乃至全身肌肉，须经神经专科医生确诊。其诊断必须同</w:t>
            </w:r>
            <w:r>
              <w:rPr>
                <w:spacing w:val="-5"/>
                <w:sz w:val="21"/>
              </w:rPr>
              <w:t>时具有下列情况：</w:t>
            </w:r>
          </w:p>
          <w:p>
            <w:pPr>
              <w:pStyle w:val="TableParagraph"/>
              <w:spacing w:before="12"/>
              <w:rPr>
                <w:sz w:val="21"/>
              </w:rPr>
            </w:pPr>
            <w:r>
              <w:rPr>
                <w:sz w:val="21"/>
              </w:rPr>
              <w:t>(1)经药物、胸腺手术治疗一年以上无法控制病情，丧失正常工作能力；</w:t>
            </w:r>
          </w:p>
          <w:p>
            <w:pPr>
              <w:pStyle w:val="TableParagraph"/>
              <w:spacing w:line="278" w:lineRule="auto" w:before="44"/>
              <w:ind w:right="241"/>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8" w:lineRule="auto" w:before="13"/>
              <w:ind w:right="307"/>
              <w:rPr>
                <w:sz w:val="21"/>
              </w:rPr>
            </w:pPr>
            <w:r>
              <w:rPr>
                <w:sz w:val="21"/>
              </w:rPr>
              <w:t>(3)症状缓解、复发及恶化交替出现，临床接受新斯的明等抗胆碱酯酶药物治疗的病史。</w:t>
            </w:r>
          </w:p>
        </w:tc>
      </w:tr>
      <w:tr>
        <w:trPr>
          <w:trHeight w:val="4611" w:hRule="atLeast"/>
        </w:trPr>
        <w:tc>
          <w:tcPr>
            <w:tcW w:w="7378" w:type="dxa"/>
          </w:tcPr>
          <w:p>
            <w:pPr>
              <w:pStyle w:val="TableParagraph"/>
              <w:spacing w:before="57"/>
              <w:rPr>
                <w:sz w:val="21"/>
              </w:rPr>
            </w:pPr>
            <w:r>
              <w:rPr>
                <w:sz w:val="21"/>
              </w:rPr>
              <w:t>（三十四）经输血导致的人类免疫缺陷病毒（HIV）感染</w:t>
            </w:r>
          </w:p>
          <w:p>
            <w:pPr>
              <w:pStyle w:val="TableParagraph"/>
              <w:spacing w:before="44"/>
              <w:rPr>
                <w:sz w:val="21"/>
              </w:rPr>
            </w:pPr>
            <w:r>
              <w:rPr>
                <w:sz w:val="21"/>
              </w:rPr>
              <w:t>是指被保险人感染上人类免疫缺陷病毒并且符合下列所有条件：</w:t>
            </w:r>
          </w:p>
          <w:p>
            <w:pPr>
              <w:pStyle w:val="TableParagraph"/>
              <w:spacing w:line="280" w:lineRule="auto" w:before="44"/>
              <w:ind w:right="236"/>
              <w:rPr>
                <w:sz w:val="21"/>
              </w:rPr>
            </w:pPr>
            <w:r>
              <w:rPr>
                <w:sz w:val="21"/>
              </w:rPr>
              <w:t>(1)在本附加险合同生效或最后复效日（以较迟者为准）90 日之后，被保险人因治疗必需而接受输血，并且因输血而感染人类免疫缺陷病毒；</w:t>
            </w:r>
          </w:p>
          <w:p>
            <w:pPr>
              <w:pStyle w:val="TableParagraph"/>
              <w:spacing w:line="278" w:lineRule="auto" w:before="8"/>
              <w:ind w:right="346"/>
              <w:rPr>
                <w:sz w:val="21"/>
              </w:rPr>
            </w:pPr>
            <w:r>
              <w:rPr>
                <w:sz w:val="21"/>
              </w:rPr>
              <w:t>(2)提供输血治疗的输血中心或医院出具该项输血感染属医疗责任事故的报告，或者法院终审裁定为医疗责任并且不准上诉；</w:t>
            </w:r>
          </w:p>
          <w:p>
            <w:pPr>
              <w:pStyle w:val="TableParagraph"/>
              <w:spacing w:before="13"/>
              <w:rPr>
                <w:sz w:val="21"/>
              </w:rPr>
            </w:pPr>
            <w:r>
              <w:rPr>
                <w:sz w:val="21"/>
              </w:rPr>
              <w:t>(3)提供输血治疗的输血中心或医院必须拥有合法经营执照；</w:t>
            </w:r>
          </w:p>
          <w:p>
            <w:pPr>
              <w:pStyle w:val="TableParagraph"/>
              <w:spacing w:before="44"/>
              <w:rPr>
                <w:sz w:val="21"/>
              </w:rPr>
            </w:pPr>
            <w:r>
              <w:rPr>
                <w:sz w:val="21"/>
              </w:rPr>
              <w:t>(4)受感染的被保险人不是血友病患者；</w:t>
            </w:r>
          </w:p>
          <w:p>
            <w:pPr>
              <w:pStyle w:val="TableParagraph"/>
              <w:spacing w:line="280" w:lineRule="auto" w:before="44"/>
              <w:ind w:right="243"/>
              <w:rPr>
                <w:sz w:val="21"/>
              </w:rPr>
            </w:pPr>
            <w:r>
              <w:rPr>
                <w:sz w:val="21"/>
                <w:shd w:fill="A6A6A6" w:color="auto" w:val="clear"/>
              </w:rPr>
              <w:t>在任何治愈艾滋病或阻止人类免疫缺陷病毒作用的疗法被发现以后，或能防止艾滋病发生的医疗方法被研究出来以后，本保障将不再予以赔付。</w:t>
            </w:r>
          </w:p>
          <w:p>
            <w:pPr>
              <w:pStyle w:val="TableParagraph"/>
              <w:spacing w:line="278" w:lineRule="auto" w:before="8"/>
              <w:ind w:right="303"/>
              <w:rPr>
                <w:sz w:val="21"/>
              </w:rPr>
            </w:pPr>
            <w:r>
              <w:rPr>
                <w:spacing w:val="-6"/>
                <w:sz w:val="21"/>
                <w:shd w:fill="A6A6A6" w:color="auto" w:val="clear"/>
              </w:rPr>
              <w:t>任何因其他传播方式</w:t>
            </w:r>
            <w:r>
              <w:rPr>
                <w:sz w:val="21"/>
                <w:shd w:fill="A6A6A6" w:color="auto" w:val="clear"/>
              </w:rPr>
              <w:t>（</w:t>
            </w:r>
            <w:r>
              <w:rPr>
                <w:spacing w:val="-6"/>
                <w:sz w:val="21"/>
                <w:shd w:fill="A6A6A6" w:color="auto" w:val="clear"/>
              </w:rPr>
              <w:t>包括：性传播或静脉注射毒品</w:t>
            </w:r>
            <w:r>
              <w:rPr>
                <w:spacing w:val="-22"/>
                <w:sz w:val="21"/>
                <w:shd w:fill="A6A6A6" w:color="auto" w:val="clear"/>
              </w:rPr>
              <w:t>）</w:t>
            </w:r>
            <w:r>
              <w:rPr>
                <w:spacing w:val="-3"/>
                <w:sz w:val="21"/>
                <w:shd w:fill="A6A6A6" w:color="auto" w:val="clear"/>
              </w:rPr>
              <w:t>导致的人类免疫缺陷</w:t>
            </w:r>
            <w:r>
              <w:rPr>
                <w:spacing w:val="-208"/>
                <w:sz w:val="21"/>
                <w:shd w:fill="A6A6A6" w:color="auto" w:val="clear"/>
              </w:rPr>
              <w:t>病</w:t>
            </w:r>
            <w:r>
              <w:rPr>
                <w:spacing w:val="-3"/>
                <w:sz w:val="21"/>
                <w:shd w:fill="A6A6A6" w:color="auto" w:val="clear"/>
              </w:rPr>
              <w:t>毒感染不在本附加险合同保障范围内。</w:t>
            </w:r>
          </w:p>
          <w:p>
            <w:pPr>
              <w:pStyle w:val="TableParagraph"/>
              <w:spacing w:line="278" w:lineRule="auto" w:before="12"/>
              <w:ind w:right="314"/>
              <w:rPr>
                <w:sz w:val="21"/>
              </w:rPr>
            </w:pPr>
            <w:r>
              <w:rPr>
                <w:sz w:val="21"/>
              </w:rPr>
              <w:t>保险公司必须拥有获得使用被保险人的血液样本的权利和能够对这些样本进行独立检验的权利。</w:t>
            </w:r>
          </w:p>
        </w:tc>
      </w:tr>
      <w:tr>
        <w:trPr>
          <w:trHeight w:val="2653" w:hRule="atLeast"/>
        </w:trPr>
        <w:tc>
          <w:tcPr>
            <w:tcW w:w="7378" w:type="dxa"/>
          </w:tcPr>
          <w:p>
            <w:pPr>
              <w:pStyle w:val="TableParagraph"/>
              <w:spacing w:before="45"/>
              <w:rPr>
                <w:sz w:val="21"/>
              </w:rPr>
            </w:pPr>
            <w:r>
              <w:rPr>
                <w:sz w:val="21"/>
              </w:rPr>
              <w:t>（三十五）严重类风湿性关节炎</w:t>
            </w:r>
          </w:p>
          <w:p>
            <w:pPr>
              <w:pStyle w:val="TableParagraph"/>
              <w:spacing w:before="34"/>
              <w:rPr>
                <w:sz w:val="21"/>
              </w:rPr>
            </w:pPr>
            <w:r>
              <w:rPr>
                <w:sz w:val="21"/>
              </w:rPr>
              <w:t>指类风湿性关节炎患者必须符合以下三项标准:</w:t>
            </w:r>
          </w:p>
          <w:p>
            <w:pPr>
              <w:pStyle w:val="TableParagraph"/>
              <w:spacing w:line="273" w:lineRule="auto" w:before="37"/>
              <w:ind w:right="240"/>
              <w:rPr>
                <w:sz w:val="21"/>
              </w:rPr>
            </w:pPr>
            <w:r>
              <w:rPr>
                <w:sz w:val="21"/>
              </w:rPr>
              <w:t>(1)至少包括下列关节中的三组或以上有广泛受损和畸形改变:手指关节、腕关节、肘关节、膝关节、髋关节、踝关节、脊椎或脚趾关节；</w:t>
            </w:r>
          </w:p>
          <w:p>
            <w:pPr>
              <w:pStyle w:val="TableParagraph"/>
              <w:spacing w:line="273" w:lineRule="auto" w:before="7"/>
              <w:ind w:right="236"/>
              <w:rPr>
                <w:sz w:val="21"/>
              </w:rPr>
            </w:pPr>
            <w:r>
              <w:rPr>
                <w:sz w:val="21"/>
              </w:rPr>
              <w:t>(2)手和腕的后前位 X 线拍片检查可见类风湿性关节炎的典型变化，包括骨质侵蚀或钙流失，位于受累关节及其邻近部位尤其明显；</w:t>
            </w:r>
          </w:p>
          <w:p>
            <w:pPr>
              <w:pStyle w:val="TableParagraph"/>
              <w:spacing w:line="280" w:lineRule="auto" w:before="31"/>
              <w:ind w:right="236"/>
              <w:rPr>
                <w:sz w:val="21"/>
              </w:rPr>
            </w:pPr>
            <w:r>
              <w:rPr>
                <w:sz w:val="21"/>
              </w:rPr>
              <w:t>(3)关节的畸形改变至少持续 6 个月。必须经专科医生明确诊断，且首次已接受膝关节或髋关节置换手术。</w:t>
            </w:r>
          </w:p>
        </w:tc>
      </w:tr>
      <w:tr>
        <w:trPr>
          <w:trHeight w:val="1094" w:hRule="atLeast"/>
        </w:trPr>
        <w:tc>
          <w:tcPr>
            <w:tcW w:w="7378" w:type="dxa"/>
          </w:tcPr>
          <w:p>
            <w:pPr>
              <w:pStyle w:val="TableParagraph"/>
              <w:spacing w:before="44"/>
              <w:rPr>
                <w:sz w:val="21"/>
              </w:rPr>
            </w:pPr>
            <w:r>
              <w:rPr>
                <w:sz w:val="21"/>
              </w:rPr>
              <w:t>（三十六）急性坏死性胰腺炎</w:t>
            </w:r>
          </w:p>
          <w:p>
            <w:pPr>
              <w:pStyle w:val="TableParagraph"/>
              <w:spacing w:line="280" w:lineRule="auto" w:before="61"/>
              <w:ind w:right="198"/>
              <w:rPr>
                <w:sz w:val="21"/>
              </w:rPr>
            </w:pPr>
            <w:r>
              <w:rPr>
                <w:spacing w:val="-11"/>
                <w:sz w:val="21"/>
              </w:rPr>
              <w:t>由专科医生确诊为急性坏死性胰腺炎，并需进行手术治疗，以进行组织清除、</w:t>
            </w:r>
            <w:r>
              <w:rPr>
                <w:spacing w:val="-6"/>
                <w:sz w:val="21"/>
              </w:rPr>
              <w:t>病灶切除或胰腺部分切除。</w:t>
            </w:r>
            <w:r>
              <w:rPr>
                <w:spacing w:val="-3"/>
                <w:sz w:val="21"/>
                <w:shd w:fill="A6A6A6" w:color="auto" w:val="clear"/>
              </w:rPr>
              <w:t>但因酒精中毒所致的急性坏死性胰腺炎除外。</w:t>
            </w:r>
          </w:p>
        </w:tc>
      </w:tr>
      <w:tr>
        <w:trPr>
          <w:trHeight w:val="2029" w:hRule="atLeast"/>
        </w:trPr>
        <w:tc>
          <w:tcPr>
            <w:tcW w:w="7378" w:type="dxa"/>
          </w:tcPr>
          <w:p>
            <w:pPr>
              <w:pStyle w:val="TableParagraph"/>
              <w:spacing w:before="44"/>
              <w:rPr>
                <w:sz w:val="21"/>
              </w:rPr>
            </w:pPr>
            <w:r>
              <w:rPr>
                <w:sz w:val="21"/>
              </w:rPr>
              <w:t>（三十七）坏死性筋膜炎</w:t>
            </w:r>
          </w:p>
          <w:p>
            <w:pPr>
              <w:pStyle w:val="TableParagraph"/>
              <w:spacing w:before="37"/>
              <w:rPr>
                <w:sz w:val="21"/>
              </w:rPr>
            </w:pPr>
            <w:r>
              <w:rPr>
                <w:sz w:val="21"/>
              </w:rPr>
              <w:t>坏死性筋膜炎的诊断须同时符合下列要求：</w:t>
            </w:r>
          </w:p>
          <w:p>
            <w:pPr>
              <w:pStyle w:val="TableParagraph"/>
              <w:spacing w:before="38"/>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8" w:lineRule="auto" w:before="61"/>
              <w:ind w:right="307"/>
              <w:rPr>
                <w:sz w:val="21"/>
              </w:rPr>
            </w:pPr>
            <w:r>
              <w:rPr>
                <w:sz w:val="21"/>
              </w:rPr>
              <w:t>(3)出现广泛性肌肉及软组织坏死，并导致身体受影响部位永久完全失去功能。所谓永久完全失去功能是指受影响部位的功能丧失超过六个月者。</w:t>
            </w:r>
          </w:p>
        </w:tc>
      </w:tr>
      <w:tr>
        <w:trPr>
          <w:trHeight w:val="637" w:hRule="atLeast"/>
        </w:trPr>
        <w:tc>
          <w:tcPr>
            <w:tcW w:w="7378" w:type="dxa"/>
          </w:tcPr>
          <w:p>
            <w:pPr>
              <w:pStyle w:val="TableParagraph"/>
              <w:spacing w:before="45"/>
              <w:rPr>
                <w:sz w:val="21"/>
              </w:rPr>
            </w:pPr>
            <w:r>
              <w:rPr>
                <w:sz w:val="21"/>
              </w:rPr>
              <w:t>（三十八）硬皮病</w:t>
            </w:r>
          </w:p>
          <w:p>
            <w:pPr>
              <w:pStyle w:val="TableParagraph"/>
              <w:spacing w:line="260" w:lineRule="exact" w:before="36"/>
              <w:rPr>
                <w:sz w:val="21"/>
              </w:rPr>
            </w:pPr>
            <w:r>
              <w:rPr>
                <w:sz w:val="21"/>
              </w:rPr>
              <w:t>硬皮病是以弥漫性皮肤、血管及内脏器官结缔组织纤维化、硬化及萎缩为特</w:t>
            </w:r>
          </w:p>
        </w:tc>
      </w:tr>
    </w:tbl>
    <w:p>
      <w:pPr>
        <w:spacing w:after="0" w:line="260" w:lineRule="exact"/>
        <w:rPr>
          <w:sz w:val="21"/>
        </w:rPr>
        <w:sectPr>
          <w:pgSz w:w="11910" w:h="16840"/>
          <w:pgMar w:top="1480" w:bottom="280" w:left="16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8"/>
      </w:tblGrid>
      <w:tr>
        <w:trPr>
          <w:trHeight w:val="2856" w:hRule="atLeast"/>
        </w:trPr>
        <w:tc>
          <w:tcPr>
            <w:tcW w:w="7338" w:type="dxa"/>
          </w:tcPr>
          <w:p>
            <w:pPr>
              <w:pStyle w:val="TableParagraph"/>
              <w:spacing w:line="202" w:lineRule="exact"/>
              <w:rPr>
                <w:sz w:val="21"/>
              </w:rPr>
            </w:pPr>
            <w:r>
              <w:rPr>
                <w:sz w:val="21"/>
              </w:rPr>
              <w:t>点的结缔组织病。必须由风湿免疫专科医生确诊。必须有活体组织检查和血</w:t>
            </w:r>
          </w:p>
          <w:p>
            <w:pPr>
              <w:pStyle w:val="TableParagraph"/>
              <w:spacing w:before="37"/>
              <w:rPr>
                <w:sz w:val="21"/>
              </w:rPr>
            </w:pPr>
            <w:r>
              <w:rPr>
                <w:sz w:val="21"/>
              </w:rPr>
              <w:t>清学的检查作为确诊依据，并必须满足下列至少一项条件：</w:t>
            </w:r>
          </w:p>
          <w:p>
            <w:pPr>
              <w:pStyle w:val="TableParagraph"/>
              <w:spacing w:before="36"/>
              <w:rPr>
                <w:sz w:val="21"/>
              </w:rPr>
            </w:pPr>
            <w:r>
              <w:rPr>
                <w:sz w:val="21"/>
              </w:rPr>
              <w:t>(1)肺脏：肺部病变进而发展为肺间质纤维化和肺动脉高压；</w:t>
            </w:r>
          </w:p>
          <w:p>
            <w:pPr>
              <w:pStyle w:val="TableParagraph"/>
              <w:spacing w:before="36"/>
              <w:rPr>
                <w:sz w:val="21"/>
              </w:rPr>
            </w:pPr>
            <w:r>
              <w:rPr>
                <w:sz w:val="21"/>
              </w:rPr>
              <w:t>(2)心脏：心功能受损达到美国纽约心脏病学会心功能状态分级 IV 级；</w:t>
            </w:r>
          </w:p>
          <w:p>
            <w:pPr>
              <w:pStyle w:val="TableParagraph"/>
              <w:spacing w:line="273" w:lineRule="auto" w:before="36"/>
              <w:ind w:right="935"/>
              <w:rPr>
                <w:sz w:val="21"/>
              </w:rPr>
            </w:pPr>
            <w:r>
              <w:rPr>
                <w:sz w:val="21"/>
              </w:rPr>
              <w:t>(3)肾脏：肾脏受损导致双肾功能慢性不可逆衰竭，达到尿毒症期。</w:t>
            </w:r>
            <w:r>
              <w:rPr>
                <w:sz w:val="21"/>
                <w:shd w:fill="A6A6A6" w:color="auto" w:val="clear"/>
              </w:rPr>
              <w:t>下列疾病不在保障范围内：</w:t>
            </w:r>
          </w:p>
          <w:p>
            <w:pPr>
              <w:pStyle w:val="TableParagraph"/>
              <w:numPr>
                <w:ilvl w:val="0"/>
                <w:numId w:val="7"/>
              </w:numPr>
              <w:tabs>
                <w:tab w:pos="623" w:val="left" w:leader="none"/>
              </w:tabs>
              <w:spacing w:line="240" w:lineRule="auto" w:before="7" w:after="0"/>
              <w:ind w:left="623" w:right="0" w:hanging="423"/>
              <w:jc w:val="left"/>
              <w:rPr>
                <w:sz w:val="21"/>
              </w:rPr>
            </w:pPr>
            <w:r>
              <w:rPr>
                <w:spacing w:val="-3"/>
                <w:w w:val="100"/>
                <w:sz w:val="21"/>
                <w:shd w:fill="A6A6A6" w:color="auto" w:val="clear"/>
              </w:rPr>
              <w:t>局限性硬皮病（包括带状硬皮病、硬斑病</w:t>
            </w:r>
            <w:r>
              <w:rPr>
                <w:spacing w:val="-106"/>
                <w:w w:val="100"/>
                <w:sz w:val="21"/>
                <w:shd w:fill="A6A6A6" w:color="auto" w:val="clear"/>
              </w:rPr>
              <w:t>）</w:t>
            </w:r>
            <w:r>
              <w:rPr>
                <w:w w:val="100"/>
                <w:sz w:val="21"/>
                <w:shd w:fill="A6A6A6" w:color="auto" w:val="clear"/>
              </w:rPr>
              <w:t>；</w:t>
            </w:r>
          </w:p>
          <w:p>
            <w:pPr>
              <w:pStyle w:val="TableParagraph"/>
              <w:numPr>
                <w:ilvl w:val="0"/>
                <w:numId w:val="7"/>
              </w:numPr>
              <w:tabs>
                <w:tab w:pos="623" w:val="left" w:leader="none"/>
              </w:tabs>
              <w:spacing w:line="240" w:lineRule="auto" w:before="37" w:after="0"/>
              <w:ind w:left="623" w:right="0" w:hanging="423"/>
              <w:jc w:val="left"/>
              <w:rPr>
                <w:sz w:val="21"/>
              </w:rPr>
            </w:pPr>
            <w:r>
              <w:rPr>
                <w:spacing w:val="-3"/>
                <w:sz w:val="21"/>
                <w:shd w:fill="A6A6A6" w:color="auto" w:val="clear"/>
              </w:rPr>
              <w:t>嗜酸细胞性筋膜炎；</w:t>
            </w:r>
          </w:p>
          <w:p>
            <w:pPr>
              <w:pStyle w:val="TableParagraph"/>
              <w:numPr>
                <w:ilvl w:val="0"/>
                <w:numId w:val="7"/>
              </w:numPr>
              <w:tabs>
                <w:tab w:pos="623" w:val="left" w:leader="none"/>
              </w:tabs>
              <w:spacing w:line="240" w:lineRule="auto" w:before="61" w:after="0"/>
              <w:ind w:left="622" w:right="0" w:hanging="422"/>
              <w:jc w:val="left"/>
              <w:rPr>
                <w:sz w:val="21"/>
              </w:rPr>
            </w:pPr>
            <w:r>
              <w:rPr>
                <w:sz w:val="21"/>
                <w:shd w:fill="A6A6A6" w:color="auto" w:val="clear"/>
              </w:rPr>
              <w:t>CREST</w:t>
            </w:r>
            <w:r>
              <w:rPr>
                <w:spacing w:val="-15"/>
                <w:sz w:val="21"/>
                <w:shd w:fill="A6A6A6" w:color="auto" w:val="clear"/>
              </w:rPr>
              <w:t> 综合征</w:t>
            </w:r>
            <w:r>
              <w:rPr>
                <w:sz w:val="21"/>
              </w:rPr>
              <w:t>。</w:t>
            </w:r>
          </w:p>
        </w:tc>
      </w:tr>
      <w:tr>
        <w:trPr>
          <w:trHeight w:val="2050" w:hRule="atLeast"/>
        </w:trPr>
        <w:tc>
          <w:tcPr>
            <w:tcW w:w="7338" w:type="dxa"/>
          </w:tcPr>
          <w:p>
            <w:pPr>
              <w:pStyle w:val="TableParagraph"/>
              <w:spacing w:before="52"/>
              <w:rPr>
                <w:sz w:val="21"/>
              </w:rPr>
            </w:pPr>
            <w:r>
              <w:rPr>
                <w:sz w:val="21"/>
              </w:rPr>
              <w:t>（三十九）脊髓灰质炎（或称小儿麻痹症）</w:t>
            </w:r>
          </w:p>
          <w:p>
            <w:pPr>
              <w:pStyle w:val="TableParagraph"/>
              <w:spacing w:line="278" w:lineRule="auto" w:before="46"/>
              <w:ind w:right="198"/>
              <w:jc w:val="both"/>
              <w:rPr>
                <w:sz w:val="21"/>
              </w:rPr>
            </w:pPr>
            <w:r>
              <w:rPr>
                <w:spacing w:val="-6"/>
                <w:sz w:val="21"/>
              </w:rPr>
              <w:t>脊髓灰质炎是由于脊髓灰质炎病毒感染所致的瘫痪性疾病，临床表现为运动</w:t>
            </w:r>
            <w:r>
              <w:rPr>
                <w:spacing w:val="-9"/>
                <w:sz w:val="21"/>
              </w:rPr>
              <w:t>功能损害或呼吸无力。脊髓灰质炎必须明确诊断。本附加险合同仅对脊髓灰</w:t>
            </w:r>
            <w:r>
              <w:rPr>
                <w:sz w:val="21"/>
              </w:rPr>
              <w:t>质炎造成的神经系统功能损害导致被保险人一肢或一肢以上肢体机能永久</w:t>
            </w:r>
            <w:r>
              <w:rPr>
                <w:spacing w:val="-5"/>
                <w:sz w:val="21"/>
              </w:rPr>
              <w:t>完全丧失的情况予以理赔。肢体机能永久完全丧失，指疾病确诊 </w:t>
            </w:r>
            <w:r>
              <w:rPr>
                <w:sz w:val="21"/>
              </w:rPr>
              <w:t>180</w:t>
            </w:r>
            <w:r>
              <w:rPr>
                <w:spacing w:val="-11"/>
                <w:sz w:val="21"/>
              </w:rPr>
              <w:t> 天后， </w:t>
            </w:r>
            <w:r>
              <w:rPr>
                <w:spacing w:val="-6"/>
                <w:sz w:val="21"/>
              </w:rPr>
              <w:t>每肢三大关节中的两大关节仍然完全僵硬，或不能随意识活动。</w:t>
            </w:r>
          </w:p>
        </w:tc>
      </w:tr>
      <w:tr>
        <w:trPr>
          <w:trHeight w:val="1734" w:hRule="atLeast"/>
        </w:trPr>
        <w:tc>
          <w:tcPr>
            <w:tcW w:w="7338" w:type="dxa"/>
          </w:tcPr>
          <w:p>
            <w:pPr>
              <w:pStyle w:val="TableParagraph"/>
              <w:spacing w:before="40"/>
              <w:rPr>
                <w:sz w:val="21"/>
              </w:rPr>
            </w:pPr>
            <w:r>
              <w:rPr>
                <w:sz w:val="21"/>
              </w:rPr>
              <w:t>（四十）严重溃疡性结肠炎</w:t>
            </w:r>
          </w:p>
          <w:p>
            <w:pPr>
              <w:pStyle w:val="TableParagraph"/>
              <w:spacing w:line="278" w:lineRule="auto" w:before="61"/>
              <w:ind w:right="263"/>
              <w:jc w:val="both"/>
              <w:rPr>
                <w:sz w:val="21"/>
              </w:rPr>
            </w:pPr>
            <w:r>
              <w:rPr>
                <w:spacing w:val="-6"/>
                <w:sz w:val="21"/>
              </w:rPr>
              <w:t>指伴有致命性电解质紊乱的急性暴发性溃疡性结肠炎，病变累及全结肠，表</w:t>
            </w:r>
            <w:r>
              <w:rPr>
                <w:sz w:val="21"/>
              </w:rPr>
              <w:t>现为严重的血便和系统性症状体征，治疗通常采取全结肠切除和回肠造瘘</w:t>
            </w:r>
            <w:r>
              <w:rPr>
                <w:spacing w:val="-9"/>
                <w:sz w:val="21"/>
              </w:rPr>
              <w:t>术。溃疡性结肠炎必须根据组织病理学特点诊断，并且被保险人已经接受了</w:t>
            </w:r>
            <w:r>
              <w:rPr>
                <w:spacing w:val="-5"/>
                <w:sz w:val="21"/>
              </w:rPr>
              <w:t>结肠切除和回肠造瘘术。</w:t>
            </w:r>
          </w:p>
        </w:tc>
      </w:tr>
      <w:tr>
        <w:trPr>
          <w:trHeight w:val="2958" w:hRule="atLeast"/>
        </w:trPr>
        <w:tc>
          <w:tcPr>
            <w:tcW w:w="7338" w:type="dxa"/>
          </w:tcPr>
          <w:p>
            <w:pPr>
              <w:pStyle w:val="TableParagraph"/>
              <w:spacing w:before="41"/>
              <w:rPr>
                <w:sz w:val="21"/>
              </w:rPr>
            </w:pPr>
            <w:r>
              <w:rPr>
                <w:sz w:val="21"/>
              </w:rPr>
              <w:t>（四十一） 肺源性心脏病</w:t>
            </w:r>
          </w:p>
          <w:p>
            <w:pPr>
              <w:pStyle w:val="TableParagraph"/>
              <w:spacing w:line="273" w:lineRule="auto" w:before="36"/>
              <w:ind w:right="203"/>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7"/>
              <w:rPr>
                <w:sz w:val="21"/>
              </w:rPr>
            </w:pPr>
            <w:r>
              <w:rPr>
                <w:w w:val="100"/>
                <w:sz w:val="21"/>
              </w:rPr>
              <w:t>(1)</w:t>
            </w:r>
            <w:r>
              <w:rPr>
                <w:spacing w:val="-3"/>
                <w:w w:val="100"/>
                <w:sz w:val="21"/>
              </w:rPr>
              <w:t>左心房压力增高</w:t>
            </w:r>
            <w:r>
              <w:rPr>
                <w:w w:val="100"/>
                <w:sz w:val="21"/>
              </w:rPr>
              <w:t>（</w:t>
            </w:r>
            <w:r>
              <w:rPr>
                <w:spacing w:val="-2"/>
                <w:w w:val="100"/>
                <w:sz w:val="21"/>
              </w:rPr>
              <w:t>不低于</w:t>
            </w:r>
            <w:r>
              <w:rPr>
                <w:spacing w:val="-53"/>
                <w:sz w:val="21"/>
              </w:rPr>
              <w:t> </w:t>
            </w:r>
            <w:r>
              <w:rPr>
                <w:w w:val="100"/>
                <w:sz w:val="21"/>
              </w:rPr>
              <w:t>20</w:t>
            </w:r>
            <w:r>
              <w:rPr>
                <w:spacing w:val="-55"/>
                <w:sz w:val="21"/>
              </w:rPr>
              <w:t> </w:t>
            </w:r>
            <w:r>
              <w:rPr>
                <w:spacing w:val="-2"/>
                <w:w w:val="100"/>
                <w:sz w:val="21"/>
              </w:rPr>
              <w:t>个单位</w:t>
            </w:r>
            <w:r>
              <w:rPr>
                <w:spacing w:val="-106"/>
                <w:w w:val="100"/>
                <w:sz w:val="21"/>
              </w:rPr>
              <w:t>）</w:t>
            </w:r>
            <w:r>
              <w:rPr>
                <w:w w:val="100"/>
                <w:sz w:val="21"/>
              </w:rPr>
              <w:t>；</w:t>
            </w:r>
          </w:p>
          <w:p>
            <w:pPr>
              <w:pStyle w:val="TableParagraph"/>
              <w:spacing w:before="37"/>
              <w:rPr>
                <w:sz w:val="21"/>
              </w:rPr>
            </w:pPr>
            <w:r>
              <w:rPr>
                <w:w w:val="100"/>
                <w:sz w:val="21"/>
              </w:rPr>
              <w:t>(2)</w:t>
            </w:r>
            <w:r>
              <w:rPr>
                <w:spacing w:val="-3"/>
                <w:w w:val="100"/>
                <w:sz w:val="21"/>
              </w:rPr>
              <w:t>肺血管阻力高于正常值</w:t>
            </w:r>
            <w:r>
              <w:rPr>
                <w:spacing w:val="-53"/>
                <w:sz w:val="21"/>
              </w:rPr>
              <w:t> </w:t>
            </w:r>
            <w:r>
              <w:rPr>
                <w:w w:val="100"/>
                <w:sz w:val="21"/>
              </w:rPr>
              <w:t>3</w:t>
            </w:r>
            <w:r>
              <w:rPr>
                <w:spacing w:val="-53"/>
                <w:sz w:val="21"/>
              </w:rPr>
              <w:t> </w:t>
            </w:r>
            <w:r>
              <w:rPr>
                <w:spacing w:val="-3"/>
                <w:w w:val="100"/>
                <w:sz w:val="21"/>
              </w:rPr>
              <w:t>个单位</w:t>
            </w:r>
            <w:r>
              <w:rPr>
                <w:w w:val="100"/>
                <w:sz w:val="21"/>
              </w:rPr>
              <w:t>（P</w:t>
            </w:r>
            <w:r>
              <w:rPr>
                <w:spacing w:val="-3"/>
                <w:w w:val="100"/>
                <w:sz w:val="21"/>
              </w:rPr>
              <w:t>u</w:t>
            </w:r>
            <w:r>
              <w:rPr>
                <w:w w:val="100"/>
                <w:sz w:val="21"/>
              </w:rPr>
              <w:t>lmo</w:t>
            </w:r>
            <w:r>
              <w:rPr>
                <w:spacing w:val="-3"/>
                <w:w w:val="100"/>
                <w:sz w:val="21"/>
              </w:rPr>
              <w:t>n</w:t>
            </w:r>
            <w:r>
              <w:rPr>
                <w:w w:val="100"/>
                <w:sz w:val="21"/>
              </w:rPr>
              <w:t>ary</w:t>
            </w:r>
            <w:r>
              <w:rPr>
                <w:spacing w:val="-2"/>
                <w:sz w:val="21"/>
              </w:rPr>
              <w:t> </w:t>
            </w:r>
            <w:r>
              <w:rPr>
                <w:spacing w:val="-3"/>
                <w:w w:val="100"/>
                <w:sz w:val="21"/>
              </w:rPr>
              <w:t>R</w:t>
            </w:r>
            <w:r>
              <w:rPr>
                <w:w w:val="100"/>
                <w:sz w:val="21"/>
              </w:rPr>
              <w:t>esist</w:t>
            </w:r>
            <w:r>
              <w:rPr>
                <w:spacing w:val="-3"/>
                <w:w w:val="100"/>
                <w:sz w:val="21"/>
              </w:rPr>
              <w:t>a</w:t>
            </w:r>
            <w:r>
              <w:rPr>
                <w:w w:val="100"/>
                <w:sz w:val="21"/>
              </w:rPr>
              <w:t>nce</w:t>
            </w:r>
            <w:r>
              <w:rPr>
                <w:spacing w:val="-108"/>
                <w:w w:val="100"/>
                <w:sz w:val="21"/>
              </w:rPr>
              <w:t>）；</w:t>
            </w:r>
          </w:p>
          <w:p>
            <w:pPr>
              <w:pStyle w:val="TableParagraph"/>
              <w:spacing w:before="36"/>
              <w:rPr>
                <w:sz w:val="21"/>
              </w:rPr>
            </w:pPr>
            <w:r>
              <w:rPr>
                <w:sz w:val="21"/>
              </w:rPr>
              <w:t>(3)肺动脉血压不低于 40 毫米汞柱；</w:t>
            </w:r>
          </w:p>
          <w:p>
            <w:pPr>
              <w:pStyle w:val="TableParagraph"/>
              <w:spacing w:before="36"/>
              <w:rPr>
                <w:sz w:val="21"/>
              </w:rPr>
            </w:pPr>
            <w:r>
              <w:rPr>
                <w:sz w:val="21"/>
              </w:rPr>
              <w:t>(4)肺动脉楔压不低于 6 毫米汞柱；</w:t>
            </w:r>
          </w:p>
          <w:p>
            <w:pPr>
              <w:pStyle w:val="TableParagraph"/>
              <w:spacing w:before="36"/>
              <w:rPr>
                <w:sz w:val="21"/>
              </w:rPr>
            </w:pPr>
            <w:r>
              <w:rPr>
                <w:sz w:val="21"/>
              </w:rPr>
              <w:t>(5)右心室心脏舒张期末压力不低于 8 毫米汞柱；</w:t>
            </w:r>
          </w:p>
          <w:p>
            <w:pPr>
              <w:pStyle w:val="TableParagraph"/>
              <w:spacing w:before="60"/>
              <w:rPr>
                <w:sz w:val="21"/>
              </w:rPr>
            </w:pPr>
            <w:r>
              <w:rPr>
                <w:sz w:val="21"/>
              </w:rPr>
              <w:t>(6)右心室过度肥大、扩张，出现右心衰竭和呼吸困难。</w:t>
            </w:r>
          </w:p>
        </w:tc>
      </w:tr>
      <w:tr>
        <w:trPr>
          <w:trHeight w:val="1094" w:hRule="atLeast"/>
        </w:trPr>
        <w:tc>
          <w:tcPr>
            <w:tcW w:w="7338" w:type="dxa"/>
          </w:tcPr>
          <w:p>
            <w:pPr>
              <w:pStyle w:val="TableParagraph"/>
              <w:spacing w:before="40"/>
              <w:rPr>
                <w:sz w:val="21"/>
              </w:rPr>
            </w:pPr>
            <w:r>
              <w:rPr>
                <w:sz w:val="21"/>
              </w:rPr>
              <w:t>（四十二）严重心肌炎</w:t>
            </w:r>
          </w:p>
          <w:p>
            <w:pPr>
              <w:pStyle w:val="TableParagraph"/>
              <w:spacing w:line="280" w:lineRule="auto" w:before="61"/>
              <w:ind w:right="204"/>
              <w:rPr>
                <w:sz w:val="21"/>
              </w:rPr>
            </w:pPr>
            <w:r>
              <w:rPr>
                <w:sz w:val="21"/>
              </w:rPr>
              <w:t>指心肌局限性或弥漫性的急性或慢性炎症病变，导致心脏功能障碍，达到美国纽约心脏病学会心功能状态分级四级，且持续至少 90 天。</w:t>
            </w:r>
          </w:p>
        </w:tc>
      </w:tr>
      <w:tr>
        <w:trPr>
          <w:trHeight w:val="1094" w:hRule="atLeast"/>
        </w:trPr>
        <w:tc>
          <w:tcPr>
            <w:tcW w:w="7338" w:type="dxa"/>
          </w:tcPr>
          <w:p>
            <w:pPr>
              <w:pStyle w:val="TableParagraph"/>
              <w:spacing w:before="40"/>
              <w:rPr>
                <w:sz w:val="21"/>
              </w:rPr>
            </w:pPr>
            <w:r>
              <w:rPr>
                <w:sz w:val="21"/>
              </w:rPr>
              <w:t>（四十三）川崎病（皮肤粘膜淋巴结综合症）</w:t>
            </w:r>
          </w:p>
          <w:p>
            <w:pPr>
              <w:pStyle w:val="TableParagraph"/>
              <w:spacing w:line="280" w:lineRule="auto" w:before="61"/>
              <w:ind w:right="266"/>
              <w:rPr>
                <w:sz w:val="21"/>
              </w:rPr>
            </w:pPr>
            <w:r>
              <w:rPr>
                <w:spacing w:val="-8"/>
                <w:sz w:val="21"/>
              </w:rPr>
              <w:t>指一种以损伤冠状动脉血管为主，可同时合并其他大血管损害的系统性血管</w:t>
            </w:r>
            <w:r>
              <w:rPr>
                <w:spacing w:val="-5"/>
                <w:sz w:val="21"/>
              </w:rPr>
              <w:t>炎。本病必须有专科医生确诊，并伴有冠状动脉瘤或冠状动脉扩张。</w:t>
            </w:r>
          </w:p>
        </w:tc>
      </w:tr>
      <w:tr>
        <w:trPr>
          <w:trHeight w:val="1734" w:hRule="atLeast"/>
        </w:trPr>
        <w:tc>
          <w:tcPr>
            <w:tcW w:w="7338" w:type="dxa"/>
          </w:tcPr>
          <w:p>
            <w:pPr>
              <w:pStyle w:val="TableParagraph"/>
              <w:spacing w:before="40"/>
              <w:rPr>
                <w:sz w:val="21"/>
              </w:rPr>
            </w:pPr>
            <w:r>
              <w:rPr>
                <w:sz w:val="21"/>
              </w:rPr>
              <w:t>（四十四）严重冠心病</w:t>
            </w:r>
          </w:p>
          <w:p>
            <w:pPr>
              <w:pStyle w:val="TableParagraph"/>
              <w:spacing w:line="278" w:lineRule="auto" w:before="60"/>
              <w:ind w:right="265"/>
              <w:jc w:val="both"/>
              <w:rPr>
                <w:sz w:val="21"/>
              </w:rPr>
            </w:pPr>
            <w:r>
              <w:rPr>
                <w:sz w:val="21"/>
              </w:rPr>
              <w:t>指根据冠状动脉造影检查结果确诊的三支主要血管(左冠状动脉主干和右冠</w:t>
            </w:r>
            <w:r>
              <w:rPr>
                <w:spacing w:val="-9"/>
                <w:sz w:val="21"/>
              </w:rPr>
              <w:t>状动脉，或前降支、左旋支和右冠状动脉)严重狭窄性病变(至少一支血管管</w:t>
            </w:r>
            <w:r>
              <w:rPr>
                <w:spacing w:val="-10"/>
                <w:sz w:val="21"/>
              </w:rPr>
              <w:t>腔直径减少 </w:t>
            </w:r>
            <w:r>
              <w:rPr>
                <w:sz w:val="21"/>
              </w:rPr>
              <w:t>75</w:t>
            </w:r>
            <w:r>
              <w:rPr>
                <w:spacing w:val="-6"/>
                <w:sz w:val="21"/>
              </w:rPr>
              <w:t>以上和其他两支血管管腔直径减少 </w:t>
            </w:r>
            <w:r>
              <w:rPr>
                <w:sz w:val="21"/>
              </w:rPr>
              <w:t>60</w:t>
            </w:r>
            <w:r>
              <w:rPr>
                <w:spacing w:val="-12"/>
                <w:sz w:val="21"/>
              </w:rPr>
              <w:t>以上)。前降支、左</w:t>
            </w:r>
            <w:r>
              <w:rPr>
                <w:spacing w:val="-208"/>
                <w:sz w:val="21"/>
              </w:rPr>
              <w:t>旋</w:t>
            </w:r>
            <w:r>
              <w:rPr>
                <w:spacing w:val="-3"/>
                <w:sz w:val="21"/>
              </w:rPr>
              <w:t>支及右冠状动脉的分支血管的狭窄不作为本保障的衡量指标。</w:t>
            </w:r>
          </w:p>
        </w:tc>
      </w:tr>
      <w:tr>
        <w:trPr>
          <w:trHeight w:val="325" w:hRule="atLeast"/>
        </w:trPr>
        <w:tc>
          <w:tcPr>
            <w:tcW w:w="7338" w:type="dxa"/>
          </w:tcPr>
          <w:p>
            <w:pPr>
              <w:pStyle w:val="TableParagraph"/>
              <w:spacing w:line="264" w:lineRule="exact" w:before="41"/>
              <w:rPr>
                <w:sz w:val="21"/>
              </w:rPr>
            </w:pPr>
            <w:r>
              <w:rPr>
                <w:sz w:val="21"/>
              </w:rPr>
              <w:t>（四十五）严重肌营养不良症</w:t>
            </w:r>
          </w:p>
        </w:tc>
      </w:tr>
    </w:tbl>
    <w:p>
      <w:pPr>
        <w:rPr>
          <w:sz w:val="2"/>
          <w:szCs w:val="2"/>
        </w:rPr>
      </w:pPr>
      <w:r>
        <w:rPr/>
        <w:drawing>
          <wp:anchor distT="0" distB="0" distL="0" distR="0" allowOverlap="1" layoutInCell="1" locked="0" behindDoc="1" simplePos="0" relativeHeight="268405247">
            <wp:simplePos x="0" y="0"/>
            <wp:positionH relativeFrom="page">
              <wp:posOffset>3187319</wp:posOffset>
            </wp:positionH>
            <wp:positionV relativeFrom="page">
              <wp:posOffset>9130791</wp:posOffset>
            </wp:positionV>
            <wp:extent cx="62864" cy="94297"/>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405271">
            <wp:simplePos x="0" y="0"/>
            <wp:positionH relativeFrom="page">
              <wp:posOffset>5420233</wp:posOffset>
            </wp:positionH>
            <wp:positionV relativeFrom="page">
              <wp:posOffset>9130791</wp:posOffset>
            </wp:positionV>
            <wp:extent cx="62864" cy="94297"/>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1680" w:right="9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1785"/>
        <w:gridCol w:w="7310"/>
      </w:tblGrid>
      <w:tr>
        <w:trPr>
          <w:trHeight w:val="1924"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line="202" w:lineRule="exact"/>
              <w:ind w:left="135"/>
              <w:rPr>
                <w:sz w:val="21"/>
              </w:rPr>
            </w:pPr>
            <w:r>
              <w:rPr>
                <w:sz w:val="21"/>
              </w:rPr>
              <w:t>指临床表现为与神经系统无关的肌肉无力和肌肉萎缩。且须满足下列全部条</w:t>
            </w:r>
          </w:p>
          <w:p>
            <w:pPr>
              <w:pStyle w:val="TableParagraph"/>
              <w:spacing w:before="37"/>
              <w:ind w:left="135"/>
              <w:rPr>
                <w:sz w:val="21"/>
              </w:rPr>
            </w:pPr>
            <w:r>
              <w:rPr>
                <w:sz w:val="21"/>
              </w:rPr>
              <w:t>件：</w:t>
            </w:r>
          </w:p>
          <w:p>
            <w:pPr>
              <w:pStyle w:val="TableParagraph"/>
              <w:spacing w:before="36"/>
              <w:ind w:left="135"/>
              <w:rPr>
                <w:sz w:val="21"/>
              </w:rPr>
            </w:pPr>
            <w:r>
              <w:rPr>
                <w:sz w:val="21"/>
              </w:rPr>
              <w:t>(1)肌电图显示典型肌营养不良症的阳性改变；</w:t>
            </w:r>
          </w:p>
          <w:p>
            <w:pPr>
              <w:pStyle w:val="TableParagraph"/>
              <w:spacing w:before="36"/>
              <w:ind w:left="135"/>
              <w:rPr>
                <w:sz w:val="21"/>
              </w:rPr>
            </w:pPr>
            <w:r>
              <w:rPr>
                <w:sz w:val="21"/>
              </w:rPr>
              <w:t>(2)肌肉组织活检结果满足肌营养不良症的肌肉细胞变性、坏死等阳性改变；</w:t>
            </w:r>
          </w:p>
          <w:p>
            <w:pPr>
              <w:pStyle w:val="TableParagraph"/>
              <w:spacing w:line="278" w:lineRule="auto" w:before="60"/>
              <w:ind w:left="135" w:right="303"/>
              <w:rPr>
                <w:sz w:val="21"/>
              </w:rPr>
            </w:pPr>
            <w:r>
              <w:rPr>
                <w:sz w:val="21"/>
              </w:rPr>
              <w:t>(3)自主生活能力完全丧失，无法独立完成六项基本日常生活活动中的三项或三项以上。</w:t>
            </w:r>
          </w:p>
        </w:tc>
      </w:tr>
      <w:tr>
        <w:trPr>
          <w:trHeight w:val="1437"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8"/>
              <w:ind w:left="135"/>
              <w:rPr>
                <w:sz w:val="21"/>
              </w:rPr>
            </w:pPr>
            <w:r>
              <w:rPr>
                <w:sz w:val="21"/>
              </w:rPr>
              <w:t>（四十六）严重克罗恩病（Crohn's 病）</w:t>
            </w:r>
          </w:p>
          <w:p>
            <w:pPr>
              <w:pStyle w:val="TableParagraph"/>
              <w:spacing w:line="278" w:lineRule="auto" w:before="77"/>
              <w:ind w:left="135" w:right="302"/>
              <w:jc w:val="both"/>
              <w:rPr>
                <w:sz w:val="21"/>
              </w:rPr>
            </w:pPr>
            <w:r>
              <w:rPr>
                <w:sz w:val="21"/>
              </w:rPr>
              <w:t>克罗恩病是一种慢性肉芽肿性肠炎，具有特征性的克罗恩病病理组织学变</w:t>
            </w:r>
            <w:r>
              <w:rPr>
                <w:spacing w:val="-9"/>
                <w:sz w:val="21"/>
              </w:rPr>
              <w:t>化。诊断必须由病理检查结果证实。被保险人所患的克罗恩病必须已经造成</w:t>
            </w:r>
            <w:r>
              <w:rPr>
                <w:spacing w:val="-5"/>
                <w:sz w:val="21"/>
              </w:rPr>
              <w:t>瘘管形成并伴有肠梗阻或肠穿孔。</w:t>
            </w:r>
          </w:p>
        </w:tc>
      </w:tr>
      <w:tr>
        <w:trPr>
          <w:trHeight w:val="2653"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1"/>
              <w:ind w:left="135"/>
              <w:rPr>
                <w:sz w:val="21"/>
              </w:rPr>
            </w:pPr>
            <w:r>
              <w:rPr>
                <w:sz w:val="21"/>
              </w:rPr>
              <w:t>（四十七）原发性硬化性胆管炎</w:t>
            </w:r>
          </w:p>
          <w:p>
            <w:pPr>
              <w:pStyle w:val="TableParagraph"/>
              <w:spacing w:line="273" w:lineRule="auto" w:before="36"/>
              <w:ind w:left="135" w:right="197"/>
              <w:rPr>
                <w:sz w:val="21"/>
              </w:rPr>
            </w:pPr>
            <w:r>
              <w:rPr>
                <w:spacing w:val="-16"/>
                <w:sz w:val="21"/>
              </w:rPr>
              <w:t>指一种胆汁淤积综合征，其特征是肝内、肝外胆道因纤维化性炎症逐渐狭窄， </w:t>
            </w:r>
            <w:r>
              <w:rPr>
                <w:spacing w:val="-11"/>
                <w:sz w:val="21"/>
              </w:rPr>
              <w:t>并最终导致完全阻塞而发展为肝硬化。本病须经内镜逆行胰胆管造影等影像</w:t>
            </w:r>
            <w:r>
              <w:rPr>
                <w:spacing w:val="-6"/>
                <w:sz w:val="21"/>
              </w:rPr>
              <w:t>学检查证实，并须满足下列全部条件：</w:t>
            </w:r>
          </w:p>
          <w:p>
            <w:pPr>
              <w:pStyle w:val="TableParagraph"/>
              <w:numPr>
                <w:ilvl w:val="0"/>
                <w:numId w:val="8"/>
              </w:numPr>
              <w:tabs>
                <w:tab w:pos="768" w:val="left" w:leader="none"/>
              </w:tabs>
              <w:spacing w:line="240" w:lineRule="auto" w:before="7" w:after="0"/>
              <w:ind w:left="767" w:right="0" w:hanging="632"/>
              <w:jc w:val="left"/>
              <w:rPr>
                <w:sz w:val="21"/>
              </w:rPr>
            </w:pPr>
            <w:r>
              <w:rPr>
                <w:spacing w:val="-5"/>
                <w:sz w:val="21"/>
              </w:rPr>
              <w:t>总胆红素和直接胆红素同时升高，血清 </w:t>
            </w:r>
            <w:r>
              <w:rPr>
                <w:sz w:val="21"/>
              </w:rPr>
              <w:t>ALP&gt;200U/L；</w:t>
            </w:r>
          </w:p>
          <w:p>
            <w:pPr>
              <w:pStyle w:val="TableParagraph"/>
              <w:numPr>
                <w:ilvl w:val="0"/>
                <w:numId w:val="8"/>
              </w:numPr>
              <w:tabs>
                <w:tab w:pos="768" w:val="left" w:leader="none"/>
              </w:tabs>
              <w:spacing w:line="240" w:lineRule="auto" w:before="37" w:after="0"/>
              <w:ind w:left="767" w:right="0" w:hanging="632"/>
              <w:jc w:val="left"/>
              <w:rPr>
                <w:sz w:val="21"/>
              </w:rPr>
            </w:pPr>
            <w:r>
              <w:rPr>
                <w:spacing w:val="-3"/>
                <w:sz w:val="21"/>
              </w:rPr>
              <w:t>持续性黄疸病史；</w:t>
            </w:r>
          </w:p>
          <w:p>
            <w:pPr>
              <w:pStyle w:val="TableParagraph"/>
              <w:numPr>
                <w:ilvl w:val="0"/>
                <w:numId w:val="8"/>
              </w:numPr>
              <w:tabs>
                <w:tab w:pos="768" w:val="left" w:leader="none"/>
              </w:tabs>
              <w:spacing w:line="240" w:lineRule="auto" w:before="37" w:after="0"/>
              <w:ind w:left="767" w:right="0" w:hanging="632"/>
              <w:jc w:val="left"/>
              <w:rPr>
                <w:sz w:val="21"/>
              </w:rPr>
            </w:pPr>
            <w:r>
              <w:rPr>
                <w:spacing w:val="-3"/>
                <w:sz w:val="21"/>
              </w:rPr>
              <w:t>出现胆汁性肝硬化或门脉高压。</w:t>
            </w:r>
          </w:p>
          <w:p>
            <w:pPr>
              <w:pStyle w:val="TableParagraph"/>
              <w:spacing w:before="61"/>
              <w:ind w:left="135"/>
              <w:rPr>
                <w:sz w:val="21"/>
              </w:rPr>
            </w:pPr>
            <w:r>
              <w:rPr>
                <w:sz w:val="21"/>
              </w:rPr>
              <w:t>因肿瘤或胆管损伤等继发性的硬化性胆管炎不在保障范围内。</w:t>
            </w:r>
          </w:p>
        </w:tc>
      </w:tr>
      <w:tr>
        <w:trPr>
          <w:trHeight w:val="1741"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7"/>
              <w:ind w:left="135"/>
              <w:rPr>
                <w:sz w:val="21"/>
              </w:rPr>
            </w:pPr>
            <w:r>
              <w:rPr>
                <w:sz w:val="21"/>
              </w:rPr>
              <w:t>（四十八）肾髓质囊性病</w:t>
            </w:r>
          </w:p>
          <w:p>
            <w:pPr>
              <w:pStyle w:val="TableParagraph"/>
              <w:spacing w:before="53"/>
              <w:ind w:left="135"/>
              <w:rPr>
                <w:sz w:val="21"/>
              </w:rPr>
            </w:pPr>
            <w:r>
              <w:rPr>
                <w:sz w:val="21"/>
              </w:rPr>
              <w:t>肾髓质囊性病的诊断须同时符合下列要求：</w:t>
            </w:r>
          </w:p>
          <w:p>
            <w:pPr>
              <w:pStyle w:val="TableParagraph"/>
              <w:spacing w:before="36"/>
              <w:ind w:left="135"/>
              <w:rPr>
                <w:sz w:val="21"/>
              </w:rPr>
            </w:pPr>
            <w:r>
              <w:rPr>
                <w:sz w:val="21"/>
              </w:rPr>
              <w:t>(1)肾髓质有囊肿、肾小管萎缩及间质纤维化等病理改变；</w:t>
            </w:r>
          </w:p>
          <w:p>
            <w:pPr>
              <w:pStyle w:val="TableParagraph"/>
              <w:spacing w:before="36"/>
              <w:ind w:left="135"/>
              <w:rPr>
                <w:sz w:val="21"/>
              </w:rPr>
            </w:pPr>
            <w:r>
              <w:rPr>
                <w:sz w:val="21"/>
              </w:rPr>
              <w:t>(2)贫血、多尿及肾功能衰竭等临床表现；</w:t>
            </w:r>
          </w:p>
          <w:p>
            <w:pPr>
              <w:pStyle w:val="TableParagraph"/>
              <w:spacing w:before="60"/>
              <w:ind w:left="135"/>
              <w:rPr>
                <w:sz w:val="21"/>
              </w:rPr>
            </w:pPr>
            <w:r>
              <w:rPr>
                <w:sz w:val="21"/>
              </w:rPr>
              <w:t>(3)诊断须由肾组织活检确定。</w:t>
            </w:r>
          </w:p>
        </w:tc>
      </w:tr>
      <w:tr>
        <w:trPr>
          <w:trHeight w:val="2365"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9"/>
              <w:ind w:left="135"/>
              <w:rPr>
                <w:sz w:val="21"/>
              </w:rPr>
            </w:pPr>
            <w:r>
              <w:rPr>
                <w:sz w:val="21"/>
              </w:rPr>
              <w:t>（四十九）非阿尔茨海默病所致严重痴呆</w:t>
            </w:r>
          </w:p>
          <w:p>
            <w:pPr>
              <w:pStyle w:val="TableParagraph"/>
              <w:spacing w:line="273" w:lineRule="auto" w:before="54"/>
              <w:ind w:left="135" w:right="235"/>
              <w:jc w:val="both"/>
              <w:rPr>
                <w:sz w:val="21"/>
              </w:rPr>
            </w:pPr>
            <w:r>
              <w:rPr>
                <w:sz w:val="21"/>
              </w:rPr>
              <w:t>指因阿尔茨海默病以外的脑的器质性疾病造成脑功能衰竭导致永久不可逆</w:t>
            </w:r>
            <w:r>
              <w:rPr>
                <w:spacing w:val="-3"/>
                <w:sz w:val="21"/>
              </w:rPr>
              <w:t>的严重痴呆，临床表现为明显的认知能力障碍、行为异常和社交能力减退。</w:t>
            </w:r>
            <w:r>
              <w:rPr>
                <w:spacing w:val="-8"/>
                <w:sz w:val="21"/>
              </w:rPr>
              <w:t>被保险人自主生活能力完全丧失，无法独立完成六项基本日常生活活动中的</w:t>
            </w:r>
            <w:r>
              <w:rPr>
                <w:spacing w:val="-10"/>
                <w:sz w:val="21"/>
              </w:rPr>
              <w:t>三项或三项以上，日常生活必须持续受到他人监护。导致痴呆的疾病必须明</w:t>
            </w:r>
            <w:r>
              <w:rPr>
                <w:spacing w:val="-5"/>
                <w:sz w:val="21"/>
              </w:rPr>
              <w:t>确诊断，并且有完整的临床、实验室和影像学检查结果证实。</w:t>
            </w:r>
          </w:p>
          <w:p>
            <w:pPr>
              <w:pStyle w:val="TableParagraph"/>
              <w:spacing w:before="31"/>
              <w:ind w:left="135"/>
              <w:jc w:val="both"/>
              <w:rPr>
                <w:sz w:val="21"/>
              </w:rPr>
            </w:pPr>
            <w:r>
              <w:rPr>
                <w:sz w:val="21"/>
              </w:rPr>
              <w:t>神经官能症，精神疾病及酒精中毒所致脑损害不在保障范围内。</w:t>
            </w:r>
          </w:p>
        </w:tc>
      </w:tr>
      <w:tr>
        <w:trPr>
          <w:trHeight w:val="1434"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47"/>
              <w:ind w:left="135"/>
              <w:rPr>
                <w:sz w:val="21"/>
              </w:rPr>
            </w:pPr>
            <w:r>
              <w:rPr>
                <w:sz w:val="21"/>
              </w:rPr>
              <w:t>（五十）胰腺移植</w:t>
            </w:r>
          </w:p>
          <w:p>
            <w:pPr>
              <w:pStyle w:val="TableParagraph"/>
              <w:spacing w:line="273" w:lineRule="auto" w:before="53"/>
              <w:ind w:left="135" w:right="302"/>
              <w:rPr>
                <w:sz w:val="21"/>
              </w:rPr>
            </w:pPr>
            <w:r>
              <w:rPr>
                <w:spacing w:val="-10"/>
                <w:sz w:val="21"/>
              </w:rPr>
              <w:t>指因胰腺功能衰竭，已经实施了在全身麻醉下进行的胰腺的异体器官移植手术（</w:t>
            </w:r>
            <w:r>
              <w:rPr>
                <w:spacing w:val="-3"/>
                <w:sz w:val="21"/>
              </w:rPr>
              <w:t>供体必须是人体器官</w:t>
            </w:r>
            <w:r>
              <w:rPr>
                <w:spacing w:val="-108"/>
                <w:sz w:val="21"/>
              </w:rPr>
              <w:t>）</w:t>
            </w:r>
            <w:r>
              <w:rPr>
                <w:sz w:val="21"/>
              </w:rPr>
              <w:t>。</w:t>
            </w:r>
          </w:p>
          <w:p>
            <w:pPr>
              <w:pStyle w:val="TableParagraph"/>
              <w:spacing w:before="31"/>
              <w:ind w:left="135"/>
              <w:rPr>
                <w:sz w:val="21"/>
              </w:rPr>
            </w:pPr>
            <w:r>
              <w:rPr>
                <w:sz w:val="21"/>
              </w:rPr>
              <w:t>单纯胰岛移植、部分胰腺组织或细胞的移植不在保障范围内。</w:t>
            </w:r>
          </w:p>
        </w:tc>
      </w:tr>
      <w:tr>
        <w:trPr>
          <w:trHeight w:val="782" w:hRule="atLeast"/>
        </w:trPr>
        <w:tc>
          <w:tcPr>
            <w:tcW w:w="694" w:type="dxa"/>
          </w:tcPr>
          <w:p>
            <w:pPr>
              <w:pStyle w:val="TableParagraph"/>
              <w:spacing w:before="54"/>
              <w:rPr>
                <w:rFonts w:ascii="黑体"/>
                <w:sz w:val="21"/>
              </w:rPr>
            </w:pPr>
            <w:r>
              <w:rPr>
                <w:rFonts w:ascii="黑体"/>
                <w:sz w:val="21"/>
              </w:rPr>
              <w:t>7.2</w:t>
            </w:r>
          </w:p>
        </w:tc>
        <w:tc>
          <w:tcPr>
            <w:tcW w:w="1785" w:type="dxa"/>
          </w:tcPr>
          <w:p>
            <w:pPr>
              <w:pStyle w:val="TableParagraph"/>
              <w:spacing w:line="278" w:lineRule="auto" w:before="54"/>
              <w:ind w:left="177" w:right="131"/>
              <w:rPr>
                <w:rFonts w:ascii="黑体" w:eastAsia="黑体" w:hint="eastAsia"/>
                <w:sz w:val="21"/>
              </w:rPr>
            </w:pPr>
            <w:r>
              <w:rPr>
                <w:rFonts w:ascii="黑体" w:eastAsia="黑体" w:hint="eastAsia"/>
                <w:sz w:val="21"/>
              </w:rPr>
              <w:t>特定疾病的范围及定义</w:t>
            </w:r>
          </w:p>
        </w:tc>
        <w:tc>
          <w:tcPr>
            <w:tcW w:w="7310" w:type="dxa"/>
          </w:tcPr>
          <w:p>
            <w:pPr>
              <w:pStyle w:val="TableParagraph"/>
              <w:spacing w:line="278" w:lineRule="auto" w:before="54"/>
              <w:ind w:left="135" w:right="302"/>
              <w:rPr>
                <w:sz w:val="21"/>
              </w:rPr>
            </w:pPr>
            <w:r>
              <w:rPr>
                <w:spacing w:val="-7"/>
                <w:sz w:val="21"/>
              </w:rPr>
              <w:t>指被保险人初次发生符合下列定义的疾病，或初次接受符合下列所定义的手</w:t>
            </w:r>
            <w:r>
              <w:rPr>
                <w:spacing w:val="-5"/>
                <w:sz w:val="21"/>
              </w:rPr>
              <w:t>术。该疾病或手术由专科医生明确诊断。</w:t>
            </w:r>
          </w:p>
        </w:tc>
      </w:tr>
      <w:tr>
        <w:trPr>
          <w:trHeight w:val="1297" w:hRule="atLeast"/>
        </w:trPr>
        <w:tc>
          <w:tcPr>
            <w:tcW w:w="694" w:type="dxa"/>
          </w:tcPr>
          <w:p>
            <w:pPr>
              <w:pStyle w:val="TableParagraph"/>
              <w:ind w:left="0"/>
              <w:rPr>
                <w:rFonts w:ascii="Times New Roman"/>
                <w:sz w:val="20"/>
              </w:rPr>
            </w:pPr>
          </w:p>
        </w:tc>
        <w:tc>
          <w:tcPr>
            <w:tcW w:w="1785" w:type="dxa"/>
          </w:tcPr>
          <w:p>
            <w:pPr>
              <w:pStyle w:val="TableParagraph"/>
              <w:ind w:left="0"/>
              <w:rPr>
                <w:rFonts w:ascii="Times New Roman"/>
                <w:sz w:val="20"/>
              </w:rPr>
            </w:pPr>
          </w:p>
        </w:tc>
        <w:tc>
          <w:tcPr>
            <w:tcW w:w="7310" w:type="dxa"/>
          </w:tcPr>
          <w:p>
            <w:pPr>
              <w:pStyle w:val="TableParagraph"/>
              <w:spacing w:before="53"/>
              <w:ind w:left="135"/>
              <w:rPr>
                <w:sz w:val="21"/>
              </w:rPr>
            </w:pPr>
            <w:r>
              <w:rPr>
                <w:sz w:val="21"/>
              </w:rPr>
              <w:t>（一）极早期的恶性肿瘤或恶性病变</w:t>
            </w:r>
          </w:p>
          <w:p>
            <w:pPr>
              <w:pStyle w:val="TableParagraph"/>
              <w:spacing w:before="44"/>
              <w:ind w:left="135"/>
              <w:rPr>
                <w:sz w:val="21"/>
              </w:rPr>
            </w:pPr>
            <w:r>
              <w:rPr>
                <w:sz w:val="21"/>
              </w:rPr>
              <w:t>指经组织病理学检查被明确诊断为下列恶性病变，并且接受了相应的治疗。</w:t>
            </w:r>
          </w:p>
          <w:p>
            <w:pPr>
              <w:pStyle w:val="TableParagraph"/>
              <w:spacing w:before="44"/>
              <w:ind w:left="135"/>
              <w:rPr>
                <w:sz w:val="21"/>
              </w:rPr>
            </w:pPr>
            <w:r>
              <w:rPr>
                <w:sz w:val="21"/>
              </w:rPr>
              <w:t>（1）原位癌；</w:t>
            </w:r>
          </w:p>
          <w:p>
            <w:pPr>
              <w:pStyle w:val="TableParagraph"/>
              <w:spacing w:line="264" w:lineRule="exact" w:before="46"/>
              <w:ind w:left="135"/>
              <w:rPr>
                <w:sz w:val="21"/>
              </w:rPr>
            </w:pPr>
            <w:r>
              <w:rPr>
                <w:sz w:val="21"/>
              </w:rPr>
              <w:t>（2）相当于 Binet 分期方案 A 期程度的慢性淋巴细胞白血病；</w:t>
            </w:r>
          </w:p>
        </w:tc>
      </w:tr>
    </w:tbl>
    <w:p>
      <w:pPr>
        <w:spacing w:after="0" w:line="264" w:lineRule="exact"/>
        <w:rPr>
          <w:sz w:val="21"/>
        </w:rPr>
        <w:sectPr>
          <w:pgSz w:w="11910" w:h="16840"/>
          <w:pgMar w:top="1460" w:bottom="280" w:left="980" w:right="920"/>
        </w:sectPr>
      </w:pPr>
    </w:p>
    <w:tbl>
      <w:tblPr>
        <w:tblW w:w="0" w:type="auto"/>
        <w:jc w:val="left"/>
        <w:tblInd w:w="1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7"/>
      </w:tblGrid>
      <w:tr>
        <w:trPr>
          <w:trHeight w:val="1936" w:hRule="atLeast"/>
        </w:trPr>
        <w:tc>
          <w:tcPr>
            <w:tcW w:w="7337" w:type="dxa"/>
          </w:tcPr>
          <w:p>
            <w:pPr>
              <w:pStyle w:val="TableParagraph"/>
              <w:spacing w:line="206" w:lineRule="exact"/>
              <w:rPr>
                <w:sz w:val="21"/>
              </w:rPr>
            </w:pPr>
            <w:r>
              <w:rPr>
                <w:sz w:val="21"/>
              </w:rPr>
              <w:t>（3）相当于 Ann Arbor 分期方案 I 期程度的何杰金氏病；</w:t>
            </w:r>
          </w:p>
          <w:p>
            <w:pPr>
              <w:pStyle w:val="TableParagraph"/>
              <w:spacing w:before="4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43"/>
              <w:rPr>
                <w:sz w:val="21"/>
              </w:rPr>
            </w:pPr>
            <w:r>
              <w:rPr>
                <w:sz w:val="21"/>
              </w:rPr>
              <w:t>（5）TNM 分期为 T1N0M0 期或更轻分期的前列腺癌。</w:t>
            </w:r>
          </w:p>
          <w:p>
            <w:pPr>
              <w:pStyle w:val="TableParagraph"/>
              <w:spacing w:line="278" w:lineRule="auto" w:before="46"/>
              <w:ind w:right="197"/>
              <w:rPr>
                <w:sz w:val="21"/>
              </w:rPr>
            </w:pPr>
            <w:r>
              <w:rPr>
                <w:sz w:val="21"/>
              </w:rPr>
              <w:t>上述原位癌是指恶性细胞局限于上皮内尚未穿破基底膜浸润周围正常组织的癌细胞新生物。原位癌必须经对固定活组织的组织病理学检查明确诊断。被保险人必须已经接受了针对原位癌病灶的积极治疗。</w:t>
            </w:r>
          </w:p>
        </w:tc>
      </w:tr>
      <w:tr>
        <w:trPr>
          <w:trHeight w:val="2063" w:hRule="atLeast"/>
        </w:trPr>
        <w:tc>
          <w:tcPr>
            <w:tcW w:w="7337" w:type="dxa"/>
          </w:tcPr>
          <w:p>
            <w:pPr>
              <w:pStyle w:val="TableParagraph"/>
              <w:spacing w:before="57"/>
              <w:rPr>
                <w:sz w:val="21"/>
              </w:rPr>
            </w:pPr>
            <w:r>
              <w:rPr>
                <w:sz w:val="21"/>
              </w:rPr>
              <w:t>（二）脑垂体瘤、脑囊肿、脑动脉瘤和脑血管瘤</w:t>
            </w:r>
          </w:p>
          <w:p>
            <w:pPr>
              <w:pStyle w:val="TableParagraph"/>
              <w:spacing w:line="280" w:lineRule="auto" w:before="44"/>
              <w:ind w:right="264"/>
              <w:rPr>
                <w:sz w:val="21"/>
              </w:rPr>
            </w:pPr>
            <w:r>
              <w:rPr>
                <w:spacing w:val="-5"/>
                <w:w w:val="100"/>
                <w:sz w:val="21"/>
              </w:rPr>
              <w:t>指经头颅断层扫描</w:t>
            </w:r>
            <w:r>
              <w:rPr>
                <w:w w:val="100"/>
                <w:sz w:val="21"/>
              </w:rPr>
              <w:t>（</w:t>
            </w:r>
            <w:r>
              <w:rPr>
                <w:spacing w:val="-3"/>
                <w:w w:val="100"/>
                <w:sz w:val="21"/>
              </w:rPr>
              <w:t>C</w:t>
            </w:r>
            <w:r>
              <w:rPr>
                <w:w w:val="100"/>
                <w:sz w:val="21"/>
              </w:rPr>
              <w:t>T</w:t>
            </w:r>
            <w:r>
              <w:rPr>
                <w:spacing w:val="-106"/>
                <w:w w:val="100"/>
                <w:sz w:val="21"/>
              </w:rPr>
              <w:t>）</w:t>
            </w:r>
            <w:r>
              <w:rPr>
                <w:spacing w:val="-9"/>
                <w:w w:val="100"/>
                <w:sz w:val="21"/>
              </w:rPr>
              <w:t>、核磁共振</w:t>
            </w:r>
            <w:r>
              <w:rPr>
                <w:w w:val="100"/>
                <w:sz w:val="21"/>
              </w:rPr>
              <w:t>（</w:t>
            </w:r>
            <w:r>
              <w:rPr>
                <w:spacing w:val="-3"/>
                <w:w w:val="100"/>
                <w:sz w:val="21"/>
              </w:rPr>
              <w:t>M</w:t>
            </w:r>
            <w:r>
              <w:rPr>
                <w:w w:val="100"/>
                <w:sz w:val="21"/>
              </w:rPr>
              <w:t>R</w:t>
            </w:r>
            <w:r>
              <w:rPr>
                <w:spacing w:val="-1"/>
                <w:w w:val="100"/>
                <w:sz w:val="21"/>
              </w:rPr>
              <w:t>I</w:t>
            </w:r>
            <w:r>
              <w:rPr>
                <w:spacing w:val="-20"/>
                <w:w w:val="100"/>
                <w:sz w:val="21"/>
              </w:rPr>
              <w:t>）</w:t>
            </w:r>
            <w:r>
              <w:rPr>
                <w:spacing w:val="-3"/>
                <w:w w:val="100"/>
                <w:sz w:val="21"/>
              </w:rPr>
              <w:t>或其他影像学检查被确诊为下列</w:t>
            </w:r>
            <w:r>
              <w:rPr>
                <w:spacing w:val="-3"/>
                <w:sz w:val="21"/>
              </w:rPr>
              <w:t>病变，并实际接受了手术或放射治疗。</w:t>
            </w:r>
          </w:p>
          <w:p>
            <w:pPr>
              <w:pStyle w:val="TableParagraph"/>
              <w:spacing w:before="9"/>
              <w:rPr>
                <w:sz w:val="21"/>
              </w:rPr>
            </w:pPr>
            <w:r>
              <w:rPr>
                <w:sz w:val="21"/>
              </w:rPr>
              <w:t>（1）脑垂体瘤；</w:t>
            </w:r>
          </w:p>
          <w:p>
            <w:pPr>
              <w:pStyle w:val="TableParagraph"/>
              <w:spacing w:before="44"/>
              <w:rPr>
                <w:sz w:val="21"/>
              </w:rPr>
            </w:pPr>
            <w:r>
              <w:rPr>
                <w:sz w:val="21"/>
              </w:rPr>
              <w:t>（2）脑囊肿；</w:t>
            </w:r>
          </w:p>
          <w:p>
            <w:pPr>
              <w:pStyle w:val="TableParagraph"/>
              <w:spacing w:before="46"/>
              <w:rPr>
                <w:sz w:val="21"/>
              </w:rPr>
            </w:pPr>
            <w:r>
              <w:rPr>
                <w:sz w:val="21"/>
              </w:rPr>
              <w:t>（3）脑动脉瘤、脑血管瘤。</w:t>
            </w:r>
          </w:p>
        </w:tc>
      </w:tr>
      <w:tr>
        <w:trPr>
          <w:trHeight w:val="1101" w:hRule="atLeast"/>
        </w:trPr>
        <w:tc>
          <w:tcPr>
            <w:tcW w:w="7337" w:type="dxa"/>
          </w:tcPr>
          <w:p>
            <w:pPr>
              <w:pStyle w:val="TableParagraph"/>
              <w:spacing w:before="56"/>
              <w:rPr>
                <w:sz w:val="21"/>
              </w:rPr>
            </w:pPr>
            <w:r>
              <w:rPr>
                <w:sz w:val="21"/>
              </w:rPr>
              <w:t>（三）心脏瓣膜介入手术</w:t>
            </w:r>
          </w:p>
          <w:p>
            <w:pPr>
              <w:pStyle w:val="TableParagraph"/>
              <w:spacing w:line="278" w:lineRule="auto" w:before="46"/>
              <w:ind w:right="265"/>
              <w:rPr>
                <w:sz w:val="21"/>
              </w:rPr>
            </w:pPr>
            <w:r>
              <w:rPr>
                <w:spacing w:val="-9"/>
                <w:sz w:val="21"/>
              </w:rPr>
              <w:t>为了治疗心脏瓣膜疾病，实际实施了非开胸的经胸壁打孔内镜手术或经皮经</w:t>
            </w:r>
            <w:r>
              <w:rPr>
                <w:spacing w:val="-5"/>
                <w:sz w:val="21"/>
              </w:rPr>
              <w:t>导管介入手术进行的心脏瓣膜置换或修复手术。</w:t>
            </w:r>
          </w:p>
        </w:tc>
      </w:tr>
      <w:tr>
        <w:trPr>
          <w:trHeight w:val="1102" w:hRule="atLeast"/>
        </w:trPr>
        <w:tc>
          <w:tcPr>
            <w:tcW w:w="7337" w:type="dxa"/>
          </w:tcPr>
          <w:p>
            <w:pPr>
              <w:pStyle w:val="TableParagraph"/>
              <w:spacing w:before="56"/>
              <w:rPr>
                <w:sz w:val="21"/>
              </w:rPr>
            </w:pPr>
            <w:r>
              <w:rPr>
                <w:sz w:val="21"/>
              </w:rPr>
              <w:t>（四）单肢缺失</w:t>
            </w:r>
          </w:p>
          <w:p>
            <w:pPr>
              <w:pStyle w:val="TableParagraph"/>
              <w:spacing w:line="278" w:lineRule="auto" w:before="46"/>
              <w:ind w:right="194"/>
              <w:rPr>
                <w:sz w:val="21"/>
              </w:rPr>
            </w:pPr>
            <w:r>
              <w:rPr>
                <w:sz w:val="21"/>
              </w:rPr>
              <w:t>指因疾病或意外伤害导致一个肢体自腕关节或踝关节近端（靠近躯干端）以上完全性断离。</w:t>
            </w:r>
          </w:p>
        </w:tc>
      </w:tr>
      <w:tr>
        <w:trPr>
          <w:trHeight w:val="1101" w:hRule="atLeast"/>
        </w:trPr>
        <w:tc>
          <w:tcPr>
            <w:tcW w:w="7337" w:type="dxa"/>
          </w:tcPr>
          <w:p>
            <w:pPr>
              <w:pStyle w:val="TableParagraph"/>
              <w:spacing w:before="57"/>
              <w:rPr>
                <w:sz w:val="21"/>
              </w:rPr>
            </w:pPr>
            <w:r>
              <w:rPr>
                <w:sz w:val="21"/>
              </w:rPr>
              <w:t>（五）较小面积 III 度烧伤</w:t>
            </w:r>
          </w:p>
          <w:p>
            <w:pPr>
              <w:pStyle w:val="TableParagraph"/>
              <w:spacing w:line="278" w:lineRule="auto" w:before="44"/>
              <w:ind w:right="264"/>
              <w:rPr>
                <w:sz w:val="21"/>
              </w:rPr>
            </w:pPr>
            <w:r>
              <w:rPr>
                <w:sz w:val="21"/>
              </w:rPr>
              <w:t>指烧伤程度为Ⅲ度，且Ⅲ度烧伤的面积达到全身体表面积的</w:t>
            </w:r>
            <w:r>
              <w:rPr>
                <w:spacing w:val="41"/>
                <w:sz w:val="21"/>
              </w:rPr>
              <w:t> </w:t>
            </w:r>
            <w:r>
              <w:rPr>
                <w:sz w:val="21"/>
              </w:rPr>
              <w:t>15％或 </w:t>
            </w:r>
            <w:r>
              <w:rPr>
                <w:spacing w:val="-3"/>
                <w:w w:val="100"/>
                <w:sz w:val="21"/>
              </w:rPr>
              <w:drawing>
                <wp:inline distT="0" distB="0" distL="0" distR="0">
                  <wp:extent cx="62865" cy="9429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2865" cy="94297"/>
                          </a:xfrm>
                          <a:prstGeom prst="rect">
                            <a:avLst/>
                          </a:prstGeom>
                        </pic:spPr>
                      </pic:pic>
                    </a:graphicData>
                  </a:graphic>
                </wp:inline>
              </w:drawing>
            </w:r>
            <w:r>
              <w:rPr>
                <w:spacing w:val="-3"/>
                <w:w w:val="100"/>
                <w:sz w:val="21"/>
              </w:rPr>
            </w:r>
            <w:r>
              <w:rPr>
                <w:sz w:val="21"/>
              </w:rPr>
              <w:t>以 </w:t>
            </w:r>
            <w:r>
              <w:rPr>
                <w:spacing w:val="-6"/>
                <w:sz w:val="21"/>
              </w:rPr>
              <w:t>上，但少于 </w:t>
            </w:r>
            <w:r>
              <w:rPr>
                <w:sz w:val="21"/>
              </w:rPr>
              <w:t>20</w:t>
            </w:r>
            <w:r>
              <w:rPr>
                <w:spacing w:val="-3"/>
                <w:sz w:val="21"/>
              </w:rPr>
              <w:t>。体表面积根据《中国新九分法》计算。</w:t>
            </w:r>
          </w:p>
        </w:tc>
      </w:tr>
      <w:tr>
        <w:trPr>
          <w:trHeight w:val="462" w:hRule="atLeast"/>
        </w:trPr>
        <w:tc>
          <w:tcPr>
            <w:tcW w:w="7337" w:type="dxa"/>
          </w:tcPr>
          <w:p>
            <w:pPr>
              <w:pStyle w:val="TableParagraph"/>
              <w:spacing w:before="57"/>
              <w:rPr>
                <w:sz w:val="21"/>
              </w:rPr>
            </w:pPr>
            <w:r>
              <w:rPr>
                <w:sz w:val="21"/>
              </w:rPr>
              <w:t>本条目“7 重大疾病及特定疾病”所述各项疾病定义中部分术语释义如下：</w:t>
            </w:r>
          </w:p>
        </w:tc>
      </w:tr>
      <w:tr>
        <w:trPr>
          <w:trHeight w:val="2702" w:hRule="atLeast"/>
        </w:trPr>
        <w:tc>
          <w:tcPr>
            <w:tcW w:w="7337" w:type="dxa"/>
          </w:tcPr>
          <w:p>
            <w:pPr>
              <w:pStyle w:val="TableParagraph"/>
              <w:spacing w:before="56"/>
              <w:rPr>
                <w:sz w:val="21"/>
              </w:rPr>
            </w:pPr>
            <w:r>
              <w:rPr>
                <w:sz w:val="21"/>
              </w:rPr>
              <w:t>（一）专科医生</w:t>
            </w:r>
          </w:p>
          <w:p>
            <w:pPr>
              <w:pStyle w:val="TableParagraph"/>
              <w:spacing w:before="46"/>
              <w:rPr>
                <w:sz w:val="21"/>
              </w:rPr>
            </w:pPr>
            <w:r>
              <w:rPr>
                <w:sz w:val="21"/>
              </w:rPr>
              <w:t>专科医生应当同时满足以下四项资格条件：</w:t>
            </w:r>
          </w:p>
          <w:p>
            <w:pPr>
              <w:pStyle w:val="TableParagraph"/>
              <w:spacing w:before="44"/>
              <w:rPr>
                <w:sz w:val="21"/>
              </w:rPr>
            </w:pPr>
            <w:r>
              <w:rPr>
                <w:sz w:val="21"/>
              </w:rPr>
              <w:t>(1)具有有效的中华人民共和国《医师资格证书》；</w:t>
            </w:r>
          </w:p>
          <w:p>
            <w:pPr>
              <w:pStyle w:val="TableParagraph"/>
              <w:spacing w:line="280" w:lineRule="auto" w:before="44"/>
              <w:ind w:right="264"/>
              <w:rPr>
                <w:sz w:val="21"/>
              </w:rPr>
            </w:pPr>
            <w:r>
              <w:rPr>
                <w:sz w:val="21"/>
              </w:rPr>
              <w:t>(2)</w:t>
            </w:r>
            <w:r>
              <w:rPr>
                <w:spacing w:val="-13"/>
                <w:sz w:val="21"/>
              </w:rPr>
              <w:t>具有有效的中华人民共和国《医师执业证书》，并按期到相关部门登记注册；</w:t>
            </w:r>
          </w:p>
          <w:p>
            <w:pPr>
              <w:pStyle w:val="TableParagraph"/>
              <w:spacing w:line="278" w:lineRule="auto" w:before="8"/>
              <w:ind w:right="305"/>
              <w:rPr>
                <w:sz w:val="21"/>
              </w:rPr>
            </w:pPr>
            <w:r>
              <w:rPr>
                <w:sz w:val="21"/>
              </w:rPr>
              <w:t>(3)具有有效的中华人民共和国主治医师或主治医师以上职称的《医师职称证书》；</w:t>
            </w:r>
          </w:p>
          <w:p>
            <w:pPr>
              <w:pStyle w:val="TableParagraph"/>
              <w:spacing w:before="12"/>
              <w:rPr>
                <w:sz w:val="21"/>
              </w:rPr>
            </w:pPr>
            <w:r>
              <w:rPr>
                <w:sz w:val="21"/>
              </w:rPr>
              <w:t>(4)在二级或二级以上医院的相应科室从事临床工作三年以上。</w:t>
            </w:r>
          </w:p>
        </w:tc>
      </w:tr>
      <w:tr>
        <w:trPr>
          <w:trHeight w:val="1101" w:hRule="atLeast"/>
        </w:trPr>
        <w:tc>
          <w:tcPr>
            <w:tcW w:w="7337" w:type="dxa"/>
          </w:tcPr>
          <w:p>
            <w:pPr>
              <w:pStyle w:val="TableParagraph"/>
              <w:spacing w:before="56"/>
              <w:rPr>
                <w:sz w:val="21"/>
              </w:rPr>
            </w:pPr>
            <w:r>
              <w:rPr>
                <w:sz w:val="21"/>
              </w:rPr>
              <w:t>（二）肢体机能完全丧失</w:t>
            </w:r>
          </w:p>
          <w:p>
            <w:pPr>
              <w:pStyle w:val="TableParagraph"/>
              <w:spacing w:line="280" w:lineRule="auto" w:before="44"/>
              <w:ind w:right="265"/>
              <w:rPr>
                <w:sz w:val="21"/>
              </w:rPr>
            </w:pPr>
            <w:r>
              <w:rPr>
                <w:spacing w:val="-7"/>
                <w:sz w:val="21"/>
              </w:rPr>
              <w:t>指肢体的三大关节中的两大关节僵硬，或不能随意识活动。肢体是指包括肩</w:t>
            </w:r>
            <w:r>
              <w:rPr>
                <w:spacing w:val="-5"/>
                <w:sz w:val="21"/>
              </w:rPr>
              <w:t>关节的整个上肢或包括髋关节的整个下肢。</w:t>
            </w:r>
          </w:p>
        </w:tc>
      </w:tr>
      <w:tr>
        <w:trPr>
          <w:trHeight w:val="1937" w:hRule="atLeast"/>
        </w:trPr>
        <w:tc>
          <w:tcPr>
            <w:tcW w:w="7337" w:type="dxa"/>
          </w:tcPr>
          <w:p>
            <w:pPr>
              <w:pStyle w:val="TableParagraph"/>
              <w:spacing w:before="56"/>
              <w:rPr>
                <w:sz w:val="21"/>
              </w:rPr>
            </w:pPr>
            <w:r>
              <w:rPr>
                <w:sz w:val="21"/>
              </w:rPr>
              <w:t>（三）语言能力或咀嚼吞咽能力完全丧失</w:t>
            </w:r>
          </w:p>
          <w:p>
            <w:pPr>
              <w:pStyle w:val="TableParagraph"/>
              <w:spacing w:line="278" w:lineRule="auto" w:before="46"/>
              <w:ind w:right="262"/>
              <w:jc w:val="both"/>
              <w:rPr>
                <w:sz w:val="21"/>
              </w:rPr>
            </w:pPr>
            <w:r>
              <w:rPr>
                <w:spacing w:val="-6"/>
                <w:sz w:val="21"/>
              </w:rPr>
              <w:t>语言能力完全丧失，指无法发出四种语音</w:t>
            </w:r>
            <w:r>
              <w:rPr>
                <w:sz w:val="21"/>
              </w:rPr>
              <w:t>（</w:t>
            </w:r>
            <w:r>
              <w:rPr>
                <w:spacing w:val="-8"/>
                <w:sz w:val="21"/>
              </w:rPr>
              <w:t>包括口唇音、齿舌音、口盖音和</w:t>
            </w:r>
            <w:r>
              <w:rPr>
                <w:spacing w:val="-7"/>
                <w:sz w:val="21"/>
              </w:rPr>
              <w:t>喉头音</w:t>
            </w:r>
            <w:r>
              <w:rPr>
                <w:spacing w:val="-22"/>
                <w:sz w:val="21"/>
              </w:rPr>
              <w:t>）</w:t>
            </w:r>
            <w:r>
              <w:rPr>
                <w:spacing w:val="-8"/>
                <w:sz w:val="21"/>
              </w:rPr>
              <w:t>中的任何三种、或声带全部切除，或因大脑语言中枢受伤害而患失语症。</w:t>
            </w:r>
          </w:p>
          <w:p>
            <w:pPr>
              <w:pStyle w:val="TableParagraph"/>
              <w:spacing w:line="320" w:lineRule="exact" w:before="2"/>
              <w:ind w:right="265"/>
              <w:jc w:val="both"/>
              <w:rPr>
                <w:sz w:val="21"/>
              </w:rPr>
            </w:pPr>
            <w:r>
              <w:rPr>
                <w:spacing w:val="-7"/>
                <w:sz w:val="21"/>
              </w:rPr>
              <w:t>咀嚼吞咽能力完全丧失，指因牙齿以外的原因导致器质障碍或机能障碍，以</w:t>
            </w:r>
            <w:r>
              <w:rPr>
                <w:spacing w:val="-5"/>
                <w:sz w:val="21"/>
              </w:rPr>
              <w:t>致不能作咀嚼吞咽运动，除流质食物外不能摄取或吞咽的状态。</w:t>
            </w:r>
          </w:p>
        </w:tc>
      </w:tr>
    </w:tbl>
    <w:p>
      <w:pPr>
        <w:rPr>
          <w:sz w:val="2"/>
          <w:szCs w:val="2"/>
        </w:rPr>
      </w:pPr>
      <w:r>
        <w:rPr/>
        <w:drawing>
          <wp:anchor distT="0" distB="0" distL="0" distR="0" allowOverlap="1" layoutInCell="1" locked="0" behindDoc="1" simplePos="0" relativeHeight="268405295">
            <wp:simplePos x="0" y="0"/>
            <wp:positionH relativeFrom="page">
              <wp:posOffset>3187319</wp:posOffset>
            </wp:positionH>
            <wp:positionV relativeFrom="page">
              <wp:posOffset>5393308</wp:posOffset>
            </wp:positionV>
            <wp:extent cx="62864" cy="94297"/>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80" w:bottom="280" w:left="1680" w:right="9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783"/>
        <w:gridCol w:w="7112"/>
      </w:tblGrid>
      <w:tr>
        <w:trPr>
          <w:trHeight w:val="2576" w:hRule="atLeast"/>
        </w:trPr>
        <w:tc>
          <w:tcPr>
            <w:tcW w:w="603" w:type="dxa"/>
          </w:tcPr>
          <w:p>
            <w:pPr>
              <w:pStyle w:val="TableParagraph"/>
              <w:ind w:left="0"/>
              <w:rPr>
                <w:rFonts w:ascii="Times New Roman"/>
                <w:sz w:val="20"/>
              </w:rPr>
            </w:pPr>
          </w:p>
        </w:tc>
        <w:tc>
          <w:tcPr>
            <w:tcW w:w="1783" w:type="dxa"/>
          </w:tcPr>
          <w:p>
            <w:pPr>
              <w:pStyle w:val="TableParagraph"/>
              <w:ind w:left="0"/>
              <w:rPr>
                <w:rFonts w:ascii="Times New Roman"/>
                <w:sz w:val="20"/>
              </w:rPr>
            </w:pPr>
          </w:p>
        </w:tc>
        <w:tc>
          <w:tcPr>
            <w:tcW w:w="7112" w:type="dxa"/>
          </w:tcPr>
          <w:p>
            <w:pPr>
              <w:pStyle w:val="TableParagraph"/>
              <w:spacing w:line="206" w:lineRule="exact"/>
              <w:ind w:left="136"/>
              <w:rPr>
                <w:sz w:val="21"/>
              </w:rPr>
            </w:pPr>
            <w:r>
              <w:rPr>
                <w:sz w:val="21"/>
              </w:rPr>
              <w:t>（四）六项基本日常生活活动</w:t>
            </w:r>
          </w:p>
          <w:p>
            <w:pPr>
              <w:pStyle w:val="TableParagraph"/>
              <w:spacing w:before="44"/>
              <w:ind w:left="136"/>
              <w:rPr>
                <w:sz w:val="21"/>
              </w:rPr>
            </w:pPr>
            <w:r>
              <w:rPr>
                <w:sz w:val="21"/>
              </w:rPr>
              <w:t>六项基本日常生活活动是指：</w:t>
            </w:r>
          </w:p>
          <w:p>
            <w:pPr>
              <w:pStyle w:val="TableParagraph"/>
              <w:spacing w:before="43"/>
              <w:ind w:left="136"/>
              <w:rPr>
                <w:sz w:val="21"/>
              </w:rPr>
            </w:pPr>
            <w:r>
              <w:rPr>
                <w:sz w:val="21"/>
              </w:rPr>
              <w:t>(1)穿衣：自己能够穿衣及脱衣；</w:t>
            </w:r>
          </w:p>
          <w:p>
            <w:pPr>
              <w:pStyle w:val="TableParagraph"/>
              <w:spacing w:before="46"/>
              <w:ind w:left="136"/>
              <w:rPr>
                <w:sz w:val="21"/>
              </w:rPr>
            </w:pPr>
            <w:r>
              <w:rPr>
                <w:sz w:val="21"/>
              </w:rPr>
              <w:t>(2)移动：自己从一个房间到另一个房间；</w:t>
            </w:r>
          </w:p>
          <w:p>
            <w:pPr>
              <w:pStyle w:val="TableParagraph"/>
              <w:spacing w:before="44"/>
              <w:ind w:left="136"/>
              <w:rPr>
                <w:sz w:val="21"/>
              </w:rPr>
            </w:pPr>
            <w:r>
              <w:rPr>
                <w:sz w:val="21"/>
              </w:rPr>
              <w:t>(3)行动：自己上下床或上下轮椅；</w:t>
            </w:r>
          </w:p>
          <w:p>
            <w:pPr>
              <w:pStyle w:val="TableParagraph"/>
              <w:spacing w:before="44"/>
              <w:ind w:left="136"/>
              <w:rPr>
                <w:sz w:val="21"/>
              </w:rPr>
            </w:pPr>
            <w:r>
              <w:rPr>
                <w:sz w:val="21"/>
              </w:rPr>
              <w:t>(4)如厕：自己控制进行大小便；</w:t>
            </w:r>
          </w:p>
          <w:p>
            <w:pPr>
              <w:pStyle w:val="TableParagraph"/>
              <w:spacing w:before="46"/>
              <w:ind w:left="136"/>
              <w:rPr>
                <w:sz w:val="21"/>
              </w:rPr>
            </w:pPr>
            <w:r>
              <w:rPr>
                <w:sz w:val="21"/>
              </w:rPr>
              <w:t>(5)进食：自己从已准备好的碗或碟中取食物放入口中；</w:t>
            </w:r>
          </w:p>
          <w:p>
            <w:pPr>
              <w:pStyle w:val="TableParagraph"/>
              <w:spacing w:before="43"/>
              <w:ind w:left="136"/>
              <w:rPr>
                <w:sz w:val="21"/>
              </w:rPr>
            </w:pPr>
            <w:r>
              <w:rPr>
                <w:sz w:val="21"/>
              </w:rPr>
              <w:t>(6)洗澡：自己进行淋浴或盆浴。</w:t>
            </w:r>
          </w:p>
        </w:tc>
      </w:tr>
      <w:tr>
        <w:trPr>
          <w:trHeight w:val="1294" w:hRule="atLeast"/>
        </w:trPr>
        <w:tc>
          <w:tcPr>
            <w:tcW w:w="603" w:type="dxa"/>
          </w:tcPr>
          <w:p>
            <w:pPr>
              <w:pStyle w:val="TableParagraph"/>
              <w:ind w:left="0"/>
              <w:rPr>
                <w:rFonts w:ascii="Times New Roman"/>
                <w:sz w:val="20"/>
              </w:rPr>
            </w:pPr>
          </w:p>
        </w:tc>
        <w:tc>
          <w:tcPr>
            <w:tcW w:w="1783" w:type="dxa"/>
          </w:tcPr>
          <w:p>
            <w:pPr>
              <w:pStyle w:val="TableParagraph"/>
              <w:ind w:left="0"/>
              <w:rPr>
                <w:rFonts w:ascii="Times New Roman"/>
                <w:sz w:val="20"/>
              </w:rPr>
            </w:pPr>
          </w:p>
        </w:tc>
        <w:tc>
          <w:tcPr>
            <w:tcW w:w="7112" w:type="dxa"/>
          </w:tcPr>
          <w:p>
            <w:pPr>
              <w:pStyle w:val="TableParagraph"/>
              <w:spacing w:before="57"/>
              <w:ind w:left="136"/>
              <w:rPr>
                <w:sz w:val="21"/>
              </w:rPr>
            </w:pPr>
            <w:r>
              <w:rPr>
                <w:sz w:val="21"/>
              </w:rPr>
              <w:t>（五）永久不可逆</w:t>
            </w:r>
          </w:p>
          <w:p>
            <w:pPr>
              <w:pStyle w:val="TableParagraph"/>
              <w:spacing w:line="278" w:lineRule="auto" w:before="44"/>
              <w:ind w:left="136" w:right="102"/>
              <w:rPr>
                <w:sz w:val="21"/>
              </w:rPr>
            </w:pPr>
            <w:r>
              <w:rPr>
                <w:spacing w:val="-7"/>
                <w:sz w:val="21"/>
              </w:rPr>
              <w:t>指自疾病确诊或意外伤害发生之日起，经过积极治疗 </w:t>
            </w:r>
            <w:r>
              <w:rPr>
                <w:sz w:val="21"/>
              </w:rPr>
              <w:t>180</w:t>
            </w:r>
            <w:r>
              <w:rPr>
                <w:spacing w:val="-10"/>
                <w:sz w:val="21"/>
              </w:rPr>
              <w:t> 天后，仍无法通过</w:t>
            </w:r>
            <w:r>
              <w:rPr>
                <w:spacing w:val="-5"/>
                <w:sz w:val="21"/>
              </w:rPr>
              <w:t>现有医疗手段恢复。</w:t>
            </w:r>
          </w:p>
        </w:tc>
      </w:tr>
      <w:tr>
        <w:trPr>
          <w:trHeight w:val="312" w:hRule="atLeast"/>
        </w:trPr>
        <w:tc>
          <w:tcPr>
            <w:tcW w:w="603" w:type="dxa"/>
            <w:shd w:val="clear" w:color="auto" w:fill="A6A6A6"/>
          </w:tcPr>
          <w:p>
            <w:pPr>
              <w:pStyle w:val="TableParagraph"/>
              <w:spacing w:line="258" w:lineRule="exact"/>
              <w:ind w:left="108"/>
              <w:rPr>
                <w:rFonts w:ascii="黑体"/>
                <w:b/>
                <w:sz w:val="21"/>
              </w:rPr>
            </w:pPr>
            <w:r>
              <w:rPr>
                <w:rFonts w:ascii="黑体"/>
                <w:b/>
                <w:w w:val="99"/>
                <w:sz w:val="21"/>
              </w:rPr>
              <w:t>8</w:t>
            </w:r>
          </w:p>
        </w:tc>
        <w:tc>
          <w:tcPr>
            <w:tcW w:w="1783" w:type="dxa"/>
            <w:shd w:val="clear" w:color="auto" w:fill="A6A6A6"/>
          </w:tcPr>
          <w:p>
            <w:pPr>
              <w:pStyle w:val="TableParagraph"/>
              <w:spacing w:line="258" w:lineRule="exact"/>
              <w:ind w:left="177"/>
              <w:rPr>
                <w:rFonts w:ascii="黑体" w:eastAsia="黑体" w:hint="eastAsia"/>
                <w:b/>
                <w:sz w:val="21"/>
              </w:rPr>
            </w:pPr>
            <w:r>
              <w:rPr>
                <w:rFonts w:ascii="黑体" w:eastAsia="黑体" w:hint="eastAsia"/>
                <w:b/>
                <w:sz w:val="21"/>
              </w:rPr>
              <w:t>释义</w:t>
            </w:r>
          </w:p>
        </w:tc>
        <w:tc>
          <w:tcPr>
            <w:tcW w:w="7112" w:type="dxa"/>
            <w:shd w:val="clear" w:color="auto" w:fill="A6A6A6"/>
          </w:tcPr>
          <w:p>
            <w:pPr>
              <w:pStyle w:val="TableParagraph"/>
              <w:ind w:left="0"/>
              <w:rPr>
                <w:rFonts w:ascii="Times New Roman"/>
                <w:sz w:val="20"/>
              </w:rPr>
            </w:pPr>
          </w:p>
        </w:tc>
      </w:tr>
      <w:tr>
        <w:trPr>
          <w:trHeight w:val="837" w:hRule="atLeast"/>
        </w:trPr>
        <w:tc>
          <w:tcPr>
            <w:tcW w:w="603" w:type="dxa"/>
          </w:tcPr>
          <w:p>
            <w:pPr>
              <w:pStyle w:val="TableParagraph"/>
              <w:spacing w:before="124"/>
              <w:ind w:left="108"/>
              <w:rPr>
                <w:rFonts w:ascii="黑体"/>
                <w:sz w:val="21"/>
              </w:rPr>
            </w:pPr>
            <w:r>
              <w:rPr>
                <w:rFonts w:ascii="黑体"/>
                <w:sz w:val="21"/>
              </w:rPr>
              <w:t>8.1</w:t>
            </w:r>
          </w:p>
        </w:tc>
        <w:tc>
          <w:tcPr>
            <w:tcW w:w="1783" w:type="dxa"/>
          </w:tcPr>
          <w:p>
            <w:pPr>
              <w:pStyle w:val="TableParagraph"/>
              <w:spacing w:line="273" w:lineRule="auto" w:before="124"/>
              <w:ind w:left="177" w:right="129"/>
              <w:rPr>
                <w:rFonts w:ascii="黑体" w:eastAsia="黑体" w:hint="eastAsia"/>
                <w:sz w:val="21"/>
              </w:rPr>
            </w:pPr>
            <w:r>
              <w:rPr>
                <w:rFonts w:ascii="黑体" w:eastAsia="黑体" w:hint="eastAsia"/>
                <w:sz w:val="21"/>
              </w:rPr>
              <w:t>合同Th效日对应日</w:t>
            </w:r>
          </w:p>
        </w:tc>
        <w:tc>
          <w:tcPr>
            <w:tcW w:w="7112" w:type="dxa"/>
          </w:tcPr>
          <w:p>
            <w:pPr>
              <w:pStyle w:val="TableParagraph"/>
              <w:spacing w:line="273" w:lineRule="auto" w:before="124"/>
              <w:ind w:left="131" w:right="42"/>
              <w:rPr>
                <w:sz w:val="21"/>
              </w:rPr>
            </w:pPr>
            <w:r>
              <w:rPr>
                <w:sz w:val="21"/>
              </w:rPr>
              <w:t>指本附加险合同生效日在合同生效后每年的对应日，不含合同生效日当日。如果当月没有对应的同一日，则以该月最后一日为对应日。</w:t>
            </w:r>
          </w:p>
        </w:tc>
      </w:tr>
      <w:tr>
        <w:trPr>
          <w:trHeight w:val="765" w:hRule="atLeast"/>
        </w:trPr>
        <w:tc>
          <w:tcPr>
            <w:tcW w:w="603" w:type="dxa"/>
          </w:tcPr>
          <w:p>
            <w:pPr>
              <w:pStyle w:val="TableParagraph"/>
              <w:spacing w:before="52"/>
              <w:ind w:left="108"/>
              <w:rPr>
                <w:rFonts w:ascii="黑体"/>
                <w:sz w:val="21"/>
              </w:rPr>
            </w:pPr>
            <w:r>
              <w:rPr>
                <w:rFonts w:ascii="黑体"/>
                <w:sz w:val="21"/>
              </w:rPr>
              <w:t>8.2</w:t>
            </w:r>
          </w:p>
        </w:tc>
        <w:tc>
          <w:tcPr>
            <w:tcW w:w="1783" w:type="dxa"/>
          </w:tcPr>
          <w:p>
            <w:pPr>
              <w:pStyle w:val="TableParagraph"/>
              <w:spacing w:line="273" w:lineRule="auto" w:before="52"/>
              <w:ind w:left="177" w:right="129"/>
              <w:rPr>
                <w:rFonts w:ascii="黑体" w:eastAsia="黑体" w:hint="eastAsia"/>
                <w:sz w:val="21"/>
              </w:rPr>
            </w:pPr>
            <w:r>
              <w:rPr>
                <w:rFonts w:ascii="黑体" w:eastAsia="黑体" w:hint="eastAsia"/>
                <w:sz w:val="21"/>
              </w:rPr>
              <w:t>保险费约定支付日</w:t>
            </w:r>
          </w:p>
        </w:tc>
        <w:tc>
          <w:tcPr>
            <w:tcW w:w="7112" w:type="dxa"/>
          </w:tcPr>
          <w:p>
            <w:pPr>
              <w:pStyle w:val="TableParagraph"/>
              <w:spacing w:before="52"/>
              <w:ind w:left="131"/>
              <w:rPr>
                <w:sz w:val="21"/>
              </w:rPr>
            </w:pPr>
            <w:r>
              <w:rPr>
                <w:sz w:val="21"/>
              </w:rPr>
              <w:t>指保险费的交费期间内每个合同生效日对应日。</w:t>
            </w:r>
          </w:p>
        </w:tc>
      </w:tr>
      <w:tr>
        <w:trPr>
          <w:trHeight w:val="766" w:hRule="atLeast"/>
        </w:trPr>
        <w:tc>
          <w:tcPr>
            <w:tcW w:w="603" w:type="dxa"/>
          </w:tcPr>
          <w:p>
            <w:pPr>
              <w:pStyle w:val="TableParagraph"/>
              <w:spacing w:before="52"/>
              <w:ind w:left="108"/>
              <w:rPr>
                <w:rFonts w:ascii="黑体"/>
                <w:sz w:val="21"/>
              </w:rPr>
            </w:pPr>
            <w:r>
              <w:rPr>
                <w:rFonts w:ascii="黑体"/>
                <w:sz w:val="21"/>
              </w:rPr>
              <w:t>8.3</w:t>
            </w:r>
          </w:p>
        </w:tc>
        <w:tc>
          <w:tcPr>
            <w:tcW w:w="1783" w:type="dxa"/>
          </w:tcPr>
          <w:p>
            <w:pPr>
              <w:pStyle w:val="TableParagraph"/>
              <w:spacing w:before="52"/>
              <w:ind w:left="177"/>
              <w:rPr>
                <w:rFonts w:ascii="黑体" w:eastAsia="黑体" w:hint="eastAsia"/>
                <w:sz w:val="21"/>
              </w:rPr>
            </w:pPr>
            <w:r>
              <w:rPr>
                <w:rFonts w:ascii="黑体" w:eastAsia="黑体" w:hint="eastAsia"/>
                <w:sz w:val="21"/>
              </w:rPr>
              <w:t>周岁</w:t>
            </w:r>
          </w:p>
        </w:tc>
        <w:tc>
          <w:tcPr>
            <w:tcW w:w="7112" w:type="dxa"/>
          </w:tcPr>
          <w:p>
            <w:pPr>
              <w:pStyle w:val="TableParagraph"/>
              <w:spacing w:line="273" w:lineRule="auto" w:before="52"/>
              <w:ind w:left="131" w:right="43"/>
              <w:rPr>
                <w:sz w:val="21"/>
              </w:rPr>
            </w:pPr>
            <w:r>
              <w:rPr>
                <w:sz w:val="21"/>
              </w:rPr>
              <w:t>指按有效身份证件中记载的出生日期计算的年龄，自出生之日起为零周岁， 每经过一年增加一岁，不足一年的不计。</w:t>
            </w:r>
          </w:p>
        </w:tc>
      </w:tr>
      <w:tr>
        <w:trPr>
          <w:trHeight w:val="766" w:hRule="atLeast"/>
        </w:trPr>
        <w:tc>
          <w:tcPr>
            <w:tcW w:w="603" w:type="dxa"/>
          </w:tcPr>
          <w:p>
            <w:pPr>
              <w:pStyle w:val="TableParagraph"/>
              <w:spacing w:before="54"/>
              <w:ind w:left="108"/>
              <w:rPr>
                <w:rFonts w:ascii="黑体"/>
                <w:sz w:val="21"/>
              </w:rPr>
            </w:pPr>
            <w:r>
              <w:rPr>
                <w:rFonts w:ascii="黑体"/>
                <w:sz w:val="21"/>
              </w:rPr>
              <w:t>8.4</w:t>
            </w:r>
          </w:p>
        </w:tc>
        <w:tc>
          <w:tcPr>
            <w:tcW w:w="1783" w:type="dxa"/>
          </w:tcPr>
          <w:p>
            <w:pPr>
              <w:pStyle w:val="TableParagraph"/>
              <w:spacing w:before="54"/>
              <w:ind w:left="177"/>
              <w:rPr>
                <w:rFonts w:ascii="黑体" w:eastAsia="黑体" w:hint="eastAsia"/>
                <w:sz w:val="21"/>
              </w:rPr>
            </w:pPr>
            <w:r>
              <w:rPr>
                <w:rFonts w:ascii="黑体" w:eastAsia="黑体" w:hint="eastAsia"/>
                <w:sz w:val="21"/>
              </w:rPr>
              <w:t>有效身份证件</w:t>
            </w:r>
          </w:p>
        </w:tc>
        <w:tc>
          <w:tcPr>
            <w:tcW w:w="7112" w:type="dxa"/>
          </w:tcPr>
          <w:p>
            <w:pPr>
              <w:pStyle w:val="TableParagraph"/>
              <w:spacing w:line="273" w:lineRule="auto" w:before="54"/>
              <w:ind w:left="131" w:right="46"/>
              <w:rPr>
                <w:sz w:val="21"/>
              </w:rPr>
            </w:pPr>
            <w:r>
              <w:rPr>
                <w:sz w:val="21"/>
              </w:rPr>
              <w:t>指由政府主管部门规定的证明其身份的证件，如：居民身份证、按规定可使用的有效护照、军官证、警官证、士兵证等证件。</w:t>
            </w:r>
          </w:p>
        </w:tc>
      </w:tr>
      <w:tr>
        <w:trPr>
          <w:trHeight w:val="765" w:hRule="atLeast"/>
        </w:trPr>
        <w:tc>
          <w:tcPr>
            <w:tcW w:w="603" w:type="dxa"/>
          </w:tcPr>
          <w:p>
            <w:pPr>
              <w:pStyle w:val="TableParagraph"/>
              <w:spacing w:before="52"/>
              <w:ind w:left="108"/>
              <w:rPr>
                <w:rFonts w:ascii="黑体"/>
                <w:sz w:val="21"/>
              </w:rPr>
            </w:pPr>
            <w:r>
              <w:rPr>
                <w:rFonts w:ascii="黑体"/>
                <w:sz w:val="21"/>
              </w:rPr>
              <w:t>8.5</w:t>
            </w:r>
          </w:p>
        </w:tc>
        <w:tc>
          <w:tcPr>
            <w:tcW w:w="1783" w:type="dxa"/>
          </w:tcPr>
          <w:p>
            <w:pPr>
              <w:pStyle w:val="TableParagraph"/>
              <w:spacing w:before="52"/>
              <w:ind w:left="177"/>
              <w:rPr>
                <w:rFonts w:ascii="黑体" w:eastAsia="黑体" w:hint="eastAsia"/>
                <w:sz w:val="21"/>
              </w:rPr>
            </w:pPr>
            <w:r>
              <w:rPr>
                <w:rFonts w:ascii="黑体" w:eastAsia="黑体" w:hint="eastAsia"/>
                <w:sz w:val="21"/>
              </w:rPr>
              <w:t>意外伤害</w:t>
            </w:r>
          </w:p>
        </w:tc>
        <w:tc>
          <w:tcPr>
            <w:tcW w:w="7112" w:type="dxa"/>
          </w:tcPr>
          <w:p>
            <w:pPr>
              <w:pStyle w:val="TableParagraph"/>
              <w:spacing w:line="273" w:lineRule="auto" w:before="52"/>
              <w:ind w:left="131" w:right="100"/>
              <w:rPr>
                <w:sz w:val="21"/>
              </w:rPr>
            </w:pPr>
            <w:r>
              <w:rPr>
                <w:spacing w:val="-9"/>
                <w:sz w:val="21"/>
              </w:rPr>
              <w:t>指遭受外来的、突发的、非本意的、非疾病的客观事件直接致使身体受到的伤害。</w:t>
            </w:r>
          </w:p>
        </w:tc>
      </w:tr>
      <w:tr>
        <w:trPr>
          <w:trHeight w:val="1429" w:hRule="atLeast"/>
        </w:trPr>
        <w:tc>
          <w:tcPr>
            <w:tcW w:w="603" w:type="dxa"/>
          </w:tcPr>
          <w:p>
            <w:pPr>
              <w:pStyle w:val="TableParagraph"/>
              <w:spacing w:before="53"/>
              <w:ind w:left="108"/>
              <w:rPr>
                <w:rFonts w:ascii="黑体"/>
                <w:sz w:val="21"/>
              </w:rPr>
            </w:pPr>
            <w:r>
              <w:rPr>
                <w:rFonts w:ascii="黑体"/>
                <w:sz w:val="21"/>
              </w:rPr>
              <w:t>8.6</w:t>
            </w:r>
          </w:p>
        </w:tc>
        <w:tc>
          <w:tcPr>
            <w:tcW w:w="1783" w:type="dxa"/>
          </w:tcPr>
          <w:p>
            <w:pPr>
              <w:pStyle w:val="TableParagraph"/>
              <w:spacing w:before="77"/>
              <w:ind w:left="177"/>
              <w:rPr>
                <w:rFonts w:ascii="黑体" w:eastAsia="黑体" w:hint="eastAsia"/>
                <w:sz w:val="21"/>
              </w:rPr>
            </w:pPr>
            <w:r>
              <w:rPr>
                <w:rFonts w:ascii="黑体" w:eastAsia="黑体" w:hint="eastAsia"/>
                <w:sz w:val="21"/>
              </w:rPr>
              <w:t>毒品</w:t>
            </w:r>
          </w:p>
        </w:tc>
        <w:tc>
          <w:tcPr>
            <w:tcW w:w="7112" w:type="dxa"/>
          </w:tcPr>
          <w:p>
            <w:pPr>
              <w:pStyle w:val="TableParagraph"/>
              <w:spacing w:line="278" w:lineRule="auto" w:before="77"/>
              <w:ind w:left="131" w:right="100"/>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z w:val="21"/>
              </w:rPr>
              <w:t>、吗</w:t>
            </w:r>
            <w:r>
              <w:rPr>
                <w:spacing w:val="-9"/>
                <w:sz w:val="21"/>
              </w:rPr>
              <w:t>啡、大麻、可卡因以及国家规定管制的其他能够使人形成瘾癖的麻醉药品和</w:t>
            </w:r>
            <w:r>
              <w:rPr>
                <w:spacing w:val="-11"/>
                <w:sz w:val="21"/>
              </w:rPr>
              <w:t>精神药品，但不包括由医生开具并遵医嘱使用的用于治疗疾病但含有毒品成</w:t>
            </w:r>
            <w:r>
              <w:rPr>
                <w:spacing w:val="-6"/>
                <w:sz w:val="21"/>
              </w:rPr>
              <w:t>分的处方药品。</w:t>
            </w:r>
          </w:p>
        </w:tc>
      </w:tr>
      <w:tr>
        <w:trPr>
          <w:trHeight w:val="1102" w:hRule="atLeast"/>
        </w:trPr>
        <w:tc>
          <w:tcPr>
            <w:tcW w:w="603" w:type="dxa"/>
          </w:tcPr>
          <w:p>
            <w:pPr>
              <w:pStyle w:val="TableParagraph"/>
              <w:spacing w:before="44"/>
              <w:ind w:left="108"/>
              <w:rPr>
                <w:rFonts w:ascii="黑体"/>
                <w:sz w:val="21"/>
              </w:rPr>
            </w:pPr>
            <w:r>
              <w:rPr>
                <w:rFonts w:ascii="黑体"/>
                <w:sz w:val="21"/>
              </w:rPr>
              <w:t>8.7</w:t>
            </w:r>
          </w:p>
        </w:tc>
        <w:tc>
          <w:tcPr>
            <w:tcW w:w="1783" w:type="dxa"/>
          </w:tcPr>
          <w:p>
            <w:pPr>
              <w:pStyle w:val="TableParagraph"/>
              <w:spacing w:before="68"/>
              <w:ind w:left="177"/>
              <w:rPr>
                <w:rFonts w:ascii="黑体" w:eastAsia="黑体" w:hint="eastAsia"/>
                <w:sz w:val="21"/>
              </w:rPr>
            </w:pPr>
            <w:r>
              <w:rPr>
                <w:rFonts w:ascii="黑体" w:eastAsia="黑体" w:hint="eastAsia"/>
                <w:sz w:val="21"/>
              </w:rPr>
              <w:t>酒后驾驶</w:t>
            </w:r>
          </w:p>
        </w:tc>
        <w:tc>
          <w:tcPr>
            <w:tcW w:w="7112" w:type="dxa"/>
          </w:tcPr>
          <w:p>
            <w:pPr>
              <w:pStyle w:val="TableParagraph"/>
              <w:spacing w:line="280" w:lineRule="auto" w:before="68"/>
              <w:ind w:left="131" w:right="100"/>
              <w:jc w:val="both"/>
              <w:rPr>
                <w:sz w:val="21"/>
              </w:rPr>
            </w:pPr>
            <w:r>
              <w:rPr>
                <w:spacing w:val="-10"/>
                <w:sz w:val="21"/>
              </w:rPr>
              <w:t>指经检测或鉴定，发生事故时车辆驾驶人员每百毫升血液中的酒精含量达到</w:t>
            </w:r>
            <w:r>
              <w:rPr>
                <w:spacing w:val="-9"/>
                <w:sz w:val="21"/>
              </w:rPr>
              <w:t>或超过一定的标准，公安机关交通管理部门依据《道路交通安全法》的规定</w:t>
            </w:r>
            <w:r>
              <w:rPr>
                <w:spacing w:val="-5"/>
                <w:sz w:val="21"/>
              </w:rPr>
              <w:t>认定为饮酒后驾驶或醉酒后驾驶。</w:t>
            </w:r>
          </w:p>
        </w:tc>
      </w:tr>
      <w:tr>
        <w:trPr>
          <w:trHeight w:val="2062" w:hRule="atLeast"/>
        </w:trPr>
        <w:tc>
          <w:tcPr>
            <w:tcW w:w="603" w:type="dxa"/>
          </w:tcPr>
          <w:p>
            <w:pPr>
              <w:pStyle w:val="TableParagraph"/>
              <w:spacing w:before="45"/>
              <w:ind w:left="108"/>
              <w:rPr>
                <w:rFonts w:ascii="黑体"/>
                <w:sz w:val="21"/>
              </w:rPr>
            </w:pPr>
            <w:r>
              <w:rPr>
                <w:rFonts w:ascii="黑体"/>
                <w:sz w:val="21"/>
              </w:rPr>
              <w:t>8.8</w:t>
            </w:r>
          </w:p>
        </w:tc>
        <w:tc>
          <w:tcPr>
            <w:tcW w:w="1783" w:type="dxa"/>
          </w:tcPr>
          <w:p>
            <w:pPr>
              <w:pStyle w:val="TableParagraph"/>
              <w:spacing w:line="278" w:lineRule="auto" w:before="69"/>
              <w:ind w:left="177" w:right="129"/>
              <w:rPr>
                <w:rFonts w:ascii="黑体" w:eastAsia="黑体" w:hint="eastAsia"/>
                <w:sz w:val="21"/>
              </w:rPr>
            </w:pPr>
            <w:r>
              <w:rPr>
                <w:rFonts w:ascii="黑体" w:eastAsia="黑体" w:hint="eastAsia"/>
                <w:sz w:val="21"/>
              </w:rPr>
              <w:t>无合法有效驾驶证驾驶</w:t>
            </w:r>
          </w:p>
        </w:tc>
        <w:tc>
          <w:tcPr>
            <w:tcW w:w="7112" w:type="dxa"/>
          </w:tcPr>
          <w:p>
            <w:pPr>
              <w:pStyle w:val="TableParagraph"/>
              <w:spacing w:before="69"/>
              <w:ind w:left="131"/>
              <w:rPr>
                <w:sz w:val="21"/>
              </w:rPr>
            </w:pPr>
            <w:r>
              <w:rPr>
                <w:sz w:val="21"/>
              </w:rPr>
              <w:t>指下列情形之一：</w:t>
            </w:r>
          </w:p>
          <w:p>
            <w:pPr>
              <w:pStyle w:val="TableParagraph"/>
              <w:spacing w:before="44"/>
              <w:ind w:left="131"/>
              <w:rPr>
                <w:sz w:val="21"/>
              </w:rPr>
            </w:pPr>
            <w:r>
              <w:rPr>
                <w:sz w:val="21"/>
              </w:rPr>
              <w:t>(1)没有取得驾驶资格；</w:t>
            </w:r>
          </w:p>
          <w:p>
            <w:pPr>
              <w:pStyle w:val="TableParagraph"/>
              <w:spacing w:before="44"/>
              <w:ind w:left="131"/>
              <w:rPr>
                <w:sz w:val="21"/>
              </w:rPr>
            </w:pPr>
            <w:r>
              <w:rPr>
                <w:sz w:val="21"/>
              </w:rPr>
              <w:t>(2)驾驶与驾驶证准驾车型不相符合的车辆；</w:t>
            </w:r>
          </w:p>
          <w:p>
            <w:pPr>
              <w:pStyle w:val="TableParagraph"/>
              <w:spacing w:before="47"/>
              <w:ind w:left="131"/>
              <w:rPr>
                <w:sz w:val="21"/>
              </w:rPr>
            </w:pPr>
            <w:r>
              <w:rPr>
                <w:sz w:val="21"/>
              </w:rPr>
              <w:t>(3)持审验不合格的驾驶证驾驶；</w:t>
            </w:r>
          </w:p>
          <w:p>
            <w:pPr>
              <w:pStyle w:val="TableParagraph"/>
              <w:spacing w:line="278" w:lineRule="auto" w:before="44"/>
              <w:ind w:left="131" w:right="148"/>
              <w:rPr>
                <w:sz w:val="21"/>
              </w:rPr>
            </w:pPr>
            <w:r>
              <w:rPr>
                <w:sz w:val="21"/>
              </w:rPr>
              <w:t>(4)持学习驾驶证学习驾车时，无教练员随车指导，或不按指定时间、路线学习驾车。</w:t>
            </w:r>
          </w:p>
        </w:tc>
      </w:tr>
      <w:tr>
        <w:trPr>
          <w:trHeight w:val="987" w:hRule="atLeast"/>
        </w:trPr>
        <w:tc>
          <w:tcPr>
            <w:tcW w:w="603" w:type="dxa"/>
          </w:tcPr>
          <w:p>
            <w:pPr>
              <w:pStyle w:val="TableParagraph"/>
              <w:spacing w:before="45"/>
              <w:ind w:left="108"/>
              <w:rPr>
                <w:rFonts w:ascii="黑体"/>
                <w:sz w:val="21"/>
              </w:rPr>
            </w:pPr>
            <w:r>
              <w:rPr>
                <w:rFonts w:ascii="黑体"/>
                <w:sz w:val="21"/>
              </w:rPr>
              <w:t>8.9</w:t>
            </w:r>
          </w:p>
        </w:tc>
        <w:tc>
          <w:tcPr>
            <w:tcW w:w="1783" w:type="dxa"/>
          </w:tcPr>
          <w:p>
            <w:pPr>
              <w:pStyle w:val="TableParagraph"/>
              <w:spacing w:before="69"/>
              <w:ind w:left="177"/>
              <w:rPr>
                <w:rFonts w:ascii="黑体" w:eastAsia="黑体" w:hint="eastAsia"/>
                <w:sz w:val="21"/>
              </w:rPr>
            </w:pPr>
            <w:r>
              <w:rPr>
                <w:rFonts w:ascii="黑体" w:eastAsia="黑体" w:hint="eastAsia"/>
                <w:sz w:val="21"/>
              </w:rPr>
              <w:t>无有效行驶证</w:t>
            </w:r>
          </w:p>
        </w:tc>
        <w:tc>
          <w:tcPr>
            <w:tcW w:w="7112" w:type="dxa"/>
          </w:tcPr>
          <w:p>
            <w:pPr>
              <w:pStyle w:val="TableParagraph"/>
              <w:spacing w:before="69"/>
              <w:ind w:left="131"/>
              <w:rPr>
                <w:sz w:val="21"/>
              </w:rPr>
            </w:pPr>
            <w:r>
              <w:rPr>
                <w:sz w:val="21"/>
              </w:rPr>
              <w:t>指下列情形之一：</w:t>
            </w:r>
          </w:p>
          <w:p>
            <w:pPr>
              <w:pStyle w:val="TableParagraph"/>
              <w:spacing w:before="44"/>
              <w:ind w:left="131"/>
              <w:rPr>
                <w:sz w:val="21"/>
              </w:rPr>
            </w:pPr>
            <w:r>
              <w:rPr>
                <w:sz w:val="21"/>
              </w:rPr>
              <w:t>(1)未取得行驶证；</w:t>
            </w:r>
          </w:p>
          <w:p>
            <w:pPr>
              <w:pStyle w:val="TableParagraph"/>
              <w:spacing w:line="260" w:lineRule="exact" w:before="44"/>
              <w:ind w:left="131"/>
              <w:rPr>
                <w:sz w:val="21"/>
              </w:rPr>
            </w:pPr>
            <w:r>
              <w:rPr>
                <w:sz w:val="21"/>
              </w:rPr>
              <w:t>(2)机动车被依法注销登记的；</w:t>
            </w:r>
          </w:p>
        </w:tc>
      </w:tr>
    </w:tbl>
    <w:p>
      <w:pPr>
        <w:spacing w:after="0" w:line="260" w:lineRule="exact"/>
        <w:rPr>
          <w:sz w:val="21"/>
        </w:rPr>
        <w:sectPr>
          <w:pgSz w:w="11910" w:h="16840"/>
          <w:pgMar w:top="1480" w:bottom="280" w:left="1080" w:right="11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730"/>
        <w:gridCol w:w="7325"/>
      </w:tblGrid>
      <w:tr>
        <w:trPr>
          <w:trHeight w:val="324" w:hRule="atLeast"/>
        </w:trPr>
        <w:tc>
          <w:tcPr>
            <w:tcW w:w="747" w:type="dxa"/>
          </w:tcPr>
          <w:p>
            <w:pPr>
              <w:pStyle w:val="TableParagraph"/>
              <w:ind w:left="0"/>
              <w:rPr>
                <w:rFonts w:ascii="Times New Roman"/>
                <w:sz w:val="20"/>
              </w:rPr>
            </w:pPr>
          </w:p>
        </w:tc>
        <w:tc>
          <w:tcPr>
            <w:tcW w:w="1730" w:type="dxa"/>
          </w:tcPr>
          <w:p>
            <w:pPr>
              <w:pStyle w:val="TableParagraph"/>
              <w:ind w:left="0"/>
              <w:rPr>
                <w:rFonts w:ascii="Times New Roman"/>
                <w:sz w:val="20"/>
              </w:rPr>
            </w:pPr>
          </w:p>
        </w:tc>
        <w:tc>
          <w:tcPr>
            <w:tcW w:w="7325" w:type="dxa"/>
          </w:tcPr>
          <w:p>
            <w:pPr>
              <w:pStyle w:val="TableParagraph"/>
              <w:spacing w:line="206" w:lineRule="exact"/>
              <w:ind w:left="132"/>
              <w:rPr>
                <w:sz w:val="21"/>
              </w:rPr>
            </w:pPr>
            <w:r>
              <w:rPr>
                <w:sz w:val="21"/>
              </w:rPr>
              <w:t>(3)未依法按时进行或通过机动车安全技术检验。</w:t>
            </w:r>
          </w:p>
        </w:tc>
      </w:tr>
      <w:tr>
        <w:trPr>
          <w:trHeight w:val="782" w:hRule="atLeast"/>
        </w:trPr>
        <w:tc>
          <w:tcPr>
            <w:tcW w:w="747" w:type="dxa"/>
          </w:tcPr>
          <w:p>
            <w:pPr>
              <w:pStyle w:val="TableParagraph"/>
              <w:spacing w:before="44"/>
              <w:ind w:left="181" w:right="106"/>
              <w:jc w:val="center"/>
              <w:rPr>
                <w:rFonts w:ascii="黑体"/>
                <w:sz w:val="21"/>
              </w:rPr>
            </w:pPr>
            <w:r>
              <w:rPr>
                <w:rFonts w:ascii="黑体"/>
                <w:sz w:val="21"/>
              </w:rPr>
              <w:t>8.10</w:t>
            </w:r>
          </w:p>
        </w:tc>
        <w:tc>
          <w:tcPr>
            <w:tcW w:w="1730" w:type="dxa"/>
          </w:tcPr>
          <w:p>
            <w:pPr>
              <w:pStyle w:val="TableParagraph"/>
              <w:spacing w:before="68"/>
              <w:ind w:left="125"/>
              <w:rPr>
                <w:rFonts w:ascii="黑体" w:eastAsia="黑体" w:hint="eastAsia"/>
                <w:sz w:val="21"/>
              </w:rPr>
            </w:pPr>
            <w:r>
              <w:rPr>
                <w:rFonts w:ascii="黑体" w:eastAsia="黑体" w:hint="eastAsia"/>
                <w:sz w:val="21"/>
              </w:rPr>
              <w:t>机动车</w:t>
            </w:r>
          </w:p>
        </w:tc>
        <w:tc>
          <w:tcPr>
            <w:tcW w:w="7325" w:type="dxa"/>
          </w:tcPr>
          <w:p>
            <w:pPr>
              <w:pStyle w:val="TableParagraph"/>
              <w:spacing w:line="280" w:lineRule="auto" w:before="68"/>
              <w:ind w:left="132" w:right="313"/>
              <w:rPr>
                <w:sz w:val="21"/>
              </w:rPr>
            </w:pPr>
            <w:r>
              <w:rPr>
                <w:spacing w:val="-8"/>
                <w:sz w:val="21"/>
              </w:rPr>
              <w:t>指以动力装置驱动或者牵引，上道路行驶的供人员乘用或者用于运送物品以</w:t>
            </w:r>
            <w:r>
              <w:rPr>
                <w:spacing w:val="-5"/>
                <w:sz w:val="21"/>
              </w:rPr>
              <w:t>及进行工程专项作业的轮式车辆。</w:t>
            </w:r>
          </w:p>
        </w:tc>
      </w:tr>
      <w:tr>
        <w:trPr>
          <w:trHeight w:val="782" w:hRule="atLeast"/>
        </w:trPr>
        <w:tc>
          <w:tcPr>
            <w:tcW w:w="747" w:type="dxa"/>
          </w:tcPr>
          <w:p>
            <w:pPr>
              <w:pStyle w:val="TableParagraph"/>
              <w:spacing w:before="44"/>
              <w:ind w:left="181" w:right="106"/>
              <w:jc w:val="center"/>
              <w:rPr>
                <w:rFonts w:ascii="黑体"/>
                <w:sz w:val="21"/>
              </w:rPr>
            </w:pPr>
            <w:r>
              <w:rPr>
                <w:rFonts w:ascii="黑体"/>
                <w:sz w:val="21"/>
              </w:rPr>
              <w:t>8.11</w:t>
            </w:r>
          </w:p>
        </w:tc>
        <w:tc>
          <w:tcPr>
            <w:tcW w:w="1730" w:type="dxa"/>
          </w:tcPr>
          <w:p>
            <w:pPr>
              <w:pStyle w:val="TableParagraph"/>
              <w:spacing w:before="68"/>
              <w:ind w:left="125"/>
              <w:rPr>
                <w:rFonts w:ascii="黑体" w:eastAsia="黑体" w:hint="eastAsia"/>
                <w:sz w:val="21"/>
              </w:rPr>
            </w:pPr>
            <w:r>
              <w:rPr>
                <w:rFonts w:ascii="黑体" w:eastAsia="黑体" w:hint="eastAsia"/>
                <w:sz w:val="21"/>
              </w:rPr>
              <w:t>遗传性疾病</w:t>
            </w:r>
          </w:p>
        </w:tc>
        <w:tc>
          <w:tcPr>
            <w:tcW w:w="7325" w:type="dxa"/>
          </w:tcPr>
          <w:p>
            <w:pPr>
              <w:pStyle w:val="TableParagraph"/>
              <w:spacing w:line="280" w:lineRule="auto" w:before="68"/>
              <w:ind w:left="132" w:right="247"/>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747" w:type="dxa"/>
          </w:tcPr>
          <w:p>
            <w:pPr>
              <w:pStyle w:val="TableParagraph"/>
              <w:spacing w:before="44"/>
              <w:ind w:left="181" w:right="106"/>
              <w:jc w:val="center"/>
              <w:rPr>
                <w:rFonts w:ascii="黑体"/>
                <w:sz w:val="21"/>
              </w:rPr>
            </w:pPr>
            <w:r>
              <w:rPr>
                <w:rFonts w:ascii="黑体"/>
                <w:sz w:val="21"/>
              </w:rPr>
              <w:t>8.12</w:t>
            </w:r>
          </w:p>
        </w:tc>
        <w:tc>
          <w:tcPr>
            <w:tcW w:w="1730" w:type="dxa"/>
          </w:tcPr>
          <w:p>
            <w:pPr>
              <w:pStyle w:val="TableParagraph"/>
              <w:spacing w:line="278" w:lineRule="auto" w:before="68"/>
              <w:ind w:left="125" w:right="129"/>
              <w:rPr>
                <w:rFonts w:ascii="黑体" w:eastAsia="黑体" w:hint="eastAsia"/>
                <w:sz w:val="21"/>
              </w:rPr>
            </w:pPr>
            <w:r>
              <w:rPr>
                <w:rFonts w:ascii="黑体" w:eastAsia="黑体" w:hint="eastAsia"/>
                <w:sz w:val="21"/>
              </w:rPr>
              <w:t>先天性畸形、变形或染色体异常</w:t>
            </w:r>
          </w:p>
        </w:tc>
        <w:tc>
          <w:tcPr>
            <w:tcW w:w="7325" w:type="dxa"/>
          </w:tcPr>
          <w:p>
            <w:pPr>
              <w:pStyle w:val="TableParagraph"/>
              <w:spacing w:line="278" w:lineRule="auto" w:before="68"/>
              <w:ind w:left="132" w:right="196"/>
              <w:rPr>
                <w:sz w:val="21"/>
              </w:rPr>
            </w:pPr>
            <w:r>
              <w:rPr>
                <w:spacing w:val="-7"/>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13"/>
              <w:ind w:left="132"/>
              <w:rPr>
                <w:sz w:val="21"/>
              </w:rPr>
            </w:pPr>
            <w:r>
              <w:rPr>
                <w:sz w:val="21"/>
              </w:rPr>
              <w:t>（ICD-10）确定。</w:t>
            </w:r>
          </w:p>
        </w:tc>
      </w:tr>
      <w:tr>
        <w:trPr>
          <w:trHeight w:val="1742" w:hRule="atLeast"/>
        </w:trPr>
        <w:tc>
          <w:tcPr>
            <w:tcW w:w="747" w:type="dxa"/>
          </w:tcPr>
          <w:p>
            <w:pPr>
              <w:pStyle w:val="TableParagraph"/>
              <w:spacing w:before="44"/>
              <w:ind w:left="181" w:right="106"/>
              <w:jc w:val="center"/>
              <w:rPr>
                <w:rFonts w:ascii="黑体"/>
                <w:sz w:val="21"/>
              </w:rPr>
            </w:pPr>
            <w:r>
              <w:rPr>
                <w:rFonts w:ascii="黑体"/>
                <w:sz w:val="21"/>
              </w:rPr>
              <w:t>8.13</w:t>
            </w:r>
          </w:p>
        </w:tc>
        <w:tc>
          <w:tcPr>
            <w:tcW w:w="1730" w:type="dxa"/>
          </w:tcPr>
          <w:p>
            <w:pPr>
              <w:pStyle w:val="TableParagraph"/>
              <w:spacing w:line="280" w:lineRule="auto" w:before="68"/>
              <w:ind w:left="125" w:right="129"/>
              <w:rPr>
                <w:rFonts w:ascii="黑体" w:eastAsia="黑体" w:hint="eastAsia"/>
                <w:sz w:val="21"/>
              </w:rPr>
            </w:pPr>
            <w:r>
              <w:rPr>
                <w:rFonts w:ascii="黑体" w:eastAsia="黑体" w:hint="eastAsia"/>
                <w:sz w:val="21"/>
              </w:rPr>
              <w:t>感染艾滋病病毒或患艾滋病</w:t>
            </w:r>
          </w:p>
        </w:tc>
        <w:tc>
          <w:tcPr>
            <w:tcW w:w="7325" w:type="dxa"/>
          </w:tcPr>
          <w:p>
            <w:pPr>
              <w:pStyle w:val="TableParagraph"/>
              <w:spacing w:line="280" w:lineRule="auto" w:before="68"/>
              <w:ind w:left="132" w:right="247"/>
              <w:rPr>
                <w:sz w:val="21"/>
              </w:rPr>
            </w:pPr>
            <w:r>
              <w:rPr>
                <w:sz w:val="21"/>
              </w:rPr>
              <w:t>艾滋病病毒指人类免疫缺陷病毒，英文缩写为 HIV。艾滋病指人类免疫缺陷病毒引起的获得性免疫缺陷综合征，英文缩写为 AIDS。</w:t>
            </w:r>
          </w:p>
          <w:p>
            <w:pPr>
              <w:pStyle w:val="TableParagraph"/>
              <w:spacing w:line="280" w:lineRule="auto" w:before="8"/>
              <w:ind w:left="132" w:right="210"/>
              <w:rPr>
                <w:sz w:val="21"/>
              </w:rPr>
            </w:pPr>
            <w:r>
              <w:rPr>
                <w:spacing w:val="-6"/>
                <w:sz w:val="21"/>
              </w:rPr>
              <w:t>在人体血液或其他样本中检测到艾滋病病毒或其抗体呈阳性，没有出现临床</w:t>
            </w:r>
            <w:r>
              <w:rPr>
                <w:spacing w:val="-17"/>
                <w:sz w:val="21"/>
              </w:rPr>
              <w:t>症状或体征的，为感染艾滋病病毒；如果同时出现了明显临床症状或体征的， </w:t>
            </w:r>
            <w:r>
              <w:rPr>
                <w:spacing w:val="-8"/>
                <w:sz w:val="21"/>
              </w:rPr>
              <w:t>为患艾滋病。</w:t>
            </w:r>
          </w:p>
        </w:tc>
      </w:tr>
      <w:tr>
        <w:trPr>
          <w:trHeight w:val="667" w:hRule="atLeast"/>
        </w:trPr>
        <w:tc>
          <w:tcPr>
            <w:tcW w:w="747" w:type="dxa"/>
          </w:tcPr>
          <w:p>
            <w:pPr>
              <w:pStyle w:val="TableParagraph"/>
              <w:spacing w:before="44"/>
              <w:ind w:left="181" w:right="106"/>
              <w:jc w:val="center"/>
              <w:rPr>
                <w:rFonts w:ascii="黑体"/>
                <w:sz w:val="21"/>
              </w:rPr>
            </w:pPr>
            <w:r>
              <w:rPr>
                <w:rFonts w:ascii="黑体"/>
                <w:sz w:val="21"/>
              </w:rPr>
              <w:t>8.14</w:t>
            </w:r>
          </w:p>
        </w:tc>
        <w:tc>
          <w:tcPr>
            <w:tcW w:w="1730" w:type="dxa"/>
          </w:tcPr>
          <w:p>
            <w:pPr>
              <w:pStyle w:val="TableParagraph"/>
              <w:spacing w:before="44"/>
              <w:ind w:left="125"/>
              <w:rPr>
                <w:rFonts w:ascii="黑体" w:eastAsia="黑体" w:hint="eastAsia"/>
                <w:sz w:val="21"/>
              </w:rPr>
            </w:pPr>
            <w:r>
              <w:rPr>
                <w:rFonts w:ascii="黑体" w:eastAsia="黑体" w:hint="eastAsia"/>
                <w:sz w:val="21"/>
              </w:rPr>
              <w:t>现金价值</w:t>
            </w:r>
          </w:p>
        </w:tc>
        <w:tc>
          <w:tcPr>
            <w:tcW w:w="7325" w:type="dxa"/>
          </w:tcPr>
          <w:p>
            <w:pPr>
              <w:pStyle w:val="TableParagraph"/>
              <w:spacing w:line="320" w:lineRule="atLeast" w:before="23"/>
              <w:ind w:left="132" w:right="257"/>
              <w:rPr>
                <w:sz w:val="21"/>
              </w:rPr>
            </w:pPr>
            <w:r>
              <w:rPr>
                <w:sz w:val="21"/>
              </w:rPr>
              <w:t>指本附加险合同所具有的价值，通常体现为解除合同时，根据精算原理计算的，由我们退还的那部分金额。现金价值见本合同材料相应栏目。</w:t>
            </w:r>
          </w:p>
        </w:tc>
      </w:tr>
    </w:tbl>
    <w:sectPr>
      <w:pgSz w:w="11910" w:h="16840"/>
      <w:pgMar w:top="148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Wingdings">
    <w:altName w:val="Wingdings"/>
    <w:charset w:val="2"/>
    <w:family w:val="auto"/>
    <w:pitch w:val="variable"/>
  </w:font>
  <w:font w:name="仿宋">
    <w:altName w:val="仿宋"/>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67" w:hanging="632"/>
        <w:jc w:val="left"/>
      </w:pPr>
      <w:rPr>
        <w:rFonts w:hint="default" w:ascii="楷体" w:hAnsi="楷体" w:eastAsia="楷体" w:cs="楷体"/>
        <w:w w:val="100"/>
        <w:sz w:val="21"/>
        <w:szCs w:val="21"/>
      </w:rPr>
    </w:lvl>
    <w:lvl w:ilvl="1">
      <w:start w:val="0"/>
      <w:numFmt w:val="bullet"/>
      <w:lvlText w:val="•"/>
      <w:lvlJc w:val="left"/>
      <w:pPr>
        <w:ind w:left="1415" w:hanging="632"/>
      </w:pPr>
      <w:rPr>
        <w:rFonts w:hint="default"/>
      </w:rPr>
    </w:lvl>
    <w:lvl w:ilvl="2">
      <w:start w:val="0"/>
      <w:numFmt w:val="bullet"/>
      <w:lvlText w:val="•"/>
      <w:lvlJc w:val="left"/>
      <w:pPr>
        <w:ind w:left="2070" w:hanging="632"/>
      </w:pPr>
      <w:rPr>
        <w:rFonts w:hint="default"/>
      </w:rPr>
    </w:lvl>
    <w:lvl w:ilvl="3">
      <w:start w:val="0"/>
      <w:numFmt w:val="bullet"/>
      <w:lvlText w:val="•"/>
      <w:lvlJc w:val="left"/>
      <w:pPr>
        <w:ind w:left="2725" w:hanging="632"/>
      </w:pPr>
      <w:rPr>
        <w:rFonts w:hint="default"/>
      </w:rPr>
    </w:lvl>
    <w:lvl w:ilvl="4">
      <w:start w:val="0"/>
      <w:numFmt w:val="bullet"/>
      <w:lvlText w:val="•"/>
      <w:lvlJc w:val="left"/>
      <w:pPr>
        <w:ind w:left="3380" w:hanging="632"/>
      </w:pPr>
      <w:rPr>
        <w:rFonts w:hint="default"/>
      </w:rPr>
    </w:lvl>
    <w:lvl w:ilvl="5">
      <w:start w:val="0"/>
      <w:numFmt w:val="bullet"/>
      <w:lvlText w:val="•"/>
      <w:lvlJc w:val="left"/>
      <w:pPr>
        <w:ind w:left="4035" w:hanging="632"/>
      </w:pPr>
      <w:rPr>
        <w:rFonts w:hint="default"/>
      </w:rPr>
    </w:lvl>
    <w:lvl w:ilvl="6">
      <w:start w:val="0"/>
      <w:numFmt w:val="bullet"/>
      <w:lvlText w:val="•"/>
      <w:lvlJc w:val="left"/>
      <w:pPr>
        <w:ind w:left="4690" w:hanging="632"/>
      </w:pPr>
      <w:rPr>
        <w:rFonts w:hint="default"/>
      </w:rPr>
    </w:lvl>
    <w:lvl w:ilvl="7">
      <w:start w:val="0"/>
      <w:numFmt w:val="bullet"/>
      <w:lvlText w:val="•"/>
      <w:lvlJc w:val="left"/>
      <w:pPr>
        <w:ind w:left="5345" w:hanging="632"/>
      </w:pPr>
      <w:rPr>
        <w:rFonts w:hint="default"/>
      </w:rPr>
    </w:lvl>
    <w:lvl w:ilvl="8">
      <w:start w:val="0"/>
      <w:numFmt w:val="bullet"/>
      <w:lvlText w:val="•"/>
      <w:lvlJc w:val="left"/>
      <w:pPr>
        <w:ind w:left="6000" w:hanging="632"/>
      </w:pPr>
      <w:rPr>
        <w:rFonts w:hint="default"/>
      </w:rPr>
    </w:lvl>
  </w:abstractNum>
  <w:abstractNum w:abstractNumId="6">
    <w:multiLevelType w:val="hybridMultilevel"/>
    <w:lvl w:ilvl="0">
      <w:start w:val="1"/>
      <w:numFmt w:val="decimal"/>
      <w:lvlText w:val="(%1)"/>
      <w:lvlJc w:val="left"/>
      <w:pPr>
        <w:ind w:left="623" w:hanging="423"/>
        <w:jc w:val="left"/>
      </w:pPr>
      <w:rPr>
        <w:rFonts w:hint="default"/>
        <w:w w:val="100"/>
        <w:highlight w:val="lightGray"/>
      </w:rPr>
    </w:lvl>
    <w:lvl w:ilvl="1">
      <w:start w:val="0"/>
      <w:numFmt w:val="bullet"/>
      <w:lvlText w:val="•"/>
      <w:lvlJc w:val="left"/>
      <w:pPr>
        <w:ind w:left="1291" w:hanging="423"/>
      </w:pPr>
      <w:rPr>
        <w:rFonts w:hint="default"/>
      </w:rPr>
    </w:lvl>
    <w:lvl w:ilvl="2">
      <w:start w:val="0"/>
      <w:numFmt w:val="bullet"/>
      <w:lvlText w:val="•"/>
      <w:lvlJc w:val="left"/>
      <w:pPr>
        <w:ind w:left="1963" w:hanging="423"/>
      </w:pPr>
      <w:rPr>
        <w:rFonts w:hint="default"/>
      </w:rPr>
    </w:lvl>
    <w:lvl w:ilvl="3">
      <w:start w:val="0"/>
      <w:numFmt w:val="bullet"/>
      <w:lvlText w:val="•"/>
      <w:lvlJc w:val="left"/>
      <w:pPr>
        <w:ind w:left="2635" w:hanging="423"/>
      </w:pPr>
      <w:rPr>
        <w:rFonts w:hint="default"/>
      </w:rPr>
    </w:lvl>
    <w:lvl w:ilvl="4">
      <w:start w:val="0"/>
      <w:numFmt w:val="bullet"/>
      <w:lvlText w:val="•"/>
      <w:lvlJc w:val="left"/>
      <w:pPr>
        <w:ind w:left="3307" w:hanging="423"/>
      </w:pPr>
      <w:rPr>
        <w:rFonts w:hint="default"/>
      </w:rPr>
    </w:lvl>
    <w:lvl w:ilvl="5">
      <w:start w:val="0"/>
      <w:numFmt w:val="bullet"/>
      <w:lvlText w:val="•"/>
      <w:lvlJc w:val="left"/>
      <w:pPr>
        <w:ind w:left="3979" w:hanging="423"/>
      </w:pPr>
      <w:rPr>
        <w:rFonts w:hint="default"/>
      </w:rPr>
    </w:lvl>
    <w:lvl w:ilvl="6">
      <w:start w:val="0"/>
      <w:numFmt w:val="bullet"/>
      <w:lvlText w:val="•"/>
      <w:lvlJc w:val="left"/>
      <w:pPr>
        <w:ind w:left="4650" w:hanging="423"/>
      </w:pPr>
      <w:rPr>
        <w:rFonts w:hint="default"/>
      </w:rPr>
    </w:lvl>
    <w:lvl w:ilvl="7">
      <w:start w:val="0"/>
      <w:numFmt w:val="bullet"/>
      <w:lvlText w:val="•"/>
      <w:lvlJc w:val="left"/>
      <w:pPr>
        <w:ind w:left="5322" w:hanging="423"/>
      </w:pPr>
      <w:rPr>
        <w:rFonts w:hint="default"/>
      </w:rPr>
    </w:lvl>
    <w:lvl w:ilvl="8">
      <w:start w:val="0"/>
      <w:numFmt w:val="bullet"/>
      <w:lvlText w:val="•"/>
      <w:lvlJc w:val="left"/>
      <w:pPr>
        <w:ind w:left="5994" w:hanging="423"/>
      </w:pPr>
      <w:rPr>
        <w:rFonts w:hint="default"/>
      </w:rPr>
    </w:lvl>
  </w:abstractNum>
  <w:abstractNum w:abstractNumId="5">
    <w:multiLevelType w:val="hybridMultilevel"/>
    <w:lvl w:ilvl="0">
      <w:start w:val="1"/>
      <w:numFmt w:val="decimal"/>
      <w:lvlText w:val="(%1)"/>
      <w:lvlJc w:val="left"/>
      <w:pPr>
        <w:ind w:left="623" w:hanging="423"/>
        <w:jc w:val="left"/>
      </w:pPr>
      <w:rPr>
        <w:rFonts w:hint="default" w:ascii="楷体" w:hAnsi="楷体" w:eastAsia="楷体" w:cs="楷体"/>
        <w:w w:val="100"/>
        <w:sz w:val="21"/>
        <w:szCs w:val="21"/>
      </w:rPr>
    </w:lvl>
    <w:lvl w:ilvl="1">
      <w:start w:val="0"/>
      <w:numFmt w:val="bullet"/>
      <w:lvlText w:val="•"/>
      <w:lvlJc w:val="left"/>
      <w:pPr>
        <w:ind w:left="1295" w:hanging="423"/>
      </w:pPr>
      <w:rPr>
        <w:rFonts w:hint="default"/>
      </w:rPr>
    </w:lvl>
    <w:lvl w:ilvl="2">
      <w:start w:val="0"/>
      <w:numFmt w:val="bullet"/>
      <w:lvlText w:val="•"/>
      <w:lvlJc w:val="left"/>
      <w:pPr>
        <w:ind w:left="1971" w:hanging="423"/>
      </w:pPr>
      <w:rPr>
        <w:rFonts w:hint="default"/>
      </w:rPr>
    </w:lvl>
    <w:lvl w:ilvl="3">
      <w:start w:val="0"/>
      <w:numFmt w:val="bullet"/>
      <w:lvlText w:val="•"/>
      <w:lvlJc w:val="left"/>
      <w:pPr>
        <w:ind w:left="2646" w:hanging="423"/>
      </w:pPr>
      <w:rPr>
        <w:rFonts w:hint="default"/>
      </w:rPr>
    </w:lvl>
    <w:lvl w:ilvl="4">
      <w:start w:val="0"/>
      <w:numFmt w:val="bullet"/>
      <w:lvlText w:val="•"/>
      <w:lvlJc w:val="left"/>
      <w:pPr>
        <w:ind w:left="3322" w:hanging="423"/>
      </w:pPr>
      <w:rPr>
        <w:rFonts w:hint="default"/>
      </w:rPr>
    </w:lvl>
    <w:lvl w:ilvl="5">
      <w:start w:val="0"/>
      <w:numFmt w:val="bullet"/>
      <w:lvlText w:val="•"/>
      <w:lvlJc w:val="left"/>
      <w:pPr>
        <w:ind w:left="3998" w:hanging="423"/>
      </w:pPr>
      <w:rPr>
        <w:rFonts w:hint="default"/>
      </w:rPr>
    </w:lvl>
    <w:lvl w:ilvl="6">
      <w:start w:val="0"/>
      <w:numFmt w:val="bullet"/>
      <w:lvlText w:val="•"/>
      <w:lvlJc w:val="left"/>
      <w:pPr>
        <w:ind w:left="4673" w:hanging="423"/>
      </w:pPr>
      <w:rPr>
        <w:rFonts w:hint="default"/>
      </w:rPr>
    </w:lvl>
    <w:lvl w:ilvl="7">
      <w:start w:val="0"/>
      <w:numFmt w:val="bullet"/>
      <w:lvlText w:val="•"/>
      <w:lvlJc w:val="left"/>
      <w:pPr>
        <w:ind w:left="5349" w:hanging="423"/>
      </w:pPr>
      <w:rPr>
        <w:rFonts w:hint="default"/>
      </w:rPr>
    </w:lvl>
    <w:lvl w:ilvl="8">
      <w:start w:val="0"/>
      <w:numFmt w:val="bullet"/>
      <w:lvlText w:val="•"/>
      <w:lvlJc w:val="left"/>
      <w:pPr>
        <w:ind w:left="6024" w:hanging="423"/>
      </w:pPr>
      <w:rPr>
        <w:rFonts w:hint="default"/>
      </w:rPr>
    </w:lvl>
  </w:abstractNum>
  <w:abstractNum w:abstractNumId="4">
    <w:multiLevelType w:val="hybridMultilevel"/>
    <w:lvl w:ilvl="0">
      <w:start w:val="1"/>
      <w:numFmt w:val="upperRoman"/>
      <w:lvlText w:val="%1"/>
      <w:lvlJc w:val="left"/>
      <w:pPr>
        <w:ind w:left="359" w:hanging="159"/>
        <w:jc w:val="left"/>
      </w:pPr>
      <w:rPr>
        <w:rFonts w:hint="default" w:ascii="楷体" w:hAnsi="楷体" w:eastAsia="楷体" w:cs="楷体"/>
        <w:w w:val="100"/>
        <w:sz w:val="21"/>
        <w:szCs w:val="21"/>
      </w:rPr>
    </w:lvl>
    <w:lvl w:ilvl="1">
      <w:start w:val="0"/>
      <w:numFmt w:val="bullet"/>
      <w:lvlText w:val="•"/>
      <w:lvlJc w:val="left"/>
      <w:pPr>
        <w:ind w:left="1061" w:hanging="159"/>
      </w:pPr>
      <w:rPr>
        <w:rFonts w:hint="default"/>
      </w:rPr>
    </w:lvl>
    <w:lvl w:ilvl="2">
      <w:start w:val="0"/>
      <w:numFmt w:val="bullet"/>
      <w:lvlText w:val="•"/>
      <w:lvlJc w:val="left"/>
      <w:pPr>
        <w:ind w:left="1763" w:hanging="159"/>
      </w:pPr>
      <w:rPr>
        <w:rFonts w:hint="default"/>
      </w:rPr>
    </w:lvl>
    <w:lvl w:ilvl="3">
      <w:start w:val="0"/>
      <w:numFmt w:val="bullet"/>
      <w:lvlText w:val="•"/>
      <w:lvlJc w:val="left"/>
      <w:pPr>
        <w:ind w:left="2465" w:hanging="159"/>
      </w:pPr>
      <w:rPr>
        <w:rFonts w:hint="default"/>
      </w:rPr>
    </w:lvl>
    <w:lvl w:ilvl="4">
      <w:start w:val="0"/>
      <w:numFmt w:val="bullet"/>
      <w:lvlText w:val="•"/>
      <w:lvlJc w:val="left"/>
      <w:pPr>
        <w:ind w:left="3167" w:hanging="159"/>
      </w:pPr>
      <w:rPr>
        <w:rFonts w:hint="default"/>
      </w:rPr>
    </w:lvl>
    <w:lvl w:ilvl="5">
      <w:start w:val="0"/>
      <w:numFmt w:val="bullet"/>
      <w:lvlText w:val="•"/>
      <w:lvlJc w:val="left"/>
      <w:pPr>
        <w:ind w:left="3869" w:hanging="159"/>
      </w:pPr>
      <w:rPr>
        <w:rFonts w:hint="default"/>
      </w:rPr>
    </w:lvl>
    <w:lvl w:ilvl="6">
      <w:start w:val="0"/>
      <w:numFmt w:val="bullet"/>
      <w:lvlText w:val="•"/>
      <w:lvlJc w:val="left"/>
      <w:pPr>
        <w:ind w:left="4570" w:hanging="159"/>
      </w:pPr>
      <w:rPr>
        <w:rFonts w:hint="default"/>
      </w:rPr>
    </w:lvl>
    <w:lvl w:ilvl="7">
      <w:start w:val="0"/>
      <w:numFmt w:val="bullet"/>
      <w:lvlText w:val="•"/>
      <w:lvlJc w:val="left"/>
      <w:pPr>
        <w:ind w:left="5272" w:hanging="159"/>
      </w:pPr>
      <w:rPr>
        <w:rFonts w:hint="default"/>
      </w:rPr>
    </w:lvl>
    <w:lvl w:ilvl="8">
      <w:start w:val="0"/>
      <w:numFmt w:val="bullet"/>
      <w:lvlText w:val="•"/>
      <w:lvlJc w:val="left"/>
      <w:pPr>
        <w:ind w:left="5974" w:hanging="159"/>
      </w:pPr>
      <w:rPr>
        <w:rFonts w:hint="default"/>
      </w:rPr>
    </w:lvl>
  </w:abstractNum>
  <w:abstractNum w:abstractNumId="3">
    <w:multiLevelType w:val="hybridMultilevel"/>
    <w:lvl w:ilvl="0">
      <w:start w:val="3"/>
      <w:numFmt w:val="decimal"/>
      <w:lvlText w:val="%1"/>
      <w:lvlJc w:val="left"/>
      <w:pPr>
        <w:ind w:left="2623" w:hanging="672"/>
        <w:jc w:val="left"/>
      </w:pPr>
      <w:rPr>
        <w:rFonts w:hint="default"/>
      </w:rPr>
    </w:lvl>
    <w:lvl w:ilvl="1">
      <w:start w:val="1"/>
      <w:numFmt w:val="decimal"/>
      <w:lvlText w:val="%1.%2"/>
      <w:lvlJc w:val="left"/>
      <w:pPr>
        <w:ind w:left="2623" w:hanging="672"/>
        <w:jc w:val="left"/>
      </w:pPr>
      <w:rPr>
        <w:rFonts w:hint="default" w:ascii="黑体" w:hAnsi="黑体" w:eastAsia="黑体" w:cs="黑体"/>
        <w:w w:val="100"/>
        <w:position w:val="2"/>
        <w:sz w:val="21"/>
        <w:szCs w:val="21"/>
      </w:rPr>
    </w:lvl>
    <w:lvl w:ilvl="2">
      <w:start w:val="0"/>
      <w:numFmt w:val="bullet"/>
      <w:lvlText w:val="•"/>
      <w:lvlJc w:val="left"/>
      <w:pPr>
        <w:ind w:left="4037" w:hanging="672"/>
      </w:pPr>
      <w:rPr>
        <w:rFonts w:hint="default"/>
      </w:rPr>
    </w:lvl>
    <w:lvl w:ilvl="3">
      <w:start w:val="0"/>
      <w:numFmt w:val="bullet"/>
      <w:lvlText w:val="•"/>
      <w:lvlJc w:val="left"/>
      <w:pPr>
        <w:ind w:left="4745" w:hanging="672"/>
      </w:pPr>
      <w:rPr>
        <w:rFonts w:hint="default"/>
      </w:rPr>
    </w:lvl>
    <w:lvl w:ilvl="4">
      <w:start w:val="0"/>
      <w:numFmt w:val="bullet"/>
      <w:lvlText w:val="•"/>
      <w:lvlJc w:val="left"/>
      <w:pPr>
        <w:ind w:left="5454" w:hanging="672"/>
      </w:pPr>
      <w:rPr>
        <w:rFonts w:hint="default"/>
      </w:rPr>
    </w:lvl>
    <w:lvl w:ilvl="5">
      <w:start w:val="0"/>
      <w:numFmt w:val="bullet"/>
      <w:lvlText w:val="•"/>
      <w:lvlJc w:val="left"/>
      <w:pPr>
        <w:ind w:left="6163" w:hanging="672"/>
      </w:pPr>
      <w:rPr>
        <w:rFonts w:hint="default"/>
      </w:rPr>
    </w:lvl>
    <w:lvl w:ilvl="6">
      <w:start w:val="0"/>
      <w:numFmt w:val="bullet"/>
      <w:lvlText w:val="•"/>
      <w:lvlJc w:val="left"/>
      <w:pPr>
        <w:ind w:left="6871" w:hanging="672"/>
      </w:pPr>
      <w:rPr>
        <w:rFonts w:hint="default"/>
      </w:rPr>
    </w:lvl>
    <w:lvl w:ilvl="7">
      <w:start w:val="0"/>
      <w:numFmt w:val="bullet"/>
      <w:lvlText w:val="•"/>
      <w:lvlJc w:val="left"/>
      <w:pPr>
        <w:ind w:left="7580" w:hanging="672"/>
      </w:pPr>
      <w:rPr>
        <w:rFonts w:hint="default"/>
      </w:rPr>
    </w:lvl>
    <w:lvl w:ilvl="8">
      <w:start w:val="0"/>
      <w:numFmt w:val="bullet"/>
      <w:lvlText w:val="•"/>
      <w:lvlJc w:val="left"/>
      <w:pPr>
        <w:ind w:left="8289" w:hanging="672"/>
      </w:pPr>
      <w:rPr>
        <w:rFonts w:hint="default"/>
      </w:rPr>
    </w:lvl>
  </w:abstractNum>
  <w:abstractNum w:abstractNumId="2">
    <w:multiLevelType w:val="hybridMultilevel"/>
    <w:lvl w:ilvl="0">
      <w:start w:val="2"/>
      <w:numFmt w:val="decimal"/>
      <w:lvlText w:val="%1"/>
      <w:lvlJc w:val="left"/>
      <w:pPr>
        <w:ind w:left="2683" w:hanging="672"/>
        <w:jc w:val="left"/>
      </w:pPr>
      <w:rPr>
        <w:rFonts w:hint="default"/>
      </w:rPr>
    </w:lvl>
    <w:lvl w:ilvl="1">
      <w:start w:val="1"/>
      <w:numFmt w:val="decimal"/>
      <w:lvlText w:val="%1.%2"/>
      <w:lvlJc w:val="left"/>
      <w:pPr>
        <w:ind w:left="2683" w:hanging="672"/>
        <w:jc w:val="left"/>
      </w:pPr>
      <w:rPr>
        <w:rFonts w:hint="default" w:ascii="黑体" w:hAnsi="黑体" w:eastAsia="黑体" w:cs="黑体"/>
        <w:w w:val="100"/>
        <w:sz w:val="21"/>
        <w:szCs w:val="21"/>
      </w:rPr>
    </w:lvl>
    <w:lvl w:ilvl="2">
      <w:start w:val="0"/>
      <w:numFmt w:val="bullet"/>
      <w:lvlText w:val="•"/>
      <w:lvlJc w:val="left"/>
      <w:pPr>
        <w:ind w:left="4097" w:hanging="672"/>
      </w:pPr>
      <w:rPr>
        <w:rFonts w:hint="default"/>
      </w:rPr>
    </w:lvl>
    <w:lvl w:ilvl="3">
      <w:start w:val="0"/>
      <w:numFmt w:val="bullet"/>
      <w:lvlText w:val="•"/>
      <w:lvlJc w:val="left"/>
      <w:pPr>
        <w:ind w:left="4805" w:hanging="672"/>
      </w:pPr>
      <w:rPr>
        <w:rFonts w:hint="default"/>
      </w:rPr>
    </w:lvl>
    <w:lvl w:ilvl="4">
      <w:start w:val="0"/>
      <w:numFmt w:val="bullet"/>
      <w:lvlText w:val="•"/>
      <w:lvlJc w:val="left"/>
      <w:pPr>
        <w:ind w:left="5514" w:hanging="672"/>
      </w:pPr>
      <w:rPr>
        <w:rFonts w:hint="default"/>
      </w:rPr>
    </w:lvl>
    <w:lvl w:ilvl="5">
      <w:start w:val="0"/>
      <w:numFmt w:val="bullet"/>
      <w:lvlText w:val="•"/>
      <w:lvlJc w:val="left"/>
      <w:pPr>
        <w:ind w:left="6223" w:hanging="672"/>
      </w:pPr>
      <w:rPr>
        <w:rFonts w:hint="default"/>
      </w:rPr>
    </w:lvl>
    <w:lvl w:ilvl="6">
      <w:start w:val="0"/>
      <w:numFmt w:val="bullet"/>
      <w:lvlText w:val="•"/>
      <w:lvlJc w:val="left"/>
      <w:pPr>
        <w:ind w:left="6931" w:hanging="672"/>
      </w:pPr>
      <w:rPr>
        <w:rFonts w:hint="default"/>
      </w:rPr>
    </w:lvl>
    <w:lvl w:ilvl="7">
      <w:start w:val="0"/>
      <w:numFmt w:val="bullet"/>
      <w:lvlText w:val="•"/>
      <w:lvlJc w:val="left"/>
      <w:pPr>
        <w:ind w:left="7640" w:hanging="672"/>
      </w:pPr>
      <w:rPr>
        <w:rFonts w:hint="default"/>
      </w:rPr>
    </w:lvl>
    <w:lvl w:ilvl="8">
      <w:start w:val="0"/>
      <w:numFmt w:val="bullet"/>
      <w:lvlText w:val="•"/>
      <w:lvlJc w:val="left"/>
      <w:pPr>
        <w:ind w:left="8349" w:hanging="672"/>
      </w:pPr>
      <w:rPr>
        <w:rFonts w:hint="default"/>
      </w:rPr>
    </w:lvl>
  </w:abstractNum>
  <w:abstractNum w:abstractNumId="1">
    <w:multiLevelType w:val="hybridMultilevel"/>
    <w:lvl w:ilvl="0">
      <w:start w:val="1"/>
      <w:numFmt w:val="decimal"/>
      <w:lvlText w:val="%1"/>
      <w:lvlJc w:val="left"/>
      <w:pPr>
        <w:ind w:left="2683" w:hanging="672"/>
        <w:jc w:val="left"/>
      </w:pPr>
      <w:rPr>
        <w:rFonts w:hint="default"/>
      </w:rPr>
    </w:lvl>
    <w:lvl w:ilvl="1">
      <w:start w:val="1"/>
      <w:numFmt w:val="decimal"/>
      <w:lvlText w:val="%1.%2"/>
      <w:lvlJc w:val="left"/>
      <w:pPr>
        <w:ind w:left="2683" w:hanging="672"/>
        <w:jc w:val="left"/>
      </w:pPr>
      <w:rPr>
        <w:rFonts w:hint="default" w:ascii="黑体" w:hAnsi="黑体" w:eastAsia="黑体" w:cs="黑体"/>
        <w:w w:val="100"/>
        <w:sz w:val="21"/>
        <w:szCs w:val="21"/>
      </w:rPr>
    </w:lvl>
    <w:lvl w:ilvl="2">
      <w:start w:val="0"/>
      <w:numFmt w:val="bullet"/>
      <w:lvlText w:val="•"/>
      <w:lvlJc w:val="left"/>
      <w:pPr>
        <w:ind w:left="4097" w:hanging="672"/>
      </w:pPr>
      <w:rPr>
        <w:rFonts w:hint="default"/>
      </w:rPr>
    </w:lvl>
    <w:lvl w:ilvl="3">
      <w:start w:val="0"/>
      <w:numFmt w:val="bullet"/>
      <w:lvlText w:val="•"/>
      <w:lvlJc w:val="left"/>
      <w:pPr>
        <w:ind w:left="4805" w:hanging="672"/>
      </w:pPr>
      <w:rPr>
        <w:rFonts w:hint="default"/>
      </w:rPr>
    </w:lvl>
    <w:lvl w:ilvl="4">
      <w:start w:val="0"/>
      <w:numFmt w:val="bullet"/>
      <w:lvlText w:val="•"/>
      <w:lvlJc w:val="left"/>
      <w:pPr>
        <w:ind w:left="5514" w:hanging="672"/>
      </w:pPr>
      <w:rPr>
        <w:rFonts w:hint="default"/>
      </w:rPr>
    </w:lvl>
    <w:lvl w:ilvl="5">
      <w:start w:val="0"/>
      <w:numFmt w:val="bullet"/>
      <w:lvlText w:val="•"/>
      <w:lvlJc w:val="left"/>
      <w:pPr>
        <w:ind w:left="6223" w:hanging="672"/>
      </w:pPr>
      <w:rPr>
        <w:rFonts w:hint="default"/>
      </w:rPr>
    </w:lvl>
    <w:lvl w:ilvl="6">
      <w:start w:val="0"/>
      <w:numFmt w:val="bullet"/>
      <w:lvlText w:val="•"/>
      <w:lvlJc w:val="left"/>
      <w:pPr>
        <w:ind w:left="6931" w:hanging="672"/>
      </w:pPr>
      <w:rPr>
        <w:rFonts w:hint="default"/>
      </w:rPr>
    </w:lvl>
    <w:lvl w:ilvl="7">
      <w:start w:val="0"/>
      <w:numFmt w:val="bullet"/>
      <w:lvlText w:val="•"/>
      <w:lvlJc w:val="left"/>
      <w:pPr>
        <w:ind w:left="7640" w:hanging="672"/>
      </w:pPr>
      <w:rPr>
        <w:rFonts w:hint="default"/>
      </w:rPr>
    </w:lvl>
    <w:lvl w:ilvl="8">
      <w:start w:val="0"/>
      <w:numFmt w:val="bullet"/>
      <w:lvlText w:val="•"/>
      <w:lvlJc w:val="left"/>
      <w:pPr>
        <w:ind w:left="8349" w:hanging="672"/>
      </w:pPr>
      <w:rPr>
        <w:rFonts w:hint="default"/>
      </w:rPr>
    </w:lvl>
  </w:abstractNum>
  <w:abstractNum w:abstractNumId="0">
    <w:multiLevelType w:val="hybridMultilevel"/>
    <w:lvl w:ilvl="0">
      <w:start w:val="0"/>
      <w:numFmt w:val="bullet"/>
      <w:lvlText w:val=""/>
      <w:lvlJc w:val="left"/>
      <w:pPr>
        <w:ind w:left="821" w:hanging="281"/>
      </w:pPr>
      <w:rPr>
        <w:rFonts w:hint="default" w:ascii="Wingdings" w:hAnsi="Wingdings" w:eastAsia="Wingdings" w:cs="Wingdings"/>
        <w:w w:val="100"/>
        <w:sz w:val="18"/>
        <w:szCs w:val="18"/>
      </w:rPr>
    </w:lvl>
    <w:lvl w:ilvl="1">
      <w:start w:val="0"/>
      <w:numFmt w:val="bullet"/>
      <w:lvlText w:val="•"/>
      <w:lvlJc w:val="left"/>
      <w:pPr>
        <w:ind w:left="1810" w:hanging="281"/>
      </w:pPr>
      <w:rPr>
        <w:rFonts w:hint="default"/>
      </w:rPr>
    </w:lvl>
    <w:lvl w:ilvl="2">
      <w:start w:val="0"/>
      <w:numFmt w:val="bullet"/>
      <w:lvlText w:val="•"/>
      <w:lvlJc w:val="left"/>
      <w:pPr>
        <w:ind w:left="2801" w:hanging="281"/>
      </w:pPr>
      <w:rPr>
        <w:rFonts w:hint="default"/>
      </w:rPr>
    </w:lvl>
    <w:lvl w:ilvl="3">
      <w:start w:val="0"/>
      <w:numFmt w:val="bullet"/>
      <w:lvlText w:val="•"/>
      <w:lvlJc w:val="left"/>
      <w:pPr>
        <w:ind w:left="3791" w:hanging="281"/>
      </w:pPr>
      <w:rPr>
        <w:rFonts w:hint="default"/>
      </w:rPr>
    </w:lvl>
    <w:lvl w:ilvl="4">
      <w:start w:val="0"/>
      <w:numFmt w:val="bullet"/>
      <w:lvlText w:val="•"/>
      <w:lvlJc w:val="left"/>
      <w:pPr>
        <w:ind w:left="4782" w:hanging="281"/>
      </w:pPr>
      <w:rPr>
        <w:rFonts w:hint="default"/>
      </w:rPr>
    </w:lvl>
    <w:lvl w:ilvl="5">
      <w:start w:val="0"/>
      <w:numFmt w:val="bullet"/>
      <w:lvlText w:val="•"/>
      <w:lvlJc w:val="left"/>
      <w:pPr>
        <w:ind w:left="5773" w:hanging="281"/>
      </w:pPr>
      <w:rPr>
        <w:rFonts w:hint="default"/>
      </w:rPr>
    </w:lvl>
    <w:lvl w:ilvl="6">
      <w:start w:val="0"/>
      <w:numFmt w:val="bullet"/>
      <w:lvlText w:val="•"/>
      <w:lvlJc w:val="left"/>
      <w:pPr>
        <w:ind w:left="6763" w:hanging="281"/>
      </w:pPr>
      <w:rPr>
        <w:rFonts w:hint="default"/>
      </w:rPr>
    </w:lvl>
    <w:lvl w:ilvl="7">
      <w:start w:val="0"/>
      <w:numFmt w:val="bullet"/>
      <w:lvlText w:val="•"/>
      <w:lvlJc w:val="left"/>
      <w:pPr>
        <w:ind w:left="7754" w:hanging="281"/>
      </w:pPr>
      <w:rPr>
        <w:rFonts w:hint="default"/>
      </w:rPr>
    </w:lvl>
    <w:lvl w:ilvl="8">
      <w:start w:val="0"/>
      <w:numFmt w:val="bullet"/>
      <w:lvlText w:val="•"/>
      <w:lvlJc w:val="left"/>
      <w:pPr>
        <w:ind w:left="8745" w:hanging="281"/>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rPr>
  </w:style>
  <w:style w:styleId="BodyText" w:type="paragraph">
    <w:name w:val="Body Text"/>
    <w:basedOn w:val="Normal"/>
    <w:uiPriority w:val="1"/>
    <w:qFormat/>
    <w:pPr/>
    <w:rPr>
      <w:rFonts w:ascii="楷体" w:hAnsi="楷体" w:eastAsia="楷体" w:cs="楷体"/>
      <w:sz w:val="21"/>
      <w:szCs w:val="21"/>
    </w:rPr>
  </w:style>
  <w:style w:styleId="Heading1" w:type="paragraph">
    <w:name w:val="Heading 1"/>
    <w:basedOn w:val="Normal"/>
    <w:uiPriority w:val="1"/>
    <w:qFormat/>
    <w:pPr>
      <w:spacing w:line="390" w:lineRule="exact"/>
      <w:ind w:left="2040"/>
      <w:outlineLvl w:val="1"/>
    </w:pPr>
    <w:rPr>
      <w:rFonts w:ascii="黑体" w:hAnsi="黑体" w:eastAsia="黑体" w:cs="黑体"/>
      <w:b/>
      <w:bCs/>
      <w:sz w:val="32"/>
      <w:szCs w:val="32"/>
    </w:rPr>
  </w:style>
  <w:style w:styleId="Heading2" w:type="paragraph">
    <w:name w:val="Heading 2"/>
    <w:basedOn w:val="Normal"/>
    <w:uiPriority w:val="1"/>
    <w:qFormat/>
    <w:pPr>
      <w:spacing w:line="262" w:lineRule="exact"/>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6"/>
      <w:ind w:left="821" w:hanging="2414"/>
    </w:pPr>
    <w:rPr>
      <w:rFonts w:ascii="楷体" w:hAnsi="楷体" w:eastAsia="楷体" w:cs="楷体"/>
    </w:rPr>
  </w:style>
  <w:style w:styleId="TableParagraph" w:type="paragraph">
    <w:name w:val="Table Paragraph"/>
    <w:basedOn w:val="Normal"/>
    <w:uiPriority w:val="1"/>
    <w:qFormat/>
    <w:pPr>
      <w:ind w:left="200"/>
    </w:pPr>
    <w:rPr>
      <w:rFonts w:ascii="楷体" w:hAnsi="楷体" w:eastAsia="楷体" w:cs="楷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秦天</dc:creator>
  <dcterms:created xsi:type="dcterms:W3CDTF">2018-10-20T04:03:56Z</dcterms:created>
  <dcterms:modified xsi:type="dcterms:W3CDTF">2018-10-20T04:03:56Z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Creator">
    <vt:lpwstr>Microsoft® Word 2010</vt:lpwstr>
  </property>
  <property fmtid="{D5CDD505-2E9C-101B-9397-08002B2CF9AE}" pid="4" name="LastSaved">
    <vt:filetime>2018-10-19T00:00:00Z</vt:filetime>
  </property>
</Properties>
</file>