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3"/>
        </w:rPr>
      </w:pPr>
    </w:p>
    <w:p>
      <w:pPr>
        <w:spacing w:before="0"/>
        <w:ind w:left="218" w:right="0" w:firstLine="0"/>
        <w:jc w:val="left"/>
        <w:rPr>
          <w:rFonts w:ascii="黑体" w:eastAsia="黑体" w:hint="eastAsia"/>
          <w:sz w:val="32"/>
        </w:rPr>
      </w:pPr>
      <w:bookmarkStart w:name="中韩人寿保险有限公司" w:id="1"/>
      <w:bookmarkEnd w:id="1"/>
      <w:r>
        <w:rPr/>
      </w:r>
      <w:r>
        <w:rPr>
          <w:rFonts w:ascii="黑体" w:eastAsia="黑体" w:hint="eastAsia"/>
          <w:spacing w:val="-27"/>
          <w:sz w:val="32"/>
        </w:rPr>
        <w:t>附件 </w:t>
      </w:r>
      <w:r>
        <w:rPr>
          <w:rFonts w:ascii="黑体" w:eastAsia="黑体" w:hint="eastAsia"/>
          <w:sz w:val="32"/>
        </w:rPr>
        <w:t>2</w:t>
      </w:r>
    </w:p>
    <w:p>
      <w:pPr>
        <w:pStyle w:val="BodyText"/>
        <w:rPr>
          <w:rFonts w:ascii="黑体"/>
          <w:sz w:val="32"/>
        </w:rPr>
      </w:pPr>
      <w:r>
        <w:rPr/>
        <w:br w:type="column"/>
      </w:r>
      <w:r>
        <w:rPr>
          <w:rFonts w:ascii="黑体"/>
          <w:sz w:val="32"/>
        </w:rPr>
      </w:r>
    </w:p>
    <w:p>
      <w:pPr>
        <w:spacing w:before="266"/>
        <w:ind w:left="305" w:right="92" w:firstLine="0"/>
        <w:jc w:val="center"/>
        <w:rPr>
          <w:rFonts w:ascii="黑体" w:eastAsia="黑体" w:hint="eastAsia"/>
          <w:b/>
          <w:sz w:val="32"/>
        </w:rPr>
      </w:pPr>
      <w:r>
        <w:rPr>
          <w:rFonts w:ascii="黑体" w:eastAsia="黑体" w:hint="eastAsia"/>
          <w:b/>
          <w:w w:val="95"/>
          <w:sz w:val="32"/>
        </w:rPr>
        <w:t>中韩人寿保险有限公司</w:t>
      </w:r>
    </w:p>
    <w:p>
      <w:pPr>
        <w:spacing w:before="205"/>
        <w:ind w:left="310" w:right="92" w:firstLine="0"/>
        <w:jc w:val="center"/>
        <w:rPr>
          <w:rFonts w:ascii="黑体" w:eastAsia="黑体" w:hint="eastAsia"/>
          <w:b/>
          <w:sz w:val="32"/>
        </w:rPr>
      </w:pPr>
      <w:bookmarkStart w:name="中韩永佑终身重大疾病保险条款" w:id="2"/>
      <w:bookmarkEnd w:id="2"/>
      <w:r>
        <w:rPr/>
      </w:r>
      <w:r>
        <w:rPr>
          <w:rFonts w:ascii="黑体" w:eastAsia="黑体" w:hint="eastAsia"/>
          <w:b/>
          <w:w w:val="95"/>
          <w:sz w:val="32"/>
        </w:rPr>
        <w:t>中韩永佑终身重大疾病保险条款</w:t>
      </w:r>
    </w:p>
    <w:p>
      <w:pPr>
        <w:spacing w:before="113"/>
        <w:ind w:left="310" w:right="91" w:firstLine="0"/>
        <w:jc w:val="center"/>
        <w:rPr>
          <w:rFonts w:ascii="黑体" w:eastAsia="黑体" w:hint="eastAsia"/>
          <w:b/>
          <w:sz w:val="24"/>
        </w:rPr>
      </w:pPr>
      <w:r>
        <w:rPr>
          <w:rFonts w:ascii="黑体" w:eastAsia="黑体" w:hint="eastAsia"/>
          <w:b/>
          <w:sz w:val="24"/>
        </w:rPr>
        <w:t>阅 读 指 引</w:t>
      </w:r>
    </w:p>
    <w:p>
      <w:pPr>
        <w:pStyle w:val="BodyText"/>
        <w:spacing w:before="6"/>
        <w:ind w:left="177"/>
      </w:pPr>
      <w:r>
        <w:rPr/>
        <w:br w:type="column"/>
      </w:r>
      <w:r>
        <w:rPr/>
        <w:t>中韩人寿〔2014〕疾病保险 006 号</w:t>
      </w:r>
    </w:p>
    <w:p>
      <w:pPr>
        <w:pStyle w:val="BodyText"/>
        <w:spacing w:before="10"/>
        <w:rPr>
          <w:sz w:val="7"/>
        </w:rPr>
      </w:pPr>
    </w:p>
    <w:p>
      <w:pPr>
        <w:pStyle w:val="BodyText"/>
        <w:ind w:left="1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pStyle w:val="BodyText"/>
        <w:spacing w:before="43"/>
        <w:ind w:left="861"/>
      </w:pPr>
      <w:r>
        <w:rPr/>
        <w:t>请扫描以查询验证条款</w:t>
      </w:r>
    </w:p>
    <w:p>
      <w:pPr>
        <w:spacing w:after="0"/>
        <w:sectPr>
          <w:type w:val="continuous"/>
          <w:pgSz w:w="11910" w:h="16840"/>
          <w:pgMar w:top="200" w:bottom="280" w:left="1020" w:right="220"/>
          <w:cols w:num="3" w:equalWidth="0">
            <w:col w:w="1101" w:space="1364"/>
            <w:col w:w="4715" w:space="39"/>
            <w:col w:w="3451"/>
          </w:cols>
        </w:sectPr>
      </w:pPr>
    </w:p>
    <w:p>
      <w:pPr>
        <w:pStyle w:val="BodyText"/>
        <w:spacing w:before="27"/>
        <w:ind w:left="1883"/>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15134pt;width:24.55pt;height:27.5pt;mso-position-horizontal-relative:page;mso-position-vertical-relative:paragraph;z-index:-5562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2"/>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2"/>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2"/>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2"/>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2"/>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pStyle w:val="Heading1"/>
        <w:spacing w:before="59"/>
        <w:ind w:left="842"/>
      </w:pPr>
      <w:r>
        <w:rPr/>
        <w:t>您拥有的重要权益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签收本合同之日起</w:t>
      </w:r>
      <w:r>
        <w:rPr>
          <w:spacing w:val="5"/>
          <w:sz w:val="21"/>
        </w:rPr>
        <w:t> </w:t>
      </w:r>
      <w:r>
        <w:rPr>
          <w:sz w:val="21"/>
        </w:rPr>
        <w:t>10</w:t>
      </w:r>
      <w:r>
        <w:rPr>
          <w:spacing w:val="1"/>
          <w:sz w:val="21"/>
        </w:rPr>
        <w:t> </w:t>
      </w:r>
      <w:r>
        <w:rPr>
          <w:sz w:val="21"/>
        </w:rPr>
        <w:t>日（即犹豫期）内您若要求退保，我们退还保险费</w:t>
        <w:tab/>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您</w:t>
      </w:r>
      <w:r>
        <w:rPr>
          <w:sz w:val="21"/>
        </w:rPr>
        <w:t>有按</w:t>
      </w:r>
      <w:r>
        <w:rPr>
          <w:spacing w:val="2"/>
          <w:sz w:val="21"/>
        </w:rPr>
        <w:t>本</w:t>
      </w:r>
      <w:r>
        <w:rPr>
          <w:sz w:val="21"/>
        </w:rPr>
        <w:t>合同</w:t>
      </w:r>
      <w:r>
        <w:rPr>
          <w:spacing w:val="2"/>
          <w:sz w:val="21"/>
        </w:rPr>
        <w:t>约</w:t>
      </w:r>
      <w:r>
        <w:rPr>
          <w:sz w:val="21"/>
        </w:rPr>
        <w:t>定</w:t>
      </w:r>
      <w:r>
        <w:rPr>
          <w:spacing w:val="2"/>
          <w:sz w:val="21"/>
        </w:rPr>
        <w:t>申</w:t>
      </w:r>
      <w:r>
        <w:rPr>
          <w:sz w:val="21"/>
        </w:rPr>
        <w:t>请保</w:t>
      </w:r>
      <w:r>
        <w:rPr>
          <w:spacing w:val="2"/>
          <w:sz w:val="21"/>
        </w:rPr>
        <w:t>单</w:t>
      </w:r>
      <w:r>
        <w:rPr>
          <w:sz w:val="21"/>
        </w:rPr>
        <w:t>贷款</w:t>
      </w:r>
      <w:r>
        <w:rPr>
          <w:spacing w:val="2"/>
          <w:sz w:val="21"/>
        </w:rPr>
        <w:t>的</w:t>
      </w:r>
      <w:r>
        <w:rPr>
          <w:sz w:val="21"/>
        </w:rPr>
        <w:t>权利…</w:t>
        <w:tab/>
        <w:t>5.2</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 style="position:absolute;margin-left:56.639999pt;margin-top:14.933746pt;width:24.55pt;height:27.5pt;mso-position-horizontal-relative:page;mso-position-vertical-relative:paragraph;z-index:-55600"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pStyle w:val="Heading1"/>
        <w:spacing w:before="60"/>
        <w:ind w:left="842"/>
      </w:pPr>
      <w:r>
        <w:rPr/>
        <w:t>您应当特别注意的事项</w:t>
      </w:r>
    </w:p>
    <w:p>
      <w:pPr>
        <w:pStyle w:val="ListParagraph"/>
        <w:numPr>
          <w:ilvl w:val="0"/>
          <w:numId w:val="1"/>
        </w:numPr>
        <w:tabs>
          <w:tab w:pos="849" w:val="left" w:leader="none"/>
          <w:tab w:pos="850" w:val="left" w:leader="none"/>
          <w:tab w:pos="9753" w:val="right" w:leader="dot"/>
        </w:tabs>
        <w:spacing w:line="240" w:lineRule="auto" w:before="24"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2.5</w:t>
      </w:r>
    </w:p>
    <w:p>
      <w:pPr>
        <w:pStyle w:val="ListParagraph"/>
        <w:numPr>
          <w:ilvl w:val="0"/>
          <w:numId w:val="1"/>
        </w:numPr>
        <w:tabs>
          <w:tab w:pos="849" w:val="left" w:leader="none"/>
          <w:tab w:pos="850" w:val="left" w:leader="none"/>
          <w:tab w:pos="9751" w:val="right" w:leader="dot"/>
        </w:tabs>
        <w:spacing w:line="240" w:lineRule="auto" w:before="21"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0" w:val="left" w:leader="none"/>
          <w:tab w:pos="9755" w:val="right" w:leader="dot"/>
        </w:tabs>
        <w:spacing w:line="240" w:lineRule="auto" w:before="21" w:after="0"/>
        <w:ind w:left="849" w:right="0" w:hanging="454"/>
        <w:jc w:val="left"/>
        <w:rPr>
          <w:sz w:val="21"/>
        </w:rPr>
      </w:pPr>
      <w:r>
        <w:rPr>
          <w:sz w:val="21"/>
        </w:rPr>
        <w:t>您应当按时支付保险费</w:t>
        <w:tab/>
        <w:t>4.1</w:t>
      </w:r>
    </w:p>
    <w:p>
      <w:pPr>
        <w:pStyle w:val="ListParagraph"/>
        <w:numPr>
          <w:ilvl w:val="0"/>
          <w:numId w:val="1"/>
        </w:numPr>
        <w:tabs>
          <w:tab w:pos="848" w:val="left" w:leader="none"/>
          <w:tab w:pos="850" w:val="left" w:leader="none"/>
          <w:tab w:pos="9750" w:val="right" w:leader="dot"/>
        </w:tabs>
        <w:spacing w:line="240" w:lineRule="auto" w:before="21" w:after="0"/>
        <w:ind w:left="849" w:right="0" w:hanging="454"/>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848" w:val="left" w:leader="none"/>
          <w:tab w:pos="850" w:val="left" w:leader="none"/>
          <w:tab w:pos="9750" w:val="right" w:leader="dot"/>
        </w:tabs>
        <w:spacing w:line="240" w:lineRule="auto" w:before="21" w:after="0"/>
        <w:ind w:left="849"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848" w:val="left" w:leader="none"/>
          <w:tab w:pos="850" w:val="left" w:leader="none"/>
          <w:tab w:pos="9755" w:val="right" w:leader="dot"/>
        </w:tabs>
        <w:spacing w:line="240" w:lineRule="auto" w:before="21" w:after="0"/>
        <w:ind w:left="849" w:right="0" w:hanging="454"/>
        <w:jc w:val="left"/>
        <w:rPr>
          <w:sz w:val="21"/>
        </w:rPr>
      </w:pPr>
      <w:r>
        <w:rPr>
          <w:sz w:val="21"/>
        </w:rPr>
        <w:t>您有如实告知的义务</w:t>
        <w:tab/>
        <w:t>8.1</w:t>
      </w:r>
    </w:p>
    <w:p>
      <w:pPr>
        <w:pStyle w:val="ListParagraph"/>
        <w:numPr>
          <w:ilvl w:val="0"/>
          <w:numId w:val="1"/>
        </w:numPr>
        <w:tabs>
          <w:tab w:pos="848" w:val="left" w:leader="none"/>
          <w:tab w:pos="850" w:val="left" w:leader="none"/>
          <w:tab w:pos="9702" w:val="right" w:leader="dot"/>
        </w:tabs>
        <w:spacing w:line="269" w:lineRule="exact" w:before="21" w:after="0"/>
        <w:ind w:left="849"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要术</w:t>
      </w:r>
      <w:r>
        <w:rPr>
          <w:sz w:val="21"/>
        </w:rPr>
        <w:t>语</w:t>
      </w:r>
      <w:r>
        <w:rPr>
          <w:spacing w:val="-3"/>
          <w:sz w:val="21"/>
        </w:rPr>
        <w:t>进</w:t>
      </w:r>
      <w:r>
        <w:rPr>
          <w:sz w:val="21"/>
        </w:rPr>
        <w:t>行</w:t>
      </w:r>
      <w:r>
        <w:rPr>
          <w:spacing w:val="-3"/>
          <w:sz w:val="21"/>
        </w:rPr>
        <w:t>了解</w:t>
      </w:r>
      <w:r>
        <w:rPr>
          <w:sz w:val="21"/>
        </w:rPr>
        <w:t>释</w:t>
      </w:r>
      <w:r>
        <w:rPr>
          <w:spacing w:val="-39"/>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39"/>
          <w:sz w:val="21"/>
        </w:rPr>
        <w:t>，</w:t>
      </w:r>
      <w:r>
        <w:rPr>
          <w:spacing w:val="-3"/>
          <w:sz w:val="21"/>
        </w:rPr>
        <w:t>请您</w:t>
      </w:r>
      <w:r>
        <w:rPr>
          <w:sz w:val="21"/>
        </w:rPr>
        <w:t>注意</w:t>
        <w:tab/>
        <w:t>13</w:t>
      </w:r>
    </w:p>
    <w:p>
      <w:pPr>
        <w:pStyle w:val="Heading1"/>
        <w:tabs>
          <w:tab w:pos="842" w:val="left" w:leader="none"/>
        </w:tabs>
        <w:spacing w:line="438"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保险条款是保险合同的重要内容，为充分保障您的权益，请您仔细阅读本保险条款。</w:t>
      </w:r>
    </w:p>
    <w:p>
      <w:pPr>
        <w:tabs>
          <w:tab w:pos="842" w:val="left" w:leader="none"/>
        </w:tabs>
        <w:spacing w:line="374" w:lineRule="exact" w:before="0"/>
        <w:ind w:left="112" w:right="0" w:firstLine="0"/>
        <w:jc w:val="left"/>
        <w:rPr>
          <w:b/>
          <w:sz w:val="21"/>
        </w:rPr>
      </w:pPr>
      <w:r>
        <w:rPr/>
        <w:pict>
          <v:rect style="position:absolute;margin-left:77.639999pt;margin-top:17.103849pt;width:135pt;height:13.68pt;mso-position-horizontal-relative:page;mso-position-vertical-relative:paragraph;z-index:-55648" filled="true" fillcolor="#a7a8a7"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4" w:lineRule="exact"/>
        <w:jc w:val="left"/>
        <w:rPr>
          <w:sz w:val="21"/>
        </w:rPr>
        <w:sectPr>
          <w:type w:val="continuous"/>
          <w:pgSz w:w="11910" w:h="16840"/>
          <w:pgMar w:top="200" w:bottom="280" w:left="1020" w:right="220"/>
        </w:sectPr>
      </w:pPr>
    </w:p>
    <w:p>
      <w:pPr>
        <w:pStyle w:val="BodyText"/>
        <w:spacing w:line="210" w:lineRule="exact"/>
        <w:ind w:left="532"/>
        <w:rPr>
          <w:rFonts w:ascii="黑体" w:eastAsia="黑体" w:hint="eastAsia"/>
        </w:rPr>
      </w:pPr>
      <w:r>
        <w:rPr>
          <w:rFonts w:ascii="黑体" w:eastAsia="黑体" w:hint="eastAsia"/>
        </w:rPr>
        <w:t>1．</w:t>
      </w:r>
      <w:r>
        <w:rPr>
          <w:rFonts w:ascii="黑体" w:eastAsia="黑体" w:hint="eastAsia"/>
          <w:spacing w:val="-3"/>
        </w:rPr>
        <w:t>您与我们订立的合同</w:t>
      </w:r>
    </w:p>
    <w:p>
      <w:pPr>
        <w:pStyle w:val="BodyText"/>
        <w:spacing w:line="210" w:lineRule="exact"/>
        <w:ind w:left="532"/>
        <w:rPr>
          <w:rFonts w:ascii="黑体" w:eastAsia="黑体" w:hint="eastAsia"/>
        </w:rPr>
      </w:pPr>
      <w:r>
        <w:rPr/>
        <w:br w:type="column"/>
      </w:r>
      <w:r>
        <w:rPr>
          <w:rFonts w:ascii="黑体" w:eastAsia="黑体" w:hint="eastAsia"/>
        </w:rPr>
        <w:t>5.3</w:t>
      </w:r>
      <w:r>
        <w:rPr>
          <w:rFonts w:ascii="黑体" w:eastAsia="黑体" w:hint="eastAsia"/>
          <w:spacing w:val="-3"/>
        </w:rPr>
        <w:t> 保险费自动垫交</w:t>
      </w:r>
    </w:p>
    <w:p>
      <w:pPr>
        <w:pStyle w:val="BodyText"/>
        <w:spacing w:line="210" w:lineRule="exact"/>
        <w:ind w:left="532"/>
        <w:rPr>
          <w:rFonts w:ascii="黑体" w:eastAsia="黑体" w:hint="eastAsia"/>
        </w:rPr>
      </w:pPr>
      <w:r>
        <w:rPr/>
        <w:br w:type="column"/>
      </w:r>
      <w:r>
        <w:rPr>
          <w:rFonts w:ascii="黑体" w:eastAsia="黑体" w:hint="eastAsia"/>
        </w:rPr>
        <w:t>13.2 保单周年日</w:t>
      </w:r>
    </w:p>
    <w:p>
      <w:pPr>
        <w:spacing w:after="0" w:line="210" w:lineRule="exact"/>
        <w:rPr>
          <w:rFonts w:ascii="黑体" w:eastAsia="黑体" w:hint="eastAsia"/>
        </w:rPr>
        <w:sectPr>
          <w:type w:val="continuous"/>
          <w:pgSz w:w="11910" w:h="16840"/>
          <w:pgMar w:top="200" w:bottom="280" w:left="1020" w:right="220"/>
          <w:cols w:num="3" w:equalWidth="0">
            <w:col w:w="2737" w:space="522"/>
            <w:col w:w="2422" w:space="835"/>
            <w:col w:w="4154"/>
          </w:cols>
        </w:sectPr>
      </w:pPr>
    </w:p>
    <w:p>
      <w:pPr>
        <w:pStyle w:val="BodyText"/>
        <w:spacing w:before="3"/>
        <w:rPr>
          <w:rFonts w:ascii="黑体"/>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0"/>
        <w:gridCol w:w="3298"/>
        <w:gridCol w:w="766"/>
        <w:gridCol w:w="2248"/>
      </w:tblGrid>
      <w:tr>
        <w:trPr>
          <w:trHeight w:val="265" w:hRule="atLeast"/>
        </w:trPr>
        <w:tc>
          <w:tcPr>
            <w:tcW w:w="3030" w:type="dxa"/>
          </w:tcPr>
          <w:p>
            <w:pPr>
              <w:pStyle w:val="TableParagraph"/>
              <w:spacing w:line="211" w:lineRule="exact"/>
              <w:ind w:left="50"/>
              <w:rPr>
                <w:rFonts w:ascii="黑体" w:eastAsia="黑体" w:hint="eastAsia"/>
                <w:sz w:val="21"/>
              </w:rPr>
            </w:pPr>
            <w:r>
              <w:rPr>
                <w:rFonts w:ascii="黑体" w:eastAsia="黑体" w:hint="eastAsia"/>
                <w:sz w:val="21"/>
              </w:rPr>
              <w:t>1.1 合同构成</w:t>
            </w:r>
          </w:p>
        </w:tc>
        <w:tc>
          <w:tcPr>
            <w:tcW w:w="3298" w:type="dxa"/>
          </w:tcPr>
          <w:p>
            <w:pPr>
              <w:pStyle w:val="TableParagraph"/>
              <w:tabs>
                <w:tab w:pos="2979" w:val="left" w:leader="none"/>
              </w:tabs>
              <w:spacing w:line="211" w:lineRule="exact"/>
              <w:ind w:left="279"/>
              <w:rPr>
                <w:rFonts w:ascii="黑体" w:eastAsia="黑体" w:hint="eastAsia"/>
                <w:sz w:val="21"/>
              </w:rPr>
            </w:pPr>
            <w:r>
              <w:rPr>
                <w:rFonts w:ascii="黑体" w:eastAsia="黑体" w:hint="eastAsia"/>
                <w:sz w:val="21"/>
                <w:shd w:fill="A7A8A7" w:color="auto" w:val="clear"/>
              </w:rPr>
              <w:t>6．</w:t>
            </w:r>
            <w:r>
              <w:rPr>
                <w:rFonts w:ascii="黑体" w:eastAsia="黑体" w:hint="eastAsia"/>
                <w:spacing w:val="-3"/>
                <w:sz w:val="21"/>
                <w:shd w:fill="A7A8A7" w:color="auto" w:val="clear"/>
              </w:rPr>
              <w:t>合同</w:t>
            </w:r>
            <w:r>
              <w:rPr>
                <w:rFonts w:ascii="黑体" w:eastAsia="黑体" w:hint="eastAsia"/>
                <w:sz w:val="21"/>
                <w:shd w:fill="A7A8A7" w:color="auto" w:val="clear"/>
              </w:rPr>
              <w:t>效</w:t>
            </w:r>
            <w:r>
              <w:rPr>
                <w:rFonts w:ascii="黑体" w:eastAsia="黑体" w:hint="eastAsia"/>
                <w:spacing w:val="-3"/>
                <w:sz w:val="21"/>
                <w:shd w:fill="A7A8A7" w:color="auto" w:val="clear"/>
              </w:rPr>
              <w:t>力</w:t>
            </w:r>
            <w:r>
              <w:rPr>
                <w:rFonts w:ascii="黑体" w:eastAsia="黑体" w:hint="eastAsia"/>
                <w:sz w:val="21"/>
                <w:shd w:fill="A7A8A7" w:color="auto" w:val="clear"/>
              </w:rPr>
              <w:t>的</w:t>
            </w:r>
            <w:r>
              <w:rPr>
                <w:rFonts w:ascii="黑体" w:eastAsia="黑体" w:hint="eastAsia"/>
                <w:spacing w:val="-3"/>
                <w:sz w:val="21"/>
                <w:shd w:fill="A7A8A7" w:color="auto" w:val="clear"/>
              </w:rPr>
              <w:t>中</w:t>
            </w:r>
            <w:r>
              <w:rPr>
                <w:rFonts w:ascii="黑体" w:eastAsia="黑体" w:hint="eastAsia"/>
                <w:sz w:val="21"/>
                <w:shd w:fill="A7A8A7" w:color="auto" w:val="clear"/>
              </w:rPr>
              <w:t>止</w:t>
            </w:r>
            <w:r>
              <w:rPr>
                <w:rFonts w:ascii="黑体" w:eastAsia="黑体" w:hint="eastAsia"/>
                <w:spacing w:val="-3"/>
                <w:sz w:val="21"/>
                <w:shd w:fill="A7A8A7" w:color="auto" w:val="clear"/>
              </w:rPr>
              <w:t>及</w:t>
            </w:r>
            <w:r>
              <w:rPr>
                <w:rFonts w:ascii="黑体" w:eastAsia="黑体" w:hint="eastAsia"/>
                <w:sz w:val="21"/>
                <w:shd w:fill="A7A8A7" w:color="auto" w:val="clear"/>
              </w:rPr>
              <w:t>恢复</w:t>
              <w:tab/>
            </w:r>
          </w:p>
        </w:tc>
        <w:tc>
          <w:tcPr>
            <w:tcW w:w="766" w:type="dxa"/>
          </w:tcPr>
          <w:p>
            <w:pPr>
              <w:pStyle w:val="TableParagraph"/>
              <w:spacing w:line="211" w:lineRule="exact"/>
              <w:ind w:left="238"/>
              <w:rPr>
                <w:rFonts w:ascii="黑体"/>
                <w:sz w:val="21"/>
              </w:rPr>
            </w:pPr>
            <w:r>
              <w:rPr>
                <w:rFonts w:ascii="黑体"/>
                <w:sz w:val="21"/>
              </w:rPr>
              <w:t>13.3</w:t>
            </w:r>
          </w:p>
        </w:tc>
        <w:tc>
          <w:tcPr>
            <w:tcW w:w="2248" w:type="dxa"/>
          </w:tcPr>
          <w:p>
            <w:pPr>
              <w:pStyle w:val="TableParagraph"/>
              <w:spacing w:line="211" w:lineRule="exact"/>
              <w:ind w:left="-3"/>
              <w:rPr>
                <w:rFonts w:ascii="黑体" w:eastAsia="黑体" w:hint="eastAsia"/>
                <w:sz w:val="21"/>
              </w:rPr>
            </w:pPr>
            <w:r>
              <w:rPr>
                <w:rFonts w:ascii="黑体" w:eastAsia="黑体" w:hint="eastAsia"/>
                <w:sz w:val="21"/>
              </w:rPr>
              <w:t>保险费约定支付日</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1.2 合同成立与Th效</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6.1 效力中止</w:t>
            </w:r>
          </w:p>
        </w:tc>
        <w:tc>
          <w:tcPr>
            <w:tcW w:w="766" w:type="dxa"/>
          </w:tcPr>
          <w:p>
            <w:pPr>
              <w:pStyle w:val="TableParagraph"/>
              <w:spacing w:line="265" w:lineRule="exact"/>
              <w:ind w:left="238"/>
              <w:rPr>
                <w:rFonts w:ascii="黑体"/>
                <w:sz w:val="21"/>
              </w:rPr>
            </w:pPr>
            <w:r>
              <w:rPr>
                <w:rFonts w:ascii="黑体"/>
                <w:sz w:val="21"/>
              </w:rPr>
              <w:t>13.4</w:t>
            </w:r>
          </w:p>
        </w:tc>
        <w:tc>
          <w:tcPr>
            <w:tcW w:w="2248" w:type="dxa"/>
          </w:tcPr>
          <w:p>
            <w:pPr>
              <w:pStyle w:val="TableParagraph"/>
              <w:spacing w:line="265" w:lineRule="exact"/>
              <w:ind w:left="-2"/>
              <w:rPr>
                <w:rFonts w:ascii="黑体" w:eastAsia="黑体" w:hint="eastAsia"/>
                <w:sz w:val="21"/>
              </w:rPr>
            </w:pPr>
            <w:r>
              <w:rPr>
                <w:rFonts w:ascii="黑体" w:eastAsia="黑体" w:hint="eastAsia"/>
                <w:sz w:val="21"/>
              </w:rPr>
              <w:t>周岁</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1.3 合同终止</w:t>
            </w:r>
          </w:p>
        </w:tc>
        <w:tc>
          <w:tcPr>
            <w:tcW w:w="3298" w:type="dxa"/>
          </w:tcPr>
          <w:p>
            <w:pPr>
              <w:pStyle w:val="TableParagraph"/>
              <w:spacing w:line="266" w:lineRule="exact"/>
              <w:ind w:left="279"/>
              <w:rPr>
                <w:rFonts w:ascii="黑体" w:eastAsia="黑体" w:hint="eastAsia"/>
                <w:sz w:val="21"/>
              </w:rPr>
            </w:pPr>
            <w:r>
              <w:rPr>
                <w:rFonts w:ascii="黑体" w:eastAsia="黑体" w:hint="eastAsia"/>
                <w:sz w:val="21"/>
              </w:rPr>
              <w:t>6.2 效力恢复</w:t>
            </w:r>
          </w:p>
        </w:tc>
        <w:tc>
          <w:tcPr>
            <w:tcW w:w="766" w:type="dxa"/>
          </w:tcPr>
          <w:p>
            <w:pPr>
              <w:pStyle w:val="TableParagraph"/>
              <w:spacing w:line="266" w:lineRule="exact"/>
              <w:ind w:left="238"/>
              <w:rPr>
                <w:rFonts w:ascii="黑体"/>
                <w:sz w:val="21"/>
              </w:rPr>
            </w:pPr>
            <w:r>
              <w:rPr>
                <w:rFonts w:ascii="黑体"/>
                <w:sz w:val="21"/>
              </w:rPr>
              <w:t>13.5</w:t>
            </w:r>
          </w:p>
        </w:tc>
        <w:tc>
          <w:tcPr>
            <w:tcW w:w="2248" w:type="dxa"/>
          </w:tcPr>
          <w:p>
            <w:pPr>
              <w:pStyle w:val="TableParagraph"/>
              <w:spacing w:line="266" w:lineRule="exact"/>
              <w:ind w:left="-2"/>
              <w:rPr>
                <w:rFonts w:ascii="黑体" w:eastAsia="黑体" w:hint="eastAsia"/>
                <w:sz w:val="21"/>
              </w:rPr>
            </w:pPr>
            <w:r>
              <w:rPr>
                <w:rFonts w:ascii="黑体" w:eastAsia="黑体" w:hint="eastAsia"/>
                <w:sz w:val="21"/>
              </w:rPr>
              <w:t>有效身份证件</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1.4 投保年龄</w:t>
            </w:r>
          </w:p>
        </w:tc>
        <w:tc>
          <w:tcPr>
            <w:tcW w:w="3298" w:type="dxa"/>
          </w:tcPr>
          <w:p>
            <w:pPr>
              <w:pStyle w:val="TableParagraph"/>
              <w:tabs>
                <w:tab w:pos="2979" w:val="left" w:leader="none"/>
              </w:tabs>
              <w:spacing w:line="265" w:lineRule="exact"/>
              <w:ind w:left="279"/>
              <w:rPr>
                <w:rFonts w:ascii="黑体" w:eastAsia="黑体" w:hint="eastAsia"/>
                <w:sz w:val="21"/>
              </w:rPr>
            </w:pPr>
            <w:r>
              <w:rPr>
                <w:rFonts w:ascii="黑体" w:eastAsia="黑体" w:hint="eastAsia"/>
                <w:sz w:val="21"/>
                <w:shd w:fill="A7A8A7" w:color="auto" w:val="clear"/>
              </w:rPr>
              <w:t>7．</w:t>
            </w:r>
            <w:r>
              <w:rPr>
                <w:rFonts w:ascii="黑体" w:eastAsia="黑体" w:hint="eastAsia"/>
                <w:spacing w:val="-3"/>
                <w:sz w:val="21"/>
                <w:shd w:fill="A7A8A7" w:color="auto" w:val="clear"/>
              </w:rPr>
              <w:t>合同</w:t>
            </w:r>
            <w:r>
              <w:rPr>
                <w:rFonts w:ascii="黑体" w:eastAsia="黑体" w:hint="eastAsia"/>
                <w:sz w:val="21"/>
                <w:shd w:fill="A7A8A7" w:color="auto" w:val="clear"/>
              </w:rPr>
              <w:t>解除</w:t>
              <w:tab/>
            </w:r>
          </w:p>
        </w:tc>
        <w:tc>
          <w:tcPr>
            <w:tcW w:w="766" w:type="dxa"/>
          </w:tcPr>
          <w:p>
            <w:pPr>
              <w:pStyle w:val="TableParagraph"/>
              <w:spacing w:line="265" w:lineRule="exact"/>
              <w:ind w:left="238"/>
              <w:rPr>
                <w:rFonts w:ascii="黑体"/>
                <w:sz w:val="21"/>
              </w:rPr>
            </w:pPr>
            <w:r>
              <w:rPr>
                <w:rFonts w:ascii="黑体"/>
                <w:sz w:val="21"/>
              </w:rPr>
              <w:t>13.6</w:t>
            </w:r>
          </w:p>
        </w:tc>
        <w:tc>
          <w:tcPr>
            <w:tcW w:w="2248" w:type="dxa"/>
          </w:tcPr>
          <w:p>
            <w:pPr>
              <w:pStyle w:val="TableParagraph"/>
              <w:spacing w:line="265" w:lineRule="exact"/>
              <w:ind w:left="-2"/>
              <w:rPr>
                <w:rFonts w:ascii="黑体" w:eastAsia="黑体" w:hint="eastAsia"/>
                <w:sz w:val="21"/>
              </w:rPr>
            </w:pPr>
            <w:r>
              <w:rPr>
                <w:rFonts w:ascii="黑体" w:eastAsia="黑体" w:hint="eastAsia"/>
                <w:sz w:val="21"/>
              </w:rPr>
              <w:t>意外伤害</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1.5 犹豫期</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7.1 您解除合同的手续及风险</w:t>
            </w:r>
          </w:p>
        </w:tc>
        <w:tc>
          <w:tcPr>
            <w:tcW w:w="766" w:type="dxa"/>
          </w:tcPr>
          <w:p>
            <w:pPr>
              <w:pStyle w:val="TableParagraph"/>
              <w:spacing w:line="265" w:lineRule="exact"/>
              <w:ind w:left="238"/>
              <w:rPr>
                <w:rFonts w:ascii="黑体"/>
                <w:sz w:val="21"/>
              </w:rPr>
            </w:pPr>
            <w:r>
              <w:rPr>
                <w:rFonts w:ascii="黑体"/>
                <w:sz w:val="21"/>
              </w:rPr>
              <w:t>13.7</w:t>
            </w:r>
          </w:p>
        </w:tc>
        <w:tc>
          <w:tcPr>
            <w:tcW w:w="2248" w:type="dxa"/>
          </w:tcPr>
          <w:p>
            <w:pPr>
              <w:pStyle w:val="TableParagraph"/>
              <w:spacing w:line="265" w:lineRule="exact"/>
              <w:ind w:left="-2"/>
              <w:rPr>
                <w:rFonts w:ascii="黑体" w:eastAsia="黑体" w:hint="eastAsia"/>
                <w:sz w:val="21"/>
              </w:rPr>
            </w:pPr>
            <w:r>
              <w:rPr>
                <w:rFonts w:ascii="黑体" w:eastAsia="黑体" w:hint="eastAsia"/>
                <w:sz w:val="21"/>
              </w:rPr>
              <w:t>约定医院</w:t>
            </w:r>
          </w:p>
        </w:tc>
      </w:tr>
      <w:tr>
        <w:trPr>
          <w:trHeight w:val="320" w:hRule="atLeast"/>
        </w:trPr>
        <w:tc>
          <w:tcPr>
            <w:tcW w:w="3030" w:type="dxa"/>
          </w:tcPr>
          <w:p>
            <w:pPr>
              <w:pStyle w:val="TableParagraph"/>
              <w:tabs>
                <w:tab w:pos="2749" w:val="left" w:leader="none"/>
              </w:tabs>
              <w:spacing w:line="266" w:lineRule="exact"/>
              <w:ind w:left="50"/>
              <w:rPr>
                <w:rFonts w:ascii="黑体" w:eastAsia="黑体" w:hint="eastAsia"/>
                <w:sz w:val="21"/>
              </w:rPr>
            </w:pPr>
            <w:r>
              <w:rPr>
                <w:rFonts w:ascii="黑体" w:eastAsia="黑体" w:hint="eastAsia"/>
                <w:sz w:val="21"/>
                <w:shd w:fill="A7A8A7" w:color="auto" w:val="clear"/>
              </w:rPr>
              <w:t>2．</w:t>
            </w:r>
            <w:r>
              <w:rPr>
                <w:rFonts w:ascii="黑体" w:eastAsia="黑体" w:hint="eastAsia"/>
                <w:spacing w:val="-3"/>
                <w:sz w:val="21"/>
                <w:shd w:fill="A7A8A7" w:color="auto" w:val="clear"/>
              </w:rPr>
              <w:t>我</w:t>
            </w:r>
            <w:r>
              <w:rPr>
                <w:rFonts w:ascii="黑体" w:eastAsia="黑体" w:hint="eastAsia"/>
                <w:sz w:val="21"/>
                <w:shd w:fill="A7A8A7" w:color="auto" w:val="clear"/>
              </w:rPr>
              <w:t>们</w:t>
            </w:r>
            <w:r>
              <w:rPr>
                <w:rFonts w:ascii="黑体" w:eastAsia="黑体" w:hint="eastAsia"/>
                <w:spacing w:val="-3"/>
                <w:sz w:val="21"/>
                <w:shd w:fill="A7A8A7" w:color="auto" w:val="clear"/>
              </w:rPr>
              <w:t>提</w:t>
            </w:r>
            <w:r>
              <w:rPr>
                <w:rFonts w:ascii="黑体" w:eastAsia="黑体" w:hint="eastAsia"/>
                <w:sz w:val="21"/>
                <w:shd w:fill="A7A8A7" w:color="auto" w:val="clear"/>
              </w:rPr>
              <w:t>供</w:t>
            </w:r>
            <w:r>
              <w:rPr>
                <w:rFonts w:ascii="黑体" w:eastAsia="黑体" w:hint="eastAsia"/>
                <w:spacing w:val="-3"/>
                <w:sz w:val="21"/>
                <w:shd w:fill="A7A8A7" w:color="auto" w:val="clear"/>
              </w:rPr>
              <w:t>的</w:t>
            </w:r>
            <w:r>
              <w:rPr>
                <w:rFonts w:ascii="黑体" w:eastAsia="黑体" w:hint="eastAsia"/>
                <w:sz w:val="21"/>
                <w:shd w:fill="A7A8A7" w:color="auto" w:val="clear"/>
              </w:rPr>
              <w:t>保障</w:t>
              <w:tab/>
            </w:r>
          </w:p>
        </w:tc>
        <w:tc>
          <w:tcPr>
            <w:tcW w:w="3298" w:type="dxa"/>
          </w:tcPr>
          <w:p>
            <w:pPr>
              <w:pStyle w:val="TableParagraph"/>
              <w:spacing w:line="266" w:lineRule="exact"/>
              <w:ind w:left="279"/>
              <w:rPr>
                <w:rFonts w:ascii="黑体" w:eastAsia="黑体" w:hint="eastAsia"/>
                <w:sz w:val="21"/>
              </w:rPr>
            </w:pPr>
            <w:r>
              <w:rPr>
                <w:rFonts w:ascii="黑体" w:eastAsia="黑体" w:hint="eastAsia"/>
                <w:sz w:val="21"/>
                <w:shd w:fill="A7A8A7" w:color="auto" w:val="clear"/>
              </w:rPr>
              <w:t>8．说明、告知与解除权限制</w:t>
            </w:r>
          </w:p>
        </w:tc>
        <w:tc>
          <w:tcPr>
            <w:tcW w:w="766" w:type="dxa"/>
          </w:tcPr>
          <w:p>
            <w:pPr>
              <w:pStyle w:val="TableParagraph"/>
              <w:spacing w:line="266" w:lineRule="exact"/>
              <w:ind w:left="238"/>
              <w:rPr>
                <w:rFonts w:ascii="黑体"/>
                <w:sz w:val="21"/>
              </w:rPr>
            </w:pPr>
            <w:r>
              <w:rPr>
                <w:rFonts w:ascii="黑体"/>
                <w:sz w:val="21"/>
              </w:rPr>
              <w:t>13.8</w:t>
            </w:r>
          </w:p>
        </w:tc>
        <w:tc>
          <w:tcPr>
            <w:tcW w:w="2248" w:type="dxa"/>
          </w:tcPr>
          <w:p>
            <w:pPr>
              <w:pStyle w:val="TableParagraph"/>
              <w:spacing w:line="266" w:lineRule="exact"/>
              <w:ind w:left="-2"/>
              <w:rPr>
                <w:rFonts w:ascii="黑体" w:eastAsia="黑体" w:hint="eastAsia"/>
                <w:sz w:val="21"/>
              </w:rPr>
            </w:pPr>
            <w:r>
              <w:rPr>
                <w:rFonts w:ascii="黑体" w:eastAsia="黑体" w:hint="eastAsia"/>
                <w:sz w:val="21"/>
              </w:rPr>
              <w:t>全残</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2.1 基本保险金额</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8.1 明确说明与如实告知</w:t>
            </w:r>
          </w:p>
        </w:tc>
        <w:tc>
          <w:tcPr>
            <w:tcW w:w="766" w:type="dxa"/>
          </w:tcPr>
          <w:p>
            <w:pPr>
              <w:pStyle w:val="TableParagraph"/>
              <w:spacing w:line="265" w:lineRule="exact"/>
              <w:ind w:left="238"/>
              <w:rPr>
                <w:rFonts w:ascii="黑体"/>
                <w:sz w:val="21"/>
              </w:rPr>
            </w:pPr>
            <w:r>
              <w:rPr>
                <w:rFonts w:ascii="黑体"/>
                <w:sz w:val="21"/>
              </w:rPr>
              <w:t>13.9</w:t>
            </w:r>
          </w:p>
        </w:tc>
        <w:tc>
          <w:tcPr>
            <w:tcW w:w="2248" w:type="dxa"/>
          </w:tcPr>
          <w:p>
            <w:pPr>
              <w:pStyle w:val="TableParagraph"/>
              <w:spacing w:line="265" w:lineRule="exact"/>
              <w:ind w:left="-2"/>
              <w:rPr>
                <w:rFonts w:ascii="黑体" w:eastAsia="黑体" w:hint="eastAsia"/>
                <w:sz w:val="21"/>
              </w:rPr>
            </w:pPr>
            <w:r>
              <w:rPr>
                <w:rFonts w:ascii="黑体" w:eastAsia="黑体" w:hint="eastAsia"/>
                <w:sz w:val="21"/>
              </w:rPr>
              <w:t>六项基本日常Th活活动</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2.2 保险期间</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8.2 我们合同解除权的限制</w:t>
            </w:r>
          </w:p>
        </w:tc>
        <w:tc>
          <w:tcPr>
            <w:tcW w:w="766" w:type="dxa"/>
          </w:tcPr>
          <w:p>
            <w:pPr>
              <w:pStyle w:val="TableParagraph"/>
              <w:spacing w:line="265" w:lineRule="exact"/>
              <w:ind w:left="238" w:right="-15"/>
              <w:rPr>
                <w:rFonts w:ascii="黑体"/>
                <w:sz w:val="21"/>
              </w:rPr>
            </w:pPr>
            <w:r>
              <w:rPr>
                <w:rFonts w:ascii="黑体"/>
                <w:sz w:val="21"/>
              </w:rPr>
              <w:t>13.10</w:t>
            </w:r>
          </w:p>
        </w:tc>
        <w:tc>
          <w:tcPr>
            <w:tcW w:w="2248" w:type="dxa"/>
          </w:tcPr>
          <w:p>
            <w:pPr>
              <w:pStyle w:val="TableParagraph"/>
              <w:spacing w:line="265" w:lineRule="exact"/>
              <w:ind w:left="104"/>
              <w:rPr>
                <w:rFonts w:ascii="黑体" w:eastAsia="黑体" w:hint="eastAsia"/>
                <w:sz w:val="21"/>
              </w:rPr>
            </w:pPr>
            <w:r>
              <w:rPr>
                <w:rFonts w:ascii="黑体" w:eastAsia="黑体" w:hint="eastAsia"/>
                <w:sz w:val="21"/>
              </w:rPr>
              <w:t>保单周月日</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2.3 等待期</w:t>
            </w:r>
          </w:p>
        </w:tc>
        <w:tc>
          <w:tcPr>
            <w:tcW w:w="3298" w:type="dxa"/>
          </w:tcPr>
          <w:p>
            <w:pPr>
              <w:pStyle w:val="TableParagraph"/>
              <w:tabs>
                <w:tab w:pos="2979" w:val="left" w:leader="none"/>
              </w:tabs>
              <w:spacing w:line="266" w:lineRule="exact"/>
              <w:ind w:left="279"/>
              <w:rPr>
                <w:rFonts w:ascii="黑体" w:eastAsia="黑体" w:hint="eastAsia"/>
                <w:sz w:val="21"/>
              </w:rPr>
            </w:pPr>
            <w:r>
              <w:rPr>
                <w:rFonts w:ascii="黑体" w:eastAsia="黑体" w:hint="eastAsia"/>
                <w:sz w:val="21"/>
                <w:shd w:fill="A7A8A7" w:color="auto" w:val="clear"/>
              </w:rPr>
              <w:t>9．</w:t>
            </w:r>
            <w:r>
              <w:rPr>
                <w:rFonts w:ascii="黑体" w:eastAsia="黑体" w:hint="eastAsia"/>
                <w:spacing w:val="-3"/>
                <w:sz w:val="21"/>
                <w:shd w:fill="A7A8A7" w:color="auto" w:val="clear"/>
              </w:rPr>
              <w:t>其</w:t>
            </w:r>
            <w:r>
              <w:rPr>
                <w:rFonts w:ascii="黑体" w:eastAsia="黑体" w:hint="eastAsia"/>
                <w:sz w:val="21"/>
                <w:shd w:fill="A7A8A7" w:color="auto" w:val="clear"/>
              </w:rPr>
              <w:t>他</w:t>
            </w:r>
            <w:r>
              <w:rPr>
                <w:rFonts w:ascii="黑体" w:eastAsia="黑体" w:hint="eastAsia"/>
                <w:spacing w:val="-3"/>
                <w:sz w:val="21"/>
                <w:shd w:fill="A7A8A7" w:color="auto" w:val="clear"/>
              </w:rPr>
              <w:t>需</w:t>
            </w:r>
            <w:r>
              <w:rPr>
                <w:rFonts w:ascii="黑体" w:eastAsia="黑体" w:hint="eastAsia"/>
                <w:sz w:val="21"/>
                <w:shd w:fill="A7A8A7" w:color="auto" w:val="clear"/>
              </w:rPr>
              <w:t>要</w:t>
            </w:r>
            <w:r>
              <w:rPr>
                <w:rFonts w:ascii="黑体" w:eastAsia="黑体" w:hint="eastAsia"/>
                <w:spacing w:val="-3"/>
                <w:sz w:val="21"/>
                <w:shd w:fill="A7A8A7" w:color="auto" w:val="clear"/>
              </w:rPr>
              <w:t>关</w:t>
            </w:r>
            <w:r>
              <w:rPr>
                <w:rFonts w:ascii="黑体" w:eastAsia="黑体" w:hint="eastAsia"/>
                <w:sz w:val="21"/>
                <w:shd w:fill="A7A8A7" w:color="auto" w:val="clear"/>
              </w:rPr>
              <w:t>注</w:t>
            </w:r>
            <w:r>
              <w:rPr>
                <w:rFonts w:ascii="黑体" w:eastAsia="黑体" w:hint="eastAsia"/>
                <w:spacing w:val="-3"/>
                <w:sz w:val="21"/>
                <w:shd w:fill="A7A8A7" w:color="auto" w:val="clear"/>
              </w:rPr>
              <w:t>的</w:t>
            </w:r>
            <w:r>
              <w:rPr>
                <w:rFonts w:ascii="黑体" w:eastAsia="黑体" w:hint="eastAsia"/>
                <w:sz w:val="21"/>
                <w:shd w:fill="A7A8A7" w:color="auto" w:val="clear"/>
              </w:rPr>
              <w:t>事项</w:t>
              <w:tab/>
            </w:r>
          </w:p>
        </w:tc>
        <w:tc>
          <w:tcPr>
            <w:tcW w:w="766" w:type="dxa"/>
          </w:tcPr>
          <w:p>
            <w:pPr>
              <w:pStyle w:val="TableParagraph"/>
              <w:spacing w:line="266" w:lineRule="exact"/>
              <w:ind w:left="238" w:right="-15"/>
              <w:rPr>
                <w:rFonts w:ascii="黑体"/>
                <w:sz w:val="21"/>
              </w:rPr>
            </w:pPr>
            <w:r>
              <w:rPr>
                <w:rFonts w:ascii="黑体"/>
                <w:sz w:val="21"/>
              </w:rPr>
              <w:t>13.11</w:t>
            </w:r>
          </w:p>
        </w:tc>
        <w:tc>
          <w:tcPr>
            <w:tcW w:w="2248" w:type="dxa"/>
          </w:tcPr>
          <w:p>
            <w:pPr>
              <w:pStyle w:val="TableParagraph"/>
              <w:spacing w:line="266" w:lineRule="exact"/>
              <w:ind w:left="104"/>
              <w:rPr>
                <w:rFonts w:ascii="黑体" w:eastAsia="黑体" w:hint="eastAsia"/>
                <w:sz w:val="21"/>
              </w:rPr>
            </w:pPr>
            <w:r>
              <w:rPr>
                <w:rFonts w:ascii="黑体" w:eastAsia="黑体" w:hint="eastAsia"/>
                <w:sz w:val="21"/>
              </w:rPr>
              <w:t>毒品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2.4 保险责任</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9.1 年龄性别错误</w:t>
            </w:r>
          </w:p>
        </w:tc>
        <w:tc>
          <w:tcPr>
            <w:tcW w:w="766" w:type="dxa"/>
          </w:tcPr>
          <w:p>
            <w:pPr>
              <w:pStyle w:val="TableParagraph"/>
              <w:spacing w:line="265" w:lineRule="exact"/>
              <w:ind w:left="238" w:right="-15"/>
              <w:rPr>
                <w:rFonts w:ascii="黑体"/>
                <w:sz w:val="21"/>
              </w:rPr>
            </w:pPr>
            <w:r>
              <w:rPr>
                <w:rFonts w:ascii="黑体"/>
                <w:sz w:val="21"/>
              </w:rPr>
              <w:t>13.12</w:t>
            </w:r>
          </w:p>
        </w:tc>
        <w:tc>
          <w:tcPr>
            <w:tcW w:w="2248" w:type="dxa"/>
          </w:tcPr>
          <w:p>
            <w:pPr>
              <w:pStyle w:val="TableParagraph"/>
              <w:spacing w:line="265" w:lineRule="exact"/>
              <w:ind w:left="104"/>
              <w:rPr>
                <w:rFonts w:ascii="黑体" w:eastAsia="黑体" w:hint="eastAsia"/>
                <w:sz w:val="21"/>
              </w:rPr>
            </w:pPr>
            <w:r>
              <w:rPr>
                <w:rFonts w:ascii="黑体" w:eastAsia="黑体" w:hint="eastAsia"/>
                <w:sz w:val="21"/>
              </w:rPr>
              <w:t>酒后驾驶</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2.5 责任免除</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9.2 未还款项</w:t>
            </w:r>
          </w:p>
        </w:tc>
        <w:tc>
          <w:tcPr>
            <w:tcW w:w="766" w:type="dxa"/>
          </w:tcPr>
          <w:p>
            <w:pPr>
              <w:pStyle w:val="TableParagraph"/>
              <w:spacing w:line="265" w:lineRule="exact"/>
              <w:ind w:left="238" w:right="-15"/>
              <w:rPr>
                <w:rFonts w:ascii="黑体"/>
                <w:sz w:val="21"/>
              </w:rPr>
            </w:pPr>
            <w:r>
              <w:rPr>
                <w:rFonts w:ascii="黑体"/>
                <w:sz w:val="21"/>
              </w:rPr>
              <w:t>13.13</w:t>
            </w:r>
          </w:p>
        </w:tc>
        <w:tc>
          <w:tcPr>
            <w:tcW w:w="2248" w:type="dxa"/>
          </w:tcPr>
          <w:p>
            <w:pPr>
              <w:pStyle w:val="TableParagraph"/>
              <w:spacing w:line="265" w:lineRule="exact"/>
              <w:ind w:left="0" w:right="91"/>
              <w:jc w:val="right"/>
              <w:rPr>
                <w:rFonts w:ascii="黑体" w:eastAsia="黑体" w:hint="eastAsia"/>
                <w:sz w:val="21"/>
              </w:rPr>
            </w:pPr>
            <w:r>
              <w:rPr>
                <w:rFonts w:ascii="黑体" w:eastAsia="黑体" w:hint="eastAsia"/>
                <w:sz w:val="21"/>
              </w:rPr>
              <w:t>无合法有效驾驶证驾驶</w:t>
            </w:r>
          </w:p>
        </w:tc>
      </w:tr>
      <w:tr>
        <w:trPr>
          <w:trHeight w:val="320" w:hRule="atLeast"/>
        </w:trPr>
        <w:tc>
          <w:tcPr>
            <w:tcW w:w="3030" w:type="dxa"/>
          </w:tcPr>
          <w:p>
            <w:pPr>
              <w:pStyle w:val="TableParagraph"/>
              <w:tabs>
                <w:tab w:pos="2749" w:val="left" w:leader="none"/>
              </w:tabs>
              <w:spacing w:line="266" w:lineRule="exact"/>
              <w:ind w:left="50"/>
              <w:rPr>
                <w:rFonts w:ascii="黑体" w:eastAsia="黑体" w:hint="eastAsia"/>
                <w:sz w:val="21"/>
              </w:rPr>
            </w:pPr>
            <w:r>
              <w:rPr>
                <w:rFonts w:ascii="黑体" w:eastAsia="黑体" w:hint="eastAsia"/>
                <w:spacing w:val="-1"/>
                <w:sz w:val="21"/>
                <w:shd w:fill="A7A8A7" w:color="auto" w:val="clear"/>
              </w:rPr>
              <w:t>3．保</w:t>
            </w:r>
            <w:r>
              <w:rPr>
                <w:rFonts w:ascii="黑体" w:eastAsia="黑体" w:hint="eastAsia"/>
                <w:spacing w:val="-3"/>
                <w:sz w:val="21"/>
                <w:shd w:fill="A7A8A7" w:color="auto" w:val="clear"/>
              </w:rPr>
              <w:t>险</w:t>
            </w:r>
            <w:r>
              <w:rPr>
                <w:rFonts w:ascii="黑体" w:eastAsia="黑体" w:hint="eastAsia"/>
                <w:sz w:val="21"/>
                <w:shd w:fill="A7A8A7" w:color="auto" w:val="clear"/>
              </w:rPr>
              <w:t>金</w:t>
            </w:r>
            <w:r>
              <w:rPr>
                <w:rFonts w:ascii="黑体" w:eastAsia="黑体" w:hint="eastAsia"/>
                <w:spacing w:val="-3"/>
                <w:sz w:val="21"/>
                <w:shd w:fill="A7A8A7" w:color="auto" w:val="clear"/>
              </w:rPr>
              <w:t>的</w:t>
            </w:r>
            <w:r>
              <w:rPr>
                <w:rFonts w:ascii="黑体" w:eastAsia="黑体" w:hint="eastAsia"/>
                <w:sz w:val="21"/>
                <w:shd w:fill="A7A8A7" w:color="auto" w:val="clear"/>
              </w:rPr>
              <w:t>申请</w:t>
              <w:tab/>
            </w:r>
          </w:p>
        </w:tc>
        <w:tc>
          <w:tcPr>
            <w:tcW w:w="3298" w:type="dxa"/>
          </w:tcPr>
          <w:p>
            <w:pPr>
              <w:pStyle w:val="TableParagraph"/>
              <w:spacing w:line="266" w:lineRule="exact"/>
              <w:ind w:left="279"/>
              <w:rPr>
                <w:rFonts w:ascii="黑体" w:eastAsia="黑体" w:hint="eastAsia"/>
                <w:sz w:val="21"/>
              </w:rPr>
            </w:pPr>
            <w:r>
              <w:rPr>
                <w:rFonts w:ascii="黑体" w:eastAsia="黑体" w:hint="eastAsia"/>
                <w:sz w:val="21"/>
              </w:rPr>
              <w:t>9.3 合同内容变更</w:t>
            </w:r>
          </w:p>
        </w:tc>
        <w:tc>
          <w:tcPr>
            <w:tcW w:w="766" w:type="dxa"/>
          </w:tcPr>
          <w:p>
            <w:pPr>
              <w:pStyle w:val="TableParagraph"/>
              <w:spacing w:line="266" w:lineRule="exact"/>
              <w:ind w:left="238" w:right="-15"/>
              <w:rPr>
                <w:rFonts w:ascii="黑体"/>
                <w:sz w:val="21"/>
              </w:rPr>
            </w:pPr>
            <w:r>
              <w:rPr>
                <w:rFonts w:ascii="黑体"/>
                <w:sz w:val="21"/>
              </w:rPr>
              <w:t>13.14</w:t>
            </w:r>
          </w:p>
        </w:tc>
        <w:tc>
          <w:tcPr>
            <w:tcW w:w="2248" w:type="dxa"/>
          </w:tcPr>
          <w:p>
            <w:pPr>
              <w:pStyle w:val="TableParagraph"/>
              <w:spacing w:line="266" w:lineRule="exact"/>
              <w:ind w:left="104"/>
              <w:rPr>
                <w:rFonts w:ascii="黑体" w:eastAsia="黑体" w:hint="eastAsia"/>
                <w:sz w:val="21"/>
              </w:rPr>
            </w:pPr>
            <w:r>
              <w:rPr>
                <w:rFonts w:ascii="黑体" w:eastAsia="黑体" w:hint="eastAsia"/>
                <w:sz w:val="21"/>
              </w:rPr>
              <w:t>无有效行驶证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3.1 受益人</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9.4 联系方式变更</w:t>
            </w:r>
          </w:p>
        </w:tc>
        <w:tc>
          <w:tcPr>
            <w:tcW w:w="766" w:type="dxa"/>
          </w:tcPr>
          <w:p>
            <w:pPr>
              <w:pStyle w:val="TableParagraph"/>
              <w:spacing w:line="265" w:lineRule="exact"/>
              <w:ind w:left="236"/>
              <w:rPr>
                <w:rFonts w:ascii="黑体"/>
                <w:sz w:val="21"/>
              </w:rPr>
            </w:pPr>
            <w:r>
              <w:rPr>
                <w:rFonts w:ascii="黑体"/>
                <w:sz w:val="21"/>
              </w:rPr>
              <w:t>13.15</w:t>
            </w:r>
          </w:p>
        </w:tc>
        <w:tc>
          <w:tcPr>
            <w:tcW w:w="2248" w:type="dxa"/>
          </w:tcPr>
          <w:p>
            <w:pPr>
              <w:pStyle w:val="TableParagraph"/>
              <w:spacing w:line="265" w:lineRule="exact"/>
              <w:ind w:left="0" w:right="74"/>
              <w:jc w:val="right"/>
              <w:rPr>
                <w:rFonts w:ascii="黑体" w:eastAsia="黑体" w:hint="eastAsia"/>
                <w:sz w:val="21"/>
              </w:rPr>
            </w:pPr>
            <w:r>
              <w:rPr>
                <w:rFonts w:ascii="黑体" w:eastAsia="黑体" w:hint="eastAsia"/>
                <w:sz w:val="21"/>
              </w:rPr>
              <w:t>感染艾滋病病毒或患艾</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3.2 保险事故通知</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9.5 争议处理</w:t>
            </w:r>
          </w:p>
        </w:tc>
        <w:tc>
          <w:tcPr>
            <w:tcW w:w="766" w:type="dxa"/>
          </w:tcPr>
          <w:p>
            <w:pPr>
              <w:pStyle w:val="TableParagraph"/>
              <w:ind w:left="0"/>
              <w:rPr>
                <w:rFonts w:ascii="Times New Roman"/>
                <w:sz w:val="20"/>
              </w:rPr>
            </w:pPr>
          </w:p>
        </w:tc>
        <w:tc>
          <w:tcPr>
            <w:tcW w:w="2248" w:type="dxa"/>
          </w:tcPr>
          <w:p>
            <w:pPr>
              <w:pStyle w:val="TableParagraph"/>
              <w:spacing w:line="265" w:lineRule="exact"/>
              <w:ind w:left="41"/>
              <w:rPr>
                <w:rFonts w:ascii="黑体" w:eastAsia="黑体" w:hint="eastAsia"/>
                <w:sz w:val="21"/>
              </w:rPr>
            </w:pPr>
            <w:r>
              <w:rPr>
                <w:rFonts w:ascii="黑体" w:eastAsia="黑体" w:hint="eastAsia"/>
                <w:sz w:val="21"/>
              </w:rPr>
              <w:t>滋病</w:t>
            </w:r>
          </w:p>
        </w:tc>
      </w:tr>
      <w:tr>
        <w:trPr>
          <w:trHeight w:val="320" w:hRule="atLeast"/>
        </w:trPr>
        <w:tc>
          <w:tcPr>
            <w:tcW w:w="3030" w:type="dxa"/>
          </w:tcPr>
          <w:p>
            <w:pPr>
              <w:pStyle w:val="TableParagraph"/>
              <w:spacing w:line="267" w:lineRule="exact"/>
              <w:ind w:left="50"/>
              <w:rPr>
                <w:rFonts w:ascii="黑体" w:eastAsia="黑体" w:hint="eastAsia"/>
                <w:sz w:val="21"/>
              </w:rPr>
            </w:pPr>
            <w:r>
              <w:rPr>
                <w:rFonts w:ascii="黑体" w:eastAsia="黑体" w:hint="eastAsia"/>
                <w:sz w:val="21"/>
              </w:rPr>
              <w:t>3.3 保险金申请</w:t>
            </w:r>
          </w:p>
        </w:tc>
        <w:tc>
          <w:tcPr>
            <w:tcW w:w="3298" w:type="dxa"/>
          </w:tcPr>
          <w:p>
            <w:pPr>
              <w:pStyle w:val="TableParagraph"/>
              <w:tabs>
                <w:tab w:pos="2979" w:val="left" w:leader="none"/>
              </w:tabs>
              <w:spacing w:line="267" w:lineRule="exact"/>
              <w:ind w:left="279"/>
              <w:rPr>
                <w:rFonts w:ascii="黑体" w:eastAsia="黑体" w:hint="eastAsia"/>
                <w:sz w:val="21"/>
              </w:rPr>
            </w:pPr>
            <w:r>
              <w:rPr>
                <w:rFonts w:ascii="黑体" w:eastAsia="黑体" w:hint="eastAsia"/>
                <w:sz w:val="21"/>
                <w:shd w:fill="A7A8A7" w:color="auto" w:val="clear"/>
              </w:rPr>
              <w:t>10．</w:t>
            </w:r>
            <w:r>
              <w:rPr>
                <w:rFonts w:ascii="黑体" w:eastAsia="黑体" w:hint="eastAsia"/>
                <w:spacing w:val="-3"/>
                <w:sz w:val="21"/>
                <w:shd w:fill="A7A8A7" w:color="auto" w:val="clear"/>
              </w:rPr>
              <w:t>重大</w:t>
            </w:r>
            <w:r>
              <w:rPr>
                <w:rFonts w:ascii="黑体" w:eastAsia="黑体" w:hint="eastAsia"/>
                <w:sz w:val="21"/>
                <w:shd w:fill="A7A8A7" w:color="auto" w:val="clear"/>
              </w:rPr>
              <w:t>疾</w:t>
            </w:r>
            <w:r>
              <w:rPr>
                <w:rFonts w:ascii="黑体" w:eastAsia="黑体" w:hint="eastAsia"/>
                <w:spacing w:val="-3"/>
                <w:sz w:val="21"/>
                <w:shd w:fill="A7A8A7" w:color="auto" w:val="clear"/>
              </w:rPr>
              <w:t>病</w:t>
            </w:r>
            <w:r>
              <w:rPr>
                <w:rFonts w:ascii="黑体" w:eastAsia="黑体" w:hint="eastAsia"/>
                <w:sz w:val="21"/>
                <w:shd w:fill="A7A8A7" w:color="auto" w:val="clear"/>
              </w:rPr>
              <w:t>的</w:t>
            </w:r>
            <w:r>
              <w:rPr>
                <w:rFonts w:ascii="黑体" w:eastAsia="黑体" w:hint="eastAsia"/>
                <w:spacing w:val="-3"/>
                <w:sz w:val="21"/>
                <w:shd w:fill="A7A8A7" w:color="auto" w:val="clear"/>
              </w:rPr>
              <w:t>定</w:t>
            </w:r>
            <w:r>
              <w:rPr>
                <w:rFonts w:ascii="黑体" w:eastAsia="黑体" w:hint="eastAsia"/>
                <w:sz w:val="21"/>
                <w:shd w:fill="A7A8A7" w:color="auto" w:val="clear"/>
              </w:rPr>
              <w:t>义</w:t>
              <w:tab/>
            </w:r>
          </w:p>
        </w:tc>
        <w:tc>
          <w:tcPr>
            <w:tcW w:w="766" w:type="dxa"/>
          </w:tcPr>
          <w:p>
            <w:pPr>
              <w:pStyle w:val="TableParagraph"/>
              <w:spacing w:line="266" w:lineRule="exact"/>
              <w:ind w:left="239" w:right="-15"/>
              <w:rPr>
                <w:rFonts w:ascii="黑体"/>
                <w:sz w:val="21"/>
              </w:rPr>
            </w:pPr>
            <w:r>
              <w:rPr>
                <w:rFonts w:ascii="黑体"/>
                <w:sz w:val="21"/>
              </w:rPr>
              <w:t>13.16</w:t>
            </w:r>
          </w:p>
        </w:tc>
        <w:tc>
          <w:tcPr>
            <w:tcW w:w="2248" w:type="dxa"/>
          </w:tcPr>
          <w:p>
            <w:pPr>
              <w:pStyle w:val="TableParagraph"/>
              <w:spacing w:line="266" w:lineRule="exact"/>
              <w:ind w:left="51"/>
              <w:rPr>
                <w:rFonts w:ascii="黑体" w:eastAsia="黑体" w:hint="eastAsia"/>
                <w:sz w:val="21"/>
              </w:rPr>
            </w:pPr>
            <w:r>
              <w:rPr>
                <w:rFonts w:ascii="黑体" w:eastAsia="黑体" w:hint="eastAsia"/>
                <w:sz w:val="21"/>
              </w:rPr>
              <w:t>遗传性疾病</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3.4 保险金给付</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10.1 重大疾病的定义</w:t>
            </w:r>
          </w:p>
        </w:tc>
        <w:tc>
          <w:tcPr>
            <w:tcW w:w="766" w:type="dxa"/>
          </w:tcPr>
          <w:p>
            <w:pPr>
              <w:pStyle w:val="TableParagraph"/>
              <w:spacing w:line="265" w:lineRule="exact"/>
              <w:ind w:left="236"/>
              <w:rPr>
                <w:rFonts w:ascii="黑体"/>
                <w:sz w:val="21"/>
              </w:rPr>
            </w:pPr>
            <w:r>
              <w:rPr>
                <w:rFonts w:ascii="黑体"/>
                <w:sz w:val="21"/>
              </w:rPr>
              <w:t>13.17</w:t>
            </w:r>
          </w:p>
        </w:tc>
        <w:tc>
          <w:tcPr>
            <w:tcW w:w="2248" w:type="dxa"/>
          </w:tcPr>
          <w:p>
            <w:pPr>
              <w:pStyle w:val="TableParagraph"/>
              <w:spacing w:line="265" w:lineRule="exact"/>
              <w:ind w:left="0" w:right="74"/>
              <w:jc w:val="right"/>
              <w:rPr>
                <w:rFonts w:ascii="黑体" w:eastAsia="黑体" w:hint="eastAsia"/>
                <w:sz w:val="21"/>
              </w:rPr>
            </w:pPr>
            <w:r>
              <w:rPr>
                <w:rFonts w:ascii="黑体" w:eastAsia="黑体" w:hint="eastAsia"/>
                <w:sz w:val="21"/>
              </w:rPr>
              <w:t>先天性畸形、变形或染</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3.5 宣告死亡处理</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10.2 重大疾病的分组</w:t>
            </w:r>
          </w:p>
        </w:tc>
        <w:tc>
          <w:tcPr>
            <w:tcW w:w="766" w:type="dxa"/>
          </w:tcPr>
          <w:p>
            <w:pPr>
              <w:pStyle w:val="TableParagraph"/>
              <w:ind w:left="0"/>
              <w:rPr>
                <w:rFonts w:ascii="Times New Roman"/>
                <w:sz w:val="20"/>
              </w:rPr>
            </w:pPr>
          </w:p>
        </w:tc>
        <w:tc>
          <w:tcPr>
            <w:tcW w:w="2248" w:type="dxa"/>
          </w:tcPr>
          <w:p>
            <w:pPr>
              <w:pStyle w:val="TableParagraph"/>
              <w:spacing w:line="265" w:lineRule="exact"/>
              <w:ind w:left="42"/>
              <w:rPr>
                <w:rFonts w:ascii="黑体" w:eastAsia="黑体" w:hint="eastAsia"/>
                <w:sz w:val="21"/>
              </w:rPr>
            </w:pPr>
            <w:r>
              <w:rPr>
                <w:rFonts w:ascii="黑体" w:eastAsia="黑体" w:hint="eastAsia"/>
                <w:sz w:val="21"/>
              </w:rPr>
              <w:t>色体异常</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3.6 诉讼时效</w:t>
            </w:r>
          </w:p>
        </w:tc>
        <w:tc>
          <w:tcPr>
            <w:tcW w:w="3298" w:type="dxa"/>
          </w:tcPr>
          <w:p>
            <w:pPr>
              <w:pStyle w:val="TableParagraph"/>
              <w:spacing w:line="267" w:lineRule="exact"/>
              <w:ind w:left="279"/>
              <w:rPr>
                <w:rFonts w:ascii="黑体" w:eastAsia="黑体" w:hint="eastAsia"/>
                <w:sz w:val="21"/>
              </w:rPr>
            </w:pPr>
            <w:r>
              <w:rPr>
                <w:rFonts w:ascii="黑体" w:eastAsia="黑体" w:hint="eastAsia"/>
                <w:sz w:val="21"/>
              </w:rPr>
              <w:t>10.3 定义来源及确诊医院范围</w:t>
            </w:r>
          </w:p>
        </w:tc>
        <w:tc>
          <w:tcPr>
            <w:tcW w:w="766" w:type="dxa"/>
          </w:tcPr>
          <w:p>
            <w:pPr>
              <w:pStyle w:val="TableParagraph"/>
              <w:spacing w:line="266" w:lineRule="exact"/>
              <w:ind w:left="239" w:right="-15"/>
              <w:rPr>
                <w:rFonts w:ascii="黑体"/>
                <w:sz w:val="21"/>
              </w:rPr>
            </w:pPr>
            <w:r>
              <w:rPr>
                <w:rFonts w:ascii="黑体"/>
                <w:sz w:val="21"/>
              </w:rPr>
              <w:t>13.18</w:t>
            </w:r>
          </w:p>
        </w:tc>
        <w:tc>
          <w:tcPr>
            <w:tcW w:w="2248" w:type="dxa"/>
          </w:tcPr>
          <w:p>
            <w:pPr>
              <w:pStyle w:val="TableParagraph"/>
              <w:spacing w:line="266" w:lineRule="exact"/>
              <w:ind w:left="104"/>
              <w:rPr>
                <w:rFonts w:ascii="黑体" w:eastAsia="黑体" w:hint="eastAsia"/>
                <w:sz w:val="21"/>
              </w:rPr>
            </w:pPr>
            <w:r>
              <w:rPr>
                <w:rFonts w:ascii="黑体" w:eastAsia="黑体" w:hint="eastAsia"/>
                <w:sz w:val="21"/>
              </w:rPr>
              <w:t>情形复杂</w:t>
            </w:r>
          </w:p>
        </w:tc>
      </w:tr>
      <w:tr>
        <w:trPr>
          <w:trHeight w:val="319" w:hRule="atLeast"/>
        </w:trPr>
        <w:tc>
          <w:tcPr>
            <w:tcW w:w="3030" w:type="dxa"/>
          </w:tcPr>
          <w:p>
            <w:pPr>
              <w:pStyle w:val="TableParagraph"/>
              <w:tabs>
                <w:tab w:pos="2749" w:val="left" w:leader="none"/>
              </w:tabs>
              <w:spacing w:line="265" w:lineRule="exact"/>
              <w:ind w:left="50"/>
              <w:rPr>
                <w:rFonts w:ascii="黑体" w:eastAsia="黑体" w:hint="eastAsia"/>
                <w:sz w:val="21"/>
              </w:rPr>
            </w:pPr>
            <w:r>
              <w:rPr>
                <w:rFonts w:ascii="黑体" w:eastAsia="黑体" w:hint="eastAsia"/>
                <w:sz w:val="21"/>
                <w:shd w:fill="A7A8A7" w:color="auto" w:val="clear"/>
              </w:rPr>
              <w:t>4.</w:t>
            </w:r>
            <w:r>
              <w:rPr>
                <w:rFonts w:ascii="黑体" w:eastAsia="黑体" w:hint="eastAsia"/>
                <w:spacing w:val="7"/>
                <w:sz w:val="21"/>
                <w:shd w:fill="A7A8A7" w:color="auto" w:val="clear"/>
              </w:rPr>
              <w:t> </w:t>
            </w:r>
            <w:r>
              <w:rPr>
                <w:rFonts w:ascii="黑体" w:eastAsia="黑体" w:hint="eastAsia"/>
                <w:spacing w:val="-3"/>
                <w:sz w:val="21"/>
                <w:shd w:fill="A7A8A7" w:color="auto" w:val="clear"/>
              </w:rPr>
              <w:t>保险</w:t>
            </w:r>
            <w:r>
              <w:rPr>
                <w:rFonts w:ascii="黑体" w:eastAsia="黑体" w:hint="eastAsia"/>
                <w:sz w:val="21"/>
                <w:shd w:fill="A7A8A7" w:color="auto" w:val="clear"/>
              </w:rPr>
              <w:t>费</w:t>
            </w:r>
            <w:r>
              <w:rPr>
                <w:rFonts w:ascii="黑体" w:eastAsia="黑体" w:hint="eastAsia"/>
                <w:spacing w:val="-3"/>
                <w:sz w:val="21"/>
                <w:shd w:fill="A7A8A7" w:color="auto" w:val="clear"/>
              </w:rPr>
              <w:t>的</w:t>
            </w:r>
            <w:r>
              <w:rPr>
                <w:rFonts w:ascii="黑体" w:eastAsia="黑体" w:hint="eastAsia"/>
                <w:sz w:val="21"/>
                <w:shd w:fill="A7A8A7" w:color="auto" w:val="clear"/>
              </w:rPr>
              <w:t>支付</w:t>
              <w:tab/>
            </w:r>
          </w:p>
        </w:tc>
        <w:tc>
          <w:tcPr>
            <w:tcW w:w="3298" w:type="dxa"/>
          </w:tcPr>
          <w:p>
            <w:pPr>
              <w:pStyle w:val="TableParagraph"/>
              <w:tabs>
                <w:tab w:pos="2979" w:val="left" w:leader="none"/>
              </w:tabs>
              <w:spacing w:line="265" w:lineRule="exact"/>
              <w:ind w:left="279"/>
              <w:rPr>
                <w:rFonts w:ascii="黑体" w:eastAsia="黑体" w:hint="eastAsia"/>
                <w:sz w:val="21"/>
              </w:rPr>
            </w:pPr>
            <w:r>
              <w:rPr>
                <w:rFonts w:ascii="黑体" w:eastAsia="黑体" w:hint="eastAsia"/>
                <w:sz w:val="21"/>
                <w:shd w:fill="A7A8A7" w:color="auto" w:val="clear"/>
              </w:rPr>
              <w:t>11．</w:t>
            </w:r>
            <w:r>
              <w:rPr>
                <w:rFonts w:ascii="黑体" w:eastAsia="黑体" w:hint="eastAsia"/>
                <w:spacing w:val="-3"/>
                <w:sz w:val="21"/>
                <w:shd w:fill="A7A8A7" w:color="auto" w:val="clear"/>
              </w:rPr>
              <w:t>轻</w:t>
            </w:r>
            <w:r>
              <w:rPr>
                <w:rFonts w:ascii="黑体" w:eastAsia="黑体" w:hint="eastAsia"/>
                <w:sz w:val="21"/>
                <w:shd w:fill="A7A8A7" w:color="auto" w:val="clear"/>
              </w:rPr>
              <w:t>症</w:t>
            </w:r>
            <w:r>
              <w:rPr>
                <w:rFonts w:ascii="黑体" w:eastAsia="黑体" w:hint="eastAsia"/>
                <w:spacing w:val="-3"/>
                <w:sz w:val="21"/>
                <w:shd w:fill="A7A8A7" w:color="auto" w:val="clear"/>
              </w:rPr>
              <w:t>疾病</w:t>
            </w:r>
            <w:r>
              <w:rPr>
                <w:rFonts w:ascii="黑体" w:eastAsia="黑体" w:hint="eastAsia"/>
                <w:sz w:val="21"/>
                <w:shd w:fill="A7A8A7" w:color="auto" w:val="clear"/>
              </w:rPr>
              <w:t>的</w:t>
            </w:r>
            <w:r>
              <w:rPr>
                <w:rFonts w:ascii="黑体" w:eastAsia="黑体" w:hint="eastAsia"/>
                <w:spacing w:val="-3"/>
                <w:sz w:val="21"/>
                <w:shd w:fill="A7A8A7" w:color="auto" w:val="clear"/>
              </w:rPr>
              <w:t>定</w:t>
            </w:r>
            <w:r>
              <w:rPr>
                <w:rFonts w:ascii="黑体" w:eastAsia="黑体" w:hint="eastAsia"/>
                <w:sz w:val="21"/>
                <w:shd w:fill="A7A8A7" w:color="auto" w:val="clear"/>
              </w:rPr>
              <w:t>义</w:t>
              <w:tab/>
            </w:r>
          </w:p>
        </w:tc>
        <w:tc>
          <w:tcPr>
            <w:tcW w:w="766" w:type="dxa"/>
          </w:tcPr>
          <w:p>
            <w:pPr>
              <w:pStyle w:val="TableParagraph"/>
              <w:spacing w:line="265" w:lineRule="exact"/>
              <w:ind w:left="239" w:right="-15"/>
              <w:rPr>
                <w:rFonts w:ascii="黑体"/>
                <w:sz w:val="21"/>
              </w:rPr>
            </w:pPr>
            <w:r>
              <w:rPr>
                <w:rFonts w:ascii="黑体"/>
                <w:sz w:val="21"/>
              </w:rPr>
              <w:t>13.19</w:t>
            </w:r>
          </w:p>
        </w:tc>
        <w:tc>
          <w:tcPr>
            <w:tcW w:w="2248" w:type="dxa"/>
          </w:tcPr>
          <w:p>
            <w:pPr>
              <w:pStyle w:val="TableParagraph"/>
              <w:spacing w:line="265" w:lineRule="exact"/>
              <w:ind w:left="104"/>
              <w:rPr>
                <w:rFonts w:ascii="黑体" w:eastAsia="黑体" w:hint="eastAsia"/>
                <w:sz w:val="21"/>
              </w:rPr>
            </w:pPr>
            <w:r>
              <w:rPr>
                <w:rFonts w:ascii="黑体" w:eastAsia="黑体" w:hint="eastAsia"/>
                <w:sz w:val="21"/>
              </w:rPr>
              <w:t>本合同约定利率</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4.1 保险费的支付</w:t>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11.1 轻症疾病的定义</w:t>
            </w:r>
          </w:p>
        </w:tc>
        <w:tc>
          <w:tcPr>
            <w:tcW w:w="766" w:type="dxa"/>
          </w:tcPr>
          <w:p>
            <w:pPr>
              <w:pStyle w:val="TableParagraph"/>
              <w:spacing w:line="265" w:lineRule="exact"/>
              <w:ind w:left="239" w:right="-15"/>
              <w:rPr>
                <w:rFonts w:ascii="黑体"/>
                <w:sz w:val="21"/>
              </w:rPr>
            </w:pPr>
            <w:r>
              <w:rPr>
                <w:rFonts w:ascii="黑体"/>
                <w:sz w:val="21"/>
              </w:rPr>
              <w:t>13.20</w:t>
            </w:r>
          </w:p>
        </w:tc>
        <w:tc>
          <w:tcPr>
            <w:tcW w:w="2248" w:type="dxa"/>
          </w:tcPr>
          <w:p>
            <w:pPr>
              <w:pStyle w:val="TableParagraph"/>
              <w:spacing w:line="265" w:lineRule="exact"/>
              <w:ind w:left="104"/>
              <w:rPr>
                <w:rFonts w:ascii="黑体" w:eastAsia="黑体" w:hint="eastAsia"/>
                <w:sz w:val="21"/>
              </w:rPr>
            </w:pPr>
            <w:r>
              <w:rPr>
                <w:rFonts w:ascii="黑体" w:eastAsia="黑体" w:hint="eastAsia"/>
                <w:sz w:val="21"/>
              </w:rPr>
              <w:t>专科医Th</w:t>
            </w:r>
          </w:p>
        </w:tc>
      </w:tr>
      <w:tr>
        <w:trPr>
          <w:trHeight w:val="320" w:hRule="atLeast"/>
        </w:trPr>
        <w:tc>
          <w:tcPr>
            <w:tcW w:w="3030" w:type="dxa"/>
          </w:tcPr>
          <w:p>
            <w:pPr>
              <w:pStyle w:val="TableParagraph"/>
              <w:spacing w:line="267" w:lineRule="exact"/>
              <w:ind w:left="50"/>
              <w:rPr>
                <w:rFonts w:ascii="黑体" w:eastAsia="黑体" w:hint="eastAsia"/>
                <w:sz w:val="21"/>
              </w:rPr>
            </w:pPr>
            <w:r>
              <w:rPr>
                <w:rFonts w:ascii="黑体" w:eastAsia="黑体" w:hint="eastAsia"/>
                <w:sz w:val="21"/>
              </w:rPr>
              <w:t>4.2 宽限期</w:t>
            </w:r>
          </w:p>
        </w:tc>
        <w:tc>
          <w:tcPr>
            <w:tcW w:w="3298" w:type="dxa"/>
          </w:tcPr>
          <w:p>
            <w:pPr>
              <w:pStyle w:val="TableParagraph"/>
              <w:tabs>
                <w:tab w:pos="2979" w:val="left" w:leader="none"/>
              </w:tabs>
              <w:spacing w:line="267" w:lineRule="exact"/>
              <w:ind w:left="279"/>
              <w:rPr>
                <w:rFonts w:ascii="黑体" w:eastAsia="黑体" w:hint="eastAsia"/>
                <w:sz w:val="21"/>
              </w:rPr>
            </w:pPr>
            <w:r>
              <w:rPr>
                <w:rFonts w:ascii="黑体" w:eastAsia="黑体" w:hint="eastAsia"/>
                <w:sz w:val="21"/>
                <w:shd w:fill="A7A8A7" w:color="auto" w:val="clear"/>
              </w:rPr>
              <w:t>12．</w:t>
            </w:r>
            <w:r>
              <w:rPr>
                <w:rFonts w:ascii="黑体" w:eastAsia="黑体" w:hint="eastAsia"/>
                <w:spacing w:val="-3"/>
                <w:sz w:val="21"/>
                <w:shd w:fill="A7A8A7" w:color="auto" w:val="clear"/>
              </w:rPr>
              <w:t>特</w:t>
            </w:r>
            <w:r>
              <w:rPr>
                <w:rFonts w:ascii="黑体" w:eastAsia="黑体" w:hint="eastAsia"/>
                <w:sz w:val="21"/>
                <w:shd w:fill="A7A8A7" w:color="auto" w:val="clear"/>
              </w:rPr>
              <w:t>定</w:t>
            </w:r>
            <w:r>
              <w:rPr>
                <w:rFonts w:ascii="黑体" w:eastAsia="黑体" w:hint="eastAsia"/>
                <w:spacing w:val="-3"/>
                <w:sz w:val="21"/>
                <w:shd w:fill="A7A8A7" w:color="auto" w:val="clear"/>
              </w:rPr>
              <w:t>癌</w:t>
            </w:r>
            <w:r>
              <w:rPr>
                <w:rFonts w:ascii="黑体" w:eastAsia="黑体" w:hint="eastAsia"/>
                <w:sz w:val="21"/>
                <w:shd w:fill="A7A8A7" w:color="auto" w:val="clear"/>
              </w:rPr>
              <w:t>症</w:t>
            </w:r>
            <w:r>
              <w:rPr>
                <w:rFonts w:ascii="黑体" w:eastAsia="黑体" w:hint="eastAsia"/>
                <w:spacing w:val="-3"/>
                <w:sz w:val="21"/>
                <w:shd w:fill="A7A8A7" w:color="auto" w:val="clear"/>
              </w:rPr>
              <w:t>的定</w:t>
            </w:r>
            <w:r>
              <w:rPr>
                <w:rFonts w:ascii="黑体" w:eastAsia="黑体" w:hint="eastAsia"/>
                <w:sz w:val="21"/>
                <w:shd w:fill="A7A8A7" w:color="auto" w:val="clear"/>
              </w:rPr>
              <w:t>义</w:t>
              <w:tab/>
            </w:r>
          </w:p>
        </w:tc>
        <w:tc>
          <w:tcPr>
            <w:tcW w:w="766" w:type="dxa"/>
          </w:tcPr>
          <w:p>
            <w:pPr>
              <w:pStyle w:val="TableParagraph"/>
              <w:spacing w:line="266" w:lineRule="exact"/>
              <w:ind w:left="239" w:right="-15"/>
              <w:rPr>
                <w:rFonts w:ascii="黑体"/>
                <w:sz w:val="21"/>
              </w:rPr>
            </w:pPr>
            <w:r>
              <w:rPr>
                <w:rFonts w:ascii="黑体"/>
                <w:sz w:val="21"/>
              </w:rPr>
              <w:t>13.21</w:t>
            </w:r>
          </w:p>
        </w:tc>
        <w:tc>
          <w:tcPr>
            <w:tcW w:w="2248" w:type="dxa"/>
          </w:tcPr>
          <w:p>
            <w:pPr>
              <w:pStyle w:val="TableParagraph"/>
              <w:spacing w:line="266" w:lineRule="exact"/>
              <w:ind w:left="104"/>
              <w:rPr>
                <w:rFonts w:ascii="黑体" w:eastAsia="黑体" w:hint="eastAsia"/>
                <w:sz w:val="21"/>
              </w:rPr>
            </w:pPr>
            <w:r>
              <w:rPr>
                <w:rFonts w:ascii="黑体" w:eastAsia="黑体" w:hint="eastAsia"/>
                <w:sz w:val="21"/>
              </w:rPr>
              <w:t>肢体机能完全丧失</w:t>
            </w:r>
          </w:p>
        </w:tc>
      </w:tr>
      <w:tr>
        <w:trPr>
          <w:trHeight w:val="319" w:hRule="atLeast"/>
        </w:trPr>
        <w:tc>
          <w:tcPr>
            <w:tcW w:w="3030" w:type="dxa"/>
          </w:tcPr>
          <w:p>
            <w:pPr>
              <w:pStyle w:val="TableParagraph"/>
              <w:tabs>
                <w:tab w:pos="2749" w:val="left" w:leader="none"/>
              </w:tabs>
              <w:spacing w:line="265" w:lineRule="exact"/>
              <w:ind w:left="50"/>
              <w:rPr>
                <w:rFonts w:ascii="黑体" w:eastAsia="黑体" w:hint="eastAsia"/>
                <w:sz w:val="21"/>
              </w:rPr>
            </w:pPr>
            <w:r>
              <w:rPr>
                <w:rFonts w:ascii="黑体" w:eastAsia="黑体" w:hint="eastAsia"/>
                <w:spacing w:val="-1"/>
                <w:sz w:val="21"/>
                <w:shd w:fill="A7A8A7" w:color="auto" w:val="clear"/>
              </w:rPr>
              <w:t>5．现</w:t>
            </w:r>
            <w:r>
              <w:rPr>
                <w:rFonts w:ascii="黑体" w:eastAsia="黑体" w:hint="eastAsia"/>
                <w:spacing w:val="-3"/>
                <w:sz w:val="21"/>
                <w:shd w:fill="A7A8A7" w:color="auto" w:val="clear"/>
              </w:rPr>
              <w:t>金</w:t>
            </w:r>
            <w:r>
              <w:rPr>
                <w:rFonts w:ascii="黑体" w:eastAsia="黑体" w:hint="eastAsia"/>
                <w:sz w:val="21"/>
                <w:shd w:fill="A7A8A7" w:color="auto" w:val="clear"/>
              </w:rPr>
              <w:t>价</w:t>
            </w:r>
            <w:r>
              <w:rPr>
                <w:rFonts w:ascii="黑体" w:eastAsia="黑体" w:hint="eastAsia"/>
                <w:spacing w:val="-3"/>
                <w:sz w:val="21"/>
                <w:shd w:fill="A7A8A7" w:color="auto" w:val="clear"/>
              </w:rPr>
              <w:t>值</w:t>
            </w:r>
            <w:r>
              <w:rPr>
                <w:rFonts w:ascii="黑体" w:eastAsia="黑体" w:hint="eastAsia"/>
                <w:sz w:val="21"/>
                <w:shd w:fill="A7A8A7" w:color="auto" w:val="clear"/>
              </w:rPr>
              <w:t>权益</w:t>
              <w:tab/>
            </w:r>
          </w:p>
        </w:tc>
        <w:tc>
          <w:tcPr>
            <w:tcW w:w="3298" w:type="dxa"/>
          </w:tcPr>
          <w:p>
            <w:pPr>
              <w:pStyle w:val="TableParagraph"/>
              <w:spacing w:line="265" w:lineRule="exact"/>
              <w:ind w:left="279"/>
              <w:rPr>
                <w:rFonts w:ascii="黑体" w:eastAsia="黑体" w:hint="eastAsia"/>
                <w:sz w:val="21"/>
              </w:rPr>
            </w:pPr>
            <w:r>
              <w:rPr>
                <w:rFonts w:ascii="黑体" w:eastAsia="黑体" w:hint="eastAsia"/>
                <w:sz w:val="21"/>
              </w:rPr>
              <w:t>12.1 特定癌症的定义</w:t>
            </w:r>
          </w:p>
        </w:tc>
        <w:tc>
          <w:tcPr>
            <w:tcW w:w="766" w:type="dxa"/>
          </w:tcPr>
          <w:p>
            <w:pPr>
              <w:pStyle w:val="TableParagraph"/>
              <w:spacing w:line="265" w:lineRule="exact"/>
              <w:ind w:left="239" w:right="-15"/>
              <w:rPr>
                <w:rFonts w:ascii="黑体"/>
                <w:sz w:val="21"/>
              </w:rPr>
            </w:pPr>
            <w:r>
              <w:rPr>
                <w:rFonts w:ascii="黑体"/>
                <w:sz w:val="21"/>
              </w:rPr>
              <w:t>13.22</w:t>
            </w:r>
          </w:p>
        </w:tc>
        <w:tc>
          <w:tcPr>
            <w:tcW w:w="2248" w:type="dxa"/>
          </w:tcPr>
          <w:p>
            <w:pPr>
              <w:pStyle w:val="TableParagraph"/>
              <w:spacing w:line="265" w:lineRule="exact"/>
              <w:ind w:left="0" w:right="50"/>
              <w:jc w:val="right"/>
              <w:rPr>
                <w:rFonts w:ascii="黑体" w:eastAsia="黑体" w:hint="eastAsia"/>
                <w:sz w:val="21"/>
              </w:rPr>
            </w:pPr>
            <w:r>
              <w:rPr>
                <w:rFonts w:ascii="黑体" w:eastAsia="黑体" w:hint="eastAsia"/>
                <w:sz w:val="21"/>
              </w:rPr>
              <w:t>语言能力或咀嚼吞咽</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5.1 现金价值</w:t>
            </w:r>
          </w:p>
        </w:tc>
        <w:tc>
          <w:tcPr>
            <w:tcW w:w="3298" w:type="dxa"/>
          </w:tcPr>
          <w:p>
            <w:pPr>
              <w:pStyle w:val="TableParagraph"/>
              <w:tabs>
                <w:tab w:pos="2979" w:val="left" w:leader="none"/>
              </w:tabs>
              <w:spacing w:line="265" w:lineRule="exact"/>
              <w:ind w:left="279"/>
              <w:rPr>
                <w:rFonts w:ascii="黑体" w:eastAsia="黑体" w:hint="eastAsia"/>
                <w:sz w:val="21"/>
              </w:rPr>
            </w:pPr>
            <w:r>
              <w:rPr>
                <w:rFonts w:ascii="黑体" w:eastAsia="黑体" w:hint="eastAsia"/>
                <w:spacing w:val="-1"/>
                <w:sz w:val="21"/>
                <w:shd w:fill="A7A8A7" w:color="auto" w:val="clear"/>
              </w:rPr>
              <w:t>13．</w:t>
            </w:r>
            <w:r>
              <w:rPr>
                <w:rFonts w:ascii="黑体" w:eastAsia="黑体" w:hint="eastAsia"/>
                <w:sz w:val="21"/>
                <w:shd w:fill="A7A8A7" w:color="auto" w:val="clear"/>
              </w:rPr>
              <w:t>释义</w:t>
              <w:tab/>
            </w:r>
          </w:p>
        </w:tc>
        <w:tc>
          <w:tcPr>
            <w:tcW w:w="766" w:type="dxa"/>
          </w:tcPr>
          <w:p>
            <w:pPr>
              <w:pStyle w:val="TableParagraph"/>
              <w:ind w:left="0"/>
              <w:rPr>
                <w:rFonts w:ascii="Times New Roman"/>
                <w:sz w:val="20"/>
              </w:rPr>
            </w:pPr>
          </w:p>
        </w:tc>
        <w:tc>
          <w:tcPr>
            <w:tcW w:w="2248" w:type="dxa"/>
          </w:tcPr>
          <w:p>
            <w:pPr>
              <w:pStyle w:val="TableParagraph"/>
              <w:spacing w:line="265" w:lineRule="exact"/>
              <w:ind w:left="104"/>
              <w:rPr>
                <w:rFonts w:ascii="黑体" w:eastAsia="黑体" w:hint="eastAsia"/>
                <w:sz w:val="21"/>
              </w:rPr>
            </w:pPr>
            <w:r>
              <w:rPr>
                <w:rFonts w:ascii="黑体" w:eastAsia="黑体" w:hint="eastAsia"/>
                <w:sz w:val="21"/>
              </w:rPr>
              <w:t>能力完全丧失</w:t>
            </w:r>
          </w:p>
        </w:tc>
      </w:tr>
      <w:tr>
        <w:trPr>
          <w:trHeight w:val="266" w:hRule="atLeast"/>
        </w:trPr>
        <w:tc>
          <w:tcPr>
            <w:tcW w:w="3030" w:type="dxa"/>
          </w:tcPr>
          <w:p>
            <w:pPr>
              <w:pStyle w:val="TableParagraph"/>
              <w:spacing w:line="246" w:lineRule="exact"/>
              <w:ind w:left="50"/>
              <w:rPr>
                <w:rFonts w:ascii="黑体" w:eastAsia="黑体" w:hint="eastAsia"/>
                <w:sz w:val="21"/>
              </w:rPr>
            </w:pPr>
            <w:r>
              <w:rPr>
                <w:rFonts w:ascii="黑体" w:eastAsia="黑体" w:hint="eastAsia"/>
                <w:sz w:val="21"/>
              </w:rPr>
              <w:t>5.2 保单贷款</w:t>
            </w:r>
          </w:p>
        </w:tc>
        <w:tc>
          <w:tcPr>
            <w:tcW w:w="3298" w:type="dxa"/>
          </w:tcPr>
          <w:p>
            <w:pPr>
              <w:pStyle w:val="TableParagraph"/>
              <w:spacing w:line="246" w:lineRule="exact"/>
              <w:ind w:left="279"/>
              <w:rPr>
                <w:rFonts w:ascii="黑体" w:eastAsia="黑体" w:hint="eastAsia"/>
                <w:sz w:val="21"/>
              </w:rPr>
            </w:pPr>
            <w:r>
              <w:rPr>
                <w:rFonts w:ascii="黑体" w:eastAsia="黑体" w:hint="eastAsia"/>
                <w:sz w:val="21"/>
              </w:rPr>
              <w:t>13.1 保单年度</w:t>
            </w:r>
          </w:p>
        </w:tc>
        <w:tc>
          <w:tcPr>
            <w:tcW w:w="766" w:type="dxa"/>
          </w:tcPr>
          <w:p>
            <w:pPr>
              <w:pStyle w:val="TableParagraph"/>
              <w:spacing w:line="246" w:lineRule="exact"/>
              <w:ind w:left="238" w:right="-15"/>
              <w:rPr>
                <w:rFonts w:ascii="黑体"/>
                <w:sz w:val="21"/>
              </w:rPr>
            </w:pPr>
            <w:r>
              <w:rPr>
                <w:rFonts w:ascii="黑体"/>
                <w:sz w:val="21"/>
              </w:rPr>
              <w:t>13.23</w:t>
            </w:r>
          </w:p>
        </w:tc>
        <w:tc>
          <w:tcPr>
            <w:tcW w:w="2248" w:type="dxa"/>
          </w:tcPr>
          <w:p>
            <w:pPr>
              <w:pStyle w:val="TableParagraph"/>
              <w:spacing w:line="246" w:lineRule="exact"/>
              <w:ind w:left="103"/>
              <w:rPr>
                <w:rFonts w:ascii="黑体" w:eastAsia="黑体" w:hint="eastAsia"/>
                <w:sz w:val="21"/>
              </w:rPr>
            </w:pPr>
            <w:r>
              <w:rPr>
                <w:rFonts w:ascii="黑体" w:eastAsia="黑体" w:hint="eastAsia"/>
                <w:sz w:val="21"/>
              </w:rPr>
              <w:t>永久不可逆</w:t>
            </w:r>
          </w:p>
        </w:tc>
      </w:tr>
    </w:tbl>
    <w:p>
      <w:pPr>
        <w:spacing w:after="0" w:line="246" w:lineRule="exact"/>
        <w:rPr>
          <w:rFonts w:ascii="黑体" w:eastAsia="黑体" w:hint="eastAsia"/>
          <w:sz w:val="21"/>
        </w:rPr>
        <w:sectPr>
          <w:type w:val="continuous"/>
          <w:pgSz w:w="11910" w:h="16840"/>
          <w:pgMar w:top="200" w:bottom="280" w:left="1020" w:right="220"/>
        </w:sectPr>
      </w:pPr>
    </w:p>
    <w:p>
      <w:pPr>
        <w:spacing w:line="390" w:lineRule="exact" w:before="0"/>
        <w:ind w:left="3386" w:right="3391" w:firstLine="0"/>
        <w:jc w:val="center"/>
        <w:rPr>
          <w:rFonts w:ascii="黑体" w:eastAsia="黑体" w:hint="eastAsia"/>
          <w:b/>
          <w:sz w:val="32"/>
        </w:rPr>
      </w:pPr>
      <w:bookmarkStart w:name="中韩人寿保险有限公司" w:id="3"/>
      <w:bookmarkEnd w:id="3"/>
      <w:r>
        <w:rPr/>
      </w:r>
      <w:r>
        <w:rPr>
          <w:rFonts w:ascii="黑体" w:eastAsia="黑体" w:hint="eastAsia"/>
          <w:b/>
          <w:w w:val="95"/>
          <w:sz w:val="32"/>
        </w:rPr>
        <w:t>中韩人寿保险有限公司</w:t>
      </w:r>
    </w:p>
    <w:p>
      <w:pPr>
        <w:spacing w:before="205"/>
        <w:ind w:left="2683" w:right="0" w:firstLine="0"/>
        <w:jc w:val="left"/>
        <w:rPr>
          <w:rFonts w:ascii="黑体" w:eastAsia="黑体" w:hint="eastAsia"/>
          <w:b/>
          <w:sz w:val="32"/>
        </w:rPr>
      </w:pPr>
      <w:bookmarkStart w:name="中韩永佑终身重大疾病保险条款" w:id="4"/>
      <w:bookmarkEnd w:id="4"/>
      <w:r>
        <w:rPr/>
      </w:r>
      <w:r>
        <w:rPr>
          <w:rFonts w:ascii="黑体" w:eastAsia="黑体" w:hint="eastAsia"/>
          <w:b/>
          <w:w w:val="95"/>
          <w:sz w:val="32"/>
        </w:rPr>
        <w:t>中韩永佑终身重大疾病保险条款</w:t>
      </w:r>
    </w:p>
    <w:p>
      <w:pPr>
        <w:pStyle w:val="BodyText"/>
        <w:spacing w:before="1"/>
        <w:rPr>
          <w:rFonts w:ascii="黑体"/>
          <w:b/>
          <w:sz w:val="32"/>
        </w:rPr>
      </w:pPr>
    </w:p>
    <w:p>
      <w:pPr>
        <w:pStyle w:val="BodyText"/>
        <w:spacing w:line="273" w:lineRule="auto"/>
        <w:ind w:left="112" w:right="109" w:firstLine="420"/>
      </w:pPr>
      <w:r>
        <w:rPr>
          <w:spacing w:val="-19"/>
          <w:w w:val="100"/>
        </w:rPr>
        <w:t>在本保险条款中，“您”指投保人，“我们”指中韩人寿保险有限公司，“本合同”指您与我们之间订</w:t>
      </w:r>
      <w:r>
        <w:rPr>
          <w:spacing w:val="-14"/>
        </w:rPr>
        <w:t>立的“中韩永佑终身重大疾病保险合同”。</w:t>
      </w:r>
    </w:p>
    <w:p>
      <w:pPr>
        <w:pStyle w:val="BodyText"/>
        <w:spacing w:before="6"/>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03"/>
        <w:gridCol w:w="7091"/>
      </w:tblGrid>
      <w:tr>
        <w:trPr>
          <w:trHeight w:val="311" w:hRule="atLeast"/>
        </w:trPr>
        <w:tc>
          <w:tcPr>
            <w:tcW w:w="746" w:type="dxa"/>
            <w:shd w:val="clear" w:color="auto" w:fill="A7A8A7"/>
          </w:tcPr>
          <w:p>
            <w:pPr>
              <w:pStyle w:val="TableParagraph"/>
              <w:spacing w:line="262" w:lineRule="exact"/>
              <w:ind w:left="108"/>
              <w:rPr>
                <w:b/>
                <w:sz w:val="21"/>
              </w:rPr>
            </w:pPr>
            <w:r>
              <w:rPr>
                <w:b/>
                <w:sz w:val="21"/>
              </w:rPr>
              <w:t>1．</w:t>
            </w:r>
          </w:p>
        </w:tc>
        <w:tc>
          <w:tcPr>
            <w:tcW w:w="8794" w:type="dxa"/>
            <w:gridSpan w:val="2"/>
            <w:shd w:val="clear" w:color="auto" w:fill="A7A8A7"/>
          </w:tcPr>
          <w:p>
            <w:pPr>
              <w:pStyle w:val="TableParagraph"/>
              <w:spacing w:line="262" w:lineRule="exact"/>
              <w:ind w:left="322"/>
              <w:rPr>
                <w:b/>
                <w:sz w:val="21"/>
              </w:rPr>
            </w:pPr>
            <w:r>
              <w:rPr>
                <w:b/>
                <w:sz w:val="21"/>
              </w:rPr>
              <w:t>您与我们订立的合同</w:t>
            </w:r>
          </w:p>
        </w:tc>
      </w:tr>
      <w:tr>
        <w:trPr>
          <w:trHeight w:val="1151" w:hRule="atLeast"/>
        </w:trPr>
        <w:tc>
          <w:tcPr>
            <w:tcW w:w="746" w:type="dxa"/>
          </w:tcPr>
          <w:p>
            <w:pPr>
              <w:pStyle w:val="TableParagraph"/>
              <w:spacing w:before="131"/>
              <w:ind w:left="108"/>
              <w:rPr>
                <w:b/>
                <w:sz w:val="21"/>
              </w:rPr>
            </w:pPr>
            <w:r>
              <w:rPr>
                <w:b/>
                <w:sz w:val="21"/>
              </w:rPr>
              <w:t>1.1</w:t>
            </w:r>
          </w:p>
        </w:tc>
        <w:tc>
          <w:tcPr>
            <w:tcW w:w="1703" w:type="dxa"/>
          </w:tcPr>
          <w:p>
            <w:pPr>
              <w:pStyle w:val="TableParagraph"/>
              <w:spacing w:before="131"/>
              <w:ind w:left="322"/>
              <w:rPr>
                <w:b/>
                <w:sz w:val="21"/>
              </w:rPr>
            </w:pPr>
            <w:r>
              <w:rPr>
                <w:b/>
                <w:sz w:val="21"/>
              </w:rPr>
              <w:t>合同构成</w:t>
            </w:r>
          </w:p>
        </w:tc>
        <w:tc>
          <w:tcPr>
            <w:tcW w:w="7091" w:type="dxa"/>
          </w:tcPr>
          <w:p>
            <w:pPr>
              <w:pStyle w:val="TableParagraph"/>
              <w:spacing w:line="273" w:lineRule="auto" w:before="131"/>
              <w:ind w:left="116" w:right="-15"/>
              <w:rPr>
                <w:sz w:val="21"/>
              </w:rPr>
            </w:pPr>
            <w:r>
              <w:rPr>
                <w:spacing w:val="-10"/>
                <w:sz w:val="21"/>
              </w:rPr>
              <w:t>本合同是您与我们约定保险权利义务关系的协议，包括本保险条款、保险单、</w:t>
            </w:r>
            <w:r>
              <w:rPr>
                <w:spacing w:val="-9"/>
                <w:sz w:val="21"/>
              </w:rPr>
              <w:t>投保单及其他投保文件、合法有效的声明、批注、批单及其他您与我们共同</w:t>
            </w:r>
            <w:r>
              <w:rPr>
                <w:spacing w:val="-5"/>
                <w:sz w:val="21"/>
              </w:rPr>
              <w:t>认可的书面协议。</w:t>
            </w:r>
          </w:p>
        </w:tc>
      </w:tr>
      <w:tr>
        <w:trPr>
          <w:trHeight w:val="1466" w:hRule="atLeast"/>
        </w:trPr>
        <w:tc>
          <w:tcPr>
            <w:tcW w:w="746" w:type="dxa"/>
          </w:tcPr>
          <w:p>
            <w:pPr>
              <w:pStyle w:val="TableParagraph"/>
              <w:spacing w:before="57"/>
              <w:ind w:left="108"/>
              <w:rPr>
                <w:b/>
                <w:sz w:val="21"/>
              </w:rPr>
            </w:pPr>
            <w:r>
              <w:rPr>
                <w:b/>
                <w:sz w:val="21"/>
              </w:rPr>
              <w:t>1.2</w:t>
            </w:r>
          </w:p>
        </w:tc>
        <w:tc>
          <w:tcPr>
            <w:tcW w:w="1703" w:type="dxa"/>
          </w:tcPr>
          <w:p>
            <w:pPr>
              <w:pStyle w:val="TableParagraph"/>
              <w:spacing w:line="273" w:lineRule="auto" w:before="57"/>
              <w:ind w:left="322" w:right="111"/>
              <w:rPr>
                <w:b/>
                <w:sz w:val="21"/>
              </w:rPr>
            </w:pPr>
            <w:r>
              <w:rPr>
                <w:b/>
                <w:sz w:val="21"/>
              </w:rPr>
              <w:t>合同成立与生效</w:t>
            </w:r>
          </w:p>
        </w:tc>
        <w:tc>
          <w:tcPr>
            <w:tcW w:w="7091" w:type="dxa"/>
          </w:tcPr>
          <w:p>
            <w:pPr>
              <w:pStyle w:val="TableParagraph"/>
              <w:spacing w:before="57"/>
              <w:ind w:left="116"/>
              <w:rPr>
                <w:sz w:val="21"/>
              </w:rPr>
            </w:pPr>
            <w:r>
              <w:rPr>
                <w:sz w:val="21"/>
              </w:rPr>
              <w:t>您提出保险申请、我们同意承保，本合同成立。</w:t>
            </w:r>
          </w:p>
          <w:p>
            <w:pPr>
              <w:pStyle w:val="TableParagraph"/>
              <w:spacing w:line="273" w:lineRule="auto" w:before="113"/>
              <w:ind w:left="116" w:right="31"/>
              <w:rPr>
                <w:sz w:val="21"/>
              </w:rPr>
            </w:pPr>
            <w:r>
              <w:rPr>
                <w:spacing w:val="-7"/>
                <w:sz w:val="21"/>
              </w:rPr>
              <w:t>本合同自我们同意承保、收到首期保险费并签发保险单后开始生效。合同生</w:t>
            </w:r>
            <w:r>
              <w:rPr>
                <w:spacing w:val="-3"/>
                <w:sz w:val="21"/>
              </w:rPr>
              <w:t>效日期在保险单上载明，</w:t>
            </w:r>
            <w:r>
              <w:rPr>
                <w:b/>
                <w:sz w:val="21"/>
              </w:rPr>
              <w:t>保单年度</w:t>
            </w:r>
            <w:r>
              <w:rPr>
                <w:spacing w:val="-3"/>
                <w:sz w:val="21"/>
              </w:rPr>
              <w:t>（</w:t>
            </w:r>
            <w:r>
              <w:rPr>
                <w:spacing w:val="-2"/>
                <w:sz w:val="21"/>
              </w:rPr>
              <w:t>详见释义</w:t>
            </w:r>
            <w:r>
              <w:rPr>
                <w:spacing w:val="-108"/>
                <w:sz w:val="21"/>
              </w:rPr>
              <w:t>）</w:t>
            </w:r>
            <w:r>
              <w:rPr>
                <w:spacing w:val="-3"/>
                <w:sz w:val="21"/>
              </w:rPr>
              <w:t>、</w:t>
            </w:r>
            <w:r>
              <w:rPr>
                <w:b/>
                <w:sz w:val="21"/>
              </w:rPr>
              <w:t>保单周年日</w:t>
            </w:r>
            <w:r>
              <w:rPr>
                <w:spacing w:val="-3"/>
                <w:sz w:val="21"/>
              </w:rPr>
              <w:t>（</w:t>
            </w:r>
            <w:r>
              <w:rPr>
                <w:spacing w:val="-2"/>
                <w:sz w:val="21"/>
              </w:rPr>
              <w:t>详见释义</w:t>
            </w:r>
            <w:r>
              <w:rPr>
                <w:spacing w:val="-108"/>
                <w:sz w:val="21"/>
              </w:rPr>
              <w:t>）</w:t>
            </w:r>
            <w:r>
              <w:rPr>
                <w:sz w:val="21"/>
              </w:rPr>
              <w:t>、</w:t>
            </w:r>
            <w:r>
              <w:rPr>
                <w:b/>
                <w:sz w:val="21"/>
              </w:rPr>
              <w:t>保险费约定支付日</w:t>
            </w:r>
            <w:r>
              <w:rPr>
                <w:spacing w:val="-3"/>
                <w:sz w:val="21"/>
              </w:rPr>
              <w:t>（详见释义</w:t>
            </w:r>
            <w:r>
              <w:rPr>
                <w:sz w:val="21"/>
              </w:rPr>
              <w:t>）</w:t>
            </w:r>
            <w:r>
              <w:rPr>
                <w:spacing w:val="-3"/>
                <w:sz w:val="21"/>
              </w:rPr>
              <w:t>均以该日期计算。</w:t>
            </w:r>
          </w:p>
        </w:tc>
      </w:tr>
      <w:tr>
        <w:trPr>
          <w:trHeight w:val="2014" w:hRule="atLeast"/>
        </w:trPr>
        <w:tc>
          <w:tcPr>
            <w:tcW w:w="746" w:type="dxa"/>
          </w:tcPr>
          <w:p>
            <w:pPr>
              <w:pStyle w:val="TableParagraph"/>
              <w:spacing w:before="57"/>
              <w:ind w:left="108"/>
              <w:rPr>
                <w:b/>
                <w:sz w:val="21"/>
              </w:rPr>
            </w:pPr>
            <w:r>
              <w:rPr>
                <w:b/>
                <w:sz w:val="21"/>
              </w:rPr>
              <w:t>1.3</w:t>
            </w:r>
          </w:p>
        </w:tc>
        <w:tc>
          <w:tcPr>
            <w:tcW w:w="1703" w:type="dxa"/>
          </w:tcPr>
          <w:p>
            <w:pPr>
              <w:pStyle w:val="TableParagraph"/>
              <w:spacing w:before="57"/>
              <w:ind w:left="322"/>
              <w:rPr>
                <w:b/>
                <w:sz w:val="21"/>
              </w:rPr>
            </w:pPr>
            <w:r>
              <w:rPr>
                <w:b/>
                <w:sz w:val="21"/>
              </w:rPr>
              <w:t>合同终止</w:t>
            </w:r>
          </w:p>
        </w:tc>
        <w:tc>
          <w:tcPr>
            <w:tcW w:w="7091" w:type="dxa"/>
          </w:tcPr>
          <w:p>
            <w:pPr>
              <w:pStyle w:val="TableParagraph"/>
              <w:spacing w:before="57"/>
              <w:ind w:left="116"/>
              <w:rPr>
                <w:sz w:val="21"/>
              </w:rPr>
            </w:pPr>
            <w:r>
              <w:rPr>
                <w:sz w:val="21"/>
              </w:rPr>
              <w:t>发生下列情况之一时，本合同效力即时终止：</w:t>
            </w:r>
          </w:p>
          <w:p>
            <w:pPr>
              <w:pStyle w:val="TableParagraph"/>
              <w:spacing w:before="36"/>
              <w:ind w:left="116"/>
              <w:rPr>
                <w:sz w:val="21"/>
              </w:rPr>
            </w:pPr>
            <w:r>
              <w:rPr>
                <w:sz w:val="21"/>
              </w:rPr>
              <w:t>(1)您于合同有效期内向我们申请解除本合同；</w:t>
            </w:r>
          </w:p>
          <w:p>
            <w:pPr>
              <w:pStyle w:val="TableParagraph"/>
              <w:spacing w:line="273" w:lineRule="auto" w:before="36"/>
              <w:ind w:left="116" w:right="101"/>
              <w:rPr>
                <w:sz w:val="21"/>
              </w:rPr>
            </w:pPr>
            <w:r>
              <w:rPr>
                <w:sz w:val="21"/>
              </w:rPr>
              <w:t>(2)</w:t>
            </w:r>
            <w:r>
              <w:rPr>
                <w:spacing w:val="-22"/>
                <w:sz w:val="21"/>
              </w:rPr>
              <w:t>我们给付“身故保险金”、“全残保险金”、“长期护理保险金”或“第三</w:t>
            </w:r>
            <w:r>
              <w:rPr>
                <w:spacing w:val="-18"/>
                <w:w w:val="100"/>
                <w:sz w:val="21"/>
              </w:rPr>
              <w:t>次重大疾病保险金”；</w:t>
            </w:r>
          </w:p>
          <w:p>
            <w:pPr>
              <w:pStyle w:val="TableParagraph"/>
              <w:spacing w:before="7"/>
              <w:ind w:left="116"/>
              <w:rPr>
                <w:sz w:val="21"/>
              </w:rPr>
            </w:pPr>
            <w:r>
              <w:rPr>
                <w:sz w:val="21"/>
              </w:rPr>
              <w:t>(3)本合同效力中止且未能按本保险条款“6.2 效力恢复”办理复效的；</w:t>
            </w:r>
          </w:p>
          <w:p>
            <w:pPr>
              <w:pStyle w:val="TableParagraph"/>
              <w:spacing w:before="37"/>
              <w:ind w:left="116"/>
              <w:rPr>
                <w:sz w:val="21"/>
              </w:rPr>
            </w:pPr>
            <w:r>
              <w:rPr>
                <w:sz w:val="21"/>
              </w:rPr>
              <w:t>(4)本合同约定的其他效力终止的情况。</w:t>
            </w:r>
          </w:p>
        </w:tc>
      </w:tr>
      <w:tr>
        <w:trPr>
          <w:trHeight w:val="766" w:hRule="atLeast"/>
        </w:trPr>
        <w:tc>
          <w:tcPr>
            <w:tcW w:w="746" w:type="dxa"/>
          </w:tcPr>
          <w:p>
            <w:pPr>
              <w:pStyle w:val="TableParagraph"/>
              <w:spacing w:before="58"/>
              <w:ind w:left="108"/>
              <w:rPr>
                <w:b/>
                <w:sz w:val="21"/>
              </w:rPr>
            </w:pPr>
            <w:r>
              <w:rPr>
                <w:b/>
                <w:sz w:val="21"/>
              </w:rPr>
              <w:t>1.4</w:t>
            </w:r>
          </w:p>
        </w:tc>
        <w:tc>
          <w:tcPr>
            <w:tcW w:w="1703" w:type="dxa"/>
          </w:tcPr>
          <w:p>
            <w:pPr>
              <w:pStyle w:val="TableParagraph"/>
              <w:spacing w:before="58"/>
              <w:ind w:left="322"/>
              <w:rPr>
                <w:b/>
                <w:sz w:val="21"/>
              </w:rPr>
            </w:pPr>
            <w:r>
              <w:rPr>
                <w:b/>
                <w:sz w:val="21"/>
              </w:rPr>
              <w:t>投保年龄</w:t>
            </w:r>
          </w:p>
        </w:tc>
        <w:tc>
          <w:tcPr>
            <w:tcW w:w="7091" w:type="dxa"/>
          </w:tcPr>
          <w:p>
            <w:pPr>
              <w:pStyle w:val="TableParagraph"/>
              <w:spacing w:line="273" w:lineRule="auto" w:before="58"/>
              <w:ind w:left="116" w:right="31" w:hanging="1"/>
              <w:rPr>
                <w:sz w:val="21"/>
              </w:rPr>
            </w:pPr>
            <w:r>
              <w:rPr>
                <w:sz w:val="21"/>
              </w:rPr>
              <w:t>指您投保时被保险人的年龄，以</w:t>
            </w:r>
            <w:r>
              <w:rPr>
                <w:b/>
                <w:sz w:val="21"/>
              </w:rPr>
              <w:t>周岁</w:t>
            </w:r>
            <w:r>
              <w:rPr>
                <w:sz w:val="21"/>
              </w:rPr>
              <w:t>（详见释义）计算，本合同接受的投保年龄范围为 16 至 55 周岁。</w:t>
            </w:r>
          </w:p>
        </w:tc>
      </w:tr>
      <w:tr>
        <w:trPr>
          <w:trHeight w:val="2160" w:hRule="atLeast"/>
        </w:trPr>
        <w:tc>
          <w:tcPr>
            <w:tcW w:w="746" w:type="dxa"/>
          </w:tcPr>
          <w:p>
            <w:pPr>
              <w:pStyle w:val="TableParagraph"/>
              <w:spacing w:before="57"/>
              <w:ind w:left="108"/>
              <w:rPr>
                <w:b/>
                <w:sz w:val="21"/>
              </w:rPr>
            </w:pPr>
            <w:r>
              <w:rPr>
                <w:b/>
                <w:sz w:val="21"/>
              </w:rPr>
              <w:t>1.5</w:t>
            </w:r>
          </w:p>
        </w:tc>
        <w:tc>
          <w:tcPr>
            <w:tcW w:w="1703" w:type="dxa"/>
          </w:tcPr>
          <w:p>
            <w:pPr>
              <w:pStyle w:val="TableParagraph"/>
              <w:spacing w:before="57"/>
              <w:ind w:left="322"/>
              <w:rPr>
                <w:b/>
                <w:sz w:val="21"/>
              </w:rPr>
            </w:pPr>
            <w:r>
              <w:rPr>
                <w:b/>
                <w:sz w:val="21"/>
              </w:rPr>
              <w:t>犹豫期</w:t>
            </w:r>
          </w:p>
        </w:tc>
        <w:tc>
          <w:tcPr>
            <w:tcW w:w="7091" w:type="dxa"/>
          </w:tcPr>
          <w:p>
            <w:pPr>
              <w:pStyle w:val="TableParagraph"/>
              <w:spacing w:line="273" w:lineRule="auto" w:before="57"/>
              <w:ind w:left="116" w:right="-15"/>
              <w:rPr>
                <w:sz w:val="21"/>
              </w:rPr>
            </w:pPr>
            <w:r>
              <w:rPr>
                <w:spacing w:val="-5"/>
                <w:sz w:val="21"/>
              </w:rPr>
              <w:t>自您签收本合同之日起，有 </w:t>
            </w:r>
            <w:r>
              <w:rPr>
                <w:sz w:val="21"/>
              </w:rPr>
              <w:t>10</w:t>
            </w:r>
            <w:r>
              <w:rPr>
                <w:spacing w:val="-6"/>
                <w:sz w:val="21"/>
              </w:rPr>
              <w:t> 日的犹豫期。在此期间，请您认真审阅本合</w:t>
            </w:r>
            <w:r>
              <w:rPr>
                <w:spacing w:val="-16"/>
                <w:sz w:val="21"/>
              </w:rPr>
              <w:t>同，如果您认为本合同与您的需求不相符，您可以在此期间提出解除本合同， </w:t>
            </w:r>
            <w:r>
              <w:rPr>
                <w:spacing w:val="-3"/>
                <w:sz w:val="21"/>
              </w:rPr>
              <w:t>我们无息退还您所支付的全部保险费。</w:t>
            </w:r>
          </w:p>
          <w:p>
            <w:pPr>
              <w:pStyle w:val="TableParagraph"/>
              <w:spacing w:line="273" w:lineRule="auto" w:before="84"/>
              <w:ind w:left="116" w:right="101" w:hanging="1"/>
              <w:jc w:val="both"/>
              <w:rPr>
                <w:sz w:val="21"/>
              </w:rPr>
            </w:pPr>
            <w:r>
              <w:rPr>
                <w:spacing w:val="-8"/>
                <w:sz w:val="21"/>
              </w:rPr>
              <w:t>解除合同时，您需要填写申请书，并提供您的保险合同及</w:t>
            </w:r>
            <w:r>
              <w:rPr>
                <w:b/>
                <w:spacing w:val="-4"/>
                <w:sz w:val="21"/>
              </w:rPr>
              <w:t>有效身份证件</w:t>
            </w:r>
            <w:r>
              <w:rPr>
                <w:spacing w:val="-3"/>
                <w:sz w:val="21"/>
              </w:rPr>
              <w:t>（详</w:t>
            </w:r>
            <w:r>
              <w:rPr>
                <w:sz w:val="21"/>
              </w:rPr>
              <w:t>见释义</w:t>
            </w:r>
            <w:r>
              <w:rPr>
                <w:spacing w:val="-106"/>
                <w:sz w:val="21"/>
              </w:rPr>
              <w:t>）</w:t>
            </w:r>
            <w:r>
              <w:rPr>
                <w:sz w:val="21"/>
              </w:rPr>
              <w:t>。自我们收到您解除合同的书面申请时起，本合同即被解除，对于</w:t>
            </w:r>
            <w:r>
              <w:rPr>
                <w:spacing w:val="-3"/>
                <w:sz w:val="21"/>
              </w:rPr>
              <w:t>合同解除前发生的保险事故，我们不承担保险责任。</w:t>
            </w:r>
          </w:p>
        </w:tc>
      </w:tr>
      <w:tr>
        <w:trPr>
          <w:trHeight w:val="312" w:hRule="atLeast"/>
        </w:trPr>
        <w:tc>
          <w:tcPr>
            <w:tcW w:w="746" w:type="dxa"/>
            <w:shd w:val="clear" w:color="auto" w:fill="A7A8A7"/>
          </w:tcPr>
          <w:p>
            <w:pPr>
              <w:pStyle w:val="TableParagraph"/>
              <w:spacing w:line="262" w:lineRule="exact"/>
              <w:ind w:left="108"/>
              <w:rPr>
                <w:b/>
                <w:sz w:val="21"/>
              </w:rPr>
            </w:pPr>
            <w:r>
              <w:rPr>
                <w:b/>
                <w:sz w:val="21"/>
              </w:rPr>
              <w:t>2．</w:t>
            </w:r>
          </w:p>
        </w:tc>
        <w:tc>
          <w:tcPr>
            <w:tcW w:w="8794" w:type="dxa"/>
            <w:gridSpan w:val="2"/>
            <w:shd w:val="clear" w:color="auto" w:fill="A7A8A7"/>
          </w:tcPr>
          <w:p>
            <w:pPr>
              <w:pStyle w:val="TableParagraph"/>
              <w:spacing w:line="262" w:lineRule="exact"/>
              <w:ind w:left="322"/>
              <w:rPr>
                <w:b/>
                <w:sz w:val="21"/>
              </w:rPr>
            </w:pPr>
            <w:r>
              <w:rPr>
                <w:b/>
                <w:sz w:val="21"/>
              </w:rPr>
              <w:t>我们提供的保障</w:t>
            </w:r>
          </w:p>
        </w:tc>
      </w:tr>
      <w:tr>
        <w:trPr>
          <w:trHeight w:val="527" w:hRule="atLeast"/>
        </w:trPr>
        <w:tc>
          <w:tcPr>
            <w:tcW w:w="746" w:type="dxa"/>
          </w:tcPr>
          <w:p>
            <w:pPr>
              <w:pStyle w:val="TableParagraph"/>
              <w:spacing w:before="131"/>
              <w:ind w:left="108"/>
              <w:rPr>
                <w:b/>
                <w:sz w:val="21"/>
              </w:rPr>
            </w:pPr>
            <w:r>
              <w:rPr>
                <w:b/>
                <w:sz w:val="21"/>
              </w:rPr>
              <w:t>2.1</w:t>
            </w:r>
          </w:p>
        </w:tc>
        <w:tc>
          <w:tcPr>
            <w:tcW w:w="1703" w:type="dxa"/>
          </w:tcPr>
          <w:p>
            <w:pPr>
              <w:pStyle w:val="TableParagraph"/>
              <w:spacing w:before="131"/>
              <w:ind w:left="322"/>
              <w:rPr>
                <w:b/>
                <w:sz w:val="21"/>
              </w:rPr>
            </w:pPr>
            <w:r>
              <w:rPr>
                <w:b/>
                <w:sz w:val="21"/>
              </w:rPr>
              <w:t>基本保险金额</w:t>
            </w:r>
          </w:p>
        </w:tc>
        <w:tc>
          <w:tcPr>
            <w:tcW w:w="7091" w:type="dxa"/>
          </w:tcPr>
          <w:p>
            <w:pPr>
              <w:pStyle w:val="TableParagraph"/>
              <w:spacing w:before="131"/>
              <w:ind w:left="116"/>
              <w:rPr>
                <w:sz w:val="21"/>
              </w:rPr>
            </w:pPr>
            <w:r>
              <w:rPr>
                <w:sz w:val="21"/>
              </w:rPr>
              <w:t>本合同的基本保险金额由您在投保时与我们约定并在保险单上载明。</w:t>
            </w:r>
          </w:p>
        </w:tc>
      </w:tr>
      <w:tr>
        <w:trPr>
          <w:trHeight w:val="453" w:hRule="atLeast"/>
        </w:trPr>
        <w:tc>
          <w:tcPr>
            <w:tcW w:w="746" w:type="dxa"/>
          </w:tcPr>
          <w:p>
            <w:pPr>
              <w:pStyle w:val="TableParagraph"/>
              <w:spacing w:before="57"/>
              <w:ind w:left="108"/>
              <w:rPr>
                <w:b/>
                <w:sz w:val="21"/>
              </w:rPr>
            </w:pPr>
            <w:r>
              <w:rPr>
                <w:b/>
                <w:sz w:val="21"/>
              </w:rPr>
              <w:t>2.2</w:t>
            </w:r>
          </w:p>
        </w:tc>
        <w:tc>
          <w:tcPr>
            <w:tcW w:w="1703" w:type="dxa"/>
          </w:tcPr>
          <w:p>
            <w:pPr>
              <w:pStyle w:val="TableParagraph"/>
              <w:spacing w:before="57"/>
              <w:ind w:left="322"/>
              <w:rPr>
                <w:b/>
                <w:sz w:val="21"/>
              </w:rPr>
            </w:pPr>
            <w:r>
              <w:rPr>
                <w:b/>
                <w:sz w:val="21"/>
              </w:rPr>
              <w:t>保险期间</w:t>
            </w:r>
          </w:p>
        </w:tc>
        <w:tc>
          <w:tcPr>
            <w:tcW w:w="7091" w:type="dxa"/>
          </w:tcPr>
          <w:p>
            <w:pPr>
              <w:pStyle w:val="TableParagraph"/>
              <w:spacing w:before="57"/>
              <w:ind w:left="116"/>
              <w:rPr>
                <w:sz w:val="21"/>
              </w:rPr>
            </w:pPr>
            <w:r>
              <w:rPr>
                <w:sz w:val="21"/>
              </w:rPr>
              <w:t>本合同的保险期间由您在投保时与我们约定并在保险单上载明。</w:t>
            </w:r>
          </w:p>
        </w:tc>
      </w:tr>
      <w:tr>
        <w:trPr>
          <w:trHeight w:val="2204" w:hRule="atLeast"/>
        </w:trPr>
        <w:tc>
          <w:tcPr>
            <w:tcW w:w="746" w:type="dxa"/>
          </w:tcPr>
          <w:p>
            <w:pPr>
              <w:pStyle w:val="TableParagraph"/>
              <w:spacing w:before="57"/>
              <w:ind w:left="108"/>
              <w:rPr>
                <w:b/>
                <w:sz w:val="21"/>
              </w:rPr>
            </w:pPr>
            <w:r>
              <w:rPr>
                <w:b/>
                <w:sz w:val="21"/>
              </w:rPr>
              <w:t>2.3</w:t>
            </w:r>
          </w:p>
        </w:tc>
        <w:tc>
          <w:tcPr>
            <w:tcW w:w="1703" w:type="dxa"/>
          </w:tcPr>
          <w:p>
            <w:pPr>
              <w:pStyle w:val="TableParagraph"/>
              <w:spacing w:before="57"/>
              <w:ind w:left="322"/>
              <w:rPr>
                <w:b/>
                <w:sz w:val="21"/>
              </w:rPr>
            </w:pPr>
            <w:r>
              <w:rPr>
                <w:b/>
                <w:sz w:val="21"/>
              </w:rPr>
              <w:t>等待期</w:t>
            </w:r>
          </w:p>
        </w:tc>
        <w:tc>
          <w:tcPr>
            <w:tcW w:w="7091" w:type="dxa"/>
          </w:tcPr>
          <w:p>
            <w:pPr>
              <w:pStyle w:val="TableParagraph"/>
              <w:spacing w:before="57"/>
              <w:ind w:left="116"/>
              <w:rPr>
                <w:rFonts w:ascii="黑体" w:eastAsia="黑体" w:hint="eastAsia"/>
                <w:sz w:val="21"/>
              </w:rPr>
            </w:pPr>
            <w:r>
              <w:rPr>
                <w:rFonts w:ascii="黑体" w:eastAsia="黑体" w:hint="eastAsia"/>
                <w:spacing w:val="-1"/>
                <w:w w:val="100"/>
                <w:sz w:val="21"/>
              </w:rPr>
              <w:t>从本合同</w:t>
            </w:r>
            <w:r>
              <w:rPr>
                <w:rFonts w:ascii="黑体" w:eastAsia="黑体" w:hint="eastAsia"/>
                <w:w w:val="100"/>
                <w:sz w:val="21"/>
              </w:rPr>
              <w:t>T</w:t>
            </w:r>
            <w:r>
              <w:rPr>
                <w:rFonts w:ascii="黑体" w:eastAsia="黑体" w:hint="eastAsia"/>
                <w:spacing w:val="-3"/>
                <w:w w:val="100"/>
                <w:sz w:val="21"/>
              </w:rPr>
              <w:t>h效或最后一次复效之日起</w:t>
            </w:r>
            <w:r>
              <w:rPr>
                <w:rFonts w:ascii="黑体" w:eastAsia="黑体" w:hint="eastAsia"/>
                <w:spacing w:val="-44"/>
                <w:sz w:val="21"/>
              </w:rPr>
              <w:t> </w:t>
            </w:r>
            <w:r>
              <w:rPr>
                <w:rFonts w:ascii="黑体" w:eastAsia="黑体" w:hint="eastAsia"/>
                <w:w w:val="100"/>
                <w:sz w:val="21"/>
              </w:rPr>
              <w:t>90</w:t>
            </w:r>
            <w:r>
              <w:rPr>
                <w:rFonts w:ascii="黑体" w:eastAsia="黑体" w:hint="eastAsia"/>
                <w:spacing w:val="-46"/>
                <w:sz w:val="21"/>
              </w:rPr>
              <w:t> </w:t>
            </w:r>
            <w:r>
              <w:rPr>
                <w:rFonts w:ascii="黑体" w:eastAsia="黑体" w:hint="eastAsia"/>
                <w:spacing w:val="-2"/>
                <w:w w:val="100"/>
                <w:sz w:val="21"/>
              </w:rPr>
              <w:t>日内</w:t>
            </w:r>
            <w:r>
              <w:rPr>
                <w:rFonts w:ascii="黑体" w:eastAsia="黑体" w:hint="eastAsia"/>
                <w:spacing w:val="-3"/>
                <w:w w:val="100"/>
                <w:sz w:val="21"/>
              </w:rPr>
              <w:t>（</w:t>
            </w:r>
            <w:r>
              <w:rPr>
                <w:rFonts w:ascii="黑体" w:eastAsia="黑体" w:hint="eastAsia"/>
                <w:w w:val="100"/>
                <w:sz w:val="21"/>
              </w:rPr>
              <w:t>含第</w:t>
            </w:r>
            <w:r>
              <w:rPr>
                <w:rFonts w:ascii="黑体" w:eastAsia="黑体" w:hint="eastAsia"/>
                <w:spacing w:val="-43"/>
                <w:sz w:val="21"/>
              </w:rPr>
              <w:t> </w:t>
            </w:r>
            <w:r>
              <w:rPr>
                <w:rFonts w:ascii="黑体" w:eastAsia="黑体" w:hint="eastAsia"/>
                <w:w w:val="100"/>
                <w:sz w:val="21"/>
              </w:rPr>
              <w:t>90</w:t>
            </w:r>
            <w:r>
              <w:rPr>
                <w:rFonts w:ascii="黑体" w:eastAsia="黑体" w:hint="eastAsia"/>
                <w:spacing w:val="-43"/>
                <w:sz w:val="21"/>
              </w:rPr>
              <w:t> </w:t>
            </w:r>
            <w:r>
              <w:rPr>
                <w:rFonts w:ascii="黑体" w:eastAsia="黑体" w:hint="eastAsia"/>
                <w:w w:val="100"/>
                <w:sz w:val="21"/>
              </w:rPr>
              <w:t>日</w:t>
            </w:r>
            <w:r>
              <w:rPr>
                <w:rFonts w:ascii="黑体" w:eastAsia="黑体" w:hint="eastAsia"/>
                <w:spacing w:val="-106"/>
                <w:w w:val="100"/>
                <w:sz w:val="21"/>
              </w:rPr>
              <w:t>）</w:t>
            </w:r>
            <w:r>
              <w:rPr>
                <w:rFonts w:ascii="黑体" w:eastAsia="黑体" w:hint="eastAsia"/>
                <w:spacing w:val="-3"/>
                <w:w w:val="100"/>
                <w:sz w:val="21"/>
              </w:rPr>
              <w:t>，被保险人因疾</w:t>
            </w:r>
          </w:p>
          <w:p>
            <w:pPr>
              <w:pStyle w:val="TableParagraph"/>
              <w:spacing w:line="273" w:lineRule="auto" w:before="36"/>
              <w:ind w:left="116" w:right="33"/>
              <w:jc w:val="both"/>
              <w:rPr>
                <w:sz w:val="21"/>
              </w:rPr>
            </w:pPr>
            <w:r>
              <w:rPr>
                <w:rFonts w:ascii="黑体" w:eastAsia="黑体" w:hint="eastAsia"/>
                <w:sz w:val="21"/>
              </w:rPr>
              <w:t>病发Th</w:t>
            </w:r>
            <w:r>
              <w:rPr>
                <w:rFonts w:ascii="黑体" w:eastAsia="黑体" w:hint="eastAsia"/>
                <w:spacing w:val="-3"/>
                <w:sz w:val="21"/>
              </w:rPr>
              <w:t>下列情形之一的</w:t>
            </w:r>
            <w:r>
              <w:rPr>
                <w:rFonts w:ascii="黑体" w:eastAsia="黑体" w:hint="eastAsia"/>
                <w:sz w:val="21"/>
              </w:rPr>
              <w:t>：(1</w:t>
            </w:r>
            <w:r>
              <w:rPr>
                <w:rFonts w:ascii="黑体" w:eastAsia="黑体" w:hint="eastAsia"/>
                <w:spacing w:val="-8"/>
                <w:sz w:val="21"/>
              </w:rPr>
              <w:t>)符合本合同第 </w:t>
            </w:r>
            <w:r>
              <w:rPr>
                <w:rFonts w:ascii="黑体" w:eastAsia="黑体" w:hint="eastAsia"/>
                <w:sz w:val="21"/>
              </w:rPr>
              <w:t>10</w:t>
            </w:r>
            <w:r>
              <w:rPr>
                <w:rFonts w:ascii="黑体" w:eastAsia="黑体" w:hint="eastAsia"/>
                <w:spacing w:val="-11"/>
                <w:sz w:val="21"/>
              </w:rPr>
              <w:t> 条定义的重大疾病或第 </w:t>
            </w:r>
            <w:r>
              <w:rPr>
                <w:rFonts w:ascii="黑体" w:eastAsia="黑体" w:hint="eastAsia"/>
                <w:sz w:val="21"/>
              </w:rPr>
              <w:t>11</w:t>
            </w:r>
            <w:r>
              <w:rPr>
                <w:rFonts w:ascii="黑体" w:eastAsia="黑体" w:hint="eastAsia"/>
                <w:spacing w:val="-21"/>
                <w:sz w:val="21"/>
              </w:rPr>
              <w:t> 条</w:t>
            </w:r>
            <w:r>
              <w:rPr>
                <w:rFonts w:ascii="黑体" w:eastAsia="黑体" w:hint="eastAsia"/>
                <w:spacing w:val="-14"/>
                <w:w w:val="100"/>
                <w:sz w:val="21"/>
              </w:rPr>
              <w:t>定义的轻症疾病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spacing w:val="-35"/>
                <w:w w:val="100"/>
                <w:sz w:val="21"/>
              </w:rPr>
              <w:t>，</w:t>
            </w:r>
            <w:r>
              <w:rPr>
                <w:rFonts w:ascii="黑体" w:eastAsia="黑体" w:hint="eastAsia"/>
                <w:w w:val="100"/>
                <w:sz w:val="21"/>
              </w:rPr>
              <w:t>(2</w:t>
            </w:r>
            <w:r>
              <w:rPr>
                <w:rFonts w:ascii="黑体" w:eastAsia="黑体" w:hint="eastAsia"/>
                <w:spacing w:val="-3"/>
                <w:w w:val="100"/>
                <w:sz w:val="21"/>
              </w:rPr>
              <w:t>)因导致本合同约定的重大疾病或轻</w:t>
            </w:r>
            <w:r>
              <w:rPr>
                <w:rFonts w:ascii="黑体" w:eastAsia="黑体" w:hint="eastAsia"/>
                <w:spacing w:val="-10"/>
                <w:sz w:val="21"/>
              </w:rPr>
              <w:t>症疾病</w:t>
            </w:r>
            <w:r>
              <w:rPr>
                <w:rFonts w:ascii="黑体" w:eastAsia="黑体" w:hint="eastAsia"/>
                <w:spacing w:val="-3"/>
                <w:sz w:val="21"/>
              </w:rPr>
              <w:t>（无论一种或多种</w:t>
            </w:r>
            <w:r>
              <w:rPr>
                <w:rFonts w:ascii="黑体" w:eastAsia="黑体" w:hint="eastAsia"/>
                <w:spacing w:val="-20"/>
                <w:sz w:val="21"/>
              </w:rPr>
              <w:t>）</w:t>
            </w:r>
            <w:r>
              <w:rPr>
                <w:rFonts w:ascii="黑体" w:eastAsia="黑体" w:hint="eastAsia"/>
                <w:spacing w:val="-6"/>
                <w:sz w:val="21"/>
              </w:rPr>
              <w:t>的相关疾病就诊，我们不承担本合同约定的保险</w:t>
            </w:r>
            <w:r>
              <w:rPr>
                <w:rFonts w:ascii="黑体" w:eastAsia="黑体" w:hint="eastAsia"/>
                <w:spacing w:val="-5"/>
                <w:sz w:val="21"/>
              </w:rPr>
              <w:t>责任，本合同终止，并无息退还您所支付的全部保险费。这 </w:t>
            </w:r>
            <w:r>
              <w:rPr>
                <w:rFonts w:ascii="黑体" w:eastAsia="黑体" w:hint="eastAsia"/>
                <w:sz w:val="21"/>
              </w:rPr>
              <w:t>90</w:t>
            </w:r>
            <w:r>
              <w:rPr>
                <w:rFonts w:ascii="黑体" w:eastAsia="黑体" w:hint="eastAsia"/>
                <w:spacing w:val="-6"/>
                <w:sz w:val="21"/>
              </w:rPr>
              <w:t> 日的时间称</w:t>
            </w:r>
            <w:r>
              <w:rPr>
                <w:rFonts w:ascii="黑体" w:eastAsia="黑体" w:hint="eastAsia"/>
                <w:spacing w:val="-4"/>
                <w:sz w:val="21"/>
              </w:rPr>
              <w:t>为等待期；</w:t>
            </w:r>
            <w:r>
              <w:rPr>
                <w:spacing w:val="-3"/>
                <w:sz w:val="21"/>
              </w:rPr>
              <w:t>但被保险人因</w:t>
            </w:r>
            <w:r>
              <w:rPr>
                <w:b/>
                <w:sz w:val="21"/>
              </w:rPr>
              <w:t>意外伤害</w:t>
            </w:r>
            <w:r>
              <w:rPr>
                <w:spacing w:val="-3"/>
                <w:sz w:val="21"/>
              </w:rPr>
              <w:t>（详见释义</w:t>
            </w:r>
            <w:r>
              <w:rPr>
                <w:sz w:val="21"/>
              </w:rPr>
              <w:t>）</w:t>
            </w:r>
            <w:r>
              <w:rPr>
                <w:spacing w:val="-3"/>
                <w:sz w:val="21"/>
              </w:rPr>
              <w:t>发生上述两项情形之一的，</w:t>
            </w:r>
          </w:p>
          <w:p>
            <w:pPr>
              <w:pStyle w:val="TableParagraph"/>
              <w:spacing w:line="255" w:lineRule="exact" w:before="7"/>
              <w:ind w:left="116"/>
              <w:jc w:val="both"/>
              <w:rPr>
                <w:sz w:val="21"/>
              </w:rPr>
            </w:pPr>
            <w:r>
              <w:rPr>
                <w:sz w:val="21"/>
              </w:rPr>
              <w:t>则无等待期。</w:t>
            </w:r>
          </w:p>
        </w:tc>
      </w:tr>
    </w:tbl>
    <w:p>
      <w:pPr>
        <w:spacing w:after="0" w:line="255" w:lineRule="exact"/>
        <w:jc w:val="both"/>
        <w:rPr>
          <w:sz w:val="21"/>
        </w:rPr>
        <w:sectPr>
          <w:pgSz w:w="11910" w:h="16840"/>
          <w:pgMar w:top="1480" w:bottom="280" w:left="102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701"/>
        <w:gridCol w:w="7258"/>
      </w:tblGrid>
      <w:tr>
        <w:trPr>
          <w:trHeight w:val="644" w:hRule="atLeast"/>
        </w:trPr>
        <w:tc>
          <w:tcPr>
            <w:tcW w:w="838" w:type="dxa"/>
          </w:tcPr>
          <w:p>
            <w:pPr>
              <w:pStyle w:val="TableParagraph"/>
              <w:spacing w:line="202" w:lineRule="exact"/>
              <w:ind w:left="200"/>
              <w:rPr>
                <w:b/>
                <w:sz w:val="21"/>
              </w:rPr>
            </w:pPr>
            <w:r>
              <w:rPr>
                <w:b/>
                <w:sz w:val="21"/>
              </w:rPr>
              <w:t>2.4</w:t>
            </w:r>
          </w:p>
        </w:tc>
        <w:tc>
          <w:tcPr>
            <w:tcW w:w="1701" w:type="dxa"/>
          </w:tcPr>
          <w:p>
            <w:pPr>
              <w:pStyle w:val="TableParagraph"/>
              <w:spacing w:line="202" w:lineRule="exact"/>
              <w:ind w:left="321"/>
              <w:rPr>
                <w:b/>
                <w:sz w:val="21"/>
              </w:rPr>
            </w:pPr>
            <w:r>
              <w:rPr>
                <w:b/>
                <w:sz w:val="21"/>
              </w:rPr>
              <w:t>保险责任</w:t>
            </w:r>
          </w:p>
        </w:tc>
        <w:tc>
          <w:tcPr>
            <w:tcW w:w="7258" w:type="dxa"/>
          </w:tcPr>
          <w:p>
            <w:pPr>
              <w:pStyle w:val="TableParagraph"/>
              <w:spacing w:line="202" w:lineRule="exact"/>
              <w:ind w:left="118"/>
              <w:rPr>
                <w:sz w:val="21"/>
              </w:rPr>
            </w:pPr>
            <w:r>
              <w:rPr>
                <w:sz w:val="21"/>
              </w:rPr>
              <w:t>在本合同保险期间内，且本合同有效的前提下，我们按以下约定承担保险责</w:t>
            </w:r>
          </w:p>
          <w:p>
            <w:pPr>
              <w:pStyle w:val="TableParagraph"/>
              <w:spacing w:before="37"/>
              <w:ind w:left="118"/>
              <w:rPr>
                <w:sz w:val="21"/>
              </w:rPr>
            </w:pPr>
            <w:r>
              <w:rPr>
                <w:sz w:val="21"/>
              </w:rPr>
              <w:t>任：</w:t>
            </w:r>
          </w:p>
        </w:tc>
      </w:tr>
      <w:tr>
        <w:trPr>
          <w:trHeight w:val="6264" w:hRule="atLeast"/>
        </w:trPr>
        <w:tc>
          <w:tcPr>
            <w:tcW w:w="838" w:type="dxa"/>
          </w:tcPr>
          <w:p>
            <w:pPr>
              <w:pStyle w:val="TableParagraph"/>
              <w:ind w:left="0"/>
              <w:rPr>
                <w:rFonts w:ascii="Times New Roman"/>
                <w:sz w:val="20"/>
              </w:rPr>
            </w:pPr>
          </w:p>
        </w:tc>
        <w:tc>
          <w:tcPr>
            <w:tcW w:w="1701" w:type="dxa"/>
          </w:tcPr>
          <w:p>
            <w:pPr>
              <w:pStyle w:val="TableParagraph"/>
              <w:spacing w:line="273" w:lineRule="auto" w:before="48"/>
              <w:ind w:left="321" w:right="114"/>
              <w:rPr>
                <w:sz w:val="21"/>
              </w:rPr>
            </w:pPr>
            <w:r>
              <w:rPr>
                <w:sz w:val="21"/>
              </w:rPr>
              <w:t>重大疾病保险金</w:t>
            </w:r>
          </w:p>
        </w:tc>
        <w:tc>
          <w:tcPr>
            <w:tcW w:w="7258" w:type="dxa"/>
          </w:tcPr>
          <w:p>
            <w:pPr>
              <w:pStyle w:val="TableParagraph"/>
              <w:spacing w:before="48"/>
              <w:ind w:left="118"/>
              <w:rPr>
                <w:sz w:val="21"/>
              </w:rPr>
            </w:pPr>
            <w:r>
              <w:rPr>
                <w:sz w:val="21"/>
              </w:rPr>
              <w:t>（1）首次重大疾病保险金</w:t>
            </w:r>
          </w:p>
          <w:p>
            <w:pPr>
              <w:pStyle w:val="TableParagraph"/>
              <w:spacing w:before="113"/>
              <w:ind w:left="118"/>
              <w:rPr>
                <w:sz w:val="21"/>
              </w:rPr>
            </w:pPr>
            <w:r>
              <w:rPr>
                <w:sz w:val="21"/>
              </w:rPr>
              <w:t>若被保险人于等待期后经</w:t>
            </w:r>
            <w:r>
              <w:rPr>
                <w:b/>
                <w:sz w:val="21"/>
              </w:rPr>
              <w:t>约定医院</w:t>
            </w:r>
            <w:r>
              <w:rPr>
                <w:sz w:val="21"/>
              </w:rPr>
              <w:t>（详见释义）确诊初次发生符合本合同第</w:t>
            </w:r>
          </w:p>
          <w:p>
            <w:pPr>
              <w:pStyle w:val="TableParagraph"/>
              <w:spacing w:line="273" w:lineRule="auto" w:before="37"/>
              <w:ind w:left="118" w:right="263"/>
              <w:jc w:val="both"/>
              <w:rPr>
                <w:sz w:val="21"/>
              </w:rPr>
            </w:pPr>
            <w:r>
              <w:rPr>
                <w:w w:val="100"/>
                <w:sz w:val="21"/>
              </w:rPr>
              <w:t>10</w:t>
            </w:r>
            <w:r>
              <w:rPr>
                <w:spacing w:val="-53"/>
                <w:sz w:val="21"/>
              </w:rPr>
              <w:t> </w:t>
            </w:r>
            <w:r>
              <w:rPr>
                <w:spacing w:val="-4"/>
                <w:w w:val="100"/>
                <w:sz w:val="21"/>
              </w:rPr>
              <w:t>条定义的重大疾病</w:t>
            </w:r>
            <w:r>
              <w:rPr>
                <w:w w:val="100"/>
                <w:sz w:val="21"/>
              </w:rPr>
              <w:t>（</w:t>
            </w:r>
            <w:r>
              <w:rPr>
                <w:spacing w:val="-3"/>
                <w:w w:val="100"/>
                <w:sz w:val="21"/>
              </w:rPr>
              <w:t>无论一种或多种</w:t>
            </w:r>
            <w:r>
              <w:rPr>
                <w:spacing w:val="-106"/>
                <w:w w:val="100"/>
                <w:sz w:val="21"/>
              </w:rPr>
              <w:t>）</w:t>
            </w:r>
            <w:r>
              <w:rPr>
                <w:spacing w:val="-3"/>
                <w:w w:val="100"/>
                <w:sz w:val="21"/>
              </w:rPr>
              <w:t>，我们按本合同的基本保险金额给</w:t>
            </w:r>
            <w:r>
              <w:rPr>
                <w:spacing w:val="-3"/>
                <w:sz w:val="21"/>
              </w:rPr>
              <w:t>付首次重大疾病保险金。</w:t>
            </w:r>
          </w:p>
          <w:p>
            <w:pPr>
              <w:pStyle w:val="TableParagraph"/>
              <w:spacing w:line="273" w:lineRule="auto" w:before="87"/>
              <w:ind w:left="118" w:right="262"/>
              <w:jc w:val="both"/>
              <w:rPr>
                <w:rFonts w:ascii="黑体" w:hAnsi="黑体" w:eastAsia="黑体" w:hint="eastAsia"/>
                <w:sz w:val="21"/>
              </w:rPr>
            </w:pPr>
            <w:r>
              <w:rPr>
                <w:rFonts w:ascii="黑体" w:hAnsi="黑体" w:eastAsia="黑体" w:hint="eastAsia"/>
                <w:spacing w:val="-7"/>
                <w:sz w:val="21"/>
              </w:rPr>
              <w:t>我们给付首次重大疾病保险金后，本合同的现金价值降为零，并豁免本合同</w:t>
            </w:r>
            <w:r>
              <w:rPr>
                <w:rFonts w:ascii="黑体" w:hAnsi="黑体" w:eastAsia="黑体" w:hint="eastAsia"/>
                <w:spacing w:val="-8"/>
                <w:sz w:val="21"/>
              </w:rPr>
              <w:t>在首次重大疾病确诊日以后的保险费，同时其他保险责任均终止，即我们不</w:t>
            </w:r>
            <w:r>
              <w:rPr>
                <w:rFonts w:ascii="黑体" w:hAnsi="黑体" w:eastAsia="黑体" w:hint="eastAsia"/>
                <w:spacing w:val="-28"/>
                <w:sz w:val="21"/>
              </w:rPr>
              <w:t>再承担给付“轻症疾病保险金”、“特定癌症保险金”、“身故保险金”、“全</w:t>
            </w:r>
            <w:r>
              <w:rPr>
                <w:rFonts w:ascii="黑体" w:hAnsi="黑体" w:eastAsia="黑体" w:hint="eastAsia"/>
                <w:spacing w:val="-3"/>
                <w:sz w:val="21"/>
              </w:rPr>
              <w:t>残保险金”和“长期护理保险金”的责任。</w:t>
            </w:r>
          </w:p>
          <w:p>
            <w:pPr>
              <w:pStyle w:val="TableParagraph"/>
              <w:spacing w:before="84"/>
              <w:ind w:left="118"/>
              <w:rPr>
                <w:sz w:val="21"/>
              </w:rPr>
            </w:pPr>
            <w:r>
              <w:rPr>
                <w:sz w:val="21"/>
              </w:rPr>
              <w:t>（2）第二次重大疾病保险金</w:t>
            </w:r>
          </w:p>
          <w:p>
            <w:pPr>
              <w:pStyle w:val="TableParagraph"/>
              <w:spacing w:line="273" w:lineRule="auto" w:before="116"/>
              <w:ind w:left="118" w:right="263"/>
              <w:jc w:val="both"/>
              <w:rPr>
                <w:sz w:val="21"/>
              </w:rPr>
            </w:pPr>
            <w:r>
              <w:rPr>
                <w:spacing w:val="-7"/>
                <w:sz w:val="21"/>
              </w:rPr>
              <w:t>我们给付首次重大疾病保险金后，若被保险人自首次重大疾病确诊之日起一</w:t>
            </w:r>
            <w:r>
              <w:rPr>
                <w:spacing w:val="-6"/>
                <w:sz w:val="21"/>
              </w:rPr>
              <w:t>年后，经约定医院确诊初次发生本合同第 </w:t>
            </w:r>
            <w:r>
              <w:rPr>
                <w:sz w:val="21"/>
              </w:rPr>
              <w:t>10</w:t>
            </w:r>
            <w:r>
              <w:rPr>
                <w:spacing w:val="-5"/>
                <w:sz w:val="21"/>
              </w:rPr>
              <w:t> 条定义的首次重大疾病所属组</w:t>
            </w:r>
            <w:r>
              <w:rPr>
                <w:spacing w:val="-7"/>
                <w:sz w:val="21"/>
              </w:rPr>
              <w:t>别以外的其他组别中的任何一种重大疾病，我们按本合同的基本保险金额给</w:t>
            </w:r>
            <w:r>
              <w:rPr>
                <w:spacing w:val="-3"/>
                <w:sz w:val="21"/>
              </w:rPr>
              <w:t>付第二次重大疾病保险金。</w:t>
            </w:r>
          </w:p>
          <w:p>
            <w:pPr>
              <w:pStyle w:val="TableParagraph"/>
              <w:spacing w:before="84"/>
              <w:ind w:left="119"/>
              <w:rPr>
                <w:sz w:val="21"/>
              </w:rPr>
            </w:pPr>
            <w:r>
              <w:rPr>
                <w:sz w:val="21"/>
              </w:rPr>
              <w:t>（3）第三次重大疾病保险金</w:t>
            </w:r>
          </w:p>
          <w:p>
            <w:pPr>
              <w:pStyle w:val="TableParagraph"/>
              <w:spacing w:line="273" w:lineRule="auto" w:before="115"/>
              <w:ind w:left="119" w:right="262"/>
              <w:jc w:val="both"/>
              <w:rPr>
                <w:sz w:val="21"/>
              </w:rPr>
            </w:pPr>
            <w:r>
              <w:rPr>
                <w:spacing w:val="-7"/>
                <w:sz w:val="21"/>
              </w:rPr>
              <w:t>我们给付第二次重大疾病保险金后，若被保险人自第二次重大疾病确诊之日</w:t>
            </w:r>
            <w:r>
              <w:rPr>
                <w:spacing w:val="-6"/>
                <w:sz w:val="21"/>
              </w:rPr>
              <w:t>起一年后，经约定医院确诊初次发生本合同第 </w:t>
            </w:r>
            <w:r>
              <w:rPr>
                <w:sz w:val="21"/>
              </w:rPr>
              <w:t>10</w:t>
            </w:r>
            <w:r>
              <w:rPr>
                <w:spacing w:val="-5"/>
                <w:sz w:val="21"/>
              </w:rPr>
              <w:t> 条定义的首次重大疾病以</w:t>
            </w:r>
            <w:r>
              <w:rPr>
                <w:spacing w:val="-6"/>
                <w:sz w:val="21"/>
              </w:rPr>
              <w:t>及第二次重大疾病所属组别以外的其他组别中的任何一种重大疾病，我们按</w:t>
            </w:r>
            <w:r>
              <w:rPr>
                <w:spacing w:val="-3"/>
                <w:sz w:val="21"/>
              </w:rPr>
              <w:t>本合同的基本保险金额给付第三次重大疾病保险金，本合同终止。</w:t>
            </w:r>
          </w:p>
        </w:tc>
      </w:tr>
      <w:tr>
        <w:trPr>
          <w:trHeight w:val="1818" w:hRule="atLeast"/>
        </w:trPr>
        <w:tc>
          <w:tcPr>
            <w:tcW w:w="838" w:type="dxa"/>
          </w:tcPr>
          <w:p>
            <w:pPr>
              <w:pStyle w:val="TableParagraph"/>
              <w:ind w:left="0"/>
              <w:rPr>
                <w:rFonts w:ascii="Times New Roman"/>
                <w:sz w:val="20"/>
              </w:rPr>
            </w:pPr>
          </w:p>
        </w:tc>
        <w:tc>
          <w:tcPr>
            <w:tcW w:w="1701" w:type="dxa"/>
          </w:tcPr>
          <w:p>
            <w:pPr>
              <w:pStyle w:val="TableParagraph"/>
              <w:spacing w:line="273" w:lineRule="auto" w:before="88"/>
              <w:ind w:left="321" w:right="114"/>
              <w:rPr>
                <w:sz w:val="21"/>
              </w:rPr>
            </w:pPr>
            <w:r>
              <w:rPr>
                <w:sz w:val="21"/>
              </w:rPr>
              <w:t>轻症疾病保险金</w:t>
            </w:r>
          </w:p>
        </w:tc>
        <w:tc>
          <w:tcPr>
            <w:tcW w:w="7258" w:type="dxa"/>
          </w:tcPr>
          <w:p>
            <w:pPr>
              <w:pStyle w:val="TableParagraph"/>
              <w:spacing w:before="88"/>
              <w:ind w:left="118"/>
              <w:rPr>
                <w:sz w:val="21"/>
              </w:rPr>
            </w:pPr>
            <w:r>
              <w:rPr>
                <w:sz w:val="21"/>
              </w:rPr>
              <w:t>若被保险人于等待期后，至年满 80 周岁后的首个保单周年日之前，经约定</w:t>
            </w:r>
          </w:p>
          <w:p>
            <w:pPr>
              <w:pStyle w:val="TableParagraph"/>
              <w:spacing w:line="273" w:lineRule="auto" w:before="36"/>
              <w:ind w:left="118" w:right="196"/>
              <w:rPr>
                <w:sz w:val="21"/>
              </w:rPr>
            </w:pPr>
            <w:r>
              <w:rPr>
                <w:sz w:val="21"/>
              </w:rPr>
              <w:t>医院确诊初次发生符合本合同第 11 条定义的轻症疾病，我们按本合同的基本保险金额的 20%给付轻症疾病保险金。</w:t>
            </w:r>
          </w:p>
          <w:p>
            <w:pPr>
              <w:pStyle w:val="TableParagraph"/>
              <w:spacing w:line="273" w:lineRule="auto" w:before="84"/>
              <w:ind w:left="118" w:right="263"/>
              <w:rPr>
                <w:sz w:val="21"/>
              </w:rPr>
            </w:pPr>
            <w:r>
              <w:rPr>
                <w:spacing w:val="-7"/>
                <w:sz w:val="21"/>
              </w:rPr>
              <w:t>同一轻症疾病仅给付一次轻症疾病保险金，最多针对三种轻症疾病给付轻症</w:t>
            </w:r>
            <w:r>
              <w:rPr>
                <w:spacing w:val="-5"/>
                <w:sz w:val="21"/>
              </w:rPr>
              <w:t>疾病保险金，轻症疾病保险金给付满三种后，本项保险责任终止。</w:t>
            </w:r>
          </w:p>
        </w:tc>
      </w:tr>
      <w:tr>
        <w:trPr>
          <w:trHeight w:val="2404" w:hRule="atLeast"/>
        </w:trPr>
        <w:tc>
          <w:tcPr>
            <w:tcW w:w="838" w:type="dxa"/>
          </w:tcPr>
          <w:p>
            <w:pPr>
              <w:pStyle w:val="TableParagraph"/>
              <w:ind w:left="0"/>
              <w:rPr>
                <w:rFonts w:ascii="Times New Roman"/>
                <w:sz w:val="20"/>
              </w:rPr>
            </w:pPr>
          </w:p>
        </w:tc>
        <w:tc>
          <w:tcPr>
            <w:tcW w:w="1701" w:type="dxa"/>
          </w:tcPr>
          <w:p>
            <w:pPr>
              <w:pStyle w:val="TableParagraph"/>
              <w:spacing w:line="273" w:lineRule="auto" w:before="49"/>
              <w:ind w:left="321" w:right="114"/>
              <w:rPr>
                <w:sz w:val="21"/>
              </w:rPr>
            </w:pPr>
            <w:r>
              <w:rPr>
                <w:sz w:val="21"/>
              </w:rPr>
              <w:t>特定癌症保险金</w:t>
            </w:r>
          </w:p>
        </w:tc>
        <w:tc>
          <w:tcPr>
            <w:tcW w:w="7258" w:type="dxa"/>
          </w:tcPr>
          <w:p>
            <w:pPr>
              <w:pStyle w:val="TableParagraph"/>
              <w:spacing w:before="49"/>
              <w:ind w:left="118"/>
              <w:rPr>
                <w:sz w:val="21"/>
              </w:rPr>
            </w:pPr>
            <w:r>
              <w:rPr>
                <w:sz w:val="21"/>
              </w:rPr>
              <w:t>若被保险人于等待期后，至年满 80 周岁后的首个保单周年日之前，经约定</w:t>
            </w:r>
          </w:p>
          <w:p>
            <w:pPr>
              <w:pStyle w:val="TableParagraph"/>
              <w:spacing w:before="37"/>
              <w:ind w:left="118"/>
              <w:rPr>
                <w:sz w:val="21"/>
              </w:rPr>
            </w:pPr>
            <w:r>
              <w:rPr>
                <w:spacing w:val="-3"/>
                <w:w w:val="100"/>
                <w:sz w:val="21"/>
              </w:rPr>
              <w:t>医院确诊初次发生符合本合同第</w:t>
            </w:r>
            <w:r>
              <w:rPr>
                <w:spacing w:val="-53"/>
                <w:sz w:val="21"/>
              </w:rPr>
              <w:t> </w:t>
            </w:r>
            <w:r>
              <w:rPr>
                <w:w w:val="100"/>
                <w:sz w:val="21"/>
              </w:rPr>
              <w:t>12</w:t>
            </w:r>
            <w:r>
              <w:rPr>
                <w:spacing w:val="-55"/>
                <w:sz w:val="21"/>
              </w:rPr>
              <w:t> </w:t>
            </w:r>
            <w:r>
              <w:rPr>
                <w:spacing w:val="-3"/>
                <w:w w:val="100"/>
                <w:sz w:val="21"/>
              </w:rPr>
              <w:t>条定义的特定癌症（无论一种或多种</w:t>
            </w:r>
            <w:r>
              <w:rPr>
                <w:spacing w:val="-108"/>
                <w:w w:val="100"/>
                <w:sz w:val="21"/>
              </w:rPr>
              <w:t>）</w:t>
            </w:r>
            <w:r>
              <w:rPr>
                <w:w w:val="100"/>
                <w:sz w:val="21"/>
              </w:rPr>
              <w:t>，</w:t>
            </w:r>
          </w:p>
          <w:p>
            <w:pPr>
              <w:pStyle w:val="TableParagraph"/>
              <w:spacing w:line="273" w:lineRule="auto" w:before="37"/>
              <w:ind w:left="118" w:right="263" w:hanging="1"/>
              <w:jc w:val="both"/>
              <w:rPr>
                <w:sz w:val="21"/>
              </w:rPr>
            </w:pPr>
            <w:r>
              <w:rPr>
                <w:spacing w:val="-5"/>
                <w:sz w:val="21"/>
              </w:rPr>
              <w:t>且在确诊之日起的第 </w:t>
            </w:r>
            <w:r>
              <w:rPr>
                <w:sz w:val="21"/>
              </w:rPr>
              <w:t>30</w:t>
            </w:r>
            <w:r>
              <w:rPr>
                <w:spacing w:val="-5"/>
                <w:sz w:val="21"/>
              </w:rPr>
              <w:t> 日仍生存的，在给付首次重大疾病保险金时，我们还按本合同的基本保险金额的 </w:t>
            </w:r>
            <w:r>
              <w:rPr>
                <w:sz w:val="21"/>
              </w:rPr>
              <w:t>50%</w:t>
            </w:r>
            <w:r>
              <w:rPr>
                <w:spacing w:val="-4"/>
                <w:sz w:val="21"/>
              </w:rPr>
              <w:t>额外给付特定癌症保险金，本项保险责任终止。</w:t>
            </w:r>
          </w:p>
          <w:p>
            <w:pPr>
              <w:pStyle w:val="TableParagraph"/>
              <w:spacing w:line="273" w:lineRule="auto" w:before="87"/>
              <w:ind w:left="118" w:right="262"/>
              <w:jc w:val="both"/>
              <w:rPr>
                <w:rFonts w:ascii="黑体" w:eastAsia="黑体" w:hint="eastAsia"/>
                <w:sz w:val="21"/>
              </w:rPr>
            </w:pPr>
            <w:r>
              <w:rPr>
                <w:rFonts w:ascii="黑体" w:eastAsia="黑体" w:hint="eastAsia"/>
                <w:spacing w:val="-6"/>
                <w:sz w:val="21"/>
              </w:rPr>
              <w:t>我们在给付第二次重大疾病保险金和第三次重大疾病保险金时，不给付特定</w:t>
            </w:r>
            <w:r>
              <w:rPr>
                <w:rFonts w:ascii="黑体" w:eastAsia="黑体" w:hint="eastAsia"/>
                <w:spacing w:val="-4"/>
                <w:sz w:val="21"/>
              </w:rPr>
              <w:t>癌症保险金。</w:t>
            </w:r>
          </w:p>
        </w:tc>
      </w:tr>
      <w:tr>
        <w:trPr>
          <w:trHeight w:val="1467" w:hRule="atLeast"/>
        </w:trPr>
        <w:tc>
          <w:tcPr>
            <w:tcW w:w="838" w:type="dxa"/>
          </w:tcPr>
          <w:p>
            <w:pPr>
              <w:pStyle w:val="TableParagraph"/>
              <w:ind w:left="0"/>
              <w:rPr>
                <w:rFonts w:ascii="Times New Roman"/>
                <w:sz w:val="20"/>
              </w:rPr>
            </w:pPr>
          </w:p>
        </w:tc>
        <w:tc>
          <w:tcPr>
            <w:tcW w:w="1701" w:type="dxa"/>
          </w:tcPr>
          <w:p>
            <w:pPr>
              <w:pStyle w:val="TableParagraph"/>
              <w:spacing w:line="273" w:lineRule="auto" w:before="48"/>
              <w:ind w:left="321" w:right="114"/>
              <w:rPr>
                <w:sz w:val="21"/>
              </w:rPr>
            </w:pPr>
            <w:r>
              <w:rPr>
                <w:sz w:val="21"/>
              </w:rPr>
              <w:t>身故保险金、全残保险金</w:t>
            </w:r>
          </w:p>
        </w:tc>
        <w:tc>
          <w:tcPr>
            <w:tcW w:w="7258" w:type="dxa"/>
          </w:tcPr>
          <w:p>
            <w:pPr>
              <w:pStyle w:val="TableParagraph"/>
              <w:spacing w:line="273" w:lineRule="auto" w:before="48"/>
              <w:ind w:left="118" w:right="263" w:hanging="1"/>
              <w:rPr>
                <w:sz w:val="21"/>
              </w:rPr>
            </w:pPr>
            <w:r>
              <w:rPr>
                <w:sz w:val="21"/>
              </w:rPr>
              <w:t>(1)</w:t>
            </w:r>
            <w:r>
              <w:rPr>
                <w:spacing w:val="-8"/>
                <w:sz w:val="21"/>
              </w:rPr>
              <w:t>若被保险人在 </w:t>
            </w:r>
            <w:r>
              <w:rPr>
                <w:sz w:val="21"/>
              </w:rPr>
              <w:t>18</w:t>
            </w:r>
            <w:r>
              <w:rPr>
                <w:spacing w:val="-8"/>
                <w:sz w:val="21"/>
              </w:rPr>
              <w:t> 周岁的保单周年日之前身故或</w:t>
            </w:r>
            <w:r>
              <w:rPr>
                <w:b/>
                <w:spacing w:val="-10"/>
                <w:sz w:val="21"/>
              </w:rPr>
              <w:t>全残</w:t>
            </w:r>
            <w:r>
              <w:rPr>
                <w:spacing w:val="-3"/>
                <w:sz w:val="21"/>
              </w:rPr>
              <w:t>（详见释义</w:t>
            </w:r>
            <w:r>
              <w:rPr>
                <w:spacing w:val="-22"/>
                <w:sz w:val="21"/>
              </w:rPr>
              <w:t>）</w:t>
            </w:r>
            <w:r>
              <w:rPr>
                <w:spacing w:val="-9"/>
                <w:sz w:val="21"/>
              </w:rPr>
              <w:t>的，我</w:t>
            </w:r>
            <w:r>
              <w:rPr>
                <w:spacing w:val="-5"/>
                <w:sz w:val="21"/>
              </w:rPr>
              <w:t>们按您已支付的保险费给付身故保险金或全残保险金，本合同终止；</w:t>
            </w:r>
          </w:p>
          <w:p>
            <w:pPr>
              <w:pStyle w:val="TableParagraph"/>
              <w:spacing w:line="273" w:lineRule="auto" w:before="84"/>
              <w:ind w:left="118" w:right="263" w:hanging="1"/>
              <w:rPr>
                <w:sz w:val="21"/>
              </w:rPr>
            </w:pPr>
            <w:r>
              <w:rPr>
                <w:sz w:val="21"/>
              </w:rPr>
              <w:t>(2)</w:t>
            </w:r>
            <w:r>
              <w:rPr>
                <w:spacing w:val="-8"/>
                <w:sz w:val="21"/>
              </w:rPr>
              <w:t>若被保险人在 </w:t>
            </w:r>
            <w:r>
              <w:rPr>
                <w:sz w:val="21"/>
              </w:rPr>
              <w:t>18</w:t>
            </w:r>
            <w:r>
              <w:rPr>
                <w:spacing w:val="-11"/>
                <w:sz w:val="21"/>
              </w:rPr>
              <w:t> 周岁的保单周年日及以后身故或全残的，我们按基本保</w:t>
            </w:r>
            <w:r>
              <w:rPr>
                <w:spacing w:val="-6"/>
                <w:sz w:val="21"/>
              </w:rPr>
              <w:t>险金额给付身故保险金或全残保险金，本合同终止。</w:t>
            </w:r>
          </w:p>
        </w:tc>
      </w:tr>
      <w:tr>
        <w:trPr>
          <w:trHeight w:val="1269" w:hRule="atLeast"/>
        </w:trPr>
        <w:tc>
          <w:tcPr>
            <w:tcW w:w="838" w:type="dxa"/>
          </w:tcPr>
          <w:p>
            <w:pPr>
              <w:pStyle w:val="TableParagraph"/>
              <w:ind w:left="0"/>
              <w:rPr>
                <w:rFonts w:ascii="Times New Roman"/>
                <w:sz w:val="20"/>
              </w:rPr>
            </w:pPr>
          </w:p>
        </w:tc>
        <w:tc>
          <w:tcPr>
            <w:tcW w:w="1701" w:type="dxa"/>
          </w:tcPr>
          <w:p>
            <w:pPr>
              <w:pStyle w:val="TableParagraph"/>
              <w:spacing w:line="273" w:lineRule="auto" w:before="50"/>
              <w:ind w:left="321" w:right="114"/>
              <w:rPr>
                <w:sz w:val="21"/>
              </w:rPr>
            </w:pPr>
            <w:r>
              <w:rPr>
                <w:sz w:val="21"/>
              </w:rPr>
              <w:t>长期护理保险金</w:t>
            </w:r>
          </w:p>
        </w:tc>
        <w:tc>
          <w:tcPr>
            <w:tcW w:w="7258" w:type="dxa"/>
          </w:tcPr>
          <w:p>
            <w:pPr>
              <w:pStyle w:val="TableParagraph"/>
              <w:spacing w:line="310" w:lineRule="atLeast" w:before="14"/>
              <w:ind w:left="118" w:right="196"/>
              <w:jc w:val="both"/>
              <w:rPr>
                <w:sz w:val="21"/>
              </w:rPr>
            </w:pPr>
            <w:r>
              <w:rPr>
                <w:spacing w:val="-5"/>
                <w:sz w:val="21"/>
              </w:rPr>
              <w:t>若被保险人年满 </w:t>
            </w:r>
            <w:r>
              <w:rPr>
                <w:sz w:val="21"/>
              </w:rPr>
              <w:t>60</w:t>
            </w:r>
            <w:r>
              <w:rPr>
                <w:spacing w:val="-6"/>
                <w:sz w:val="21"/>
              </w:rPr>
              <w:t> 周岁的首个保单周年日及以后，初次发生并被认定为自</w:t>
            </w:r>
            <w:r>
              <w:rPr>
                <w:spacing w:val="-4"/>
                <w:sz w:val="21"/>
              </w:rPr>
              <w:t>主生活能力完全丧失，即无法独立完成</w:t>
            </w:r>
            <w:r>
              <w:rPr>
                <w:b/>
                <w:spacing w:val="-1"/>
                <w:sz w:val="21"/>
              </w:rPr>
              <w:t>六项基本日常生活活动</w:t>
            </w:r>
            <w:r>
              <w:rPr>
                <w:spacing w:val="-3"/>
                <w:sz w:val="21"/>
              </w:rPr>
              <w:t>（详见释义</w:t>
            </w:r>
            <w:r>
              <w:rPr>
                <w:sz w:val="21"/>
              </w:rPr>
              <w:t>） </w:t>
            </w:r>
            <w:r>
              <w:rPr>
                <w:spacing w:val="-9"/>
                <w:sz w:val="21"/>
              </w:rPr>
              <w:t>中的三项或三项以上，且该状态持续 </w:t>
            </w:r>
            <w:r>
              <w:rPr>
                <w:sz w:val="21"/>
              </w:rPr>
              <w:t>180</w:t>
            </w:r>
            <w:r>
              <w:rPr>
                <w:spacing w:val="-10"/>
                <w:sz w:val="21"/>
              </w:rPr>
              <w:t> 天以上的，我们将自被保险人被认</w:t>
            </w:r>
            <w:r>
              <w:rPr>
                <w:spacing w:val="-3"/>
                <w:sz w:val="21"/>
              </w:rPr>
              <w:t>定为自主生活能力完全丧失后的下一个</w:t>
            </w:r>
            <w:r>
              <w:rPr>
                <w:b/>
                <w:spacing w:val="-5"/>
                <w:sz w:val="21"/>
              </w:rPr>
              <w:t>保单周月日</w:t>
            </w:r>
            <w:r>
              <w:rPr>
                <w:sz w:val="21"/>
              </w:rPr>
              <w:t>（</w:t>
            </w:r>
            <w:r>
              <w:rPr>
                <w:spacing w:val="-2"/>
                <w:sz w:val="21"/>
              </w:rPr>
              <w:t>详见释义</w:t>
            </w:r>
            <w:r>
              <w:rPr>
                <w:spacing w:val="-25"/>
                <w:sz w:val="21"/>
              </w:rPr>
              <w:t>）</w:t>
            </w:r>
            <w:r>
              <w:rPr>
                <w:spacing w:val="-7"/>
                <w:sz w:val="21"/>
              </w:rPr>
              <w:t>起，在每个</w:t>
            </w:r>
          </w:p>
        </w:tc>
      </w:tr>
    </w:tbl>
    <w:p>
      <w:pPr>
        <w:spacing w:after="0" w:line="310" w:lineRule="atLeast"/>
        <w:jc w:val="both"/>
        <w:rPr>
          <w:sz w:val="21"/>
        </w:rPr>
        <w:sectPr>
          <w:pgSz w:w="11910" w:h="16840"/>
          <w:pgMar w:top="1460" w:bottom="280" w:left="98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492"/>
        <w:gridCol w:w="7303"/>
      </w:tblGrid>
      <w:tr>
        <w:trPr>
          <w:trHeight w:val="2710" w:hRule="atLeast"/>
        </w:trPr>
        <w:tc>
          <w:tcPr>
            <w:tcW w:w="746"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303" w:type="dxa"/>
          </w:tcPr>
          <w:p>
            <w:pPr>
              <w:pStyle w:val="TableParagraph"/>
              <w:spacing w:line="202" w:lineRule="exact"/>
              <w:ind w:left="327"/>
              <w:rPr>
                <w:sz w:val="21"/>
              </w:rPr>
            </w:pPr>
            <w:r>
              <w:rPr>
                <w:sz w:val="21"/>
              </w:rPr>
              <w:t>保单周月日按本合同基本保险金额的一百二十分之一给付长期护理保险金，</w:t>
            </w:r>
          </w:p>
          <w:p>
            <w:pPr>
              <w:pStyle w:val="TableParagraph"/>
              <w:spacing w:before="37"/>
              <w:ind w:left="327"/>
              <w:rPr>
                <w:sz w:val="21"/>
              </w:rPr>
            </w:pPr>
            <w:r>
              <w:rPr>
                <w:sz w:val="21"/>
              </w:rPr>
              <w:t>连续给付十年，共计一百二十次。</w:t>
            </w:r>
          </w:p>
          <w:p>
            <w:pPr>
              <w:pStyle w:val="TableParagraph"/>
              <w:spacing w:line="273" w:lineRule="auto" w:before="114"/>
              <w:ind w:left="327" w:right="98"/>
              <w:jc w:val="both"/>
              <w:rPr>
                <w:sz w:val="21"/>
              </w:rPr>
            </w:pPr>
            <w:r>
              <w:rPr>
                <w:spacing w:val="-6"/>
                <w:sz w:val="21"/>
              </w:rPr>
              <w:t>若被保险人在长期护理保险金给付期间全残，或被确诊患有重大疾病，则未</w:t>
            </w:r>
            <w:r>
              <w:rPr>
                <w:spacing w:val="-7"/>
                <w:sz w:val="21"/>
              </w:rPr>
              <w:t>给付的长期护理保险金将一次性给付给被保险人；若被保险人在长期护理保</w:t>
            </w:r>
            <w:r>
              <w:rPr>
                <w:spacing w:val="-11"/>
                <w:sz w:val="21"/>
              </w:rPr>
              <w:t>险金给付期间身故，则未给付的长期护理保险金将一次性给付给被保险人的</w:t>
            </w:r>
            <w:r>
              <w:rPr>
                <w:spacing w:val="-7"/>
                <w:sz w:val="21"/>
              </w:rPr>
              <w:t>继承人。</w:t>
            </w:r>
          </w:p>
          <w:p>
            <w:pPr>
              <w:pStyle w:val="TableParagraph"/>
              <w:spacing w:line="273" w:lineRule="auto" w:before="87"/>
              <w:ind w:left="327" w:right="104"/>
              <w:jc w:val="both"/>
              <w:rPr>
                <w:sz w:val="21"/>
              </w:rPr>
            </w:pPr>
            <w:r>
              <w:rPr>
                <w:spacing w:val="-7"/>
                <w:sz w:val="21"/>
              </w:rPr>
              <w:t>自我们同意给付长期护理保险金之日起，本合同终止，但本项保险金给付责</w:t>
            </w:r>
            <w:r>
              <w:rPr>
                <w:spacing w:val="-3"/>
                <w:sz w:val="21"/>
              </w:rPr>
              <w:t>任将延续至长期护理保险金完全给付时止。</w:t>
            </w:r>
          </w:p>
        </w:tc>
      </w:tr>
      <w:tr>
        <w:trPr>
          <w:trHeight w:val="1117" w:hRule="atLeast"/>
        </w:trPr>
        <w:tc>
          <w:tcPr>
            <w:tcW w:w="746"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303" w:type="dxa"/>
          </w:tcPr>
          <w:p>
            <w:pPr>
              <w:pStyle w:val="TableParagraph"/>
              <w:spacing w:line="273" w:lineRule="auto" w:before="87"/>
              <w:ind w:left="327" w:right="100" w:hanging="1"/>
              <w:jc w:val="both"/>
              <w:rPr>
                <w:rFonts w:ascii="黑体" w:hAnsi="黑体" w:eastAsia="黑体" w:hint="eastAsia"/>
                <w:sz w:val="21"/>
              </w:rPr>
            </w:pPr>
            <w:r>
              <w:rPr>
                <w:rFonts w:ascii="黑体" w:hAnsi="黑体" w:eastAsia="黑体" w:hint="eastAsia"/>
                <w:spacing w:val="-25"/>
                <w:sz w:val="21"/>
              </w:rPr>
              <w:t>前述“重大疾病保险金”、“身故保险金”、“全残保险金”和“长期护理保险</w:t>
            </w:r>
            <w:r>
              <w:rPr>
                <w:rFonts w:ascii="黑体" w:hAnsi="黑体" w:eastAsia="黑体" w:hint="eastAsia"/>
                <w:spacing w:val="-11"/>
                <w:sz w:val="21"/>
              </w:rPr>
              <w:t>金”中，任意两项或数项不可兼得，即若我们给付其中任何一项保险金，则</w:t>
            </w:r>
            <w:r>
              <w:rPr>
                <w:rFonts w:ascii="黑体" w:hAnsi="黑体" w:eastAsia="黑体" w:hint="eastAsia"/>
                <w:spacing w:val="-6"/>
                <w:sz w:val="21"/>
              </w:rPr>
              <w:t>其他保险金均不再给付。</w:t>
            </w:r>
          </w:p>
        </w:tc>
      </w:tr>
      <w:tr>
        <w:trPr>
          <w:trHeight w:val="9805" w:hRule="atLeast"/>
        </w:trPr>
        <w:tc>
          <w:tcPr>
            <w:tcW w:w="746" w:type="dxa"/>
          </w:tcPr>
          <w:p>
            <w:pPr>
              <w:pStyle w:val="TableParagraph"/>
              <w:spacing w:before="50"/>
              <w:ind w:left="108"/>
              <w:rPr>
                <w:b/>
                <w:sz w:val="21"/>
              </w:rPr>
            </w:pPr>
            <w:r>
              <w:rPr>
                <w:b/>
                <w:sz w:val="21"/>
              </w:rPr>
              <w:t>2.5</w:t>
            </w:r>
          </w:p>
        </w:tc>
        <w:tc>
          <w:tcPr>
            <w:tcW w:w="1492" w:type="dxa"/>
          </w:tcPr>
          <w:p>
            <w:pPr>
              <w:pStyle w:val="TableParagraph"/>
              <w:spacing w:before="50"/>
              <w:ind w:left="322"/>
              <w:rPr>
                <w:b/>
                <w:sz w:val="21"/>
              </w:rPr>
            </w:pPr>
            <w:r>
              <w:rPr>
                <w:b/>
                <w:sz w:val="21"/>
              </w:rPr>
              <w:t>责任免除</w:t>
            </w:r>
          </w:p>
        </w:tc>
        <w:tc>
          <w:tcPr>
            <w:tcW w:w="7303" w:type="dxa"/>
          </w:tcPr>
          <w:p>
            <w:pPr>
              <w:pStyle w:val="TableParagraph"/>
              <w:spacing w:line="273" w:lineRule="auto" w:before="50"/>
              <w:ind w:left="327" w:right="-15"/>
              <w:rPr>
                <w:rFonts w:ascii="黑体" w:eastAsia="黑体" w:hint="eastAsia"/>
                <w:sz w:val="21"/>
              </w:rPr>
            </w:pPr>
            <w:r>
              <w:rPr>
                <w:rFonts w:ascii="黑体" w:eastAsia="黑体" w:hint="eastAsia"/>
                <w:sz w:val="21"/>
              </w:rPr>
              <w:t>1</w:t>
            </w:r>
            <w:r>
              <w:rPr>
                <w:rFonts w:ascii="黑体" w:eastAsia="黑体" w:hint="eastAsia"/>
                <w:spacing w:val="-3"/>
                <w:sz w:val="21"/>
              </w:rPr>
              <w:t>、因下列情形之一导致被保险人自主</w:t>
            </w:r>
            <w:r>
              <w:rPr>
                <w:rFonts w:ascii="黑体" w:eastAsia="黑体" w:hint="eastAsia"/>
                <w:sz w:val="21"/>
              </w:rPr>
              <w:t>Th</w:t>
            </w:r>
            <w:r>
              <w:rPr>
                <w:rFonts w:ascii="黑体" w:eastAsia="黑体" w:hint="eastAsia"/>
                <w:spacing w:val="-3"/>
                <w:sz w:val="21"/>
              </w:rPr>
              <w:t>活能力完全丧失、发</w:t>
            </w:r>
            <w:r>
              <w:rPr>
                <w:rFonts w:ascii="黑体" w:eastAsia="黑体" w:hint="eastAsia"/>
                <w:sz w:val="21"/>
              </w:rPr>
              <w:t>Th</w:t>
            </w:r>
            <w:r>
              <w:rPr>
                <w:rFonts w:ascii="黑体" w:eastAsia="黑体" w:hint="eastAsia"/>
                <w:spacing w:val="-3"/>
                <w:sz w:val="21"/>
              </w:rPr>
              <w:t>疾病、达到 </w:t>
            </w:r>
            <w:r>
              <w:rPr>
                <w:rFonts w:ascii="黑体" w:eastAsia="黑体" w:hint="eastAsia"/>
                <w:spacing w:val="-14"/>
                <w:sz w:val="21"/>
              </w:rPr>
              <w:t>疾病状态或进行手术的，我们不承担给付长期护理保险金、重大疾病保险金、</w:t>
            </w:r>
            <w:r>
              <w:rPr>
                <w:rFonts w:ascii="黑体" w:eastAsia="黑体" w:hint="eastAsia"/>
                <w:spacing w:val="-7"/>
                <w:sz w:val="21"/>
              </w:rPr>
              <w:t>轻症疾病保险金和特定癌症保险金的责任：</w:t>
            </w:r>
          </w:p>
          <w:p>
            <w:pPr>
              <w:pStyle w:val="TableParagraph"/>
              <w:spacing w:before="7"/>
              <w:ind w:left="327"/>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32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32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327" w:right="101" w:hanging="1"/>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pacing w:val="-5"/>
                <w:sz w:val="21"/>
              </w:rPr>
              <w:t>酒后驾驶</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22"/>
                <w:sz w:val="21"/>
              </w:rPr>
              <w:t>、</w:t>
            </w:r>
            <w:r>
              <w:rPr>
                <w:rFonts w:ascii="黑体" w:eastAsia="黑体" w:hint="eastAsia"/>
                <w:b/>
                <w:spacing w:val="-3"/>
                <w:sz w:val="21"/>
              </w:rPr>
              <w:t>无合法有效驾驶证驾驶</w:t>
            </w:r>
            <w:r>
              <w:rPr>
                <w:rFonts w:ascii="黑体" w:eastAsia="黑体" w:hint="eastAsia"/>
                <w:spacing w:val="-3"/>
                <w:sz w:val="21"/>
              </w:rPr>
              <w:t>（详见释义</w:t>
            </w:r>
            <w:r>
              <w:rPr>
                <w:rFonts w:ascii="黑体" w:eastAsia="黑体" w:hint="eastAsia"/>
                <w:spacing w:val="-20"/>
                <w:sz w:val="21"/>
              </w:rPr>
              <w:t>）</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line="273" w:lineRule="auto" w:before="7"/>
              <w:ind w:left="327" w:right="101" w:hanging="1"/>
              <w:rPr>
                <w:rFonts w:ascii="黑体" w:hAnsi="黑体" w:eastAsia="黑体" w:hint="eastAsia"/>
                <w:sz w:val="21"/>
              </w:rPr>
            </w:pPr>
            <w:r>
              <w:rPr>
                <w:rFonts w:ascii="黑体" w:hAnsi="黑体" w:eastAsia="黑体" w:hint="eastAsia"/>
                <w:sz w:val="21"/>
              </w:rPr>
              <w:t>(5)</w:t>
            </w:r>
            <w:r>
              <w:rPr>
                <w:rFonts w:ascii="黑体" w:hAnsi="黑体" w:eastAsia="黑体" w:hint="eastAsia"/>
                <w:spacing w:val="-3"/>
                <w:sz w:val="21"/>
              </w:rPr>
              <w:t>被保险人</w:t>
            </w:r>
            <w:r>
              <w:rPr>
                <w:rFonts w:ascii="黑体" w:hAnsi="黑体" w:eastAsia="黑体" w:hint="eastAsia"/>
                <w:b/>
                <w:spacing w:val="-4"/>
                <w:sz w:val="21"/>
              </w:rPr>
              <w:t>感染艾滋病病毒或患艾滋病</w:t>
            </w:r>
            <w:r>
              <w:rPr>
                <w:rFonts w:ascii="黑体" w:hAnsi="黑体" w:eastAsia="黑体" w:hint="eastAsia"/>
                <w:spacing w:val="-3"/>
                <w:sz w:val="21"/>
              </w:rPr>
              <w:t>（</w:t>
            </w:r>
            <w:r>
              <w:rPr>
                <w:rFonts w:ascii="黑体" w:hAnsi="黑体" w:eastAsia="黑体" w:hint="eastAsia"/>
                <w:spacing w:val="-2"/>
                <w:sz w:val="21"/>
              </w:rPr>
              <w:t>详见释义</w:t>
            </w:r>
            <w:r>
              <w:rPr>
                <w:rFonts w:ascii="黑体" w:hAnsi="黑体" w:eastAsia="黑体" w:hint="eastAsia"/>
                <w:spacing w:val="-72"/>
                <w:sz w:val="21"/>
              </w:rPr>
              <w:t>）</w:t>
            </w:r>
            <w:r>
              <w:rPr>
                <w:rFonts w:ascii="黑体" w:hAnsi="黑体" w:eastAsia="黑体" w:hint="eastAsia"/>
                <w:spacing w:val="-10"/>
                <w:sz w:val="21"/>
              </w:rPr>
              <w:t>，但若属于本合同所保</w:t>
            </w:r>
            <w:r>
              <w:rPr>
                <w:rFonts w:ascii="黑体" w:hAnsi="黑体" w:eastAsia="黑体" w:hint="eastAsia"/>
                <w:spacing w:val="-11"/>
                <w:w w:val="100"/>
                <w:sz w:val="21"/>
              </w:rPr>
              <w:t>障的“经输血导致的人类免疫缺陷病毒感染”，则不在此限；</w:t>
            </w:r>
          </w:p>
          <w:p>
            <w:pPr>
              <w:pStyle w:val="TableParagraph"/>
              <w:spacing w:before="7"/>
              <w:ind w:left="327"/>
              <w:rPr>
                <w:rFonts w:ascii="黑体" w:eastAsia="黑体" w:hint="eastAsia"/>
                <w:sz w:val="21"/>
              </w:rPr>
            </w:pPr>
            <w:r>
              <w:rPr>
                <w:rFonts w:ascii="黑体" w:eastAsia="黑体" w:hint="eastAsia"/>
                <w:sz w:val="21"/>
              </w:rPr>
              <w:t>(6)战争、军事冲突、暴乱或武装叛乱；</w:t>
            </w:r>
          </w:p>
          <w:p>
            <w:pPr>
              <w:pStyle w:val="TableParagraph"/>
              <w:spacing w:before="36"/>
              <w:ind w:left="327"/>
              <w:rPr>
                <w:rFonts w:ascii="黑体" w:eastAsia="黑体" w:hint="eastAsia"/>
                <w:sz w:val="21"/>
              </w:rPr>
            </w:pPr>
            <w:r>
              <w:rPr>
                <w:rFonts w:ascii="黑体" w:eastAsia="黑体" w:hint="eastAsia"/>
                <w:sz w:val="21"/>
              </w:rPr>
              <w:t>(7)核爆炸、核辐射或核污染；</w:t>
            </w:r>
          </w:p>
          <w:p>
            <w:pPr>
              <w:pStyle w:val="TableParagraph"/>
              <w:spacing w:before="36"/>
              <w:ind w:left="327" w:right="-15"/>
              <w:rPr>
                <w:rFonts w:ascii="黑体" w:eastAsia="黑体" w:hint="eastAsia"/>
                <w:sz w:val="21"/>
              </w:rPr>
            </w:pPr>
            <w:r>
              <w:rPr>
                <w:rFonts w:ascii="黑体" w:eastAsia="黑体" w:hint="eastAsia"/>
                <w:spacing w:val="-1"/>
                <w:sz w:val="21"/>
              </w:rPr>
              <w:t>(8)</w:t>
            </w:r>
            <w:r>
              <w:rPr>
                <w:rFonts w:ascii="黑体" w:eastAsia="黑体" w:hint="eastAsia"/>
                <w:b/>
                <w:spacing w:val="-4"/>
                <w:sz w:val="21"/>
              </w:rPr>
              <w:t>遗传性疾病</w:t>
            </w:r>
            <w:r>
              <w:rPr>
                <w:rFonts w:ascii="黑体" w:eastAsia="黑体" w:hint="eastAsia"/>
                <w:spacing w:val="-3"/>
                <w:sz w:val="21"/>
              </w:rPr>
              <w:t>（详见释义</w:t>
            </w:r>
            <w:r>
              <w:rPr>
                <w:rFonts w:ascii="黑体" w:eastAsia="黑体" w:hint="eastAsia"/>
                <w:spacing w:val="-64"/>
                <w:sz w:val="21"/>
              </w:rPr>
              <w:t>），</w:t>
            </w:r>
            <w:r>
              <w:rPr>
                <w:rFonts w:ascii="黑体" w:eastAsia="黑体" w:hint="eastAsia"/>
                <w:b/>
                <w:spacing w:val="-6"/>
                <w:sz w:val="21"/>
              </w:rPr>
              <w:t>先天性畸形、变形或染色体异常</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108"/>
                <w:sz w:val="21"/>
              </w:rPr>
              <w:t>）</w:t>
            </w:r>
            <w:r>
              <w:rPr>
                <w:rFonts w:ascii="黑体" w:eastAsia="黑体" w:hint="eastAsia"/>
                <w:sz w:val="21"/>
              </w:rPr>
              <w:t>。</w:t>
            </w:r>
          </w:p>
          <w:p>
            <w:pPr>
              <w:pStyle w:val="TableParagraph"/>
              <w:spacing w:line="273" w:lineRule="auto" w:before="113"/>
              <w:ind w:left="327" w:right="99"/>
              <w:jc w:val="both"/>
              <w:rPr>
                <w:rFonts w:ascii="黑体" w:eastAsia="黑体" w:hint="eastAsia"/>
                <w:sz w:val="21"/>
              </w:rPr>
            </w:pPr>
            <w:r>
              <w:rPr>
                <w:rFonts w:ascii="黑体" w:eastAsia="黑体" w:hint="eastAsia"/>
                <w:sz w:val="21"/>
              </w:rPr>
              <w:t>发Th上述第(1)项情形导致被保险人初次发Th本合同约定的重大疾病、轻症</w:t>
            </w:r>
            <w:r>
              <w:rPr>
                <w:rFonts w:ascii="黑体" w:eastAsia="黑体" w:hint="eastAsia"/>
                <w:spacing w:val="-2"/>
                <w:sz w:val="21"/>
              </w:rPr>
              <w:t>疾病或自主</w:t>
            </w:r>
            <w:r>
              <w:rPr>
                <w:rFonts w:ascii="黑体" w:eastAsia="黑体" w:hint="eastAsia"/>
                <w:sz w:val="21"/>
              </w:rPr>
              <w:t>Th</w:t>
            </w:r>
            <w:r>
              <w:rPr>
                <w:rFonts w:ascii="黑体" w:eastAsia="黑体" w:hint="eastAsia"/>
                <w:spacing w:val="-9"/>
                <w:sz w:val="21"/>
              </w:rPr>
              <w:t>活能力完全丧失的，本合同终止，我们向被保险人退还本合同</w:t>
            </w:r>
            <w:r>
              <w:rPr>
                <w:rFonts w:ascii="黑体" w:eastAsia="黑体" w:hint="eastAsia"/>
                <w:spacing w:val="-5"/>
                <w:sz w:val="21"/>
              </w:rPr>
              <w:t>的现金价值。</w:t>
            </w:r>
          </w:p>
          <w:p>
            <w:pPr>
              <w:pStyle w:val="TableParagraph"/>
              <w:spacing w:line="273" w:lineRule="auto" w:before="86"/>
              <w:ind w:left="327" w:right="-15"/>
              <w:rPr>
                <w:rFonts w:ascii="黑体" w:eastAsia="黑体" w:hint="eastAsia"/>
                <w:sz w:val="21"/>
              </w:rPr>
            </w:pPr>
            <w:r>
              <w:rPr>
                <w:rFonts w:ascii="黑体" w:eastAsia="黑体" w:hint="eastAsia"/>
                <w:sz w:val="21"/>
              </w:rPr>
              <w:t>发Th</w:t>
            </w:r>
            <w:r>
              <w:rPr>
                <w:rFonts w:ascii="黑体" w:eastAsia="黑体" w:hint="eastAsia"/>
                <w:spacing w:val="-3"/>
                <w:sz w:val="21"/>
              </w:rPr>
              <w:t>上述其他情形导致被保险人初次发</w:t>
            </w:r>
            <w:r>
              <w:rPr>
                <w:rFonts w:ascii="黑体" w:eastAsia="黑体" w:hint="eastAsia"/>
                <w:sz w:val="21"/>
              </w:rPr>
              <w:t>Th</w:t>
            </w:r>
            <w:r>
              <w:rPr>
                <w:rFonts w:ascii="黑体" w:eastAsia="黑体" w:hint="eastAsia"/>
                <w:spacing w:val="-10"/>
                <w:sz w:val="21"/>
              </w:rPr>
              <w:t>本合同约定的重大疾病、轻症疾病</w:t>
            </w:r>
            <w:r>
              <w:rPr>
                <w:rFonts w:ascii="黑体" w:eastAsia="黑体" w:hint="eastAsia"/>
                <w:spacing w:val="-8"/>
                <w:sz w:val="21"/>
              </w:rPr>
              <w:t>或自主</w:t>
            </w:r>
            <w:r>
              <w:rPr>
                <w:rFonts w:ascii="黑体" w:eastAsia="黑体" w:hint="eastAsia"/>
                <w:sz w:val="21"/>
              </w:rPr>
              <w:t>Th</w:t>
            </w:r>
            <w:r>
              <w:rPr>
                <w:rFonts w:ascii="黑体" w:eastAsia="黑体" w:hint="eastAsia"/>
                <w:spacing w:val="-16"/>
                <w:sz w:val="21"/>
              </w:rPr>
              <w:t>活能力完全丧失的，本合同终止，我们向您退还本合同的现金价值。</w:t>
            </w:r>
          </w:p>
          <w:p>
            <w:pPr>
              <w:pStyle w:val="TableParagraph"/>
              <w:spacing w:line="273" w:lineRule="auto" w:before="84"/>
              <w:ind w:left="327" w:right="102"/>
              <w:rPr>
                <w:rFonts w:ascii="黑体" w:eastAsia="黑体" w:hint="eastAsia"/>
                <w:sz w:val="21"/>
              </w:rPr>
            </w:pPr>
            <w:r>
              <w:rPr>
                <w:rFonts w:ascii="黑体" w:eastAsia="黑体" w:hint="eastAsia"/>
                <w:sz w:val="21"/>
              </w:rPr>
              <w:t>2、因下列情形之一导致被保险人身故或全残的，我们不承担给付身故保险金和全残保险金的责任：</w:t>
            </w:r>
          </w:p>
          <w:p>
            <w:pPr>
              <w:pStyle w:val="TableParagraph"/>
              <w:spacing w:before="7"/>
              <w:ind w:left="327" w:right="-15"/>
              <w:rPr>
                <w:rFonts w:ascii="黑体" w:eastAsia="黑体" w:hint="eastAsia"/>
                <w:sz w:val="21"/>
              </w:rPr>
            </w:pPr>
            <w:r>
              <w:rPr>
                <w:rFonts w:ascii="黑体" w:eastAsia="黑体" w:hint="eastAsia"/>
                <w:sz w:val="21"/>
              </w:rPr>
              <w:t>(1)</w:t>
            </w:r>
            <w:r>
              <w:rPr>
                <w:rFonts w:ascii="黑体" w:eastAsia="黑体" w:hint="eastAsia"/>
                <w:spacing w:val="-3"/>
                <w:sz w:val="21"/>
              </w:rPr>
              <w:t>发</w:t>
            </w:r>
            <w:r>
              <w:rPr>
                <w:rFonts w:ascii="黑体" w:eastAsia="黑体" w:hint="eastAsia"/>
                <w:sz w:val="21"/>
              </w:rPr>
              <w:t>Th</w:t>
            </w:r>
            <w:r>
              <w:rPr>
                <w:rFonts w:ascii="黑体" w:eastAsia="黑体" w:hint="eastAsia"/>
                <w:spacing w:val="-12"/>
                <w:sz w:val="21"/>
              </w:rPr>
              <w:t>本条第 </w:t>
            </w:r>
            <w:r>
              <w:rPr>
                <w:rFonts w:ascii="黑体" w:eastAsia="黑体" w:hint="eastAsia"/>
                <w:sz w:val="21"/>
              </w:rPr>
              <w:t>1</w:t>
            </w:r>
            <w:r>
              <w:rPr>
                <w:rFonts w:ascii="黑体" w:eastAsia="黑体" w:hint="eastAsia"/>
                <w:spacing w:val="-15"/>
                <w:sz w:val="21"/>
              </w:rPr>
              <w:t> 款第</w:t>
            </w:r>
            <w:r>
              <w:rPr>
                <w:rFonts w:ascii="黑体" w:eastAsia="黑体" w:hint="eastAsia"/>
                <w:sz w:val="21"/>
              </w:rPr>
              <w:t>(1</w:t>
            </w:r>
            <w:r>
              <w:rPr>
                <w:rFonts w:ascii="黑体" w:eastAsia="黑体" w:hint="eastAsia"/>
                <w:spacing w:val="-5"/>
                <w:sz w:val="21"/>
              </w:rPr>
              <w:t>)、</w:t>
            </w:r>
            <w:r>
              <w:rPr>
                <w:rFonts w:ascii="黑体" w:eastAsia="黑体" w:hint="eastAsia"/>
                <w:sz w:val="21"/>
              </w:rPr>
              <w:t>(2)</w:t>
            </w:r>
            <w:r>
              <w:rPr>
                <w:rFonts w:ascii="黑体" w:eastAsia="黑体" w:hint="eastAsia"/>
                <w:spacing w:val="-5"/>
                <w:sz w:val="21"/>
              </w:rPr>
              <w:t>、(</w:t>
            </w:r>
            <w:r>
              <w:rPr>
                <w:rFonts w:ascii="黑体" w:eastAsia="黑体" w:hint="eastAsia"/>
                <w:sz w:val="21"/>
              </w:rPr>
              <w:t>3)</w:t>
            </w:r>
            <w:r>
              <w:rPr>
                <w:rFonts w:ascii="黑体" w:eastAsia="黑体" w:hint="eastAsia"/>
                <w:spacing w:val="-5"/>
                <w:sz w:val="21"/>
              </w:rPr>
              <w:t>、(</w:t>
            </w:r>
            <w:r>
              <w:rPr>
                <w:rFonts w:ascii="黑体" w:eastAsia="黑体" w:hint="eastAsia"/>
                <w:sz w:val="21"/>
              </w:rPr>
              <w:t>4</w:t>
            </w:r>
            <w:r>
              <w:rPr>
                <w:rFonts w:ascii="黑体" w:eastAsia="黑体" w:hint="eastAsia"/>
                <w:spacing w:val="-5"/>
                <w:sz w:val="21"/>
              </w:rPr>
              <w:t>)、</w:t>
            </w:r>
            <w:r>
              <w:rPr>
                <w:rFonts w:ascii="黑体" w:eastAsia="黑体" w:hint="eastAsia"/>
                <w:sz w:val="21"/>
              </w:rPr>
              <w:t>(6</w:t>
            </w:r>
            <w:r>
              <w:rPr>
                <w:rFonts w:ascii="黑体" w:eastAsia="黑体" w:hint="eastAsia"/>
                <w:spacing w:val="-11"/>
                <w:sz w:val="21"/>
              </w:rPr>
              <w:t>)、</w:t>
            </w:r>
            <w:r>
              <w:rPr>
                <w:rFonts w:ascii="黑体" w:eastAsia="黑体" w:hint="eastAsia"/>
                <w:spacing w:val="-4"/>
                <w:sz w:val="21"/>
              </w:rPr>
              <w:t>（7）</w:t>
            </w:r>
            <w:r>
              <w:rPr>
                <w:rFonts w:ascii="黑体" w:eastAsia="黑体" w:hint="eastAsia"/>
                <w:spacing w:val="-3"/>
                <w:sz w:val="21"/>
              </w:rPr>
              <w:t>项规定的情形之一；</w:t>
            </w:r>
          </w:p>
          <w:p>
            <w:pPr>
              <w:pStyle w:val="TableParagraph"/>
              <w:spacing w:line="273" w:lineRule="auto" w:before="36"/>
              <w:ind w:left="328" w:right="32"/>
              <w:rPr>
                <w:rFonts w:ascii="黑体" w:eastAsia="黑体" w:hint="eastAsia"/>
                <w:sz w:val="21"/>
              </w:rPr>
            </w:pPr>
            <w:r>
              <w:rPr>
                <w:rFonts w:ascii="黑体" w:eastAsia="黑体" w:hint="eastAsia"/>
                <w:sz w:val="21"/>
              </w:rPr>
              <w:t>(2)被保险人自本合同成立或者合同效力恢复之日起 2 年内自杀，但被保险人自杀时为无民事行为能力人的除外。</w:t>
            </w:r>
          </w:p>
          <w:p>
            <w:pPr>
              <w:pStyle w:val="TableParagraph"/>
              <w:spacing w:line="273" w:lineRule="auto" w:before="86"/>
              <w:ind w:left="328" w:right="31" w:hanging="1"/>
              <w:rPr>
                <w:rFonts w:ascii="黑体" w:eastAsia="黑体" w:hint="eastAsia"/>
                <w:sz w:val="21"/>
              </w:rPr>
            </w:pPr>
            <w:r>
              <w:rPr>
                <w:rFonts w:ascii="黑体" w:eastAsia="黑体" w:hint="eastAsia"/>
                <w:sz w:val="21"/>
              </w:rPr>
              <w:t>发Th本条第 1 款第(1)项情形导致被保险人身故的，本合同终止，我们向受益人退还本合同现金价值。</w:t>
            </w:r>
          </w:p>
          <w:p>
            <w:pPr>
              <w:pStyle w:val="TableParagraph"/>
              <w:spacing w:line="273" w:lineRule="auto" w:before="84"/>
              <w:ind w:left="329" w:right="30" w:hanging="1"/>
              <w:rPr>
                <w:rFonts w:ascii="黑体" w:eastAsia="黑体" w:hint="eastAsia"/>
                <w:sz w:val="21"/>
              </w:rPr>
            </w:pPr>
            <w:r>
              <w:rPr>
                <w:rFonts w:ascii="黑体" w:eastAsia="黑体" w:hint="eastAsia"/>
                <w:sz w:val="21"/>
              </w:rPr>
              <w:t>发Th本条第 1 款第(1)项情形导致被保险人全残的，本合同终止，我们向被保险人退还本合同现金价值。</w:t>
            </w:r>
          </w:p>
          <w:p>
            <w:pPr>
              <w:pStyle w:val="TableParagraph"/>
              <w:spacing w:line="273" w:lineRule="auto" w:before="86"/>
              <w:ind w:left="329" w:right="97"/>
              <w:rPr>
                <w:rFonts w:ascii="黑体" w:eastAsia="黑体" w:hint="eastAsia"/>
                <w:sz w:val="21"/>
              </w:rPr>
            </w:pPr>
            <w:r>
              <w:rPr>
                <w:rFonts w:ascii="黑体" w:eastAsia="黑体" w:hint="eastAsia"/>
                <w:sz w:val="21"/>
              </w:rPr>
              <w:t>发Th</w:t>
            </w:r>
            <w:r>
              <w:rPr>
                <w:rFonts w:ascii="黑体" w:eastAsia="黑体" w:hint="eastAsia"/>
                <w:spacing w:val="-7"/>
                <w:sz w:val="21"/>
              </w:rPr>
              <w:t>上述其他情形导致被保险人身故或全残的，本合同终止，我们向您退还</w:t>
            </w:r>
            <w:r>
              <w:rPr>
                <w:rFonts w:ascii="黑体" w:eastAsia="黑体" w:hint="eastAsia"/>
                <w:spacing w:val="-5"/>
                <w:sz w:val="21"/>
              </w:rPr>
              <w:t>本合同现金价值。</w:t>
            </w:r>
          </w:p>
        </w:tc>
      </w:tr>
      <w:tr>
        <w:trPr>
          <w:trHeight w:val="311" w:hRule="atLeast"/>
        </w:trPr>
        <w:tc>
          <w:tcPr>
            <w:tcW w:w="746" w:type="dxa"/>
            <w:shd w:val="clear" w:color="auto" w:fill="A7A8A7"/>
          </w:tcPr>
          <w:p>
            <w:pPr>
              <w:pStyle w:val="TableParagraph"/>
              <w:spacing w:line="254" w:lineRule="exact"/>
              <w:ind w:left="108"/>
              <w:rPr>
                <w:b/>
                <w:sz w:val="21"/>
              </w:rPr>
            </w:pPr>
            <w:r>
              <w:rPr>
                <w:b/>
                <w:sz w:val="21"/>
              </w:rPr>
              <w:t>3．</w:t>
            </w:r>
          </w:p>
        </w:tc>
        <w:tc>
          <w:tcPr>
            <w:tcW w:w="8795" w:type="dxa"/>
            <w:gridSpan w:val="2"/>
            <w:shd w:val="clear" w:color="auto" w:fill="A7A8A7"/>
          </w:tcPr>
          <w:p>
            <w:pPr>
              <w:pStyle w:val="TableParagraph"/>
              <w:spacing w:line="254" w:lineRule="exact"/>
              <w:ind w:left="322"/>
              <w:rPr>
                <w:b/>
                <w:sz w:val="21"/>
              </w:rPr>
            </w:pPr>
            <w:r>
              <w:rPr>
                <w:b/>
                <w:sz w:val="21"/>
              </w:rPr>
              <w:t>保险金的申请</w:t>
            </w:r>
          </w:p>
        </w:tc>
      </w:tr>
    </w:tbl>
    <w:p>
      <w:pPr>
        <w:spacing w:after="0" w:line="25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677"/>
        <w:gridCol w:w="7223"/>
      </w:tblGrid>
      <w:tr>
        <w:trPr>
          <w:trHeight w:val="6611" w:hRule="atLeast"/>
        </w:trPr>
        <w:tc>
          <w:tcPr>
            <w:tcW w:w="838" w:type="dxa"/>
          </w:tcPr>
          <w:p>
            <w:pPr>
              <w:pStyle w:val="TableParagraph"/>
              <w:spacing w:line="211" w:lineRule="exact"/>
              <w:ind w:left="200"/>
              <w:rPr>
                <w:b/>
                <w:sz w:val="21"/>
              </w:rPr>
            </w:pPr>
            <w:r>
              <w:rPr>
                <w:b/>
                <w:sz w:val="21"/>
              </w:rPr>
              <w:t>3.1</w:t>
            </w:r>
          </w:p>
        </w:tc>
        <w:tc>
          <w:tcPr>
            <w:tcW w:w="1677" w:type="dxa"/>
          </w:tcPr>
          <w:p>
            <w:pPr>
              <w:pStyle w:val="TableParagraph"/>
              <w:spacing w:line="211" w:lineRule="exact"/>
              <w:ind w:left="321"/>
              <w:rPr>
                <w:b/>
                <w:sz w:val="21"/>
              </w:rPr>
            </w:pPr>
            <w:r>
              <w:rPr>
                <w:b/>
                <w:sz w:val="21"/>
              </w:rPr>
              <w:t>受益人</w:t>
            </w:r>
          </w:p>
        </w:tc>
        <w:tc>
          <w:tcPr>
            <w:tcW w:w="7223" w:type="dxa"/>
          </w:tcPr>
          <w:p>
            <w:pPr>
              <w:pStyle w:val="TableParagraph"/>
              <w:spacing w:line="211" w:lineRule="exact"/>
              <w:ind w:left="142"/>
              <w:rPr>
                <w:sz w:val="21"/>
              </w:rPr>
            </w:pPr>
            <w:r>
              <w:rPr>
                <w:sz w:val="21"/>
              </w:rPr>
              <w:t>您或者被保险人可以指定一人或多人为身故保险金受益人。</w:t>
            </w:r>
          </w:p>
          <w:p>
            <w:pPr>
              <w:pStyle w:val="TableParagraph"/>
              <w:spacing w:line="273" w:lineRule="auto" w:before="114"/>
              <w:ind w:left="142" w:right="203"/>
              <w:rPr>
                <w:sz w:val="21"/>
              </w:rPr>
            </w:pPr>
            <w:r>
              <w:rPr>
                <w:spacing w:val="-8"/>
                <w:sz w:val="21"/>
              </w:rPr>
              <w:t>身故保险金受益人为多人时，可以确定受益顺序和受益份额；如果没有确定</w:t>
            </w:r>
            <w:r>
              <w:rPr>
                <w:spacing w:val="-5"/>
                <w:sz w:val="21"/>
              </w:rPr>
              <w:t>份额，各受益人按照相等份额享有受益权。</w:t>
            </w:r>
          </w:p>
          <w:p>
            <w:pPr>
              <w:pStyle w:val="TableParagraph"/>
              <w:spacing w:line="273" w:lineRule="auto" w:before="87"/>
              <w:ind w:left="142" w:right="146"/>
              <w:rPr>
                <w:sz w:val="21"/>
              </w:rPr>
            </w:pPr>
            <w:r>
              <w:rPr>
                <w:sz w:val="21"/>
              </w:rPr>
              <w:t>被保险人为无民事行为能力人或限制民事行为能力人的，可以由其监护人指定受益人。</w:t>
            </w:r>
          </w:p>
          <w:p>
            <w:pPr>
              <w:pStyle w:val="TableParagraph"/>
              <w:spacing w:line="273" w:lineRule="auto" w:before="84"/>
              <w:ind w:left="142" w:right="146"/>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86"/>
              <w:ind w:left="142"/>
              <w:rPr>
                <w:sz w:val="21"/>
              </w:rPr>
            </w:pPr>
            <w:r>
              <w:rPr>
                <w:sz w:val="21"/>
              </w:rPr>
              <w:t>您在指定和变更身故保险金受益人时，必须经过被保险人同意。</w:t>
            </w:r>
          </w:p>
          <w:p>
            <w:pPr>
              <w:pStyle w:val="TableParagraph"/>
              <w:spacing w:line="273" w:lineRule="auto" w:before="113"/>
              <w:ind w:left="142" w:right="205"/>
              <w:rPr>
                <w:sz w:val="21"/>
              </w:rPr>
            </w:pPr>
            <w:r>
              <w:rPr>
                <w:spacing w:val="-8"/>
                <w:sz w:val="21"/>
              </w:rPr>
              <w:t>被保险人身故后，有下列情形之一的，保险金作为被保险人的遗产，由我们</w:t>
            </w:r>
            <w:r>
              <w:rPr>
                <w:spacing w:val="-5"/>
                <w:sz w:val="21"/>
              </w:rPr>
              <w:t>依照《中华人民共和国继承法》的规定履行给付保险金的义务：</w:t>
            </w:r>
          </w:p>
          <w:p>
            <w:pPr>
              <w:pStyle w:val="TableParagraph"/>
              <w:spacing w:before="7"/>
              <w:ind w:left="142"/>
              <w:rPr>
                <w:sz w:val="21"/>
              </w:rPr>
            </w:pPr>
            <w:r>
              <w:rPr>
                <w:sz w:val="21"/>
              </w:rPr>
              <w:t>(1)没有指定受益人，或者受益人指定不明无法确定的；</w:t>
            </w:r>
          </w:p>
          <w:p>
            <w:pPr>
              <w:pStyle w:val="TableParagraph"/>
              <w:spacing w:before="37"/>
              <w:ind w:left="142"/>
              <w:rPr>
                <w:sz w:val="21"/>
              </w:rPr>
            </w:pPr>
            <w:r>
              <w:rPr>
                <w:sz w:val="21"/>
              </w:rPr>
              <w:t>(2)受益人先于被保险人身故，没有其他受益人的；</w:t>
            </w:r>
          </w:p>
          <w:p>
            <w:pPr>
              <w:pStyle w:val="TableParagraph"/>
              <w:spacing w:before="37"/>
              <w:ind w:left="142"/>
              <w:rPr>
                <w:sz w:val="21"/>
              </w:rPr>
            </w:pPr>
            <w:r>
              <w:rPr>
                <w:sz w:val="21"/>
              </w:rPr>
              <w:t>(3)受益人依法丧失受益权或者放弃受益权，没有其他受益人的。</w:t>
            </w:r>
          </w:p>
          <w:p>
            <w:pPr>
              <w:pStyle w:val="TableParagraph"/>
              <w:spacing w:line="273" w:lineRule="auto" w:before="116"/>
              <w:ind w:left="142" w:right="146"/>
              <w:rPr>
                <w:sz w:val="21"/>
              </w:rPr>
            </w:pPr>
            <w:r>
              <w:rPr>
                <w:sz w:val="21"/>
              </w:rPr>
              <w:t>受益人与被保险人在同一事件中身故，且不能确定身故先后顺序的，推定受益人身故在先。</w:t>
            </w:r>
          </w:p>
          <w:p>
            <w:pPr>
              <w:pStyle w:val="TableParagraph"/>
              <w:spacing w:line="273" w:lineRule="auto" w:before="84"/>
              <w:ind w:left="142" w:right="208"/>
              <w:rPr>
                <w:sz w:val="21"/>
              </w:rPr>
            </w:pPr>
            <w:r>
              <w:rPr>
                <w:spacing w:val="-7"/>
                <w:sz w:val="21"/>
              </w:rPr>
              <w:t>受益人故意造成被保险人身故、伤残、疾病的，或者故意杀害被保险人未遂</w:t>
            </w:r>
            <w:r>
              <w:rPr>
                <w:spacing w:val="-3"/>
                <w:sz w:val="21"/>
              </w:rPr>
              <w:t>的，该受益人丧失受益权。</w:t>
            </w:r>
          </w:p>
          <w:p>
            <w:pPr>
              <w:pStyle w:val="TableParagraph"/>
              <w:spacing w:line="273" w:lineRule="auto" w:before="86"/>
              <w:ind w:left="142" w:right="241"/>
              <w:rPr>
                <w:sz w:val="21"/>
              </w:rPr>
            </w:pPr>
            <w:r>
              <w:rPr>
                <w:spacing w:val="-10"/>
                <w:sz w:val="21"/>
              </w:rPr>
              <w:t>除另有指定外，重大疾病保险金、轻症疾病保险金、特定癌症保险金、长期</w:t>
            </w:r>
            <w:r>
              <w:rPr>
                <w:spacing w:val="-3"/>
                <w:sz w:val="21"/>
              </w:rPr>
              <w:t>护理保险金和全残保险金的受益人为被保险人本人。</w:t>
            </w:r>
          </w:p>
        </w:tc>
      </w:tr>
      <w:tr>
        <w:trPr>
          <w:trHeight w:val="2130" w:hRule="atLeast"/>
        </w:trPr>
        <w:tc>
          <w:tcPr>
            <w:tcW w:w="838" w:type="dxa"/>
          </w:tcPr>
          <w:p>
            <w:pPr>
              <w:pStyle w:val="TableParagraph"/>
              <w:spacing w:before="97"/>
              <w:ind w:left="200"/>
              <w:rPr>
                <w:b/>
                <w:sz w:val="21"/>
              </w:rPr>
            </w:pPr>
            <w:r>
              <w:rPr>
                <w:b/>
                <w:sz w:val="21"/>
              </w:rPr>
              <w:t>3.2</w:t>
            </w:r>
          </w:p>
        </w:tc>
        <w:tc>
          <w:tcPr>
            <w:tcW w:w="1677" w:type="dxa"/>
          </w:tcPr>
          <w:p>
            <w:pPr>
              <w:pStyle w:val="TableParagraph"/>
              <w:spacing w:before="97"/>
              <w:ind w:left="321"/>
              <w:rPr>
                <w:b/>
                <w:sz w:val="21"/>
              </w:rPr>
            </w:pPr>
            <w:r>
              <w:rPr>
                <w:b/>
                <w:sz w:val="21"/>
              </w:rPr>
              <w:t>保险事故通知</w:t>
            </w:r>
          </w:p>
        </w:tc>
        <w:tc>
          <w:tcPr>
            <w:tcW w:w="7223" w:type="dxa"/>
          </w:tcPr>
          <w:p>
            <w:pPr>
              <w:pStyle w:val="TableParagraph"/>
              <w:spacing w:before="97"/>
              <w:ind w:left="142"/>
              <w:rPr>
                <w:sz w:val="21"/>
              </w:rPr>
            </w:pPr>
            <w:r>
              <w:rPr>
                <w:sz w:val="21"/>
              </w:rPr>
              <w:t>您、被保险人或受益人知道保险事故后应当在 10 日内通知我们。</w:t>
            </w:r>
          </w:p>
          <w:p>
            <w:pPr>
              <w:pStyle w:val="TableParagraph"/>
              <w:spacing w:line="273" w:lineRule="auto" w:before="113"/>
              <w:ind w:left="142" w:right="203"/>
              <w:jc w:val="both"/>
              <w:rPr>
                <w:sz w:val="21"/>
              </w:rPr>
            </w:pPr>
            <w:r>
              <w:rPr>
                <w:rFonts w:ascii="黑体" w:eastAsia="黑体" w:hint="eastAsia"/>
                <w:spacing w:val="-8"/>
                <w:sz w:val="21"/>
              </w:rPr>
              <w:t>如果您、被保险人或受益人故意或者因重大过失未及时通知，致使保险事故</w:t>
            </w:r>
            <w:r>
              <w:rPr>
                <w:rFonts w:ascii="黑体" w:eastAsia="黑体" w:hint="eastAsia"/>
                <w:spacing w:val="-11"/>
                <w:sz w:val="21"/>
              </w:rPr>
              <w:t>的性质、原因、损失程度等难以确定的，我们对无法确定的部分，不承担给</w:t>
            </w:r>
            <w:r>
              <w:rPr>
                <w:rFonts w:ascii="黑体" w:eastAsia="黑体" w:hint="eastAsia"/>
                <w:spacing w:val="-14"/>
                <w:sz w:val="21"/>
              </w:rPr>
              <w:t>付保险金的责任，</w:t>
            </w:r>
            <w:r>
              <w:rPr>
                <w:spacing w:val="-3"/>
                <w:sz w:val="21"/>
              </w:rPr>
              <w:t>但我们通过其他途径已经及时知道或者应当及时知道保险</w:t>
            </w:r>
            <w:r>
              <w:rPr>
                <w:spacing w:val="-6"/>
                <w:sz w:val="21"/>
              </w:rPr>
              <w:t>事故发生或者虽未及时通知但不影响我们确定保险事故的性质、原因、损失</w:t>
            </w:r>
            <w:r>
              <w:rPr>
                <w:spacing w:val="-4"/>
                <w:sz w:val="21"/>
              </w:rPr>
              <w:t>程度的除外。</w:t>
            </w:r>
          </w:p>
        </w:tc>
      </w:tr>
      <w:tr>
        <w:trPr>
          <w:trHeight w:val="382" w:hRule="atLeast"/>
        </w:trPr>
        <w:tc>
          <w:tcPr>
            <w:tcW w:w="838" w:type="dxa"/>
          </w:tcPr>
          <w:p>
            <w:pPr>
              <w:pStyle w:val="TableParagraph"/>
              <w:spacing w:before="57"/>
              <w:ind w:left="200"/>
              <w:rPr>
                <w:b/>
                <w:sz w:val="21"/>
              </w:rPr>
            </w:pPr>
            <w:r>
              <w:rPr>
                <w:b/>
                <w:sz w:val="21"/>
              </w:rPr>
              <w:t>3.3</w:t>
            </w:r>
          </w:p>
        </w:tc>
        <w:tc>
          <w:tcPr>
            <w:tcW w:w="1677" w:type="dxa"/>
          </w:tcPr>
          <w:p>
            <w:pPr>
              <w:pStyle w:val="TableParagraph"/>
              <w:spacing w:before="57"/>
              <w:ind w:left="321"/>
              <w:rPr>
                <w:b/>
                <w:sz w:val="21"/>
              </w:rPr>
            </w:pPr>
            <w:r>
              <w:rPr>
                <w:b/>
                <w:sz w:val="21"/>
              </w:rPr>
              <w:t>保险金申请</w:t>
            </w:r>
          </w:p>
        </w:tc>
        <w:tc>
          <w:tcPr>
            <w:tcW w:w="7223" w:type="dxa"/>
          </w:tcPr>
          <w:p>
            <w:pPr>
              <w:pStyle w:val="TableParagraph"/>
              <w:spacing w:before="57"/>
              <w:ind w:left="142"/>
              <w:rPr>
                <w:sz w:val="21"/>
              </w:rPr>
            </w:pPr>
            <w:r>
              <w:rPr>
                <w:sz w:val="21"/>
              </w:rPr>
              <w:t>在申请保险金时，请按照下列方式办理：</w:t>
            </w:r>
          </w:p>
        </w:tc>
      </w:tr>
      <w:tr>
        <w:trPr>
          <w:trHeight w:val="2254" w:hRule="atLeast"/>
        </w:trPr>
        <w:tc>
          <w:tcPr>
            <w:tcW w:w="838" w:type="dxa"/>
          </w:tcPr>
          <w:p>
            <w:pPr>
              <w:pStyle w:val="TableParagraph"/>
              <w:ind w:left="0"/>
              <w:rPr>
                <w:rFonts w:ascii="Times New Roman"/>
                <w:sz w:val="20"/>
              </w:rPr>
            </w:pPr>
          </w:p>
        </w:tc>
        <w:tc>
          <w:tcPr>
            <w:tcW w:w="1677" w:type="dxa"/>
          </w:tcPr>
          <w:p>
            <w:pPr>
              <w:pStyle w:val="TableParagraph"/>
              <w:spacing w:line="262" w:lineRule="exact"/>
              <w:ind w:left="214"/>
              <w:rPr>
                <w:sz w:val="21"/>
              </w:rPr>
            </w:pPr>
            <w:r>
              <w:rPr>
                <w:sz w:val="21"/>
              </w:rPr>
              <w:t>重大疾病保险</w:t>
            </w:r>
          </w:p>
          <w:p>
            <w:pPr>
              <w:pStyle w:val="TableParagraph"/>
              <w:spacing w:line="273" w:lineRule="auto" w:before="37"/>
              <w:ind w:left="214" w:right="112"/>
              <w:jc w:val="both"/>
              <w:rPr>
                <w:sz w:val="21"/>
              </w:rPr>
            </w:pPr>
            <w:r>
              <w:rPr>
                <w:sz w:val="21"/>
              </w:rPr>
              <w:t>金、轻症疾病保险金、特定癌症保险金申请</w:t>
            </w:r>
          </w:p>
        </w:tc>
        <w:tc>
          <w:tcPr>
            <w:tcW w:w="7223" w:type="dxa"/>
          </w:tcPr>
          <w:p>
            <w:pPr>
              <w:pStyle w:val="TableParagraph"/>
              <w:spacing w:line="261" w:lineRule="exact"/>
              <w:ind w:left="89"/>
              <w:rPr>
                <w:sz w:val="21"/>
              </w:rPr>
            </w:pPr>
            <w:r>
              <w:rPr>
                <w:sz w:val="21"/>
              </w:rPr>
              <w:t>受益人须填写保险金给付申请书，并提供下列证明和资料：</w:t>
            </w:r>
          </w:p>
          <w:p>
            <w:pPr>
              <w:pStyle w:val="TableParagraph"/>
              <w:spacing w:before="37"/>
              <w:ind w:left="89"/>
              <w:rPr>
                <w:sz w:val="21"/>
              </w:rPr>
            </w:pPr>
            <w:r>
              <w:rPr>
                <w:sz w:val="21"/>
              </w:rPr>
              <w:t>(1)保险合同；</w:t>
            </w:r>
          </w:p>
          <w:p>
            <w:pPr>
              <w:pStyle w:val="TableParagraph"/>
              <w:spacing w:before="37"/>
              <w:ind w:left="89"/>
              <w:rPr>
                <w:sz w:val="21"/>
              </w:rPr>
            </w:pPr>
            <w:r>
              <w:rPr>
                <w:sz w:val="21"/>
              </w:rPr>
              <w:t>(2)受益人的有效身份证件；</w:t>
            </w:r>
          </w:p>
          <w:p>
            <w:pPr>
              <w:pStyle w:val="TableParagraph"/>
              <w:spacing w:line="273" w:lineRule="auto" w:before="37"/>
              <w:ind w:left="89" w:right="196"/>
              <w:jc w:val="both"/>
              <w:rPr>
                <w:sz w:val="21"/>
              </w:rPr>
            </w:pPr>
            <w:r>
              <w:rPr>
                <w:sz w:val="21"/>
              </w:rPr>
              <w:t>(3)卫生行政部门认定的二级以上（含二级）医院出具的附有病理显微镜检查报告、血液检查及其他科学方法检验报告的病史资料及疾病诊断报告书； 如有必要，我们有权对被保险人进行复检，复检费用由我们承担；</w:t>
            </w:r>
          </w:p>
          <w:p>
            <w:pPr>
              <w:pStyle w:val="TableParagraph"/>
              <w:spacing w:before="7"/>
              <w:ind w:left="89"/>
              <w:rPr>
                <w:sz w:val="21"/>
              </w:rPr>
            </w:pPr>
            <w:r>
              <w:rPr>
                <w:sz w:val="21"/>
              </w:rPr>
              <w:t>(4)所能提供的与确认保险事故的性质、原因等有关的其他证明和资料。</w:t>
            </w:r>
          </w:p>
        </w:tc>
      </w:tr>
      <w:tr>
        <w:trPr>
          <w:trHeight w:val="2283" w:hRule="atLeast"/>
        </w:trPr>
        <w:tc>
          <w:tcPr>
            <w:tcW w:w="838" w:type="dxa"/>
          </w:tcPr>
          <w:p>
            <w:pPr>
              <w:pStyle w:val="TableParagraph"/>
              <w:ind w:left="0"/>
              <w:rPr>
                <w:rFonts w:ascii="Times New Roman"/>
                <w:sz w:val="20"/>
              </w:rPr>
            </w:pPr>
          </w:p>
        </w:tc>
        <w:tc>
          <w:tcPr>
            <w:tcW w:w="1677" w:type="dxa"/>
          </w:tcPr>
          <w:p>
            <w:pPr>
              <w:pStyle w:val="TableParagraph"/>
              <w:spacing w:line="273" w:lineRule="auto" w:before="57"/>
              <w:ind w:left="213" w:right="198"/>
              <w:rPr>
                <w:sz w:val="21"/>
              </w:rPr>
            </w:pPr>
            <w:r>
              <w:rPr>
                <w:sz w:val="21"/>
              </w:rPr>
              <w:t>身故保险金申请</w:t>
            </w:r>
          </w:p>
        </w:tc>
        <w:tc>
          <w:tcPr>
            <w:tcW w:w="7223" w:type="dxa"/>
          </w:tcPr>
          <w:p>
            <w:pPr>
              <w:pStyle w:val="TableParagraph"/>
              <w:spacing w:before="57"/>
              <w:ind w:left="89"/>
              <w:rPr>
                <w:sz w:val="21"/>
              </w:rPr>
            </w:pPr>
            <w:r>
              <w:rPr>
                <w:sz w:val="21"/>
              </w:rPr>
              <w:t>受益人须填写保险金给付申请书，并提供下列证明和资料：</w:t>
            </w:r>
          </w:p>
          <w:p>
            <w:pPr>
              <w:pStyle w:val="TableParagraph"/>
              <w:spacing w:before="36"/>
              <w:ind w:left="89"/>
              <w:rPr>
                <w:sz w:val="21"/>
              </w:rPr>
            </w:pPr>
            <w:r>
              <w:rPr>
                <w:sz w:val="21"/>
              </w:rPr>
              <w:t>(1)保险合同；</w:t>
            </w:r>
          </w:p>
          <w:p>
            <w:pPr>
              <w:pStyle w:val="TableParagraph"/>
              <w:spacing w:before="36"/>
              <w:ind w:left="89"/>
              <w:rPr>
                <w:sz w:val="21"/>
              </w:rPr>
            </w:pPr>
            <w:r>
              <w:rPr>
                <w:sz w:val="21"/>
              </w:rPr>
              <w:t>(2)受益人的有效身份证件；</w:t>
            </w:r>
          </w:p>
          <w:p>
            <w:pPr>
              <w:pStyle w:val="TableParagraph"/>
              <w:spacing w:line="273" w:lineRule="auto" w:before="36"/>
              <w:ind w:left="89" w:right="204"/>
              <w:rPr>
                <w:sz w:val="21"/>
              </w:rPr>
            </w:pPr>
            <w:r>
              <w:rPr>
                <w:sz w:val="21"/>
              </w:rPr>
              <w:t>(3)卫生行政部门认定的医疗机构、公安部门或其他相关机构出具的被保险人的死亡证明；</w:t>
            </w:r>
          </w:p>
          <w:p>
            <w:pPr>
              <w:pStyle w:val="TableParagraph"/>
              <w:spacing w:before="7"/>
              <w:ind w:left="89"/>
              <w:rPr>
                <w:sz w:val="21"/>
              </w:rPr>
            </w:pPr>
            <w:r>
              <w:rPr>
                <w:sz w:val="21"/>
              </w:rPr>
              <w:t>(4)所能提供的与确认保险事故的性质、原因等有关的其他证明和资料。</w:t>
            </w:r>
          </w:p>
          <w:p>
            <w:pPr>
              <w:pStyle w:val="TableParagraph"/>
              <w:spacing w:line="255" w:lineRule="exact" w:before="116"/>
              <w:ind w:left="89"/>
              <w:rPr>
                <w:sz w:val="21"/>
              </w:rPr>
            </w:pPr>
            <w:r>
              <w:rPr>
                <w:sz w:val="21"/>
              </w:rPr>
              <w:t>保险金作为被保险人遗产时，必须提供可证明合法继承权的相关权利文件。</w:t>
            </w:r>
          </w:p>
        </w:tc>
      </w:tr>
    </w:tbl>
    <w:p>
      <w:pPr>
        <w:spacing w:after="0" w:line="255" w:lineRule="exact"/>
        <w:rPr>
          <w:sz w:val="21"/>
        </w:rPr>
        <w:sectPr>
          <w:pgSz w:w="11910" w:h="16840"/>
          <w:pgMar w:top="1580" w:bottom="280" w:left="980" w:right="9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677"/>
        <w:gridCol w:w="7318"/>
      </w:tblGrid>
      <w:tr>
        <w:trPr>
          <w:trHeight w:val="2204" w:hRule="atLeast"/>
        </w:trPr>
        <w:tc>
          <w:tcPr>
            <w:tcW w:w="838" w:type="dxa"/>
          </w:tcPr>
          <w:p>
            <w:pPr>
              <w:pStyle w:val="TableParagraph"/>
              <w:ind w:left="0"/>
              <w:rPr>
                <w:rFonts w:ascii="Times New Roman"/>
                <w:sz w:val="20"/>
              </w:rPr>
            </w:pPr>
          </w:p>
        </w:tc>
        <w:tc>
          <w:tcPr>
            <w:tcW w:w="1677" w:type="dxa"/>
          </w:tcPr>
          <w:p>
            <w:pPr>
              <w:pStyle w:val="TableParagraph"/>
              <w:spacing w:line="211" w:lineRule="exact"/>
              <w:ind w:left="213"/>
              <w:rPr>
                <w:sz w:val="21"/>
              </w:rPr>
            </w:pPr>
            <w:r>
              <w:rPr>
                <w:sz w:val="21"/>
              </w:rPr>
              <w:t>全残保险金申</w:t>
            </w:r>
          </w:p>
          <w:p>
            <w:pPr>
              <w:pStyle w:val="TableParagraph"/>
              <w:spacing w:before="37"/>
              <w:ind w:left="213"/>
              <w:rPr>
                <w:sz w:val="21"/>
              </w:rPr>
            </w:pPr>
            <w:r>
              <w:rPr>
                <w:w w:val="100"/>
                <w:sz w:val="21"/>
              </w:rPr>
              <w:t>请</w:t>
            </w:r>
          </w:p>
        </w:tc>
        <w:tc>
          <w:tcPr>
            <w:tcW w:w="7318" w:type="dxa"/>
          </w:tcPr>
          <w:p>
            <w:pPr>
              <w:pStyle w:val="TableParagraph"/>
              <w:spacing w:line="211" w:lineRule="exact"/>
              <w:ind w:left="89"/>
              <w:rPr>
                <w:sz w:val="21"/>
              </w:rPr>
            </w:pPr>
            <w:r>
              <w:rPr>
                <w:sz w:val="21"/>
              </w:rPr>
              <w:t>受益人须填写保险金给付申请书，并提供下列证明和资料：</w:t>
            </w:r>
          </w:p>
          <w:p>
            <w:pPr>
              <w:pStyle w:val="TableParagraph"/>
              <w:spacing w:before="37"/>
              <w:ind w:left="89"/>
              <w:rPr>
                <w:sz w:val="21"/>
              </w:rPr>
            </w:pPr>
            <w:r>
              <w:rPr>
                <w:sz w:val="21"/>
              </w:rPr>
              <w:t>(1)保险合同；</w:t>
            </w:r>
          </w:p>
          <w:p>
            <w:pPr>
              <w:pStyle w:val="TableParagraph"/>
              <w:spacing w:before="37"/>
              <w:ind w:left="89"/>
              <w:rPr>
                <w:sz w:val="21"/>
              </w:rPr>
            </w:pPr>
            <w:r>
              <w:rPr>
                <w:sz w:val="21"/>
              </w:rPr>
              <w:t>(2)受益人的有效身份证件；</w:t>
            </w:r>
          </w:p>
          <w:p>
            <w:pPr>
              <w:pStyle w:val="TableParagraph"/>
              <w:spacing w:line="273" w:lineRule="auto" w:before="37"/>
              <w:ind w:left="89" w:right="299"/>
              <w:rPr>
                <w:sz w:val="21"/>
              </w:rPr>
            </w:pPr>
            <w:r>
              <w:rPr>
                <w:sz w:val="21"/>
              </w:rPr>
              <w:t>(3)双方认可的二级及以上公立医院（或有资质的司法鉴定机构）出具的被保险人伤残鉴定证明文件；</w:t>
            </w:r>
          </w:p>
          <w:p>
            <w:pPr>
              <w:pStyle w:val="TableParagraph"/>
              <w:spacing w:line="273" w:lineRule="auto" w:before="7"/>
              <w:ind w:left="89" w:right="299"/>
              <w:rPr>
                <w:sz w:val="21"/>
              </w:rPr>
            </w:pPr>
            <w:r>
              <w:rPr>
                <w:sz w:val="21"/>
              </w:rPr>
              <w:t>(4)所能提供的与确认保险事故的性质、原因、伤害程度等有关的其他证明和资料。</w:t>
            </w:r>
          </w:p>
        </w:tc>
      </w:tr>
      <w:tr>
        <w:trPr>
          <w:trHeight w:val="765" w:hRule="atLeast"/>
        </w:trPr>
        <w:tc>
          <w:tcPr>
            <w:tcW w:w="838" w:type="dxa"/>
          </w:tcPr>
          <w:p>
            <w:pPr>
              <w:pStyle w:val="TableParagraph"/>
              <w:ind w:left="0"/>
              <w:rPr>
                <w:rFonts w:ascii="Times New Roman"/>
                <w:sz w:val="20"/>
              </w:rPr>
            </w:pPr>
          </w:p>
        </w:tc>
        <w:tc>
          <w:tcPr>
            <w:tcW w:w="1677" w:type="dxa"/>
          </w:tcPr>
          <w:p>
            <w:pPr>
              <w:pStyle w:val="TableParagraph"/>
              <w:ind w:left="0"/>
              <w:rPr>
                <w:rFonts w:ascii="Times New Roman"/>
                <w:sz w:val="20"/>
              </w:rPr>
            </w:pPr>
          </w:p>
        </w:tc>
        <w:tc>
          <w:tcPr>
            <w:tcW w:w="7318" w:type="dxa"/>
          </w:tcPr>
          <w:p>
            <w:pPr>
              <w:pStyle w:val="TableParagraph"/>
              <w:spacing w:line="273" w:lineRule="auto" w:before="57"/>
              <w:ind w:left="142" w:right="298"/>
              <w:rPr>
                <w:sz w:val="21"/>
              </w:rPr>
            </w:pPr>
            <w:r>
              <w:rPr>
                <w:spacing w:val="-8"/>
                <w:sz w:val="21"/>
              </w:rPr>
              <w:t>以上各项证明和资料不完整的，我们将及时一次性通知受益人补充提供有关</w:t>
            </w:r>
            <w:r>
              <w:rPr>
                <w:spacing w:val="-5"/>
                <w:sz w:val="21"/>
              </w:rPr>
              <w:t>证明和资料。</w:t>
            </w:r>
          </w:p>
        </w:tc>
      </w:tr>
      <w:tr>
        <w:trPr>
          <w:trHeight w:val="3652" w:hRule="atLeast"/>
        </w:trPr>
        <w:tc>
          <w:tcPr>
            <w:tcW w:w="838" w:type="dxa"/>
          </w:tcPr>
          <w:p>
            <w:pPr>
              <w:pStyle w:val="TableParagraph"/>
              <w:ind w:left="0"/>
              <w:rPr>
                <w:rFonts w:ascii="Times New Roman"/>
                <w:sz w:val="20"/>
              </w:rPr>
            </w:pPr>
          </w:p>
        </w:tc>
        <w:tc>
          <w:tcPr>
            <w:tcW w:w="1677" w:type="dxa"/>
          </w:tcPr>
          <w:p>
            <w:pPr>
              <w:pStyle w:val="TableParagraph"/>
              <w:spacing w:line="273" w:lineRule="auto" w:before="57"/>
              <w:ind w:left="213" w:right="124"/>
              <w:rPr>
                <w:sz w:val="21"/>
              </w:rPr>
            </w:pPr>
            <w:r>
              <w:rPr>
                <w:sz w:val="21"/>
              </w:rPr>
              <w:t>长期护理保险金申请</w:t>
            </w:r>
          </w:p>
        </w:tc>
        <w:tc>
          <w:tcPr>
            <w:tcW w:w="7318" w:type="dxa"/>
          </w:tcPr>
          <w:p>
            <w:pPr>
              <w:pStyle w:val="TableParagraph"/>
              <w:spacing w:before="57"/>
              <w:ind w:left="89"/>
              <w:rPr>
                <w:sz w:val="21"/>
              </w:rPr>
            </w:pPr>
            <w:r>
              <w:rPr>
                <w:sz w:val="21"/>
              </w:rPr>
              <w:t>受益人须填写保险金给付申请书，并提供下列证明和资料：</w:t>
            </w:r>
          </w:p>
          <w:p>
            <w:pPr>
              <w:pStyle w:val="TableParagraph"/>
              <w:spacing w:before="36"/>
              <w:ind w:left="89"/>
              <w:rPr>
                <w:sz w:val="21"/>
              </w:rPr>
            </w:pPr>
            <w:r>
              <w:rPr>
                <w:sz w:val="21"/>
              </w:rPr>
              <w:t>(1)保险合同；</w:t>
            </w:r>
          </w:p>
          <w:p>
            <w:pPr>
              <w:pStyle w:val="TableParagraph"/>
              <w:spacing w:before="36"/>
              <w:ind w:left="89"/>
              <w:rPr>
                <w:sz w:val="21"/>
              </w:rPr>
            </w:pPr>
            <w:r>
              <w:rPr>
                <w:sz w:val="21"/>
              </w:rPr>
              <w:t>(2)受益人的有效身份证件；</w:t>
            </w:r>
          </w:p>
          <w:p>
            <w:pPr>
              <w:pStyle w:val="TableParagraph"/>
              <w:spacing w:line="273" w:lineRule="auto" w:before="36"/>
              <w:ind w:left="89" w:right="299"/>
              <w:jc w:val="both"/>
              <w:rPr>
                <w:sz w:val="21"/>
              </w:rPr>
            </w:pPr>
            <w:r>
              <w:rPr>
                <w:sz w:val="21"/>
              </w:rPr>
              <w:t>(3)双方认可的二级及以上公立医院（或有资质的司法鉴定机构）出具的被</w:t>
            </w:r>
            <w:r>
              <w:rPr>
                <w:spacing w:val="-4"/>
                <w:sz w:val="21"/>
              </w:rPr>
              <w:t>保险人达到本合同约定的自主生活能力完全丧失的鉴定书；如有必要，我们</w:t>
            </w:r>
            <w:r>
              <w:rPr>
                <w:spacing w:val="-3"/>
                <w:sz w:val="21"/>
              </w:rPr>
              <w:t>有权对被保险人进行复检，复检费用由我们承担；</w:t>
            </w:r>
          </w:p>
          <w:p>
            <w:pPr>
              <w:pStyle w:val="TableParagraph"/>
              <w:spacing w:before="7"/>
              <w:ind w:left="90"/>
              <w:rPr>
                <w:sz w:val="21"/>
              </w:rPr>
            </w:pPr>
            <w:r>
              <w:rPr>
                <w:sz w:val="21"/>
              </w:rPr>
              <w:t>(4)所能提供的与确认保险事故的性质、原因等有关的其他证明和资料。</w:t>
            </w:r>
          </w:p>
          <w:p>
            <w:pPr>
              <w:pStyle w:val="TableParagraph"/>
              <w:spacing w:line="273" w:lineRule="auto" w:before="116"/>
              <w:ind w:left="90" w:right="294"/>
              <w:jc w:val="both"/>
              <w:rPr>
                <w:sz w:val="21"/>
              </w:rPr>
            </w:pPr>
            <w:r>
              <w:rPr>
                <w:spacing w:val="-5"/>
                <w:sz w:val="21"/>
              </w:rPr>
              <w:t>若被保险人在领取长期护理保险金期间身故、全残或患重大疾病，申请一次</w:t>
            </w:r>
            <w:r>
              <w:rPr>
                <w:spacing w:val="2"/>
                <w:sz w:val="21"/>
              </w:rPr>
              <w:t>性领取未给付的长期护理保险金,申请人须填写保险金给付申请书,并提供</w:t>
            </w:r>
            <w:r>
              <w:rPr>
                <w:spacing w:val="-17"/>
                <w:sz w:val="21"/>
              </w:rPr>
              <w:t>与申请“身故保险金”、“全残保险金”或“重大疾病保险金”相同的证明和材料。</w:t>
            </w:r>
          </w:p>
        </w:tc>
      </w:tr>
      <w:tr>
        <w:trPr>
          <w:trHeight w:val="4119" w:hRule="atLeast"/>
        </w:trPr>
        <w:tc>
          <w:tcPr>
            <w:tcW w:w="838" w:type="dxa"/>
          </w:tcPr>
          <w:p>
            <w:pPr>
              <w:pStyle w:val="TableParagraph"/>
              <w:spacing w:before="57"/>
              <w:ind w:left="200"/>
              <w:rPr>
                <w:b/>
                <w:sz w:val="21"/>
              </w:rPr>
            </w:pPr>
            <w:r>
              <w:rPr>
                <w:b/>
                <w:sz w:val="21"/>
              </w:rPr>
              <w:t>3.4</w:t>
            </w:r>
          </w:p>
        </w:tc>
        <w:tc>
          <w:tcPr>
            <w:tcW w:w="1677" w:type="dxa"/>
          </w:tcPr>
          <w:p>
            <w:pPr>
              <w:pStyle w:val="TableParagraph"/>
              <w:spacing w:before="57"/>
              <w:ind w:left="321"/>
              <w:rPr>
                <w:b/>
                <w:sz w:val="21"/>
              </w:rPr>
            </w:pPr>
            <w:r>
              <w:rPr>
                <w:b/>
                <w:sz w:val="21"/>
              </w:rPr>
              <w:t>保险金给付</w:t>
            </w:r>
          </w:p>
        </w:tc>
        <w:tc>
          <w:tcPr>
            <w:tcW w:w="7318" w:type="dxa"/>
          </w:tcPr>
          <w:p>
            <w:pPr>
              <w:pStyle w:val="TableParagraph"/>
              <w:spacing w:before="57"/>
              <w:ind w:left="142"/>
              <w:rPr>
                <w:sz w:val="21"/>
              </w:rPr>
            </w:pPr>
            <w:r>
              <w:rPr>
                <w:sz w:val="21"/>
              </w:rPr>
              <w:t>我们在收到保险金给付申请书及上述有关证明和资料后，将在 5 日内作出核</w:t>
            </w:r>
          </w:p>
          <w:p>
            <w:pPr>
              <w:pStyle w:val="TableParagraph"/>
              <w:spacing w:before="36"/>
              <w:ind w:left="142"/>
              <w:rPr>
                <w:sz w:val="21"/>
              </w:rPr>
            </w:pPr>
            <w:r>
              <w:rPr>
                <w:sz w:val="21"/>
              </w:rPr>
              <w:t>定；</w:t>
            </w:r>
            <w:r>
              <w:rPr>
                <w:b/>
                <w:sz w:val="21"/>
              </w:rPr>
              <w:t>情形复杂</w:t>
            </w:r>
            <w:r>
              <w:rPr>
                <w:sz w:val="21"/>
              </w:rPr>
              <w:t>（详见释义）的，在 30 日内作出核定。对属于给付保险金责</w:t>
            </w:r>
          </w:p>
          <w:p>
            <w:pPr>
              <w:pStyle w:val="TableParagraph"/>
              <w:spacing w:line="273" w:lineRule="auto" w:before="36"/>
              <w:ind w:left="142" w:right="299"/>
              <w:jc w:val="both"/>
              <w:rPr>
                <w:sz w:val="21"/>
              </w:rPr>
            </w:pPr>
            <w:r>
              <w:rPr>
                <w:spacing w:val="-4"/>
                <w:sz w:val="21"/>
              </w:rPr>
              <w:t>任的，我们在与受益人达成给付保险金的协议后 </w:t>
            </w:r>
            <w:r>
              <w:rPr>
                <w:sz w:val="21"/>
              </w:rPr>
              <w:t>10</w:t>
            </w:r>
            <w:r>
              <w:rPr>
                <w:spacing w:val="-5"/>
                <w:sz w:val="21"/>
              </w:rPr>
              <w:t> 日内，履行给付保险金义务。</w:t>
            </w:r>
          </w:p>
          <w:p>
            <w:pPr>
              <w:pStyle w:val="TableParagraph"/>
              <w:spacing w:line="273" w:lineRule="auto" w:before="84"/>
              <w:ind w:left="142" w:right="298"/>
              <w:jc w:val="both"/>
              <w:rPr>
                <w:sz w:val="21"/>
              </w:rPr>
            </w:pPr>
            <w:r>
              <w:rPr>
                <w:spacing w:val="-6"/>
                <w:sz w:val="21"/>
              </w:rPr>
              <w:t>我们未及时履行前款规定的给付保险金义务的，除支付保险金外，应当赔偿</w:t>
            </w:r>
            <w:r>
              <w:rPr>
                <w:spacing w:val="-8"/>
                <w:sz w:val="21"/>
              </w:rPr>
              <w:t>受益人因此受到的损失。前述“损失”是指根据中国人民银行公布的同期人</w:t>
            </w:r>
            <w:r>
              <w:rPr>
                <w:spacing w:val="-5"/>
                <w:sz w:val="21"/>
              </w:rPr>
              <w:t>民币活期存款基准利率计算的利息损失。</w:t>
            </w:r>
          </w:p>
          <w:p>
            <w:pPr>
              <w:pStyle w:val="TableParagraph"/>
              <w:spacing w:line="273" w:lineRule="auto" w:before="87"/>
              <w:ind w:left="142" w:right="299"/>
              <w:jc w:val="both"/>
              <w:rPr>
                <w:sz w:val="21"/>
              </w:rPr>
            </w:pPr>
            <w:r>
              <w:rPr>
                <w:spacing w:val="-11"/>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4"/>
              <w:ind w:left="142" w:right="298"/>
              <w:jc w:val="both"/>
              <w:rPr>
                <w:sz w:val="21"/>
              </w:rPr>
            </w:pPr>
            <w:r>
              <w:rPr>
                <w:spacing w:val="-4"/>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w:t>
            </w:r>
            <w:r>
              <w:rPr>
                <w:spacing w:val="-5"/>
                <w:sz w:val="21"/>
              </w:rPr>
              <w:t>们最终确定给付保险金的数额后，将支付相应的差额。</w:t>
            </w:r>
          </w:p>
        </w:tc>
      </w:tr>
      <w:tr>
        <w:trPr>
          <w:trHeight w:val="2091" w:hRule="atLeast"/>
        </w:trPr>
        <w:tc>
          <w:tcPr>
            <w:tcW w:w="838" w:type="dxa"/>
          </w:tcPr>
          <w:p>
            <w:pPr>
              <w:pStyle w:val="TableParagraph"/>
              <w:spacing w:before="58"/>
              <w:ind w:left="200"/>
              <w:rPr>
                <w:b/>
                <w:sz w:val="21"/>
              </w:rPr>
            </w:pPr>
            <w:r>
              <w:rPr>
                <w:b/>
                <w:sz w:val="21"/>
              </w:rPr>
              <w:t>3.5</w:t>
            </w:r>
          </w:p>
        </w:tc>
        <w:tc>
          <w:tcPr>
            <w:tcW w:w="1677" w:type="dxa"/>
          </w:tcPr>
          <w:p>
            <w:pPr>
              <w:pStyle w:val="TableParagraph"/>
              <w:spacing w:before="58"/>
              <w:ind w:left="321"/>
              <w:rPr>
                <w:b/>
                <w:sz w:val="21"/>
              </w:rPr>
            </w:pPr>
            <w:r>
              <w:rPr>
                <w:b/>
                <w:sz w:val="21"/>
              </w:rPr>
              <w:t>宣告死亡处理</w:t>
            </w:r>
          </w:p>
        </w:tc>
        <w:tc>
          <w:tcPr>
            <w:tcW w:w="7318" w:type="dxa"/>
          </w:tcPr>
          <w:p>
            <w:pPr>
              <w:pStyle w:val="TableParagraph"/>
              <w:spacing w:line="273" w:lineRule="auto" w:before="58"/>
              <w:ind w:left="142" w:right="298"/>
              <w:jc w:val="both"/>
              <w:rPr>
                <w:sz w:val="21"/>
              </w:rPr>
            </w:pPr>
            <w:r>
              <w:rPr>
                <w:spacing w:val="-7"/>
                <w:sz w:val="21"/>
              </w:rPr>
              <w:t>如果被保险人在本合同有效期内失踪，而且被法院宣告死亡，我们以法院判</w:t>
            </w:r>
            <w:r>
              <w:rPr>
                <w:spacing w:val="-9"/>
                <w:sz w:val="21"/>
              </w:rPr>
              <w:t>决宣告死亡之日作为被保险人的死亡时间，符合本合同约定的以死亡为保险</w:t>
            </w:r>
            <w:r>
              <w:rPr>
                <w:spacing w:val="-5"/>
                <w:sz w:val="21"/>
              </w:rPr>
              <w:t>金给付条件的，按本合同的约定给付保险金，本合同终止。</w:t>
            </w:r>
          </w:p>
          <w:p>
            <w:pPr>
              <w:pStyle w:val="TableParagraph"/>
              <w:spacing w:line="273" w:lineRule="auto" w:before="84"/>
              <w:ind w:left="142" w:right="298" w:hanging="1"/>
              <w:jc w:val="both"/>
              <w:rPr>
                <w:sz w:val="21"/>
              </w:rPr>
            </w:pPr>
            <w:r>
              <w:rPr>
                <w:spacing w:val="-6"/>
                <w:sz w:val="21"/>
              </w:rPr>
              <w:t>如果被保险人在宣告死亡后重新出现或者确知其没有死亡，受益人应于知道或应当知道后 </w:t>
            </w:r>
            <w:r>
              <w:rPr>
                <w:sz w:val="21"/>
              </w:rPr>
              <w:t>30</w:t>
            </w:r>
            <w:r>
              <w:rPr>
                <w:spacing w:val="-5"/>
                <w:sz w:val="21"/>
              </w:rPr>
              <w:t> 日内向我们退还已给付的保险金，本合同的效力由双方依</w:t>
            </w:r>
            <w:r>
              <w:rPr>
                <w:spacing w:val="-4"/>
                <w:sz w:val="21"/>
              </w:rPr>
              <w:t>法确定。</w:t>
            </w:r>
          </w:p>
        </w:tc>
      </w:tr>
      <w:tr>
        <w:trPr>
          <w:trHeight w:val="644" w:hRule="atLeast"/>
        </w:trPr>
        <w:tc>
          <w:tcPr>
            <w:tcW w:w="838" w:type="dxa"/>
          </w:tcPr>
          <w:p>
            <w:pPr>
              <w:pStyle w:val="TableParagraph"/>
              <w:spacing w:before="57"/>
              <w:ind w:left="200"/>
              <w:rPr>
                <w:b/>
                <w:sz w:val="21"/>
              </w:rPr>
            </w:pPr>
            <w:r>
              <w:rPr>
                <w:b/>
                <w:sz w:val="21"/>
              </w:rPr>
              <w:t>3.6</w:t>
            </w:r>
          </w:p>
        </w:tc>
        <w:tc>
          <w:tcPr>
            <w:tcW w:w="1677" w:type="dxa"/>
          </w:tcPr>
          <w:p>
            <w:pPr>
              <w:pStyle w:val="TableParagraph"/>
              <w:spacing w:before="57"/>
              <w:ind w:left="321"/>
              <w:rPr>
                <w:b/>
                <w:sz w:val="21"/>
              </w:rPr>
            </w:pPr>
            <w:r>
              <w:rPr>
                <w:b/>
                <w:sz w:val="21"/>
              </w:rPr>
              <w:t>诉讼时效</w:t>
            </w:r>
          </w:p>
        </w:tc>
        <w:tc>
          <w:tcPr>
            <w:tcW w:w="7318" w:type="dxa"/>
          </w:tcPr>
          <w:p>
            <w:pPr>
              <w:pStyle w:val="TableParagraph"/>
              <w:spacing w:line="310" w:lineRule="atLeast" w:before="22"/>
              <w:ind w:left="142" w:right="196"/>
              <w:rPr>
                <w:sz w:val="21"/>
              </w:rPr>
            </w:pPr>
            <w:r>
              <w:rPr>
                <w:spacing w:val="-12"/>
                <w:sz w:val="21"/>
              </w:rPr>
              <w:t>受益人向我们请求给付重大疾病保险金、轻症疾病保险金、特定癌症保险金、</w:t>
            </w:r>
            <w:r>
              <w:rPr>
                <w:spacing w:val="-8"/>
                <w:sz w:val="21"/>
              </w:rPr>
              <w:t>长期护理保险金的诉讼时效期间为 </w:t>
            </w:r>
            <w:r>
              <w:rPr>
                <w:sz w:val="21"/>
              </w:rPr>
              <w:t>2</w:t>
            </w:r>
            <w:r>
              <w:rPr>
                <w:spacing w:val="-12"/>
                <w:sz w:val="21"/>
              </w:rPr>
              <w:t> 年，自其知道或者应当知道保险事故发</w:t>
            </w:r>
          </w:p>
        </w:tc>
      </w:tr>
    </w:tbl>
    <w:p>
      <w:pPr>
        <w:spacing w:after="0" w:line="310" w:lineRule="atLeast"/>
        <w:rPr>
          <w:sz w:val="21"/>
        </w:rPr>
        <w:sectPr>
          <w:pgSz w:w="11910" w:h="16840"/>
          <w:pgMar w:top="158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31"/>
        <w:gridCol w:w="7118"/>
      </w:tblGrid>
      <w:tr>
        <w:trPr>
          <w:trHeight w:val="1103" w:hRule="atLeast"/>
        </w:trPr>
        <w:tc>
          <w:tcPr>
            <w:tcW w:w="692"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118" w:type="dxa"/>
          </w:tcPr>
          <w:p>
            <w:pPr>
              <w:pStyle w:val="TableParagraph"/>
              <w:spacing w:line="202" w:lineRule="exact"/>
              <w:ind w:left="142"/>
              <w:rPr>
                <w:sz w:val="21"/>
              </w:rPr>
            </w:pPr>
            <w:r>
              <w:rPr>
                <w:sz w:val="21"/>
              </w:rPr>
              <w:t>生之日起计算。</w:t>
            </w:r>
          </w:p>
          <w:p>
            <w:pPr>
              <w:pStyle w:val="TableParagraph"/>
              <w:spacing w:line="273" w:lineRule="auto" w:before="114"/>
              <w:ind w:left="142" w:right="130"/>
              <w:rPr>
                <w:sz w:val="21"/>
              </w:rPr>
            </w:pPr>
            <w:r>
              <w:rPr>
                <w:spacing w:val="-7"/>
                <w:sz w:val="21"/>
              </w:rPr>
              <w:t>受益人向我们请求给付身故保险金、全残保险金的诉讼时效期间为 </w:t>
            </w:r>
            <w:r>
              <w:rPr>
                <w:sz w:val="21"/>
              </w:rPr>
              <w:t>5</w:t>
            </w:r>
            <w:r>
              <w:rPr>
                <w:spacing w:val="-26"/>
                <w:sz w:val="21"/>
              </w:rPr>
              <w:t> 年，自</w:t>
            </w:r>
            <w:r>
              <w:rPr>
                <w:spacing w:val="-3"/>
                <w:sz w:val="21"/>
              </w:rPr>
              <w:t>其知道或者应当知道保险事故发生之日起计算。</w:t>
            </w:r>
          </w:p>
        </w:tc>
      </w:tr>
      <w:tr>
        <w:trPr>
          <w:trHeight w:val="311" w:hRule="atLeast"/>
        </w:trPr>
        <w:tc>
          <w:tcPr>
            <w:tcW w:w="692" w:type="dxa"/>
            <w:shd w:val="clear" w:color="auto" w:fill="A7A8A7"/>
          </w:tcPr>
          <w:p>
            <w:pPr>
              <w:pStyle w:val="TableParagraph"/>
              <w:spacing w:line="254" w:lineRule="exact"/>
              <w:ind w:left="108"/>
              <w:rPr>
                <w:b/>
                <w:sz w:val="21"/>
              </w:rPr>
            </w:pPr>
            <w:r>
              <w:rPr>
                <w:b/>
                <w:sz w:val="21"/>
              </w:rPr>
              <w:t>4．</w:t>
            </w:r>
          </w:p>
        </w:tc>
        <w:tc>
          <w:tcPr>
            <w:tcW w:w="1731" w:type="dxa"/>
            <w:shd w:val="clear" w:color="auto" w:fill="A7A8A7"/>
          </w:tcPr>
          <w:p>
            <w:pPr>
              <w:pStyle w:val="TableParagraph"/>
              <w:spacing w:line="254" w:lineRule="exact"/>
              <w:ind w:left="376"/>
              <w:rPr>
                <w:b/>
                <w:sz w:val="21"/>
              </w:rPr>
            </w:pPr>
            <w:r>
              <w:rPr>
                <w:b/>
                <w:sz w:val="21"/>
              </w:rPr>
              <w:t>保险费的支付</w:t>
            </w:r>
          </w:p>
        </w:tc>
        <w:tc>
          <w:tcPr>
            <w:tcW w:w="7118" w:type="dxa"/>
            <w:shd w:val="clear" w:color="auto" w:fill="A7A8A7"/>
          </w:tcPr>
          <w:p>
            <w:pPr>
              <w:pStyle w:val="TableParagraph"/>
              <w:ind w:left="0"/>
              <w:rPr>
                <w:rFonts w:ascii="Times New Roman"/>
                <w:sz w:val="20"/>
              </w:rPr>
            </w:pPr>
          </w:p>
        </w:tc>
      </w:tr>
      <w:tr>
        <w:trPr>
          <w:trHeight w:val="1242" w:hRule="atLeast"/>
        </w:trPr>
        <w:tc>
          <w:tcPr>
            <w:tcW w:w="692" w:type="dxa"/>
          </w:tcPr>
          <w:p>
            <w:pPr>
              <w:pStyle w:val="TableParagraph"/>
              <w:spacing w:before="123"/>
              <w:ind w:left="108"/>
              <w:rPr>
                <w:b/>
                <w:sz w:val="21"/>
              </w:rPr>
            </w:pPr>
            <w:r>
              <w:rPr>
                <w:b/>
                <w:sz w:val="21"/>
              </w:rPr>
              <w:t>4.1</w:t>
            </w:r>
          </w:p>
        </w:tc>
        <w:tc>
          <w:tcPr>
            <w:tcW w:w="1731" w:type="dxa"/>
          </w:tcPr>
          <w:p>
            <w:pPr>
              <w:pStyle w:val="TableParagraph"/>
              <w:spacing w:before="123"/>
              <w:ind w:left="376"/>
              <w:rPr>
                <w:b/>
                <w:sz w:val="21"/>
              </w:rPr>
            </w:pPr>
            <w:r>
              <w:rPr>
                <w:b/>
                <w:sz w:val="21"/>
              </w:rPr>
              <w:t>保险费的支付</w:t>
            </w:r>
          </w:p>
        </w:tc>
        <w:tc>
          <w:tcPr>
            <w:tcW w:w="7118" w:type="dxa"/>
          </w:tcPr>
          <w:p>
            <w:pPr>
              <w:pStyle w:val="TableParagraph"/>
              <w:spacing w:before="123"/>
              <w:ind w:left="142"/>
              <w:rPr>
                <w:sz w:val="21"/>
              </w:rPr>
            </w:pPr>
            <w:r>
              <w:rPr>
                <w:sz w:val="21"/>
              </w:rPr>
              <w:t>交费方式和交费期间由您在投保时与我们约定并在保险单上载明。</w:t>
            </w:r>
          </w:p>
          <w:p>
            <w:pPr>
              <w:pStyle w:val="TableParagraph"/>
              <w:spacing w:line="273" w:lineRule="auto" w:before="114"/>
              <w:ind w:left="142" w:right="98"/>
              <w:rPr>
                <w:sz w:val="21"/>
              </w:rPr>
            </w:pPr>
            <w:r>
              <w:rPr>
                <w:spacing w:val="-8"/>
                <w:sz w:val="21"/>
              </w:rPr>
              <w:t>在支付首期保险费后，您应当按照约定，在每个保险费约定支付日支付其余</w:t>
            </w:r>
            <w:r>
              <w:rPr>
                <w:spacing w:val="-5"/>
                <w:sz w:val="21"/>
              </w:rPr>
              <w:t>各期的保险费。</w:t>
            </w:r>
          </w:p>
        </w:tc>
      </w:tr>
      <w:tr>
        <w:trPr>
          <w:trHeight w:val="1980" w:hRule="atLeast"/>
        </w:trPr>
        <w:tc>
          <w:tcPr>
            <w:tcW w:w="692" w:type="dxa"/>
          </w:tcPr>
          <w:p>
            <w:pPr>
              <w:pStyle w:val="TableParagraph"/>
              <w:spacing w:before="60"/>
              <w:ind w:left="108"/>
              <w:rPr>
                <w:b/>
                <w:sz w:val="21"/>
              </w:rPr>
            </w:pPr>
            <w:r>
              <w:rPr>
                <w:b/>
                <w:sz w:val="21"/>
              </w:rPr>
              <w:t>4.2</w:t>
            </w:r>
          </w:p>
        </w:tc>
        <w:tc>
          <w:tcPr>
            <w:tcW w:w="1731" w:type="dxa"/>
          </w:tcPr>
          <w:p>
            <w:pPr>
              <w:pStyle w:val="TableParagraph"/>
              <w:spacing w:before="60"/>
              <w:ind w:left="376"/>
              <w:rPr>
                <w:b/>
                <w:sz w:val="21"/>
              </w:rPr>
            </w:pPr>
            <w:r>
              <w:rPr>
                <w:b/>
                <w:sz w:val="21"/>
              </w:rPr>
              <w:t>宽限期</w:t>
            </w:r>
          </w:p>
        </w:tc>
        <w:tc>
          <w:tcPr>
            <w:tcW w:w="7118" w:type="dxa"/>
          </w:tcPr>
          <w:p>
            <w:pPr>
              <w:pStyle w:val="TableParagraph"/>
              <w:spacing w:line="278" w:lineRule="auto" w:before="84"/>
              <w:ind w:left="142"/>
              <w:rPr>
                <w:sz w:val="21"/>
              </w:rPr>
            </w:pPr>
            <w:r>
              <w:rPr>
                <w:spacing w:val="-7"/>
                <w:sz w:val="21"/>
              </w:rPr>
              <w:t>在支付首期保险费后，除本合同另有约定外，如果您到期未支付保险费，自保险费约定支付日的次日零时起 </w:t>
            </w:r>
            <w:r>
              <w:rPr>
                <w:sz w:val="21"/>
              </w:rPr>
              <w:t>60</w:t>
            </w:r>
            <w:r>
              <w:rPr>
                <w:spacing w:val="-12"/>
                <w:sz w:val="21"/>
              </w:rPr>
              <w:t> 日为宽限期。宽限期内发生的保险事故， </w:t>
            </w:r>
            <w:r>
              <w:rPr>
                <w:spacing w:val="-3"/>
                <w:sz w:val="21"/>
              </w:rPr>
              <w:t>我们仍会承担保险责任，但在给付保险金时会扣减您欠交的保险费。</w:t>
            </w:r>
          </w:p>
          <w:p>
            <w:pPr>
              <w:pStyle w:val="TableParagraph"/>
              <w:spacing w:line="278" w:lineRule="auto" w:before="91"/>
              <w:ind w:left="142" w:right="98"/>
              <w:rPr>
                <w:sz w:val="21"/>
              </w:rPr>
            </w:pPr>
            <w:r>
              <w:rPr>
                <w:spacing w:val="-7"/>
                <w:sz w:val="21"/>
              </w:rPr>
              <w:t>如果您宽限期结束之后仍未支付保险费，则本合同自宽限期满的次日零时起</w:t>
            </w:r>
            <w:r>
              <w:rPr>
                <w:spacing w:val="-4"/>
                <w:sz w:val="21"/>
              </w:rPr>
              <w:t>效力中止。</w:t>
            </w:r>
          </w:p>
        </w:tc>
      </w:tr>
      <w:tr>
        <w:trPr>
          <w:trHeight w:val="311" w:hRule="atLeast"/>
        </w:trPr>
        <w:tc>
          <w:tcPr>
            <w:tcW w:w="692" w:type="dxa"/>
            <w:shd w:val="clear" w:color="auto" w:fill="A7A8A7"/>
          </w:tcPr>
          <w:p>
            <w:pPr>
              <w:pStyle w:val="TableParagraph"/>
              <w:spacing w:line="254" w:lineRule="exact"/>
              <w:ind w:left="108"/>
              <w:rPr>
                <w:b/>
                <w:sz w:val="21"/>
              </w:rPr>
            </w:pPr>
            <w:r>
              <w:rPr>
                <w:b/>
                <w:sz w:val="21"/>
              </w:rPr>
              <w:t>5．</w:t>
            </w:r>
          </w:p>
        </w:tc>
        <w:tc>
          <w:tcPr>
            <w:tcW w:w="1731" w:type="dxa"/>
            <w:shd w:val="clear" w:color="auto" w:fill="A7A8A7"/>
          </w:tcPr>
          <w:p>
            <w:pPr>
              <w:pStyle w:val="TableParagraph"/>
              <w:spacing w:line="254" w:lineRule="exact"/>
              <w:ind w:left="376"/>
              <w:rPr>
                <w:b/>
                <w:sz w:val="21"/>
              </w:rPr>
            </w:pPr>
            <w:r>
              <w:rPr>
                <w:b/>
                <w:sz w:val="21"/>
              </w:rPr>
              <w:t>现金价值权益</w:t>
            </w:r>
          </w:p>
        </w:tc>
        <w:tc>
          <w:tcPr>
            <w:tcW w:w="7118" w:type="dxa"/>
            <w:shd w:val="clear" w:color="auto" w:fill="A7A8A7"/>
          </w:tcPr>
          <w:p>
            <w:pPr>
              <w:pStyle w:val="TableParagraph"/>
              <w:ind w:left="0"/>
              <w:rPr>
                <w:rFonts w:ascii="Times New Roman"/>
                <w:sz w:val="20"/>
              </w:rPr>
            </w:pPr>
          </w:p>
        </w:tc>
      </w:tr>
      <w:tr>
        <w:trPr>
          <w:trHeight w:val="1461" w:hRule="atLeast"/>
        </w:trPr>
        <w:tc>
          <w:tcPr>
            <w:tcW w:w="692" w:type="dxa"/>
          </w:tcPr>
          <w:p>
            <w:pPr>
              <w:pStyle w:val="TableParagraph"/>
              <w:spacing w:before="120"/>
              <w:ind w:left="108"/>
              <w:rPr>
                <w:b/>
                <w:sz w:val="21"/>
              </w:rPr>
            </w:pPr>
            <w:r>
              <w:rPr>
                <w:b/>
                <w:sz w:val="21"/>
              </w:rPr>
              <w:t>5.1</w:t>
            </w:r>
          </w:p>
        </w:tc>
        <w:tc>
          <w:tcPr>
            <w:tcW w:w="1731" w:type="dxa"/>
          </w:tcPr>
          <w:p>
            <w:pPr>
              <w:pStyle w:val="TableParagraph"/>
              <w:spacing w:before="120"/>
              <w:ind w:left="376"/>
              <w:rPr>
                <w:b/>
                <w:sz w:val="21"/>
              </w:rPr>
            </w:pPr>
            <w:r>
              <w:rPr>
                <w:b/>
                <w:sz w:val="21"/>
              </w:rPr>
              <w:t>现金价值</w:t>
            </w:r>
          </w:p>
        </w:tc>
        <w:tc>
          <w:tcPr>
            <w:tcW w:w="7118" w:type="dxa"/>
          </w:tcPr>
          <w:p>
            <w:pPr>
              <w:pStyle w:val="TableParagraph"/>
              <w:spacing w:line="273" w:lineRule="auto" w:before="120"/>
              <w:ind w:left="142" w:right="99"/>
              <w:jc w:val="both"/>
              <w:rPr>
                <w:sz w:val="21"/>
              </w:rPr>
            </w:pPr>
            <w:r>
              <w:rPr>
                <w:spacing w:val="-8"/>
                <w:sz w:val="21"/>
              </w:rPr>
              <w:t>指本合同保险单所具有的价值，通常体现为解除合同时，根据精算原理计算</w:t>
            </w:r>
            <w:r>
              <w:rPr>
                <w:spacing w:val="-9"/>
                <w:sz w:val="21"/>
              </w:rPr>
              <w:t>的，由我们退还的那部分金额。未发生理赔时，保单年度末的现金价值在保</w:t>
            </w:r>
            <w:r>
              <w:rPr>
                <w:spacing w:val="-10"/>
                <w:sz w:val="21"/>
              </w:rPr>
              <w:t>险单上载明，保单年度内的现金价值，您可以向我们咨询。我们给付首次重</w:t>
            </w:r>
            <w:r>
              <w:rPr>
                <w:spacing w:val="-5"/>
                <w:sz w:val="21"/>
              </w:rPr>
              <w:t>大疾病保险金后，本合同的现金价值降为零。</w:t>
            </w:r>
          </w:p>
        </w:tc>
      </w:tr>
      <w:tr>
        <w:trPr>
          <w:trHeight w:val="2715" w:hRule="atLeast"/>
        </w:trPr>
        <w:tc>
          <w:tcPr>
            <w:tcW w:w="692" w:type="dxa"/>
          </w:tcPr>
          <w:p>
            <w:pPr>
              <w:pStyle w:val="TableParagraph"/>
              <w:spacing w:before="49"/>
              <w:ind w:left="108"/>
              <w:rPr>
                <w:b/>
                <w:sz w:val="21"/>
              </w:rPr>
            </w:pPr>
            <w:r>
              <w:rPr>
                <w:b/>
                <w:sz w:val="21"/>
              </w:rPr>
              <w:t>5.2</w:t>
            </w:r>
          </w:p>
        </w:tc>
        <w:tc>
          <w:tcPr>
            <w:tcW w:w="1731" w:type="dxa"/>
          </w:tcPr>
          <w:p>
            <w:pPr>
              <w:pStyle w:val="TableParagraph"/>
              <w:spacing w:before="49"/>
              <w:ind w:left="376"/>
              <w:rPr>
                <w:b/>
                <w:sz w:val="21"/>
              </w:rPr>
            </w:pPr>
            <w:r>
              <w:rPr>
                <w:b/>
                <w:sz w:val="21"/>
              </w:rPr>
              <w:t>保单贷款</w:t>
            </w:r>
          </w:p>
        </w:tc>
        <w:tc>
          <w:tcPr>
            <w:tcW w:w="7118" w:type="dxa"/>
          </w:tcPr>
          <w:p>
            <w:pPr>
              <w:pStyle w:val="TableParagraph"/>
              <w:spacing w:line="273" w:lineRule="auto" w:before="49"/>
              <w:ind w:left="142" w:right="98"/>
              <w:jc w:val="both"/>
              <w:rPr>
                <w:sz w:val="21"/>
              </w:rPr>
            </w:pPr>
            <w:r>
              <w:rPr>
                <w:spacing w:val="-8"/>
                <w:sz w:val="21"/>
              </w:rPr>
              <w:t>在本合同有效期内，您可以申请并经我们审核同意后办理保单贷款。对于以</w:t>
            </w:r>
            <w:r>
              <w:rPr>
                <w:spacing w:val="-9"/>
                <w:sz w:val="21"/>
              </w:rPr>
              <w:t>身故为保险金给付条件的保单，您申请保单贷款必须取得被保险人的书面同</w:t>
            </w:r>
            <w:r>
              <w:rPr>
                <w:spacing w:val="6"/>
                <w:sz w:val="21"/>
              </w:rPr>
              <w:t>意。贷款金额不得超过本合同保险单的现金价值扣除各项欠款后余额的</w:t>
            </w:r>
          </w:p>
          <w:p>
            <w:pPr>
              <w:pStyle w:val="TableParagraph"/>
              <w:spacing w:line="273" w:lineRule="auto" w:before="8"/>
              <w:ind w:left="142" w:right="98" w:hanging="1"/>
              <w:jc w:val="both"/>
              <w:rPr>
                <w:sz w:val="21"/>
              </w:rPr>
            </w:pPr>
            <w:r>
              <w:rPr>
                <w:spacing w:val="-7"/>
                <w:sz w:val="21"/>
              </w:rPr>
              <w:t>80</w:t>
            </w:r>
            <w:r>
              <w:rPr>
                <w:spacing w:val="-8"/>
                <w:sz w:val="21"/>
              </w:rPr>
              <w:t>％，每次贷款期限最长不超过 </w:t>
            </w:r>
            <w:r>
              <w:rPr>
                <w:sz w:val="21"/>
              </w:rPr>
              <w:t>6</w:t>
            </w:r>
            <w:r>
              <w:rPr>
                <w:spacing w:val="-11"/>
                <w:sz w:val="21"/>
              </w:rPr>
              <w:t> 个月，贷款利息按</w:t>
            </w:r>
            <w:r>
              <w:rPr>
                <w:b/>
                <w:spacing w:val="-4"/>
                <w:sz w:val="21"/>
              </w:rPr>
              <w:t>本合同约定利率</w:t>
            </w:r>
            <w:r>
              <w:rPr>
                <w:spacing w:val="-3"/>
                <w:sz w:val="21"/>
              </w:rPr>
              <w:t>（详见</w:t>
            </w:r>
            <w:r>
              <w:rPr>
                <w:spacing w:val="-2"/>
                <w:sz w:val="21"/>
              </w:rPr>
              <w:t>释义</w:t>
            </w:r>
            <w:r>
              <w:rPr>
                <w:spacing w:val="-20"/>
                <w:sz w:val="21"/>
              </w:rPr>
              <w:t>）</w:t>
            </w:r>
            <w:r>
              <w:rPr>
                <w:spacing w:val="-7"/>
                <w:sz w:val="21"/>
              </w:rPr>
              <w:t>计算。贷款本息在贷款到期时一并归还。若您到期未能足额偿还贷款</w:t>
            </w:r>
            <w:r>
              <w:rPr>
                <w:spacing w:val="-5"/>
                <w:sz w:val="21"/>
              </w:rPr>
              <w:t>本息，则您所欠的贷款本金及利息将作为新的贷款本金计息。</w:t>
            </w:r>
          </w:p>
          <w:p>
            <w:pPr>
              <w:pStyle w:val="TableParagraph"/>
              <w:spacing w:before="84"/>
              <w:ind w:left="142"/>
              <w:jc w:val="both"/>
              <w:rPr>
                <w:sz w:val="21"/>
              </w:rPr>
            </w:pPr>
            <w:r>
              <w:rPr>
                <w:sz w:val="21"/>
              </w:rPr>
              <w:t>自贷款本金及利息加上其他各项欠款达到本合同保险单的现金价值的当日</w:t>
            </w:r>
          </w:p>
          <w:p>
            <w:pPr>
              <w:pStyle w:val="TableParagraph"/>
              <w:spacing w:before="36"/>
              <w:ind w:left="142"/>
              <w:jc w:val="both"/>
              <w:rPr>
                <w:sz w:val="21"/>
              </w:rPr>
            </w:pPr>
            <w:r>
              <w:rPr>
                <w:sz w:val="21"/>
              </w:rPr>
              <w:t>24 时起，本合同效力终止。</w:t>
            </w:r>
          </w:p>
        </w:tc>
      </w:tr>
      <w:tr>
        <w:trPr>
          <w:trHeight w:val="3488" w:hRule="atLeast"/>
        </w:trPr>
        <w:tc>
          <w:tcPr>
            <w:tcW w:w="692" w:type="dxa"/>
          </w:tcPr>
          <w:p>
            <w:pPr>
              <w:pStyle w:val="TableParagraph"/>
              <w:spacing w:before="50"/>
              <w:ind w:left="108"/>
              <w:rPr>
                <w:b/>
                <w:sz w:val="21"/>
              </w:rPr>
            </w:pPr>
            <w:r>
              <w:rPr>
                <w:b/>
                <w:sz w:val="21"/>
              </w:rPr>
              <w:t>5.3</w:t>
            </w:r>
          </w:p>
        </w:tc>
        <w:tc>
          <w:tcPr>
            <w:tcW w:w="1731" w:type="dxa"/>
          </w:tcPr>
          <w:p>
            <w:pPr>
              <w:pStyle w:val="TableParagraph"/>
              <w:spacing w:line="273" w:lineRule="auto" w:before="50"/>
              <w:ind w:left="268" w:right="193"/>
              <w:rPr>
                <w:b/>
                <w:sz w:val="21"/>
              </w:rPr>
            </w:pPr>
            <w:r>
              <w:rPr>
                <w:b/>
                <w:sz w:val="21"/>
              </w:rPr>
              <w:t>保险费自动垫交</w:t>
            </w:r>
          </w:p>
        </w:tc>
        <w:tc>
          <w:tcPr>
            <w:tcW w:w="7118" w:type="dxa"/>
          </w:tcPr>
          <w:p>
            <w:pPr>
              <w:pStyle w:val="TableParagraph"/>
              <w:spacing w:line="273" w:lineRule="auto" w:before="50"/>
              <w:ind w:left="89" w:right="98"/>
              <w:jc w:val="both"/>
              <w:rPr>
                <w:sz w:val="21"/>
              </w:rPr>
            </w:pPr>
            <w:r>
              <w:rPr>
                <w:sz w:val="21"/>
              </w:rPr>
              <w:t>投保时明确选择保险费自动垫交的，分期支付的保险费在超过宽限期仍未支付时，若保险单的现金价值扣除各项欠款后的余额足以垫交应支付的保险费及利息，我们将以保险单的现金价值的余额垫交应支付的保险费及利息，本合同继续有效；若保险单的现金价值扣除各项欠款后的余额不足以垫交应支付的保险费及利息，本合同中止；当垫交的保险费及利息、各项欠款之和达到保险单的现金价值时，本合同终止。若本合同有附加保险合同，则保险费的自动垫交也包括附加保险合同的到期应付保险费。</w:t>
            </w:r>
          </w:p>
          <w:p>
            <w:pPr>
              <w:pStyle w:val="TableParagraph"/>
              <w:spacing w:line="273" w:lineRule="auto" w:before="84"/>
              <w:ind w:left="89" w:right="98"/>
              <w:jc w:val="both"/>
              <w:rPr>
                <w:sz w:val="21"/>
              </w:rPr>
            </w:pPr>
            <w:r>
              <w:rPr>
                <w:sz w:val="21"/>
              </w:rPr>
              <w:t>您在保险费自动垫交开始后申请结束保险费的自动垫交的，须补交所垫交的保险费及利息。</w:t>
            </w:r>
          </w:p>
          <w:p>
            <w:pPr>
              <w:pStyle w:val="TableParagraph"/>
              <w:spacing w:before="86"/>
              <w:ind w:left="89"/>
              <w:jc w:val="both"/>
              <w:rPr>
                <w:sz w:val="21"/>
              </w:rPr>
            </w:pPr>
            <w:r>
              <w:rPr>
                <w:sz w:val="21"/>
              </w:rPr>
              <w:t>前述垫交保险费的利息按本合同约定利率计算。</w:t>
            </w:r>
          </w:p>
        </w:tc>
      </w:tr>
      <w:tr>
        <w:trPr>
          <w:trHeight w:val="312" w:hRule="atLeast"/>
        </w:trPr>
        <w:tc>
          <w:tcPr>
            <w:tcW w:w="692" w:type="dxa"/>
            <w:shd w:val="clear" w:color="auto" w:fill="A7A8A7"/>
          </w:tcPr>
          <w:p>
            <w:pPr>
              <w:pStyle w:val="TableParagraph"/>
              <w:spacing w:line="254" w:lineRule="exact"/>
              <w:ind w:left="108"/>
              <w:rPr>
                <w:b/>
                <w:sz w:val="21"/>
              </w:rPr>
            </w:pPr>
            <w:r>
              <w:rPr>
                <w:b/>
                <w:sz w:val="21"/>
              </w:rPr>
              <w:t>6.</w:t>
            </w:r>
          </w:p>
        </w:tc>
        <w:tc>
          <w:tcPr>
            <w:tcW w:w="8849" w:type="dxa"/>
            <w:gridSpan w:val="2"/>
            <w:shd w:val="clear" w:color="auto" w:fill="A7A8A7"/>
          </w:tcPr>
          <w:p>
            <w:pPr>
              <w:pStyle w:val="TableParagraph"/>
              <w:spacing w:line="254" w:lineRule="exact"/>
              <w:ind w:left="376"/>
              <w:rPr>
                <w:b/>
                <w:sz w:val="21"/>
              </w:rPr>
            </w:pPr>
            <w:r>
              <w:rPr>
                <w:b/>
                <w:sz w:val="21"/>
              </w:rPr>
              <w:t>合同效力的中止及恢复</w:t>
            </w:r>
          </w:p>
        </w:tc>
      </w:tr>
      <w:tr>
        <w:trPr>
          <w:trHeight w:val="540" w:hRule="atLeast"/>
        </w:trPr>
        <w:tc>
          <w:tcPr>
            <w:tcW w:w="692" w:type="dxa"/>
          </w:tcPr>
          <w:p>
            <w:pPr>
              <w:pStyle w:val="TableParagraph"/>
              <w:spacing w:before="120"/>
              <w:ind w:left="108"/>
              <w:rPr>
                <w:b/>
                <w:sz w:val="21"/>
              </w:rPr>
            </w:pPr>
            <w:r>
              <w:rPr>
                <w:b/>
                <w:sz w:val="21"/>
              </w:rPr>
              <w:t>6.1</w:t>
            </w:r>
          </w:p>
        </w:tc>
        <w:tc>
          <w:tcPr>
            <w:tcW w:w="1731" w:type="dxa"/>
          </w:tcPr>
          <w:p>
            <w:pPr>
              <w:pStyle w:val="TableParagraph"/>
              <w:spacing w:before="120"/>
              <w:ind w:left="376"/>
              <w:rPr>
                <w:b/>
                <w:sz w:val="21"/>
              </w:rPr>
            </w:pPr>
            <w:r>
              <w:rPr>
                <w:b/>
                <w:sz w:val="21"/>
              </w:rPr>
              <w:t>效力中止</w:t>
            </w:r>
          </w:p>
        </w:tc>
        <w:tc>
          <w:tcPr>
            <w:tcW w:w="7118" w:type="dxa"/>
          </w:tcPr>
          <w:p>
            <w:pPr>
              <w:pStyle w:val="TableParagraph"/>
              <w:spacing w:before="144"/>
              <w:ind w:left="142"/>
              <w:rPr>
                <w:rFonts w:ascii="黑体" w:eastAsia="黑体" w:hint="eastAsia"/>
                <w:sz w:val="21"/>
              </w:rPr>
            </w:pPr>
            <w:r>
              <w:rPr>
                <w:rFonts w:ascii="黑体" w:eastAsia="黑体" w:hint="eastAsia"/>
                <w:sz w:val="21"/>
              </w:rPr>
              <w:t>在本合同效力中止期间，我们不承担保险责任。</w:t>
            </w:r>
          </w:p>
        </w:tc>
      </w:tr>
      <w:tr>
        <w:trPr>
          <w:trHeight w:val="348" w:hRule="atLeast"/>
        </w:trPr>
        <w:tc>
          <w:tcPr>
            <w:tcW w:w="692" w:type="dxa"/>
          </w:tcPr>
          <w:p>
            <w:pPr>
              <w:pStyle w:val="TableParagraph"/>
              <w:spacing w:before="40"/>
              <w:ind w:left="108"/>
              <w:rPr>
                <w:b/>
                <w:sz w:val="21"/>
              </w:rPr>
            </w:pPr>
            <w:r>
              <w:rPr>
                <w:b/>
                <w:sz w:val="21"/>
              </w:rPr>
              <w:t>6.2</w:t>
            </w:r>
          </w:p>
        </w:tc>
        <w:tc>
          <w:tcPr>
            <w:tcW w:w="1731" w:type="dxa"/>
          </w:tcPr>
          <w:p>
            <w:pPr>
              <w:pStyle w:val="TableParagraph"/>
              <w:spacing w:before="40"/>
              <w:ind w:left="376"/>
              <w:rPr>
                <w:b/>
                <w:sz w:val="21"/>
              </w:rPr>
            </w:pPr>
            <w:r>
              <w:rPr>
                <w:b/>
                <w:sz w:val="21"/>
              </w:rPr>
              <w:t>效力恢复</w:t>
            </w:r>
          </w:p>
        </w:tc>
        <w:tc>
          <w:tcPr>
            <w:tcW w:w="7118" w:type="dxa"/>
          </w:tcPr>
          <w:p>
            <w:pPr>
              <w:pStyle w:val="TableParagraph"/>
              <w:spacing w:line="264" w:lineRule="exact" w:before="64"/>
              <w:ind w:left="142"/>
              <w:rPr>
                <w:sz w:val="21"/>
              </w:rPr>
            </w:pPr>
            <w:r>
              <w:rPr>
                <w:spacing w:val="-7"/>
                <w:sz w:val="21"/>
              </w:rPr>
              <w:t>本合同效力中止后 </w:t>
            </w:r>
            <w:r>
              <w:rPr>
                <w:sz w:val="21"/>
              </w:rPr>
              <w:t>2</w:t>
            </w:r>
            <w:r>
              <w:rPr>
                <w:spacing w:val="-12"/>
                <w:sz w:val="21"/>
              </w:rPr>
              <w:t> 年内，您可以申请恢复合同效力。经我们与您协商并达</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04"/>
        <w:gridCol w:w="7092"/>
      </w:tblGrid>
      <w:tr>
        <w:trPr>
          <w:trHeight w:val="1105" w:hRule="atLeast"/>
        </w:trPr>
        <w:tc>
          <w:tcPr>
            <w:tcW w:w="746" w:type="dxa"/>
          </w:tcPr>
          <w:p>
            <w:pPr>
              <w:pStyle w:val="TableParagraph"/>
              <w:ind w:left="0"/>
              <w:rPr>
                <w:rFonts w:ascii="Times New Roman"/>
                <w:sz w:val="20"/>
              </w:rPr>
            </w:pPr>
          </w:p>
        </w:tc>
        <w:tc>
          <w:tcPr>
            <w:tcW w:w="1704" w:type="dxa"/>
          </w:tcPr>
          <w:p>
            <w:pPr>
              <w:pStyle w:val="TableParagraph"/>
              <w:ind w:left="0"/>
              <w:rPr>
                <w:rFonts w:ascii="Times New Roman"/>
                <w:sz w:val="20"/>
              </w:rPr>
            </w:pPr>
          </w:p>
        </w:tc>
        <w:tc>
          <w:tcPr>
            <w:tcW w:w="7092" w:type="dxa"/>
          </w:tcPr>
          <w:p>
            <w:pPr>
              <w:pStyle w:val="TableParagraph"/>
              <w:spacing w:line="204" w:lineRule="exact"/>
              <w:ind w:left="115"/>
              <w:rPr>
                <w:sz w:val="21"/>
              </w:rPr>
            </w:pPr>
            <w:r>
              <w:rPr>
                <w:sz w:val="21"/>
              </w:rPr>
              <w:t>成协议，自您补交保险费的次日零时起，合同效力恢复。</w:t>
            </w:r>
          </w:p>
          <w:p>
            <w:pPr>
              <w:pStyle w:val="TableParagraph"/>
              <w:spacing w:line="278" w:lineRule="auto" w:before="126"/>
              <w:ind w:left="115" w:right="103"/>
              <w:rPr>
                <w:sz w:val="21"/>
              </w:rPr>
            </w:pPr>
            <w:r>
              <w:rPr>
                <w:sz w:val="21"/>
              </w:rPr>
              <w:t>自本合同效力中止之日起满 2 年您和我们未达成协议的，我们有权解除合同。我们解除合同的，向您退还合同效力中止时保险单的现金价值。</w:t>
            </w:r>
          </w:p>
        </w:tc>
      </w:tr>
      <w:tr>
        <w:trPr>
          <w:trHeight w:val="314" w:hRule="atLeast"/>
        </w:trPr>
        <w:tc>
          <w:tcPr>
            <w:tcW w:w="746" w:type="dxa"/>
            <w:shd w:val="clear" w:color="auto" w:fill="A7A8A7"/>
          </w:tcPr>
          <w:p>
            <w:pPr>
              <w:pStyle w:val="TableParagraph"/>
              <w:spacing w:line="255" w:lineRule="exact"/>
              <w:ind w:left="108"/>
              <w:rPr>
                <w:b/>
                <w:sz w:val="21"/>
              </w:rPr>
            </w:pPr>
            <w:r>
              <w:rPr>
                <w:b/>
                <w:sz w:val="21"/>
              </w:rPr>
              <w:t>7．</w:t>
            </w:r>
          </w:p>
        </w:tc>
        <w:tc>
          <w:tcPr>
            <w:tcW w:w="1704" w:type="dxa"/>
            <w:shd w:val="clear" w:color="auto" w:fill="A7A8A7"/>
          </w:tcPr>
          <w:p>
            <w:pPr>
              <w:pStyle w:val="TableParagraph"/>
              <w:spacing w:line="255" w:lineRule="exact"/>
              <w:ind w:left="322"/>
              <w:rPr>
                <w:b/>
                <w:sz w:val="21"/>
              </w:rPr>
            </w:pPr>
            <w:r>
              <w:rPr>
                <w:b/>
                <w:sz w:val="21"/>
              </w:rPr>
              <w:t>合同解除</w:t>
            </w:r>
          </w:p>
        </w:tc>
        <w:tc>
          <w:tcPr>
            <w:tcW w:w="7092" w:type="dxa"/>
            <w:shd w:val="clear" w:color="auto" w:fill="A7A8A7"/>
          </w:tcPr>
          <w:p>
            <w:pPr>
              <w:pStyle w:val="TableParagraph"/>
              <w:ind w:left="0"/>
              <w:rPr>
                <w:rFonts w:ascii="Times New Roman"/>
                <w:sz w:val="20"/>
              </w:rPr>
            </w:pPr>
          </w:p>
        </w:tc>
      </w:tr>
      <w:tr>
        <w:trPr>
          <w:trHeight w:val="2623" w:hRule="atLeast"/>
        </w:trPr>
        <w:tc>
          <w:tcPr>
            <w:tcW w:w="746" w:type="dxa"/>
          </w:tcPr>
          <w:p>
            <w:pPr>
              <w:pStyle w:val="TableParagraph"/>
              <w:spacing w:before="122"/>
              <w:ind w:left="108"/>
              <w:rPr>
                <w:b/>
                <w:sz w:val="21"/>
              </w:rPr>
            </w:pPr>
            <w:r>
              <w:rPr>
                <w:b/>
                <w:sz w:val="21"/>
              </w:rPr>
              <w:t>7.1</w:t>
            </w:r>
          </w:p>
        </w:tc>
        <w:tc>
          <w:tcPr>
            <w:tcW w:w="1704" w:type="dxa"/>
          </w:tcPr>
          <w:p>
            <w:pPr>
              <w:pStyle w:val="TableParagraph"/>
              <w:spacing w:line="273" w:lineRule="auto" w:before="122"/>
              <w:ind w:left="322" w:right="112"/>
              <w:rPr>
                <w:b/>
                <w:sz w:val="21"/>
              </w:rPr>
            </w:pPr>
            <w:r>
              <w:rPr>
                <w:b/>
                <w:sz w:val="21"/>
              </w:rPr>
              <w:t>您解除合同的手续及风险</w:t>
            </w:r>
          </w:p>
        </w:tc>
        <w:tc>
          <w:tcPr>
            <w:tcW w:w="7092" w:type="dxa"/>
          </w:tcPr>
          <w:p>
            <w:pPr>
              <w:pStyle w:val="TableParagraph"/>
              <w:spacing w:line="273" w:lineRule="auto" w:before="122"/>
              <w:ind w:left="115" w:right="99"/>
              <w:rPr>
                <w:sz w:val="21"/>
              </w:rPr>
            </w:pPr>
            <w:r>
              <w:rPr>
                <w:spacing w:val="-7"/>
                <w:sz w:val="21"/>
              </w:rPr>
              <w:t>如您在犹豫期后申请解除本合同，请填写解除合同的书面申请并向我们提供</w:t>
            </w:r>
            <w:r>
              <w:rPr>
                <w:spacing w:val="-4"/>
                <w:sz w:val="21"/>
              </w:rPr>
              <w:t>下列资料：</w:t>
            </w:r>
          </w:p>
          <w:p>
            <w:pPr>
              <w:pStyle w:val="TableParagraph"/>
              <w:spacing w:before="7"/>
              <w:ind w:left="115"/>
              <w:rPr>
                <w:sz w:val="21"/>
              </w:rPr>
            </w:pPr>
            <w:r>
              <w:rPr>
                <w:sz w:val="21"/>
              </w:rPr>
              <w:t>(1)保险合同；</w:t>
            </w:r>
          </w:p>
          <w:p>
            <w:pPr>
              <w:pStyle w:val="TableParagraph"/>
              <w:spacing w:before="36"/>
              <w:ind w:left="115"/>
              <w:rPr>
                <w:sz w:val="21"/>
              </w:rPr>
            </w:pPr>
            <w:r>
              <w:rPr>
                <w:sz w:val="21"/>
              </w:rPr>
              <w:t>(2)您的有效身份证件。</w:t>
            </w:r>
          </w:p>
          <w:p>
            <w:pPr>
              <w:pStyle w:val="TableParagraph"/>
              <w:spacing w:line="273" w:lineRule="auto" w:before="113"/>
              <w:ind w:left="115" w:right="100" w:hanging="1"/>
              <w:rPr>
                <w:sz w:val="21"/>
              </w:rPr>
            </w:pPr>
            <w:r>
              <w:rPr>
                <w:spacing w:val="-7"/>
                <w:sz w:val="21"/>
              </w:rPr>
              <w:t>自我们收到解除合同的书面申请时起，本合同终止。我们自收到解除合同的</w:t>
            </w:r>
            <w:r>
              <w:rPr>
                <w:spacing w:val="-10"/>
                <w:sz w:val="21"/>
              </w:rPr>
              <w:t>书面申请之日起 </w:t>
            </w:r>
            <w:r>
              <w:rPr>
                <w:sz w:val="21"/>
              </w:rPr>
              <w:t>30</w:t>
            </w:r>
            <w:r>
              <w:rPr>
                <w:spacing w:val="-8"/>
                <w:sz w:val="21"/>
              </w:rPr>
              <w:t> 日内向您退还本合同保险单的现金价值。</w:t>
            </w:r>
          </w:p>
          <w:p>
            <w:pPr>
              <w:pStyle w:val="TableParagraph"/>
              <w:spacing w:before="86"/>
              <w:ind w:left="116"/>
              <w:rPr>
                <w:sz w:val="21"/>
              </w:rPr>
            </w:pPr>
            <w:r>
              <w:rPr>
                <w:sz w:val="21"/>
              </w:rPr>
              <w:t>您犹豫期后解除合同会遭受一定损失。</w:t>
            </w:r>
          </w:p>
        </w:tc>
      </w:tr>
      <w:tr>
        <w:trPr>
          <w:trHeight w:val="311" w:hRule="atLeast"/>
        </w:trPr>
        <w:tc>
          <w:tcPr>
            <w:tcW w:w="746" w:type="dxa"/>
            <w:shd w:val="clear" w:color="auto" w:fill="A7A8A7"/>
          </w:tcPr>
          <w:p>
            <w:pPr>
              <w:pStyle w:val="TableParagraph"/>
              <w:spacing w:line="255" w:lineRule="exact"/>
              <w:ind w:left="108"/>
              <w:rPr>
                <w:b/>
                <w:sz w:val="21"/>
              </w:rPr>
            </w:pPr>
            <w:r>
              <w:rPr>
                <w:b/>
                <w:sz w:val="21"/>
              </w:rPr>
              <w:t>8．</w:t>
            </w:r>
          </w:p>
        </w:tc>
        <w:tc>
          <w:tcPr>
            <w:tcW w:w="8796" w:type="dxa"/>
            <w:gridSpan w:val="2"/>
            <w:shd w:val="clear" w:color="auto" w:fill="A7A8A7"/>
          </w:tcPr>
          <w:p>
            <w:pPr>
              <w:pStyle w:val="TableParagraph"/>
              <w:spacing w:line="255" w:lineRule="exact"/>
              <w:ind w:left="322"/>
              <w:rPr>
                <w:b/>
                <w:sz w:val="21"/>
              </w:rPr>
            </w:pPr>
            <w:r>
              <w:rPr>
                <w:b/>
                <w:sz w:val="21"/>
              </w:rPr>
              <w:t>说明、告知与解除权限制</w:t>
            </w:r>
          </w:p>
        </w:tc>
      </w:tr>
      <w:tr>
        <w:trPr>
          <w:trHeight w:val="5361" w:hRule="atLeast"/>
        </w:trPr>
        <w:tc>
          <w:tcPr>
            <w:tcW w:w="746" w:type="dxa"/>
          </w:tcPr>
          <w:p>
            <w:pPr>
              <w:pStyle w:val="TableParagraph"/>
              <w:spacing w:before="122"/>
              <w:ind w:left="108"/>
              <w:rPr>
                <w:b/>
                <w:sz w:val="21"/>
              </w:rPr>
            </w:pPr>
            <w:r>
              <w:rPr>
                <w:b/>
                <w:sz w:val="21"/>
              </w:rPr>
              <w:t>8.1</w:t>
            </w:r>
          </w:p>
        </w:tc>
        <w:tc>
          <w:tcPr>
            <w:tcW w:w="1704" w:type="dxa"/>
          </w:tcPr>
          <w:p>
            <w:pPr>
              <w:pStyle w:val="TableParagraph"/>
              <w:spacing w:line="273" w:lineRule="auto" w:before="122"/>
              <w:ind w:left="322" w:right="112"/>
              <w:rPr>
                <w:b/>
                <w:sz w:val="21"/>
              </w:rPr>
            </w:pPr>
            <w:r>
              <w:rPr>
                <w:b/>
                <w:sz w:val="21"/>
              </w:rPr>
              <w:t>明确说明与如实告知</w:t>
            </w:r>
          </w:p>
        </w:tc>
        <w:tc>
          <w:tcPr>
            <w:tcW w:w="7092" w:type="dxa"/>
          </w:tcPr>
          <w:p>
            <w:pPr>
              <w:pStyle w:val="TableParagraph"/>
              <w:spacing w:before="122"/>
              <w:ind w:left="115"/>
              <w:rPr>
                <w:sz w:val="21"/>
              </w:rPr>
            </w:pPr>
            <w:r>
              <w:rPr>
                <w:sz w:val="21"/>
              </w:rPr>
              <w:t>订立本合同时，我们应向您说明本合同的内容。</w:t>
            </w:r>
          </w:p>
          <w:p>
            <w:pPr>
              <w:pStyle w:val="TableParagraph"/>
              <w:spacing w:line="273" w:lineRule="auto" w:before="114"/>
              <w:ind w:left="115" w:right="99"/>
              <w:jc w:val="both"/>
              <w:rPr>
                <w:sz w:val="21"/>
              </w:rPr>
            </w:pPr>
            <w:r>
              <w:rPr>
                <w:spacing w:val="-6"/>
                <w:sz w:val="21"/>
              </w:rPr>
              <w:t>对保险条款中免除我们责任的条款，我们在订立合同时应当在投保单、保险</w:t>
            </w:r>
            <w:r>
              <w:rPr>
                <w:spacing w:val="-7"/>
                <w:sz w:val="21"/>
              </w:rPr>
              <w:t>单或者其他保险凭证上作出足以引起您注意的提示，并对该条款的内容以书</w:t>
            </w:r>
            <w:r>
              <w:rPr>
                <w:spacing w:val="-8"/>
                <w:sz w:val="21"/>
              </w:rPr>
              <w:t>面或者口头形式向您作出明确说明，未作提示或者明确说明的，该条款不产</w:t>
            </w:r>
            <w:r>
              <w:rPr>
                <w:spacing w:val="-6"/>
                <w:sz w:val="21"/>
              </w:rPr>
              <w:t>生效力。</w:t>
            </w:r>
          </w:p>
          <w:p>
            <w:pPr>
              <w:pStyle w:val="TableParagraph"/>
              <w:spacing w:before="87"/>
              <w:ind w:left="115"/>
              <w:rPr>
                <w:sz w:val="21"/>
              </w:rPr>
            </w:pPr>
            <w:r>
              <w:rPr>
                <w:sz w:val="21"/>
              </w:rPr>
              <w:t>我们就您和被保险人的有关情况提出询问，您应当如实告知。</w:t>
            </w:r>
          </w:p>
          <w:p>
            <w:pPr>
              <w:pStyle w:val="TableParagraph"/>
              <w:spacing w:line="273" w:lineRule="auto" w:before="114"/>
              <w:ind w:left="115" w:right="99"/>
              <w:jc w:val="both"/>
              <w:rPr>
                <w:rFonts w:ascii="黑体" w:eastAsia="黑体" w:hint="eastAsia"/>
                <w:sz w:val="21"/>
              </w:rPr>
            </w:pPr>
            <w:r>
              <w:rPr>
                <w:rFonts w:ascii="黑体" w:eastAsia="黑体" w:hint="eastAsia"/>
                <w:spacing w:val="-6"/>
                <w:sz w:val="21"/>
              </w:rPr>
              <w:t>如果您故意或者因重大过失未履行前款规定的如实告知义务，足以影响我们</w:t>
            </w:r>
            <w:r>
              <w:rPr>
                <w:rFonts w:ascii="黑体" w:eastAsia="黑体" w:hint="eastAsia"/>
                <w:spacing w:val="-4"/>
                <w:sz w:val="21"/>
              </w:rPr>
              <w:t>决定是否同意承保或者提高保险费率的，我们有权解除本合同。</w:t>
            </w:r>
          </w:p>
          <w:p>
            <w:pPr>
              <w:pStyle w:val="TableParagraph"/>
              <w:spacing w:line="273" w:lineRule="auto" w:before="87"/>
              <w:ind w:left="115" w:right="99"/>
              <w:jc w:val="both"/>
              <w:rPr>
                <w:rFonts w:ascii="黑体" w:eastAsia="黑体" w:hint="eastAsia"/>
                <w:sz w:val="21"/>
              </w:rPr>
            </w:pPr>
            <w:r>
              <w:rPr>
                <w:rFonts w:ascii="黑体" w:eastAsia="黑体" w:hint="eastAsia"/>
                <w:spacing w:val="-5"/>
                <w:sz w:val="21"/>
              </w:rPr>
              <w:t>如果您故意不履行如实告知义务，对于本合同解除前发</w:t>
            </w:r>
            <w:r>
              <w:rPr>
                <w:rFonts w:ascii="黑体" w:eastAsia="黑体" w:hint="eastAsia"/>
                <w:sz w:val="21"/>
              </w:rPr>
              <w:t>Th</w:t>
            </w:r>
            <w:r>
              <w:rPr>
                <w:rFonts w:ascii="黑体" w:eastAsia="黑体" w:hint="eastAsia"/>
                <w:spacing w:val="-7"/>
                <w:sz w:val="21"/>
              </w:rPr>
              <w:t>的保险事故，我们</w:t>
            </w:r>
            <w:r>
              <w:rPr>
                <w:rFonts w:ascii="黑体" w:eastAsia="黑体" w:hint="eastAsia"/>
                <w:spacing w:val="-5"/>
                <w:sz w:val="21"/>
              </w:rPr>
              <w:t>不承担保险责任，并不退还保险费。</w:t>
            </w:r>
          </w:p>
          <w:p>
            <w:pPr>
              <w:pStyle w:val="TableParagraph"/>
              <w:spacing w:line="273" w:lineRule="auto" w:before="84"/>
              <w:ind w:left="115" w:right="41"/>
              <w:jc w:val="both"/>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w:t>
            </w:r>
            <w:r>
              <w:rPr>
                <w:rFonts w:ascii="黑体" w:eastAsia="黑体" w:hint="eastAsia"/>
                <w:sz w:val="21"/>
              </w:rPr>
              <w:t>Th</w:t>
            </w:r>
            <w:r>
              <w:rPr>
                <w:rFonts w:ascii="黑体" w:eastAsia="黑体" w:hint="eastAsia"/>
                <w:spacing w:val="-10"/>
                <w:sz w:val="21"/>
              </w:rPr>
              <w:t>的保险事故，我们不承担保险责任，但应当退还保险费。</w:t>
            </w:r>
          </w:p>
          <w:p>
            <w:pPr>
              <w:pStyle w:val="TableParagraph"/>
              <w:spacing w:line="273" w:lineRule="auto" w:before="86"/>
              <w:ind w:left="115" w:right="99"/>
              <w:jc w:val="both"/>
              <w:rPr>
                <w:sz w:val="21"/>
              </w:rPr>
            </w:pPr>
            <w:r>
              <w:rPr>
                <w:spacing w:val="-6"/>
                <w:sz w:val="21"/>
              </w:rPr>
              <w:t>我们在合同订立时已经知道您未如实告知的情况的，我们不得解除合同；发</w:t>
            </w:r>
            <w:r>
              <w:rPr>
                <w:spacing w:val="-4"/>
                <w:sz w:val="21"/>
              </w:rPr>
              <w:t>生保险事故的，我们承担保险责任。</w:t>
            </w:r>
          </w:p>
        </w:tc>
      </w:tr>
      <w:tr>
        <w:trPr>
          <w:trHeight w:val="1147" w:hRule="atLeast"/>
        </w:trPr>
        <w:tc>
          <w:tcPr>
            <w:tcW w:w="746" w:type="dxa"/>
          </w:tcPr>
          <w:p>
            <w:pPr>
              <w:pStyle w:val="TableParagraph"/>
              <w:spacing w:before="50"/>
              <w:ind w:left="108"/>
              <w:rPr>
                <w:b/>
                <w:sz w:val="21"/>
              </w:rPr>
            </w:pPr>
            <w:r>
              <w:rPr>
                <w:b/>
                <w:sz w:val="21"/>
              </w:rPr>
              <w:t>8.2</w:t>
            </w:r>
          </w:p>
        </w:tc>
        <w:tc>
          <w:tcPr>
            <w:tcW w:w="1704" w:type="dxa"/>
          </w:tcPr>
          <w:p>
            <w:pPr>
              <w:pStyle w:val="TableParagraph"/>
              <w:spacing w:line="273" w:lineRule="auto" w:before="50"/>
              <w:ind w:left="322" w:right="112"/>
              <w:rPr>
                <w:b/>
                <w:sz w:val="21"/>
              </w:rPr>
            </w:pPr>
            <w:r>
              <w:rPr>
                <w:b/>
                <w:sz w:val="21"/>
              </w:rPr>
              <w:t>我们合同解除权的限制</w:t>
            </w:r>
          </w:p>
        </w:tc>
        <w:tc>
          <w:tcPr>
            <w:tcW w:w="7092" w:type="dxa"/>
          </w:tcPr>
          <w:p>
            <w:pPr>
              <w:pStyle w:val="TableParagraph"/>
              <w:spacing w:line="273" w:lineRule="auto" w:before="50"/>
              <w:ind w:left="115" w:right="102"/>
              <w:jc w:val="both"/>
              <w:rPr>
                <w:sz w:val="21"/>
              </w:rPr>
            </w:pPr>
            <w:r>
              <w:rPr>
                <w:spacing w:val="-5"/>
                <w:sz w:val="21"/>
              </w:rPr>
              <w:t>本保险条款“</w:t>
            </w:r>
            <w:r>
              <w:rPr>
                <w:sz w:val="21"/>
              </w:rPr>
              <w:t>8.1</w:t>
            </w:r>
            <w:r>
              <w:rPr>
                <w:spacing w:val="-5"/>
                <w:sz w:val="21"/>
              </w:rPr>
              <w:t> 明确说明与如实告知”规定的合同解除权，自我们知道有</w:t>
            </w:r>
            <w:r>
              <w:rPr>
                <w:spacing w:val="-8"/>
                <w:sz w:val="21"/>
              </w:rPr>
              <w:t>解除事由之日起，超过 </w:t>
            </w:r>
            <w:r>
              <w:rPr>
                <w:sz w:val="21"/>
              </w:rPr>
              <w:t>30</w:t>
            </w:r>
            <w:r>
              <w:rPr>
                <w:spacing w:val="-9"/>
                <w:sz w:val="21"/>
              </w:rPr>
              <w:t> 日不行使而消灭。自本合同成立之日起超过 </w:t>
            </w:r>
            <w:r>
              <w:rPr>
                <w:sz w:val="21"/>
              </w:rPr>
              <w:t>2</w:t>
            </w:r>
            <w:r>
              <w:rPr>
                <w:spacing w:val="-19"/>
                <w:sz w:val="21"/>
              </w:rPr>
              <w:t> 年</w:t>
            </w:r>
            <w:r>
              <w:rPr>
                <w:spacing w:val="-8"/>
                <w:sz w:val="21"/>
              </w:rPr>
              <w:t>的，我们不得解除合同；发生保险事故的，我们承担保险责任。</w:t>
            </w:r>
          </w:p>
        </w:tc>
      </w:tr>
      <w:tr>
        <w:trPr>
          <w:trHeight w:val="312" w:hRule="atLeast"/>
        </w:trPr>
        <w:tc>
          <w:tcPr>
            <w:tcW w:w="746" w:type="dxa"/>
            <w:shd w:val="clear" w:color="auto" w:fill="A7A8A7"/>
          </w:tcPr>
          <w:p>
            <w:pPr>
              <w:pStyle w:val="TableParagraph"/>
              <w:spacing w:line="255" w:lineRule="exact"/>
              <w:ind w:left="108"/>
              <w:rPr>
                <w:b/>
                <w:sz w:val="21"/>
              </w:rPr>
            </w:pPr>
            <w:r>
              <w:rPr>
                <w:b/>
                <w:sz w:val="21"/>
              </w:rPr>
              <w:t>9．</w:t>
            </w:r>
          </w:p>
        </w:tc>
        <w:tc>
          <w:tcPr>
            <w:tcW w:w="8796" w:type="dxa"/>
            <w:gridSpan w:val="2"/>
            <w:shd w:val="clear" w:color="auto" w:fill="A7A8A7"/>
          </w:tcPr>
          <w:p>
            <w:pPr>
              <w:pStyle w:val="TableParagraph"/>
              <w:spacing w:line="255" w:lineRule="exact"/>
              <w:ind w:left="322"/>
              <w:rPr>
                <w:b/>
                <w:sz w:val="21"/>
              </w:rPr>
            </w:pPr>
            <w:r>
              <w:rPr>
                <w:b/>
                <w:sz w:val="21"/>
              </w:rPr>
              <w:t>其他需要关注的事项</w:t>
            </w:r>
          </w:p>
        </w:tc>
      </w:tr>
      <w:tr>
        <w:trPr>
          <w:trHeight w:val="2587" w:hRule="atLeast"/>
        </w:trPr>
        <w:tc>
          <w:tcPr>
            <w:tcW w:w="746" w:type="dxa"/>
          </w:tcPr>
          <w:p>
            <w:pPr>
              <w:pStyle w:val="TableParagraph"/>
              <w:spacing w:before="122"/>
              <w:ind w:left="108"/>
              <w:rPr>
                <w:b/>
                <w:sz w:val="21"/>
              </w:rPr>
            </w:pPr>
            <w:r>
              <w:rPr>
                <w:b/>
                <w:sz w:val="21"/>
              </w:rPr>
              <w:t>9.1</w:t>
            </w:r>
          </w:p>
        </w:tc>
        <w:tc>
          <w:tcPr>
            <w:tcW w:w="1704" w:type="dxa"/>
          </w:tcPr>
          <w:p>
            <w:pPr>
              <w:pStyle w:val="TableParagraph"/>
              <w:spacing w:before="122"/>
              <w:ind w:left="322"/>
              <w:rPr>
                <w:b/>
                <w:sz w:val="21"/>
              </w:rPr>
            </w:pPr>
            <w:r>
              <w:rPr>
                <w:b/>
                <w:sz w:val="21"/>
              </w:rPr>
              <w:t>年龄性别错误</w:t>
            </w:r>
          </w:p>
        </w:tc>
        <w:tc>
          <w:tcPr>
            <w:tcW w:w="7092" w:type="dxa"/>
          </w:tcPr>
          <w:p>
            <w:pPr>
              <w:pStyle w:val="TableParagraph"/>
              <w:spacing w:line="273" w:lineRule="auto" w:before="122"/>
              <w:ind w:left="115" w:right="99" w:firstLine="2"/>
              <w:jc w:val="both"/>
              <w:rPr>
                <w:sz w:val="21"/>
              </w:rPr>
            </w:pPr>
            <w:r>
              <w:rPr>
                <w:spacing w:val="-10"/>
                <w:sz w:val="21"/>
              </w:rPr>
              <w:t>您在申请投保时，应将与有效身份证件相符的被保险人的出生日期和性别在</w:t>
            </w:r>
            <w:r>
              <w:rPr>
                <w:spacing w:val="-5"/>
                <w:sz w:val="21"/>
              </w:rPr>
              <w:t>投保单上填明，如果发生错误按照下列方式办理：</w:t>
            </w:r>
          </w:p>
          <w:p>
            <w:pPr>
              <w:pStyle w:val="TableParagraph"/>
              <w:spacing w:line="273" w:lineRule="auto" w:before="7"/>
              <w:ind w:left="115" w:right="99"/>
              <w:jc w:val="both"/>
              <w:rPr>
                <w:sz w:val="21"/>
              </w:rPr>
            </w:pPr>
            <w:r>
              <w:rPr>
                <w:sz w:val="21"/>
              </w:rPr>
              <w:t>(1)</w:t>
            </w:r>
            <w:r>
              <w:rPr>
                <w:rFonts w:ascii="黑体" w:hAnsi="黑体" w:eastAsia="黑体" w:hint="eastAsia"/>
                <w:sz w:val="21"/>
              </w:rPr>
              <w:t>您申报的被保险人年龄或性别不真实，并且其真实年龄或性别不符合本</w:t>
            </w:r>
            <w:r>
              <w:rPr>
                <w:rFonts w:ascii="黑体" w:hAnsi="黑体" w:eastAsia="黑体" w:hint="eastAsia"/>
                <w:spacing w:val="-7"/>
                <w:sz w:val="21"/>
              </w:rPr>
              <w:t>合同约定投保年龄或性别限制的，我们有权解除合同，并向您退还本合同保</w:t>
            </w:r>
            <w:r>
              <w:rPr>
                <w:rFonts w:ascii="黑体" w:hAnsi="黑体" w:eastAsia="黑体" w:hint="eastAsia"/>
                <w:spacing w:val="-6"/>
                <w:sz w:val="21"/>
              </w:rPr>
              <w:t>险单的现金价值。</w:t>
            </w:r>
            <w:r>
              <w:rPr>
                <w:spacing w:val="-4"/>
                <w:sz w:val="21"/>
              </w:rPr>
              <w:t>我们行使合同解除权适用本保险条款“</w:t>
            </w:r>
            <w:r>
              <w:rPr>
                <w:sz w:val="21"/>
              </w:rPr>
              <w:t>8.2</w:t>
            </w:r>
            <w:r>
              <w:rPr>
                <w:spacing w:val="-6"/>
                <w:sz w:val="21"/>
              </w:rPr>
              <w:t> 我们合同解除</w:t>
            </w:r>
            <w:r>
              <w:rPr>
                <w:spacing w:val="-4"/>
                <w:sz w:val="21"/>
              </w:rPr>
              <w:t>权的限制”的规定。</w:t>
            </w:r>
          </w:p>
          <w:p>
            <w:pPr>
              <w:pStyle w:val="TableParagraph"/>
              <w:spacing w:line="312" w:lineRule="exact" w:before="2"/>
              <w:ind w:left="115" w:right="101"/>
              <w:jc w:val="both"/>
              <w:rPr>
                <w:sz w:val="21"/>
              </w:rPr>
            </w:pPr>
            <w:r>
              <w:rPr>
                <w:sz w:val="21"/>
              </w:rPr>
              <w:t>(2)您申报的被保险人年龄或性别不真实，致使您实付保险费少于应付保险</w:t>
            </w:r>
            <w:r>
              <w:rPr>
                <w:spacing w:val="-8"/>
                <w:sz w:val="21"/>
              </w:rPr>
              <w:t>费的，我们有权更正并要求您补交保险费。若已经发生保险事故，在给付保</w:t>
            </w:r>
          </w:p>
        </w:tc>
      </w:tr>
    </w:tbl>
    <w:p>
      <w:pPr>
        <w:spacing w:after="0" w:line="312" w:lineRule="exact"/>
        <w:jc w:val="both"/>
        <w:rPr>
          <w:sz w:val="21"/>
        </w:rPr>
        <w:sectPr>
          <w:pgSz w:w="11910" w:h="16840"/>
          <w:pgMar w:top="148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544"/>
        <w:gridCol w:w="7092"/>
      </w:tblGrid>
      <w:tr>
        <w:trPr>
          <w:trHeight w:val="1580" w:hRule="atLeast"/>
        </w:trPr>
        <w:tc>
          <w:tcPr>
            <w:tcW w:w="906" w:type="dxa"/>
          </w:tcPr>
          <w:p>
            <w:pPr>
              <w:pStyle w:val="TableParagraph"/>
              <w:ind w:left="0"/>
              <w:rPr>
                <w:rFonts w:ascii="Times New Roman"/>
                <w:sz w:val="20"/>
              </w:rPr>
            </w:pPr>
          </w:p>
        </w:tc>
        <w:tc>
          <w:tcPr>
            <w:tcW w:w="1544" w:type="dxa"/>
          </w:tcPr>
          <w:p>
            <w:pPr>
              <w:pStyle w:val="TableParagraph"/>
              <w:ind w:left="0"/>
              <w:rPr>
                <w:rFonts w:ascii="Times New Roman"/>
                <w:sz w:val="20"/>
              </w:rPr>
            </w:pPr>
          </w:p>
        </w:tc>
        <w:tc>
          <w:tcPr>
            <w:tcW w:w="7092" w:type="dxa"/>
          </w:tcPr>
          <w:p>
            <w:pPr>
              <w:pStyle w:val="TableParagraph"/>
              <w:spacing w:line="202" w:lineRule="exact"/>
              <w:ind w:left="115"/>
              <w:rPr>
                <w:sz w:val="21"/>
              </w:rPr>
            </w:pPr>
            <w:r>
              <w:rPr>
                <w:sz w:val="21"/>
              </w:rPr>
              <w:t>险金时按实付保险费和应付保险费的比例给付。</w:t>
            </w:r>
          </w:p>
          <w:p>
            <w:pPr>
              <w:pStyle w:val="TableParagraph"/>
              <w:spacing w:line="273" w:lineRule="auto" w:before="37"/>
              <w:ind w:left="115" w:right="103"/>
              <w:rPr>
                <w:sz w:val="21"/>
              </w:rPr>
            </w:pPr>
            <w:r>
              <w:rPr>
                <w:sz w:val="21"/>
              </w:rPr>
              <w:t>(3)您申报的被保险人年龄或性别不真实，致使您实付保险费多于应付保险费的，我们会将多收的保险费退还给您。</w:t>
            </w:r>
          </w:p>
          <w:p>
            <w:pPr>
              <w:pStyle w:val="TableParagraph"/>
              <w:spacing w:line="273" w:lineRule="auto" w:before="7"/>
              <w:ind w:left="115" w:right="103"/>
              <w:rPr>
                <w:sz w:val="21"/>
              </w:rPr>
            </w:pPr>
            <w:r>
              <w:rPr>
                <w:sz w:val="21"/>
              </w:rPr>
              <w:t>(4)您申报的被保险人年龄或性别不真实，致使本合同保险单的现金价值与实际不符的，我们有权根据被保险人的实际年龄和性别调整。</w:t>
            </w:r>
          </w:p>
        </w:tc>
      </w:tr>
      <w:tr>
        <w:trPr>
          <w:trHeight w:val="1077" w:hRule="atLeast"/>
        </w:trPr>
        <w:tc>
          <w:tcPr>
            <w:tcW w:w="906" w:type="dxa"/>
          </w:tcPr>
          <w:p>
            <w:pPr>
              <w:pStyle w:val="TableParagraph"/>
              <w:spacing w:before="49"/>
              <w:ind w:left="108"/>
              <w:rPr>
                <w:b/>
                <w:sz w:val="21"/>
              </w:rPr>
            </w:pPr>
            <w:r>
              <w:rPr>
                <w:b/>
                <w:sz w:val="21"/>
              </w:rPr>
              <w:t>9.2</w:t>
            </w:r>
          </w:p>
        </w:tc>
        <w:tc>
          <w:tcPr>
            <w:tcW w:w="1544" w:type="dxa"/>
          </w:tcPr>
          <w:p>
            <w:pPr>
              <w:pStyle w:val="TableParagraph"/>
              <w:spacing w:before="49"/>
              <w:ind w:left="162"/>
              <w:rPr>
                <w:b/>
                <w:sz w:val="21"/>
              </w:rPr>
            </w:pPr>
            <w:r>
              <w:rPr>
                <w:b/>
                <w:sz w:val="21"/>
              </w:rPr>
              <w:t>未还款项</w:t>
            </w:r>
          </w:p>
        </w:tc>
        <w:tc>
          <w:tcPr>
            <w:tcW w:w="7092" w:type="dxa"/>
          </w:tcPr>
          <w:p>
            <w:pPr>
              <w:pStyle w:val="TableParagraph"/>
              <w:spacing w:line="273" w:lineRule="auto" w:before="49"/>
              <w:ind w:left="115" w:right="99"/>
              <w:jc w:val="both"/>
              <w:rPr>
                <w:sz w:val="21"/>
              </w:rPr>
            </w:pPr>
            <w:r>
              <w:rPr>
                <w:spacing w:val="-7"/>
                <w:sz w:val="21"/>
              </w:rPr>
              <w:t>我们在给付各项保险金、退还本合同保险单的现金价值或退还保险费时，若</w:t>
            </w:r>
            <w:r>
              <w:rPr>
                <w:spacing w:val="-10"/>
                <w:sz w:val="21"/>
              </w:rPr>
              <w:t>您存在欠交保险费、保单贷款或其他未还款项及相应利息，我们会在扣除上</w:t>
            </w:r>
            <w:r>
              <w:rPr>
                <w:spacing w:val="-5"/>
                <w:sz w:val="21"/>
              </w:rPr>
              <w:t>述欠款后给付。</w:t>
            </w:r>
          </w:p>
        </w:tc>
      </w:tr>
      <w:tr>
        <w:trPr>
          <w:trHeight w:val="1077" w:hRule="atLeast"/>
        </w:trPr>
        <w:tc>
          <w:tcPr>
            <w:tcW w:w="906" w:type="dxa"/>
          </w:tcPr>
          <w:p>
            <w:pPr>
              <w:pStyle w:val="TableParagraph"/>
              <w:spacing w:before="48"/>
              <w:ind w:left="108"/>
              <w:rPr>
                <w:b/>
                <w:sz w:val="21"/>
              </w:rPr>
            </w:pPr>
            <w:r>
              <w:rPr>
                <w:b/>
                <w:sz w:val="21"/>
              </w:rPr>
              <w:t>9.3</w:t>
            </w:r>
          </w:p>
        </w:tc>
        <w:tc>
          <w:tcPr>
            <w:tcW w:w="1544" w:type="dxa"/>
          </w:tcPr>
          <w:p>
            <w:pPr>
              <w:pStyle w:val="TableParagraph"/>
              <w:spacing w:before="48"/>
              <w:ind w:left="162"/>
              <w:rPr>
                <w:b/>
                <w:sz w:val="21"/>
              </w:rPr>
            </w:pPr>
            <w:r>
              <w:rPr>
                <w:b/>
                <w:sz w:val="21"/>
              </w:rPr>
              <w:t>合同内容变更</w:t>
            </w:r>
          </w:p>
        </w:tc>
        <w:tc>
          <w:tcPr>
            <w:tcW w:w="7092" w:type="dxa"/>
          </w:tcPr>
          <w:p>
            <w:pPr>
              <w:pStyle w:val="TableParagraph"/>
              <w:spacing w:line="273" w:lineRule="auto" w:before="48"/>
              <w:ind w:left="115" w:right="99"/>
              <w:jc w:val="both"/>
              <w:rPr>
                <w:sz w:val="21"/>
              </w:rPr>
            </w:pPr>
            <w:r>
              <w:rPr>
                <w:spacing w:val="-7"/>
                <w:sz w:val="21"/>
              </w:rPr>
              <w:t>在本合同有效期内，经您与我们协商一致，可以变更本合同的有关内容。变</w:t>
            </w:r>
            <w:r>
              <w:rPr>
                <w:spacing w:val="-10"/>
                <w:sz w:val="21"/>
              </w:rPr>
              <w:t>更本合同的，应当由我们在保险单上批注或者附贴批单，或者由您与我们订</w:t>
            </w:r>
            <w:r>
              <w:rPr>
                <w:spacing w:val="-5"/>
                <w:sz w:val="21"/>
              </w:rPr>
              <w:t>立书面的变更协议。</w:t>
            </w:r>
          </w:p>
        </w:tc>
      </w:tr>
      <w:tr>
        <w:trPr>
          <w:trHeight w:val="1389" w:hRule="atLeast"/>
        </w:trPr>
        <w:tc>
          <w:tcPr>
            <w:tcW w:w="906" w:type="dxa"/>
          </w:tcPr>
          <w:p>
            <w:pPr>
              <w:pStyle w:val="TableParagraph"/>
              <w:spacing w:before="48"/>
              <w:ind w:left="108"/>
              <w:rPr>
                <w:b/>
                <w:sz w:val="21"/>
              </w:rPr>
            </w:pPr>
            <w:r>
              <w:rPr>
                <w:b/>
                <w:sz w:val="21"/>
              </w:rPr>
              <w:t>9.4</w:t>
            </w:r>
          </w:p>
        </w:tc>
        <w:tc>
          <w:tcPr>
            <w:tcW w:w="1544" w:type="dxa"/>
          </w:tcPr>
          <w:p>
            <w:pPr>
              <w:pStyle w:val="TableParagraph"/>
              <w:spacing w:before="48"/>
              <w:ind w:left="162"/>
              <w:rPr>
                <w:b/>
                <w:sz w:val="21"/>
              </w:rPr>
            </w:pPr>
            <w:r>
              <w:rPr>
                <w:b/>
                <w:sz w:val="21"/>
              </w:rPr>
              <w:t>联系方式变更</w:t>
            </w:r>
          </w:p>
        </w:tc>
        <w:tc>
          <w:tcPr>
            <w:tcW w:w="7092" w:type="dxa"/>
          </w:tcPr>
          <w:p>
            <w:pPr>
              <w:pStyle w:val="TableParagraph"/>
              <w:spacing w:line="273" w:lineRule="auto" w:before="48"/>
              <w:ind w:left="115" w:right="99"/>
              <w:jc w:val="both"/>
              <w:rPr>
                <w:sz w:val="21"/>
              </w:rPr>
            </w:pPr>
            <w:r>
              <w:rPr>
                <w:spacing w:val="-7"/>
                <w:sz w:val="21"/>
              </w:rPr>
              <w:t>为了保障您的合法权益，您的住所、通讯地址或电话等联系方式变更时，请</w:t>
            </w:r>
            <w:r>
              <w:rPr>
                <w:spacing w:val="-8"/>
                <w:sz w:val="21"/>
              </w:rPr>
              <w:t>及时以书面形式或双方认可的其他形式通知我们。若您未以书面形式或双方</w:t>
            </w:r>
            <w:r>
              <w:rPr>
                <w:spacing w:val="-9"/>
                <w:sz w:val="21"/>
              </w:rPr>
              <w:t>认可的其他形式通知我们，我们按本合同载明的最后住所、通讯地址或电话</w:t>
            </w:r>
            <w:r>
              <w:rPr>
                <w:spacing w:val="-5"/>
                <w:sz w:val="21"/>
              </w:rPr>
              <w:t>等联系方式发送的有关通知，均视为已送达给您。</w:t>
            </w:r>
          </w:p>
        </w:tc>
      </w:tr>
      <w:tr>
        <w:trPr>
          <w:trHeight w:val="837" w:hRule="atLeast"/>
        </w:trPr>
        <w:tc>
          <w:tcPr>
            <w:tcW w:w="906" w:type="dxa"/>
          </w:tcPr>
          <w:p>
            <w:pPr>
              <w:pStyle w:val="TableParagraph"/>
              <w:spacing w:before="49"/>
              <w:ind w:left="108"/>
              <w:rPr>
                <w:b/>
                <w:sz w:val="21"/>
              </w:rPr>
            </w:pPr>
            <w:r>
              <w:rPr>
                <w:b/>
                <w:sz w:val="21"/>
              </w:rPr>
              <w:t>9.5</w:t>
            </w:r>
          </w:p>
        </w:tc>
        <w:tc>
          <w:tcPr>
            <w:tcW w:w="1544" w:type="dxa"/>
          </w:tcPr>
          <w:p>
            <w:pPr>
              <w:pStyle w:val="TableParagraph"/>
              <w:spacing w:before="49"/>
              <w:ind w:left="162"/>
              <w:rPr>
                <w:b/>
                <w:sz w:val="21"/>
              </w:rPr>
            </w:pPr>
            <w:r>
              <w:rPr>
                <w:b/>
                <w:sz w:val="21"/>
              </w:rPr>
              <w:t>争议处理</w:t>
            </w:r>
          </w:p>
        </w:tc>
        <w:tc>
          <w:tcPr>
            <w:tcW w:w="7092" w:type="dxa"/>
          </w:tcPr>
          <w:p>
            <w:pPr>
              <w:pStyle w:val="TableParagraph"/>
              <w:spacing w:line="273" w:lineRule="auto" w:before="49"/>
              <w:ind w:left="115" w:right="106"/>
              <w:rPr>
                <w:sz w:val="21"/>
              </w:rPr>
            </w:pPr>
            <w:r>
              <w:rPr>
                <w:spacing w:val="-8"/>
                <w:sz w:val="21"/>
              </w:rPr>
              <w:t>本合同履行过程中，双方发生争议的，由双方协商解决，协商不成的，按本</w:t>
            </w:r>
            <w:r>
              <w:rPr>
                <w:spacing w:val="-3"/>
                <w:sz w:val="21"/>
              </w:rPr>
              <w:t>合同约定向人民法院起诉或提交仲裁委员会仲裁。</w:t>
            </w:r>
          </w:p>
        </w:tc>
      </w:tr>
      <w:tr>
        <w:trPr>
          <w:trHeight w:val="312" w:hRule="atLeast"/>
        </w:trPr>
        <w:tc>
          <w:tcPr>
            <w:tcW w:w="906" w:type="dxa"/>
            <w:shd w:val="clear" w:color="auto" w:fill="A7A8A7"/>
          </w:tcPr>
          <w:p>
            <w:pPr>
              <w:pStyle w:val="TableParagraph"/>
              <w:spacing w:line="254" w:lineRule="exact"/>
              <w:ind w:left="108"/>
              <w:rPr>
                <w:b/>
                <w:sz w:val="21"/>
              </w:rPr>
            </w:pPr>
            <w:r>
              <w:rPr>
                <w:b/>
                <w:sz w:val="21"/>
              </w:rPr>
              <w:t>10．</w:t>
            </w:r>
          </w:p>
        </w:tc>
        <w:tc>
          <w:tcPr>
            <w:tcW w:w="8636" w:type="dxa"/>
            <w:gridSpan w:val="2"/>
            <w:shd w:val="clear" w:color="auto" w:fill="A7A8A7"/>
          </w:tcPr>
          <w:p>
            <w:pPr>
              <w:pStyle w:val="TableParagraph"/>
              <w:spacing w:line="254" w:lineRule="exact"/>
              <w:ind w:left="162"/>
              <w:rPr>
                <w:b/>
                <w:sz w:val="21"/>
              </w:rPr>
            </w:pPr>
            <w:r>
              <w:rPr>
                <w:b/>
                <w:sz w:val="21"/>
              </w:rPr>
              <w:t>重大疾病的定义</w:t>
            </w:r>
          </w:p>
        </w:tc>
      </w:tr>
      <w:tr>
        <w:trPr>
          <w:trHeight w:val="1149" w:hRule="atLeast"/>
        </w:trPr>
        <w:tc>
          <w:tcPr>
            <w:tcW w:w="906" w:type="dxa"/>
          </w:tcPr>
          <w:p>
            <w:pPr>
              <w:pStyle w:val="TableParagraph"/>
              <w:spacing w:before="120"/>
              <w:ind w:left="108"/>
              <w:rPr>
                <w:b/>
                <w:sz w:val="21"/>
              </w:rPr>
            </w:pPr>
            <w:r>
              <w:rPr>
                <w:b/>
                <w:sz w:val="21"/>
              </w:rPr>
              <w:t>10.1</w:t>
            </w:r>
          </w:p>
        </w:tc>
        <w:tc>
          <w:tcPr>
            <w:tcW w:w="1544" w:type="dxa"/>
          </w:tcPr>
          <w:p>
            <w:pPr>
              <w:pStyle w:val="TableParagraph"/>
              <w:spacing w:line="273" w:lineRule="auto" w:before="120"/>
              <w:ind w:left="162" w:right="112"/>
              <w:rPr>
                <w:b/>
                <w:sz w:val="21"/>
              </w:rPr>
            </w:pPr>
            <w:r>
              <w:rPr>
                <w:b/>
                <w:sz w:val="21"/>
              </w:rPr>
              <w:t>重大疾病的定义</w:t>
            </w:r>
          </w:p>
        </w:tc>
        <w:tc>
          <w:tcPr>
            <w:tcW w:w="7092" w:type="dxa"/>
          </w:tcPr>
          <w:p>
            <w:pPr>
              <w:pStyle w:val="TableParagraph"/>
              <w:spacing w:before="120"/>
              <w:ind w:left="118"/>
              <w:rPr>
                <w:b/>
                <w:sz w:val="21"/>
              </w:rPr>
            </w:pPr>
            <w:r>
              <w:rPr>
                <w:sz w:val="21"/>
              </w:rPr>
              <w:t>本合同所保障的重大疾病，是指被保险人在本合同有效期间内经</w:t>
            </w:r>
            <w:r>
              <w:rPr>
                <w:b/>
                <w:sz w:val="21"/>
              </w:rPr>
              <w:t>专科医生</w:t>
            </w:r>
          </w:p>
          <w:p>
            <w:pPr>
              <w:pStyle w:val="TableParagraph"/>
              <w:spacing w:line="273" w:lineRule="auto" w:before="36"/>
              <w:ind w:left="115" w:right="99"/>
              <w:rPr>
                <w:sz w:val="21"/>
              </w:rPr>
            </w:pPr>
            <w:r>
              <w:rPr>
                <w:sz w:val="21"/>
              </w:rPr>
              <w:t>（</w:t>
            </w:r>
            <w:r>
              <w:rPr>
                <w:spacing w:val="-3"/>
                <w:sz w:val="21"/>
              </w:rPr>
              <w:t>详见释义</w:t>
            </w:r>
            <w:r>
              <w:rPr>
                <w:spacing w:val="-63"/>
                <w:sz w:val="21"/>
              </w:rPr>
              <w:t>）</w:t>
            </w:r>
            <w:r>
              <w:rPr>
                <w:spacing w:val="-3"/>
                <w:sz w:val="21"/>
              </w:rPr>
              <w:t>明确诊断初次患下列疾病或初次达到下列疾病状态或在医院初次接受下列手术：</w:t>
            </w:r>
          </w:p>
        </w:tc>
      </w:tr>
      <w:tr>
        <w:trPr>
          <w:trHeight w:val="3651" w:hRule="atLeast"/>
        </w:trPr>
        <w:tc>
          <w:tcPr>
            <w:tcW w:w="906" w:type="dxa"/>
          </w:tcPr>
          <w:p>
            <w:pPr>
              <w:pStyle w:val="TableParagraph"/>
              <w:spacing w:before="48"/>
              <w:ind w:left="108"/>
              <w:rPr>
                <w:b/>
                <w:sz w:val="21"/>
              </w:rPr>
            </w:pPr>
            <w:r>
              <w:rPr>
                <w:b/>
                <w:sz w:val="21"/>
              </w:rPr>
              <w:t>10.1.1</w:t>
            </w:r>
          </w:p>
        </w:tc>
        <w:tc>
          <w:tcPr>
            <w:tcW w:w="1544" w:type="dxa"/>
          </w:tcPr>
          <w:p>
            <w:pPr>
              <w:pStyle w:val="TableParagraph"/>
              <w:spacing w:before="48"/>
              <w:ind w:left="162"/>
              <w:rPr>
                <w:b/>
                <w:sz w:val="21"/>
              </w:rPr>
            </w:pPr>
            <w:r>
              <w:rPr>
                <w:b/>
                <w:sz w:val="21"/>
              </w:rPr>
              <w:t>恶性肿瘤</w:t>
            </w:r>
          </w:p>
        </w:tc>
        <w:tc>
          <w:tcPr>
            <w:tcW w:w="7092" w:type="dxa"/>
          </w:tcPr>
          <w:p>
            <w:pPr>
              <w:pStyle w:val="TableParagraph"/>
              <w:spacing w:line="273" w:lineRule="auto" w:before="48"/>
              <w:ind w:left="115" w:right="99"/>
              <w:jc w:val="both"/>
              <w:rPr>
                <w:sz w:val="21"/>
              </w:rPr>
            </w:pPr>
            <w:r>
              <w:rPr>
                <w:spacing w:val="-6"/>
                <w:sz w:val="21"/>
              </w:rPr>
              <w:t>指恶性细胞不受控制的进行性增长和扩散，浸润和破坏周围正常组织，可以</w:t>
            </w:r>
            <w:r>
              <w:rPr>
                <w:spacing w:val="-10"/>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4"/>
              <w:ind w:left="115"/>
              <w:jc w:val="both"/>
              <w:rPr>
                <w:rFonts w:ascii="黑体" w:eastAsia="黑体" w:hint="eastAsia"/>
                <w:sz w:val="21"/>
              </w:rPr>
            </w:pPr>
            <w:r>
              <w:rPr>
                <w:rFonts w:ascii="黑体" w:eastAsia="黑体" w:hint="eastAsia"/>
                <w:sz w:val="21"/>
              </w:rPr>
              <w:t>下列疾病不在保障范围内：</w:t>
            </w:r>
          </w:p>
          <w:p>
            <w:pPr>
              <w:pStyle w:val="TableParagraph"/>
              <w:spacing w:before="37"/>
              <w:ind w:left="115"/>
              <w:jc w:val="both"/>
              <w:rPr>
                <w:rFonts w:ascii="黑体" w:eastAsia="黑体" w:hint="eastAsia"/>
                <w:sz w:val="21"/>
              </w:rPr>
            </w:pPr>
            <w:r>
              <w:rPr>
                <w:rFonts w:ascii="黑体" w:eastAsia="黑体" w:hint="eastAsia"/>
                <w:sz w:val="21"/>
              </w:rPr>
              <w:t>(1)原位癌；</w:t>
            </w:r>
          </w:p>
          <w:p>
            <w:pPr>
              <w:pStyle w:val="TableParagraph"/>
              <w:spacing w:before="37"/>
              <w:ind w:left="115"/>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15"/>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15"/>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15"/>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115"/>
              <w:jc w:val="both"/>
              <w:rPr>
                <w:rFonts w:ascii="黑体" w:eastAsia="黑体" w:hint="eastAsia"/>
                <w:sz w:val="21"/>
              </w:rPr>
            </w:pPr>
            <w:r>
              <w:rPr>
                <w:rFonts w:ascii="黑体" w:eastAsia="黑体" w:hint="eastAsia"/>
                <w:sz w:val="21"/>
              </w:rPr>
              <w:t>(6)感染艾滋病病毒或患艾滋病期间所患恶性肿瘤。</w:t>
            </w:r>
          </w:p>
        </w:tc>
      </w:tr>
      <w:tr>
        <w:trPr>
          <w:trHeight w:val="2326" w:hRule="atLeast"/>
        </w:trPr>
        <w:tc>
          <w:tcPr>
            <w:tcW w:w="906" w:type="dxa"/>
          </w:tcPr>
          <w:p>
            <w:pPr>
              <w:pStyle w:val="TableParagraph"/>
              <w:spacing w:before="50"/>
              <w:ind w:left="108"/>
              <w:rPr>
                <w:b/>
                <w:sz w:val="21"/>
              </w:rPr>
            </w:pPr>
            <w:r>
              <w:rPr>
                <w:b/>
                <w:sz w:val="21"/>
              </w:rPr>
              <w:t>10.1.2</w:t>
            </w:r>
          </w:p>
        </w:tc>
        <w:tc>
          <w:tcPr>
            <w:tcW w:w="1544" w:type="dxa"/>
          </w:tcPr>
          <w:p>
            <w:pPr>
              <w:pStyle w:val="TableParagraph"/>
              <w:spacing w:before="50"/>
              <w:ind w:left="162"/>
              <w:rPr>
                <w:b/>
                <w:sz w:val="21"/>
              </w:rPr>
            </w:pPr>
            <w:r>
              <w:rPr>
                <w:b/>
                <w:sz w:val="21"/>
              </w:rPr>
              <w:t>急性心肌梗塞</w:t>
            </w:r>
          </w:p>
        </w:tc>
        <w:tc>
          <w:tcPr>
            <w:tcW w:w="7092" w:type="dxa"/>
          </w:tcPr>
          <w:p>
            <w:pPr>
              <w:pStyle w:val="TableParagraph"/>
              <w:spacing w:line="273" w:lineRule="auto" w:before="50"/>
              <w:ind w:left="115" w:right="42"/>
              <w:rPr>
                <w:sz w:val="21"/>
              </w:rPr>
            </w:pPr>
            <w:r>
              <w:rPr>
                <w:sz w:val="21"/>
              </w:rPr>
              <w:t>指因冠状动脉阻塞导致的相应区域供血不足造成部分心肌坏死。须满足下列至少三项条件：</w:t>
            </w:r>
          </w:p>
          <w:p>
            <w:pPr>
              <w:pStyle w:val="TableParagraph"/>
              <w:spacing w:before="7"/>
              <w:ind w:left="115"/>
              <w:rPr>
                <w:sz w:val="21"/>
              </w:rPr>
            </w:pPr>
            <w:r>
              <w:rPr>
                <w:sz w:val="21"/>
              </w:rPr>
              <w:t>(1)典型临床表现，例如急性胸痛等；</w:t>
            </w:r>
          </w:p>
          <w:p>
            <w:pPr>
              <w:pStyle w:val="TableParagraph"/>
              <w:spacing w:before="36"/>
              <w:ind w:left="115"/>
              <w:rPr>
                <w:sz w:val="21"/>
              </w:rPr>
            </w:pPr>
            <w:r>
              <w:rPr>
                <w:sz w:val="21"/>
              </w:rPr>
              <w:t>(2)新近的心电图改变提示急性心肌梗塞；</w:t>
            </w:r>
          </w:p>
          <w:p>
            <w:pPr>
              <w:pStyle w:val="TableParagraph"/>
              <w:spacing w:line="273" w:lineRule="auto" w:before="36"/>
              <w:ind w:left="115" w:right="103"/>
              <w:rPr>
                <w:sz w:val="21"/>
              </w:rPr>
            </w:pPr>
            <w:r>
              <w:rPr>
                <w:sz w:val="21"/>
              </w:rPr>
              <w:t>(3)心肌酶或肌钙蛋白有诊断意义的升高，或呈符合急性心肌梗塞的动态性变化；</w:t>
            </w:r>
          </w:p>
          <w:p>
            <w:pPr>
              <w:pStyle w:val="TableParagraph"/>
              <w:spacing w:before="7"/>
              <w:ind w:left="115" w:right="-15"/>
              <w:rPr>
                <w:sz w:val="21"/>
              </w:rPr>
            </w:pPr>
            <w:r>
              <w:rPr>
                <w:sz w:val="21"/>
              </w:rPr>
              <w:t>(4)</w:t>
            </w:r>
            <w:r>
              <w:rPr>
                <w:spacing w:val="-15"/>
                <w:sz w:val="21"/>
              </w:rPr>
              <w:t>发病 </w:t>
            </w:r>
            <w:r>
              <w:rPr>
                <w:sz w:val="21"/>
              </w:rPr>
              <w:t>90</w:t>
            </w:r>
            <w:r>
              <w:rPr>
                <w:spacing w:val="-17"/>
                <w:sz w:val="21"/>
              </w:rPr>
              <w:t> 天后，经检查证实左心室功能降低，如左心室射血分数低于 </w:t>
            </w:r>
            <w:r>
              <w:rPr>
                <w:sz w:val="21"/>
              </w:rPr>
              <w:t>50%。</w:t>
            </w:r>
          </w:p>
        </w:tc>
      </w:tr>
      <w:tr>
        <w:trPr>
          <w:trHeight w:val="332" w:hRule="atLeast"/>
        </w:trPr>
        <w:tc>
          <w:tcPr>
            <w:tcW w:w="906" w:type="dxa"/>
          </w:tcPr>
          <w:p>
            <w:pPr>
              <w:pStyle w:val="TableParagraph"/>
              <w:spacing w:line="264" w:lineRule="exact" w:before="49"/>
              <w:ind w:left="108"/>
              <w:rPr>
                <w:b/>
                <w:sz w:val="21"/>
              </w:rPr>
            </w:pPr>
            <w:r>
              <w:rPr>
                <w:b/>
                <w:sz w:val="21"/>
              </w:rPr>
              <w:t>10.1.3</w:t>
            </w:r>
          </w:p>
        </w:tc>
        <w:tc>
          <w:tcPr>
            <w:tcW w:w="1544" w:type="dxa"/>
          </w:tcPr>
          <w:p>
            <w:pPr>
              <w:pStyle w:val="TableParagraph"/>
              <w:spacing w:line="264" w:lineRule="exact" w:before="49"/>
              <w:ind w:left="162"/>
              <w:rPr>
                <w:b/>
                <w:sz w:val="21"/>
              </w:rPr>
            </w:pPr>
            <w:r>
              <w:rPr>
                <w:b/>
                <w:sz w:val="21"/>
              </w:rPr>
              <w:t>脑中风后遗症</w:t>
            </w:r>
          </w:p>
        </w:tc>
        <w:tc>
          <w:tcPr>
            <w:tcW w:w="7092" w:type="dxa"/>
          </w:tcPr>
          <w:p>
            <w:pPr>
              <w:pStyle w:val="TableParagraph"/>
              <w:spacing w:line="264" w:lineRule="exact" w:before="49"/>
              <w:ind w:left="115"/>
              <w:rPr>
                <w:sz w:val="21"/>
              </w:rPr>
            </w:pPr>
            <w:r>
              <w:rPr>
                <w:sz w:val="21"/>
              </w:rPr>
              <w:t>指因脑血管的突发病变引起脑血管出血、栓塞或梗塞，并导致神经系统永久</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519"/>
        <w:gridCol w:w="7216"/>
      </w:tblGrid>
      <w:tr>
        <w:trPr>
          <w:trHeight w:val="1892" w:hRule="atLeast"/>
        </w:trPr>
        <w:tc>
          <w:tcPr>
            <w:tcW w:w="997" w:type="dxa"/>
          </w:tcPr>
          <w:p>
            <w:pPr>
              <w:pStyle w:val="TableParagraph"/>
              <w:ind w:left="0"/>
              <w:rPr>
                <w:rFonts w:ascii="Times New Roman"/>
                <w:sz w:val="20"/>
              </w:rPr>
            </w:pPr>
          </w:p>
        </w:tc>
        <w:tc>
          <w:tcPr>
            <w:tcW w:w="1519" w:type="dxa"/>
          </w:tcPr>
          <w:p>
            <w:pPr>
              <w:pStyle w:val="TableParagraph"/>
              <w:ind w:left="0"/>
              <w:rPr>
                <w:rFonts w:ascii="Times New Roman"/>
                <w:sz w:val="20"/>
              </w:rPr>
            </w:pPr>
          </w:p>
        </w:tc>
        <w:tc>
          <w:tcPr>
            <w:tcW w:w="7216" w:type="dxa"/>
          </w:tcPr>
          <w:p>
            <w:pPr>
              <w:pStyle w:val="TableParagraph"/>
              <w:spacing w:line="202" w:lineRule="exact"/>
              <w:ind w:left="141"/>
              <w:rPr>
                <w:sz w:val="21"/>
              </w:rPr>
            </w:pPr>
            <w:r>
              <w:rPr>
                <w:sz w:val="21"/>
              </w:rPr>
              <w:t>性的功能障碍。神经系统永久性的功能障碍，指疾病确诊 180 天后，仍遗留</w:t>
            </w:r>
          </w:p>
          <w:p>
            <w:pPr>
              <w:pStyle w:val="TableParagraph"/>
              <w:spacing w:before="37"/>
              <w:ind w:left="141"/>
              <w:rPr>
                <w:sz w:val="21"/>
              </w:rPr>
            </w:pPr>
            <w:r>
              <w:rPr>
                <w:sz w:val="21"/>
              </w:rPr>
              <w:t>下列一种或一种以上障碍：</w:t>
            </w:r>
          </w:p>
          <w:p>
            <w:pPr>
              <w:pStyle w:val="TableParagraph"/>
              <w:spacing w:before="37"/>
              <w:ind w:left="141"/>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7"/>
              <w:ind w:left="141"/>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7"/>
              <w:ind w:left="141" w:right="201"/>
              <w:rPr>
                <w:sz w:val="21"/>
              </w:rPr>
            </w:pPr>
            <w:r>
              <w:rPr>
                <w:sz w:val="21"/>
              </w:rPr>
              <w:t>(3)自主生活能力完全丧失，无法独立完成六项基本日常生活活动中的三项或三项以上。</w:t>
            </w:r>
          </w:p>
        </w:tc>
      </w:tr>
      <w:tr>
        <w:trPr>
          <w:trHeight w:val="1779" w:hRule="atLeast"/>
        </w:trPr>
        <w:tc>
          <w:tcPr>
            <w:tcW w:w="997" w:type="dxa"/>
          </w:tcPr>
          <w:p>
            <w:pPr>
              <w:pStyle w:val="TableParagraph"/>
              <w:spacing w:before="48"/>
              <w:ind w:left="200"/>
              <w:rPr>
                <w:b/>
                <w:sz w:val="21"/>
              </w:rPr>
            </w:pPr>
            <w:r>
              <w:rPr>
                <w:b/>
                <w:sz w:val="21"/>
              </w:rPr>
              <w:t>10.1.4</w:t>
            </w:r>
          </w:p>
        </w:tc>
        <w:tc>
          <w:tcPr>
            <w:tcW w:w="1519" w:type="dxa"/>
          </w:tcPr>
          <w:p>
            <w:pPr>
              <w:pStyle w:val="TableParagraph"/>
              <w:spacing w:line="273" w:lineRule="auto" w:before="48"/>
              <w:ind w:left="163" w:right="86"/>
              <w:jc w:val="both"/>
              <w:rPr>
                <w:b/>
                <w:sz w:val="21"/>
              </w:rPr>
            </w:pPr>
            <w:r>
              <w:rPr>
                <w:b/>
                <w:sz w:val="21"/>
              </w:rPr>
              <w:t>重大器官移植术或造血干细胞移植术</w:t>
            </w:r>
          </w:p>
        </w:tc>
        <w:tc>
          <w:tcPr>
            <w:tcW w:w="7216" w:type="dxa"/>
          </w:tcPr>
          <w:p>
            <w:pPr>
              <w:pStyle w:val="TableParagraph"/>
              <w:spacing w:line="273" w:lineRule="auto" w:before="48"/>
              <w:ind w:left="141" w:right="204"/>
              <w:jc w:val="both"/>
              <w:rPr>
                <w:sz w:val="21"/>
              </w:rPr>
            </w:pPr>
            <w:r>
              <w:rPr>
                <w:spacing w:val="-8"/>
                <w:sz w:val="21"/>
              </w:rPr>
              <w:t>重大器官移植术，指因相应器官功能衰竭，已经实施了肾脏、肝脏、心脏或</w:t>
            </w:r>
            <w:r>
              <w:rPr>
                <w:spacing w:val="-3"/>
                <w:sz w:val="21"/>
              </w:rPr>
              <w:t>肺脏的异体移植手术。</w:t>
            </w:r>
          </w:p>
          <w:p>
            <w:pPr>
              <w:pStyle w:val="TableParagraph"/>
              <w:spacing w:line="273" w:lineRule="auto" w:before="84"/>
              <w:ind w:left="141" w:right="197"/>
              <w:jc w:val="both"/>
              <w:rPr>
                <w:sz w:val="21"/>
              </w:rPr>
            </w:pPr>
            <w:r>
              <w:rPr>
                <w:spacing w:val="-8"/>
                <w:sz w:val="21"/>
              </w:rPr>
              <w:t>造血干细胞移植术，指因造血功能损害或造血系统恶性肿瘤，已经实施了造</w:t>
            </w:r>
            <w:r>
              <w:rPr>
                <w:spacing w:val="-11"/>
                <w:sz w:val="21"/>
              </w:rPr>
              <w:t>血干细胞</w:t>
            </w:r>
            <w:r>
              <w:rPr>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467" w:hRule="atLeast"/>
        </w:trPr>
        <w:tc>
          <w:tcPr>
            <w:tcW w:w="997" w:type="dxa"/>
          </w:tcPr>
          <w:p>
            <w:pPr>
              <w:pStyle w:val="TableParagraph"/>
              <w:spacing w:before="50"/>
              <w:ind w:left="200"/>
              <w:rPr>
                <w:b/>
                <w:sz w:val="21"/>
              </w:rPr>
            </w:pPr>
            <w:r>
              <w:rPr>
                <w:b/>
                <w:sz w:val="21"/>
              </w:rPr>
              <w:t>10.1.5</w:t>
            </w:r>
          </w:p>
        </w:tc>
        <w:tc>
          <w:tcPr>
            <w:tcW w:w="1519" w:type="dxa"/>
          </w:tcPr>
          <w:p>
            <w:pPr>
              <w:pStyle w:val="TableParagraph"/>
              <w:spacing w:line="273" w:lineRule="auto" w:before="50"/>
              <w:ind w:left="163" w:right="86"/>
              <w:jc w:val="both"/>
              <w:rPr>
                <w:b/>
                <w:sz w:val="21"/>
              </w:rPr>
            </w:pPr>
            <w:r>
              <w:rPr>
                <w:b/>
                <w:sz w:val="21"/>
              </w:rPr>
              <w:t>冠状动脉搭桥术（或称冠状动脉旁路移植术）</w:t>
            </w:r>
          </w:p>
        </w:tc>
        <w:tc>
          <w:tcPr>
            <w:tcW w:w="7216" w:type="dxa"/>
          </w:tcPr>
          <w:p>
            <w:pPr>
              <w:pStyle w:val="TableParagraph"/>
              <w:spacing w:line="273" w:lineRule="auto" w:before="50"/>
              <w:ind w:left="141" w:right="197"/>
              <w:rPr>
                <w:sz w:val="21"/>
              </w:rPr>
            </w:pPr>
            <w:r>
              <w:rPr>
                <w:spacing w:val="-9"/>
                <w:sz w:val="21"/>
              </w:rPr>
              <w:t>指为治疗严重的冠心病，实际实施了开胸进行的冠状动脉血管旁路移植的手术。</w:t>
            </w:r>
          </w:p>
          <w:p>
            <w:pPr>
              <w:pStyle w:val="TableParagraph"/>
              <w:spacing w:line="273" w:lineRule="auto" w:before="84"/>
              <w:ind w:left="141" w:right="197"/>
              <w:rPr>
                <w:rFonts w:ascii="黑体" w:eastAsia="黑体" w:hint="eastAsia"/>
                <w:sz w:val="21"/>
              </w:rPr>
            </w:pPr>
            <w:r>
              <w:rPr>
                <w:rFonts w:ascii="黑体" w:eastAsia="黑体" w:hint="eastAsia"/>
                <w:spacing w:val="-8"/>
                <w:sz w:val="21"/>
              </w:rPr>
              <w:t>冠状动脉支架植入术、心导管球囊扩张术、激光射频技术及其它非开胸的介</w:t>
            </w:r>
            <w:r>
              <w:rPr>
                <w:rFonts w:ascii="黑体" w:eastAsia="黑体" w:hint="eastAsia"/>
                <w:spacing w:val="-5"/>
                <w:sz w:val="21"/>
              </w:rPr>
              <w:t>入手术、腔镜手术不在保障范围内。</w:t>
            </w:r>
          </w:p>
        </w:tc>
      </w:tr>
      <w:tr>
        <w:trPr>
          <w:trHeight w:val="1389" w:hRule="atLeast"/>
        </w:trPr>
        <w:tc>
          <w:tcPr>
            <w:tcW w:w="997" w:type="dxa"/>
          </w:tcPr>
          <w:p>
            <w:pPr>
              <w:pStyle w:val="TableParagraph"/>
              <w:spacing w:before="48"/>
              <w:ind w:left="200"/>
              <w:rPr>
                <w:b/>
                <w:sz w:val="21"/>
              </w:rPr>
            </w:pPr>
            <w:r>
              <w:rPr>
                <w:b/>
                <w:sz w:val="21"/>
              </w:rPr>
              <w:t>10.1.6</w:t>
            </w:r>
          </w:p>
        </w:tc>
        <w:tc>
          <w:tcPr>
            <w:tcW w:w="1519" w:type="dxa"/>
          </w:tcPr>
          <w:p>
            <w:pPr>
              <w:pStyle w:val="TableParagraph"/>
              <w:spacing w:before="48"/>
              <w:ind w:left="55"/>
              <w:rPr>
                <w:b/>
                <w:sz w:val="21"/>
              </w:rPr>
            </w:pPr>
            <w:r>
              <w:rPr>
                <w:b/>
                <w:sz w:val="21"/>
              </w:rPr>
              <w:t>终末期肾病</w:t>
            </w:r>
          </w:p>
          <w:p>
            <w:pPr>
              <w:pStyle w:val="TableParagraph"/>
              <w:spacing w:line="273" w:lineRule="auto" w:before="36"/>
              <w:ind w:left="55" w:right="194"/>
              <w:jc w:val="both"/>
              <w:rPr>
                <w:b/>
                <w:sz w:val="21"/>
              </w:rPr>
            </w:pPr>
            <w:r>
              <w:rPr>
                <w:b/>
                <w:sz w:val="21"/>
              </w:rPr>
              <w:t>（或称慢性肾功能衰竭尿毒症期）</w:t>
            </w:r>
          </w:p>
        </w:tc>
        <w:tc>
          <w:tcPr>
            <w:tcW w:w="7216" w:type="dxa"/>
          </w:tcPr>
          <w:p>
            <w:pPr>
              <w:pStyle w:val="TableParagraph"/>
              <w:spacing w:before="48"/>
              <w:ind w:left="88"/>
              <w:rPr>
                <w:sz w:val="21"/>
              </w:rPr>
            </w:pPr>
            <w:r>
              <w:rPr>
                <w:sz w:val="21"/>
              </w:rPr>
              <w:t>指双肾功能慢性不可逆性衰竭，达到尿毒症期，经诊断后已经进行了至少 90</w:t>
            </w:r>
          </w:p>
          <w:p>
            <w:pPr>
              <w:pStyle w:val="TableParagraph"/>
              <w:spacing w:before="36"/>
              <w:ind w:left="88"/>
              <w:rPr>
                <w:sz w:val="21"/>
              </w:rPr>
            </w:pPr>
            <w:r>
              <w:rPr>
                <w:sz w:val="21"/>
              </w:rPr>
              <w:t>天的规律性透析治疗或实施了肾脏移植手术。</w:t>
            </w:r>
          </w:p>
        </w:tc>
      </w:tr>
      <w:tr>
        <w:trPr>
          <w:trHeight w:val="766" w:hRule="atLeast"/>
        </w:trPr>
        <w:tc>
          <w:tcPr>
            <w:tcW w:w="997" w:type="dxa"/>
          </w:tcPr>
          <w:p>
            <w:pPr>
              <w:pStyle w:val="TableParagraph"/>
              <w:spacing w:before="48"/>
              <w:ind w:left="200"/>
              <w:rPr>
                <w:b/>
                <w:sz w:val="21"/>
              </w:rPr>
            </w:pPr>
            <w:r>
              <w:rPr>
                <w:b/>
                <w:sz w:val="21"/>
              </w:rPr>
              <w:t>10.1.7</w:t>
            </w:r>
          </w:p>
        </w:tc>
        <w:tc>
          <w:tcPr>
            <w:tcW w:w="1519" w:type="dxa"/>
          </w:tcPr>
          <w:p>
            <w:pPr>
              <w:pStyle w:val="TableParagraph"/>
              <w:spacing w:before="48"/>
              <w:ind w:left="163"/>
              <w:rPr>
                <w:b/>
                <w:sz w:val="21"/>
              </w:rPr>
            </w:pPr>
            <w:r>
              <w:rPr>
                <w:b/>
                <w:sz w:val="21"/>
              </w:rPr>
              <w:t>多个肢体缺失</w:t>
            </w:r>
          </w:p>
        </w:tc>
        <w:tc>
          <w:tcPr>
            <w:tcW w:w="7216" w:type="dxa"/>
          </w:tcPr>
          <w:p>
            <w:pPr>
              <w:pStyle w:val="TableParagraph"/>
              <w:spacing w:line="273" w:lineRule="auto" w:before="48"/>
              <w:ind w:left="141" w:right="130"/>
              <w:rPr>
                <w:sz w:val="21"/>
              </w:rPr>
            </w:pPr>
            <w:r>
              <w:rPr>
                <w:sz w:val="21"/>
              </w:rPr>
              <w:t>指因疾病或意外伤害导致两个或两个以上肢体自腕关节或踝关节近端（靠近躯干端）以上完全性断离。</w:t>
            </w:r>
          </w:p>
        </w:tc>
      </w:tr>
      <w:tr>
        <w:trPr>
          <w:trHeight w:val="2014" w:hRule="atLeast"/>
        </w:trPr>
        <w:tc>
          <w:tcPr>
            <w:tcW w:w="997" w:type="dxa"/>
          </w:tcPr>
          <w:p>
            <w:pPr>
              <w:pStyle w:val="TableParagraph"/>
              <w:spacing w:before="50"/>
              <w:ind w:left="200"/>
              <w:rPr>
                <w:b/>
                <w:sz w:val="21"/>
              </w:rPr>
            </w:pPr>
            <w:r>
              <w:rPr>
                <w:b/>
                <w:sz w:val="21"/>
              </w:rPr>
              <w:t>10.1.8</w:t>
            </w:r>
          </w:p>
        </w:tc>
        <w:tc>
          <w:tcPr>
            <w:tcW w:w="1519" w:type="dxa"/>
          </w:tcPr>
          <w:p>
            <w:pPr>
              <w:pStyle w:val="TableParagraph"/>
              <w:spacing w:line="273" w:lineRule="auto" w:before="50"/>
              <w:ind w:left="163" w:right="86"/>
              <w:rPr>
                <w:b/>
                <w:sz w:val="21"/>
              </w:rPr>
            </w:pPr>
            <w:r>
              <w:rPr>
                <w:b/>
                <w:sz w:val="21"/>
              </w:rPr>
              <w:t>急性或亚急性重症肝炎</w:t>
            </w:r>
          </w:p>
        </w:tc>
        <w:tc>
          <w:tcPr>
            <w:tcW w:w="7216" w:type="dxa"/>
          </w:tcPr>
          <w:p>
            <w:pPr>
              <w:pStyle w:val="TableParagraph"/>
              <w:spacing w:line="273" w:lineRule="auto" w:before="50"/>
              <w:ind w:left="141" w:right="14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41"/>
              <w:rPr>
                <w:sz w:val="21"/>
              </w:rPr>
            </w:pPr>
            <w:r>
              <w:rPr>
                <w:sz w:val="21"/>
              </w:rPr>
              <w:t>(1)重度黄疸或黄疸迅速加重；</w:t>
            </w:r>
          </w:p>
          <w:p>
            <w:pPr>
              <w:pStyle w:val="TableParagraph"/>
              <w:spacing w:before="36"/>
              <w:ind w:left="141"/>
              <w:rPr>
                <w:sz w:val="21"/>
              </w:rPr>
            </w:pPr>
            <w:r>
              <w:rPr>
                <w:sz w:val="21"/>
              </w:rPr>
              <w:t>(2)肝性脑病；</w:t>
            </w:r>
          </w:p>
          <w:p>
            <w:pPr>
              <w:pStyle w:val="TableParagraph"/>
              <w:spacing w:before="36"/>
              <w:ind w:left="141"/>
              <w:rPr>
                <w:sz w:val="21"/>
              </w:rPr>
            </w:pPr>
            <w:r>
              <w:rPr>
                <w:sz w:val="21"/>
              </w:rPr>
              <w:t>(3)B 超或其它影像学检查显示肝脏体积急速萎缩；</w:t>
            </w:r>
          </w:p>
          <w:p>
            <w:pPr>
              <w:pStyle w:val="TableParagraph"/>
              <w:spacing w:before="36"/>
              <w:ind w:left="141"/>
              <w:rPr>
                <w:sz w:val="21"/>
              </w:rPr>
            </w:pPr>
            <w:r>
              <w:rPr>
                <w:sz w:val="21"/>
              </w:rPr>
              <w:t>(4)肝功能指标进行性恶化。</w:t>
            </w:r>
          </w:p>
        </w:tc>
      </w:tr>
      <w:tr>
        <w:trPr>
          <w:trHeight w:val="2402" w:hRule="atLeast"/>
        </w:trPr>
        <w:tc>
          <w:tcPr>
            <w:tcW w:w="997" w:type="dxa"/>
          </w:tcPr>
          <w:p>
            <w:pPr>
              <w:pStyle w:val="TableParagraph"/>
              <w:spacing w:before="49"/>
              <w:ind w:left="200"/>
              <w:rPr>
                <w:b/>
                <w:sz w:val="21"/>
              </w:rPr>
            </w:pPr>
            <w:r>
              <w:rPr>
                <w:b/>
                <w:sz w:val="21"/>
              </w:rPr>
              <w:t>10.1.9</w:t>
            </w:r>
          </w:p>
        </w:tc>
        <w:tc>
          <w:tcPr>
            <w:tcW w:w="1519" w:type="dxa"/>
          </w:tcPr>
          <w:p>
            <w:pPr>
              <w:pStyle w:val="TableParagraph"/>
              <w:spacing w:before="49"/>
              <w:ind w:left="163"/>
              <w:rPr>
                <w:b/>
                <w:sz w:val="21"/>
              </w:rPr>
            </w:pPr>
            <w:r>
              <w:rPr>
                <w:b/>
                <w:sz w:val="21"/>
              </w:rPr>
              <w:t>良性脑肿瘤</w:t>
            </w:r>
          </w:p>
        </w:tc>
        <w:tc>
          <w:tcPr>
            <w:tcW w:w="7216" w:type="dxa"/>
          </w:tcPr>
          <w:p>
            <w:pPr>
              <w:pStyle w:val="TableParagraph"/>
              <w:spacing w:line="273" w:lineRule="auto" w:before="49"/>
              <w:ind w:left="141" w:right="199"/>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症状、癫痫及运动感觉障碍等，并危及生命。须由头颅断层扫描（CT</w:t>
            </w:r>
            <w:r>
              <w:rPr>
                <w:spacing w:val="-106"/>
                <w:w w:val="100"/>
                <w:sz w:val="21"/>
              </w:rPr>
              <w:t>）</w:t>
            </w:r>
            <w:r>
              <w:rPr>
                <w:w w:val="100"/>
                <w:sz w:val="21"/>
              </w:rPr>
              <w:t>、核</w:t>
            </w:r>
            <w:r>
              <w:rPr>
                <w:spacing w:val="-4"/>
                <w:sz w:val="21"/>
              </w:rPr>
              <w:t>磁共振检查（MRI）</w:t>
            </w:r>
            <w:r>
              <w:rPr>
                <w:spacing w:val="-5"/>
                <w:sz w:val="21"/>
              </w:rPr>
              <w:t>或正电子发射断层扫描（PET）等影像学检查证实，并须</w:t>
            </w:r>
            <w:r>
              <w:rPr>
                <w:spacing w:val="-4"/>
                <w:sz w:val="21"/>
              </w:rPr>
              <w:t>满足下列至少一项条件：</w:t>
            </w:r>
          </w:p>
          <w:p>
            <w:pPr>
              <w:pStyle w:val="TableParagraph"/>
              <w:spacing w:before="8"/>
              <w:ind w:left="141"/>
              <w:jc w:val="both"/>
              <w:rPr>
                <w:sz w:val="21"/>
              </w:rPr>
            </w:pPr>
            <w:r>
              <w:rPr>
                <w:sz w:val="21"/>
              </w:rPr>
              <w:t>(1)实际实施了开颅进行的脑肿瘤完全切除或部分切除的手术；</w:t>
            </w:r>
          </w:p>
          <w:p>
            <w:pPr>
              <w:pStyle w:val="TableParagraph"/>
              <w:spacing w:before="37"/>
              <w:ind w:left="141"/>
              <w:jc w:val="both"/>
              <w:rPr>
                <w:sz w:val="21"/>
              </w:rPr>
            </w:pPr>
            <w:r>
              <w:rPr>
                <w:sz w:val="21"/>
              </w:rPr>
              <w:t>(2)实际实施了对脑肿瘤进行的放射治疗。</w:t>
            </w:r>
          </w:p>
          <w:p>
            <w:pPr>
              <w:pStyle w:val="TableParagraph"/>
              <w:spacing w:before="113"/>
              <w:ind w:left="141"/>
              <w:jc w:val="both"/>
              <w:rPr>
                <w:rFonts w:ascii="黑体" w:eastAsia="黑体" w:hint="eastAsia"/>
                <w:sz w:val="21"/>
              </w:rPr>
            </w:pPr>
            <w:r>
              <w:rPr>
                <w:rFonts w:ascii="黑体" w:eastAsia="黑体" w:hint="eastAsia"/>
                <w:sz w:val="21"/>
              </w:rPr>
              <w:t>脑垂体瘤、脑囊肿、脑血管性疾病不在保障范围内。</w:t>
            </w:r>
          </w:p>
        </w:tc>
      </w:tr>
      <w:tr>
        <w:trPr>
          <w:trHeight w:val="1971" w:hRule="atLeast"/>
        </w:trPr>
        <w:tc>
          <w:tcPr>
            <w:tcW w:w="997" w:type="dxa"/>
          </w:tcPr>
          <w:p>
            <w:pPr>
              <w:pStyle w:val="TableParagraph"/>
              <w:spacing w:before="49"/>
              <w:ind w:left="200"/>
              <w:rPr>
                <w:b/>
                <w:sz w:val="21"/>
              </w:rPr>
            </w:pPr>
            <w:r>
              <w:rPr>
                <w:b/>
                <w:sz w:val="21"/>
              </w:rPr>
              <w:t>10.1.10</w:t>
            </w:r>
          </w:p>
        </w:tc>
        <w:tc>
          <w:tcPr>
            <w:tcW w:w="1519" w:type="dxa"/>
          </w:tcPr>
          <w:p>
            <w:pPr>
              <w:pStyle w:val="TableParagraph"/>
              <w:spacing w:line="273" w:lineRule="auto" w:before="49"/>
              <w:ind w:left="163" w:right="86"/>
              <w:rPr>
                <w:b/>
                <w:sz w:val="21"/>
              </w:rPr>
            </w:pPr>
            <w:r>
              <w:rPr>
                <w:b/>
                <w:sz w:val="21"/>
              </w:rPr>
              <w:t>慢性肝功能衰竭失代偿期</w:t>
            </w:r>
          </w:p>
        </w:tc>
        <w:tc>
          <w:tcPr>
            <w:tcW w:w="7216" w:type="dxa"/>
          </w:tcPr>
          <w:p>
            <w:pPr>
              <w:pStyle w:val="TableParagraph"/>
              <w:spacing w:before="49"/>
              <w:ind w:left="141"/>
              <w:rPr>
                <w:sz w:val="21"/>
              </w:rPr>
            </w:pPr>
            <w:r>
              <w:rPr>
                <w:sz w:val="21"/>
              </w:rPr>
              <w:t>指因慢性肝脏疾病导致肝功能衰竭。须满足下列全部条件：</w:t>
            </w:r>
          </w:p>
          <w:p>
            <w:pPr>
              <w:pStyle w:val="TableParagraph"/>
              <w:spacing w:before="37"/>
              <w:ind w:left="141"/>
              <w:rPr>
                <w:sz w:val="21"/>
              </w:rPr>
            </w:pPr>
            <w:r>
              <w:rPr>
                <w:sz w:val="21"/>
              </w:rPr>
              <w:t>(1)持续性黄疸；</w:t>
            </w:r>
          </w:p>
          <w:p>
            <w:pPr>
              <w:pStyle w:val="TableParagraph"/>
              <w:spacing w:before="37"/>
              <w:ind w:left="141"/>
              <w:rPr>
                <w:sz w:val="21"/>
              </w:rPr>
            </w:pPr>
            <w:r>
              <w:rPr>
                <w:sz w:val="21"/>
              </w:rPr>
              <w:t>(2)腹水；</w:t>
            </w:r>
          </w:p>
          <w:p>
            <w:pPr>
              <w:pStyle w:val="TableParagraph"/>
              <w:spacing w:before="37"/>
              <w:ind w:left="141"/>
              <w:rPr>
                <w:sz w:val="21"/>
              </w:rPr>
            </w:pPr>
            <w:r>
              <w:rPr>
                <w:sz w:val="21"/>
              </w:rPr>
              <w:t>(3)肝性脑病；</w:t>
            </w:r>
          </w:p>
          <w:p>
            <w:pPr>
              <w:pStyle w:val="TableParagraph"/>
              <w:spacing w:before="37"/>
              <w:ind w:left="141"/>
              <w:rPr>
                <w:sz w:val="21"/>
              </w:rPr>
            </w:pPr>
            <w:r>
              <w:rPr>
                <w:sz w:val="21"/>
              </w:rPr>
              <w:t>(4)充血性脾肿大伴脾功能亢进或食管胃底静脉曲张。</w:t>
            </w:r>
          </w:p>
          <w:p>
            <w:pPr>
              <w:pStyle w:val="TableParagraph"/>
              <w:spacing w:line="264" w:lineRule="exact" w:before="116"/>
              <w:ind w:left="141"/>
              <w:rPr>
                <w:rFonts w:ascii="黑体" w:eastAsia="黑体" w:hint="eastAsia"/>
                <w:sz w:val="21"/>
              </w:rPr>
            </w:pPr>
            <w:r>
              <w:rPr>
                <w:rFonts w:ascii="黑体" w:eastAsia="黑体" w:hint="eastAsia"/>
                <w:sz w:val="21"/>
              </w:rPr>
              <w:t>因酗酒或药物滥用导致的肝功能衰竭不在保障范围内。</w:t>
            </w:r>
          </w:p>
        </w:tc>
      </w:tr>
    </w:tbl>
    <w:p>
      <w:pPr>
        <w:spacing w:after="0" w:line="264" w:lineRule="exact"/>
        <w:rPr>
          <w:rFonts w:ascii="黑体" w:eastAsia="黑体" w:hint="eastAsia"/>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492"/>
        <w:gridCol w:w="7295"/>
      </w:tblGrid>
      <w:tr>
        <w:trPr>
          <w:trHeight w:val="1892" w:hRule="atLeast"/>
        </w:trPr>
        <w:tc>
          <w:tcPr>
            <w:tcW w:w="1051" w:type="dxa"/>
          </w:tcPr>
          <w:p>
            <w:pPr>
              <w:pStyle w:val="TableParagraph"/>
              <w:spacing w:line="202" w:lineRule="exact"/>
              <w:ind w:left="180" w:right="90"/>
              <w:jc w:val="center"/>
              <w:rPr>
                <w:b/>
                <w:sz w:val="21"/>
              </w:rPr>
            </w:pPr>
            <w:r>
              <w:rPr>
                <w:b/>
                <w:sz w:val="21"/>
              </w:rPr>
              <w:t>10.1.11</w:t>
            </w:r>
          </w:p>
        </w:tc>
        <w:tc>
          <w:tcPr>
            <w:tcW w:w="1492" w:type="dxa"/>
          </w:tcPr>
          <w:p>
            <w:pPr>
              <w:pStyle w:val="TableParagraph"/>
              <w:spacing w:line="202" w:lineRule="exact"/>
              <w:ind w:left="109"/>
              <w:rPr>
                <w:b/>
                <w:sz w:val="21"/>
              </w:rPr>
            </w:pPr>
            <w:r>
              <w:rPr>
                <w:b/>
                <w:sz w:val="21"/>
              </w:rPr>
              <w:t>脑炎后遗症或</w:t>
            </w:r>
          </w:p>
          <w:p>
            <w:pPr>
              <w:pStyle w:val="TableParagraph"/>
              <w:spacing w:before="37"/>
              <w:ind w:left="109"/>
              <w:rPr>
                <w:b/>
                <w:sz w:val="21"/>
              </w:rPr>
            </w:pPr>
            <w:r>
              <w:rPr>
                <w:b/>
                <w:sz w:val="21"/>
              </w:rPr>
              <w:t>脑膜炎后遗症</w:t>
            </w:r>
          </w:p>
        </w:tc>
        <w:tc>
          <w:tcPr>
            <w:tcW w:w="7295" w:type="dxa"/>
          </w:tcPr>
          <w:p>
            <w:pPr>
              <w:pStyle w:val="TableParagraph"/>
              <w:spacing w:line="202" w:lineRule="exact"/>
              <w:rPr>
                <w:sz w:val="21"/>
              </w:rPr>
            </w:pPr>
            <w:r>
              <w:rPr>
                <w:sz w:val="21"/>
              </w:rPr>
              <w:t>指因患脑炎或脑膜炎导致的神经系统永久性的功能障碍。神经系统永久性的</w:t>
            </w:r>
          </w:p>
          <w:p>
            <w:pPr>
              <w:pStyle w:val="TableParagraph"/>
              <w:spacing w:before="37"/>
              <w:rPr>
                <w:sz w:val="21"/>
              </w:rPr>
            </w:pPr>
            <w:r>
              <w:rPr>
                <w:sz w:val="21"/>
              </w:rPr>
              <w:t>功能障碍，指疾病确诊 180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7"/>
              <w:rPr>
                <w:sz w:val="21"/>
              </w:rPr>
            </w:pPr>
            <w:r>
              <w:rPr>
                <w:sz w:val="21"/>
              </w:rPr>
              <w:t>(3)自主生活能力完全丧失，无法独立完成六项基本日常生活活动中的三项或三项以上。</w:t>
            </w:r>
          </w:p>
        </w:tc>
      </w:tr>
      <w:tr>
        <w:trPr>
          <w:trHeight w:val="1467" w:hRule="atLeast"/>
        </w:trPr>
        <w:tc>
          <w:tcPr>
            <w:tcW w:w="1051" w:type="dxa"/>
          </w:tcPr>
          <w:p>
            <w:pPr>
              <w:pStyle w:val="TableParagraph"/>
              <w:spacing w:before="49"/>
              <w:ind w:left="180" w:right="90"/>
              <w:jc w:val="center"/>
              <w:rPr>
                <w:b/>
                <w:sz w:val="21"/>
              </w:rPr>
            </w:pPr>
            <w:r>
              <w:rPr>
                <w:b/>
                <w:sz w:val="21"/>
              </w:rPr>
              <w:t>10.1.12</w:t>
            </w:r>
          </w:p>
        </w:tc>
        <w:tc>
          <w:tcPr>
            <w:tcW w:w="1492" w:type="dxa"/>
          </w:tcPr>
          <w:p>
            <w:pPr>
              <w:pStyle w:val="TableParagraph"/>
              <w:spacing w:before="49"/>
              <w:ind w:left="109"/>
              <w:rPr>
                <w:b/>
                <w:sz w:val="21"/>
              </w:rPr>
            </w:pPr>
            <w:r>
              <w:rPr>
                <w:b/>
                <w:sz w:val="21"/>
              </w:rPr>
              <w:t>深度昏迷</w:t>
            </w:r>
          </w:p>
        </w:tc>
        <w:tc>
          <w:tcPr>
            <w:tcW w:w="7295" w:type="dxa"/>
          </w:tcPr>
          <w:p>
            <w:pPr>
              <w:pStyle w:val="TableParagraph"/>
              <w:spacing w:line="273" w:lineRule="auto" w:before="49"/>
              <w:ind w:right="198"/>
              <w:rPr>
                <w:sz w:val="21"/>
              </w:rPr>
            </w:pPr>
            <w:r>
              <w:rPr>
                <w:sz w:val="21"/>
              </w:rPr>
              <w:t>指因疾病或意外伤害导致意识丧失,对外界刺激和体内需求均无反应,昏迷 </w:t>
            </w:r>
            <w:r>
              <w:rPr>
                <w:spacing w:val="-6"/>
                <w:sz w:val="21"/>
              </w:rPr>
              <w:t>程度按照格拉斯哥昏迷分级</w:t>
            </w:r>
            <w:r>
              <w:rPr>
                <w:sz w:val="21"/>
              </w:rPr>
              <w:t>（Glasgow</w:t>
            </w:r>
            <w:r>
              <w:rPr>
                <w:spacing w:val="-50"/>
                <w:sz w:val="21"/>
              </w:rPr>
              <w:t> </w:t>
            </w:r>
            <w:r>
              <w:rPr>
                <w:sz w:val="21"/>
              </w:rPr>
              <w:t>coma</w:t>
            </w:r>
            <w:r>
              <w:rPr>
                <w:spacing w:val="-47"/>
                <w:sz w:val="21"/>
              </w:rPr>
              <w:t> </w:t>
            </w:r>
            <w:r>
              <w:rPr>
                <w:spacing w:val="-7"/>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10"/>
                <w:sz w:val="21"/>
              </w:rPr>
              <w:t> 小时以上。</w:t>
            </w:r>
          </w:p>
          <w:p>
            <w:pPr>
              <w:pStyle w:val="TableParagraph"/>
              <w:spacing w:before="84"/>
              <w:rPr>
                <w:rFonts w:ascii="黑体" w:eastAsia="黑体" w:hint="eastAsia"/>
                <w:sz w:val="21"/>
              </w:rPr>
            </w:pPr>
            <w:r>
              <w:rPr>
                <w:rFonts w:ascii="黑体" w:eastAsia="黑体" w:hint="eastAsia"/>
                <w:sz w:val="21"/>
              </w:rPr>
              <w:t>因酗酒或药物滥用导致的深度昏迷不在保障范围内。</w:t>
            </w:r>
          </w:p>
        </w:tc>
      </w:tr>
      <w:tr>
        <w:trPr>
          <w:trHeight w:val="1078" w:hRule="atLeast"/>
        </w:trPr>
        <w:tc>
          <w:tcPr>
            <w:tcW w:w="1051" w:type="dxa"/>
          </w:tcPr>
          <w:p>
            <w:pPr>
              <w:pStyle w:val="TableParagraph"/>
              <w:spacing w:before="50"/>
              <w:ind w:left="180" w:right="90"/>
              <w:jc w:val="center"/>
              <w:rPr>
                <w:b/>
                <w:sz w:val="21"/>
              </w:rPr>
            </w:pPr>
            <w:r>
              <w:rPr>
                <w:b/>
                <w:sz w:val="21"/>
              </w:rPr>
              <w:t>10.1.13</w:t>
            </w:r>
          </w:p>
        </w:tc>
        <w:tc>
          <w:tcPr>
            <w:tcW w:w="1492" w:type="dxa"/>
          </w:tcPr>
          <w:p>
            <w:pPr>
              <w:pStyle w:val="TableParagraph"/>
              <w:spacing w:before="50"/>
              <w:ind w:left="109"/>
              <w:rPr>
                <w:b/>
                <w:sz w:val="21"/>
              </w:rPr>
            </w:pPr>
            <w:r>
              <w:rPr>
                <w:b/>
                <w:sz w:val="21"/>
              </w:rPr>
              <w:t>双耳失聪</w:t>
            </w:r>
          </w:p>
        </w:tc>
        <w:tc>
          <w:tcPr>
            <w:tcW w:w="7295" w:type="dxa"/>
          </w:tcPr>
          <w:p>
            <w:pPr>
              <w:pStyle w:val="TableParagraph"/>
              <w:spacing w:before="50"/>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7"/>
              <w:ind w:right="304" w:hanging="1"/>
              <w:rPr>
                <w:sz w:val="21"/>
              </w:rPr>
            </w:pPr>
            <w:r>
              <w:rPr>
                <w:spacing w:val="-1"/>
                <w:sz w:val="21"/>
              </w:rPr>
              <w:t>赫兹、</w:t>
            </w:r>
            <w:r>
              <w:rPr>
                <w:sz w:val="21"/>
              </w:rPr>
              <w:t>1000</w:t>
            </w:r>
            <w:r>
              <w:rPr>
                <w:spacing w:val="-13"/>
                <w:sz w:val="21"/>
              </w:rPr>
              <w:t> 赫兹和 </w:t>
            </w:r>
            <w:r>
              <w:rPr>
                <w:sz w:val="21"/>
              </w:rPr>
              <w:t>2000</w:t>
            </w:r>
            <w:r>
              <w:rPr>
                <w:spacing w:val="-9"/>
                <w:sz w:val="21"/>
              </w:rPr>
              <w:t> 赫兹语音频率下，平均听阈大于 </w:t>
            </w:r>
            <w:r>
              <w:rPr>
                <w:sz w:val="21"/>
              </w:rPr>
              <w:t>90</w:t>
            </w:r>
            <w:r>
              <w:rPr>
                <w:spacing w:val="-6"/>
                <w:sz w:val="21"/>
              </w:rPr>
              <w:t> 分贝，且经纯</w:t>
            </w:r>
            <w:r>
              <w:rPr>
                <w:spacing w:val="-4"/>
                <w:sz w:val="21"/>
              </w:rPr>
              <w:t>音听力测试、声导抗检测或听觉诱发电位检测等证实。</w:t>
            </w:r>
          </w:p>
        </w:tc>
      </w:tr>
      <w:tr>
        <w:trPr>
          <w:trHeight w:val="2013" w:hRule="atLeast"/>
        </w:trPr>
        <w:tc>
          <w:tcPr>
            <w:tcW w:w="1051" w:type="dxa"/>
          </w:tcPr>
          <w:p>
            <w:pPr>
              <w:pStyle w:val="TableParagraph"/>
              <w:spacing w:before="48"/>
              <w:ind w:left="180" w:right="90"/>
              <w:jc w:val="center"/>
              <w:rPr>
                <w:b/>
                <w:sz w:val="21"/>
              </w:rPr>
            </w:pPr>
            <w:r>
              <w:rPr>
                <w:b/>
                <w:sz w:val="21"/>
              </w:rPr>
              <w:t>10.1.14</w:t>
            </w:r>
          </w:p>
        </w:tc>
        <w:tc>
          <w:tcPr>
            <w:tcW w:w="1492" w:type="dxa"/>
          </w:tcPr>
          <w:p>
            <w:pPr>
              <w:pStyle w:val="TableParagraph"/>
              <w:spacing w:before="48"/>
              <w:ind w:left="109"/>
              <w:rPr>
                <w:b/>
                <w:sz w:val="21"/>
              </w:rPr>
            </w:pPr>
            <w:r>
              <w:rPr>
                <w:b/>
                <w:sz w:val="21"/>
              </w:rPr>
              <w:t>双目失明</w:t>
            </w:r>
          </w:p>
        </w:tc>
        <w:tc>
          <w:tcPr>
            <w:tcW w:w="7295" w:type="dxa"/>
          </w:tcPr>
          <w:p>
            <w:pPr>
              <w:pStyle w:val="TableParagraph"/>
              <w:spacing w:line="273" w:lineRule="auto" w:before="48"/>
              <w:ind w:right="246"/>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04"/>
              <w:rPr>
                <w:sz w:val="21"/>
              </w:rPr>
            </w:pPr>
            <w:r>
              <w:rPr>
                <w:sz w:val="21"/>
              </w:rPr>
              <w:t>(2)</w:t>
            </w:r>
            <w:r>
              <w:rPr>
                <w:spacing w:val="-6"/>
                <w:sz w:val="21"/>
              </w:rPr>
              <w:t>矫正视力低于 </w:t>
            </w:r>
            <w:r>
              <w:rPr>
                <w:spacing w:val="-3"/>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1051" w:type="dxa"/>
          </w:tcPr>
          <w:p>
            <w:pPr>
              <w:pStyle w:val="TableParagraph"/>
              <w:spacing w:before="49"/>
              <w:ind w:left="180" w:right="90"/>
              <w:jc w:val="center"/>
              <w:rPr>
                <w:b/>
                <w:sz w:val="21"/>
              </w:rPr>
            </w:pPr>
            <w:r>
              <w:rPr>
                <w:b/>
                <w:sz w:val="21"/>
              </w:rPr>
              <w:t>10.1.15</w:t>
            </w:r>
          </w:p>
        </w:tc>
        <w:tc>
          <w:tcPr>
            <w:tcW w:w="1492" w:type="dxa"/>
          </w:tcPr>
          <w:p>
            <w:pPr>
              <w:pStyle w:val="TableParagraph"/>
              <w:spacing w:before="49"/>
              <w:ind w:left="109"/>
              <w:rPr>
                <w:b/>
                <w:sz w:val="21"/>
              </w:rPr>
            </w:pPr>
            <w:r>
              <w:rPr>
                <w:b/>
                <w:sz w:val="21"/>
              </w:rPr>
              <w:t>瘫痪</w:t>
            </w:r>
          </w:p>
        </w:tc>
        <w:tc>
          <w:tcPr>
            <w:tcW w:w="7295" w:type="dxa"/>
          </w:tcPr>
          <w:p>
            <w:pPr>
              <w:pStyle w:val="TableParagraph"/>
              <w:spacing w:line="273" w:lineRule="auto" w:before="49"/>
              <w:ind w:right="303"/>
              <w:jc w:val="both"/>
              <w:rPr>
                <w:sz w:val="21"/>
              </w:rPr>
            </w:pPr>
            <w:r>
              <w:rPr>
                <w:spacing w:val="-5"/>
                <w:sz w:val="21"/>
              </w:rPr>
              <w:t>指因疾病或意外伤害导致两肢或两肢以上肢体机能永久完全丧失。肢体机能</w:t>
            </w:r>
            <w:r>
              <w:rPr>
                <w:spacing w:val="-11"/>
                <w:sz w:val="21"/>
              </w:rPr>
              <w:t>永久完全丧失，指疾病确诊 </w:t>
            </w:r>
            <w:r>
              <w:rPr>
                <w:sz w:val="21"/>
              </w:rPr>
              <w:t>180</w:t>
            </w:r>
            <w:r>
              <w:rPr>
                <w:spacing w:val="-13"/>
                <w:sz w:val="21"/>
              </w:rPr>
              <w:t> 天后或意外伤害发生 </w:t>
            </w:r>
            <w:r>
              <w:rPr>
                <w:sz w:val="21"/>
              </w:rPr>
              <w:t>180</w:t>
            </w:r>
            <w:r>
              <w:rPr>
                <w:spacing w:val="-12"/>
                <w:sz w:val="21"/>
              </w:rPr>
              <w:t> 天后，每肢三大关</w:t>
            </w:r>
            <w:r>
              <w:rPr>
                <w:spacing w:val="-3"/>
                <w:sz w:val="21"/>
              </w:rPr>
              <w:t>节中的两大关节仍然完全僵硬，或不能随意识活动。</w:t>
            </w:r>
          </w:p>
        </w:tc>
      </w:tr>
      <w:tr>
        <w:trPr>
          <w:trHeight w:val="765" w:hRule="atLeast"/>
        </w:trPr>
        <w:tc>
          <w:tcPr>
            <w:tcW w:w="1051" w:type="dxa"/>
          </w:tcPr>
          <w:p>
            <w:pPr>
              <w:pStyle w:val="TableParagraph"/>
              <w:spacing w:before="48"/>
              <w:ind w:left="180" w:right="90"/>
              <w:jc w:val="center"/>
              <w:rPr>
                <w:b/>
                <w:sz w:val="21"/>
              </w:rPr>
            </w:pPr>
            <w:r>
              <w:rPr>
                <w:b/>
                <w:sz w:val="21"/>
              </w:rPr>
              <w:t>10.1.16</w:t>
            </w:r>
          </w:p>
        </w:tc>
        <w:tc>
          <w:tcPr>
            <w:tcW w:w="1492" w:type="dxa"/>
          </w:tcPr>
          <w:p>
            <w:pPr>
              <w:pStyle w:val="TableParagraph"/>
              <w:spacing w:before="48"/>
              <w:ind w:left="109"/>
              <w:rPr>
                <w:b/>
                <w:sz w:val="21"/>
              </w:rPr>
            </w:pPr>
            <w:r>
              <w:rPr>
                <w:b/>
                <w:sz w:val="21"/>
              </w:rPr>
              <w:t>心脏瓣膜手术</w:t>
            </w:r>
          </w:p>
        </w:tc>
        <w:tc>
          <w:tcPr>
            <w:tcW w:w="7295" w:type="dxa"/>
          </w:tcPr>
          <w:p>
            <w:pPr>
              <w:pStyle w:val="TableParagraph"/>
              <w:spacing w:line="273" w:lineRule="auto" w:before="48"/>
              <w:ind w:right="304"/>
              <w:rPr>
                <w:sz w:val="21"/>
              </w:rPr>
            </w:pPr>
            <w:r>
              <w:rPr>
                <w:sz w:val="21"/>
              </w:rPr>
              <w:t>指为治疗心脏瓣膜疾病，实际实施了开胸进行的心脏瓣膜置换或修复的手术。</w:t>
            </w:r>
          </w:p>
        </w:tc>
      </w:tr>
      <w:tr>
        <w:trPr>
          <w:trHeight w:val="2092" w:hRule="atLeast"/>
        </w:trPr>
        <w:tc>
          <w:tcPr>
            <w:tcW w:w="1051" w:type="dxa"/>
          </w:tcPr>
          <w:p>
            <w:pPr>
              <w:pStyle w:val="TableParagraph"/>
              <w:spacing w:before="48"/>
              <w:ind w:left="180" w:right="90"/>
              <w:jc w:val="center"/>
              <w:rPr>
                <w:b/>
                <w:sz w:val="21"/>
              </w:rPr>
            </w:pPr>
            <w:r>
              <w:rPr>
                <w:b/>
                <w:sz w:val="21"/>
              </w:rPr>
              <w:t>10.1.17</w:t>
            </w:r>
          </w:p>
        </w:tc>
        <w:tc>
          <w:tcPr>
            <w:tcW w:w="1492" w:type="dxa"/>
          </w:tcPr>
          <w:p>
            <w:pPr>
              <w:pStyle w:val="TableParagraph"/>
              <w:spacing w:line="273" w:lineRule="auto" w:before="48"/>
              <w:ind w:left="109" w:right="113"/>
              <w:rPr>
                <w:b/>
                <w:sz w:val="21"/>
              </w:rPr>
            </w:pPr>
            <w:r>
              <w:rPr>
                <w:b/>
                <w:sz w:val="21"/>
              </w:rPr>
              <w:t>严重阿尔茨海默病</w:t>
            </w:r>
          </w:p>
        </w:tc>
        <w:tc>
          <w:tcPr>
            <w:tcW w:w="7295" w:type="dxa"/>
          </w:tcPr>
          <w:p>
            <w:pPr>
              <w:pStyle w:val="TableParagraph"/>
              <w:spacing w:line="273" w:lineRule="auto" w:before="48"/>
              <w:ind w:right="303"/>
              <w:jc w:val="both"/>
              <w:rPr>
                <w:sz w:val="21"/>
              </w:rPr>
            </w:pPr>
            <w:r>
              <w:rPr>
                <w:spacing w:val="-8"/>
                <w:sz w:val="21"/>
              </w:rPr>
              <w:t>指因大脑进行性、不可逆性改变导致智能严重衰退或丧失，临床表现为明显</w:t>
            </w:r>
            <w:r>
              <w:rPr>
                <w:spacing w:val="-11"/>
                <w:sz w:val="21"/>
              </w:rPr>
              <w:t>的认知能力障碍、行为异常和社交能力减退，其日常生活必须持续受到他人</w:t>
            </w:r>
            <w:r>
              <w:rPr>
                <w:spacing w:val="-6"/>
                <w:w w:val="100"/>
                <w:sz w:val="21"/>
              </w:rPr>
              <w:t>监护。须由头颅断层扫描</w:t>
            </w:r>
            <w:r>
              <w:rPr>
                <w:spacing w:val="-1"/>
                <w:w w:val="100"/>
                <w:sz w:val="21"/>
              </w:rPr>
              <w:t>（</w:t>
            </w:r>
            <w:r>
              <w:rPr>
                <w:w w:val="100"/>
                <w:sz w:val="21"/>
              </w:rPr>
              <w:t>CT</w:t>
            </w:r>
            <w:r>
              <w:rPr>
                <w:spacing w:val="-108"/>
                <w:w w:val="100"/>
                <w:sz w:val="21"/>
              </w:rPr>
              <w:t>）</w:t>
            </w:r>
            <w:r>
              <w:rPr>
                <w:spacing w:val="-7"/>
                <w:w w:val="100"/>
                <w:sz w:val="21"/>
              </w:rPr>
              <w:t>、核磁共振检查</w:t>
            </w:r>
            <w:r>
              <w:rPr>
                <w:spacing w:val="-3"/>
                <w:w w:val="100"/>
                <w:sz w:val="21"/>
              </w:rPr>
              <w:t>（M</w:t>
            </w:r>
            <w:r>
              <w:rPr>
                <w:w w:val="100"/>
                <w:sz w:val="21"/>
              </w:rPr>
              <w:t>R</w:t>
            </w:r>
            <w:r>
              <w:rPr>
                <w:spacing w:val="-1"/>
                <w:w w:val="100"/>
                <w:sz w:val="21"/>
              </w:rPr>
              <w:t>I</w:t>
            </w:r>
            <w:r>
              <w:rPr>
                <w:spacing w:val="-13"/>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2637" w:hRule="atLeast"/>
        </w:trPr>
        <w:tc>
          <w:tcPr>
            <w:tcW w:w="1051" w:type="dxa"/>
          </w:tcPr>
          <w:p>
            <w:pPr>
              <w:pStyle w:val="TableParagraph"/>
              <w:spacing w:before="49"/>
              <w:ind w:left="180" w:right="90"/>
              <w:jc w:val="center"/>
              <w:rPr>
                <w:b/>
                <w:sz w:val="21"/>
              </w:rPr>
            </w:pPr>
            <w:r>
              <w:rPr>
                <w:b/>
                <w:sz w:val="21"/>
              </w:rPr>
              <w:t>10.1.18</w:t>
            </w:r>
          </w:p>
        </w:tc>
        <w:tc>
          <w:tcPr>
            <w:tcW w:w="1492" w:type="dxa"/>
          </w:tcPr>
          <w:p>
            <w:pPr>
              <w:pStyle w:val="TableParagraph"/>
              <w:spacing w:before="49"/>
              <w:ind w:left="109"/>
              <w:rPr>
                <w:b/>
                <w:sz w:val="21"/>
              </w:rPr>
            </w:pPr>
            <w:r>
              <w:rPr>
                <w:b/>
                <w:sz w:val="21"/>
              </w:rPr>
              <w:t>严重脑损伤</w:t>
            </w:r>
          </w:p>
        </w:tc>
        <w:tc>
          <w:tcPr>
            <w:tcW w:w="7295" w:type="dxa"/>
          </w:tcPr>
          <w:p>
            <w:pPr>
              <w:pStyle w:val="TableParagraph"/>
              <w:spacing w:line="273" w:lineRule="auto" w:before="49"/>
              <w:ind w:right="303"/>
              <w:jc w:val="both"/>
              <w:rPr>
                <w:sz w:val="21"/>
              </w:rPr>
            </w:pPr>
            <w:r>
              <w:rPr>
                <w:spacing w:val="-8"/>
                <w:sz w:val="21"/>
              </w:rPr>
              <w:t>指因头部遭受机械性外力，引起脑重要部位损伤，导致神经系统永久性的功</w:t>
            </w:r>
            <w:r>
              <w:rPr>
                <w:spacing w:val="-6"/>
                <w:w w:val="100"/>
                <w:sz w:val="21"/>
              </w:rPr>
              <w:t>能障碍。须由头颅断层扫描</w:t>
            </w:r>
            <w:r>
              <w:rPr>
                <w:spacing w:val="-1"/>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3"/>
                <w:w w:val="100"/>
                <w:sz w:val="21"/>
              </w:rPr>
              <w:t>（</w:t>
            </w:r>
            <w:r>
              <w:rPr>
                <w:w w:val="100"/>
                <w:sz w:val="21"/>
              </w:rPr>
              <w:t>MRI</w:t>
            </w:r>
            <w:r>
              <w:rPr>
                <w:spacing w:val="-15"/>
                <w:w w:val="100"/>
                <w:sz w:val="21"/>
              </w:rPr>
              <w:t>）</w:t>
            </w:r>
            <w:r>
              <w:rPr>
                <w:spacing w:val="-3"/>
                <w:w w:val="100"/>
                <w:sz w:val="21"/>
              </w:rPr>
              <w:t>或正电子发射断层</w:t>
            </w:r>
            <w:r>
              <w:rPr>
                <w:spacing w:val="-15"/>
                <w:sz w:val="21"/>
              </w:rPr>
              <w:t>扫描</w:t>
            </w:r>
            <w:r>
              <w:rPr>
                <w:spacing w:val="-7"/>
                <w:sz w:val="21"/>
              </w:rPr>
              <w:t>（PET）</w:t>
            </w:r>
            <w:r>
              <w:rPr>
                <w:spacing w:val="-10"/>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7"/>
              <w:rPr>
                <w:sz w:val="21"/>
              </w:rPr>
            </w:pPr>
            <w:r>
              <w:rPr>
                <w:sz w:val="21"/>
              </w:rPr>
              <w:t>(3)自主生活能力完全丧失，无法独立完成六项基本日常生活活动中的三项或三项以上。</w:t>
            </w:r>
          </w:p>
        </w:tc>
      </w:tr>
      <w:tr>
        <w:trPr>
          <w:trHeight w:val="644" w:hRule="atLeast"/>
        </w:trPr>
        <w:tc>
          <w:tcPr>
            <w:tcW w:w="1051" w:type="dxa"/>
          </w:tcPr>
          <w:p>
            <w:pPr>
              <w:pStyle w:val="TableParagraph"/>
              <w:spacing w:before="49"/>
              <w:ind w:left="180" w:right="90"/>
              <w:jc w:val="center"/>
              <w:rPr>
                <w:b/>
                <w:sz w:val="21"/>
              </w:rPr>
            </w:pPr>
            <w:r>
              <w:rPr>
                <w:b/>
                <w:sz w:val="21"/>
              </w:rPr>
              <w:t>10.1.19</w:t>
            </w:r>
          </w:p>
        </w:tc>
        <w:tc>
          <w:tcPr>
            <w:tcW w:w="1492" w:type="dxa"/>
          </w:tcPr>
          <w:p>
            <w:pPr>
              <w:pStyle w:val="TableParagraph"/>
              <w:spacing w:before="49"/>
              <w:ind w:left="109"/>
              <w:rPr>
                <w:b/>
                <w:sz w:val="21"/>
              </w:rPr>
            </w:pPr>
            <w:r>
              <w:rPr>
                <w:b/>
                <w:sz w:val="21"/>
              </w:rPr>
              <w:t>严重帕金森病</w:t>
            </w:r>
          </w:p>
        </w:tc>
        <w:tc>
          <w:tcPr>
            <w:tcW w:w="7295" w:type="dxa"/>
          </w:tcPr>
          <w:p>
            <w:pPr>
              <w:pStyle w:val="TableParagraph"/>
              <w:spacing w:line="310" w:lineRule="atLeast" w:before="13"/>
              <w:ind w:right="303"/>
              <w:rPr>
                <w:sz w:val="21"/>
              </w:rPr>
            </w:pPr>
            <w:r>
              <w:rPr>
                <w:spacing w:val="-7"/>
                <w:sz w:val="21"/>
              </w:rPr>
              <w:t>是一种中枢神经系统的退行性疾病，临床表现为震颤麻痹、共济失调等。须</w:t>
            </w:r>
            <w:r>
              <w:rPr>
                <w:spacing w:val="-5"/>
                <w:sz w:val="21"/>
              </w:rPr>
              <w:t>满足下列全部条件：</w:t>
            </w:r>
          </w:p>
        </w:tc>
      </w:tr>
    </w:tbl>
    <w:p>
      <w:pPr>
        <w:spacing w:after="0" w:line="310" w:lineRule="atLeas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492"/>
        <w:gridCol w:w="7190"/>
      </w:tblGrid>
      <w:tr>
        <w:trPr>
          <w:trHeight w:val="1345" w:hRule="atLeast"/>
        </w:trPr>
        <w:tc>
          <w:tcPr>
            <w:tcW w:w="1051"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190" w:type="dxa"/>
          </w:tcPr>
          <w:p>
            <w:pPr>
              <w:pStyle w:val="TableParagraph"/>
              <w:spacing w:line="202" w:lineRule="exact"/>
              <w:rPr>
                <w:sz w:val="21"/>
              </w:rPr>
            </w:pPr>
            <w:r>
              <w:rPr>
                <w:sz w:val="21"/>
              </w:rPr>
              <w:t>(1)药物治疗无法控制病情；</w:t>
            </w:r>
          </w:p>
          <w:p>
            <w:pPr>
              <w:pStyle w:val="TableParagraph"/>
              <w:spacing w:line="273" w:lineRule="auto" w:before="37"/>
              <w:ind w:right="202"/>
              <w:rPr>
                <w:sz w:val="21"/>
              </w:rPr>
            </w:pPr>
            <w:r>
              <w:rPr>
                <w:sz w:val="21"/>
              </w:rPr>
              <w:t>(2)自主生活能力完全丧失，无法独立完成六项基本日常生活活动中的三项或三项以上。</w:t>
            </w:r>
          </w:p>
          <w:p>
            <w:pPr>
              <w:pStyle w:val="TableParagraph"/>
              <w:spacing w:before="84"/>
              <w:rPr>
                <w:rFonts w:ascii="黑体" w:eastAsia="黑体" w:hint="eastAsia"/>
                <w:sz w:val="21"/>
              </w:rPr>
            </w:pPr>
            <w:r>
              <w:rPr>
                <w:rFonts w:ascii="黑体" w:eastAsia="黑体" w:hint="eastAsia"/>
                <w:sz w:val="21"/>
              </w:rPr>
              <w:t>继发性帕金森综合征不在保障范围内。</w:t>
            </w:r>
          </w:p>
        </w:tc>
      </w:tr>
      <w:tr>
        <w:trPr>
          <w:trHeight w:val="766" w:hRule="atLeast"/>
        </w:trPr>
        <w:tc>
          <w:tcPr>
            <w:tcW w:w="1051" w:type="dxa"/>
          </w:tcPr>
          <w:p>
            <w:pPr>
              <w:pStyle w:val="TableParagraph"/>
              <w:spacing w:before="48"/>
              <w:ind w:left="180" w:right="90"/>
              <w:jc w:val="center"/>
              <w:rPr>
                <w:b/>
                <w:sz w:val="21"/>
              </w:rPr>
            </w:pPr>
            <w:r>
              <w:rPr>
                <w:b/>
                <w:sz w:val="21"/>
              </w:rPr>
              <w:t>10.1.20</w:t>
            </w:r>
          </w:p>
        </w:tc>
        <w:tc>
          <w:tcPr>
            <w:tcW w:w="1492" w:type="dxa"/>
          </w:tcPr>
          <w:p>
            <w:pPr>
              <w:pStyle w:val="TableParagraph"/>
              <w:spacing w:before="48"/>
              <w:ind w:left="109"/>
              <w:rPr>
                <w:b/>
                <w:sz w:val="21"/>
              </w:rPr>
            </w:pPr>
            <w:r>
              <w:rPr>
                <w:b/>
                <w:sz w:val="21"/>
              </w:rPr>
              <w:t>严重Ⅲ度烧伤</w:t>
            </w:r>
          </w:p>
        </w:tc>
        <w:tc>
          <w:tcPr>
            <w:tcW w:w="7190" w:type="dxa"/>
          </w:tcPr>
          <w:p>
            <w:pPr>
              <w:pStyle w:val="TableParagraph"/>
              <w:spacing w:line="273" w:lineRule="auto" w:before="48"/>
              <w:ind w:right="133"/>
              <w:rPr>
                <w:sz w:val="21"/>
              </w:rPr>
            </w:pPr>
            <w:r>
              <w:rPr>
                <w:sz w:val="21"/>
              </w:rPr>
              <w:t>指烧伤程度为Ⅲ度，且Ⅲ度烧伤的面积达到全身体表面积的 20％或 20％以上。体表面积根据《中国新九分法》计算。</w:t>
            </w:r>
          </w:p>
        </w:tc>
      </w:tr>
      <w:tr>
        <w:trPr>
          <w:trHeight w:val="1078" w:hRule="atLeast"/>
        </w:trPr>
        <w:tc>
          <w:tcPr>
            <w:tcW w:w="1051" w:type="dxa"/>
          </w:tcPr>
          <w:p>
            <w:pPr>
              <w:pStyle w:val="TableParagraph"/>
              <w:spacing w:before="50"/>
              <w:ind w:left="180" w:right="90"/>
              <w:jc w:val="center"/>
              <w:rPr>
                <w:b/>
                <w:sz w:val="21"/>
              </w:rPr>
            </w:pPr>
            <w:r>
              <w:rPr>
                <w:b/>
                <w:sz w:val="21"/>
              </w:rPr>
              <w:t>10.1.21</w:t>
            </w:r>
          </w:p>
        </w:tc>
        <w:tc>
          <w:tcPr>
            <w:tcW w:w="1492" w:type="dxa"/>
          </w:tcPr>
          <w:p>
            <w:pPr>
              <w:pStyle w:val="TableParagraph"/>
              <w:spacing w:line="273" w:lineRule="auto" w:before="50"/>
              <w:ind w:left="109" w:right="113"/>
              <w:rPr>
                <w:b/>
                <w:sz w:val="21"/>
              </w:rPr>
            </w:pPr>
            <w:r>
              <w:rPr>
                <w:b/>
                <w:sz w:val="21"/>
              </w:rPr>
              <w:t>严重原发性肺动脉高压</w:t>
            </w:r>
          </w:p>
        </w:tc>
        <w:tc>
          <w:tcPr>
            <w:tcW w:w="7190" w:type="dxa"/>
          </w:tcPr>
          <w:p>
            <w:pPr>
              <w:pStyle w:val="TableParagraph"/>
              <w:spacing w:line="273" w:lineRule="auto" w:before="50"/>
              <w:ind w:right="198"/>
              <w:jc w:val="both"/>
              <w:rPr>
                <w:sz w:val="21"/>
              </w:rPr>
            </w:pPr>
            <w:r>
              <w:rPr>
                <w:spacing w:val="-6"/>
                <w:sz w:val="21"/>
              </w:rPr>
              <w:t>指不明原因的肺动脉压力持续性增高，进行性发展而导致的慢性疾病，已经</w:t>
            </w:r>
            <w:r>
              <w:rPr>
                <w:spacing w:val="-8"/>
                <w:sz w:val="21"/>
              </w:rPr>
              <w:t>造成永久不可逆性的体力活动能力受限，达到美国纽约心脏病学会心功能状</w:t>
            </w:r>
            <w:r>
              <w:rPr>
                <w:spacing w:val="-13"/>
                <w:sz w:val="21"/>
              </w:rPr>
              <w:t>态分级 </w:t>
            </w:r>
            <w:r>
              <w:rPr>
                <w:sz w:val="21"/>
              </w:rPr>
              <w:t>IV</w:t>
            </w:r>
            <w:r>
              <w:rPr>
                <w:spacing w:val="-12"/>
                <w:sz w:val="21"/>
              </w:rPr>
              <w:t> 级，且静息状态下肺动脉平均压超过 </w:t>
            </w:r>
            <w:r>
              <w:rPr>
                <w:sz w:val="21"/>
              </w:rPr>
              <w:t>30mmHg。</w:t>
            </w:r>
          </w:p>
        </w:tc>
      </w:tr>
      <w:tr>
        <w:trPr>
          <w:trHeight w:val="1389" w:hRule="atLeast"/>
        </w:trPr>
        <w:tc>
          <w:tcPr>
            <w:tcW w:w="1051" w:type="dxa"/>
          </w:tcPr>
          <w:p>
            <w:pPr>
              <w:pStyle w:val="TableParagraph"/>
              <w:spacing w:before="48"/>
              <w:ind w:left="180" w:right="90"/>
              <w:jc w:val="center"/>
              <w:rPr>
                <w:b/>
                <w:sz w:val="21"/>
              </w:rPr>
            </w:pPr>
            <w:r>
              <w:rPr>
                <w:b/>
                <w:sz w:val="21"/>
              </w:rPr>
              <w:t>10.1.22</w:t>
            </w:r>
          </w:p>
        </w:tc>
        <w:tc>
          <w:tcPr>
            <w:tcW w:w="1492" w:type="dxa"/>
          </w:tcPr>
          <w:p>
            <w:pPr>
              <w:pStyle w:val="TableParagraph"/>
              <w:spacing w:line="273" w:lineRule="auto" w:before="48"/>
              <w:ind w:left="109" w:right="113"/>
              <w:rPr>
                <w:b/>
                <w:sz w:val="21"/>
              </w:rPr>
            </w:pPr>
            <w:r>
              <w:rPr>
                <w:b/>
                <w:sz w:val="21"/>
              </w:rPr>
              <w:t>严重运动神经元病</w:t>
            </w:r>
          </w:p>
        </w:tc>
        <w:tc>
          <w:tcPr>
            <w:tcW w:w="7190" w:type="dxa"/>
          </w:tcPr>
          <w:p>
            <w:pPr>
              <w:pStyle w:val="TableParagraph"/>
              <w:spacing w:line="273" w:lineRule="auto" w:before="48"/>
              <w:ind w:right="198"/>
              <w:jc w:val="both"/>
              <w:rPr>
                <w:sz w:val="21"/>
              </w:rPr>
            </w:pPr>
            <w:r>
              <w:rPr>
                <w:sz w:val="21"/>
              </w:rPr>
              <w:t>是一组中枢神经系统运动神经元的进行性变性疾病，包括进行性脊肌萎缩</w:t>
            </w:r>
            <w:r>
              <w:rPr>
                <w:spacing w:val="-9"/>
                <w:sz w:val="21"/>
              </w:rPr>
              <w:t>症、进行性延髓麻痹症、原发性侧索硬化症、肌萎缩性侧索硬化症。须满足</w:t>
            </w:r>
            <w:r>
              <w:rPr>
                <w:spacing w:val="-11"/>
                <w:sz w:val="21"/>
              </w:rPr>
              <w:t>自主生活能力完全丧失，无法独立完成六项基本日常生活活动中的三项或三</w:t>
            </w:r>
            <w:r>
              <w:rPr>
                <w:spacing w:val="-6"/>
                <w:sz w:val="21"/>
              </w:rPr>
              <w:t>项以上的条件。</w:t>
            </w:r>
          </w:p>
        </w:tc>
      </w:tr>
      <w:tr>
        <w:trPr>
          <w:trHeight w:val="1155" w:hRule="atLeast"/>
        </w:trPr>
        <w:tc>
          <w:tcPr>
            <w:tcW w:w="1051" w:type="dxa"/>
          </w:tcPr>
          <w:p>
            <w:pPr>
              <w:pStyle w:val="TableParagraph"/>
              <w:spacing w:before="49"/>
              <w:ind w:left="180" w:right="90"/>
              <w:jc w:val="center"/>
              <w:rPr>
                <w:b/>
                <w:sz w:val="21"/>
              </w:rPr>
            </w:pPr>
            <w:r>
              <w:rPr>
                <w:b/>
                <w:sz w:val="21"/>
              </w:rPr>
              <w:t>10.1.23</w:t>
            </w:r>
          </w:p>
        </w:tc>
        <w:tc>
          <w:tcPr>
            <w:tcW w:w="1492" w:type="dxa"/>
          </w:tcPr>
          <w:p>
            <w:pPr>
              <w:pStyle w:val="TableParagraph"/>
              <w:spacing w:before="49"/>
              <w:ind w:left="109"/>
              <w:rPr>
                <w:b/>
                <w:sz w:val="21"/>
              </w:rPr>
            </w:pPr>
            <w:r>
              <w:rPr>
                <w:b/>
                <w:sz w:val="21"/>
              </w:rPr>
              <w:t>语言能力丧失</w:t>
            </w:r>
          </w:p>
        </w:tc>
        <w:tc>
          <w:tcPr>
            <w:tcW w:w="7190" w:type="dxa"/>
          </w:tcPr>
          <w:p>
            <w:pPr>
              <w:pStyle w:val="TableParagraph"/>
              <w:spacing w:line="273" w:lineRule="auto" w:before="49"/>
              <w:ind w:right="202" w:hanging="1"/>
              <w:rPr>
                <w:sz w:val="21"/>
              </w:rPr>
            </w:pPr>
            <w:r>
              <w:rPr>
                <w:spacing w:val="-9"/>
                <w:sz w:val="21"/>
              </w:rPr>
              <w:t>指因疾病或意外伤害导致完全丧失语言能力，经过积极治疗至少 </w:t>
            </w:r>
            <w:r>
              <w:rPr>
                <w:sz w:val="21"/>
              </w:rPr>
              <w:t>12</w:t>
            </w:r>
            <w:r>
              <w:rPr>
                <w:spacing w:val="-42"/>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rPr>
                <w:rFonts w:ascii="黑体" w:eastAsia="黑体" w:hint="eastAsia"/>
                <w:sz w:val="21"/>
              </w:rPr>
            </w:pPr>
            <w:r>
              <w:rPr>
                <w:rFonts w:ascii="黑体" w:eastAsia="黑体" w:hint="eastAsia"/>
                <w:sz w:val="21"/>
              </w:rPr>
              <w:t>精神心理因素所致的语言能力丧失不在保障范围内。</w:t>
            </w:r>
          </w:p>
        </w:tc>
      </w:tr>
      <w:tr>
        <w:trPr>
          <w:trHeight w:val="2326" w:hRule="atLeast"/>
        </w:trPr>
        <w:tc>
          <w:tcPr>
            <w:tcW w:w="1051" w:type="dxa"/>
          </w:tcPr>
          <w:p>
            <w:pPr>
              <w:pStyle w:val="TableParagraph"/>
              <w:spacing w:before="50"/>
              <w:ind w:left="180" w:right="90"/>
              <w:jc w:val="center"/>
              <w:rPr>
                <w:b/>
                <w:sz w:val="21"/>
              </w:rPr>
            </w:pPr>
            <w:r>
              <w:rPr>
                <w:b/>
                <w:sz w:val="21"/>
              </w:rPr>
              <w:t>10.1.24</w:t>
            </w:r>
          </w:p>
        </w:tc>
        <w:tc>
          <w:tcPr>
            <w:tcW w:w="1492" w:type="dxa"/>
          </w:tcPr>
          <w:p>
            <w:pPr>
              <w:pStyle w:val="TableParagraph"/>
              <w:spacing w:line="273" w:lineRule="auto" w:before="50"/>
              <w:ind w:left="109" w:right="113"/>
              <w:rPr>
                <w:b/>
                <w:sz w:val="21"/>
              </w:rPr>
            </w:pPr>
            <w:r>
              <w:rPr>
                <w:b/>
                <w:sz w:val="21"/>
              </w:rPr>
              <w:t>重型再生障碍性贫血</w:t>
            </w:r>
          </w:p>
        </w:tc>
        <w:tc>
          <w:tcPr>
            <w:tcW w:w="7190" w:type="dxa"/>
          </w:tcPr>
          <w:p>
            <w:pPr>
              <w:pStyle w:val="TableParagraph"/>
              <w:spacing w:line="273" w:lineRule="auto" w:before="50"/>
              <w:ind w:right="14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7"/>
              <w:ind w:left="640"/>
              <w:rPr>
                <w:sz w:val="21"/>
              </w:rPr>
            </w:pPr>
            <w:r>
              <w:rPr>
                <w:sz w:val="21"/>
              </w:rPr>
              <w:t>①中性粒细胞绝对值≤0.5×10</w:t>
            </w:r>
            <w:r>
              <w:rPr>
                <w:position w:val="11"/>
                <w:sz w:val="11"/>
              </w:rPr>
              <w:t>9</w:t>
            </w:r>
            <w:r>
              <w:rPr>
                <w:sz w:val="21"/>
              </w:rPr>
              <w:t>/L ；</w:t>
            </w:r>
          </w:p>
          <w:p>
            <w:pPr>
              <w:pStyle w:val="TableParagraph"/>
              <w:spacing w:before="37"/>
              <w:ind w:left="640"/>
              <w:rPr>
                <w:sz w:val="21"/>
              </w:rPr>
            </w:pPr>
            <w:r>
              <w:rPr>
                <w:sz w:val="21"/>
              </w:rPr>
              <w:t>②网织红细胞＜1%；</w:t>
            </w:r>
          </w:p>
          <w:p>
            <w:pPr>
              <w:pStyle w:val="TableParagraph"/>
              <w:spacing w:before="37"/>
              <w:ind w:left="640"/>
              <w:rPr>
                <w:sz w:val="21"/>
              </w:rPr>
            </w:pPr>
            <w:r>
              <w:rPr>
                <w:sz w:val="21"/>
              </w:rPr>
              <w:t>③血小板绝对值≤20×10</w:t>
            </w:r>
            <w:r>
              <w:rPr>
                <w:position w:val="11"/>
                <w:sz w:val="11"/>
              </w:rPr>
              <w:t>9</w:t>
            </w:r>
            <w:r>
              <w:rPr>
                <w:sz w:val="21"/>
              </w:rPr>
              <w:t>/L。</w:t>
            </w:r>
          </w:p>
        </w:tc>
      </w:tr>
      <w:tr>
        <w:trPr>
          <w:trHeight w:val="1466" w:hRule="atLeast"/>
        </w:trPr>
        <w:tc>
          <w:tcPr>
            <w:tcW w:w="1051" w:type="dxa"/>
          </w:tcPr>
          <w:p>
            <w:pPr>
              <w:pStyle w:val="TableParagraph"/>
              <w:spacing w:before="48"/>
              <w:ind w:left="180" w:right="90"/>
              <w:jc w:val="center"/>
              <w:rPr>
                <w:b/>
                <w:sz w:val="21"/>
              </w:rPr>
            </w:pPr>
            <w:r>
              <w:rPr>
                <w:b/>
                <w:sz w:val="21"/>
              </w:rPr>
              <w:t>10.1.25</w:t>
            </w:r>
          </w:p>
        </w:tc>
        <w:tc>
          <w:tcPr>
            <w:tcW w:w="1492" w:type="dxa"/>
          </w:tcPr>
          <w:p>
            <w:pPr>
              <w:pStyle w:val="TableParagraph"/>
              <w:spacing w:before="48"/>
              <w:ind w:left="109"/>
              <w:rPr>
                <w:b/>
                <w:sz w:val="21"/>
              </w:rPr>
            </w:pPr>
            <w:r>
              <w:rPr>
                <w:b/>
                <w:sz w:val="21"/>
              </w:rPr>
              <w:t>主动脉手术</w:t>
            </w:r>
          </w:p>
        </w:tc>
        <w:tc>
          <w:tcPr>
            <w:tcW w:w="7190" w:type="dxa"/>
          </w:tcPr>
          <w:p>
            <w:pPr>
              <w:pStyle w:val="TableParagraph"/>
              <w:spacing w:line="273" w:lineRule="auto" w:before="48"/>
              <w:ind w:right="198"/>
              <w:jc w:val="both"/>
              <w:rPr>
                <w:sz w:val="21"/>
              </w:rPr>
            </w:pPr>
            <w:r>
              <w:rPr>
                <w:spacing w:val="-7"/>
                <w:sz w:val="21"/>
              </w:rPr>
              <w:t>指为治疗主动脉疾病，实际实施了开胸或开腹进行的切除、置换、修补病损</w:t>
            </w:r>
            <w:r>
              <w:rPr>
                <w:spacing w:val="-10"/>
                <w:sz w:val="21"/>
              </w:rPr>
              <w:t>主动脉血管的手术。主动脉指胸主动脉和腹主动脉，不包括胸主动脉和腹主</w:t>
            </w:r>
            <w:r>
              <w:rPr>
                <w:spacing w:val="-5"/>
                <w:sz w:val="21"/>
              </w:rPr>
              <w:t>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2014" w:hRule="atLeast"/>
        </w:trPr>
        <w:tc>
          <w:tcPr>
            <w:tcW w:w="1051" w:type="dxa"/>
          </w:tcPr>
          <w:p>
            <w:pPr>
              <w:pStyle w:val="TableParagraph"/>
              <w:spacing w:before="48"/>
              <w:ind w:left="180" w:right="90"/>
              <w:jc w:val="center"/>
              <w:rPr>
                <w:b/>
                <w:sz w:val="21"/>
              </w:rPr>
            </w:pPr>
            <w:r>
              <w:rPr>
                <w:b/>
                <w:sz w:val="21"/>
              </w:rPr>
              <w:t>10.1.26</w:t>
            </w:r>
          </w:p>
        </w:tc>
        <w:tc>
          <w:tcPr>
            <w:tcW w:w="1492" w:type="dxa"/>
          </w:tcPr>
          <w:p>
            <w:pPr>
              <w:pStyle w:val="TableParagraph"/>
              <w:spacing w:line="273" w:lineRule="auto" w:before="48"/>
              <w:ind w:left="109" w:right="113"/>
              <w:rPr>
                <w:b/>
                <w:sz w:val="21"/>
              </w:rPr>
            </w:pPr>
            <w:r>
              <w:rPr>
                <w:b/>
                <w:sz w:val="21"/>
              </w:rPr>
              <w:t>严重多发性硬化症</w:t>
            </w:r>
          </w:p>
        </w:tc>
        <w:tc>
          <w:tcPr>
            <w:tcW w:w="7190" w:type="dxa"/>
          </w:tcPr>
          <w:p>
            <w:pPr>
              <w:pStyle w:val="TableParagraph"/>
              <w:spacing w:line="273" w:lineRule="auto" w:before="48"/>
              <w:ind w:right="198"/>
              <w:jc w:val="both"/>
              <w:rPr>
                <w:sz w:val="21"/>
              </w:rPr>
            </w:pPr>
            <w:r>
              <w:rPr>
                <w:spacing w:val="-6"/>
                <w:sz w:val="21"/>
              </w:rPr>
              <w:t>多发性硬化为中枢神经系统白质多灶性脱髓鞘病变，病变有时累及灰质。多</w:t>
            </w:r>
            <w:r>
              <w:rPr>
                <w:spacing w:val="-8"/>
                <w:sz w:val="21"/>
              </w:rPr>
              <w:t>发性硬化必须明确诊断，并且已经造成永久不可逆的神经系统功能损害。永</w:t>
            </w:r>
            <w:r>
              <w:rPr>
                <w:spacing w:val="-7"/>
                <w:sz w:val="21"/>
              </w:rPr>
              <w:t>久不可逆的神经系统损害指被保险人持续 </w:t>
            </w:r>
            <w:r>
              <w:rPr>
                <w:sz w:val="21"/>
              </w:rPr>
              <w:t>180 天无法独立完成下列基本日</w:t>
            </w:r>
            <w:r>
              <w:rPr>
                <w:spacing w:val="-2"/>
                <w:sz w:val="21"/>
              </w:rPr>
              <w:t>常生活活动：</w:t>
            </w:r>
          </w:p>
          <w:p>
            <w:pPr>
              <w:pStyle w:val="TableParagraph"/>
              <w:spacing w:before="7"/>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303" w:hRule="atLeast"/>
        </w:trPr>
        <w:tc>
          <w:tcPr>
            <w:tcW w:w="1051" w:type="dxa"/>
          </w:tcPr>
          <w:p>
            <w:pPr>
              <w:pStyle w:val="TableParagraph"/>
              <w:spacing w:before="50"/>
              <w:ind w:left="180" w:right="90"/>
              <w:jc w:val="center"/>
              <w:rPr>
                <w:b/>
                <w:sz w:val="21"/>
              </w:rPr>
            </w:pPr>
            <w:r>
              <w:rPr>
                <w:b/>
                <w:sz w:val="21"/>
              </w:rPr>
              <w:t>10.1.27</w:t>
            </w:r>
          </w:p>
        </w:tc>
        <w:tc>
          <w:tcPr>
            <w:tcW w:w="1492" w:type="dxa"/>
          </w:tcPr>
          <w:p>
            <w:pPr>
              <w:pStyle w:val="TableParagraph"/>
              <w:spacing w:before="50"/>
              <w:ind w:left="109"/>
              <w:rPr>
                <w:b/>
                <w:sz w:val="21"/>
              </w:rPr>
            </w:pPr>
            <w:r>
              <w:rPr>
                <w:b/>
                <w:sz w:val="21"/>
              </w:rPr>
              <w:t>严重冠心病</w:t>
            </w:r>
          </w:p>
        </w:tc>
        <w:tc>
          <w:tcPr>
            <w:tcW w:w="7190" w:type="dxa"/>
          </w:tcPr>
          <w:p>
            <w:pPr>
              <w:pStyle w:val="TableParagraph"/>
              <w:spacing w:line="237" w:lineRule="auto" w:before="93"/>
              <w:ind w:right="202"/>
              <w:jc w:val="both"/>
              <w:rPr>
                <w:rFonts w:ascii="黑体" w:eastAsia="黑体" w:hint="eastAsia"/>
                <w:sz w:val="21"/>
              </w:rPr>
            </w:pPr>
            <w:r>
              <w:rPr>
                <w:sz w:val="21"/>
              </w:rPr>
              <w:t>指根据冠状动脉造影检查结果确诊的三支主要血管(左冠状动脉主干和右冠</w:t>
            </w:r>
            <w:r>
              <w:rPr>
                <w:spacing w:val="-10"/>
                <w:sz w:val="21"/>
              </w:rPr>
              <w:t>状动脉，或前降支、左旋支和右冠状动脉)严重狭窄性病变(至少一支血管管</w:t>
            </w:r>
            <w:r>
              <w:rPr>
                <w:spacing w:val="-11"/>
                <w:sz w:val="21"/>
              </w:rPr>
              <w:t>腔直径减少 </w:t>
            </w:r>
            <w:r>
              <w:rPr>
                <w:sz w:val="21"/>
              </w:rPr>
              <w:t>75</w:t>
            </w:r>
            <w:r>
              <w:rPr>
                <w:spacing w:val="-6"/>
                <w:sz w:val="21"/>
              </w:rPr>
              <w:t>%以上和其他两支血管管腔直径减少 </w:t>
            </w:r>
            <w:r>
              <w:rPr>
                <w:sz w:val="21"/>
              </w:rPr>
              <w:t>60%</w:t>
            </w:r>
            <w:r>
              <w:rPr>
                <w:spacing w:val="-10"/>
                <w:sz w:val="21"/>
              </w:rPr>
              <w:t>以上)。</w:t>
            </w:r>
            <w:r>
              <w:rPr>
                <w:rFonts w:ascii="黑体" w:eastAsia="黑体" w:hint="eastAsia"/>
                <w:spacing w:val="-8"/>
                <w:sz w:val="21"/>
              </w:rPr>
              <w:t>前降支、左旋</w:t>
            </w:r>
            <w:r>
              <w:rPr>
                <w:rFonts w:ascii="黑体" w:eastAsia="黑体" w:hint="eastAsia"/>
                <w:spacing w:val="-3"/>
                <w:sz w:val="21"/>
              </w:rPr>
              <w:t>支及右冠状动脉的分支血管的狭窄不作为本保障的衡量指标。</w:t>
            </w:r>
          </w:p>
        </w:tc>
      </w:tr>
      <w:tr>
        <w:trPr>
          <w:trHeight w:val="947" w:hRule="atLeast"/>
        </w:trPr>
        <w:tc>
          <w:tcPr>
            <w:tcW w:w="1051" w:type="dxa"/>
          </w:tcPr>
          <w:p>
            <w:pPr>
              <w:pStyle w:val="TableParagraph"/>
              <w:spacing w:before="40"/>
              <w:ind w:left="180" w:right="90"/>
              <w:jc w:val="center"/>
              <w:rPr>
                <w:b/>
                <w:sz w:val="21"/>
              </w:rPr>
            </w:pPr>
            <w:r>
              <w:rPr>
                <w:b/>
                <w:sz w:val="21"/>
              </w:rPr>
              <w:t>10.1.28</w:t>
            </w:r>
          </w:p>
        </w:tc>
        <w:tc>
          <w:tcPr>
            <w:tcW w:w="1492" w:type="dxa"/>
          </w:tcPr>
          <w:p>
            <w:pPr>
              <w:pStyle w:val="TableParagraph"/>
              <w:spacing w:line="273" w:lineRule="auto" w:before="40"/>
              <w:ind w:left="109" w:right="113"/>
              <w:rPr>
                <w:b/>
                <w:sz w:val="21"/>
              </w:rPr>
            </w:pPr>
            <w:r>
              <w:rPr>
                <w:b/>
                <w:sz w:val="21"/>
              </w:rPr>
              <w:t>严重慢性呼吸功能衰竭</w:t>
            </w:r>
          </w:p>
        </w:tc>
        <w:tc>
          <w:tcPr>
            <w:tcW w:w="7190" w:type="dxa"/>
          </w:tcPr>
          <w:p>
            <w:pPr>
              <w:pStyle w:val="TableParagraph"/>
              <w:spacing w:line="273" w:lineRule="auto" w:before="40"/>
              <w:ind w:right="141"/>
              <w:rPr>
                <w:sz w:val="21"/>
              </w:rPr>
            </w:pPr>
            <w:r>
              <w:rPr>
                <w:sz w:val="21"/>
              </w:rPr>
              <w:t>慢性肺部疾病导致永久不可逆性的慢性呼吸功能衰竭，必须由呼吸专科医师确认并符合下列所有条件：</w:t>
            </w:r>
          </w:p>
          <w:p>
            <w:pPr>
              <w:pStyle w:val="TableParagraph"/>
              <w:spacing w:line="264" w:lineRule="exact" w:before="7"/>
              <w:rPr>
                <w:sz w:val="21"/>
              </w:rPr>
            </w:pPr>
            <w:r>
              <w:rPr>
                <w:sz w:val="21"/>
              </w:rPr>
              <w:t>(1)肺功能测试其 FEV1 持续低于 0.75 升；</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492"/>
        <w:gridCol w:w="7290"/>
      </w:tblGrid>
      <w:tr>
        <w:trPr>
          <w:trHeight w:val="1033" w:hRule="atLeast"/>
        </w:trPr>
        <w:tc>
          <w:tcPr>
            <w:tcW w:w="1051"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290" w:type="dxa"/>
          </w:tcPr>
          <w:p>
            <w:pPr>
              <w:pStyle w:val="TableParagraph"/>
              <w:spacing w:line="202" w:lineRule="exact"/>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114"/>
              <w:rPr>
                <w:sz w:val="21"/>
              </w:rPr>
            </w:pPr>
            <w:r>
              <w:rPr>
                <w:sz w:val="21"/>
              </w:rPr>
              <w:t>理赔时必须提供以上三项相应的证明文件或检查报告。</w:t>
            </w:r>
          </w:p>
        </w:tc>
      </w:tr>
      <w:tr>
        <w:trPr>
          <w:trHeight w:val="1381" w:hRule="atLeast"/>
        </w:trPr>
        <w:tc>
          <w:tcPr>
            <w:tcW w:w="1051" w:type="dxa"/>
          </w:tcPr>
          <w:p>
            <w:pPr>
              <w:pStyle w:val="TableParagraph"/>
              <w:spacing w:before="48"/>
              <w:ind w:left="180" w:right="90"/>
              <w:jc w:val="center"/>
              <w:rPr>
                <w:b/>
                <w:sz w:val="21"/>
              </w:rPr>
            </w:pPr>
            <w:r>
              <w:rPr>
                <w:b/>
                <w:sz w:val="21"/>
              </w:rPr>
              <w:t>10.1.29</w:t>
            </w:r>
          </w:p>
        </w:tc>
        <w:tc>
          <w:tcPr>
            <w:tcW w:w="1492" w:type="dxa"/>
          </w:tcPr>
          <w:p>
            <w:pPr>
              <w:pStyle w:val="TableParagraph"/>
              <w:spacing w:line="273" w:lineRule="auto" w:before="48"/>
              <w:ind w:left="109" w:right="113"/>
              <w:rPr>
                <w:b/>
                <w:sz w:val="21"/>
              </w:rPr>
            </w:pPr>
            <w:r>
              <w:rPr>
                <w:b/>
                <w:sz w:val="21"/>
              </w:rPr>
              <w:t>严重原发性心肌病</w:t>
            </w:r>
          </w:p>
        </w:tc>
        <w:tc>
          <w:tcPr>
            <w:tcW w:w="7290" w:type="dxa"/>
          </w:tcPr>
          <w:p>
            <w:pPr>
              <w:pStyle w:val="TableParagraph"/>
              <w:spacing w:line="237" w:lineRule="auto" w:before="92"/>
              <w:ind w:right="298"/>
              <w:jc w:val="both"/>
              <w:rPr>
                <w:sz w:val="21"/>
              </w:rPr>
            </w:pPr>
            <w:r>
              <w:rPr>
                <w:spacing w:val="-5"/>
                <w:sz w:val="21"/>
              </w:rPr>
              <w:t>指因原发性心肌病导致心室功能损害造成永久不可逆性的心功能衰竭，心功能衰竭程度达到美国纽约心脏病学会心功能状态分级 </w:t>
            </w:r>
            <w:r>
              <w:rPr>
                <w:sz w:val="21"/>
              </w:rPr>
              <w:t>IV</w:t>
            </w:r>
            <w:r>
              <w:rPr>
                <w:spacing w:val="-5"/>
                <w:sz w:val="21"/>
              </w:rPr>
              <w:t> 级。必须由心脏专</w:t>
            </w:r>
            <w:r>
              <w:rPr>
                <w:spacing w:val="-4"/>
                <w:sz w:val="21"/>
              </w:rPr>
              <w:t>科医生确诊，并有包括超声心动图在内的相关检查证实。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1051" w:type="dxa"/>
          </w:tcPr>
          <w:p>
            <w:pPr>
              <w:pStyle w:val="TableParagraph"/>
              <w:spacing w:before="40"/>
              <w:ind w:left="180" w:right="90"/>
              <w:jc w:val="center"/>
              <w:rPr>
                <w:b/>
                <w:sz w:val="21"/>
              </w:rPr>
            </w:pPr>
            <w:r>
              <w:rPr>
                <w:b/>
                <w:sz w:val="21"/>
              </w:rPr>
              <w:t>10.1.30</w:t>
            </w:r>
          </w:p>
        </w:tc>
        <w:tc>
          <w:tcPr>
            <w:tcW w:w="1492" w:type="dxa"/>
          </w:tcPr>
          <w:p>
            <w:pPr>
              <w:pStyle w:val="TableParagraph"/>
              <w:spacing w:before="40"/>
              <w:ind w:left="109"/>
              <w:rPr>
                <w:b/>
                <w:sz w:val="21"/>
              </w:rPr>
            </w:pPr>
            <w:r>
              <w:rPr>
                <w:b/>
                <w:sz w:val="21"/>
              </w:rPr>
              <w:t>严重克隆病</w:t>
            </w:r>
          </w:p>
        </w:tc>
        <w:tc>
          <w:tcPr>
            <w:tcW w:w="7290" w:type="dxa"/>
          </w:tcPr>
          <w:p>
            <w:pPr>
              <w:pStyle w:val="TableParagraph"/>
              <w:spacing w:line="273" w:lineRule="auto" w:before="40"/>
              <w:ind w:right="298"/>
              <w:jc w:val="both"/>
              <w:rPr>
                <w:sz w:val="21"/>
              </w:rPr>
            </w:pPr>
            <w:r>
              <w:rPr>
                <w:spacing w:val="-6"/>
                <w:sz w:val="21"/>
              </w:rPr>
              <w:t>伴有肠梗阻或肠穿孔是一种慢性肉芽肿性肠炎，具有特征性的克隆病病理组</w:t>
            </w:r>
            <w:r>
              <w:rPr>
                <w:spacing w:val="-10"/>
                <w:sz w:val="21"/>
              </w:rPr>
              <w:t>织学变化。疾病诊断必须经专科医师确认被保险人所患的克隆病已经造成瘘</w:t>
            </w:r>
            <w:r>
              <w:rPr>
                <w:spacing w:val="-5"/>
                <w:sz w:val="21"/>
              </w:rPr>
              <w:t>管形成并伴有肠梗阻或肠穿孔。</w:t>
            </w:r>
          </w:p>
        </w:tc>
      </w:tr>
      <w:tr>
        <w:trPr>
          <w:trHeight w:val="3028" w:hRule="atLeast"/>
        </w:trPr>
        <w:tc>
          <w:tcPr>
            <w:tcW w:w="1051" w:type="dxa"/>
          </w:tcPr>
          <w:p>
            <w:pPr>
              <w:pStyle w:val="TableParagraph"/>
              <w:spacing w:before="48"/>
              <w:ind w:left="180" w:right="90"/>
              <w:jc w:val="center"/>
              <w:rPr>
                <w:b/>
                <w:sz w:val="21"/>
              </w:rPr>
            </w:pPr>
            <w:r>
              <w:rPr>
                <w:b/>
                <w:sz w:val="21"/>
              </w:rPr>
              <w:t>10.1.31</w:t>
            </w:r>
          </w:p>
        </w:tc>
        <w:tc>
          <w:tcPr>
            <w:tcW w:w="1492" w:type="dxa"/>
          </w:tcPr>
          <w:p>
            <w:pPr>
              <w:pStyle w:val="TableParagraph"/>
              <w:spacing w:line="273" w:lineRule="auto" w:before="48"/>
              <w:ind w:left="109" w:right="113"/>
              <w:rPr>
                <w:b/>
                <w:sz w:val="21"/>
              </w:rPr>
            </w:pPr>
            <w:r>
              <w:rPr>
                <w:b/>
                <w:sz w:val="21"/>
              </w:rPr>
              <w:t>慢性肾上腺皮质功能衰竭</w:t>
            </w:r>
          </w:p>
        </w:tc>
        <w:tc>
          <w:tcPr>
            <w:tcW w:w="7290" w:type="dxa"/>
          </w:tcPr>
          <w:p>
            <w:pPr>
              <w:pStyle w:val="TableParagraph"/>
              <w:spacing w:line="273" w:lineRule="auto" w:before="48"/>
              <w:ind w:right="298"/>
              <w:jc w:val="both"/>
              <w:rPr>
                <w:sz w:val="21"/>
              </w:rPr>
            </w:pPr>
            <w:r>
              <w:rPr>
                <w:spacing w:val="-8"/>
                <w:sz w:val="21"/>
              </w:rPr>
              <w:t>因为自身免疫功能紊乱，使肾上腺组织逐渐受损，而需要长期接受糖皮质激</w:t>
            </w:r>
            <w:r>
              <w:rPr>
                <w:spacing w:val="-9"/>
                <w:sz w:val="21"/>
              </w:rPr>
              <w:t>素及肾上腺皮质激素替代疗法。该病必须经内分泌专科医生确诊，并有以下</w:t>
            </w:r>
            <w:r>
              <w:rPr>
                <w:spacing w:val="-5"/>
                <w:sz w:val="21"/>
              </w:rPr>
              <w:t>全部检查结果异常的报告作为证据：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273" w:lineRule="auto" w:before="116"/>
              <w:ind w:right="232"/>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3650" w:hRule="atLeast"/>
        </w:trPr>
        <w:tc>
          <w:tcPr>
            <w:tcW w:w="1051" w:type="dxa"/>
          </w:tcPr>
          <w:p>
            <w:pPr>
              <w:pStyle w:val="TableParagraph"/>
              <w:spacing w:before="49"/>
              <w:ind w:left="180" w:right="90"/>
              <w:jc w:val="center"/>
              <w:rPr>
                <w:b/>
                <w:sz w:val="21"/>
              </w:rPr>
            </w:pPr>
            <w:r>
              <w:rPr>
                <w:b/>
                <w:sz w:val="21"/>
              </w:rPr>
              <w:t>10.1.32</w:t>
            </w:r>
          </w:p>
        </w:tc>
        <w:tc>
          <w:tcPr>
            <w:tcW w:w="1492" w:type="dxa"/>
          </w:tcPr>
          <w:p>
            <w:pPr>
              <w:pStyle w:val="TableParagraph"/>
              <w:spacing w:before="49"/>
              <w:ind w:left="109"/>
              <w:rPr>
                <w:b/>
                <w:sz w:val="21"/>
              </w:rPr>
            </w:pPr>
            <w:r>
              <w:rPr>
                <w:b/>
                <w:sz w:val="21"/>
              </w:rPr>
              <w:t>系统性硬皮病</w:t>
            </w:r>
          </w:p>
        </w:tc>
        <w:tc>
          <w:tcPr>
            <w:tcW w:w="7290" w:type="dxa"/>
          </w:tcPr>
          <w:p>
            <w:pPr>
              <w:pStyle w:val="TableParagraph"/>
              <w:spacing w:line="273" w:lineRule="auto" w:before="49"/>
              <w:ind w:right="298"/>
              <w:jc w:val="both"/>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w:t>
            </w:r>
            <w:r>
              <w:rPr>
                <w:spacing w:val="-9"/>
                <w:sz w:val="21"/>
              </w:rPr>
              <w:t>肤、血管、内脏器官异常纤维化为特征的结缔组织病。本病须经专科医师明</w:t>
            </w:r>
            <w:r>
              <w:rPr>
                <w:spacing w:val="-5"/>
                <w:sz w:val="21"/>
              </w:rPr>
              <w:t>确诊断，并须满足下列至少一项条件：</w:t>
            </w:r>
          </w:p>
          <w:p>
            <w:pPr>
              <w:pStyle w:val="TableParagraph"/>
              <w:spacing w:line="273" w:lineRule="auto" w:before="7"/>
              <w:ind w:right="344"/>
              <w:rPr>
                <w:sz w:val="21"/>
              </w:rPr>
            </w:pPr>
            <w:r>
              <w:rPr>
                <w:sz w:val="21"/>
              </w:rPr>
              <w:t>(1)肺脏：肺部病变进而发展为肺间质纤维化和肺动脉高压，静息状态下肺动脉平均压超过 25mmHg；</w:t>
            </w:r>
          </w:p>
          <w:p>
            <w:pPr>
              <w:pStyle w:val="TableParagraph"/>
              <w:spacing w:before="7"/>
              <w:jc w:val="both"/>
              <w:rPr>
                <w:sz w:val="21"/>
              </w:rPr>
            </w:pPr>
            <w:r>
              <w:rPr>
                <w:sz w:val="21"/>
              </w:rPr>
              <w:t>(2)心脏：心功能受损达到美国纽约心脏病学会心功能状态分级 IV 级；</w:t>
            </w:r>
          </w:p>
          <w:p>
            <w:pPr>
              <w:pStyle w:val="TableParagraph"/>
              <w:spacing w:before="37"/>
              <w:jc w:val="both"/>
              <w:rPr>
                <w:sz w:val="21"/>
              </w:rPr>
            </w:pPr>
            <w:r>
              <w:rPr>
                <w:sz w:val="21"/>
              </w:rPr>
              <w:t>(3)肾脏：肾脏受损导致双肾功能慢性不可逆衰竭，达到尿毒症期。</w:t>
            </w:r>
          </w:p>
          <w:p>
            <w:pPr>
              <w:pStyle w:val="TableParagraph"/>
              <w:spacing w:before="114"/>
              <w:jc w:val="both"/>
              <w:rPr>
                <w:rFonts w:ascii="黑体" w:eastAsia="黑体" w:hint="eastAsia"/>
                <w:sz w:val="21"/>
              </w:rPr>
            </w:pPr>
            <w:r>
              <w:rPr>
                <w:rFonts w:ascii="黑体" w:eastAsia="黑体" w:hint="eastAsia"/>
                <w:sz w:val="21"/>
              </w:rPr>
              <w:t>下列疾病不在本险种保障范围内：</w:t>
            </w:r>
          </w:p>
          <w:p>
            <w:pPr>
              <w:pStyle w:val="TableParagraph"/>
              <w:spacing w:before="37"/>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w:t>
            </w:r>
            <w:r>
              <w:rPr>
                <w:rFonts w:ascii="黑体" w:eastAsia="黑体" w:hint="eastAsia"/>
                <w:w w:val="100"/>
                <w:sz w:val="21"/>
              </w:rPr>
              <w:t>（</w:t>
            </w:r>
            <w:r>
              <w:rPr>
                <w:rFonts w:ascii="黑体" w:eastAsia="黑体" w:hint="eastAsia"/>
                <w:spacing w:val="-3"/>
                <w:w w:val="100"/>
                <w:sz w:val="21"/>
              </w:rPr>
              <w:t>如：带状硬皮病、硬斑病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before="37"/>
              <w:jc w:val="both"/>
              <w:rPr>
                <w:rFonts w:ascii="黑体" w:eastAsia="黑体" w:hint="eastAsia"/>
                <w:sz w:val="21"/>
              </w:rPr>
            </w:pPr>
            <w:r>
              <w:rPr>
                <w:rFonts w:ascii="黑体" w:eastAsia="黑体" w:hint="eastAsia"/>
                <w:sz w:val="21"/>
              </w:rPr>
              <w:t>(2)嗜酸性粒细胞性筋膜炎；</w:t>
            </w:r>
          </w:p>
          <w:p>
            <w:pPr>
              <w:pStyle w:val="TableParagraph"/>
              <w:spacing w:before="37"/>
              <w:jc w:val="both"/>
              <w:rPr>
                <w:rFonts w:ascii="黑体" w:eastAsia="黑体" w:hint="eastAsia"/>
                <w:sz w:val="21"/>
              </w:rPr>
            </w:pPr>
            <w:r>
              <w:rPr>
                <w:rFonts w:ascii="黑体" w:eastAsia="黑体" w:hint="eastAsia"/>
                <w:sz w:val="21"/>
              </w:rPr>
              <w:t>(3)CREST 综合征。</w:t>
            </w:r>
          </w:p>
        </w:tc>
      </w:tr>
      <w:tr>
        <w:trPr>
          <w:trHeight w:val="3340" w:hRule="atLeast"/>
        </w:trPr>
        <w:tc>
          <w:tcPr>
            <w:tcW w:w="1051" w:type="dxa"/>
          </w:tcPr>
          <w:p>
            <w:pPr>
              <w:pStyle w:val="TableParagraph"/>
              <w:spacing w:before="49"/>
              <w:ind w:left="180" w:right="90"/>
              <w:jc w:val="center"/>
              <w:rPr>
                <w:b/>
                <w:sz w:val="21"/>
              </w:rPr>
            </w:pPr>
            <w:r>
              <w:rPr>
                <w:b/>
                <w:sz w:val="21"/>
              </w:rPr>
              <w:t>10.1.33</w:t>
            </w:r>
          </w:p>
        </w:tc>
        <w:tc>
          <w:tcPr>
            <w:tcW w:w="1492" w:type="dxa"/>
          </w:tcPr>
          <w:p>
            <w:pPr>
              <w:pStyle w:val="TableParagraph"/>
              <w:spacing w:line="273" w:lineRule="auto" w:before="49"/>
              <w:ind w:left="109" w:right="113"/>
              <w:jc w:val="both"/>
              <w:rPr>
                <w:b/>
                <w:sz w:val="21"/>
              </w:rPr>
            </w:pPr>
            <w:r>
              <w:rPr>
                <w:b/>
                <w:sz w:val="21"/>
              </w:rPr>
              <w:t>经输血导致的人类免疫缺陷病毒感染</w:t>
            </w:r>
          </w:p>
        </w:tc>
        <w:tc>
          <w:tcPr>
            <w:tcW w:w="7290" w:type="dxa"/>
          </w:tcPr>
          <w:p>
            <w:pPr>
              <w:pStyle w:val="TableParagraph"/>
              <w:spacing w:before="49"/>
              <w:rPr>
                <w:sz w:val="21"/>
              </w:rPr>
            </w:pPr>
            <w:r>
              <w:rPr>
                <w:sz w:val="21"/>
              </w:rPr>
              <w:t>被保险人因输血而感染上人类免疫缺陷病毒（HIV）必须同时满足以下条件：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3495"/>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6"/>
              <w:ind w:right="346"/>
              <w:rPr>
                <w:sz w:val="21"/>
              </w:rPr>
            </w:pPr>
            <w:r>
              <w:rPr>
                <w:sz w:val="21"/>
              </w:rPr>
              <w:t>(4)</w:t>
            </w:r>
            <w:r>
              <w:rPr>
                <w:spacing w:val="-7"/>
                <w:sz w:val="21"/>
              </w:rPr>
              <w:t>提供输血前一个月内 </w:t>
            </w:r>
            <w:r>
              <w:rPr>
                <w:sz w:val="21"/>
              </w:rPr>
              <w:t>HIV</w:t>
            </w:r>
            <w:r>
              <w:rPr>
                <w:spacing w:val="-8"/>
                <w:sz w:val="21"/>
              </w:rPr>
              <w:t> 检查阴性的报告、输血血液来源的证明以及输</w:t>
            </w:r>
            <w:r>
              <w:rPr>
                <w:spacing w:val="-22"/>
                <w:sz w:val="21"/>
              </w:rPr>
              <w:t>血后 </w:t>
            </w:r>
            <w:r>
              <w:rPr>
                <w:sz w:val="21"/>
              </w:rPr>
              <w:t>HIV</w:t>
            </w:r>
            <w:r>
              <w:rPr>
                <w:spacing w:val="-8"/>
                <w:sz w:val="21"/>
              </w:rPr>
              <w:t> 检查阳性的报告。</w:t>
            </w:r>
          </w:p>
          <w:p>
            <w:pPr>
              <w:pStyle w:val="TableParagraph"/>
              <w:spacing w:line="273" w:lineRule="auto" w:before="87"/>
              <w:ind w:right="299"/>
              <w:jc w:val="both"/>
              <w:rPr>
                <w:sz w:val="21"/>
              </w:rPr>
            </w:pPr>
            <w:r>
              <w:rPr>
                <w:rFonts w:ascii="黑体" w:eastAsia="黑体" w:hint="eastAsia"/>
                <w:spacing w:val="-6"/>
                <w:sz w:val="21"/>
              </w:rPr>
              <w:t>任何因其他传播方式</w:t>
            </w:r>
            <w:r>
              <w:rPr>
                <w:rFonts w:ascii="黑体" w:eastAsia="黑体" w:hint="eastAsia"/>
                <w:spacing w:val="-3"/>
                <w:sz w:val="21"/>
              </w:rPr>
              <w:t>（</w:t>
            </w:r>
            <w:r>
              <w:rPr>
                <w:rFonts w:ascii="黑体" w:eastAsia="黑体" w:hint="eastAsia"/>
                <w:spacing w:val="-6"/>
                <w:sz w:val="21"/>
              </w:rPr>
              <w:t>包括：性传播或静脉注射毒品</w:t>
            </w:r>
            <w:r>
              <w:rPr>
                <w:rFonts w:ascii="黑体" w:eastAsia="黑体" w:hint="eastAsia"/>
                <w:spacing w:val="-22"/>
                <w:sz w:val="21"/>
              </w:rPr>
              <w:t>）</w:t>
            </w:r>
            <w:r>
              <w:rPr>
                <w:rFonts w:ascii="黑体" w:eastAsia="黑体" w:hint="eastAsia"/>
                <w:spacing w:val="-12"/>
                <w:sz w:val="21"/>
              </w:rPr>
              <w:t>导致的 </w:t>
            </w:r>
            <w:r>
              <w:rPr>
                <w:rFonts w:ascii="黑体" w:eastAsia="黑体" w:hint="eastAsia"/>
                <w:sz w:val="21"/>
              </w:rPr>
              <w:t>HIV</w:t>
            </w:r>
            <w:r>
              <w:rPr>
                <w:rFonts w:ascii="黑体" w:eastAsia="黑体" w:hint="eastAsia"/>
                <w:spacing w:val="-10"/>
                <w:sz w:val="21"/>
              </w:rPr>
              <w:t> 感染不在本保单保障范围内。</w:t>
            </w:r>
            <w:r>
              <w:rPr>
                <w:spacing w:val="-3"/>
                <w:sz w:val="21"/>
              </w:rPr>
              <w:t>保险公司必须拥有获得使用被保险人的所有血液样本的权利和能够对这些样本进行独立检验的权利。</w:t>
            </w:r>
          </w:p>
        </w:tc>
      </w:tr>
      <w:tr>
        <w:trPr>
          <w:trHeight w:val="332" w:hRule="atLeast"/>
        </w:trPr>
        <w:tc>
          <w:tcPr>
            <w:tcW w:w="1051" w:type="dxa"/>
          </w:tcPr>
          <w:p>
            <w:pPr>
              <w:pStyle w:val="TableParagraph"/>
              <w:spacing w:line="264" w:lineRule="exact" w:before="48"/>
              <w:ind w:left="180" w:right="90"/>
              <w:jc w:val="center"/>
              <w:rPr>
                <w:b/>
                <w:sz w:val="21"/>
              </w:rPr>
            </w:pPr>
            <w:r>
              <w:rPr>
                <w:b/>
                <w:sz w:val="21"/>
              </w:rPr>
              <w:t>10.1.34</w:t>
            </w:r>
          </w:p>
        </w:tc>
        <w:tc>
          <w:tcPr>
            <w:tcW w:w="1492" w:type="dxa"/>
          </w:tcPr>
          <w:p>
            <w:pPr>
              <w:pStyle w:val="TableParagraph"/>
              <w:spacing w:line="264" w:lineRule="exact" w:before="48"/>
              <w:ind w:left="109"/>
              <w:rPr>
                <w:b/>
                <w:sz w:val="21"/>
              </w:rPr>
            </w:pPr>
            <w:r>
              <w:rPr>
                <w:b/>
                <w:sz w:val="21"/>
              </w:rPr>
              <w:t>慢性复发性胰</w:t>
            </w:r>
          </w:p>
        </w:tc>
        <w:tc>
          <w:tcPr>
            <w:tcW w:w="7290" w:type="dxa"/>
          </w:tcPr>
          <w:p>
            <w:pPr>
              <w:pStyle w:val="TableParagraph"/>
              <w:spacing w:line="264" w:lineRule="exact" w:before="48"/>
              <w:rPr>
                <w:sz w:val="21"/>
              </w:rPr>
            </w:pPr>
            <w:r>
              <w:rPr>
                <w:sz w:val="21"/>
              </w:rPr>
              <w:t>胰腺炎反复发作超过三次以上并导致胰腺功能紊乱和营养不良，需要接受酶</w:t>
            </w:r>
          </w:p>
        </w:tc>
      </w:tr>
    </w:tbl>
    <w:p>
      <w:pPr>
        <w:spacing w:after="0" w:line="264" w:lineRule="exac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492"/>
        <w:gridCol w:w="7291"/>
      </w:tblGrid>
      <w:tr>
        <w:trPr>
          <w:trHeight w:val="1033" w:hRule="atLeast"/>
        </w:trPr>
        <w:tc>
          <w:tcPr>
            <w:tcW w:w="1051" w:type="dxa"/>
          </w:tcPr>
          <w:p>
            <w:pPr>
              <w:pStyle w:val="TableParagraph"/>
              <w:ind w:left="0"/>
              <w:rPr>
                <w:rFonts w:ascii="Times New Roman"/>
                <w:sz w:val="20"/>
              </w:rPr>
            </w:pPr>
          </w:p>
        </w:tc>
        <w:tc>
          <w:tcPr>
            <w:tcW w:w="1492" w:type="dxa"/>
          </w:tcPr>
          <w:p>
            <w:pPr>
              <w:pStyle w:val="TableParagraph"/>
              <w:spacing w:line="202" w:lineRule="exact"/>
              <w:ind w:left="109"/>
              <w:rPr>
                <w:b/>
                <w:sz w:val="21"/>
              </w:rPr>
            </w:pPr>
            <w:r>
              <w:rPr>
                <w:b/>
                <w:sz w:val="21"/>
              </w:rPr>
              <w:t>腺炎</w:t>
            </w:r>
          </w:p>
        </w:tc>
        <w:tc>
          <w:tcPr>
            <w:tcW w:w="7291" w:type="dxa"/>
          </w:tcPr>
          <w:p>
            <w:pPr>
              <w:pStyle w:val="TableParagraph"/>
              <w:spacing w:line="202" w:lineRule="exact"/>
              <w:rPr>
                <w:sz w:val="21"/>
              </w:rPr>
            </w:pPr>
            <w:r>
              <w:rPr>
                <w:sz w:val="21"/>
              </w:rPr>
              <w:t>替代治疗。诊断必须有消化科专科医生确认并且有内窥镜逆行胰胆管造影所</w:t>
            </w:r>
          </w:p>
          <w:p>
            <w:pPr>
              <w:pStyle w:val="TableParagraph"/>
              <w:spacing w:before="37"/>
              <w:rPr>
                <w:sz w:val="21"/>
              </w:rPr>
            </w:pPr>
            <w:r>
              <w:rPr>
                <w:sz w:val="21"/>
              </w:rPr>
              <w:t>证实。</w:t>
            </w:r>
          </w:p>
          <w:p>
            <w:pPr>
              <w:pStyle w:val="TableParagraph"/>
              <w:spacing w:before="114"/>
              <w:rPr>
                <w:rFonts w:ascii="黑体" w:eastAsia="黑体" w:hint="eastAsia"/>
                <w:sz w:val="21"/>
              </w:rPr>
            </w:pPr>
            <w:r>
              <w:rPr>
                <w:rFonts w:ascii="黑体" w:eastAsia="黑体" w:hint="eastAsia"/>
                <w:sz w:val="21"/>
              </w:rPr>
              <w:t>因酒精所致的慢性复发性胰腺炎除外。</w:t>
            </w:r>
          </w:p>
        </w:tc>
      </w:tr>
      <w:tr>
        <w:trPr>
          <w:trHeight w:val="2198" w:hRule="atLeast"/>
        </w:trPr>
        <w:tc>
          <w:tcPr>
            <w:tcW w:w="1051" w:type="dxa"/>
          </w:tcPr>
          <w:p>
            <w:pPr>
              <w:pStyle w:val="TableParagraph"/>
              <w:spacing w:before="48"/>
              <w:ind w:left="180" w:right="90"/>
              <w:jc w:val="center"/>
              <w:rPr>
                <w:b/>
                <w:sz w:val="21"/>
              </w:rPr>
            </w:pPr>
            <w:r>
              <w:rPr>
                <w:b/>
                <w:sz w:val="21"/>
              </w:rPr>
              <w:t>10.1.35</w:t>
            </w:r>
          </w:p>
        </w:tc>
        <w:tc>
          <w:tcPr>
            <w:tcW w:w="1492" w:type="dxa"/>
          </w:tcPr>
          <w:p>
            <w:pPr>
              <w:pStyle w:val="TableParagraph"/>
              <w:spacing w:line="273" w:lineRule="auto" w:before="48"/>
              <w:ind w:left="109" w:right="113"/>
              <w:rPr>
                <w:b/>
                <w:sz w:val="21"/>
              </w:rPr>
            </w:pPr>
            <w:r>
              <w:rPr>
                <w:b/>
                <w:sz w:val="21"/>
              </w:rPr>
              <w:t>原发性硬化性胆管炎</w:t>
            </w:r>
          </w:p>
        </w:tc>
        <w:tc>
          <w:tcPr>
            <w:tcW w:w="7291" w:type="dxa"/>
          </w:tcPr>
          <w:p>
            <w:pPr>
              <w:pStyle w:val="TableParagraph"/>
              <w:spacing w:line="237" w:lineRule="auto" w:before="92"/>
              <w:ind w:right="198"/>
              <w:rPr>
                <w:sz w:val="21"/>
              </w:rPr>
            </w:pPr>
            <w:r>
              <w:rPr>
                <w:spacing w:val="-16"/>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spacing w:line="272" w:lineRule="exact"/>
              <w:rPr>
                <w:sz w:val="21"/>
              </w:rPr>
            </w:pPr>
            <w:r>
              <w:rPr>
                <w:sz w:val="21"/>
              </w:rPr>
              <w:t>(1)总胆红素和直接胆红素同时升高，血清 ALP&gt;200U/L；</w:t>
            </w:r>
          </w:p>
          <w:p>
            <w:pPr>
              <w:pStyle w:val="TableParagraph"/>
              <w:spacing w:line="271" w:lineRule="exact"/>
              <w:rPr>
                <w:sz w:val="21"/>
              </w:rPr>
            </w:pPr>
            <w:r>
              <w:rPr>
                <w:sz w:val="21"/>
              </w:rPr>
              <w:t>(2)持续性黄疸病史；</w:t>
            </w:r>
          </w:p>
          <w:p>
            <w:pPr>
              <w:pStyle w:val="TableParagraph"/>
              <w:spacing w:line="273" w:lineRule="exact"/>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2003" w:hRule="atLeast"/>
        </w:trPr>
        <w:tc>
          <w:tcPr>
            <w:tcW w:w="1051" w:type="dxa"/>
          </w:tcPr>
          <w:p>
            <w:pPr>
              <w:pStyle w:val="TableParagraph"/>
              <w:spacing w:before="39"/>
              <w:ind w:left="180" w:right="90"/>
              <w:jc w:val="center"/>
              <w:rPr>
                <w:b/>
                <w:sz w:val="21"/>
              </w:rPr>
            </w:pPr>
            <w:r>
              <w:rPr>
                <w:b/>
                <w:sz w:val="21"/>
              </w:rPr>
              <w:t>10.1.36</w:t>
            </w:r>
          </w:p>
        </w:tc>
        <w:tc>
          <w:tcPr>
            <w:tcW w:w="1492" w:type="dxa"/>
          </w:tcPr>
          <w:p>
            <w:pPr>
              <w:pStyle w:val="TableParagraph"/>
              <w:spacing w:line="273" w:lineRule="auto" w:before="39"/>
              <w:ind w:left="109" w:right="113"/>
              <w:rPr>
                <w:b/>
                <w:sz w:val="21"/>
              </w:rPr>
            </w:pPr>
            <w:r>
              <w:rPr>
                <w:b/>
                <w:sz w:val="21"/>
              </w:rPr>
              <w:t>全身性重症肌无力</w:t>
            </w:r>
          </w:p>
        </w:tc>
        <w:tc>
          <w:tcPr>
            <w:tcW w:w="7291" w:type="dxa"/>
          </w:tcPr>
          <w:p>
            <w:pPr>
              <w:pStyle w:val="TableParagraph"/>
              <w:spacing w:line="273" w:lineRule="auto" w:before="39"/>
              <w:ind w:right="299"/>
              <w:jc w:val="both"/>
              <w:rPr>
                <w:sz w:val="21"/>
              </w:rPr>
            </w:pPr>
            <w:r>
              <w:rPr>
                <w:spacing w:val="-6"/>
                <w:sz w:val="21"/>
              </w:rPr>
              <w:t>重症肌无力是一种神经肌肉接头传递障碍所致的疾病，表现为局部或全身骨</w:t>
            </w:r>
            <w:r>
              <w:rPr>
                <w:spacing w:val="-9"/>
                <w:sz w:val="21"/>
              </w:rPr>
              <w:t>骼肌</w:t>
            </w:r>
            <w:r>
              <w:rPr>
                <w:spacing w:val="-3"/>
                <w:sz w:val="21"/>
              </w:rPr>
              <w:t>（特别是眼外肌</w:t>
            </w:r>
            <w:r>
              <w:rPr>
                <w:spacing w:val="-15"/>
                <w:sz w:val="21"/>
              </w:rPr>
              <w:t>）</w:t>
            </w:r>
            <w:r>
              <w:rPr>
                <w:spacing w:val="-7"/>
                <w:sz w:val="21"/>
              </w:rPr>
              <w:t>极易疲劳。疾病可以累及呼吸肌、上肢或下肢的近端</w:t>
            </w:r>
            <w:r>
              <w:rPr>
                <w:spacing w:val="-5"/>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45"/>
              <w:jc w:val="both"/>
              <w:rPr>
                <w:sz w:val="21"/>
              </w:rPr>
            </w:pPr>
            <w:r>
              <w:rPr>
                <w:sz w:val="21"/>
              </w:rPr>
              <w:t>(2)自主生活能力完全丧失，无法独立完成六项基本日常生活活动中的三项或三项以上。</w:t>
            </w:r>
          </w:p>
        </w:tc>
      </w:tr>
      <w:tr>
        <w:trPr>
          <w:trHeight w:val="3274" w:hRule="atLeast"/>
        </w:trPr>
        <w:tc>
          <w:tcPr>
            <w:tcW w:w="1051" w:type="dxa"/>
          </w:tcPr>
          <w:p>
            <w:pPr>
              <w:pStyle w:val="TableParagraph"/>
              <w:spacing w:before="49"/>
              <w:ind w:left="180" w:right="90"/>
              <w:jc w:val="center"/>
              <w:rPr>
                <w:b/>
                <w:sz w:val="21"/>
              </w:rPr>
            </w:pPr>
            <w:r>
              <w:rPr>
                <w:b/>
                <w:sz w:val="21"/>
              </w:rPr>
              <w:t>10.1.37</w:t>
            </w:r>
          </w:p>
        </w:tc>
        <w:tc>
          <w:tcPr>
            <w:tcW w:w="1492" w:type="dxa"/>
          </w:tcPr>
          <w:p>
            <w:pPr>
              <w:pStyle w:val="TableParagraph"/>
              <w:spacing w:line="273" w:lineRule="auto" w:before="49"/>
              <w:ind w:left="109" w:right="113"/>
              <w:rPr>
                <w:b/>
                <w:sz w:val="21"/>
              </w:rPr>
            </w:pPr>
            <w:r>
              <w:rPr>
                <w:b/>
                <w:sz w:val="21"/>
              </w:rPr>
              <w:t>严重类风湿性关节炎</w:t>
            </w:r>
          </w:p>
        </w:tc>
        <w:tc>
          <w:tcPr>
            <w:tcW w:w="7291" w:type="dxa"/>
          </w:tcPr>
          <w:p>
            <w:pPr>
              <w:pStyle w:val="TableParagraph"/>
              <w:spacing w:line="273" w:lineRule="auto" w:before="49"/>
              <w:ind w:right="241"/>
              <w:rPr>
                <w:sz w:val="21"/>
              </w:rPr>
            </w:pPr>
            <w:r>
              <w:rPr>
                <w:spacing w:val="-3"/>
                <w:sz w:val="21"/>
              </w:rPr>
              <w:t>类风湿性关节炎为广泛分布的慢性进行性多关节病变，表现为关节严重变 </w:t>
            </w:r>
            <w:r>
              <w:rPr>
                <w:spacing w:val="-10"/>
                <w:sz w:val="21"/>
              </w:rPr>
              <w:t>形，侵犯至少三个主要关节或关节组，【如:双手(多手指)关节、双足(多足</w:t>
            </w:r>
            <w:r>
              <w:rPr>
                <w:spacing w:val="-14"/>
                <w:sz w:val="21"/>
              </w:rPr>
              <w:t>趾)关节、双腕关节、双膝关节和双髋关节】。被保人所患的类风湿性关节炎</w:t>
            </w:r>
            <w:r>
              <w:rPr>
                <w:spacing w:val="-7"/>
                <w:sz w:val="21"/>
              </w:rPr>
              <w:t>必须已经达到类风湿性关节炎功能分级Ⅲ级以上的功能障碍以及活动限制， </w:t>
            </w:r>
            <w:r>
              <w:rPr>
                <w:spacing w:val="-3"/>
                <w:sz w:val="21"/>
              </w:rPr>
              <w:t>并须满足下列全部条件：</w:t>
            </w:r>
          </w:p>
          <w:p>
            <w:pPr>
              <w:pStyle w:val="TableParagraph"/>
              <w:spacing w:before="8"/>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1379" w:hRule="atLeast"/>
        </w:trPr>
        <w:tc>
          <w:tcPr>
            <w:tcW w:w="1051" w:type="dxa"/>
          </w:tcPr>
          <w:p>
            <w:pPr>
              <w:pStyle w:val="TableParagraph"/>
              <w:spacing w:before="38"/>
              <w:ind w:left="180" w:right="90"/>
              <w:jc w:val="center"/>
              <w:rPr>
                <w:b/>
                <w:sz w:val="21"/>
              </w:rPr>
            </w:pPr>
            <w:r>
              <w:rPr>
                <w:b/>
                <w:sz w:val="21"/>
              </w:rPr>
              <w:t>10.1.38</w:t>
            </w:r>
          </w:p>
        </w:tc>
        <w:tc>
          <w:tcPr>
            <w:tcW w:w="1492" w:type="dxa"/>
          </w:tcPr>
          <w:p>
            <w:pPr>
              <w:pStyle w:val="TableParagraph"/>
              <w:spacing w:line="273" w:lineRule="auto" w:before="38"/>
              <w:ind w:left="109" w:right="113"/>
              <w:rPr>
                <w:b/>
                <w:sz w:val="21"/>
              </w:rPr>
            </w:pPr>
            <w:r>
              <w:rPr>
                <w:b/>
                <w:sz w:val="21"/>
              </w:rPr>
              <w:t>严重溃疡性结肠炎</w:t>
            </w:r>
          </w:p>
        </w:tc>
        <w:tc>
          <w:tcPr>
            <w:tcW w:w="7291" w:type="dxa"/>
          </w:tcPr>
          <w:p>
            <w:pPr>
              <w:pStyle w:val="TableParagraph"/>
              <w:spacing w:line="273" w:lineRule="auto" w:before="38"/>
              <w:ind w:right="239"/>
              <w:rPr>
                <w:sz w:val="21"/>
              </w:rPr>
            </w:pPr>
            <w:r>
              <w:rPr>
                <w:spacing w:val="-3"/>
                <w:sz w:val="21"/>
              </w:rPr>
              <w:t>是指伴有致命性电解质紊乱的急性暴发性溃疡性结肠炎，病变累及全结肠， 表现为严重的血便和系统性症状体征，已经造成瘘管并伴有肠梗阻或肠穿 </w:t>
            </w:r>
            <w:r>
              <w:rPr>
                <w:spacing w:val="-9"/>
                <w:sz w:val="21"/>
              </w:rPr>
              <w:t>孔，治疗通常采取全结肠切除和回肠造瘘术。溃疡性结肠炎必须根据组织病</w:t>
            </w:r>
            <w:r>
              <w:rPr>
                <w:spacing w:val="-5"/>
                <w:sz w:val="21"/>
              </w:rPr>
              <w:t>理学特点诊断，并且被保险人已经接受了结肠切除和回肠造瘘术。</w:t>
            </w:r>
          </w:p>
        </w:tc>
      </w:tr>
      <w:tr>
        <w:trPr>
          <w:trHeight w:val="1389" w:hRule="atLeast"/>
        </w:trPr>
        <w:tc>
          <w:tcPr>
            <w:tcW w:w="1051" w:type="dxa"/>
          </w:tcPr>
          <w:p>
            <w:pPr>
              <w:pStyle w:val="TableParagraph"/>
              <w:spacing w:before="49"/>
              <w:ind w:left="180" w:right="90"/>
              <w:jc w:val="center"/>
              <w:rPr>
                <w:b/>
                <w:sz w:val="21"/>
              </w:rPr>
            </w:pPr>
            <w:r>
              <w:rPr>
                <w:b/>
                <w:sz w:val="21"/>
              </w:rPr>
              <w:t>10.1.39</w:t>
            </w:r>
          </w:p>
        </w:tc>
        <w:tc>
          <w:tcPr>
            <w:tcW w:w="1492" w:type="dxa"/>
          </w:tcPr>
          <w:p>
            <w:pPr>
              <w:pStyle w:val="TableParagraph"/>
              <w:spacing w:before="49"/>
              <w:ind w:left="109"/>
              <w:rPr>
                <w:b/>
                <w:sz w:val="21"/>
              </w:rPr>
            </w:pPr>
            <w:r>
              <w:rPr>
                <w:b/>
                <w:sz w:val="21"/>
              </w:rPr>
              <w:t>去皮质综合征</w:t>
            </w:r>
          </w:p>
          <w:p>
            <w:pPr>
              <w:pStyle w:val="TableParagraph"/>
              <w:spacing w:line="273" w:lineRule="auto" w:before="37"/>
              <w:ind w:left="109" w:right="326"/>
              <w:rPr>
                <w:b/>
                <w:sz w:val="21"/>
              </w:rPr>
            </w:pPr>
            <w:r>
              <w:rPr>
                <w:b/>
                <w:sz w:val="21"/>
              </w:rPr>
              <w:t>（植物人状态）</w:t>
            </w:r>
          </w:p>
        </w:tc>
        <w:tc>
          <w:tcPr>
            <w:tcW w:w="7291" w:type="dxa"/>
          </w:tcPr>
          <w:p>
            <w:pPr>
              <w:pStyle w:val="TableParagraph"/>
              <w:spacing w:line="273" w:lineRule="auto" w:before="49"/>
              <w:ind w:right="300"/>
              <w:jc w:val="both"/>
              <w:rPr>
                <w:sz w:val="21"/>
              </w:rPr>
            </w:pPr>
            <w:r>
              <w:rPr>
                <w:sz w:val="21"/>
              </w:rPr>
              <w:t>是指脑皮质广泛性坏死而导致对自身及周边的认知能力完全丧失,但脑干功</w:t>
            </w:r>
            <w:r>
              <w:rPr>
                <w:spacing w:val="-6"/>
                <w:w w:val="100"/>
                <w:sz w:val="21"/>
              </w:rPr>
              <w:t>能依然存在。须由头颅断层扫描</w:t>
            </w:r>
            <w:r>
              <w:rPr>
                <w:w w:val="100"/>
                <w:sz w:val="21"/>
              </w:rPr>
              <w:t>（</w:t>
            </w:r>
            <w:r>
              <w:rPr>
                <w:spacing w:val="-3"/>
                <w:w w:val="100"/>
                <w:sz w:val="21"/>
              </w:rPr>
              <w:t>C</w:t>
            </w:r>
            <w:r>
              <w:rPr>
                <w:spacing w:val="-1"/>
                <w:w w:val="100"/>
                <w:sz w:val="21"/>
              </w:rPr>
              <w:t>T</w:t>
            </w:r>
            <w:r>
              <w:rPr>
                <w:spacing w:val="-106"/>
                <w:w w:val="100"/>
                <w:sz w:val="21"/>
              </w:rPr>
              <w:t>）</w:t>
            </w:r>
            <w:r>
              <w:rPr>
                <w:spacing w:val="-7"/>
                <w:w w:val="100"/>
                <w:sz w:val="21"/>
              </w:rPr>
              <w:t>，核磁共振检查</w:t>
            </w:r>
            <w:r>
              <w:rPr>
                <w:spacing w:val="-1"/>
                <w:w w:val="100"/>
                <w:sz w:val="21"/>
              </w:rPr>
              <w:t>（</w:t>
            </w:r>
            <w:r>
              <w:rPr>
                <w:spacing w:val="-3"/>
                <w:w w:val="100"/>
                <w:sz w:val="21"/>
              </w:rPr>
              <w:t>MR</w:t>
            </w:r>
            <w:r>
              <w:rPr>
                <w:spacing w:val="1"/>
                <w:w w:val="100"/>
                <w:sz w:val="21"/>
              </w:rPr>
              <w:t>I</w:t>
            </w:r>
            <w:r>
              <w:rPr>
                <w:spacing w:val="-15"/>
                <w:w w:val="100"/>
                <w:sz w:val="21"/>
              </w:rPr>
              <w:t>）</w:t>
            </w:r>
            <w:r>
              <w:rPr>
                <w:spacing w:val="-3"/>
                <w:w w:val="100"/>
                <w:sz w:val="21"/>
              </w:rPr>
              <w:t>或正电子发射</w:t>
            </w:r>
            <w:r>
              <w:rPr>
                <w:spacing w:val="-8"/>
                <w:sz w:val="21"/>
              </w:rPr>
              <w:t>断层扫描</w:t>
            </w:r>
            <w:r>
              <w:rPr>
                <w:spacing w:val="-6"/>
                <w:sz w:val="21"/>
              </w:rPr>
              <w:t>（PET）</w:t>
            </w:r>
            <w:r>
              <w:rPr>
                <w:spacing w:val="-7"/>
                <w:sz w:val="21"/>
              </w:rPr>
              <w:t>等影像学检查证实。上述情况必须持续至少 </w:t>
            </w:r>
            <w:r>
              <w:rPr>
                <w:sz w:val="21"/>
              </w:rPr>
              <w:t>90</w:t>
            </w:r>
            <w:r>
              <w:rPr>
                <w:spacing w:val="-10"/>
                <w:sz w:val="21"/>
              </w:rPr>
              <w:t> 天且有相应</w:t>
            </w:r>
            <w:r>
              <w:rPr>
                <w:spacing w:val="-3"/>
                <w:sz w:val="21"/>
              </w:rPr>
              <w:t>的病历记录加以证实。</w:t>
            </w:r>
          </w:p>
        </w:tc>
      </w:tr>
      <w:tr>
        <w:trPr>
          <w:trHeight w:val="2629" w:hRule="atLeast"/>
        </w:trPr>
        <w:tc>
          <w:tcPr>
            <w:tcW w:w="1051" w:type="dxa"/>
          </w:tcPr>
          <w:p>
            <w:pPr>
              <w:pStyle w:val="TableParagraph"/>
              <w:spacing w:before="49"/>
              <w:ind w:left="180" w:right="90"/>
              <w:jc w:val="center"/>
              <w:rPr>
                <w:b/>
                <w:sz w:val="21"/>
              </w:rPr>
            </w:pPr>
            <w:r>
              <w:rPr>
                <w:b/>
                <w:sz w:val="21"/>
              </w:rPr>
              <w:t>10.1.40</w:t>
            </w:r>
          </w:p>
        </w:tc>
        <w:tc>
          <w:tcPr>
            <w:tcW w:w="1492" w:type="dxa"/>
          </w:tcPr>
          <w:p>
            <w:pPr>
              <w:pStyle w:val="TableParagraph"/>
              <w:spacing w:line="273" w:lineRule="auto" w:before="49"/>
              <w:ind w:left="109" w:right="113"/>
              <w:rPr>
                <w:b/>
                <w:sz w:val="21"/>
              </w:rPr>
            </w:pPr>
            <w:r>
              <w:rPr>
                <w:b/>
                <w:sz w:val="21"/>
              </w:rPr>
              <w:t>系统性红斑狼疮——III 型</w:t>
            </w:r>
          </w:p>
          <w:p>
            <w:pPr>
              <w:pStyle w:val="TableParagraph"/>
              <w:spacing w:line="273" w:lineRule="auto" w:before="8"/>
              <w:ind w:left="109" w:right="113"/>
              <w:rPr>
                <w:b/>
                <w:sz w:val="21"/>
              </w:rPr>
            </w:pPr>
            <w:r>
              <w:rPr>
                <w:b/>
                <w:sz w:val="21"/>
              </w:rPr>
              <w:t>或以上狼疮性肾炎</w:t>
            </w:r>
          </w:p>
        </w:tc>
        <w:tc>
          <w:tcPr>
            <w:tcW w:w="7291" w:type="dxa"/>
          </w:tcPr>
          <w:p>
            <w:pPr>
              <w:pStyle w:val="TableParagraph"/>
              <w:spacing w:line="237" w:lineRule="auto" w:before="92"/>
              <w:ind w:right="242"/>
              <w:jc w:val="both"/>
              <w:rPr>
                <w:rFonts w:ascii="黑体" w:eastAsia="黑体" w:hint="eastAsia"/>
                <w:sz w:val="21"/>
              </w:rPr>
            </w:pPr>
            <w:r>
              <w:rPr>
                <w:spacing w:val="-6"/>
                <w:sz w:val="21"/>
              </w:rPr>
              <w:t>系统性红斑狼疮是由多种因素引起，累及多系统的自身免疫性疾病。其特点</w:t>
            </w:r>
            <w:r>
              <w:rPr>
                <w:spacing w:val="-8"/>
                <w:sz w:val="21"/>
              </w:rPr>
              <w:t>是生成自身抗体对抗多种自身抗原。多见于育龄妇女。本保单所指的系统性</w:t>
            </w:r>
            <w:r>
              <w:rPr>
                <w:spacing w:val="-6"/>
                <w:sz w:val="21"/>
              </w:rPr>
              <w:t>红斑狼疮仅限于累及肾脏</w:t>
            </w:r>
            <w:r>
              <w:rPr>
                <w:sz w:val="21"/>
              </w:rPr>
              <w:t>（</w:t>
            </w:r>
            <w:r>
              <w:rPr>
                <w:spacing w:val="-8"/>
                <w:sz w:val="21"/>
              </w:rPr>
              <w:t>经肾脏活检确认的，符合 </w:t>
            </w:r>
            <w:r>
              <w:rPr>
                <w:sz w:val="21"/>
              </w:rPr>
              <w:t>WHO</w:t>
            </w:r>
            <w:r>
              <w:rPr>
                <w:spacing w:val="-15"/>
                <w:sz w:val="21"/>
              </w:rPr>
              <w:t> 诊断标准定义 </w:t>
            </w:r>
            <w:r>
              <w:rPr>
                <w:sz w:val="21"/>
              </w:rPr>
              <w:t>III </w:t>
            </w:r>
            <w:r>
              <w:rPr>
                <w:spacing w:val="-13"/>
                <w:sz w:val="21"/>
              </w:rPr>
              <w:t>型或 </w:t>
            </w:r>
            <w:r>
              <w:rPr>
                <w:sz w:val="21"/>
              </w:rPr>
              <w:t>III</w:t>
            </w:r>
            <w:r>
              <w:rPr>
                <w:spacing w:val="-7"/>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3" w:lineRule="exact" w:before="77"/>
              <w:jc w:val="both"/>
              <w:rPr>
                <w:sz w:val="21"/>
              </w:rPr>
            </w:pPr>
            <w:r>
              <w:rPr>
                <w:sz w:val="21"/>
              </w:rPr>
              <w:t>世界卫生组织(WHO)狼疮性肾炎分型：</w:t>
            </w:r>
          </w:p>
          <w:p>
            <w:pPr>
              <w:pStyle w:val="TableParagraph"/>
              <w:spacing w:line="272" w:lineRule="exact"/>
              <w:jc w:val="both"/>
              <w:rPr>
                <w:sz w:val="21"/>
              </w:rPr>
            </w:pPr>
            <w:r>
              <w:rPr>
                <w:sz w:val="21"/>
              </w:rPr>
              <w:t>Ⅰ型     微小病变型</w:t>
            </w:r>
          </w:p>
          <w:p>
            <w:pPr>
              <w:pStyle w:val="TableParagraph"/>
              <w:spacing w:line="272" w:lineRule="exact"/>
              <w:jc w:val="both"/>
              <w:rPr>
                <w:sz w:val="21"/>
              </w:rPr>
            </w:pPr>
            <w:r>
              <w:rPr>
                <w:sz w:val="21"/>
              </w:rPr>
              <w:t>Ⅱ型     系膜病变型</w:t>
            </w:r>
          </w:p>
          <w:p>
            <w:pPr>
              <w:pStyle w:val="TableParagraph"/>
              <w:spacing w:line="262" w:lineRule="exact"/>
              <w:jc w:val="both"/>
              <w:rPr>
                <w:sz w:val="21"/>
              </w:rPr>
            </w:pPr>
            <w:r>
              <w:rPr>
                <w:sz w:val="21"/>
              </w:rPr>
              <w:t>Ⅲ型     局灶及节段增生型</w:t>
            </w:r>
          </w:p>
        </w:tc>
      </w:tr>
    </w:tbl>
    <w:p>
      <w:pPr>
        <w:spacing w:after="0" w:line="262" w:lineRule="exact"/>
        <w:jc w:val="both"/>
        <w:rPr>
          <w:sz w:val="21"/>
        </w:rPr>
        <w:sectPr>
          <w:pgSz w:w="11910" w:h="16840"/>
          <w:pgMar w:top="1460" w:bottom="280" w:left="980" w:right="880"/>
        </w:sectPr>
      </w:pPr>
    </w:p>
    <w:p>
      <w:pPr>
        <w:pStyle w:val="BodyText"/>
        <w:rPr>
          <w:sz w:val="20"/>
        </w:rPr>
      </w:pPr>
    </w:p>
    <w:p>
      <w:pPr>
        <w:pStyle w:val="BodyText"/>
        <w:rPr>
          <w:sz w:val="20"/>
        </w:rPr>
      </w:pPr>
    </w:p>
    <w:p>
      <w:pPr>
        <w:pStyle w:val="BodyText"/>
        <w:rPr>
          <w:sz w:val="20"/>
        </w:rPr>
      </w:pPr>
    </w:p>
    <w:p>
      <w:pPr>
        <w:pStyle w:val="BodyText"/>
        <w:spacing w:before="10"/>
        <w:rPr>
          <w:sz w:val="16"/>
        </w:rPr>
      </w:pPr>
    </w:p>
    <w:p>
      <w:pPr>
        <w:pStyle w:val="Heading1"/>
        <w:tabs>
          <w:tab w:pos="1168" w:val="left" w:leader="none"/>
        </w:tabs>
        <w:spacing w:line="273" w:lineRule="auto"/>
        <w:ind w:left="1168" w:hanging="960"/>
      </w:pPr>
      <w:r>
        <w:rPr/>
        <w:t>10.2</w:t>
        <w:tab/>
        <w:t>重大疾病的分 组</w:t>
      </w:r>
    </w:p>
    <w:p>
      <w:pPr>
        <w:pStyle w:val="BodyText"/>
        <w:tabs>
          <w:tab w:pos="1135" w:val="left" w:leader="none"/>
        </w:tabs>
        <w:spacing w:line="273" w:lineRule="exact" w:before="26"/>
        <w:ind w:left="190"/>
      </w:pPr>
      <w:r>
        <w:rPr/>
        <w:br w:type="column"/>
      </w:r>
      <w:r>
        <w:rPr/>
        <w:t>Ⅳ型</w:t>
        <w:tab/>
      </w:r>
      <w:r>
        <w:rPr>
          <w:spacing w:val="-3"/>
        </w:rPr>
        <w:t>弥</w:t>
      </w:r>
      <w:r>
        <w:rPr/>
        <w:t>漫</w:t>
      </w:r>
      <w:r>
        <w:rPr>
          <w:spacing w:val="-3"/>
        </w:rPr>
        <w:t>增</w:t>
      </w:r>
      <w:r>
        <w:rPr/>
        <w:t>生型</w:t>
      </w:r>
    </w:p>
    <w:p>
      <w:pPr>
        <w:pStyle w:val="BodyText"/>
        <w:tabs>
          <w:tab w:pos="1135" w:val="left" w:leader="none"/>
        </w:tabs>
        <w:spacing w:line="272" w:lineRule="exact"/>
        <w:ind w:left="190"/>
      </w:pPr>
      <w:r>
        <w:rPr/>
        <w:t>Ⅴ型</w:t>
        <w:tab/>
        <w:t>膜型</w:t>
      </w:r>
    </w:p>
    <w:p>
      <w:pPr>
        <w:pStyle w:val="BodyText"/>
        <w:tabs>
          <w:tab w:pos="1135" w:val="left" w:leader="none"/>
        </w:tabs>
        <w:spacing w:line="274" w:lineRule="exact"/>
        <w:ind w:left="190"/>
      </w:pPr>
      <w:r>
        <w:rPr/>
        <w:t>Ⅵ型</w:t>
        <w:tab/>
        <w:t>肾</w:t>
      </w:r>
      <w:r>
        <w:rPr>
          <w:spacing w:val="-3"/>
        </w:rPr>
        <w:t>小</w:t>
      </w:r>
      <w:r>
        <w:rPr/>
        <w:t>球</w:t>
      </w:r>
      <w:r>
        <w:rPr>
          <w:spacing w:val="-3"/>
        </w:rPr>
        <w:t>硬</w:t>
      </w:r>
      <w:r>
        <w:rPr/>
        <w:t>化型</w:t>
      </w:r>
    </w:p>
    <w:p>
      <w:pPr>
        <w:pStyle w:val="BodyText"/>
        <w:spacing w:before="159"/>
        <w:ind w:left="190"/>
        <w:rPr>
          <w:rFonts w:ascii="Times New Roman" w:eastAsia="Times New Roman"/>
        </w:rPr>
      </w:pPr>
      <w:r>
        <w:rPr/>
        <w:pict>
          <v:shape style="position:absolute;margin-left:187.320007pt;margin-top:24.173653pt;width:343.45pt;height:367.8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2409"/>
                    <w:gridCol w:w="1958"/>
                  </w:tblGrid>
                  <w:tr>
                    <w:trPr>
                      <w:trHeight w:val="313" w:hRule="atLeast"/>
                    </w:trPr>
                    <w:tc>
                      <w:tcPr>
                        <w:tcW w:w="2486" w:type="dxa"/>
                      </w:tcPr>
                      <w:p>
                        <w:pPr>
                          <w:pStyle w:val="TableParagraph"/>
                          <w:spacing w:line="265" w:lineRule="exact"/>
                          <w:ind w:left="107"/>
                          <w:rPr>
                            <w:sz w:val="21"/>
                          </w:rPr>
                        </w:pPr>
                        <w:r>
                          <w:rPr>
                            <w:sz w:val="21"/>
                          </w:rPr>
                          <w:t>A 组</w:t>
                        </w:r>
                      </w:p>
                    </w:tc>
                    <w:tc>
                      <w:tcPr>
                        <w:tcW w:w="2409" w:type="dxa"/>
                      </w:tcPr>
                      <w:p>
                        <w:pPr>
                          <w:pStyle w:val="TableParagraph"/>
                          <w:spacing w:line="265" w:lineRule="exact"/>
                          <w:ind w:left="108"/>
                          <w:rPr>
                            <w:sz w:val="21"/>
                          </w:rPr>
                        </w:pPr>
                        <w:r>
                          <w:rPr>
                            <w:sz w:val="21"/>
                          </w:rPr>
                          <w:t>B 组</w:t>
                        </w:r>
                      </w:p>
                    </w:tc>
                    <w:tc>
                      <w:tcPr>
                        <w:tcW w:w="1958" w:type="dxa"/>
                      </w:tcPr>
                      <w:p>
                        <w:pPr>
                          <w:pStyle w:val="TableParagraph"/>
                          <w:spacing w:line="265" w:lineRule="exact"/>
                          <w:ind w:left="108"/>
                          <w:rPr>
                            <w:sz w:val="21"/>
                          </w:rPr>
                        </w:pPr>
                        <w:r>
                          <w:rPr>
                            <w:sz w:val="21"/>
                          </w:rPr>
                          <w:t>C 组</w:t>
                        </w:r>
                      </w:p>
                    </w:tc>
                  </w:tr>
                  <w:tr>
                    <w:trPr>
                      <w:trHeight w:val="311" w:hRule="atLeast"/>
                    </w:trPr>
                    <w:tc>
                      <w:tcPr>
                        <w:tcW w:w="2486" w:type="dxa"/>
                      </w:tcPr>
                      <w:p>
                        <w:pPr>
                          <w:pStyle w:val="TableParagraph"/>
                          <w:spacing w:line="262" w:lineRule="exact"/>
                          <w:ind w:left="107"/>
                          <w:rPr>
                            <w:sz w:val="21"/>
                          </w:rPr>
                        </w:pPr>
                        <w:r>
                          <w:rPr>
                            <w:sz w:val="21"/>
                          </w:rPr>
                          <w:t>恶性肿瘤</w:t>
                        </w:r>
                      </w:p>
                    </w:tc>
                    <w:tc>
                      <w:tcPr>
                        <w:tcW w:w="2409" w:type="dxa"/>
                      </w:tcPr>
                      <w:p>
                        <w:pPr>
                          <w:pStyle w:val="TableParagraph"/>
                          <w:spacing w:line="262" w:lineRule="exact"/>
                          <w:ind w:left="108"/>
                          <w:rPr>
                            <w:sz w:val="21"/>
                          </w:rPr>
                        </w:pPr>
                        <w:r>
                          <w:rPr>
                            <w:sz w:val="21"/>
                          </w:rPr>
                          <w:t>急性心肌梗塞</w:t>
                        </w:r>
                      </w:p>
                    </w:tc>
                    <w:tc>
                      <w:tcPr>
                        <w:tcW w:w="1958" w:type="dxa"/>
                      </w:tcPr>
                      <w:p>
                        <w:pPr>
                          <w:pStyle w:val="TableParagraph"/>
                          <w:spacing w:line="262" w:lineRule="exact"/>
                          <w:ind w:left="108"/>
                          <w:rPr>
                            <w:sz w:val="21"/>
                          </w:rPr>
                        </w:pPr>
                        <w:r>
                          <w:rPr>
                            <w:sz w:val="21"/>
                          </w:rPr>
                          <w:t>多个肢体缺失</w:t>
                        </w:r>
                      </w:p>
                    </w:tc>
                  </w:tr>
                  <w:tr>
                    <w:trPr>
                      <w:trHeight w:val="623" w:hRule="atLeast"/>
                    </w:trPr>
                    <w:tc>
                      <w:tcPr>
                        <w:tcW w:w="2486" w:type="dxa"/>
                      </w:tcPr>
                      <w:p>
                        <w:pPr>
                          <w:pStyle w:val="TableParagraph"/>
                          <w:spacing w:line="273" w:lineRule="auto"/>
                          <w:ind w:left="107" w:right="93"/>
                          <w:rPr>
                            <w:sz w:val="21"/>
                          </w:rPr>
                        </w:pPr>
                        <w:r>
                          <w:rPr>
                            <w:sz w:val="21"/>
                          </w:rPr>
                          <w:t>重大器官移植术或造血干细胞移植术</w:t>
                        </w:r>
                      </w:p>
                    </w:tc>
                    <w:tc>
                      <w:tcPr>
                        <w:tcW w:w="2409" w:type="dxa"/>
                      </w:tcPr>
                      <w:p>
                        <w:pPr>
                          <w:pStyle w:val="TableParagraph"/>
                          <w:spacing w:line="273" w:lineRule="auto"/>
                          <w:ind w:left="108" w:right="93"/>
                          <w:rPr>
                            <w:sz w:val="21"/>
                          </w:rPr>
                        </w:pPr>
                        <w:r>
                          <w:rPr>
                            <w:sz w:val="21"/>
                          </w:rPr>
                          <w:t>冠状动脉搭桥术（或称冠状动脉旁路移植术）</w:t>
                        </w:r>
                      </w:p>
                    </w:tc>
                    <w:tc>
                      <w:tcPr>
                        <w:tcW w:w="1958" w:type="dxa"/>
                      </w:tcPr>
                      <w:p>
                        <w:pPr>
                          <w:pStyle w:val="TableParagraph"/>
                          <w:spacing w:line="273" w:lineRule="auto"/>
                          <w:ind w:left="108" w:right="92"/>
                          <w:rPr>
                            <w:sz w:val="21"/>
                          </w:rPr>
                        </w:pPr>
                        <w:r>
                          <w:rPr>
                            <w:sz w:val="21"/>
                          </w:rPr>
                          <w:t>脑炎后遗症或脑膜炎后遗症</w:t>
                        </w:r>
                      </w:p>
                    </w:tc>
                  </w:tr>
                  <w:tr>
                    <w:trPr>
                      <w:trHeight w:val="311" w:hRule="atLeast"/>
                    </w:trPr>
                    <w:tc>
                      <w:tcPr>
                        <w:tcW w:w="2486" w:type="dxa"/>
                      </w:tcPr>
                      <w:p>
                        <w:pPr>
                          <w:pStyle w:val="TableParagraph"/>
                          <w:spacing w:line="262" w:lineRule="exact"/>
                          <w:ind w:left="107"/>
                          <w:rPr>
                            <w:sz w:val="21"/>
                          </w:rPr>
                        </w:pPr>
                        <w:r>
                          <w:rPr>
                            <w:sz w:val="21"/>
                          </w:rPr>
                          <w:t>终末期肾病</w:t>
                        </w:r>
                      </w:p>
                    </w:tc>
                    <w:tc>
                      <w:tcPr>
                        <w:tcW w:w="2409" w:type="dxa"/>
                      </w:tcPr>
                      <w:p>
                        <w:pPr>
                          <w:pStyle w:val="TableParagraph"/>
                          <w:spacing w:line="262" w:lineRule="exact"/>
                          <w:ind w:left="108"/>
                          <w:rPr>
                            <w:sz w:val="21"/>
                          </w:rPr>
                        </w:pPr>
                        <w:r>
                          <w:rPr>
                            <w:sz w:val="21"/>
                          </w:rPr>
                          <w:t>心脏瓣膜手术</w:t>
                        </w:r>
                      </w:p>
                    </w:tc>
                    <w:tc>
                      <w:tcPr>
                        <w:tcW w:w="1958" w:type="dxa"/>
                      </w:tcPr>
                      <w:p>
                        <w:pPr>
                          <w:pStyle w:val="TableParagraph"/>
                          <w:spacing w:line="262" w:lineRule="exact"/>
                          <w:ind w:left="108"/>
                          <w:rPr>
                            <w:sz w:val="21"/>
                          </w:rPr>
                        </w:pPr>
                        <w:r>
                          <w:rPr>
                            <w:sz w:val="21"/>
                          </w:rPr>
                          <w:t>严重阿尔茨海默病</w:t>
                        </w:r>
                      </w:p>
                    </w:tc>
                  </w:tr>
                  <w:tr>
                    <w:trPr>
                      <w:trHeight w:val="311" w:hRule="atLeast"/>
                    </w:trPr>
                    <w:tc>
                      <w:tcPr>
                        <w:tcW w:w="2486" w:type="dxa"/>
                      </w:tcPr>
                      <w:p>
                        <w:pPr>
                          <w:pStyle w:val="TableParagraph"/>
                          <w:spacing w:line="262" w:lineRule="exact"/>
                          <w:ind w:left="107"/>
                          <w:rPr>
                            <w:sz w:val="21"/>
                          </w:rPr>
                        </w:pPr>
                        <w:r>
                          <w:rPr>
                            <w:sz w:val="21"/>
                          </w:rPr>
                          <w:t>急性或亚急性重症肝炎</w:t>
                        </w:r>
                      </w:p>
                    </w:tc>
                    <w:tc>
                      <w:tcPr>
                        <w:tcW w:w="2409" w:type="dxa"/>
                      </w:tcPr>
                      <w:p>
                        <w:pPr>
                          <w:pStyle w:val="TableParagraph"/>
                          <w:spacing w:line="262" w:lineRule="exact"/>
                          <w:ind w:left="108"/>
                          <w:rPr>
                            <w:sz w:val="21"/>
                          </w:rPr>
                        </w:pPr>
                        <w:r>
                          <w:rPr>
                            <w:sz w:val="21"/>
                          </w:rPr>
                          <w:t>主动脉手术</w:t>
                        </w:r>
                      </w:p>
                    </w:tc>
                    <w:tc>
                      <w:tcPr>
                        <w:tcW w:w="1958" w:type="dxa"/>
                      </w:tcPr>
                      <w:p>
                        <w:pPr>
                          <w:pStyle w:val="TableParagraph"/>
                          <w:spacing w:line="262" w:lineRule="exact"/>
                          <w:ind w:left="108"/>
                          <w:rPr>
                            <w:sz w:val="21"/>
                          </w:rPr>
                        </w:pPr>
                        <w:r>
                          <w:rPr>
                            <w:sz w:val="21"/>
                          </w:rPr>
                          <w:t>严重脑损伤</w:t>
                        </w:r>
                      </w:p>
                    </w:tc>
                  </w:tr>
                  <w:tr>
                    <w:trPr>
                      <w:trHeight w:val="623" w:hRule="atLeast"/>
                    </w:trPr>
                    <w:tc>
                      <w:tcPr>
                        <w:tcW w:w="2486" w:type="dxa"/>
                      </w:tcPr>
                      <w:p>
                        <w:pPr>
                          <w:pStyle w:val="TableParagraph"/>
                          <w:spacing w:line="273" w:lineRule="auto"/>
                          <w:ind w:left="107" w:right="93"/>
                          <w:rPr>
                            <w:sz w:val="21"/>
                          </w:rPr>
                        </w:pPr>
                        <w:r>
                          <w:rPr>
                            <w:sz w:val="21"/>
                          </w:rPr>
                          <w:t>慢性肝功能衰竭失代偿期</w:t>
                        </w:r>
                      </w:p>
                    </w:tc>
                    <w:tc>
                      <w:tcPr>
                        <w:tcW w:w="2409" w:type="dxa"/>
                      </w:tcPr>
                      <w:p>
                        <w:pPr>
                          <w:pStyle w:val="TableParagraph"/>
                          <w:spacing w:line="262" w:lineRule="exact"/>
                          <w:ind w:left="108"/>
                          <w:rPr>
                            <w:sz w:val="21"/>
                          </w:rPr>
                        </w:pPr>
                        <w:r>
                          <w:rPr>
                            <w:sz w:val="21"/>
                          </w:rPr>
                          <w:t>严重原发性心肌病</w:t>
                        </w:r>
                      </w:p>
                    </w:tc>
                    <w:tc>
                      <w:tcPr>
                        <w:tcW w:w="1958" w:type="dxa"/>
                      </w:tcPr>
                      <w:p>
                        <w:pPr>
                          <w:pStyle w:val="TableParagraph"/>
                          <w:spacing w:line="262" w:lineRule="exact"/>
                          <w:ind w:left="109"/>
                          <w:rPr>
                            <w:sz w:val="21"/>
                          </w:rPr>
                        </w:pPr>
                        <w:r>
                          <w:rPr>
                            <w:sz w:val="21"/>
                          </w:rPr>
                          <w:t>严重运动神经元病</w:t>
                        </w:r>
                      </w:p>
                    </w:tc>
                  </w:tr>
                  <w:tr>
                    <w:trPr>
                      <w:trHeight w:val="314" w:hRule="atLeast"/>
                    </w:trPr>
                    <w:tc>
                      <w:tcPr>
                        <w:tcW w:w="2486" w:type="dxa"/>
                      </w:tcPr>
                      <w:p>
                        <w:pPr>
                          <w:pStyle w:val="TableParagraph"/>
                          <w:spacing w:line="265" w:lineRule="exact"/>
                          <w:ind w:left="107"/>
                          <w:rPr>
                            <w:sz w:val="21"/>
                          </w:rPr>
                        </w:pPr>
                        <w:r>
                          <w:rPr>
                            <w:sz w:val="21"/>
                          </w:rPr>
                          <w:t>重型再生障碍性贫血</w:t>
                        </w:r>
                      </w:p>
                    </w:tc>
                    <w:tc>
                      <w:tcPr>
                        <w:tcW w:w="2409" w:type="dxa"/>
                      </w:tcPr>
                      <w:p>
                        <w:pPr>
                          <w:pStyle w:val="TableParagraph"/>
                          <w:spacing w:line="265" w:lineRule="exact"/>
                          <w:ind w:left="108"/>
                          <w:rPr>
                            <w:sz w:val="21"/>
                          </w:rPr>
                        </w:pPr>
                        <w:r>
                          <w:rPr>
                            <w:sz w:val="21"/>
                          </w:rPr>
                          <w:t>严重原发性肺动脉高压</w:t>
                        </w:r>
                      </w:p>
                    </w:tc>
                    <w:tc>
                      <w:tcPr>
                        <w:tcW w:w="1958" w:type="dxa"/>
                      </w:tcPr>
                      <w:p>
                        <w:pPr>
                          <w:pStyle w:val="TableParagraph"/>
                          <w:spacing w:line="265" w:lineRule="exact"/>
                          <w:ind w:left="108"/>
                          <w:rPr>
                            <w:sz w:val="21"/>
                          </w:rPr>
                        </w:pPr>
                        <w:r>
                          <w:rPr>
                            <w:sz w:val="21"/>
                          </w:rPr>
                          <w:t>严重 III 度烧伤</w:t>
                        </w:r>
                      </w:p>
                    </w:tc>
                  </w:tr>
                  <w:tr>
                    <w:trPr>
                      <w:trHeight w:val="311" w:hRule="atLeast"/>
                    </w:trPr>
                    <w:tc>
                      <w:tcPr>
                        <w:tcW w:w="2486" w:type="dxa"/>
                      </w:tcPr>
                      <w:p>
                        <w:pPr>
                          <w:pStyle w:val="TableParagraph"/>
                          <w:spacing w:line="262" w:lineRule="exact"/>
                          <w:ind w:left="107"/>
                          <w:rPr>
                            <w:sz w:val="21"/>
                          </w:rPr>
                        </w:pPr>
                        <w:r>
                          <w:rPr>
                            <w:sz w:val="21"/>
                          </w:rPr>
                          <w:t>慢性复发性胰腺炎</w:t>
                        </w:r>
                      </w:p>
                    </w:tc>
                    <w:tc>
                      <w:tcPr>
                        <w:tcW w:w="2409" w:type="dxa"/>
                      </w:tcPr>
                      <w:p>
                        <w:pPr>
                          <w:pStyle w:val="TableParagraph"/>
                          <w:spacing w:line="262" w:lineRule="exact"/>
                          <w:ind w:left="108"/>
                          <w:rPr>
                            <w:sz w:val="21"/>
                          </w:rPr>
                        </w:pPr>
                        <w:r>
                          <w:rPr>
                            <w:sz w:val="21"/>
                          </w:rPr>
                          <w:t>严重冠心病</w:t>
                        </w:r>
                      </w:p>
                    </w:tc>
                    <w:tc>
                      <w:tcPr>
                        <w:tcW w:w="1958" w:type="dxa"/>
                      </w:tcPr>
                      <w:p>
                        <w:pPr>
                          <w:pStyle w:val="TableParagraph"/>
                          <w:spacing w:line="262" w:lineRule="exact"/>
                          <w:ind w:left="108"/>
                          <w:rPr>
                            <w:sz w:val="21"/>
                          </w:rPr>
                        </w:pPr>
                        <w:r>
                          <w:rPr>
                            <w:sz w:val="21"/>
                          </w:rPr>
                          <w:t>双耳失聪</w:t>
                        </w:r>
                      </w:p>
                    </w:tc>
                  </w:tr>
                  <w:tr>
                    <w:trPr>
                      <w:trHeight w:val="623" w:hRule="atLeast"/>
                    </w:trPr>
                    <w:tc>
                      <w:tcPr>
                        <w:tcW w:w="2486" w:type="dxa"/>
                      </w:tcPr>
                      <w:p>
                        <w:pPr>
                          <w:pStyle w:val="TableParagraph"/>
                          <w:spacing w:line="273" w:lineRule="auto"/>
                          <w:ind w:left="107" w:right="93"/>
                          <w:rPr>
                            <w:sz w:val="21"/>
                          </w:rPr>
                        </w:pPr>
                        <w:r>
                          <w:rPr>
                            <w:sz w:val="21"/>
                          </w:rPr>
                          <w:t>经输血导致的人类免疫缺陷病毒感染</w:t>
                        </w:r>
                      </w:p>
                    </w:tc>
                    <w:tc>
                      <w:tcPr>
                        <w:tcW w:w="2409" w:type="dxa"/>
                      </w:tcPr>
                      <w:p>
                        <w:pPr>
                          <w:pStyle w:val="TableParagraph"/>
                          <w:spacing w:line="262" w:lineRule="exact"/>
                          <w:ind w:left="108"/>
                          <w:rPr>
                            <w:sz w:val="21"/>
                          </w:rPr>
                        </w:pPr>
                        <w:r>
                          <w:rPr>
                            <w:sz w:val="21"/>
                          </w:rPr>
                          <w:t>严重慢性呼吸功能衰竭</w:t>
                        </w:r>
                      </w:p>
                    </w:tc>
                    <w:tc>
                      <w:tcPr>
                        <w:tcW w:w="1958" w:type="dxa"/>
                      </w:tcPr>
                      <w:p>
                        <w:pPr>
                          <w:pStyle w:val="TableParagraph"/>
                          <w:spacing w:line="262" w:lineRule="exact"/>
                          <w:ind w:left="108"/>
                          <w:rPr>
                            <w:sz w:val="21"/>
                          </w:rPr>
                        </w:pPr>
                        <w:r>
                          <w:rPr>
                            <w:sz w:val="21"/>
                          </w:rPr>
                          <w:t>双目失明</w:t>
                        </w:r>
                      </w:p>
                    </w:tc>
                  </w:tr>
                  <w:tr>
                    <w:trPr>
                      <w:trHeight w:val="623" w:hRule="atLeast"/>
                    </w:trPr>
                    <w:tc>
                      <w:tcPr>
                        <w:tcW w:w="2486" w:type="dxa"/>
                      </w:tcPr>
                      <w:p>
                        <w:pPr>
                          <w:pStyle w:val="TableParagraph"/>
                          <w:spacing w:line="262" w:lineRule="exact"/>
                          <w:ind w:left="107"/>
                          <w:rPr>
                            <w:sz w:val="21"/>
                          </w:rPr>
                        </w:pPr>
                        <w:r>
                          <w:rPr>
                            <w:sz w:val="21"/>
                          </w:rPr>
                          <w:t>严重克隆病</w:t>
                        </w:r>
                      </w:p>
                    </w:tc>
                    <w:tc>
                      <w:tcPr>
                        <w:tcW w:w="2409" w:type="dxa"/>
                      </w:tcPr>
                      <w:p>
                        <w:pPr>
                          <w:pStyle w:val="TableParagraph"/>
                          <w:spacing w:line="273" w:lineRule="auto"/>
                          <w:ind w:left="108" w:right="93"/>
                          <w:rPr>
                            <w:sz w:val="21"/>
                          </w:rPr>
                        </w:pPr>
                        <w:r>
                          <w:rPr>
                            <w:sz w:val="21"/>
                          </w:rPr>
                          <w:t>慢性肾上腺皮质功能衰竭</w:t>
                        </w:r>
                      </w:p>
                    </w:tc>
                    <w:tc>
                      <w:tcPr>
                        <w:tcW w:w="1958" w:type="dxa"/>
                      </w:tcPr>
                      <w:p>
                        <w:pPr>
                          <w:pStyle w:val="TableParagraph"/>
                          <w:spacing w:line="262" w:lineRule="exact"/>
                          <w:ind w:left="108"/>
                          <w:rPr>
                            <w:sz w:val="21"/>
                          </w:rPr>
                        </w:pPr>
                        <w:r>
                          <w:rPr>
                            <w:sz w:val="21"/>
                          </w:rPr>
                          <w:t>语言能力丧失</w:t>
                        </w:r>
                      </w:p>
                    </w:tc>
                  </w:tr>
                  <w:tr>
                    <w:trPr>
                      <w:trHeight w:val="623" w:hRule="atLeast"/>
                    </w:trPr>
                    <w:tc>
                      <w:tcPr>
                        <w:tcW w:w="2486" w:type="dxa"/>
                      </w:tcPr>
                      <w:p>
                        <w:pPr>
                          <w:pStyle w:val="TableParagraph"/>
                          <w:spacing w:line="273" w:lineRule="auto"/>
                          <w:ind w:left="107" w:right="93"/>
                          <w:rPr>
                            <w:sz w:val="21"/>
                          </w:rPr>
                        </w:pPr>
                        <w:r>
                          <w:rPr>
                            <w:sz w:val="21"/>
                          </w:rPr>
                          <w:t>系统性红斑狼疮——III 型或以上狼疮性肾炎</w:t>
                        </w:r>
                      </w:p>
                    </w:tc>
                    <w:tc>
                      <w:tcPr>
                        <w:tcW w:w="2409" w:type="dxa"/>
                      </w:tcPr>
                      <w:p>
                        <w:pPr>
                          <w:pStyle w:val="TableParagraph"/>
                          <w:spacing w:line="262" w:lineRule="exact"/>
                          <w:ind w:left="108"/>
                          <w:rPr>
                            <w:sz w:val="21"/>
                          </w:rPr>
                        </w:pPr>
                        <w:r>
                          <w:rPr>
                            <w:sz w:val="21"/>
                          </w:rPr>
                          <w:t>严重类风湿性关节炎</w:t>
                        </w:r>
                      </w:p>
                    </w:tc>
                    <w:tc>
                      <w:tcPr>
                        <w:tcW w:w="1958" w:type="dxa"/>
                      </w:tcPr>
                      <w:p>
                        <w:pPr>
                          <w:pStyle w:val="TableParagraph"/>
                          <w:spacing w:line="262" w:lineRule="exact"/>
                          <w:ind w:left="109"/>
                          <w:rPr>
                            <w:sz w:val="21"/>
                          </w:rPr>
                        </w:pPr>
                        <w:r>
                          <w:rPr>
                            <w:sz w:val="21"/>
                          </w:rPr>
                          <w:t>严重多发性硬化症</w:t>
                        </w:r>
                      </w:p>
                    </w:tc>
                  </w:tr>
                  <w:tr>
                    <w:trPr>
                      <w:trHeight w:val="311" w:hRule="atLeast"/>
                    </w:trPr>
                    <w:tc>
                      <w:tcPr>
                        <w:tcW w:w="2486" w:type="dxa"/>
                      </w:tcPr>
                      <w:p>
                        <w:pPr>
                          <w:pStyle w:val="TableParagraph"/>
                          <w:spacing w:line="262" w:lineRule="exact"/>
                          <w:ind w:left="107"/>
                          <w:rPr>
                            <w:sz w:val="21"/>
                          </w:rPr>
                        </w:pPr>
                        <w:r>
                          <w:rPr>
                            <w:sz w:val="21"/>
                          </w:rPr>
                          <w:t>原发性硬化性胆管炎</w:t>
                        </w:r>
                      </w:p>
                    </w:tc>
                    <w:tc>
                      <w:tcPr>
                        <w:tcW w:w="2409" w:type="dxa"/>
                      </w:tcPr>
                      <w:p>
                        <w:pPr>
                          <w:pStyle w:val="TableParagraph"/>
                          <w:spacing w:line="262" w:lineRule="exact"/>
                          <w:ind w:left="108"/>
                          <w:rPr>
                            <w:sz w:val="21"/>
                          </w:rPr>
                        </w:pPr>
                        <w:r>
                          <w:rPr>
                            <w:sz w:val="21"/>
                          </w:rPr>
                          <w:t>系统性硬皮病</w:t>
                        </w:r>
                      </w:p>
                    </w:tc>
                    <w:tc>
                      <w:tcPr>
                        <w:tcW w:w="1958" w:type="dxa"/>
                      </w:tcPr>
                      <w:p>
                        <w:pPr>
                          <w:pStyle w:val="TableParagraph"/>
                          <w:spacing w:line="262" w:lineRule="exact"/>
                          <w:ind w:left="108"/>
                          <w:rPr>
                            <w:sz w:val="21"/>
                          </w:rPr>
                        </w:pPr>
                        <w:r>
                          <w:rPr>
                            <w:sz w:val="21"/>
                          </w:rPr>
                          <w:t>全身性重症肌无力</w:t>
                        </w:r>
                      </w:p>
                    </w:tc>
                  </w:tr>
                  <w:tr>
                    <w:trPr>
                      <w:trHeight w:val="313" w:hRule="atLeast"/>
                    </w:trPr>
                    <w:tc>
                      <w:tcPr>
                        <w:tcW w:w="2486" w:type="dxa"/>
                      </w:tcPr>
                      <w:p>
                        <w:pPr>
                          <w:pStyle w:val="TableParagraph"/>
                          <w:spacing w:line="265" w:lineRule="exact"/>
                          <w:ind w:left="107"/>
                          <w:rPr>
                            <w:sz w:val="21"/>
                          </w:rPr>
                        </w:pPr>
                        <w:r>
                          <w:rPr>
                            <w:sz w:val="21"/>
                          </w:rPr>
                          <w:t>严重溃疡性结肠炎</w:t>
                        </w:r>
                      </w:p>
                    </w:tc>
                    <w:tc>
                      <w:tcPr>
                        <w:tcW w:w="2409" w:type="dxa"/>
                      </w:tcPr>
                      <w:p>
                        <w:pPr>
                          <w:pStyle w:val="TableParagraph"/>
                          <w:spacing w:line="265" w:lineRule="exact"/>
                          <w:ind w:left="108"/>
                          <w:rPr>
                            <w:sz w:val="21"/>
                          </w:rPr>
                        </w:pPr>
                        <w:r>
                          <w:rPr>
                            <w:sz w:val="21"/>
                          </w:rPr>
                          <w:t>严重帕金森病</w:t>
                        </w:r>
                      </w:p>
                    </w:tc>
                    <w:tc>
                      <w:tcPr>
                        <w:tcW w:w="1958" w:type="dxa"/>
                      </w:tcPr>
                      <w:p>
                        <w:pPr>
                          <w:pStyle w:val="TableParagraph"/>
                          <w:spacing w:line="265" w:lineRule="exact"/>
                          <w:ind w:left="108"/>
                          <w:rPr>
                            <w:sz w:val="21"/>
                          </w:rPr>
                        </w:pPr>
                        <w:r>
                          <w:rPr>
                            <w:sz w:val="21"/>
                          </w:rPr>
                          <w:t>深度昏迷</w:t>
                        </w:r>
                      </w:p>
                    </w:tc>
                  </w:tr>
                  <w:tr>
                    <w:trPr>
                      <w:trHeight w:val="311" w:hRule="atLeast"/>
                    </w:trPr>
                    <w:tc>
                      <w:tcPr>
                        <w:tcW w:w="2486" w:type="dxa"/>
                      </w:tcPr>
                      <w:p>
                        <w:pPr>
                          <w:pStyle w:val="TableParagraph"/>
                          <w:ind w:left="0"/>
                          <w:rPr>
                            <w:rFonts w:ascii="Times New Roman"/>
                            <w:sz w:val="20"/>
                          </w:rPr>
                        </w:pPr>
                      </w:p>
                    </w:tc>
                    <w:tc>
                      <w:tcPr>
                        <w:tcW w:w="2409" w:type="dxa"/>
                      </w:tcPr>
                      <w:p>
                        <w:pPr>
                          <w:pStyle w:val="TableParagraph"/>
                          <w:ind w:left="0"/>
                          <w:rPr>
                            <w:rFonts w:ascii="Times New Roman"/>
                            <w:sz w:val="20"/>
                          </w:rPr>
                        </w:pPr>
                      </w:p>
                    </w:tc>
                    <w:tc>
                      <w:tcPr>
                        <w:tcW w:w="1958" w:type="dxa"/>
                      </w:tcPr>
                      <w:p>
                        <w:pPr>
                          <w:pStyle w:val="TableParagraph"/>
                          <w:spacing w:line="262" w:lineRule="exact"/>
                          <w:ind w:left="108"/>
                          <w:rPr>
                            <w:sz w:val="21"/>
                          </w:rPr>
                        </w:pPr>
                        <w:r>
                          <w:rPr>
                            <w:sz w:val="21"/>
                          </w:rPr>
                          <w:t>瘫痪</w:t>
                        </w:r>
                      </w:p>
                    </w:tc>
                  </w:tr>
                  <w:tr>
                    <w:trPr>
                      <w:trHeight w:val="311" w:hRule="atLeast"/>
                    </w:trPr>
                    <w:tc>
                      <w:tcPr>
                        <w:tcW w:w="2486" w:type="dxa"/>
                      </w:tcPr>
                      <w:p>
                        <w:pPr>
                          <w:pStyle w:val="TableParagraph"/>
                          <w:ind w:left="0"/>
                          <w:rPr>
                            <w:rFonts w:ascii="Times New Roman"/>
                            <w:sz w:val="20"/>
                          </w:rPr>
                        </w:pPr>
                      </w:p>
                    </w:tc>
                    <w:tc>
                      <w:tcPr>
                        <w:tcW w:w="2409" w:type="dxa"/>
                      </w:tcPr>
                      <w:p>
                        <w:pPr>
                          <w:pStyle w:val="TableParagraph"/>
                          <w:ind w:left="0"/>
                          <w:rPr>
                            <w:rFonts w:ascii="Times New Roman"/>
                            <w:sz w:val="20"/>
                          </w:rPr>
                        </w:pPr>
                      </w:p>
                    </w:tc>
                    <w:tc>
                      <w:tcPr>
                        <w:tcW w:w="1958" w:type="dxa"/>
                      </w:tcPr>
                      <w:p>
                        <w:pPr>
                          <w:pStyle w:val="TableParagraph"/>
                          <w:spacing w:line="262" w:lineRule="exact"/>
                          <w:ind w:left="108"/>
                          <w:rPr>
                            <w:sz w:val="21"/>
                          </w:rPr>
                        </w:pPr>
                        <w:r>
                          <w:rPr>
                            <w:sz w:val="21"/>
                          </w:rPr>
                          <w:t>脑中风后遗症</w:t>
                        </w:r>
                      </w:p>
                    </w:tc>
                  </w:tr>
                  <w:tr>
                    <w:trPr>
                      <w:trHeight w:val="311" w:hRule="atLeast"/>
                    </w:trPr>
                    <w:tc>
                      <w:tcPr>
                        <w:tcW w:w="2486" w:type="dxa"/>
                      </w:tcPr>
                      <w:p>
                        <w:pPr>
                          <w:pStyle w:val="TableParagraph"/>
                          <w:ind w:left="0"/>
                          <w:rPr>
                            <w:rFonts w:ascii="Times New Roman"/>
                            <w:sz w:val="20"/>
                          </w:rPr>
                        </w:pPr>
                      </w:p>
                    </w:tc>
                    <w:tc>
                      <w:tcPr>
                        <w:tcW w:w="2409" w:type="dxa"/>
                      </w:tcPr>
                      <w:p>
                        <w:pPr>
                          <w:pStyle w:val="TableParagraph"/>
                          <w:ind w:left="0"/>
                          <w:rPr>
                            <w:rFonts w:ascii="Times New Roman"/>
                            <w:sz w:val="20"/>
                          </w:rPr>
                        </w:pPr>
                      </w:p>
                    </w:tc>
                    <w:tc>
                      <w:tcPr>
                        <w:tcW w:w="1958" w:type="dxa"/>
                      </w:tcPr>
                      <w:p>
                        <w:pPr>
                          <w:pStyle w:val="TableParagraph"/>
                          <w:spacing w:line="262" w:lineRule="exact"/>
                          <w:ind w:left="108"/>
                          <w:rPr>
                            <w:sz w:val="21"/>
                          </w:rPr>
                        </w:pPr>
                        <w:r>
                          <w:rPr>
                            <w:sz w:val="21"/>
                          </w:rPr>
                          <w:t>良性脑肿瘤</w:t>
                        </w:r>
                      </w:p>
                    </w:tc>
                  </w:tr>
                  <w:tr>
                    <w:trPr>
                      <w:trHeight w:val="623" w:hRule="atLeast"/>
                    </w:trPr>
                    <w:tc>
                      <w:tcPr>
                        <w:tcW w:w="2486" w:type="dxa"/>
                      </w:tcPr>
                      <w:p>
                        <w:pPr>
                          <w:pStyle w:val="TableParagraph"/>
                          <w:ind w:left="0"/>
                          <w:rPr>
                            <w:rFonts w:ascii="Times New Roman"/>
                            <w:sz w:val="20"/>
                          </w:rPr>
                        </w:pPr>
                      </w:p>
                    </w:tc>
                    <w:tc>
                      <w:tcPr>
                        <w:tcW w:w="2409" w:type="dxa"/>
                      </w:tcPr>
                      <w:p>
                        <w:pPr>
                          <w:pStyle w:val="TableParagraph"/>
                          <w:ind w:left="0"/>
                          <w:rPr>
                            <w:rFonts w:ascii="Times New Roman"/>
                            <w:sz w:val="20"/>
                          </w:rPr>
                        </w:pPr>
                      </w:p>
                    </w:tc>
                    <w:tc>
                      <w:tcPr>
                        <w:tcW w:w="1958" w:type="dxa"/>
                      </w:tcPr>
                      <w:p>
                        <w:pPr>
                          <w:pStyle w:val="TableParagraph"/>
                          <w:spacing w:line="273" w:lineRule="auto"/>
                          <w:ind w:left="108" w:right="92"/>
                          <w:rPr>
                            <w:sz w:val="21"/>
                          </w:rPr>
                        </w:pPr>
                        <w:r>
                          <w:rPr>
                            <w:sz w:val="21"/>
                          </w:rPr>
                          <w:t>去皮质综合征（植物人状态）</w:t>
                        </w:r>
                      </w:p>
                    </w:tc>
                  </w:tr>
                </w:tbl>
                <w:p>
                  <w:pPr>
                    <w:pStyle w:val="BodyText"/>
                  </w:pPr>
                </w:p>
              </w:txbxContent>
            </v:textbox>
            <w10:wrap type="none"/>
          </v:shape>
        </w:pict>
      </w:r>
      <w:r>
        <w:rPr/>
        <w:t>本合同所承保的所有重大疾病分为以下三组</w:t>
      </w:r>
      <w:r>
        <w:rPr>
          <w:rFonts w:ascii="Times New Roman" w:eastAsia="Times New Roman"/>
        </w:rPr>
        <w:t>:</w:t>
      </w:r>
    </w:p>
    <w:p>
      <w:pPr>
        <w:spacing w:after="0"/>
        <w:rPr>
          <w:rFonts w:ascii="Times New Roman" w:eastAsia="Times New Roman"/>
        </w:rPr>
        <w:sectPr>
          <w:pgSz w:w="11910" w:h="16840"/>
          <w:pgMar w:top="1340" w:bottom="280" w:left="1080" w:right="1080"/>
          <w:cols w:num="2" w:equalWidth="0">
            <w:col w:w="2437" w:space="40"/>
            <w:col w:w="7273"/>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0"/>
        <w:gridCol w:w="7042"/>
      </w:tblGrid>
      <w:tr>
        <w:trPr>
          <w:trHeight w:val="923" w:hRule="atLeast"/>
        </w:trPr>
        <w:tc>
          <w:tcPr>
            <w:tcW w:w="852" w:type="dxa"/>
          </w:tcPr>
          <w:p>
            <w:pPr>
              <w:pStyle w:val="TableParagraph"/>
              <w:spacing w:line="211" w:lineRule="exact"/>
              <w:ind w:left="108"/>
              <w:rPr>
                <w:b/>
                <w:sz w:val="21"/>
              </w:rPr>
            </w:pPr>
            <w:r>
              <w:rPr>
                <w:b/>
                <w:sz w:val="21"/>
              </w:rPr>
              <w:t>10.3</w:t>
            </w:r>
          </w:p>
        </w:tc>
        <w:tc>
          <w:tcPr>
            <w:tcW w:w="1650" w:type="dxa"/>
          </w:tcPr>
          <w:p>
            <w:pPr>
              <w:pStyle w:val="TableParagraph"/>
              <w:spacing w:line="211" w:lineRule="exact"/>
              <w:ind w:left="216"/>
              <w:rPr>
                <w:b/>
                <w:sz w:val="21"/>
              </w:rPr>
            </w:pPr>
            <w:r>
              <w:rPr>
                <w:b/>
                <w:sz w:val="21"/>
              </w:rPr>
              <w:t>定义来源及确</w:t>
            </w:r>
          </w:p>
          <w:p>
            <w:pPr>
              <w:pStyle w:val="TableParagraph"/>
              <w:spacing w:before="37"/>
              <w:ind w:left="216"/>
              <w:rPr>
                <w:b/>
                <w:sz w:val="21"/>
              </w:rPr>
            </w:pPr>
            <w:r>
              <w:rPr>
                <w:b/>
                <w:sz w:val="21"/>
              </w:rPr>
              <w:t>诊医院范围</w:t>
            </w:r>
          </w:p>
        </w:tc>
        <w:tc>
          <w:tcPr>
            <w:tcW w:w="7042" w:type="dxa"/>
          </w:tcPr>
          <w:p>
            <w:pPr>
              <w:pStyle w:val="TableParagraph"/>
              <w:spacing w:line="211" w:lineRule="exact"/>
              <w:ind w:left="63"/>
              <w:rPr>
                <w:sz w:val="21"/>
              </w:rPr>
            </w:pPr>
            <w:r>
              <w:rPr>
                <w:sz w:val="21"/>
              </w:rPr>
              <w:t>以上“10.1.1 恶性肿瘤”至“10.1.25 主动脉手术”所列重大疾病定义根</w:t>
            </w:r>
          </w:p>
          <w:p>
            <w:pPr>
              <w:pStyle w:val="TableParagraph"/>
              <w:spacing w:line="273" w:lineRule="auto" w:before="37"/>
              <w:ind w:left="63" w:right="46"/>
              <w:rPr>
                <w:sz w:val="21"/>
              </w:rPr>
            </w:pPr>
            <w:r>
              <w:rPr>
                <w:sz w:val="21"/>
              </w:rPr>
              <w:t>据中国保险行业协会 2007 年公布的《重大疾病保险的疾病定义使用规范》作出，其他重大疾病由我们增加，其定义由我们根据通行的医学标准制定。</w:t>
            </w:r>
          </w:p>
        </w:tc>
      </w:tr>
      <w:tr>
        <w:trPr>
          <w:trHeight w:val="1115" w:hRule="atLeast"/>
        </w:trPr>
        <w:tc>
          <w:tcPr>
            <w:tcW w:w="852" w:type="dxa"/>
          </w:tcPr>
          <w:p>
            <w:pPr>
              <w:pStyle w:val="TableParagraph"/>
              <w:ind w:left="0"/>
              <w:rPr>
                <w:rFonts w:ascii="Times New Roman"/>
                <w:sz w:val="20"/>
              </w:rPr>
            </w:pPr>
          </w:p>
        </w:tc>
        <w:tc>
          <w:tcPr>
            <w:tcW w:w="1650" w:type="dxa"/>
          </w:tcPr>
          <w:p>
            <w:pPr>
              <w:pStyle w:val="TableParagraph"/>
              <w:ind w:left="0"/>
              <w:rPr>
                <w:rFonts w:ascii="Times New Roman"/>
                <w:sz w:val="20"/>
              </w:rPr>
            </w:pPr>
          </w:p>
        </w:tc>
        <w:tc>
          <w:tcPr>
            <w:tcW w:w="7042" w:type="dxa"/>
          </w:tcPr>
          <w:p>
            <w:pPr>
              <w:pStyle w:val="TableParagraph"/>
              <w:spacing w:line="273" w:lineRule="auto" w:before="25"/>
              <w:ind w:left="63" w:right="-15"/>
              <w:rPr>
                <w:rFonts w:ascii="黑体" w:eastAsia="黑体" w:hint="eastAsia"/>
                <w:sz w:val="21"/>
              </w:rPr>
            </w:pPr>
            <w:r>
              <w:rPr>
                <w:rFonts w:ascii="黑体" w:eastAsia="黑体" w:hint="eastAsia"/>
                <w:spacing w:val="-7"/>
                <w:sz w:val="21"/>
              </w:rPr>
              <w:t>以上重大疾病，除严重原发性心肌病须在卫</w:t>
            </w:r>
            <w:r>
              <w:rPr>
                <w:rFonts w:ascii="黑体" w:eastAsia="黑体" w:hint="eastAsia"/>
                <w:sz w:val="21"/>
              </w:rPr>
              <w:t>Th</w:t>
            </w:r>
            <w:r>
              <w:rPr>
                <w:rFonts w:ascii="黑体" w:eastAsia="黑体" w:hint="eastAsia"/>
                <w:spacing w:val="-6"/>
                <w:sz w:val="21"/>
              </w:rPr>
              <w:t>行政部门认定的三级以上</w:t>
            </w:r>
            <w:r>
              <w:rPr>
                <w:rFonts w:ascii="黑体" w:eastAsia="黑体" w:hint="eastAsia"/>
                <w:sz w:val="21"/>
              </w:rPr>
              <w:t>（含</w:t>
            </w:r>
            <w:r>
              <w:rPr>
                <w:rFonts w:ascii="黑体" w:eastAsia="黑体" w:hint="eastAsia"/>
                <w:spacing w:val="-2"/>
                <w:sz w:val="21"/>
              </w:rPr>
              <w:t>三级</w:t>
            </w:r>
            <w:r>
              <w:rPr>
                <w:rFonts w:ascii="黑体" w:eastAsia="黑体" w:hint="eastAsia"/>
                <w:spacing w:val="-56"/>
                <w:sz w:val="21"/>
              </w:rPr>
              <w:t>）</w:t>
            </w:r>
            <w:r>
              <w:rPr>
                <w:rFonts w:ascii="黑体" w:eastAsia="黑体" w:hint="eastAsia"/>
                <w:spacing w:val="-9"/>
                <w:sz w:val="21"/>
              </w:rPr>
              <w:t>医院确诊外，其他疾病均须在卫</w:t>
            </w:r>
            <w:r>
              <w:rPr>
                <w:rFonts w:ascii="黑体" w:eastAsia="黑体" w:hint="eastAsia"/>
                <w:sz w:val="21"/>
              </w:rPr>
              <w:t>Th</w:t>
            </w:r>
            <w:r>
              <w:rPr>
                <w:rFonts w:ascii="黑体" w:eastAsia="黑体" w:hint="eastAsia"/>
                <w:spacing w:val="-8"/>
                <w:sz w:val="21"/>
              </w:rPr>
              <w:t>行政部门认定的二级以上</w:t>
            </w:r>
            <w:r>
              <w:rPr>
                <w:rFonts w:ascii="黑体" w:eastAsia="黑体" w:hint="eastAsia"/>
                <w:sz w:val="21"/>
              </w:rPr>
              <w:t>（</w:t>
            </w:r>
            <w:r>
              <w:rPr>
                <w:rFonts w:ascii="黑体" w:eastAsia="黑体" w:hint="eastAsia"/>
                <w:spacing w:val="-2"/>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852" w:type="dxa"/>
            <w:shd w:val="clear" w:color="auto" w:fill="A7A8A7"/>
          </w:tcPr>
          <w:p>
            <w:pPr>
              <w:pStyle w:val="TableParagraph"/>
              <w:spacing w:line="262" w:lineRule="exact"/>
              <w:ind w:left="108"/>
              <w:rPr>
                <w:b/>
                <w:sz w:val="21"/>
              </w:rPr>
            </w:pPr>
            <w:r>
              <w:rPr>
                <w:b/>
                <w:sz w:val="21"/>
              </w:rPr>
              <w:t>11．</w:t>
            </w:r>
          </w:p>
        </w:tc>
        <w:tc>
          <w:tcPr>
            <w:tcW w:w="1650" w:type="dxa"/>
            <w:shd w:val="clear" w:color="auto" w:fill="A7A8A7"/>
          </w:tcPr>
          <w:p>
            <w:pPr>
              <w:pStyle w:val="TableParagraph"/>
              <w:spacing w:line="262" w:lineRule="exact"/>
              <w:ind w:left="108"/>
              <w:rPr>
                <w:b/>
                <w:sz w:val="21"/>
              </w:rPr>
            </w:pPr>
            <w:r>
              <w:rPr>
                <w:b/>
                <w:sz w:val="21"/>
              </w:rPr>
              <w:t>轻症疾病的定义</w:t>
            </w:r>
          </w:p>
        </w:tc>
        <w:tc>
          <w:tcPr>
            <w:tcW w:w="7042" w:type="dxa"/>
            <w:shd w:val="clear" w:color="auto" w:fill="A7A8A7"/>
          </w:tcPr>
          <w:p>
            <w:pPr>
              <w:pStyle w:val="TableParagraph"/>
              <w:ind w:left="0"/>
              <w:rPr>
                <w:rFonts w:ascii="Times New Roman"/>
                <w:sz w:val="20"/>
              </w:rPr>
            </w:pPr>
          </w:p>
        </w:tc>
      </w:tr>
      <w:tr>
        <w:trPr>
          <w:trHeight w:val="1150" w:hRule="atLeast"/>
        </w:trPr>
        <w:tc>
          <w:tcPr>
            <w:tcW w:w="852" w:type="dxa"/>
          </w:tcPr>
          <w:p>
            <w:pPr>
              <w:pStyle w:val="TableParagraph"/>
              <w:spacing w:before="129"/>
              <w:ind w:left="108"/>
              <w:rPr>
                <w:b/>
                <w:sz w:val="21"/>
              </w:rPr>
            </w:pPr>
            <w:r>
              <w:rPr>
                <w:b/>
                <w:sz w:val="21"/>
              </w:rPr>
              <w:t>11.1</w:t>
            </w:r>
          </w:p>
        </w:tc>
        <w:tc>
          <w:tcPr>
            <w:tcW w:w="1650" w:type="dxa"/>
          </w:tcPr>
          <w:p>
            <w:pPr>
              <w:pStyle w:val="TableParagraph"/>
              <w:spacing w:line="273" w:lineRule="auto" w:before="129"/>
              <w:ind w:left="216" w:right="164"/>
              <w:rPr>
                <w:b/>
                <w:sz w:val="21"/>
              </w:rPr>
            </w:pPr>
            <w:r>
              <w:rPr>
                <w:b/>
                <w:sz w:val="21"/>
              </w:rPr>
              <w:t>轻症疾病的定义</w:t>
            </w:r>
          </w:p>
        </w:tc>
        <w:tc>
          <w:tcPr>
            <w:tcW w:w="7042" w:type="dxa"/>
          </w:tcPr>
          <w:p>
            <w:pPr>
              <w:pStyle w:val="TableParagraph"/>
              <w:spacing w:line="273" w:lineRule="auto" w:before="129"/>
              <w:ind w:left="63" w:right="101" w:firstLine="2"/>
              <w:jc w:val="both"/>
              <w:rPr>
                <w:sz w:val="21"/>
              </w:rPr>
            </w:pPr>
            <w:r>
              <w:rPr>
                <w:spacing w:val="-8"/>
                <w:sz w:val="21"/>
              </w:rPr>
              <w:t>本合同所保障的轻症疾病，是指被保险人在本合同有效期间内经专科医生明</w:t>
            </w:r>
            <w:r>
              <w:rPr>
                <w:sz w:val="21"/>
              </w:rPr>
              <w:t>确诊断初次患下列疾病或初次达到下列疾病状态或在医院初次接受下列手术：</w:t>
            </w:r>
          </w:p>
        </w:tc>
      </w:tr>
      <w:tr>
        <w:trPr>
          <w:trHeight w:val="384" w:hRule="atLeast"/>
        </w:trPr>
        <w:tc>
          <w:tcPr>
            <w:tcW w:w="852" w:type="dxa"/>
          </w:tcPr>
          <w:p>
            <w:pPr>
              <w:pStyle w:val="TableParagraph"/>
              <w:spacing w:before="58"/>
              <w:ind w:left="108"/>
              <w:rPr>
                <w:b/>
                <w:sz w:val="21"/>
              </w:rPr>
            </w:pPr>
            <w:r>
              <w:rPr>
                <w:b/>
                <w:sz w:val="21"/>
              </w:rPr>
              <w:t>11.1.1</w:t>
            </w:r>
          </w:p>
        </w:tc>
        <w:tc>
          <w:tcPr>
            <w:tcW w:w="1650" w:type="dxa"/>
          </w:tcPr>
          <w:p>
            <w:pPr>
              <w:pStyle w:val="TableParagraph"/>
              <w:spacing w:before="58"/>
              <w:ind w:left="216"/>
              <w:rPr>
                <w:b/>
                <w:sz w:val="21"/>
              </w:rPr>
            </w:pPr>
            <w:r>
              <w:rPr>
                <w:b/>
                <w:sz w:val="21"/>
              </w:rPr>
              <w:t>非危及生命的</w:t>
            </w:r>
          </w:p>
        </w:tc>
        <w:tc>
          <w:tcPr>
            <w:tcW w:w="7042" w:type="dxa"/>
          </w:tcPr>
          <w:p>
            <w:pPr>
              <w:pStyle w:val="TableParagraph"/>
              <w:spacing w:before="58"/>
              <w:ind w:left="63"/>
              <w:rPr>
                <w:sz w:val="21"/>
              </w:rPr>
            </w:pPr>
            <w:r>
              <w:rPr>
                <w:sz w:val="21"/>
              </w:rPr>
              <w:t>指经组织病理学检查被明确诊断为下列恶性病变，并且接受了相应的治疗。</w:t>
            </w:r>
          </w:p>
        </w:tc>
      </w:tr>
      <w:tr>
        <w:trPr>
          <w:trHeight w:val="311" w:hRule="atLeast"/>
        </w:trPr>
        <w:tc>
          <w:tcPr>
            <w:tcW w:w="852" w:type="dxa"/>
          </w:tcPr>
          <w:p>
            <w:pPr>
              <w:pStyle w:val="TableParagraph"/>
              <w:ind w:left="0"/>
              <w:rPr>
                <w:rFonts w:ascii="Times New Roman"/>
                <w:sz w:val="20"/>
              </w:rPr>
            </w:pPr>
          </w:p>
        </w:tc>
        <w:tc>
          <w:tcPr>
            <w:tcW w:w="1650" w:type="dxa"/>
          </w:tcPr>
          <w:p>
            <w:pPr>
              <w:pStyle w:val="TableParagraph"/>
              <w:spacing w:line="261" w:lineRule="exact"/>
              <w:ind w:left="216"/>
              <w:rPr>
                <w:b/>
                <w:sz w:val="21"/>
              </w:rPr>
            </w:pPr>
            <w:r>
              <w:rPr>
                <w:b/>
                <w:sz w:val="21"/>
              </w:rPr>
              <w:t>恶性病变</w:t>
            </w:r>
          </w:p>
        </w:tc>
        <w:tc>
          <w:tcPr>
            <w:tcW w:w="7042" w:type="dxa"/>
          </w:tcPr>
          <w:p>
            <w:pPr>
              <w:pStyle w:val="TableParagraph"/>
              <w:spacing w:line="261" w:lineRule="exact"/>
              <w:ind w:left="63"/>
              <w:rPr>
                <w:sz w:val="21"/>
              </w:rPr>
            </w:pPr>
            <w:r>
              <w:rPr>
                <w:sz w:val="21"/>
              </w:rPr>
              <w:t>(1)原位癌；</w:t>
            </w:r>
          </w:p>
        </w:tc>
      </w:tr>
      <w:tr>
        <w:trPr>
          <w:trHeight w:val="311" w:hRule="atLeast"/>
        </w:trPr>
        <w:tc>
          <w:tcPr>
            <w:tcW w:w="852" w:type="dxa"/>
          </w:tcPr>
          <w:p>
            <w:pPr>
              <w:pStyle w:val="TableParagraph"/>
              <w:ind w:left="0"/>
              <w:rPr>
                <w:rFonts w:ascii="Times New Roman"/>
                <w:sz w:val="20"/>
              </w:rPr>
            </w:pPr>
          </w:p>
        </w:tc>
        <w:tc>
          <w:tcPr>
            <w:tcW w:w="1650" w:type="dxa"/>
          </w:tcPr>
          <w:p>
            <w:pPr>
              <w:pStyle w:val="TableParagraph"/>
              <w:ind w:left="0"/>
              <w:rPr>
                <w:rFonts w:ascii="Times New Roman"/>
                <w:sz w:val="20"/>
              </w:rPr>
            </w:pPr>
          </w:p>
        </w:tc>
        <w:tc>
          <w:tcPr>
            <w:tcW w:w="7042" w:type="dxa"/>
          </w:tcPr>
          <w:p>
            <w:pPr>
              <w:pStyle w:val="TableParagraph"/>
              <w:spacing w:line="261" w:lineRule="exact"/>
              <w:ind w:left="63"/>
              <w:rPr>
                <w:sz w:val="21"/>
              </w:rPr>
            </w:pPr>
            <w:r>
              <w:rPr>
                <w:sz w:val="21"/>
              </w:rPr>
              <w:t>(2)相当于 Binet 分期方案 A 期程度的慢性淋巴细胞白血病；</w:t>
            </w:r>
          </w:p>
        </w:tc>
      </w:tr>
      <w:tr>
        <w:trPr>
          <w:trHeight w:val="311" w:hRule="atLeast"/>
        </w:trPr>
        <w:tc>
          <w:tcPr>
            <w:tcW w:w="852" w:type="dxa"/>
          </w:tcPr>
          <w:p>
            <w:pPr>
              <w:pStyle w:val="TableParagraph"/>
              <w:ind w:left="0"/>
              <w:rPr>
                <w:rFonts w:ascii="Times New Roman"/>
                <w:sz w:val="20"/>
              </w:rPr>
            </w:pPr>
          </w:p>
        </w:tc>
        <w:tc>
          <w:tcPr>
            <w:tcW w:w="1650" w:type="dxa"/>
          </w:tcPr>
          <w:p>
            <w:pPr>
              <w:pStyle w:val="TableParagraph"/>
              <w:ind w:left="0"/>
              <w:rPr>
                <w:rFonts w:ascii="Times New Roman"/>
                <w:sz w:val="20"/>
              </w:rPr>
            </w:pPr>
          </w:p>
        </w:tc>
        <w:tc>
          <w:tcPr>
            <w:tcW w:w="7042" w:type="dxa"/>
          </w:tcPr>
          <w:p>
            <w:pPr>
              <w:pStyle w:val="TableParagraph"/>
              <w:spacing w:line="261" w:lineRule="exact"/>
              <w:ind w:left="63"/>
              <w:rPr>
                <w:sz w:val="21"/>
              </w:rPr>
            </w:pPr>
            <w:r>
              <w:rPr>
                <w:sz w:val="21"/>
              </w:rPr>
              <w:t>(3)相当于 Ann Arbor 分期方案 I 期程度的何杰金氏病；</w:t>
            </w:r>
          </w:p>
        </w:tc>
      </w:tr>
      <w:tr>
        <w:trPr>
          <w:trHeight w:val="261" w:hRule="atLeast"/>
        </w:trPr>
        <w:tc>
          <w:tcPr>
            <w:tcW w:w="852" w:type="dxa"/>
          </w:tcPr>
          <w:p>
            <w:pPr>
              <w:pStyle w:val="TableParagraph"/>
              <w:ind w:left="0"/>
              <w:rPr>
                <w:rFonts w:ascii="Times New Roman"/>
                <w:sz w:val="18"/>
              </w:rPr>
            </w:pPr>
          </w:p>
        </w:tc>
        <w:tc>
          <w:tcPr>
            <w:tcW w:w="1650" w:type="dxa"/>
          </w:tcPr>
          <w:p>
            <w:pPr>
              <w:pStyle w:val="TableParagraph"/>
              <w:ind w:left="0"/>
              <w:rPr>
                <w:rFonts w:ascii="Times New Roman"/>
                <w:sz w:val="18"/>
              </w:rPr>
            </w:pPr>
          </w:p>
        </w:tc>
        <w:tc>
          <w:tcPr>
            <w:tcW w:w="7042" w:type="dxa"/>
          </w:tcPr>
          <w:p>
            <w:pPr>
              <w:pStyle w:val="TableParagraph"/>
              <w:spacing w:line="242" w:lineRule="exact"/>
              <w:ind w:left="63"/>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tc>
      </w:tr>
    </w:tbl>
    <w:p>
      <w:pPr>
        <w:spacing w:after="0" w:line="242" w:lineRule="exact"/>
        <w:rPr>
          <w:sz w:val="21"/>
        </w:rPr>
        <w:sectPr>
          <w:type w:val="continuous"/>
          <w:pgSz w:w="11910" w:h="16840"/>
          <w:pgMar w:top="20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1492"/>
        <w:gridCol w:w="7191"/>
      </w:tblGrid>
      <w:tr>
        <w:trPr>
          <w:trHeight w:val="332" w:hRule="atLeast"/>
        </w:trPr>
        <w:tc>
          <w:tcPr>
            <w:tcW w:w="1051"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191" w:type="dxa"/>
          </w:tcPr>
          <w:p>
            <w:pPr>
              <w:pStyle w:val="TableParagraph"/>
              <w:spacing w:line="202" w:lineRule="exact"/>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1" w:hRule="atLeast"/>
        </w:trPr>
        <w:tc>
          <w:tcPr>
            <w:tcW w:w="1051" w:type="dxa"/>
          </w:tcPr>
          <w:p>
            <w:pPr>
              <w:pStyle w:val="TableParagraph"/>
              <w:spacing w:before="48"/>
              <w:ind w:left="77" w:right="90"/>
              <w:jc w:val="center"/>
              <w:rPr>
                <w:b/>
                <w:sz w:val="21"/>
              </w:rPr>
            </w:pPr>
            <w:r>
              <w:rPr>
                <w:b/>
                <w:sz w:val="21"/>
              </w:rPr>
              <w:t>11.1.2</w:t>
            </w:r>
          </w:p>
        </w:tc>
        <w:tc>
          <w:tcPr>
            <w:tcW w:w="1492" w:type="dxa"/>
          </w:tcPr>
          <w:p>
            <w:pPr>
              <w:pStyle w:val="TableParagraph"/>
              <w:spacing w:line="273" w:lineRule="auto" w:before="48"/>
              <w:ind w:left="109" w:right="113"/>
              <w:jc w:val="both"/>
              <w:rPr>
                <w:b/>
                <w:sz w:val="21"/>
              </w:rPr>
            </w:pPr>
            <w:r>
              <w:rPr>
                <w:b/>
                <w:sz w:val="21"/>
              </w:rPr>
              <w:t>脑垂体瘤、脑囊肿、脑动脉瘤和脑海绵状血管瘤</w:t>
            </w:r>
          </w:p>
        </w:tc>
        <w:tc>
          <w:tcPr>
            <w:tcW w:w="7191" w:type="dxa"/>
          </w:tcPr>
          <w:p>
            <w:pPr>
              <w:pStyle w:val="TableParagraph"/>
              <w:spacing w:line="273" w:lineRule="auto" w:before="48"/>
              <w:ind w:right="200"/>
              <w:rPr>
                <w:sz w:val="21"/>
              </w:rPr>
            </w:pPr>
            <w:r>
              <w:rPr>
                <w:spacing w:val="-5"/>
                <w:w w:val="100"/>
                <w:sz w:val="21"/>
              </w:rPr>
              <w:t>指经头颅断层扫描</w:t>
            </w:r>
            <w:r>
              <w:rPr>
                <w:spacing w:val="-1"/>
                <w:w w:val="100"/>
                <w:sz w:val="21"/>
              </w:rPr>
              <w:t>（</w:t>
            </w:r>
            <w:r>
              <w:rPr>
                <w:w w:val="100"/>
                <w:sz w:val="21"/>
              </w:rPr>
              <w:t>C</w:t>
            </w:r>
            <w:r>
              <w:rPr>
                <w:spacing w:val="-3"/>
                <w:w w:val="100"/>
                <w:sz w:val="21"/>
              </w:rPr>
              <w:t>T</w:t>
            </w:r>
            <w:r>
              <w:rPr>
                <w:spacing w:val="-106"/>
                <w:w w:val="100"/>
                <w:sz w:val="21"/>
              </w:rPr>
              <w:t>）</w:t>
            </w:r>
            <w:r>
              <w:rPr>
                <w:spacing w:val="-8"/>
                <w:w w:val="100"/>
                <w:sz w:val="21"/>
              </w:rPr>
              <w:t>、核磁共振</w:t>
            </w:r>
            <w:r>
              <w:rPr>
                <w:w w:val="100"/>
                <w:sz w:val="21"/>
              </w:rPr>
              <w:t>（</w:t>
            </w:r>
            <w:r>
              <w:rPr>
                <w:spacing w:val="-3"/>
                <w:w w:val="100"/>
                <w:sz w:val="21"/>
              </w:rPr>
              <w:t>M</w:t>
            </w:r>
            <w:r>
              <w:rPr>
                <w:w w:val="100"/>
                <w:sz w:val="21"/>
              </w:rPr>
              <w:t>RI</w:t>
            </w:r>
            <w:r>
              <w:rPr>
                <w:spacing w:val="-17"/>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(3)脑动脉瘤、脑海绵状血管瘤。</w:t>
            </w:r>
          </w:p>
        </w:tc>
      </w:tr>
      <w:tr>
        <w:trPr>
          <w:trHeight w:val="765" w:hRule="atLeast"/>
        </w:trPr>
        <w:tc>
          <w:tcPr>
            <w:tcW w:w="1051" w:type="dxa"/>
          </w:tcPr>
          <w:p>
            <w:pPr>
              <w:pStyle w:val="TableParagraph"/>
              <w:spacing w:before="49"/>
              <w:ind w:left="77" w:right="90"/>
              <w:jc w:val="center"/>
              <w:rPr>
                <w:b/>
                <w:sz w:val="21"/>
              </w:rPr>
            </w:pPr>
            <w:r>
              <w:rPr>
                <w:b/>
                <w:sz w:val="21"/>
              </w:rPr>
              <w:t>11.1.3</w:t>
            </w:r>
          </w:p>
        </w:tc>
        <w:tc>
          <w:tcPr>
            <w:tcW w:w="1492" w:type="dxa"/>
          </w:tcPr>
          <w:p>
            <w:pPr>
              <w:pStyle w:val="TableParagraph"/>
              <w:spacing w:line="273" w:lineRule="auto" w:before="49"/>
              <w:ind w:left="109" w:right="113"/>
              <w:rPr>
                <w:b/>
                <w:sz w:val="21"/>
              </w:rPr>
            </w:pPr>
            <w:r>
              <w:rPr>
                <w:b/>
                <w:sz w:val="21"/>
              </w:rPr>
              <w:t>冠状动脉支架植入术</w:t>
            </w:r>
          </w:p>
        </w:tc>
        <w:tc>
          <w:tcPr>
            <w:tcW w:w="7191" w:type="dxa"/>
          </w:tcPr>
          <w:p>
            <w:pPr>
              <w:pStyle w:val="TableParagraph"/>
              <w:spacing w:line="273" w:lineRule="auto" w:before="49"/>
              <w:ind w:right="348"/>
              <w:rPr>
                <w:sz w:val="21"/>
              </w:rPr>
            </w:pPr>
            <w:r>
              <w:rPr>
                <w:sz w:val="21"/>
              </w:rPr>
              <w:t>为了治疗明显的冠状动脉狭窄性疾病，首次实际实施了冠状动脉支架植入术。</w:t>
            </w:r>
          </w:p>
        </w:tc>
      </w:tr>
      <w:tr>
        <w:trPr>
          <w:trHeight w:val="765" w:hRule="atLeast"/>
        </w:trPr>
        <w:tc>
          <w:tcPr>
            <w:tcW w:w="1051" w:type="dxa"/>
          </w:tcPr>
          <w:p>
            <w:pPr>
              <w:pStyle w:val="TableParagraph"/>
              <w:spacing w:before="48"/>
              <w:ind w:left="77" w:right="90"/>
              <w:jc w:val="center"/>
              <w:rPr>
                <w:b/>
                <w:sz w:val="21"/>
              </w:rPr>
            </w:pPr>
            <w:r>
              <w:rPr>
                <w:b/>
                <w:sz w:val="21"/>
              </w:rPr>
              <w:t>11.1.4</w:t>
            </w:r>
          </w:p>
        </w:tc>
        <w:tc>
          <w:tcPr>
            <w:tcW w:w="1492" w:type="dxa"/>
          </w:tcPr>
          <w:p>
            <w:pPr>
              <w:pStyle w:val="TableParagraph"/>
              <w:spacing w:line="273" w:lineRule="auto" w:before="48"/>
              <w:ind w:left="109" w:right="113"/>
              <w:rPr>
                <w:b/>
                <w:sz w:val="21"/>
              </w:rPr>
            </w:pPr>
            <w:r>
              <w:rPr>
                <w:b/>
                <w:sz w:val="21"/>
              </w:rPr>
              <w:t>主动脉介入手术</w:t>
            </w:r>
          </w:p>
        </w:tc>
        <w:tc>
          <w:tcPr>
            <w:tcW w:w="7191" w:type="dxa"/>
          </w:tcPr>
          <w:p>
            <w:pPr>
              <w:pStyle w:val="TableParagraph"/>
              <w:spacing w:line="273" w:lineRule="auto" w:before="48"/>
              <w:ind w:right="142"/>
              <w:rPr>
                <w:sz w:val="21"/>
              </w:rPr>
            </w:pPr>
            <w:r>
              <w:rPr>
                <w:sz w:val="21"/>
              </w:rPr>
              <w:t>为了治疗主动脉疾病实际实施了经皮经导管进行的动脉内手术。主动脉指胸主动脉和腹主动脉，不包括胸主动脉和腹主动脉的分支血管。</w:t>
            </w:r>
          </w:p>
        </w:tc>
      </w:tr>
      <w:tr>
        <w:trPr>
          <w:trHeight w:val="766" w:hRule="atLeast"/>
        </w:trPr>
        <w:tc>
          <w:tcPr>
            <w:tcW w:w="1051" w:type="dxa"/>
          </w:tcPr>
          <w:p>
            <w:pPr>
              <w:pStyle w:val="TableParagraph"/>
              <w:spacing w:before="48"/>
              <w:ind w:left="77" w:right="90"/>
              <w:jc w:val="center"/>
              <w:rPr>
                <w:b/>
                <w:sz w:val="21"/>
              </w:rPr>
            </w:pPr>
            <w:r>
              <w:rPr>
                <w:b/>
                <w:sz w:val="21"/>
              </w:rPr>
              <w:t>11.1.5</w:t>
            </w:r>
          </w:p>
        </w:tc>
        <w:tc>
          <w:tcPr>
            <w:tcW w:w="1492" w:type="dxa"/>
          </w:tcPr>
          <w:p>
            <w:pPr>
              <w:pStyle w:val="TableParagraph"/>
              <w:spacing w:line="273" w:lineRule="auto" w:before="48"/>
              <w:ind w:left="109" w:right="113"/>
              <w:rPr>
                <w:b/>
                <w:sz w:val="21"/>
              </w:rPr>
            </w:pPr>
            <w:r>
              <w:rPr>
                <w:b/>
                <w:sz w:val="21"/>
              </w:rPr>
              <w:t>心脏瓣膜介入手术</w:t>
            </w:r>
          </w:p>
        </w:tc>
        <w:tc>
          <w:tcPr>
            <w:tcW w:w="7191" w:type="dxa"/>
          </w:tcPr>
          <w:p>
            <w:pPr>
              <w:pStyle w:val="TableParagraph"/>
              <w:spacing w:line="273" w:lineRule="auto" w:before="48"/>
              <w:ind w:right="199"/>
              <w:rPr>
                <w:sz w:val="21"/>
              </w:rPr>
            </w:pPr>
            <w:r>
              <w:rPr>
                <w:spacing w:val="-9"/>
                <w:sz w:val="21"/>
              </w:rPr>
              <w:t>指为治疗心脏瓣膜疾病，首次实际接受了经非胸廓切开的经胸壁打孔内镜手</w:t>
            </w:r>
            <w:r>
              <w:rPr>
                <w:spacing w:val="-5"/>
                <w:sz w:val="21"/>
              </w:rPr>
              <w:t>术或经皮血管穿刺导管介入手术来进行心脏瓣膜置换或修复。</w:t>
            </w:r>
          </w:p>
        </w:tc>
      </w:tr>
      <w:tr>
        <w:trPr>
          <w:trHeight w:val="2403" w:hRule="atLeast"/>
        </w:trPr>
        <w:tc>
          <w:tcPr>
            <w:tcW w:w="1051" w:type="dxa"/>
          </w:tcPr>
          <w:p>
            <w:pPr>
              <w:pStyle w:val="TableParagraph"/>
              <w:spacing w:before="50"/>
              <w:ind w:left="77" w:right="90"/>
              <w:jc w:val="center"/>
              <w:rPr>
                <w:b/>
                <w:sz w:val="21"/>
              </w:rPr>
            </w:pPr>
            <w:r>
              <w:rPr>
                <w:b/>
                <w:sz w:val="21"/>
              </w:rPr>
              <w:t>11.1.6</w:t>
            </w:r>
          </w:p>
        </w:tc>
        <w:tc>
          <w:tcPr>
            <w:tcW w:w="1492" w:type="dxa"/>
          </w:tcPr>
          <w:p>
            <w:pPr>
              <w:pStyle w:val="TableParagraph"/>
              <w:spacing w:before="50"/>
              <w:ind w:left="109"/>
              <w:rPr>
                <w:b/>
                <w:sz w:val="21"/>
              </w:rPr>
            </w:pPr>
            <w:r>
              <w:rPr>
                <w:b/>
                <w:sz w:val="21"/>
              </w:rPr>
              <w:t>视力严重受损</w:t>
            </w:r>
          </w:p>
        </w:tc>
        <w:tc>
          <w:tcPr>
            <w:tcW w:w="7191" w:type="dxa"/>
          </w:tcPr>
          <w:p>
            <w:pPr>
              <w:pStyle w:val="TableParagraph"/>
              <w:spacing w:line="273" w:lineRule="auto" w:before="50"/>
              <w:ind w:right="142"/>
              <w:rPr>
                <w:sz w:val="21"/>
              </w:rPr>
            </w:pPr>
            <w:r>
              <w:rPr>
                <w:sz w:val="21"/>
              </w:rPr>
              <w:t>指因疾病或意外伤害导致双眼视力永久不可逆性受损，双眼中较好眼满足下列任意一个条件：</w:t>
            </w:r>
          </w:p>
          <w:p>
            <w:pPr>
              <w:pStyle w:val="TableParagraph"/>
              <w:spacing w:line="273" w:lineRule="auto" w:before="8"/>
              <w:ind w:right="298"/>
              <w:rPr>
                <w:sz w:val="21"/>
              </w:rPr>
            </w:pPr>
            <w:r>
              <w:rPr>
                <w:sz w:val="21"/>
              </w:rPr>
              <w:t>(1)</w:t>
            </w:r>
            <w:r>
              <w:rPr>
                <w:spacing w:val="-7"/>
                <w:sz w:val="21"/>
              </w:rPr>
              <w:t>矫正视力低于 </w:t>
            </w:r>
            <w:r>
              <w:rPr>
                <w:sz w:val="21"/>
              </w:rPr>
              <w:t>0.1（</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8"/>
              <w:rPr>
                <w:sz w:val="21"/>
              </w:rPr>
            </w:pPr>
            <w:r>
              <w:rPr>
                <w:sz w:val="21"/>
              </w:rPr>
              <w:t>(2)视野半径小于 20 度。</w:t>
            </w:r>
          </w:p>
          <w:p>
            <w:pPr>
              <w:pStyle w:val="TableParagraph"/>
              <w:spacing w:line="273" w:lineRule="auto" w:before="114"/>
              <w:ind w:right="142"/>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5" w:hRule="atLeast"/>
        </w:trPr>
        <w:tc>
          <w:tcPr>
            <w:tcW w:w="1051" w:type="dxa"/>
          </w:tcPr>
          <w:p>
            <w:pPr>
              <w:pStyle w:val="TableParagraph"/>
              <w:spacing w:before="49"/>
              <w:ind w:left="77" w:right="90"/>
              <w:jc w:val="center"/>
              <w:rPr>
                <w:b/>
                <w:sz w:val="21"/>
              </w:rPr>
            </w:pPr>
            <w:r>
              <w:rPr>
                <w:b/>
                <w:sz w:val="21"/>
              </w:rPr>
              <w:t>11.1.7</w:t>
            </w:r>
          </w:p>
        </w:tc>
        <w:tc>
          <w:tcPr>
            <w:tcW w:w="1492" w:type="dxa"/>
          </w:tcPr>
          <w:p>
            <w:pPr>
              <w:pStyle w:val="TableParagraph"/>
              <w:spacing w:line="273" w:lineRule="auto" w:before="49"/>
              <w:ind w:left="109" w:right="113"/>
              <w:rPr>
                <w:b/>
                <w:sz w:val="21"/>
              </w:rPr>
            </w:pPr>
            <w:r>
              <w:rPr>
                <w:b/>
                <w:sz w:val="21"/>
              </w:rPr>
              <w:t>较小面积Ⅲ度烧伤</w:t>
            </w:r>
          </w:p>
        </w:tc>
        <w:tc>
          <w:tcPr>
            <w:tcW w:w="7191" w:type="dxa"/>
          </w:tcPr>
          <w:p>
            <w:pPr>
              <w:pStyle w:val="TableParagraph"/>
              <w:spacing w:before="49"/>
              <w:rPr>
                <w:sz w:val="21"/>
              </w:rPr>
            </w:pPr>
            <w:r>
              <w:rPr>
                <w:sz w:val="21"/>
              </w:rPr>
              <w:t>指烧伤程度为Ⅲ度，且Ⅲ度烧伤的面积达到 10%的全身体表面积但小于 20%</w:t>
            </w:r>
          </w:p>
          <w:p>
            <w:pPr>
              <w:pStyle w:val="TableParagraph"/>
              <w:spacing w:before="37"/>
              <w:rPr>
                <w:sz w:val="21"/>
              </w:rPr>
            </w:pPr>
            <w:r>
              <w:rPr>
                <w:sz w:val="21"/>
              </w:rPr>
              <w:t>的全身体表面积。体表面积根据《中国新九分法》计算。</w:t>
            </w:r>
          </w:p>
        </w:tc>
      </w:tr>
      <w:tr>
        <w:trPr>
          <w:trHeight w:val="2014" w:hRule="atLeast"/>
        </w:trPr>
        <w:tc>
          <w:tcPr>
            <w:tcW w:w="1051" w:type="dxa"/>
          </w:tcPr>
          <w:p>
            <w:pPr>
              <w:pStyle w:val="TableParagraph"/>
              <w:spacing w:before="48"/>
              <w:ind w:left="77" w:right="90"/>
              <w:jc w:val="center"/>
              <w:rPr>
                <w:b/>
                <w:sz w:val="21"/>
              </w:rPr>
            </w:pPr>
            <w:r>
              <w:rPr>
                <w:b/>
                <w:sz w:val="21"/>
              </w:rPr>
              <w:t>11.1.8</w:t>
            </w:r>
          </w:p>
        </w:tc>
        <w:tc>
          <w:tcPr>
            <w:tcW w:w="1492" w:type="dxa"/>
          </w:tcPr>
          <w:p>
            <w:pPr>
              <w:pStyle w:val="TableParagraph"/>
              <w:spacing w:before="48"/>
              <w:ind w:left="109"/>
              <w:rPr>
                <w:b/>
                <w:sz w:val="21"/>
              </w:rPr>
            </w:pPr>
            <w:r>
              <w:rPr>
                <w:b/>
                <w:sz w:val="21"/>
              </w:rPr>
              <w:t>轻微脑中风</w:t>
            </w:r>
          </w:p>
        </w:tc>
        <w:tc>
          <w:tcPr>
            <w:tcW w:w="7191" w:type="dxa"/>
          </w:tcPr>
          <w:p>
            <w:pPr>
              <w:pStyle w:val="TableParagraph"/>
              <w:spacing w:line="273" w:lineRule="auto" w:before="48"/>
              <w:ind w:right="199"/>
              <w:jc w:val="both"/>
              <w:rPr>
                <w:sz w:val="21"/>
              </w:rPr>
            </w:pPr>
            <w:r>
              <w:rPr>
                <w:spacing w:val="-9"/>
                <w:sz w:val="21"/>
              </w:rPr>
              <w:t>对于“脑中风后遗症”若未达到重大疾病保险金的给付标准，但对于确实发</w:t>
            </w:r>
            <w:r>
              <w:rPr>
                <w:spacing w:val="-8"/>
                <w:sz w:val="21"/>
              </w:rPr>
              <w:t>生了中风并且影像学检查证实有相应中风病灶，被保险人存在永久不可逆性</w:t>
            </w:r>
            <w:r>
              <w:rPr>
                <w:spacing w:val="-9"/>
                <w:sz w:val="21"/>
              </w:rPr>
              <w:t>神经系统功能损害的症状体征，经专科医生鉴定仍遗留下列一种或一种以上障碍：</w:t>
            </w:r>
          </w:p>
          <w:p>
            <w:pPr>
              <w:pStyle w:val="TableParagraph"/>
              <w:spacing w:before="7"/>
              <w:jc w:val="both"/>
              <w:rPr>
                <w:sz w:val="21"/>
              </w:rPr>
            </w:pPr>
            <w:r>
              <w:rPr>
                <w:sz w:val="21"/>
              </w:rPr>
              <w:t>(1)一肢（上肢或下肢）的三大关节中有一关节以上机能完全丧失；</w:t>
            </w:r>
          </w:p>
          <w:p>
            <w:pPr>
              <w:pStyle w:val="TableParagraph"/>
              <w:spacing w:before="37"/>
              <w:jc w:val="both"/>
              <w:rPr>
                <w:sz w:val="21"/>
              </w:rPr>
            </w:pPr>
            <w:r>
              <w:rPr>
                <w:sz w:val="21"/>
              </w:rPr>
              <w:t>(2)无法独立完成六项基本日常生活活动中的一项或一项以上。</w:t>
            </w:r>
          </w:p>
        </w:tc>
      </w:tr>
      <w:tr>
        <w:trPr>
          <w:trHeight w:val="1390" w:hRule="atLeast"/>
        </w:trPr>
        <w:tc>
          <w:tcPr>
            <w:tcW w:w="1051" w:type="dxa"/>
          </w:tcPr>
          <w:p>
            <w:pPr>
              <w:pStyle w:val="TableParagraph"/>
              <w:spacing w:before="50"/>
              <w:ind w:left="77" w:right="90"/>
              <w:jc w:val="center"/>
              <w:rPr>
                <w:b/>
                <w:sz w:val="21"/>
              </w:rPr>
            </w:pPr>
            <w:r>
              <w:rPr>
                <w:b/>
                <w:sz w:val="21"/>
              </w:rPr>
              <w:t>11.1.9</w:t>
            </w:r>
          </w:p>
        </w:tc>
        <w:tc>
          <w:tcPr>
            <w:tcW w:w="1492" w:type="dxa"/>
          </w:tcPr>
          <w:p>
            <w:pPr>
              <w:pStyle w:val="TableParagraph"/>
              <w:spacing w:before="50"/>
              <w:ind w:left="109"/>
              <w:rPr>
                <w:b/>
                <w:sz w:val="21"/>
              </w:rPr>
            </w:pPr>
            <w:r>
              <w:rPr>
                <w:b/>
                <w:sz w:val="21"/>
              </w:rPr>
              <w:t>早期肾衰竭</w:t>
            </w:r>
          </w:p>
        </w:tc>
        <w:tc>
          <w:tcPr>
            <w:tcW w:w="7191" w:type="dxa"/>
          </w:tcPr>
          <w:p>
            <w:pPr>
              <w:pStyle w:val="TableParagraph"/>
              <w:spacing w:line="273" w:lineRule="auto" w:before="50"/>
              <w:ind w:right="199"/>
              <w:jc w:val="both"/>
              <w:rPr>
                <w:sz w:val="21"/>
              </w:rPr>
            </w:pPr>
            <w:r>
              <w:rPr>
                <w:spacing w:val="-6"/>
                <w:sz w:val="21"/>
              </w:rPr>
              <w:t>诊断必须由专科医生证实为慢性肾脏疾病及肾功能永久性受损。必须经由检</w:t>
            </w:r>
            <w:r>
              <w:rPr>
                <w:spacing w:val="-4"/>
                <w:w w:val="100"/>
                <w:sz w:val="21"/>
              </w:rPr>
              <w:t>验结果证实</w:t>
            </w:r>
            <w:r>
              <w:rPr>
                <w:spacing w:val="-3"/>
                <w:w w:val="100"/>
                <w:sz w:val="21"/>
              </w:rPr>
              <w:t>（</w:t>
            </w:r>
            <w:r>
              <w:rPr>
                <w:spacing w:val="-2"/>
                <w:w w:val="100"/>
                <w:sz w:val="21"/>
              </w:rPr>
              <w:t>最少有</w:t>
            </w:r>
            <w:r>
              <w:rPr>
                <w:spacing w:val="-53"/>
                <w:sz w:val="21"/>
              </w:rPr>
              <w:t> </w:t>
            </w:r>
            <w:r>
              <w:rPr>
                <w:w w:val="100"/>
                <w:sz w:val="21"/>
              </w:rPr>
              <w:t>2</w:t>
            </w:r>
            <w:r>
              <w:rPr>
                <w:spacing w:val="-53"/>
                <w:sz w:val="21"/>
              </w:rPr>
              <w:t> </w:t>
            </w:r>
            <w:r>
              <w:rPr>
                <w:spacing w:val="-2"/>
                <w:w w:val="100"/>
                <w:sz w:val="21"/>
              </w:rPr>
              <w:t>个相隔</w:t>
            </w:r>
            <w:r>
              <w:rPr>
                <w:spacing w:val="-2"/>
                <w:sz w:val="21"/>
              </w:rPr>
              <w:t> </w:t>
            </w:r>
            <w:r>
              <w:rPr>
                <w:w w:val="100"/>
                <w:sz w:val="21"/>
              </w:rPr>
              <w:t>2</w:t>
            </w:r>
            <w:r>
              <w:rPr>
                <w:spacing w:val="-55"/>
                <w:sz w:val="21"/>
              </w:rPr>
              <w:t> </w:t>
            </w:r>
            <w:r>
              <w:rPr>
                <w:spacing w:val="-3"/>
                <w:w w:val="100"/>
                <w:sz w:val="21"/>
              </w:rPr>
              <w:t>个月的测试</w:t>
            </w:r>
            <w:r>
              <w:rPr>
                <w:spacing w:val="-108"/>
                <w:w w:val="100"/>
                <w:sz w:val="21"/>
              </w:rPr>
              <w:t>）</w:t>
            </w:r>
            <w:r>
              <w:rPr>
                <w:spacing w:val="-3"/>
                <w:w w:val="100"/>
                <w:sz w:val="21"/>
              </w:rPr>
              <w:t>，最少持续</w:t>
            </w:r>
            <w:r>
              <w:rPr>
                <w:spacing w:val="-3"/>
                <w:sz w:val="21"/>
              </w:rPr>
              <w:t> </w:t>
            </w:r>
            <w:r>
              <w:rPr>
                <w:w w:val="100"/>
                <w:sz w:val="21"/>
              </w:rPr>
              <w:t>6</w:t>
            </w:r>
            <w:r>
              <w:rPr>
                <w:spacing w:val="-55"/>
                <w:sz w:val="21"/>
              </w:rPr>
              <w:t> </w:t>
            </w:r>
            <w:r>
              <w:rPr>
                <w:spacing w:val="-3"/>
                <w:w w:val="100"/>
                <w:sz w:val="21"/>
              </w:rPr>
              <w:t>个月或以上，以</w:t>
            </w:r>
            <w:r>
              <w:rPr>
                <w:spacing w:val="-4"/>
                <w:sz w:val="21"/>
              </w:rPr>
              <w:t>肾小球滤过率</w:t>
            </w:r>
            <w:r>
              <w:rPr>
                <w:sz w:val="21"/>
              </w:rPr>
              <w:t>（GFR）</w:t>
            </w:r>
            <w:r>
              <w:rPr>
                <w:spacing w:val="-6"/>
                <w:sz w:val="21"/>
              </w:rPr>
              <w:t>计，肾功能严重下降至每分钟少于 </w:t>
            </w:r>
            <w:r>
              <w:rPr>
                <w:sz w:val="21"/>
              </w:rPr>
              <w:t>15</w:t>
            </w:r>
            <w:r>
              <w:rPr>
                <w:spacing w:val="-17"/>
                <w:sz w:val="21"/>
              </w:rPr>
              <w:t> 毫升</w:t>
            </w:r>
            <w:r>
              <w:rPr>
                <w:sz w:val="21"/>
              </w:rPr>
              <w:t>/1.73</w:t>
            </w:r>
            <w:r>
              <w:rPr>
                <w:spacing w:val="-16"/>
                <w:sz w:val="21"/>
              </w:rPr>
              <w:t> 米体</w:t>
            </w:r>
            <w:r>
              <w:rPr>
                <w:spacing w:val="-9"/>
                <w:sz w:val="21"/>
              </w:rPr>
              <w:t>表面积。</w:t>
            </w:r>
          </w:p>
        </w:tc>
      </w:tr>
      <w:tr>
        <w:trPr>
          <w:trHeight w:val="2402" w:hRule="atLeast"/>
        </w:trPr>
        <w:tc>
          <w:tcPr>
            <w:tcW w:w="1051" w:type="dxa"/>
          </w:tcPr>
          <w:p>
            <w:pPr>
              <w:pStyle w:val="TableParagraph"/>
              <w:spacing w:before="49"/>
              <w:ind w:left="180" w:right="90"/>
              <w:jc w:val="center"/>
              <w:rPr>
                <w:b/>
                <w:sz w:val="21"/>
              </w:rPr>
            </w:pPr>
            <w:r>
              <w:rPr>
                <w:b/>
                <w:sz w:val="21"/>
              </w:rPr>
              <w:t>11.1.10</w:t>
            </w:r>
          </w:p>
        </w:tc>
        <w:tc>
          <w:tcPr>
            <w:tcW w:w="1492" w:type="dxa"/>
          </w:tcPr>
          <w:p>
            <w:pPr>
              <w:pStyle w:val="TableParagraph"/>
              <w:spacing w:line="273" w:lineRule="auto" w:before="49"/>
              <w:ind w:left="109" w:right="113"/>
              <w:jc w:val="both"/>
              <w:rPr>
                <w:b/>
                <w:sz w:val="21"/>
              </w:rPr>
            </w:pPr>
            <w:r>
              <w:rPr>
                <w:b/>
                <w:sz w:val="21"/>
              </w:rPr>
              <w:t>轻症慢性肝功能衰竭失代偿期</w:t>
            </w:r>
          </w:p>
        </w:tc>
        <w:tc>
          <w:tcPr>
            <w:tcW w:w="7191" w:type="dxa"/>
          </w:tcPr>
          <w:p>
            <w:pPr>
              <w:pStyle w:val="TableParagraph"/>
              <w:spacing w:line="273" w:lineRule="auto" w:before="49"/>
              <w:ind w:right="201"/>
              <w:rPr>
                <w:sz w:val="21"/>
              </w:rPr>
            </w:pPr>
            <w:r>
              <w:rPr>
                <w:spacing w:val="-9"/>
                <w:sz w:val="21"/>
              </w:rPr>
              <w:t>对于“慢性肝功能衰竭失代偿期”若未达到重大疾病保险金的给付标准，但</w:t>
            </w:r>
            <w:r>
              <w:rPr>
                <w:spacing w:val="-5"/>
                <w:sz w:val="21"/>
              </w:rPr>
              <w:t>因慢性肝脏疾病导致肝功能衰竭失代偿期，并满足下列任意两个条件：</w:t>
            </w:r>
          </w:p>
          <w:p>
            <w:pPr>
              <w:pStyle w:val="TableParagraph"/>
              <w:spacing w:before="8"/>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332" w:hRule="atLeast"/>
        </w:trPr>
        <w:tc>
          <w:tcPr>
            <w:tcW w:w="1051" w:type="dxa"/>
          </w:tcPr>
          <w:p>
            <w:pPr>
              <w:pStyle w:val="TableParagraph"/>
              <w:spacing w:line="264" w:lineRule="exact" w:before="49"/>
              <w:ind w:left="180" w:right="90"/>
              <w:jc w:val="center"/>
              <w:rPr>
                <w:b/>
                <w:sz w:val="21"/>
              </w:rPr>
            </w:pPr>
            <w:r>
              <w:rPr>
                <w:b/>
                <w:sz w:val="21"/>
              </w:rPr>
              <w:t>11.1.11</w:t>
            </w:r>
          </w:p>
        </w:tc>
        <w:tc>
          <w:tcPr>
            <w:tcW w:w="1492" w:type="dxa"/>
          </w:tcPr>
          <w:p>
            <w:pPr>
              <w:pStyle w:val="TableParagraph"/>
              <w:spacing w:line="264" w:lineRule="exact" w:before="49"/>
              <w:ind w:left="109"/>
              <w:rPr>
                <w:b/>
                <w:sz w:val="21"/>
              </w:rPr>
            </w:pPr>
            <w:r>
              <w:rPr>
                <w:b/>
                <w:sz w:val="21"/>
              </w:rPr>
              <w:t>单肢缺失</w:t>
            </w:r>
          </w:p>
        </w:tc>
        <w:tc>
          <w:tcPr>
            <w:tcW w:w="7191" w:type="dxa"/>
          </w:tcPr>
          <w:p>
            <w:pPr>
              <w:pStyle w:val="TableParagraph"/>
              <w:spacing w:line="264" w:lineRule="exact" w:before="49"/>
              <w:rPr>
                <w:sz w:val="21"/>
              </w:rPr>
            </w:pPr>
            <w:r>
              <w:rPr>
                <w:sz w:val="21"/>
              </w:rPr>
              <w:t>因疾病或意外导致单肢已断离并且不可接回，但断肢必须是在膝部或肘部以</w:t>
            </w:r>
          </w:p>
        </w:tc>
      </w:tr>
    </w:tbl>
    <w:p>
      <w:pPr>
        <w:spacing w:after="0" w:line="264" w:lineRule="exact"/>
        <w:rPr>
          <w:sz w:val="21"/>
        </w:rPr>
        <w:sectPr>
          <w:pgSz w:w="11910" w:h="16840"/>
          <w:pgMar w:top="1460" w:bottom="280" w:left="980" w:right="9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1492"/>
        <w:gridCol w:w="7093"/>
      </w:tblGrid>
      <w:tr>
        <w:trPr>
          <w:trHeight w:val="332" w:hRule="atLeast"/>
        </w:trPr>
        <w:tc>
          <w:tcPr>
            <w:tcW w:w="959"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093" w:type="dxa"/>
          </w:tcPr>
          <w:p>
            <w:pPr>
              <w:pStyle w:val="TableParagraph"/>
              <w:spacing w:line="202" w:lineRule="exact"/>
              <w:rPr>
                <w:sz w:val="21"/>
              </w:rPr>
            </w:pPr>
            <w:r>
              <w:rPr>
                <w:sz w:val="21"/>
              </w:rPr>
              <w:t>上。</w:t>
            </w:r>
          </w:p>
        </w:tc>
      </w:tr>
      <w:tr>
        <w:trPr>
          <w:trHeight w:val="1779" w:hRule="atLeast"/>
        </w:trPr>
        <w:tc>
          <w:tcPr>
            <w:tcW w:w="959" w:type="dxa"/>
          </w:tcPr>
          <w:p>
            <w:pPr>
              <w:pStyle w:val="TableParagraph"/>
              <w:spacing w:before="48"/>
              <w:ind w:left="108"/>
              <w:rPr>
                <w:b/>
                <w:sz w:val="21"/>
              </w:rPr>
            </w:pPr>
            <w:r>
              <w:rPr>
                <w:b/>
                <w:sz w:val="21"/>
              </w:rPr>
              <w:t>11.1.12</w:t>
            </w:r>
          </w:p>
        </w:tc>
        <w:tc>
          <w:tcPr>
            <w:tcW w:w="1492" w:type="dxa"/>
          </w:tcPr>
          <w:p>
            <w:pPr>
              <w:pStyle w:val="TableParagraph"/>
              <w:spacing w:before="48"/>
              <w:ind w:left="109"/>
              <w:rPr>
                <w:b/>
                <w:sz w:val="21"/>
              </w:rPr>
            </w:pPr>
            <w:r>
              <w:rPr>
                <w:b/>
                <w:sz w:val="21"/>
              </w:rPr>
              <w:t>听力严重受损</w:t>
            </w:r>
          </w:p>
        </w:tc>
        <w:tc>
          <w:tcPr>
            <w:tcW w:w="7093" w:type="dxa"/>
          </w:tcPr>
          <w:p>
            <w:pPr>
              <w:pStyle w:val="TableParagraph"/>
              <w:spacing w:before="48"/>
              <w:rPr>
                <w:sz w:val="21"/>
              </w:rPr>
            </w:pPr>
            <w:r>
              <w:rPr>
                <w:sz w:val="21"/>
              </w:rPr>
              <w:t>指因疾病或意外伤害导致一耳听力永久不可逆性丧失，在 500 赫兹、1000</w:t>
            </w:r>
          </w:p>
          <w:p>
            <w:pPr>
              <w:pStyle w:val="TableParagraph"/>
              <w:spacing w:line="273" w:lineRule="auto" w:before="36"/>
              <w:ind w:left="115" w:right="44" w:hanging="1"/>
              <w:rPr>
                <w:sz w:val="21"/>
              </w:rPr>
            </w:pPr>
            <w:r>
              <w:rPr>
                <w:spacing w:val="-13"/>
                <w:sz w:val="21"/>
              </w:rPr>
              <w:t>赫兹和 </w:t>
            </w:r>
            <w:r>
              <w:rPr>
                <w:sz w:val="21"/>
              </w:rPr>
              <w:t>2000</w:t>
            </w:r>
            <w:r>
              <w:rPr>
                <w:spacing w:val="-12"/>
                <w:sz w:val="21"/>
              </w:rPr>
              <w:t> 赫兹语音频率下，平均听阈大于 </w:t>
            </w:r>
            <w:r>
              <w:rPr>
                <w:sz w:val="21"/>
              </w:rPr>
              <w:t>90</w:t>
            </w:r>
            <w:r>
              <w:rPr>
                <w:spacing w:val="-8"/>
                <w:sz w:val="21"/>
              </w:rPr>
              <w:t> 分贝，且经纯音听力测试、</w:t>
            </w:r>
            <w:r>
              <w:rPr>
                <w:spacing w:val="-5"/>
                <w:sz w:val="21"/>
              </w:rPr>
              <w:t>声导抗检测或听觉诱发电位检测等证实。</w:t>
            </w:r>
          </w:p>
          <w:p>
            <w:pPr>
              <w:pStyle w:val="TableParagraph"/>
              <w:spacing w:line="273" w:lineRule="auto" w:before="84"/>
              <w:ind w:left="115" w:right="43"/>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6" w:hRule="atLeast"/>
        </w:trPr>
        <w:tc>
          <w:tcPr>
            <w:tcW w:w="959" w:type="dxa"/>
          </w:tcPr>
          <w:p>
            <w:pPr>
              <w:pStyle w:val="TableParagraph"/>
              <w:spacing w:before="50"/>
              <w:ind w:left="108"/>
              <w:rPr>
                <w:b/>
                <w:sz w:val="21"/>
              </w:rPr>
            </w:pPr>
            <w:r>
              <w:rPr>
                <w:b/>
                <w:sz w:val="21"/>
              </w:rPr>
              <w:t>11.1.13</w:t>
            </w:r>
          </w:p>
        </w:tc>
        <w:tc>
          <w:tcPr>
            <w:tcW w:w="1492" w:type="dxa"/>
          </w:tcPr>
          <w:p>
            <w:pPr>
              <w:pStyle w:val="TableParagraph"/>
              <w:spacing w:line="273" w:lineRule="auto" w:before="50"/>
              <w:ind w:left="109" w:right="113"/>
              <w:rPr>
                <w:b/>
                <w:sz w:val="21"/>
              </w:rPr>
            </w:pPr>
            <w:r>
              <w:rPr>
                <w:b/>
                <w:sz w:val="21"/>
              </w:rPr>
              <w:t>脑外伤开颅手术</w:t>
            </w:r>
          </w:p>
        </w:tc>
        <w:tc>
          <w:tcPr>
            <w:tcW w:w="7093" w:type="dxa"/>
          </w:tcPr>
          <w:p>
            <w:pPr>
              <w:pStyle w:val="TableParagraph"/>
              <w:spacing w:line="273" w:lineRule="auto" w:before="50"/>
              <w:ind w:right="101"/>
              <w:rPr>
                <w:sz w:val="21"/>
              </w:rPr>
            </w:pPr>
            <w:r>
              <w:rPr>
                <w:spacing w:val="-8"/>
                <w:sz w:val="21"/>
              </w:rPr>
              <w:t>因头部遭受机械性外力，引起脑重要部位损伤，并实际接受了全麻下颅骨切</w:t>
            </w:r>
            <w:r>
              <w:rPr>
                <w:spacing w:val="-5"/>
                <w:sz w:val="21"/>
              </w:rPr>
              <w:t>开颅内血肿清除术</w:t>
            </w:r>
            <w:r>
              <w:rPr>
                <w:rFonts w:ascii="黑体" w:eastAsia="黑体" w:hint="eastAsia"/>
                <w:spacing w:val="-3"/>
                <w:sz w:val="21"/>
              </w:rPr>
              <w:t>（颅骨钻孔术除外</w:t>
            </w:r>
            <w:r>
              <w:rPr>
                <w:rFonts w:ascii="黑体" w:eastAsia="黑体" w:hint="eastAsia"/>
                <w:spacing w:val="-107"/>
                <w:sz w:val="21"/>
              </w:rPr>
              <w:t>）</w:t>
            </w:r>
            <w:r>
              <w:rPr>
                <w:sz w:val="21"/>
              </w:rPr>
              <w:t>。</w:t>
            </w:r>
          </w:p>
        </w:tc>
      </w:tr>
      <w:tr>
        <w:trPr>
          <w:trHeight w:val="1077" w:hRule="atLeast"/>
        </w:trPr>
        <w:tc>
          <w:tcPr>
            <w:tcW w:w="959" w:type="dxa"/>
          </w:tcPr>
          <w:p>
            <w:pPr>
              <w:pStyle w:val="TableParagraph"/>
              <w:spacing w:before="48"/>
              <w:ind w:left="108"/>
              <w:rPr>
                <w:b/>
                <w:sz w:val="21"/>
              </w:rPr>
            </w:pPr>
            <w:r>
              <w:rPr>
                <w:b/>
                <w:sz w:val="21"/>
              </w:rPr>
              <w:t>11.1.14</w:t>
            </w:r>
          </w:p>
        </w:tc>
        <w:tc>
          <w:tcPr>
            <w:tcW w:w="1492" w:type="dxa"/>
          </w:tcPr>
          <w:p>
            <w:pPr>
              <w:pStyle w:val="TableParagraph"/>
              <w:spacing w:line="273" w:lineRule="auto" w:before="48"/>
              <w:ind w:left="109" w:right="113"/>
              <w:rPr>
                <w:b/>
                <w:sz w:val="21"/>
              </w:rPr>
            </w:pPr>
            <w:r>
              <w:rPr>
                <w:b/>
                <w:sz w:val="21"/>
              </w:rPr>
              <w:t>轻度原发性肺动脉高压</w:t>
            </w:r>
          </w:p>
        </w:tc>
        <w:tc>
          <w:tcPr>
            <w:tcW w:w="7093" w:type="dxa"/>
          </w:tcPr>
          <w:p>
            <w:pPr>
              <w:pStyle w:val="TableParagraph"/>
              <w:spacing w:line="273" w:lineRule="auto" w:before="48"/>
              <w:ind w:right="101"/>
              <w:rPr>
                <w:sz w:val="21"/>
              </w:rPr>
            </w:pPr>
            <w:r>
              <w:rPr>
                <w:spacing w:val="-6"/>
                <w:sz w:val="21"/>
              </w:rPr>
              <w:t>指由于原发性肺动脉高压进行性发展而导致右心室肥厚，已经造成永久不可</w:t>
            </w:r>
            <w:r>
              <w:rPr>
                <w:spacing w:val="-4"/>
                <w:sz w:val="21"/>
              </w:rPr>
              <w:t>逆性的体力活动能力受限，达到美国纽约心脏病学会心功能状态分级 </w:t>
            </w:r>
            <w:r>
              <w:rPr>
                <w:spacing w:val="-3"/>
                <w:sz w:val="21"/>
              </w:rPr>
              <w:t>III </w:t>
            </w:r>
            <w:r>
              <w:rPr>
                <w:spacing w:val="-5"/>
                <w:sz w:val="21"/>
              </w:rPr>
              <w:t>级，且静息状态下肺动脉平均压超过 </w:t>
            </w:r>
            <w:r>
              <w:rPr>
                <w:sz w:val="21"/>
              </w:rPr>
              <w:t>25mmHg。</w:t>
            </w:r>
          </w:p>
        </w:tc>
      </w:tr>
      <w:tr>
        <w:trPr>
          <w:trHeight w:val="2162" w:hRule="atLeast"/>
        </w:trPr>
        <w:tc>
          <w:tcPr>
            <w:tcW w:w="959" w:type="dxa"/>
          </w:tcPr>
          <w:p>
            <w:pPr>
              <w:pStyle w:val="TableParagraph"/>
              <w:spacing w:before="48"/>
              <w:ind w:left="108"/>
              <w:rPr>
                <w:b/>
                <w:sz w:val="21"/>
              </w:rPr>
            </w:pPr>
            <w:r>
              <w:rPr>
                <w:b/>
                <w:sz w:val="21"/>
              </w:rPr>
              <w:t>11.1.15</w:t>
            </w:r>
          </w:p>
        </w:tc>
        <w:tc>
          <w:tcPr>
            <w:tcW w:w="1492" w:type="dxa"/>
          </w:tcPr>
          <w:p>
            <w:pPr>
              <w:pStyle w:val="TableParagraph"/>
              <w:spacing w:line="273" w:lineRule="auto" w:before="48"/>
              <w:ind w:left="109" w:right="113"/>
              <w:rPr>
                <w:b/>
                <w:sz w:val="21"/>
              </w:rPr>
            </w:pPr>
            <w:r>
              <w:rPr>
                <w:b/>
                <w:sz w:val="21"/>
              </w:rPr>
              <w:t>轻症再生障碍性贫血</w:t>
            </w:r>
          </w:p>
        </w:tc>
        <w:tc>
          <w:tcPr>
            <w:tcW w:w="7093" w:type="dxa"/>
          </w:tcPr>
          <w:p>
            <w:pPr>
              <w:pStyle w:val="TableParagraph"/>
              <w:spacing w:line="273" w:lineRule="auto" w:before="48"/>
              <w:ind w:right="101"/>
              <w:rPr>
                <w:sz w:val="21"/>
              </w:rPr>
            </w:pPr>
            <w:r>
              <w:rPr>
                <w:spacing w:val="-7"/>
                <w:sz w:val="21"/>
              </w:rPr>
              <w:t>由急性及可逆转骨髓衰竭所导致的贫血、嗜中性白血球减少症及血小板减少</w:t>
            </w:r>
            <w:r>
              <w:rPr>
                <w:spacing w:val="-5"/>
                <w:sz w:val="21"/>
              </w:rPr>
              <w:t>症而必须接受下列一种或以上的治疗：</w:t>
            </w:r>
          </w:p>
          <w:p>
            <w:pPr>
              <w:pStyle w:val="TableParagraph"/>
              <w:spacing w:before="7"/>
              <w:rPr>
                <w:sz w:val="21"/>
              </w:rPr>
            </w:pPr>
            <w:r>
              <w:rPr>
                <w:sz w:val="21"/>
              </w:rPr>
              <w:t>(1)骨髓刺激药剂治疗最少 1 个月；</w:t>
            </w:r>
          </w:p>
          <w:p>
            <w:pPr>
              <w:pStyle w:val="TableParagraph"/>
              <w:spacing w:before="37"/>
              <w:rPr>
                <w:sz w:val="21"/>
              </w:rPr>
            </w:pPr>
            <w:r>
              <w:rPr>
                <w:sz w:val="21"/>
              </w:rPr>
              <w:t>(2)免疫抑制剂治疗最少 1 个月；</w:t>
            </w:r>
          </w:p>
          <w:p>
            <w:pPr>
              <w:pStyle w:val="TableParagraph"/>
              <w:spacing w:before="37"/>
              <w:rPr>
                <w:sz w:val="21"/>
              </w:rPr>
            </w:pPr>
            <w:r>
              <w:rPr>
                <w:sz w:val="21"/>
              </w:rPr>
              <w:t>(3)骨髓移植。</w:t>
            </w:r>
          </w:p>
          <w:p>
            <w:pPr>
              <w:pStyle w:val="TableParagraph"/>
              <w:spacing w:before="114"/>
              <w:rPr>
                <w:sz w:val="21"/>
              </w:rPr>
            </w:pPr>
            <w:r>
              <w:rPr>
                <w:sz w:val="21"/>
              </w:rPr>
              <w:t>诊断必须由专科医生证实。</w:t>
            </w:r>
          </w:p>
        </w:tc>
      </w:tr>
      <w:tr>
        <w:trPr>
          <w:trHeight w:val="312" w:hRule="atLeast"/>
        </w:trPr>
        <w:tc>
          <w:tcPr>
            <w:tcW w:w="959" w:type="dxa"/>
            <w:shd w:val="clear" w:color="auto" w:fill="A7A8A7"/>
          </w:tcPr>
          <w:p>
            <w:pPr>
              <w:pStyle w:val="TableParagraph"/>
              <w:spacing w:line="254" w:lineRule="exact"/>
              <w:ind w:left="108"/>
              <w:rPr>
                <w:b/>
                <w:sz w:val="21"/>
              </w:rPr>
            </w:pPr>
            <w:r>
              <w:rPr>
                <w:b/>
                <w:sz w:val="21"/>
              </w:rPr>
              <w:t>12．</w:t>
            </w:r>
          </w:p>
        </w:tc>
        <w:tc>
          <w:tcPr>
            <w:tcW w:w="8585" w:type="dxa"/>
            <w:gridSpan w:val="2"/>
            <w:shd w:val="clear" w:color="auto" w:fill="A7A8A7"/>
          </w:tcPr>
          <w:p>
            <w:pPr>
              <w:pStyle w:val="TableParagraph"/>
              <w:spacing w:line="254" w:lineRule="exact"/>
              <w:ind w:left="128"/>
              <w:rPr>
                <w:b/>
                <w:sz w:val="21"/>
              </w:rPr>
            </w:pPr>
            <w:r>
              <w:rPr>
                <w:b/>
                <w:sz w:val="21"/>
              </w:rPr>
              <w:t>特定癌症的定义</w:t>
            </w:r>
          </w:p>
        </w:tc>
      </w:tr>
      <w:tr>
        <w:trPr>
          <w:trHeight w:val="1149" w:hRule="atLeast"/>
        </w:trPr>
        <w:tc>
          <w:tcPr>
            <w:tcW w:w="959" w:type="dxa"/>
          </w:tcPr>
          <w:p>
            <w:pPr>
              <w:pStyle w:val="TableParagraph"/>
              <w:spacing w:before="120"/>
              <w:ind w:left="108"/>
              <w:rPr>
                <w:b/>
                <w:sz w:val="21"/>
              </w:rPr>
            </w:pPr>
            <w:r>
              <w:rPr>
                <w:b/>
                <w:sz w:val="21"/>
              </w:rPr>
              <w:t>12.1</w:t>
            </w:r>
          </w:p>
        </w:tc>
        <w:tc>
          <w:tcPr>
            <w:tcW w:w="1492" w:type="dxa"/>
          </w:tcPr>
          <w:p>
            <w:pPr>
              <w:pStyle w:val="TableParagraph"/>
              <w:spacing w:line="273" w:lineRule="auto" w:before="120"/>
              <w:ind w:left="109" w:right="113"/>
              <w:rPr>
                <w:b/>
                <w:sz w:val="21"/>
              </w:rPr>
            </w:pPr>
            <w:r>
              <w:rPr>
                <w:b/>
                <w:sz w:val="21"/>
              </w:rPr>
              <w:t>特定癌症的定义</w:t>
            </w:r>
          </w:p>
        </w:tc>
        <w:tc>
          <w:tcPr>
            <w:tcW w:w="7093" w:type="dxa"/>
          </w:tcPr>
          <w:p>
            <w:pPr>
              <w:pStyle w:val="TableParagraph"/>
              <w:spacing w:line="273" w:lineRule="auto" w:before="120"/>
              <w:ind w:right="102" w:firstLine="2"/>
              <w:jc w:val="both"/>
              <w:rPr>
                <w:sz w:val="21"/>
              </w:rPr>
            </w:pPr>
            <w:r>
              <w:rPr>
                <w:sz w:val="21"/>
              </w:rPr>
              <w:t>本合同所保障的特定癌症是指被保险人在本合同有效期间内经专科医生明确诊断初次患下列疾病或初次达到下列疾病状态或在医院初次接受下列手术：</w:t>
            </w:r>
          </w:p>
        </w:tc>
      </w:tr>
      <w:tr>
        <w:trPr>
          <w:trHeight w:val="765" w:hRule="atLeast"/>
        </w:trPr>
        <w:tc>
          <w:tcPr>
            <w:tcW w:w="959" w:type="dxa"/>
          </w:tcPr>
          <w:p>
            <w:pPr>
              <w:pStyle w:val="TableParagraph"/>
              <w:spacing w:before="48"/>
              <w:ind w:left="108"/>
              <w:rPr>
                <w:b/>
                <w:sz w:val="21"/>
              </w:rPr>
            </w:pPr>
            <w:r>
              <w:rPr>
                <w:b/>
                <w:sz w:val="21"/>
              </w:rPr>
              <w:t>12.1.1</w:t>
            </w:r>
          </w:p>
        </w:tc>
        <w:tc>
          <w:tcPr>
            <w:tcW w:w="1492" w:type="dxa"/>
          </w:tcPr>
          <w:p>
            <w:pPr>
              <w:pStyle w:val="TableParagraph"/>
              <w:spacing w:line="273" w:lineRule="auto" w:before="48"/>
              <w:ind w:left="109" w:right="113"/>
              <w:rPr>
                <w:b/>
                <w:sz w:val="21"/>
              </w:rPr>
            </w:pPr>
            <w:r>
              <w:rPr>
                <w:b/>
                <w:sz w:val="21"/>
              </w:rPr>
              <w:t>男性特定部位癌症</w:t>
            </w:r>
          </w:p>
        </w:tc>
        <w:tc>
          <w:tcPr>
            <w:tcW w:w="7093" w:type="dxa"/>
          </w:tcPr>
          <w:p>
            <w:pPr>
              <w:pStyle w:val="TableParagraph"/>
              <w:spacing w:line="273" w:lineRule="auto" w:before="48"/>
              <w:ind w:right="107" w:firstLine="2"/>
              <w:rPr>
                <w:rFonts w:ascii="黑体" w:hAnsi="黑体" w:eastAsia="黑体" w:hint="eastAsia"/>
                <w:sz w:val="21"/>
              </w:rPr>
            </w:pPr>
            <w:r>
              <w:rPr>
                <w:spacing w:val="-8"/>
                <w:sz w:val="21"/>
              </w:rPr>
              <w:t>是指原发于男性前列腺、阴茎、睾丸、附睾和输精管的恶性肿瘤，</w:t>
            </w:r>
            <w:r>
              <w:rPr>
                <w:rFonts w:ascii="黑体" w:hAnsi="黑体" w:eastAsia="黑体" w:hint="eastAsia"/>
                <w:spacing w:val="-6"/>
                <w:sz w:val="21"/>
              </w:rPr>
              <w:t>其中“恶</w:t>
            </w:r>
            <w:r>
              <w:rPr>
                <w:rFonts w:ascii="黑体" w:hAnsi="黑体" w:eastAsia="黑体" w:hint="eastAsia"/>
                <w:spacing w:val="-9"/>
                <w:sz w:val="21"/>
              </w:rPr>
              <w:t>性肿瘤”须符合 </w:t>
            </w:r>
            <w:r>
              <w:rPr>
                <w:rFonts w:ascii="黑体" w:hAnsi="黑体" w:eastAsia="黑体" w:hint="eastAsia"/>
                <w:sz w:val="21"/>
              </w:rPr>
              <w:t>10.1.1</w:t>
            </w:r>
            <w:r>
              <w:rPr>
                <w:rFonts w:ascii="黑体" w:hAnsi="黑体" w:eastAsia="黑体" w:hint="eastAsia"/>
                <w:spacing w:val="-12"/>
                <w:sz w:val="21"/>
              </w:rPr>
              <w:t> 的定义。</w:t>
            </w:r>
          </w:p>
        </w:tc>
      </w:tr>
      <w:tr>
        <w:trPr>
          <w:trHeight w:val="835" w:hRule="atLeast"/>
        </w:trPr>
        <w:tc>
          <w:tcPr>
            <w:tcW w:w="959" w:type="dxa"/>
          </w:tcPr>
          <w:p>
            <w:pPr>
              <w:pStyle w:val="TableParagraph"/>
              <w:spacing w:before="48"/>
              <w:ind w:left="108"/>
              <w:rPr>
                <w:b/>
                <w:sz w:val="21"/>
              </w:rPr>
            </w:pPr>
            <w:r>
              <w:rPr>
                <w:b/>
                <w:sz w:val="21"/>
              </w:rPr>
              <w:t>12.1.2</w:t>
            </w:r>
          </w:p>
        </w:tc>
        <w:tc>
          <w:tcPr>
            <w:tcW w:w="1492" w:type="dxa"/>
          </w:tcPr>
          <w:p>
            <w:pPr>
              <w:pStyle w:val="TableParagraph"/>
              <w:spacing w:line="273" w:lineRule="auto" w:before="48"/>
              <w:ind w:left="109" w:right="113"/>
              <w:rPr>
                <w:b/>
                <w:sz w:val="21"/>
              </w:rPr>
            </w:pPr>
            <w:r>
              <w:rPr>
                <w:b/>
                <w:sz w:val="21"/>
              </w:rPr>
              <w:t>女性特定部位癌症</w:t>
            </w:r>
          </w:p>
        </w:tc>
        <w:tc>
          <w:tcPr>
            <w:tcW w:w="7093" w:type="dxa"/>
          </w:tcPr>
          <w:p>
            <w:pPr>
              <w:pStyle w:val="TableParagraph"/>
              <w:spacing w:before="48"/>
              <w:ind w:left="117" w:right="-15"/>
              <w:rPr>
                <w:sz w:val="21"/>
              </w:rPr>
            </w:pPr>
            <w:r>
              <w:rPr>
                <w:spacing w:val="-15"/>
                <w:sz w:val="21"/>
              </w:rPr>
              <w:t>是指原发于女性乳腺、子宫、宫颈、卵巢、输卵管、阴道和外阴的恶性肿瘤，</w:t>
            </w:r>
          </w:p>
          <w:p>
            <w:pPr>
              <w:pStyle w:val="TableParagraph"/>
              <w:spacing w:before="36"/>
              <w:rPr>
                <w:rFonts w:ascii="黑体" w:hAnsi="黑体" w:eastAsia="黑体" w:hint="eastAsia"/>
                <w:sz w:val="21"/>
              </w:rPr>
            </w:pPr>
            <w:r>
              <w:rPr>
                <w:rFonts w:ascii="黑体" w:hAnsi="黑体" w:eastAsia="黑体" w:hint="eastAsia"/>
                <w:sz w:val="21"/>
              </w:rPr>
              <w:t>其中“恶性肿瘤”须符合 10.1.1 的定义。</w:t>
            </w:r>
          </w:p>
        </w:tc>
      </w:tr>
      <w:tr>
        <w:trPr>
          <w:trHeight w:val="312" w:hRule="atLeast"/>
        </w:trPr>
        <w:tc>
          <w:tcPr>
            <w:tcW w:w="959" w:type="dxa"/>
            <w:shd w:val="clear" w:color="auto" w:fill="A7A8A7"/>
          </w:tcPr>
          <w:p>
            <w:pPr>
              <w:pStyle w:val="TableParagraph"/>
              <w:spacing w:line="254" w:lineRule="exact"/>
              <w:ind w:left="108"/>
              <w:rPr>
                <w:b/>
                <w:sz w:val="21"/>
              </w:rPr>
            </w:pPr>
            <w:r>
              <w:rPr>
                <w:b/>
                <w:sz w:val="21"/>
              </w:rPr>
              <w:t>13．</w:t>
            </w:r>
          </w:p>
        </w:tc>
        <w:tc>
          <w:tcPr>
            <w:tcW w:w="1492" w:type="dxa"/>
            <w:shd w:val="clear" w:color="auto" w:fill="A7A8A7"/>
          </w:tcPr>
          <w:p>
            <w:pPr>
              <w:pStyle w:val="TableParagraph"/>
              <w:spacing w:line="254" w:lineRule="exact"/>
              <w:ind w:left="109"/>
              <w:rPr>
                <w:b/>
                <w:sz w:val="21"/>
              </w:rPr>
            </w:pPr>
            <w:r>
              <w:rPr>
                <w:b/>
                <w:sz w:val="21"/>
              </w:rPr>
              <w:t>释义</w:t>
            </w:r>
          </w:p>
        </w:tc>
        <w:tc>
          <w:tcPr>
            <w:tcW w:w="7093" w:type="dxa"/>
            <w:shd w:val="clear" w:color="auto" w:fill="A7A8A7"/>
          </w:tcPr>
          <w:p>
            <w:pPr>
              <w:pStyle w:val="TableParagraph"/>
              <w:ind w:left="0"/>
              <w:rPr>
                <w:rFonts w:ascii="Times New Roman"/>
                <w:sz w:val="20"/>
              </w:rPr>
            </w:pPr>
          </w:p>
        </w:tc>
      </w:tr>
      <w:tr>
        <w:trPr>
          <w:trHeight w:val="838" w:hRule="atLeast"/>
        </w:trPr>
        <w:tc>
          <w:tcPr>
            <w:tcW w:w="959" w:type="dxa"/>
          </w:tcPr>
          <w:p>
            <w:pPr>
              <w:pStyle w:val="TableParagraph"/>
              <w:spacing w:before="120"/>
              <w:ind w:left="108"/>
              <w:rPr>
                <w:b/>
                <w:sz w:val="21"/>
              </w:rPr>
            </w:pPr>
            <w:r>
              <w:rPr>
                <w:b/>
                <w:sz w:val="21"/>
              </w:rPr>
              <w:t>13.1</w:t>
            </w:r>
          </w:p>
        </w:tc>
        <w:tc>
          <w:tcPr>
            <w:tcW w:w="1492" w:type="dxa"/>
          </w:tcPr>
          <w:p>
            <w:pPr>
              <w:pStyle w:val="TableParagraph"/>
              <w:spacing w:before="120"/>
              <w:ind w:left="109"/>
              <w:rPr>
                <w:b/>
                <w:sz w:val="21"/>
              </w:rPr>
            </w:pPr>
            <w:r>
              <w:rPr>
                <w:b/>
                <w:sz w:val="21"/>
              </w:rPr>
              <w:t>保单年度</w:t>
            </w:r>
          </w:p>
        </w:tc>
        <w:tc>
          <w:tcPr>
            <w:tcW w:w="7093" w:type="dxa"/>
          </w:tcPr>
          <w:p>
            <w:pPr>
              <w:pStyle w:val="TableParagraph"/>
              <w:spacing w:line="273" w:lineRule="auto" w:before="120"/>
              <w:ind w:right="35" w:hanging="1"/>
              <w:rPr>
                <w:sz w:val="21"/>
              </w:rPr>
            </w:pPr>
            <w:r>
              <w:rPr>
                <w:sz w:val="21"/>
              </w:rPr>
              <w:t>从本合同生效日或保单周年日的零时起至下一个保单周年日前一日的 24 时止为一个保单年度。</w:t>
            </w:r>
          </w:p>
        </w:tc>
      </w:tr>
      <w:tr>
        <w:trPr>
          <w:trHeight w:val="766" w:hRule="atLeast"/>
        </w:trPr>
        <w:tc>
          <w:tcPr>
            <w:tcW w:w="959" w:type="dxa"/>
          </w:tcPr>
          <w:p>
            <w:pPr>
              <w:pStyle w:val="TableParagraph"/>
              <w:spacing w:before="50"/>
              <w:ind w:left="108"/>
              <w:rPr>
                <w:b/>
                <w:sz w:val="21"/>
              </w:rPr>
            </w:pPr>
            <w:r>
              <w:rPr>
                <w:b/>
                <w:sz w:val="21"/>
              </w:rPr>
              <w:t>13.2</w:t>
            </w:r>
          </w:p>
        </w:tc>
        <w:tc>
          <w:tcPr>
            <w:tcW w:w="1492" w:type="dxa"/>
          </w:tcPr>
          <w:p>
            <w:pPr>
              <w:pStyle w:val="TableParagraph"/>
              <w:spacing w:before="50"/>
              <w:ind w:left="109"/>
              <w:rPr>
                <w:b/>
                <w:sz w:val="21"/>
              </w:rPr>
            </w:pPr>
            <w:r>
              <w:rPr>
                <w:b/>
                <w:sz w:val="21"/>
              </w:rPr>
              <w:t>保单周年日</w:t>
            </w:r>
          </w:p>
        </w:tc>
        <w:tc>
          <w:tcPr>
            <w:tcW w:w="7093" w:type="dxa"/>
          </w:tcPr>
          <w:p>
            <w:pPr>
              <w:pStyle w:val="TableParagraph"/>
              <w:spacing w:line="273" w:lineRule="auto" w:before="50"/>
              <w:ind w:right="44"/>
              <w:rPr>
                <w:sz w:val="21"/>
              </w:rPr>
            </w:pPr>
            <w:r>
              <w:rPr>
                <w:sz w:val="21"/>
              </w:rPr>
              <w:t>指本合同生效日在合同生效后每年的对应日，不含合同生效日当日。如果当月没有对应的同一日，则以下个月第一日为对应日。</w:t>
            </w:r>
          </w:p>
        </w:tc>
      </w:tr>
      <w:tr>
        <w:trPr>
          <w:trHeight w:val="1077" w:hRule="atLeast"/>
        </w:trPr>
        <w:tc>
          <w:tcPr>
            <w:tcW w:w="959" w:type="dxa"/>
          </w:tcPr>
          <w:p>
            <w:pPr>
              <w:pStyle w:val="TableParagraph"/>
              <w:spacing w:before="48"/>
              <w:ind w:left="108"/>
              <w:rPr>
                <w:b/>
                <w:sz w:val="21"/>
              </w:rPr>
            </w:pPr>
            <w:r>
              <w:rPr>
                <w:b/>
                <w:sz w:val="21"/>
              </w:rPr>
              <w:t>13.3</w:t>
            </w:r>
          </w:p>
        </w:tc>
        <w:tc>
          <w:tcPr>
            <w:tcW w:w="1492" w:type="dxa"/>
          </w:tcPr>
          <w:p>
            <w:pPr>
              <w:pStyle w:val="TableParagraph"/>
              <w:spacing w:line="273" w:lineRule="auto" w:before="48"/>
              <w:ind w:left="109" w:right="113"/>
              <w:rPr>
                <w:b/>
                <w:sz w:val="21"/>
              </w:rPr>
            </w:pPr>
            <w:r>
              <w:rPr>
                <w:b/>
                <w:sz w:val="21"/>
              </w:rPr>
              <w:t>保险费约定支付日</w:t>
            </w:r>
          </w:p>
        </w:tc>
        <w:tc>
          <w:tcPr>
            <w:tcW w:w="7093" w:type="dxa"/>
          </w:tcPr>
          <w:p>
            <w:pPr>
              <w:pStyle w:val="TableParagraph"/>
              <w:spacing w:line="273" w:lineRule="auto" w:before="48"/>
              <w:ind w:right="101"/>
              <w:jc w:val="both"/>
              <w:rPr>
                <w:sz w:val="21"/>
              </w:rPr>
            </w:pPr>
            <w:r>
              <w:rPr>
                <w:spacing w:val="-6"/>
                <w:sz w:val="21"/>
              </w:rPr>
              <w:t>指保险费交费期间内本合同生效日在每月、每季、每半年或每年</w:t>
            </w:r>
            <w:r>
              <w:rPr>
                <w:sz w:val="21"/>
              </w:rPr>
              <w:t>（</w:t>
            </w:r>
            <w:r>
              <w:rPr>
                <w:spacing w:val="-3"/>
                <w:sz w:val="21"/>
              </w:rPr>
              <w:t>根据交费方式确定</w:t>
            </w:r>
            <w:r>
              <w:rPr>
                <w:spacing w:val="-20"/>
                <w:sz w:val="21"/>
              </w:rPr>
              <w:t>）</w:t>
            </w:r>
            <w:r>
              <w:rPr>
                <w:spacing w:val="-8"/>
                <w:sz w:val="21"/>
              </w:rPr>
              <w:t>的对应日。若当月没有对应的同一日，则以该月最后一日为对应</w:t>
            </w:r>
            <w:r>
              <w:rPr>
                <w:sz w:val="21"/>
              </w:rPr>
              <w:t>日。</w:t>
            </w:r>
          </w:p>
        </w:tc>
      </w:tr>
      <w:tr>
        <w:trPr>
          <w:trHeight w:val="765" w:hRule="atLeast"/>
        </w:trPr>
        <w:tc>
          <w:tcPr>
            <w:tcW w:w="959" w:type="dxa"/>
          </w:tcPr>
          <w:p>
            <w:pPr>
              <w:pStyle w:val="TableParagraph"/>
              <w:spacing w:before="48"/>
              <w:ind w:left="108"/>
              <w:rPr>
                <w:b/>
                <w:sz w:val="21"/>
              </w:rPr>
            </w:pPr>
            <w:r>
              <w:rPr>
                <w:b/>
                <w:sz w:val="21"/>
              </w:rPr>
              <w:t>13.4</w:t>
            </w:r>
          </w:p>
        </w:tc>
        <w:tc>
          <w:tcPr>
            <w:tcW w:w="1492" w:type="dxa"/>
          </w:tcPr>
          <w:p>
            <w:pPr>
              <w:pStyle w:val="TableParagraph"/>
              <w:spacing w:before="48"/>
              <w:ind w:left="109"/>
              <w:rPr>
                <w:b/>
                <w:sz w:val="21"/>
              </w:rPr>
            </w:pPr>
            <w:r>
              <w:rPr>
                <w:b/>
                <w:sz w:val="21"/>
              </w:rPr>
              <w:t>周岁</w:t>
            </w:r>
          </w:p>
        </w:tc>
        <w:tc>
          <w:tcPr>
            <w:tcW w:w="7093" w:type="dxa"/>
          </w:tcPr>
          <w:p>
            <w:pPr>
              <w:pStyle w:val="TableParagraph"/>
              <w:spacing w:line="273" w:lineRule="auto" w:before="48"/>
              <w:ind w:right="41"/>
              <w:rPr>
                <w:sz w:val="21"/>
              </w:rPr>
            </w:pPr>
            <w:r>
              <w:rPr>
                <w:sz w:val="21"/>
              </w:rPr>
              <w:t>指按有效身份证件中记载的出生日期计算的年龄，自出生之日起为零周岁， 每经过一年增加一岁，不足一年的不计。</w:t>
            </w:r>
          </w:p>
        </w:tc>
      </w:tr>
      <w:tr>
        <w:trPr>
          <w:trHeight w:val="644" w:hRule="atLeast"/>
        </w:trPr>
        <w:tc>
          <w:tcPr>
            <w:tcW w:w="959" w:type="dxa"/>
          </w:tcPr>
          <w:p>
            <w:pPr>
              <w:pStyle w:val="TableParagraph"/>
              <w:spacing w:before="48"/>
              <w:ind w:left="108"/>
              <w:rPr>
                <w:b/>
                <w:sz w:val="21"/>
              </w:rPr>
            </w:pPr>
            <w:r>
              <w:rPr>
                <w:b/>
                <w:sz w:val="21"/>
              </w:rPr>
              <w:t>13.5</w:t>
            </w:r>
          </w:p>
        </w:tc>
        <w:tc>
          <w:tcPr>
            <w:tcW w:w="1492" w:type="dxa"/>
          </w:tcPr>
          <w:p>
            <w:pPr>
              <w:pStyle w:val="TableParagraph"/>
              <w:spacing w:before="48"/>
              <w:ind w:left="109"/>
              <w:rPr>
                <w:b/>
                <w:sz w:val="21"/>
              </w:rPr>
            </w:pPr>
            <w:r>
              <w:rPr>
                <w:b/>
                <w:sz w:val="21"/>
              </w:rPr>
              <w:t>有效身份证件</w:t>
            </w:r>
          </w:p>
        </w:tc>
        <w:tc>
          <w:tcPr>
            <w:tcW w:w="7093" w:type="dxa"/>
          </w:tcPr>
          <w:p>
            <w:pPr>
              <w:pStyle w:val="TableParagraph"/>
              <w:spacing w:line="310" w:lineRule="atLeast" w:before="13"/>
              <w:ind w:right="44"/>
              <w:rPr>
                <w:sz w:val="21"/>
              </w:rPr>
            </w:pPr>
            <w:r>
              <w:rPr>
                <w:sz w:val="21"/>
              </w:rPr>
              <w:t>指由政府主管部门规定的证明其身份的证件，如：居民身份证、按规定可使用的有效护照、军官证、警官证等证件。</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572"/>
        <w:gridCol w:w="7379"/>
      </w:tblGrid>
      <w:tr>
        <w:trPr>
          <w:trHeight w:val="1657" w:hRule="atLeast"/>
        </w:trPr>
        <w:tc>
          <w:tcPr>
            <w:tcW w:w="884" w:type="dxa"/>
          </w:tcPr>
          <w:p>
            <w:pPr>
              <w:pStyle w:val="TableParagraph"/>
              <w:spacing w:line="202" w:lineRule="exact"/>
              <w:ind w:left="76" w:right="135"/>
              <w:jc w:val="center"/>
              <w:rPr>
                <w:b/>
                <w:sz w:val="21"/>
              </w:rPr>
            </w:pPr>
            <w:r>
              <w:rPr>
                <w:b/>
                <w:sz w:val="21"/>
              </w:rPr>
              <w:t>13.6</w:t>
            </w:r>
          </w:p>
        </w:tc>
        <w:tc>
          <w:tcPr>
            <w:tcW w:w="1572" w:type="dxa"/>
          </w:tcPr>
          <w:p>
            <w:pPr>
              <w:pStyle w:val="TableParagraph"/>
              <w:spacing w:line="202" w:lineRule="exact"/>
              <w:ind w:left="275"/>
              <w:rPr>
                <w:b/>
                <w:sz w:val="21"/>
              </w:rPr>
            </w:pPr>
            <w:r>
              <w:rPr>
                <w:b/>
                <w:sz w:val="21"/>
              </w:rPr>
              <w:t>意外伤害</w:t>
            </w:r>
          </w:p>
        </w:tc>
        <w:tc>
          <w:tcPr>
            <w:tcW w:w="7379" w:type="dxa"/>
          </w:tcPr>
          <w:p>
            <w:pPr>
              <w:pStyle w:val="TableParagraph"/>
              <w:spacing w:line="202" w:lineRule="exact"/>
              <w:ind w:left="201"/>
              <w:rPr>
                <w:sz w:val="21"/>
              </w:rPr>
            </w:pPr>
            <w:r>
              <w:rPr>
                <w:sz w:val="21"/>
              </w:rPr>
              <w:t>指遭受外来的、突发的、非本意的、非疾病的客观事件直接致使身体受到的</w:t>
            </w:r>
          </w:p>
          <w:p>
            <w:pPr>
              <w:pStyle w:val="TableParagraph"/>
              <w:spacing w:before="37"/>
              <w:ind w:left="201"/>
              <w:rPr>
                <w:sz w:val="21"/>
              </w:rPr>
            </w:pPr>
            <w:r>
              <w:rPr>
                <w:sz w:val="21"/>
              </w:rPr>
              <w:t>伤害。</w:t>
            </w:r>
          </w:p>
          <w:p>
            <w:pPr>
              <w:pStyle w:val="TableParagraph"/>
              <w:spacing w:line="273" w:lineRule="auto" w:before="114"/>
              <w:ind w:left="201" w:right="301"/>
              <w:jc w:val="both"/>
              <w:rPr>
                <w:sz w:val="21"/>
              </w:rPr>
            </w:pPr>
            <w:r>
              <w:rPr>
                <w:sz w:val="21"/>
              </w:rPr>
              <w:t>本合同所述的意外伤害导致的身故，</w:t>
            </w:r>
            <w:r>
              <w:rPr>
                <w:rFonts w:ascii="黑体" w:hAnsi="黑体" w:eastAsia="黑体" w:hint="eastAsia"/>
                <w:sz w:val="21"/>
              </w:rPr>
              <w:t>不包括猝死</w:t>
            </w:r>
            <w:r>
              <w:rPr>
                <w:spacing w:val="-11"/>
                <w:sz w:val="21"/>
              </w:rPr>
              <w:t>。“猝死”是指貌似健康的</w:t>
            </w:r>
            <w:r>
              <w:rPr>
                <w:spacing w:val="-7"/>
                <w:sz w:val="21"/>
              </w:rPr>
              <w:t>人因潜在疾病、机能障碍或其他原因在出现症状后 </w:t>
            </w:r>
            <w:r>
              <w:rPr>
                <w:sz w:val="21"/>
              </w:rPr>
              <w:t>24</w:t>
            </w:r>
            <w:r>
              <w:rPr>
                <w:spacing w:val="-5"/>
                <w:sz w:val="21"/>
              </w:rPr>
              <w:t> 小时内发生的非暴力</w:t>
            </w:r>
            <w:r>
              <w:rPr>
                <w:spacing w:val="-4"/>
                <w:sz w:val="21"/>
              </w:rPr>
              <w:t>性突然死亡。</w:t>
            </w:r>
          </w:p>
        </w:tc>
      </w:tr>
      <w:tr>
        <w:trPr>
          <w:trHeight w:val="1390" w:hRule="atLeast"/>
        </w:trPr>
        <w:tc>
          <w:tcPr>
            <w:tcW w:w="884" w:type="dxa"/>
          </w:tcPr>
          <w:p>
            <w:pPr>
              <w:pStyle w:val="TableParagraph"/>
              <w:spacing w:before="49"/>
              <w:ind w:left="76" w:right="135"/>
              <w:jc w:val="center"/>
              <w:rPr>
                <w:b/>
                <w:sz w:val="21"/>
              </w:rPr>
            </w:pPr>
            <w:r>
              <w:rPr>
                <w:b/>
                <w:sz w:val="21"/>
              </w:rPr>
              <w:t>13.7</w:t>
            </w:r>
          </w:p>
        </w:tc>
        <w:tc>
          <w:tcPr>
            <w:tcW w:w="1572" w:type="dxa"/>
          </w:tcPr>
          <w:p>
            <w:pPr>
              <w:pStyle w:val="TableParagraph"/>
              <w:spacing w:before="49"/>
              <w:ind w:left="168"/>
              <w:rPr>
                <w:b/>
                <w:sz w:val="21"/>
              </w:rPr>
            </w:pPr>
            <w:r>
              <w:rPr>
                <w:b/>
                <w:sz w:val="21"/>
              </w:rPr>
              <w:t>约定医院</w:t>
            </w:r>
          </w:p>
        </w:tc>
        <w:tc>
          <w:tcPr>
            <w:tcW w:w="7379" w:type="dxa"/>
          </w:tcPr>
          <w:p>
            <w:pPr>
              <w:pStyle w:val="TableParagraph"/>
              <w:spacing w:line="273" w:lineRule="auto" w:before="49"/>
              <w:ind w:left="148" w:right="298"/>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7863" w:hRule="atLeast"/>
        </w:trPr>
        <w:tc>
          <w:tcPr>
            <w:tcW w:w="884" w:type="dxa"/>
          </w:tcPr>
          <w:p>
            <w:pPr>
              <w:pStyle w:val="TableParagraph"/>
              <w:spacing w:before="50"/>
              <w:ind w:left="76" w:right="135"/>
              <w:jc w:val="center"/>
              <w:rPr>
                <w:b/>
                <w:sz w:val="21"/>
              </w:rPr>
            </w:pPr>
            <w:r>
              <w:rPr>
                <w:b/>
                <w:sz w:val="21"/>
              </w:rPr>
              <w:t>13.8</w:t>
            </w:r>
          </w:p>
        </w:tc>
        <w:tc>
          <w:tcPr>
            <w:tcW w:w="1572" w:type="dxa"/>
          </w:tcPr>
          <w:p>
            <w:pPr>
              <w:pStyle w:val="TableParagraph"/>
              <w:spacing w:before="50"/>
              <w:ind w:left="155"/>
              <w:rPr>
                <w:b/>
                <w:sz w:val="21"/>
              </w:rPr>
            </w:pPr>
            <w:r>
              <w:rPr>
                <w:b/>
                <w:sz w:val="21"/>
              </w:rPr>
              <w:t>全残</w:t>
            </w:r>
          </w:p>
        </w:tc>
        <w:tc>
          <w:tcPr>
            <w:tcW w:w="7379" w:type="dxa"/>
          </w:tcPr>
          <w:p>
            <w:pPr>
              <w:pStyle w:val="TableParagraph"/>
              <w:spacing w:before="50"/>
              <w:ind w:left="201"/>
              <w:rPr>
                <w:sz w:val="21"/>
              </w:rPr>
            </w:pPr>
            <w:r>
              <w:rPr>
                <w:sz w:val="21"/>
              </w:rPr>
              <w:t>指至少满足下列情形之一者：</w:t>
            </w:r>
          </w:p>
          <w:p>
            <w:pPr>
              <w:pStyle w:val="TableParagraph"/>
              <w:spacing w:before="37"/>
              <w:ind w:left="201"/>
              <w:rPr>
                <w:sz w:val="21"/>
              </w:rPr>
            </w:pPr>
            <w:r>
              <w:rPr>
                <w:w w:val="100"/>
                <w:sz w:val="21"/>
              </w:rPr>
              <w:t>(1)</w:t>
            </w:r>
            <w:r>
              <w:rPr>
                <w:spacing w:val="-3"/>
                <w:w w:val="100"/>
                <w:sz w:val="21"/>
              </w:rPr>
              <w:t>双目永久完全失明的（注①</w:t>
            </w:r>
            <w:r>
              <w:rPr>
                <w:spacing w:val="-104"/>
                <w:w w:val="100"/>
                <w:sz w:val="21"/>
              </w:rPr>
              <w:t>）</w:t>
            </w:r>
            <w:r>
              <w:rPr>
                <w:w w:val="100"/>
                <w:sz w:val="21"/>
              </w:rPr>
              <w:t>；</w:t>
            </w:r>
          </w:p>
          <w:p>
            <w:pPr>
              <w:pStyle w:val="TableParagraph"/>
              <w:spacing w:before="37"/>
              <w:ind w:left="201"/>
              <w:rPr>
                <w:sz w:val="21"/>
              </w:rPr>
            </w:pPr>
            <w:r>
              <w:rPr>
                <w:sz w:val="21"/>
              </w:rPr>
              <w:t>(2)两上肢腕关节以上或两下肢踝关节以上缺失的；</w:t>
            </w:r>
          </w:p>
          <w:p>
            <w:pPr>
              <w:pStyle w:val="TableParagraph"/>
              <w:spacing w:before="37"/>
              <w:ind w:left="201"/>
              <w:rPr>
                <w:sz w:val="21"/>
              </w:rPr>
            </w:pPr>
            <w:r>
              <w:rPr>
                <w:sz w:val="21"/>
              </w:rPr>
              <w:t>(3)一上肢腕关节以上及一下肢踝关节以上缺失的；</w:t>
            </w:r>
          </w:p>
          <w:p>
            <w:pPr>
              <w:pStyle w:val="TableParagraph"/>
              <w:spacing w:before="37"/>
              <w:ind w:left="201"/>
              <w:rPr>
                <w:sz w:val="21"/>
              </w:rPr>
            </w:pPr>
            <w:r>
              <w:rPr>
                <w:sz w:val="21"/>
              </w:rPr>
              <w:t>(4)一目永久完全失明及一上肢腕关节以上缺失的；</w:t>
            </w:r>
          </w:p>
          <w:p>
            <w:pPr>
              <w:pStyle w:val="TableParagraph"/>
              <w:spacing w:before="37"/>
              <w:ind w:left="201"/>
              <w:rPr>
                <w:sz w:val="21"/>
              </w:rPr>
            </w:pPr>
            <w:r>
              <w:rPr>
                <w:sz w:val="21"/>
              </w:rPr>
              <w:t>(5)一目永久完全失明及一下肢踝关节以上缺失的；</w:t>
            </w:r>
          </w:p>
          <w:p>
            <w:pPr>
              <w:pStyle w:val="TableParagraph"/>
              <w:spacing w:before="37"/>
              <w:ind w:left="201"/>
              <w:rPr>
                <w:sz w:val="21"/>
              </w:rPr>
            </w:pPr>
            <w:r>
              <w:rPr>
                <w:w w:val="100"/>
                <w:sz w:val="21"/>
              </w:rPr>
              <w:t>(6)</w:t>
            </w:r>
            <w:r>
              <w:rPr>
                <w:spacing w:val="-3"/>
                <w:w w:val="100"/>
                <w:sz w:val="21"/>
              </w:rPr>
              <w:t>四肢关节机能永久完全丧失的（</w:t>
            </w:r>
            <w:r>
              <w:rPr>
                <w:spacing w:val="-2"/>
                <w:w w:val="100"/>
                <w:sz w:val="21"/>
              </w:rPr>
              <w:t>注②</w:t>
            </w:r>
            <w:r>
              <w:rPr>
                <w:spacing w:val="-106"/>
                <w:w w:val="100"/>
                <w:sz w:val="21"/>
              </w:rPr>
              <w:t>）</w:t>
            </w:r>
            <w:r>
              <w:rPr>
                <w:w w:val="100"/>
                <w:sz w:val="21"/>
              </w:rPr>
              <w:t>；</w:t>
            </w:r>
          </w:p>
          <w:p>
            <w:pPr>
              <w:pStyle w:val="TableParagraph"/>
              <w:spacing w:before="37"/>
              <w:ind w:left="201"/>
              <w:rPr>
                <w:sz w:val="21"/>
              </w:rPr>
            </w:pPr>
            <w:r>
              <w:rPr>
                <w:w w:val="100"/>
                <w:sz w:val="21"/>
              </w:rPr>
              <w:t>(7)</w:t>
            </w:r>
            <w:r>
              <w:rPr>
                <w:spacing w:val="-3"/>
                <w:w w:val="100"/>
                <w:sz w:val="21"/>
              </w:rPr>
              <w:t>咀嚼、吞咽机能永久完全丧失的</w:t>
            </w:r>
            <w:r>
              <w:rPr>
                <w:w w:val="100"/>
                <w:sz w:val="21"/>
              </w:rPr>
              <w:t>（</w:t>
            </w:r>
            <w:r>
              <w:rPr>
                <w:spacing w:val="-2"/>
                <w:w w:val="100"/>
                <w:sz w:val="21"/>
              </w:rPr>
              <w:t>注③</w:t>
            </w:r>
            <w:r>
              <w:rPr>
                <w:spacing w:val="-106"/>
                <w:w w:val="100"/>
                <w:sz w:val="21"/>
              </w:rPr>
              <w:t>）</w:t>
            </w:r>
            <w:r>
              <w:rPr>
                <w:w w:val="100"/>
                <w:sz w:val="21"/>
              </w:rPr>
              <w:t>；</w:t>
            </w:r>
          </w:p>
          <w:p>
            <w:pPr>
              <w:pStyle w:val="TableParagraph"/>
              <w:spacing w:line="273" w:lineRule="auto" w:before="37"/>
              <w:ind w:left="201" w:right="304"/>
              <w:rPr>
                <w:sz w:val="21"/>
              </w:rPr>
            </w:pPr>
            <w:r>
              <w:rPr>
                <w:sz w:val="21"/>
              </w:rPr>
              <w:t>(8)中枢神经系统机能或胸、腹部脏器机能极度障碍，终身不能从事任何工</w:t>
            </w:r>
            <w:r>
              <w:rPr>
                <w:spacing w:val="-3"/>
                <w:w w:val="100"/>
                <w:sz w:val="21"/>
              </w:rPr>
              <w:t>作，为维持生命必要的日常生活活动，全需他人扶助的（</w:t>
            </w:r>
            <w:r>
              <w:rPr>
                <w:spacing w:val="-2"/>
                <w:w w:val="100"/>
                <w:sz w:val="21"/>
              </w:rPr>
              <w:t>注④</w:t>
            </w:r>
            <w:r>
              <w:rPr>
                <w:spacing w:val="-106"/>
                <w:w w:val="100"/>
                <w:sz w:val="21"/>
              </w:rPr>
              <w:t>）</w:t>
            </w:r>
            <w:r>
              <w:rPr>
                <w:w w:val="100"/>
                <w:sz w:val="21"/>
              </w:rPr>
              <w:t>。</w:t>
            </w:r>
          </w:p>
          <w:p>
            <w:pPr>
              <w:pStyle w:val="TableParagraph"/>
              <w:spacing w:line="273" w:lineRule="auto" w:before="84"/>
              <w:ind w:left="201" w:right="301"/>
              <w:rPr>
                <w:sz w:val="21"/>
              </w:rPr>
            </w:pPr>
            <w:r>
              <w:rPr>
                <w:spacing w:val="-7"/>
                <w:sz w:val="21"/>
              </w:rPr>
              <w:t>全残的鉴定应在治疗结束之后，由双方认可的二级及以上公立医院</w:t>
            </w:r>
            <w:r>
              <w:rPr>
                <w:sz w:val="21"/>
              </w:rPr>
              <w:t>（</w:t>
            </w:r>
            <w:r>
              <w:rPr>
                <w:spacing w:val="-2"/>
                <w:sz w:val="21"/>
              </w:rPr>
              <w:t>或有资</w:t>
            </w:r>
            <w:r>
              <w:rPr>
                <w:spacing w:val="-3"/>
                <w:sz w:val="21"/>
              </w:rPr>
              <w:t>质的司法鉴定机构</w:t>
            </w:r>
            <w:r>
              <w:rPr>
                <w:spacing w:val="-32"/>
                <w:sz w:val="21"/>
              </w:rPr>
              <w:t>）</w:t>
            </w:r>
            <w:r>
              <w:rPr>
                <w:spacing w:val="-9"/>
                <w:sz w:val="21"/>
              </w:rPr>
              <w:t>进行。如果自被保险人遭受意外伤害之日起 </w:t>
            </w:r>
            <w:r>
              <w:rPr>
                <w:sz w:val="21"/>
              </w:rPr>
              <w:t>180</w:t>
            </w:r>
            <w:r>
              <w:rPr>
                <w:spacing w:val="-11"/>
                <w:sz w:val="21"/>
              </w:rPr>
              <w:t> 日后治</w:t>
            </w:r>
          </w:p>
          <w:p>
            <w:pPr>
              <w:pStyle w:val="TableParagraph"/>
              <w:spacing w:line="343" w:lineRule="auto" w:before="7"/>
              <w:ind w:left="201" w:right="2761"/>
              <w:rPr>
                <w:sz w:val="21"/>
              </w:rPr>
            </w:pPr>
            <w:r>
              <w:rPr>
                <w:spacing w:val="-8"/>
                <w:sz w:val="21"/>
              </w:rPr>
              <w:t>疗仍未结束，按第 </w:t>
            </w:r>
            <w:r>
              <w:rPr>
                <w:sz w:val="21"/>
              </w:rPr>
              <w:t>180</w:t>
            </w:r>
            <w:r>
              <w:rPr>
                <w:spacing w:val="-8"/>
                <w:sz w:val="21"/>
              </w:rPr>
              <w:t> 日的身体情况进行鉴定。注：</w:t>
            </w:r>
          </w:p>
          <w:p>
            <w:pPr>
              <w:pStyle w:val="TableParagraph"/>
              <w:spacing w:line="222" w:lineRule="exact"/>
              <w:ind w:left="201"/>
              <w:rPr>
                <w:sz w:val="21"/>
              </w:rPr>
            </w:pPr>
            <w:r>
              <w:rPr>
                <w:sz w:val="21"/>
              </w:rPr>
              <w:t>①失明包括眼球缺失或摘除、或不能辨别明暗、或仅能辨别眼前手动者，最</w:t>
            </w:r>
          </w:p>
          <w:p>
            <w:pPr>
              <w:pStyle w:val="TableParagraph"/>
              <w:spacing w:line="273" w:lineRule="auto" w:before="37"/>
              <w:ind w:left="201" w:right="236"/>
              <w:rPr>
                <w:sz w:val="21"/>
              </w:rPr>
            </w:pPr>
            <w:r>
              <w:rPr>
                <w:sz w:val="21"/>
              </w:rPr>
              <w:t>佳矫正视力低于国际标准视力表 0.02，或视野半径小于 5 度，并由有资格的眼科医生出具医疗诊断证明。</w:t>
            </w:r>
          </w:p>
          <w:p>
            <w:pPr>
              <w:pStyle w:val="TableParagraph"/>
              <w:spacing w:before="7"/>
              <w:ind w:left="201"/>
              <w:rPr>
                <w:sz w:val="21"/>
              </w:rPr>
            </w:pPr>
            <w:r>
              <w:rPr>
                <w:sz w:val="21"/>
              </w:rPr>
              <w:t>②关节机能的丧失系指关节永久完全僵硬、或麻痹、或关节不能随意识活动。</w:t>
            </w:r>
          </w:p>
          <w:p>
            <w:pPr>
              <w:pStyle w:val="TableParagraph"/>
              <w:spacing w:line="273" w:lineRule="auto" w:before="36"/>
              <w:ind w:left="201" w:right="301"/>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73" w:lineRule="auto" w:before="7"/>
              <w:ind w:left="201" w:right="243"/>
              <w:rPr>
                <w:sz w:val="21"/>
              </w:rPr>
            </w:pPr>
            <w:r>
              <w:rPr>
                <w:sz w:val="21"/>
              </w:rPr>
              <w:t>④为维持生命必要之日常生活活动，全需他人扶助系指食物摄取、大小便始末、穿脱衣服、起居、步行、入浴等，皆不能自己为之，需要他人帮助。</w:t>
            </w:r>
          </w:p>
          <w:p>
            <w:pPr>
              <w:pStyle w:val="TableParagraph"/>
              <w:spacing w:line="273" w:lineRule="auto" w:before="84"/>
              <w:ind w:left="201" w:right="234"/>
              <w:rPr>
                <w:sz w:val="21"/>
              </w:rPr>
            </w:pPr>
            <w:r>
              <w:rPr>
                <w:sz w:val="21"/>
              </w:rPr>
              <w:t>上述所谓永久完全系指自事故发生之日起经过一百八十天的治疗，机能仍然完全丧失，但眼球摘除等明显无法复原之情况，不在此限。</w:t>
            </w:r>
          </w:p>
        </w:tc>
      </w:tr>
      <w:tr>
        <w:trPr>
          <w:trHeight w:val="2325" w:hRule="atLeast"/>
        </w:trPr>
        <w:tc>
          <w:tcPr>
            <w:tcW w:w="884" w:type="dxa"/>
          </w:tcPr>
          <w:p>
            <w:pPr>
              <w:pStyle w:val="TableParagraph"/>
              <w:spacing w:before="48"/>
              <w:ind w:left="76" w:right="135"/>
              <w:jc w:val="center"/>
              <w:rPr>
                <w:b/>
                <w:sz w:val="21"/>
              </w:rPr>
            </w:pPr>
            <w:r>
              <w:rPr>
                <w:b/>
                <w:sz w:val="21"/>
              </w:rPr>
              <w:t>13.9</w:t>
            </w:r>
          </w:p>
        </w:tc>
        <w:tc>
          <w:tcPr>
            <w:tcW w:w="1572" w:type="dxa"/>
          </w:tcPr>
          <w:p>
            <w:pPr>
              <w:pStyle w:val="TableParagraph"/>
              <w:spacing w:line="273" w:lineRule="auto" w:before="48"/>
              <w:ind w:left="155" w:right="146"/>
              <w:rPr>
                <w:b/>
                <w:sz w:val="21"/>
              </w:rPr>
            </w:pPr>
            <w:r>
              <w:rPr>
                <w:b/>
                <w:sz w:val="21"/>
              </w:rPr>
              <w:t>六项基本日常生活活动</w:t>
            </w:r>
          </w:p>
        </w:tc>
        <w:tc>
          <w:tcPr>
            <w:tcW w:w="7379" w:type="dxa"/>
          </w:tcPr>
          <w:p>
            <w:pPr>
              <w:pStyle w:val="TableParagraph"/>
              <w:spacing w:before="48"/>
              <w:ind w:left="201"/>
              <w:rPr>
                <w:sz w:val="21"/>
              </w:rPr>
            </w:pPr>
            <w:r>
              <w:rPr>
                <w:sz w:val="21"/>
              </w:rPr>
              <w:t>六项基本日常生活活动是指：</w:t>
            </w:r>
          </w:p>
          <w:p>
            <w:pPr>
              <w:pStyle w:val="TableParagraph"/>
              <w:spacing w:before="36"/>
              <w:ind w:left="201"/>
              <w:rPr>
                <w:sz w:val="21"/>
              </w:rPr>
            </w:pPr>
            <w:r>
              <w:rPr>
                <w:sz w:val="21"/>
              </w:rPr>
              <w:t>(1)穿衣：自己能够穿衣及脱衣；</w:t>
            </w:r>
          </w:p>
          <w:p>
            <w:pPr>
              <w:pStyle w:val="TableParagraph"/>
              <w:spacing w:before="36"/>
              <w:ind w:left="201"/>
              <w:rPr>
                <w:sz w:val="21"/>
              </w:rPr>
            </w:pPr>
            <w:r>
              <w:rPr>
                <w:sz w:val="21"/>
              </w:rPr>
              <w:t>(2)移动：自己从一个房间到另一个房间；</w:t>
            </w:r>
          </w:p>
          <w:p>
            <w:pPr>
              <w:pStyle w:val="TableParagraph"/>
              <w:spacing w:before="36"/>
              <w:ind w:left="201"/>
              <w:rPr>
                <w:sz w:val="21"/>
              </w:rPr>
            </w:pPr>
            <w:r>
              <w:rPr>
                <w:sz w:val="21"/>
              </w:rPr>
              <w:t>(3)行动：自己上下床或上下轮椅；</w:t>
            </w:r>
          </w:p>
          <w:p>
            <w:pPr>
              <w:pStyle w:val="TableParagraph"/>
              <w:spacing w:before="36"/>
              <w:ind w:left="201"/>
              <w:rPr>
                <w:sz w:val="21"/>
              </w:rPr>
            </w:pPr>
            <w:r>
              <w:rPr>
                <w:sz w:val="21"/>
              </w:rPr>
              <w:t>(4)如厕：自己控制进行大小便；</w:t>
            </w:r>
          </w:p>
          <w:p>
            <w:pPr>
              <w:pStyle w:val="TableParagraph"/>
              <w:spacing w:before="36"/>
              <w:ind w:left="201"/>
              <w:rPr>
                <w:sz w:val="21"/>
              </w:rPr>
            </w:pPr>
            <w:r>
              <w:rPr>
                <w:sz w:val="21"/>
              </w:rPr>
              <w:t>(5)进食：自己从已准备好的碗或碟中取食物放入口中；</w:t>
            </w:r>
          </w:p>
          <w:p>
            <w:pPr>
              <w:pStyle w:val="TableParagraph"/>
              <w:spacing w:before="36"/>
              <w:ind w:left="201"/>
              <w:rPr>
                <w:sz w:val="21"/>
              </w:rPr>
            </w:pPr>
            <w:r>
              <w:rPr>
                <w:sz w:val="21"/>
              </w:rPr>
              <w:t>(6)洗澡：自己进行淋浴或盆浴。</w:t>
            </w:r>
          </w:p>
        </w:tc>
      </w:tr>
      <w:tr>
        <w:trPr>
          <w:trHeight w:val="644" w:hRule="atLeast"/>
        </w:trPr>
        <w:tc>
          <w:tcPr>
            <w:tcW w:w="884" w:type="dxa"/>
          </w:tcPr>
          <w:p>
            <w:pPr>
              <w:pStyle w:val="TableParagraph"/>
              <w:spacing w:before="49"/>
              <w:ind w:left="179" w:right="135"/>
              <w:jc w:val="center"/>
              <w:rPr>
                <w:b/>
                <w:sz w:val="21"/>
              </w:rPr>
            </w:pPr>
            <w:r>
              <w:rPr>
                <w:b/>
                <w:sz w:val="21"/>
              </w:rPr>
              <w:t>13.10</w:t>
            </w:r>
          </w:p>
        </w:tc>
        <w:tc>
          <w:tcPr>
            <w:tcW w:w="1572" w:type="dxa"/>
          </w:tcPr>
          <w:p>
            <w:pPr>
              <w:pStyle w:val="TableParagraph"/>
              <w:spacing w:before="49"/>
              <w:ind w:left="155"/>
              <w:rPr>
                <w:b/>
                <w:sz w:val="21"/>
              </w:rPr>
            </w:pPr>
            <w:r>
              <w:rPr>
                <w:b/>
                <w:sz w:val="21"/>
              </w:rPr>
              <w:t>保单周月日</w:t>
            </w:r>
          </w:p>
        </w:tc>
        <w:tc>
          <w:tcPr>
            <w:tcW w:w="7379" w:type="dxa"/>
          </w:tcPr>
          <w:p>
            <w:pPr>
              <w:pStyle w:val="TableParagraph"/>
              <w:spacing w:line="310" w:lineRule="atLeast" w:before="13"/>
              <w:ind w:left="201" w:right="243"/>
              <w:rPr>
                <w:sz w:val="21"/>
              </w:rPr>
            </w:pPr>
            <w:r>
              <w:rPr>
                <w:sz w:val="21"/>
              </w:rPr>
              <w:t>指本合同生效日在合同生效后每月的对应日，不含合同生效日当日。如果当月没有对应的同一日，则以下个月第一日为对应日。</w:t>
            </w:r>
          </w:p>
        </w:tc>
      </w:tr>
    </w:tbl>
    <w:p>
      <w:pPr>
        <w:spacing w:after="0" w:line="310" w:lineRule="atLeast"/>
        <w:rPr>
          <w:sz w:val="21"/>
        </w:rPr>
        <w:sectPr>
          <w:pgSz w:w="11910" w:h="16840"/>
          <w:pgMar w:top="146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658"/>
        <w:gridCol w:w="7290"/>
      </w:tblGrid>
      <w:tr>
        <w:trPr>
          <w:trHeight w:val="1268" w:hRule="atLeast"/>
        </w:trPr>
        <w:tc>
          <w:tcPr>
            <w:tcW w:w="884" w:type="dxa"/>
          </w:tcPr>
          <w:p>
            <w:pPr>
              <w:pStyle w:val="TableParagraph"/>
              <w:spacing w:line="211" w:lineRule="exact"/>
              <w:ind w:left="179" w:right="135"/>
              <w:jc w:val="center"/>
              <w:rPr>
                <w:b/>
                <w:sz w:val="21"/>
              </w:rPr>
            </w:pPr>
            <w:r>
              <w:rPr>
                <w:b/>
                <w:sz w:val="21"/>
              </w:rPr>
              <w:t>13.11</w:t>
            </w:r>
          </w:p>
        </w:tc>
        <w:tc>
          <w:tcPr>
            <w:tcW w:w="1658" w:type="dxa"/>
          </w:tcPr>
          <w:p>
            <w:pPr>
              <w:pStyle w:val="TableParagraph"/>
              <w:spacing w:line="211" w:lineRule="exact"/>
              <w:ind w:left="155"/>
              <w:rPr>
                <w:b/>
                <w:sz w:val="21"/>
              </w:rPr>
            </w:pPr>
            <w:r>
              <w:rPr>
                <w:b/>
                <w:sz w:val="21"/>
              </w:rPr>
              <w:t>毒品</w:t>
            </w:r>
          </w:p>
        </w:tc>
        <w:tc>
          <w:tcPr>
            <w:tcW w:w="7290" w:type="dxa"/>
          </w:tcPr>
          <w:p>
            <w:pPr>
              <w:pStyle w:val="TableParagraph"/>
              <w:spacing w:line="211" w:lineRule="exact"/>
              <w:ind w:left="11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p>
          <w:p>
            <w:pPr>
              <w:pStyle w:val="TableParagraph"/>
              <w:spacing w:line="273" w:lineRule="auto" w:before="37"/>
              <w:ind w:left="115" w:right="297"/>
              <w:jc w:val="both"/>
              <w:rPr>
                <w:sz w:val="21"/>
              </w:rPr>
            </w:pP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077" w:hRule="atLeast"/>
        </w:trPr>
        <w:tc>
          <w:tcPr>
            <w:tcW w:w="884" w:type="dxa"/>
          </w:tcPr>
          <w:p>
            <w:pPr>
              <w:pStyle w:val="TableParagraph"/>
              <w:spacing w:before="57"/>
              <w:ind w:left="179" w:right="135"/>
              <w:jc w:val="center"/>
              <w:rPr>
                <w:b/>
                <w:sz w:val="21"/>
              </w:rPr>
            </w:pPr>
            <w:r>
              <w:rPr>
                <w:b/>
                <w:sz w:val="21"/>
              </w:rPr>
              <w:t>13.12</w:t>
            </w:r>
          </w:p>
        </w:tc>
        <w:tc>
          <w:tcPr>
            <w:tcW w:w="1658" w:type="dxa"/>
          </w:tcPr>
          <w:p>
            <w:pPr>
              <w:pStyle w:val="TableParagraph"/>
              <w:spacing w:before="57"/>
              <w:ind w:left="275"/>
              <w:rPr>
                <w:b/>
                <w:sz w:val="21"/>
              </w:rPr>
            </w:pPr>
            <w:r>
              <w:rPr>
                <w:b/>
                <w:sz w:val="21"/>
              </w:rPr>
              <w:t>酒后驾驶</w:t>
            </w:r>
          </w:p>
        </w:tc>
        <w:tc>
          <w:tcPr>
            <w:tcW w:w="7290" w:type="dxa"/>
          </w:tcPr>
          <w:p>
            <w:pPr>
              <w:pStyle w:val="TableParagraph"/>
              <w:spacing w:line="273" w:lineRule="auto" w:before="57"/>
              <w:ind w:left="115" w:right="297"/>
              <w:jc w:val="both"/>
              <w:rPr>
                <w:sz w:val="21"/>
              </w:rPr>
            </w:pPr>
            <w:r>
              <w:rPr>
                <w:spacing w:val="-10"/>
                <w:sz w:val="21"/>
              </w:rPr>
              <w:t>指经检测或鉴定，发生事故时车辆驾驶人员每百毫升血液中的酒精含量达到</w:t>
            </w:r>
            <w:r>
              <w:rPr>
                <w:spacing w:val="-7"/>
                <w:sz w:val="21"/>
              </w:rPr>
              <w:t>或超过一定的标准，公安机关交通管理部门依据《道路交通安全法》的规定</w:t>
            </w:r>
            <w:r>
              <w:rPr>
                <w:spacing w:val="-5"/>
                <w:sz w:val="21"/>
              </w:rPr>
              <w:t>认定为饮酒后驾驶或醉酒后驾驶。</w:t>
            </w:r>
          </w:p>
        </w:tc>
      </w:tr>
      <w:tr>
        <w:trPr>
          <w:trHeight w:val="2013" w:hRule="atLeast"/>
        </w:trPr>
        <w:tc>
          <w:tcPr>
            <w:tcW w:w="884" w:type="dxa"/>
          </w:tcPr>
          <w:p>
            <w:pPr>
              <w:pStyle w:val="TableParagraph"/>
              <w:spacing w:before="57"/>
              <w:ind w:left="179" w:right="135"/>
              <w:jc w:val="center"/>
              <w:rPr>
                <w:b/>
                <w:sz w:val="21"/>
              </w:rPr>
            </w:pPr>
            <w:r>
              <w:rPr>
                <w:b/>
                <w:sz w:val="21"/>
              </w:rPr>
              <w:t>13.13</w:t>
            </w:r>
          </w:p>
        </w:tc>
        <w:tc>
          <w:tcPr>
            <w:tcW w:w="1658" w:type="dxa"/>
          </w:tcPr>
          <w:p>
            <w:pPr>
              <w:pStyle w:val="TableParagraph"/>
              <w:spacing w:line="273" w:lineRule="auto" w:before="57"/>
              <w:ind w:left="275" w:right="112"/>
              <w:rPr>
                <w:b/>
                <w:sz w:val="21"/>
              </w:rPr>
            </w:pPr>
            <w:r>
              <w:rPr>
                <w:b/>
                <w:sz w:val="21"/>
              </w:rPr>
              <w:t>无合法有效驾驶证驾驶</w:t>
            </w:r>
          </w:p>
        </w:tc>
        <w:tc>
          <w:tcPr>
            <w:tcW w:w="7290" w:type="dxa"/>
          </w:tcPr>
          <w:p>
            <w:pPr>
              <w:pStyle w:val="TableParagraph"/>
              <w:spacing w:before="57"/>
              <w:ind w:left="115"/>
              <w:rPr>
                <w:sz w:val="21"/>
              </w:rPr>
            </w:pPr>
            <w:r>
              <w:rPr>
                <w:sz w:val="21"/>
              </w:rPr>
              <w:t>指下列情形之一：</w:t>
            </w:r>
          </w:p>
          <w:p>
            <w:pPr>
              <w:pStyle w:val="TableParagraph"/>
              <w:spacing w:before="36"/>
              <w:ind w:left="115"/>
              <w:rPr>
                <w:sz w:val="21"/>
              </w:rPr>
            </w:pPr>
            <w:r>
              <w:rPr>
                <w:sz w:val="21"/>
              </w:rPr>
              <w:t>(1)没有取得驾驶资格；</w:t>
            </w:r>
          </w:p>
          <w:p>
            <w:pPr>
              <w:pStyle w:val="TableParagraph"/>
              <w:spacing w:before="36"/>
              <w:ind w:left="115"/>
              <w:rPr>
                <w:sz w:val="21"/>
              </w:rPr>
            </w:pPr>
            <w:r>
              <w:rPr>
                <w:sz w:val="21"/>
              </w:rPr>
              <w:t>(2)驾驶与驾驶证准驾车型不相符合的车辆；</w:t>
            </w:r>
          </w:p>
          <w:p>
            <w:pPr>
              <w:pStyle w:val="TableParagraph"/>
              <w:spacing w:before="36"/>
              <w:ind w:left="115"/>
              <w:rPr>
                <w:sz w:val="21"/>
              </w:rPr>
            </w:pPr>
            <w:r>
              <w:rPr>
                <w:sz w:val="21"/>
              </w:rPr>
              <w:t>(3)持审验不合格的驾驶证驾驶；</w:t>
            </w:r>
          </w:p>
          <w:p>
            <w:pPr>
              <w:pStyle w:val="TableParagraph"/>
              <w:spacing w:line="273" w:lineRule="auto" w:before="36"/>
              <w:ind w:left="115" w:right="343"/>
              <w:rPr>
                <w:sz w:val="21"/>
              </w:rPr>
            </w:pPr>
            <w:r>
              <w:rPr>
                <w:sz w:val="21"/>
              </w:rPr>
              <w:t>(4)持学习驾驶证件学习驾车时，无教练员随车指导，或不按指定时间、路线学习驾车。</w:t>
            </w:r>
          </w:p>
        </w:tc>
      </w:tr>
      <w:tr>
        <w:trPr>
          <w:trHeight w:val="1390" w:hRule="atLeast"/>
        </w:trPr>
        <w:tc>
          <w:tcPr>
            <w:tcW w:w="884" w:type="dxa"/>
          </w:tcPr>
          <w:p>
            <w:pPr>
              <w:pStyle w:val="TableParagraph"/>
              <w:spacing w:before="57"/>
              <w:ind w:left="179" w:right="135"/>
              <w:jc w:val="center"/>
              <w:rPr>
                <w:b/>
                <w:sz w:val="21"/>
              </w:rPr>
            </w:pPr>
            <w:r>
              <w:rPr>
                <w:b/>
                <w:sz w:val="21"/>
              </w:rPr>
              <w:t>13.14</w:t>
            </w:r>
          </w:p>
        </w:tc>
        <w:tc>
          <w:tcPr>
            <w:tcW w:w="1658" w:type="dxa"/>
          </w:tcPr>
          <w:p>
            <w:pPr>
              <w:pStyle w:val="TableParagraph"/>
              <w:spacing w:before="57"/>
              <w:ind w:left="275"/>
              <w:rPr>
                <w:b/>
                <w:sz w:val="21"/>
              </w:rPr>
            </w:pPr>
            <w:r>
              <w:rPr>
                <w:b/>
                <w:sz w:val="21"/>
              </w:rPr>
              <w:t>无有效行驶证</w:t>
            </w:r>
          </w:p>
        </w:tc>
        <w:tc>
          <w:tcPr>
            <w:tcW w:w="7290" w:type="dxa"/>
          </w:tcPr>
          <w:p>
            <w:pPr>
              <w:pStyle w:val="TableParagraph"/>
              <w:spacing w:before="57"/>
              <w:ind w:left="115"/>
              <w:rPr>
                <w:sz w:val="21"/>
              </w:rPr>
            </w:pPr>
            <w:r>
              <w:rPr>
                <w:sz w:val="21"/>
              </w:rPr>
              <w:t>指下列情形之一：</w:t>
            </w:r>
          </w:p>
          <w:p>
            <w:pPr>
              <w:pStyle w:val="TableParagraph"/>
              <w:spacing w:before="36"/>
              <w:ind w:left="115"/>
              <w:rPr>
                <w:sz w:val="21"/>
              </w:rPr>
            </w:pPr>
            <w:r>
              <w:rPr>
                <w:sz w:val="21"/>
              </w:rPr>
              <w:t>(1)未取得行驶证或临时号牌；</w:t>
            </w:r>
          </w:p>
          <w:p>
            <w:pPr>
              <w:pStyle w:val="TableParagraph"/>
              <w:spacing w:before="36"/>
              <w:ind w:left="115"/>
              <w:rPr>
                <w:sz w:val="21"/>
              </w:rPr>
            </w:pPr>
            <w:r>
              <w:rPr>
                <w:sz w:val="21"/>
              </w:rPr>
              <w:t>(2)机动车被依法注销登记的；</w:t>
            </w:r>
          </w:p>
          <w:p>
            <w:pPr>
              <w:pStyle w:val="TableParagraph"/>
              <w:spacing w:before="36"/>
              <w:ind w:left="116"/>
              <w:rPr>
                <w:sz w:val="21"/>
              </w:rPr>
            </w:pPr>
            <w:r>
              <w:rPr>
                <w:sz w:val="21"/>
              </w:rPr>
              <w:t>(3)未依法按时进行或通过机动车安全技术检验。</w:t>
            </w:r>
          </w:p>
        </w:tc>
      </w:tr>
      <w:tr>
        <w:trPr>
          <w:trHeight w:val="1779" w:hRule="atLeast"/>
        </w:trPr>
        <w:tc>
          <w:tcPr>
            <w:tcW w:w="884" w:type="dxa"/>
          </w:tcPr>
          <w:p>
            <w:pPr>
              <w:pStyle w:val="TableParagraph"/>
              <w:spacing w:before="58"/>
              <w:ind w:left="179" w:right="135"/>
              <w:jc w:val="center"/>
              <w:rPr>
                <w:b/>
                <w:sz w:val="21"/>
              </w:rPr>
            </w:pPr>
            <w:r>
              <w:rPr>
                <w:b/>
                <w:sz w:val="21"/>
              </w:rPr>
              <w:t>13.15</w:t>
            </w:r>
          </w:p>
        </w:tc>
        <w:tc>
          <w:tcPr>
            <w:tcW w:w="1658" w:type="dxa"/>
          </w:tcPr>
          <w:p>
            <w:pPr>
              <w:pStyle w:val="TableParagraph"/>
              <w:spacing w:line="273" w:lineRule="auto" w:before="58"/>
              <w:ind w:left="275" w:right="112"/>
              <w:rPr>
                <w:b/>
                <w:sz w:val="21"/>
              </w:rPr>
            </w:pPr>
            <w:r>
              <w:rPr>
                <w:b/>
                <w:sz w:val="21"/>
              </w:rPr>
              <w:t>感染艾滋病病毒或患艾滋病</w:t>
            </w:r>
          </w:p>
        </w:tc>
        <w:tc>
          <w:tcPr>
            <w:tcW w:w="7290" w:type="dxa"/>
          </w:tcPr>
          <w:p>
            <w:pPr>
              <w:pStyle w:val="TableParagraph"/>
              <w:spacing w:line="273" w:lineRule="auto" w:before="58"/>
              <w:ind w:left="115" w:right="23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4"/>
              <w:ind w:left="115" w:right="197"/>
              <w:rPr>
                <w:sz w:val="21"/>
              </w:rPr>
            </w:pPr>
            <w:r>
              <w:rPr>
                <w:spacing w:val="-6"/>
                <w:sz w:val="21"/>
              </w:rPr>
              <w:t>在人体血液或其他样本中检测到艾滋病病毒或其抗体呈阳性，没有出现临床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765" w:hRule="atLeast"/>
        </w:trPr>
        <w:tc>
          <w:tcPr>
            <w:tcW w:w="884" w:type="dxa"/>
          </w:tcPr>
          <w:p>
            <w:pPr>
              <w:pStyle w:val="TableParagraph"/>
              <w:spacing w:before="57"/>
              <w:ind w:left="179" w:right="135"/>
              <w:jc w:val="center"/>
              <w:rPr>
                <w:b/>
                <w:sz w:val="21"/>
              </w:rPr>
            </w:pPr>
            <w:r>
              <w:rPr>
                <w:b/>
                <w:sz w:val="21"/>
              </w:rPr>
              <w:t>13.16</w:t>
            </w:r>
          </w:p>
        </w:tc>
        <w:tc>
          <w:tcPr>
            <w:tcW w:w="1658" w:type="dxa"/>
          </w:tcPr>
          <w:p>
            <w:pPr>
              <w:pStyle w:val="TableParagraph"/>
              <w:spacing w:before="57"/>
              <w:ind w:left="275"/>
              <w:rPr>
                <w:b/>
                <w:sz w:val="21"/>
              </w:rPr>
            </w:pPr>
            <w:r>
              <w:rPr>
                <w:b/>
                <w:sz w:val="21"/>
              </w:rPr>
              <w:t>遗传性疾病</w:t>
            </w:r>
          </w:p>
        </w:tc>
        <w:tc>
          <w:tcPr>
            <w:tcW w:w="7290" w:type="dxa"/>
          </w:tcPr>
          <w:p>
            <w:pPr>
              <w:pStyle w:val="TableParagraph"/>
              <w:spacing w:line="273" w:lineRule="auto" w:before="57"/>
              <w:ind w:left="115" w:right="230"/>
              <w:rPr>
                <w:sz w:val="21"/>
              </w:rPr>
            </w:pPr>
            <w:r>
              <w:rPr>
                <w:sz w:val="21"/>
              </w:rPr>
              <w:t>指生殖细胞或受精卵的遗传物质（染色体和基因）发生突变或畸变所引起的疾病，通常具有由亲代传至后代的垂直传递的特征。</w:t>
            </w:r>
          </w:p>
        </w:tc>
      </w:tr>
      <w:tr>
        <w:trPr>
          <w:trHeight w:val="1078" w:hRule="atLeast"/>
        </w:trPr>
        <w:tc>
          <w:tcPr>
            <w:tcW w:w="884" w:type="dxa"/>
          </w:tcPr>
          <w:p>
            <w:pPr>
              <w:pStyle w:val="TableParagraph"/>
              <w:spacing w:before="57"/>
              <w:ind w:left="179" w:right="135"/>
              <w:jc w:val="center"/>
              <w:rPr>
                <w:b/>
                <w:sz w:val="21"/>
              </w:rPr>
            </w:pPr>
            <w:r>
              <w:rPr>
                <w:b/>
                <w:sz w:val="21"/>
              </w:rPr>
              <w:t>13.17</w:t>
            </w:r>
          </w:p>
        </w:tc>
        <w:tc>
          <w:tcPr>
            <w:tcW w:w="1658" w:type="dxa"/>
          </w:tcPr>
          <w:p>
            <w:pPr>
              <w:pStyle w:val="TableParagraph"/>
              <w:spacing w:line="273" w:lineRule="auto" w:before="57"/>
              <w:ind w:left="275" w:right="112"/>
              <w:jc w:val="both"/>
              <w:rPr>
                <w:b/>
                <w:sz w:val="21"/>
              </w:rPr>
            </w:pPr>
            <w:r>
              <w:rPr>
                <w:b/>
                <w:sz w:val="21"/>
              </w:rPr>
              <w:t>先天性畸形、变形或染色体异常</w:t>
            </w:r>
          </w:p>
        </w:tc>
        <w:tc>
          <w:tcPr>
            <w:tcW w:w="7290" w:type="dxa"/>
          </w:tcPr>
          <w:p>
            <w:pPr>
              <w:pStyle w:val="TableParagraph"/>
              <w:spacing w:line="273" w:lineRule="auto" w:before="57"/>
              <w:ind w:left="115" w:right="297"/>
              <w:rPr>
                <w:sz w:val="21"/>
              </w:rPr>
            </w:pPr>
            <w:r>
              <w:rPr>
                <w:spacing w:val="-7"/>
                <w:sz w:val="21"/>
              </w:rPr>
              <w:t>指被保险人出生时就具有的畸形、变形或染色体异常。先天性畸形、变形和</w:t>
            </w:r>
            <w:r>
              <w:rPr>
                <w:spacing w:val="-5"/>
                <w:sz w:val="21"/>
              </w:rPr>
              <w:t>染色体异常依照世界卫生组织《疾病和有关健康问题的国际统计分类》</w:t>
            </w:r>
          </w:p>
          <w:p>
            <w:pPr>
              <w:pStyle w:val="TableParagraph"/>
              <w:spacing w:before="7"/>
              <w:ind w:left="115"/>
              <w:rPr>
                <w:sz w:val="21"/>
              </w:rPr>
            </w:pPr>
            <w:r>
              <w:rPr>
                <w:sz w:val="21"/>
              </w:rPr>
              <w:t>（ICD-10）确定。</w:t>
            </w:r>
          </w:p>
        </w:tc>
      </w:tr>
      <w:tr>
        <w:trPr>
          <w:trHeight w:val="766" w:hRule="atLeast"/>
        </w:trPr>
        <w:tc>
          <w:tcPr>
            <w:tcW w:w="884" w:type="dxa"/>
          </w:tcPr>
          <w:p>
            <w:pPr>
              <w:pStyle w:val="TableParagraph"/>
              <w:spacing w:before="58"/>
              <w:ind w:left="179" w:right="135"/>
              <w:jc w:val="center"/>
              <w:rPr>
                <w:b/>
                <w:sz w:val="21"/>
              </w:rPr>
            </w:pPr>
            <w:r>
              <w:rPr>
                <w:b/>
                <w:sz w:val="21"/>
              </w:rPr>
              <w:t>13.18</w:t>
            </w:r>
          </w:p>
        </w:tc>
        <w:tc>
          <w:tcPr>
            <w:tcW w:w="1658" w:type="dxa"/>
          </w:tcPr>
          <w:p>
            <w:pPr>
              <w:pStyle w:val="TableParagraph"/>
              <w:spacing w:before="58"/>
              <w:ind w:left="275"/>
              <w:rPr>
                <w:b/>
                <w:sz w:val="21"/>
              </w:rPr>
            </w:pPr>
            <w:r>
              <w:rPr>
                <w:b/>
                <w:sz w:val="21"/>
              </w:rPr>
              <w:t>情形复杂</w:t>
            </w:r>
          </w:p>
        </w:tc>
        <w:tc>
          <w:tcPr>
            <w:tcW w:w="7290" w:type="dxa"/>
          </w:tcPr>
          <w:p>
            <w:pPr>
              <w:pStyle w:val="TableParagraph"/>
              <w:spacing w:line="273" w:lineRule="auto" w:before="58"/>
              <w:ind w:left="115" w:right="298"/>
              <w:rPr>
                <w:sz w:val="21"/>
              </w:rPr>
            </w:pPr>
            <w:r>
              <w:rPr>
                <w:spacing w:val="-10"/>
                <w:sz w:val="21"/>
              </w:rPr>
              <w:t>指保险事故的性质、原因、伤害或损失程度等在我们收到保险金给付申请书</w:t>
            </w:r>
            <w:r>
              <w:rPr>
                <w:spacing w:val="-6"/>
                <w:sz w:val="21"/>
              </w:rPr>
              <w:t>及合同约定的证明和资料后</w:t>
            </w:r>
            <w:r>
              <w:rPr>
                <w:sz w:val="21"/>
              </w:rPr>
              <w:t>5</w:t>
            </w:r>
            <w:r>
              <w:rPr>
                <w:spacing w:val="-3"/>
                <w:sz w:val="21"/>
              </w:rPr>
              <w:t>日内无法确定，需要进一步核实。</w:t>
            </w:r>
          </w:p>
        </w:tc>
      </w:tr>
      <w:tr>
        <w:trPr>
          <w:trHeight w:val="1077" w:hRule="atLeast"/>
        </w:trPr>
        <w:tc>
          <w:tcPr>
            <w:tcW w:w="884" w:type="dxa"/>
          </w:tcPr>
          <w:p>
            <w:pPr>
              <w:pStyle w:val="TableParagraph"/>
              <w:spacing w:before="57"/>
              <w:ind w:left="179" w:right="135"/>
              <w:jc w:val="center"/>
              <w:rPr>
                <w:b/>
                <w:sz w:val="21"/>
              </w:rPr>
            </w:pPr>
            <w:r>
              <w:rPr>
                <w:b/>
                <w:sz w:val="21"/>
              </w:rPr>
              <w:t>13.19</w:t>
            </w:r>
          </w:p>
        </w:tc>
        <w:tc>
          <w:tcPr>
            <w:tcW w:w="1658" w:type="dxa"/>
          </w:tcPr>
          <w:p>
            <w:pPr>
              <w:pStyle w:val="TableParagraph"/>
              <w:spacing w:line="273" w:lineRule="auto" w:before="57"/>
              <w:ind w:left="275" w:right="112"/>
              <w:rPr>
                <w:b/>
                <w:sz w:val="21"/>
              </w:rPr>
            </w:pPr>
            <w:r>
              <w:rPr>
                <w:b/>
                <w:sz w:val="21"/>
              </w:rPr>
              <w:t>本合同约定利率</w:t>
            </w:r>
          </w:p>
        </w:tc>
        <w:tc>
          <w:tcPr>
            <w:tcW w:w="7290" w:type="dxa"/>
          </w:tcPr>
          <w:p>
            <w:pPr>
              <w:pStyle w:val="TableParagraph"/>
              <w:spacing w:line="273" w:lineRule="auto" w:before="57"/>
              <w:ind w:left="115" w:right="242" w:hanging="1"/>
              <w:rPr>
                <w:sz w:val="21"/>
              </w:rPr>
            </w:pPr>
            <w:r>
              <w:rPr>
                <w:spacing w:val="-6"/>
                <w:sz w:val="21"/>
              </w:rPr>
              <w:t>由我们每年宣布两次，宣布时间为每年的</w:t>
            </w:r>
            <w:r>
              <w:rPr>
                <w:sz w:val="21"/>
              </w:rPr>
              <w:t>1月</w:t>
            </w:r>
            <w:r>
              <w:rPr>
                <w:spacing w:val="-3"/>
                <w:sz w:val="21"/>
              </w:rPr>
              <w:t>1</w:t>
            </w:r>
            <w:r>
              <w:rPr>
                <w:spacing w:val="-2"/>
                <w:sz w:val="21"/>
              </w:rPr>
              <w:t>日和</w:t>
            </w:r>
            <w:r>
              <w:rPr>
                <w:spacing w:val="-3"/>
                <w:sz w:val="21"/>
              </w:rPr>
              <w:t>7</w:t>
            </w:r>
            <w:r>
              <w:rPr>
                <w:sz w:val="21"/>
              </w:rPr>
              <w:t>月1</w:t>
            </w:r>
            <w:r>
              <w:rPr>
                <w:spacing w:val="-7"/>
                <w:sz w:val="21"/>
              </w:rPr>
              <w:t>日，该利率按同期中</w:t>
            </w:r>
            <w:r>
              <w:rPr>
                <w:spacing w:val="-5"/>
                <w:sz w:val="21"/>
              </w:rPr>
              <w:t>国人民银行公布的金融机构一年期人民币贷款基准利率与</w:t>
            </w:r>
            <w:r>
              <w:rPr>
                <w:sz w:val="21"/>
              </w:rPr>
              <w:t>4.5</w:t>
            </w:r>
            <w:r>
              <w:rPr>
                <w:spacing w:val="-3"/>
                <w:sz w:val="21"/>
              </w:rPr>
              <w:t>%之较大者计 算。在利率环境发生变化的情况下，我们保留修改该利率计算方法的权力。</w:t>
            </w:r>
          </w:p>
        </w:tc>
      </w:tr>
      <w:tr>
        <w:trPr>
          <w:trHeight w:val="2204" w:hRule="atLeast"/>
        </w:trPr>
        <w:tc>
          <w:tcPr>
            <w:tcW w:w="884" w:type="dxa"/>
          </w:tcPr>
          <w:p>
            <w:pPr>
              <w:pStyle w:val="TableParagraph"/>
              <w:spacing w:before="57"/>
              <w:ind w:left="179" w:right="135"/>
              <w:jc w:val="center"/>
              <w:rPr>
                <w:b/>
                <w:sz w:val="21"/>
              </w:rPr>
            </w:pPr>
            <w:r>
              <w:rPr>
                <w:b/>
                <w:sz w:val="21"/>
              </w:rPr>
              <w:t>13.20</w:t>
            </w:r>
          </w:p>
        </w:tc>
        <w:tc>
          <w:tcPr>
            <w:tcW w:w="1658" w:type="dxa"/>
          </w:tcPr>
          <w:p>
            <w:pPr>
              <w:pStyle w:val="TableParagraph"/>
              <w:spacing w:before="57"/>
              <w:ind w:left="275"/>
              <w:rPr>
                <w:b/>
                <w:sz w:val="21"/>
              </w:rPr>
            </w:pPr>
            <w:r>
              <w:rPr>
                <w:b/>
                <w:sz w:val="21"/>
              </w:rPr>
              <w:t>专科医生</w:t>
            </w:r>
          </w:p>
        </w:tc>
        <w:tc>
          <w:tcPr>
            <w:tcW w:w="7290" w:type="dxa"/>
          </w:tcPr>
          <w:p>
            <w:pPr>
              <w:pStyle w:val="TableParagraph"/>
              <w:spacing w:before="57"/>
              <w:ind w:left="115"/>
              <w:rPr>
                <w:sz w:val="21"/>
              </w:rPr>
            </w:pPr>
            <w:r>
              <w:rPr>
                <w:sz w:val="21"/>
              </w:rPr>
              <w:t>专科医生应当同时满足以下四项资格条件：</w:t>
            </w:r>
          </w:p>
          <w:p>
            <w:pPr>
              <w:pStyle w:val="TableParagraph"/>
              <w:spacing w:before="36"/>
              <w:ind w:left="115"/>
              <w:rPr>
                <w:sz w:val="21"/>
              </w:rPr>
            </w:pPr>
            <w:r>
              <w:rPr>
                <w:sz w:val="21"/>
              </w:rPr>
              <w:t>(1)具有有效的中华人民共和国《医师资格证书》；</w:t>
            </w:r>
          </w:p>
          <w:p>
            <w:pPr>
              <w:pStyle w:val="TableParagraph"/>
              <w:spacing w:line="273" w:lineRule="auto" w:before="36"/>
              <w:ind w:left="115" w:right="300"/>
              <w:rPr>
                <w:sz w:val="21"/>
              </w:rPr>
            </w:pPr>
            <w:r>
              <w:rPr>
                <w:sz w:val="21"/>
              </w:rPr>
              <w:t>(2)</w:t>
            </w:r>
            <w:r>
              <w:rPr>
                <w:spacing w:val="-12"/>
                <w:sz w:val="21"/>
              </w:rPr>
              <w:t>具有有效的中华人民共和国《医师执业证书》，并按期到相关部门登记注册；</w:t>
            </w:r>
          </w:p>
          <w:p>
            <w:pPr>
              <w:pStyle w:val="TableParagraph"/>
              <w:spacing w:line="273" w:lineRule="auto" w:before="7"/>
              <w:ind w:left="115" w:right="343"/>
              <w:rPr>
                <w:sz w:val="21"/>
              </w:rPr>
            </w:pPr>
            <w:r>
              <w:rPr>
                <w:sz w:val="21"/>
              </w:rPr>
              <w:t>(3)具有有效的中华人民共和国主治医师或主治医师以上职称的《医师职称证书》；</w:t>
            </w:r>
          </w:p>
          <w:p>
            <w:pPr>
              <w:pStyle w:val="TableParagraph"/>
              <w:spacing w:line="255" w:lineRule="exact" w:before="7"/>
              <w:ind w:left="115"/>
              <w:rPr>
                <w:sz w:val="21"/>
              </w:rPr>
            </w:pPr>
            <w:r>
              <w:rPr>
                <w:sz w:val="21"/>
              </w:rPr>
              <w:t>(4)在二级或二级以上医院的相应科室从事临床工作三年以上。</w:t>
            </w:r>
          </w:p>
        </w:tc>
      </w:tr>
    </w:tbl>
    <w:p>
      <w:pPr>
        <w:spacing w:after="0" w:line="255" w:lineRule="exact"/>
        <w:rPr>
          <w:sz w:val="21"/>
        </w:rPr>
        <w:sectPr>
          <w:pgSz w:w="11910" w:h="16840"/>
          <w:pgMar w:top="1580" w:bottom="280" w:left="9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598"/>
        <w:gridCol w:w="7190"/>
      </w:tblGrid>
      <w:tr>
        <w:trPr>
          <w:trHeight w:val="644" w:hRule="atLeast"/>
        </w:trPr>
        <w:tc>
          <w:tcPr>
            <w:tcW w:w="944" w:type="dxa"/>
          </w:tcPr>
          <w:p>
            <w:pPr>
              <w:pStyle w:val="TableParagraph"/>
              <w:spacing w:line="202" w:lineRule="exact"/>
              <w:ind w:left="179" w:right="194"/>
              <w:jc w:val="center"/>
              <w:rPr>
                <w:b/>
                <w:sz w:val="21"/>
              </w:rPr>
            </w:pPr>
            <w:r>
              <w:rPr>
                <w:b/>
                <w:sz w:val="21"/>
              </w:rPr>
              <w:t>13.21</w:t>
            </w:r>
          </w:p>
        </w:tc>
        <w:tc>
          <w:tcPr>
            <w:tcW w:w="1598" w:type="dxa"/>
          </w:tcPr>
          <w:p>
            <w:pPr>
              <w:pStyle w:val="TableParagraph"/>
              <w:spacing w:line="202" w:lineRule="exact"/>
              <w:ind w:left="215"/>
              <w:rPr>
                <w:b/>
                <w:sz w:val="21"/>
              </w:rPr>
            </w:pPr>
            <w:r>
              <w:rPr>
                <w:b/>
                <w:sz w:val="21"/>
              </w:rPr>
              <w:t>肢体机能完全</w:t>
            </w:r>
          </w:p>
          <w:p>
            <w:pPr>
              <w:pStyle w:val="TableParagraph"/>
              <w:spacing w:before="37"/>
              <w:ind w:left="215"/>
              <w:rPr>
                <w:b/>
                <w:sz w:val="21"/>
              </w:rPr>
            </w:pPr>
            <w:r>
              <w:rPr>
                <w:b/>
                <w:sz w:val="21"/>
              </w:rPr>
              <w:t>丧失</w:t>
            </w:r>
          </w:p>
        </w:tc>
        <w:tc>
          <w:tcPr>
            <w:tcW w:w="7190" w:type="dxa"/>
          </w:tcPr>
          <w:p>
            <w:pPr>
              <w:pStyle w:val="TableParagraph"/>
              <w:spacing w:line="202" w:lineRule="exact"/>
              <w:ind w:left="115"/>
              <w:rPr>
                <w:sz w:val="21"/>
              </w:rPr>
            </w:pPr>
            <w:r>
              <w:rPr>
                <w:sz w:val="21"/>
              </w:rPr>
              <w:t>指肢体的三大关节中的两大关节僵硬，或不能随意识活动。肢体是指包括肩</w:t>
            </w:r>
          </w:p>
          <w:p>
            <w:pPr>
              <w:pStyle w:val="TableParagraph"/>
              <w:spacing w:before="37"/>
              <w:ind w:left="115"/>
              <w:rPr>
                <w:sz w:val="21"/>
              </w:rPr>
            </w:pPr>
            <w:r>
              <w:rPr>
                <w:sz w:val="21"/>
              </w:rPr>
              <w:t>关节的整个上肢或包括髋关节的整个下肢。</w:t>
            </w:r>
          </w:p>
        </w:tc>
      </w:tr>
      <w:tr>
        <w:trPr>
          <w:trHeight w:val="1779" w:hRule="atLeast"/>
        </w:trPr>
        <w:tc>
          <w:tcPr>
            <w:tcW w:w="944" w:type="dxa"/>
          </w:tcPr>
          <w:p>
            <w:pPr>
              <w:pStyle w:val="TableParagraph"/>
              <w:spacing w:before="48"/>
              <w:ind w:left="179" w:right="194"/>
              <w:jc w:val="center"/>
              <w:rPr>
                <w:b/>
                <w:sz w:val="21"/>
              </w:rPr>
            </w:pPr>
            <w:r>
              <w:rPr>
                <w:b/>
                <w:sz w:val="21"/>
              </w:rPr>
              <w:t>13.22</w:t>
            </w:r>
          </w:p>
        </w:tc>
        <w:tc>
          <w:tcPr>
            <w:tcW w:w="1598" w:type="dxa"/>
          </w:tcPr>
          <w:p>
            <w:pPr>
              <w:pStyle w:val="TableParagraph"/>
              <w:spacing w:line="273" w:lineRule="auto" w:before="48"/>
              <w:ind w:left="215" w:right="112"/>
              <w:jc w:val="both"/>
              <w:rPr>
                <w:b/>
                <w:sz w:val="21"/>
              </w:rPr>
            </w:pPr>
            <w:r>
              <w:rPr>
                <w:b/>
                <w:sz w:val="21"/>
              </w:rPr>
              <w:t>语言能力或咀嚼吞咽能力完全丧失</w:t>
            </w:r>
          </w:p>
        </w:tc>
        <w:tc>
          <w:tcPr>
            <w:tcW w:w="7190" w:type="dxa"/>
          </w:tcPr>
          <w:p>
            <w:pPr>
              <w:pStyle w:val="TableParagraph"/>
              <w:spacing w:line="273" w:lineRule="auto" w:before="48"/>
              <w:ind w:left="115" w:right="197"/>
              <w:jc w:val="both"/>
              <w:rPr>
                <w:sz w:val="21"/>
              </w:rPr>
            </w:pPr>
            <w:r>
              <w:rPr>
                <w:spacing w:val="-6"/>
                <w:sz w:val="21"/>
              </w:rPr>
              <w:t>语言能力完全丧失，指无法发出四种语音</w:t>
            </w:r>
            <w:r>
              <w:rPr>
                <w:spacing w:val="-3"/>
                <w:sz w:val="21"/>
              </w:rPr>
              <w:t>（</w:t>
            </w:r>
            <w:r>
              <w:rPr>
                <w:spacing w:val="-7"/>
                <w:sz w:val="21"/>
              </w:rPr>
              <w:t>包括口唇音、齿舌音、口盖音和</w:t>
            </w:r>
            <w:r>
              <w:rPr>
                <w:spacing w:val="-1"/>
                <w:sz w:val="21"/>
              </w:rPr>
              <w:t>喉头音</w:t>
            </w:r>
            <w:r>
              <w:rPr>
                <w:spacing w:val="-22"/>
                <w:sz w:val="21"/>
              </w:rPr>
              <w:t>）</w:t>
            </w:r>
            <w:r>
              <w:rPr>
                <w:spacing w:val="-8"/>
                <w:sz w:val="21"/>
              </w:rPr>
              <w:t>中的任何三种、或声带全部切除，或因大脑语言中枢受伤害而患失语症。</w:t>
            </w:r>
          </w:p>
          <w:p>
            <w:pPr>
              <w:pStyle w:val="TableParagraph"/>
              <w:spacing w:line="273" w:lineRule="auto" w:before="84"/>
              <w:ind w:left="115" w:right="197"/>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645" w:hRule="atLeast"/>
        </w:trPr>
        <w:tc>
          <w:tcPr>
            <w:tcW w:w="944" w:type="dxa"/>
          </w:tcPr>
          <w:p>
            <w:pPr>
              <w:pStyle w:val="TableParagraph"/>
              <w:spacing w:before="50"/>
              <w:ind w:left="179" w:right="194"/>
              <w:jc w:val="center"/>
              <w:rPr>
                <w:b/>
                <w:sz w:val="21"/>
              </w:rPr>
            </w:pPr>
            <w:r>
              <w:rPr>
                <w:b/>
                <w:sz w:val="21"/>
              </w:rPr>
              <w:t>13.23</w:t>
            </w:r>
          </w:p>
        </w:tc>
        <w:tc>
          <w:tcPr>
            <w:tcW w:w="1598" w:type="dxa"/>
          </w:tcPr>
          <w:p>
            <w:pPr>
              <w:pStyle w:val="TableParagraph"/>
              <w:spacing w:before="50"/>
              <w:ind w:left="215"/>
              <w:rPr>
                <w:b/>
                <w:sz w:val="21"/>
              </w:rPr>
            </w:pPr>
            <w:r>
              <w:rPr>
                <w:b/>
                <w:sz w:val="21"/>
              </w:rPr>
              <w:t>永久不可逆</w:t>
            </w:r>
          </w:p>
        </w:tc>
        <w:tc>
          <w:tcPr>
            <w:tcW w:w="7190" w:type="dxa"/>
          </w:tcPr>
          <w:p>
            <w:pPr>
              <w:pStyle w:val="TableParagraph"/>
              <w:spacing w:line="310" w:lineRule="atLeast" w:before="15"/>
              <w:ind w:left="115" w:right="133"/>
              <w:rPr>
                <w:sz w:val="21"/>
              </w:rPr>
            </w:pPr>
            <w:r>
              <w:rPr>
                <w:sz w:val="21"/>
              </w:rPr>
              <w:t>指自疾病确诊或意外伤害发生之日起，经过积极治疗180 天后，仍无法通过现有医疗手段恢复。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2"/>
      <w:outlineLvl w:val="1"/>
    </w:pPr>
    <w:rPr>
      <w:rFonts w:ascii="宋体" w:hAnsi="宋体" w:eastAsia="宋体" w:cs="宋体"/>
      <w:b/>
      <w:bCs/>
      <w:sz w:val="21"/>
      <w:szCs w:val="21"/>
    </w:rPr>
  </w:style>
  <w:style w:styleId="ListParagraph" w:type="paragraph">
    <w:name w:val="List Paragraph"/>
    <w:basedOn w:val="Normal"/>
    <w:uiPriority w:val="1"/>
    <w:qFormat/>
    <w:pPr>
      <w:spacing w:before="21"/>
      <w:ind w:left="849" w:hanging="453"/>
    </w:pPr>
    <w:rPr>
      <w:rFonts w:ascii="黑体" w:hAnsi="黑体" w:eastAsia="黑体" w:cs="黑体"/>
    </w:rPr>
  </w:style>
  <w:style w:styleId="TableParagraph" w:type="paragraph">
    <w:name w:val="Table Paragraph"/>
    <w:basedOn w:val="Normal"/>
    <w:uiPriority w:val="1"/>
    <w:qFormat/>
    <w:pPr>
      <w:ind w:left="11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2018-10-20T03:53:20Z</dcterms:created>
  <dcterms:modified xsi:type="dcterms:W3CDTF">2018-10-20T03:53:20Z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Acrobat PDFMaker 9.0 Word 版</vt:lpwstr>
  </property>
  <property fmtid="{D5CDD505-2E9C-101B-9397-08002B2CF9AE}" pid="4" name="LastSaved">
    <vt:filetime>2018-10-19T00:00:00Z</vt:filetime>
  </property>
</Properties>
</file>