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135" w:firstLine="0"/>
        <w:jc w:val="right"/>
        <w:rPr>
          <w:sz w:val="18"/>
        </w:rPr>
      </w:pPr>
      <w:r>
        <w:rPr/>
        <w:drawing>
          <wp:anchor distT="0" distB="0" distL="0" distR="0" allowOverlap="1" layoutInCell="1" locked="0" behindDoc="0" simplePos="0" relativeHeight="0">
            <wp:simplePos x="0" y="0"/>
            <wp:positionH relativeFrom="page">
              <wp:posOffset>5991605</wp:posOffset>
            </wp:positionH>
            <wp:positionV relativeFrom="paragraph">
              <wp:posOffset>250092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[2018]</w:t>
      </w:r>
      <w:r>
        <w:rPr>
          <w:sz w:val="18"/>
        </w:rPr>
        <w:t>疾病保险 </w:t>
      </w:r>
      <w:r>
        <w:rPr>
          <w:rFonts w:ascii="Times New Roman" w:eastAsia="Times New Roman"/>
          <w:sz w:val="18"/>
        </w:rPr>
        <w:t>003 </w:t>
      </w:r>
      <w:r>
        <w:rPr>
          <w:sz w:val="18"/>
        </w:rPr>
        <w:t>号</w:t>
      </w:r>
    </w:p>
    <w:p>
      <w:pPr>
        <w:pStyle w:val="BodyText"/>
        <w:spacing w:before="2"/>
        <w:rPr>
          <w:sz w:val="6"/>
        </w:rPr>
      </w:pPr>
    </w:p>
    <w:p>
      <w:pPr>
        <w:spacing w:after="0"/>
        <w:rPr>
          <w:sz w:val="6"/>
        </w:rPr>
        <w:sectPr>
          <w:footerReference w:type="default" r:id="rId5"/>
          <w:type w:val="continuous"/>
          <w:pgSz w:w="11910" w:h="16840"/>
          <w:pgMar w:footer="988" w:top="1120" w:bottom="1180" w:left="1020" w:right="1100"/>
          <w:pgNumType w:start="3"/>
        </w:sectPr>
      </w:pPr>
    </w:p>
    <w:p>
      <w:pPr>
        <w:pStyle w:val="BodyText"/>
        <w:spacing w:before="4"/>
        <w:rPr>
          <w:sz w:val="30"/>
        </w:rPr>
      </w:pPr>
    </w:p>
    <w:p>
      <w:pPr>
        <w:pStyle w:val="Heading2"/>
        <w:jc w:val="right"/>
      </w:pPr>
      <w:r>
        <w:rPr/>
        <w:t>阅  读  指 引</w:t>
      </w:r>
    </w:p>
    <w:p>
      <w:pPr>
        <w:spacing w:before="45"/>
        <w:ind w:left="2112" w:right="0" w:firstLine="0"/>
        <w:jc w:val="left"/>
        <w:rPr>
          <w:sz w:val="18"/>
        </w:rPr>
      </w:pPr>
      <w:r>
        <w:rPr/>
        <w:br w:type="column"/>
      </w:r>
      <w:r>
        <w:rPr>
          <w:sz w:val="18"/>
        </w:rPr>
        <w:t>请扫描以查询验证条款</w:t>
      </w:r>
    </w:p>
    <w:p>
      <w:pPr>
        <w:spacing w:after="0"/>
        <w:jc w:val="left"/>
        <w:rPr>
          <w:sz w:val="18"/>
        </w:rPr>
        <w:sectPr>
          <w:type w:val="continuous"/>
          <w:pgSz w:w="11910" w:h="16840"/>
          <w:pgMar w:top="1120" w:bottom="1180" w:left="1020" w:right="1100"/>
          <w:cols w:num="2" w:equalWidth="0">
            <w:col w:w="5704" w:space="40"/>
            <w:col w:w="4046"/>
          </w:cols>
        </w:sectPr>
      </w:pPr>
    </w:p>
    <w:p>
      <w:pPr>
        <w:pStyle w:val="BodyText"/>
        <w:spacing w:before="1"/>
        <w:rPr>
          <w:sz w:val="29"/>
        </w:rPr>
      </w:pPr>
    </w:p>
    <w:p>
      <w:pPr>
        <w:pStyle w:val="Heading4"/>
        <w:tabs>
          <w:tab w:pos="953" w:val="left" w:leader="none"/>
        </w:tabs>
        <w:spacing w:before="62"/>
        <w:ind w:left="114"/>
      </w:pPr>
      <w:r>
        <w:rPr>
          <w:rFonts w:ascii="Arial" w:hAnsi="Arial" w:eastAsia="Arial"/>
          <w:w w:val="105"/>
          <w:position w:val="-9"/>
          <w:sz w:val="44"/>
        </w:rPr>
        <w:t></w:t>
        <w:tab/>
      </w:r>
      <w:r>
        <w:rPr>
          <w:w w:val="95"/>
        </w:rPr>
        <w:t>本阅读指引适用于《中华怡萌少儿重大疾病保险条款》</w:t>
      </w:r>
    </w:p>
    <w:p>
      <w:pPr>
        <w:tabs>
          <w:tab w:pos="953" w:val="left" w:leader="none"/>
        </w:tabs>
        <w:spacing w:before="273"/>
        <w:ind w:left="114" w:right="0" w:firstLine="0"/>
        <w:jc w:val="left"/>
        <w:rPr>
          <w:b/>
          <w:sz w:val="21"/>
        </w:rPr>
      </w:pPr>
      <w:r>
        <w:rPr>
          <w:rFonts w:ascii="Arial" w:hAnsi="Arial" w:eastAsia="Arial"/>
          <w:b/>
          <w:w w:val="105"/>
          <w:position w:val="-9"/>
          <w:sz w:val="44"/>
        </w:rPr>
        <w:t></w:t>
        <w:tab/>
      </w:r>
      <w:r>
        <w:rPr>
          <w:b/>
          <w:w w:val="95"/>
          <w:sz w:val="21"/>
        </w:rPr>
        <w:t>为了方便您更好地理解本保险条款，我们介绍以下人身保险条款中常用术语</w:t>
      </w:r>
    </w:p>
    <w:p>
      <w:pPr>
        <w:pStyle w:val="BodyText"/>
        <w:spacing w:line="273" w:lineRule="auto" w:before="217"/>
        <w:ind w:left="954" w:right="1476"/>
      </w:pPr>
      <w:r>
        <w:rPr>
          <w:b/>
        </w:rPr>
        <w:t>投保人</w:t>
      </w:r>
      <w:r>
        <w:rPr/>
        <w:t>指与保险公司订立保险合同并支付保险费的人，在本条款中以“您”代称</w:t>
      </w:r>
      <w:r>
        <w:rPr>
          <w:b/>
          <w:w w:val="95"/>
        </w:rPr>
        <w:t>被保险人</w:t>
      </w:r>
      <w:r>
        <w:rPr>
          <w:w w:val="95"/>
        </w:rPr>
        <w:t>指受保险合同保障的人</w:t>
      </w:r>
    </w:p>
    <w:p>
      <w:pPr>
        <w:pStyle w:val="BodyText"/>
        <w:spacing w:before="7"/>
        <w:ind w:left="954"/>
      </w:pPr>
      <w:r>
        <w:rPr>
          <w:b/>
          <w:w w:val="95"/>
        </w:rPr>
        <w:t>受益人</w:t>
      </w:r>
      <w:r>
        <w:rPr>
          <w:w w:val="95"/>
        </w:rPr>
        <w:t>指由投保人或被保险人指定的，享有保险金请求权的人</w:t>
      </w:r>
    </w:p>
    <w:p>
      <w:pPr>
        <w:pStyle w:val="BodyText"/>
        <w:rPr>
          <w:sz w:val="19"/>
        </w:rPr>
      </w:pPr>
    </w:p>
    <w:p>
      <w:pPr>
        <w:pStyle w:val="Heading4"/>
        <w:tabs>
          <w:tab w:pos="953" w:val="left" w:leader="none"/>
        </w:tabs>
        <w:ind w:left="114"/>
      </w:pPr>
      <w:r>
        <w:rPr>
          <w:rFonts w:ascii="Arial" w:hAnsi="Arial" w:eastAsia="Arial"/>
          <w:w w:val="105"/>
          <w:position w:val="-9"/>
          <w:sz w:val="44"/>
        </w:rPr>
        <w:t></w:t>
        <w:tab/>
      </w:r>
      <w:r>
        <w:rPr>
          <w:w w:val="95"/>
        </w:rPr>
        <w:t>您拥有的重要权益</w:t>
      </w:r>
    </w:p>
    <w:p>
      <w:pPr>
        <w:pStyle w:val="BodyText"/>
        <w:tabs>
          <w:tab w:pos="9670" w:val="right" w:leader="dot"/>
        </w:tabs>
        <w:spacing w:before="217"/>
        <w:ind w:left="954"/>
        <w:rPr>
          <w:rFonts w:ascii="Times New Roman" w:eastAsia="Times New Roman"/>
        </w:rPr>
      </w:pPr>
      <w:r>
        <w:rPr/>
        <w:t>本合同提供的保障在保险责任条款中列明</w:t>
        <w:tab/>
      </w:r>
      <w:r>
        <w:rPr>
          <w:rFonts w:ascii="Times New Roman" w:eastAsia="Times New Roman"/>
        </w:rPr>
        <w:t>2.3</w:t>
      </w:r>
    </w:p>
    <w:p>
      <w:pPr>
        <w:pStyle w:val="BodyText"/>
        <w:tabs>
          <w:tab w:pos="9670" w:val="right" w:leader="dot"/>
        </w:tabs>
        <w:spacing w:before="20"/>
        <w:ind w:left="953"/>
        <w:rPr>
          <w:rFonts w:ascii="Times New Roman" w:eastAsia="Times New Roman"/>
        </w:rPr>
      </w:pPr>
      <w:r>
        <w:rPr/>
        <w:t>您有退保的权利</w:t>
        <w:tab/>
      </w:r>
      <w:r>
        <w:rPr>
          <w:rFonts w:ascii="Times New Roman" w:eastAsia="Times New Roman"/>
        </w:rPr>
        <w:t>5.1</w:t>
      </w:r>
    </w:p>
    <w:p>
      <w:pPr>
        <w:pStyle w:val="Heading4"/>
        <w:tabs>
          <w:tab w:pos="953" w:val="left" w:leader="none"/>
        </w:tabs>
        <w:spacing w:before="233"/>
        <w:ind w:left="114"/>
      </w:pPr>
      <w:r>
        <w:rPr>
          <w:rFonts w:ascii="Arial" w:hAnsi="Arial" w:eastAsia="Arial"/>
          <w:w w:val="105"/>
          <w:position w:val="-9"/>
          <w:sz w:val="44"/>
        </w:rPr>
        <w:t></w:t>
        <w:tab/>
      </w:r>
      <w:r>
        <w:rPr>
          <w:w w:val="95"/>
        </w:rPr>
        <w:t>您应当特别注意的事项</w:t>
      </w:r>
    </w:p>
    <w:p>
      <w:pPr>
        <w:pStyle w:val="Heading4"/>
        <w:tabs>
          <w:tab w:pos="9666" w:val="right" w:leader="dot"/>
        </w:tabs>
        <w:spacing w:before="218"/>
        <w:ind w:left="956"/>
        <w:rPr>
          <w:rFonts w:ascii="Times New Roman" w:eastAsia="Times New Roman"/>
        </w:rPr>
      </w:pPr>
      <w:r>
        <w:rPr/>
        <w:t>您应当及时签收保险合同</w:t>
        <w:tab/>
      </w:r>
      <w:r>
        <w:rPr>
          <w:rFonts w:ascii="Times New Roman" w:eastAsia="Times New Roman"/>
        </w:rPr>
        <w:t>1.4</w:t>
      </w:r>
    </w:p>
    <w:p>
      <w:pPr>
        <w:pStyle w:val="Heading4"/>
        <w:tabs>
          <w:tab w:pos="9667" w:val="right" w:leader="dot"/>
        </w:tabs>
        <w:spacing w:before="21"/>
        <w:ind w:left="956"/>
        <w:rPr>
          <w:rFonts w:ascii="Times New Roman" w:eastAsia="Times New Roman"/>
        </w:rPr>
      </w:pPr>
      <w:r>
        <w:rPr/>
        <w:t>本合同有</w:t>
      </w:r>
      <w:r>
        <w:rPr>
          <w:spacing w:val="-55"/>
        </w:rPr>
        <w:t> </w:t>
      </w:r>
      <w:r>
        <w:rPr>
          <w:rFonts w:ascii="Times New Roman" w:eastAsia="Times New Roman"/>
        </w:rPr>
        <w:t>90</w:t>
      </w:r>
      <w:r>
        <w:rPr>
          <w:rFonts w:ascii="Times New Roman" w:eastAsia="Times New Roman"/>
          <w:spacing w:val="-2"/>
        </w:rPr>
        <w:t> </w:t>
      </w:r>
      <w:r>
        <w:rPr/>
        <w:t>天的等待期，请您注意</w:t>
        <w:tab/>
      </w:r>
      <w:r>
        <w:rPr>
          <w:rFonts w:ascii="Times New Roman" w:eastAsia="Times New Roman"/>
        </w:rPr>
        <w:t>2.3</w:t>
      </w:r>
    </w:p>
    <w:p>
      <w:pPr>
        <w:pStyle w:val="Heading4"/>
        <w:spacing w:before="21"/>
        <w:ind w:left="956"/>
        <w:rPr>
          <w:rFonts w:ascii="Times New Roman" w:eastAsia="Times New Roman"/>
        </w:rPr>
      </w:pPr>
      <w:r>
        <w:rPr/>
        <w:t>在某些情况下，我们不承担保险责任</w:t>
      </w:r>
      <w:r>
        <w:rPr>
          <w:rFonts w:ascii="Times New Roman" w:eastAsia="Times New Roman"/>
        </w:rPr>
        <w:t>......................................................................................... 2.4/2.5</w:t>
      </w:r>
    </w:p>
    <w:p>
      <w:pPr>
        <w:pStyle w:val="Heading4"/>
        <w:tabs>
          <w:tab w:pos="9668" w:val="right" w:leader="dot"/>
        </w:tabs>
        <w:spacing w:before="21"/>
        <w:ind w:left="956"/>
        <w:rPr>
          <w:rFonts w:ascii="Times New Roman" w:eastAsia="Times New Roman"/>
        </w:rPr>
      </w:pPr>
      <w:r>
        <w:rPr/>
        <w:t>保险事故发生后请及时通知我们，否则可能影响保险金的给付</w:t>
        <w:tab/>
      </w:r>
      <w:r>
        <w:rPr>
          <w:rFonts w:ascii="Times New Roman" w:eastAsia="Times New Roman"/>
        </w:rPr>
        <w:t>3.2</w:t>
      </w:r>
    </w:p>
    <w:p>
      <w:pPr>
        <w:pStyle w:val="Heading4"/>
        <w:tabs>
          <w:tab w:pos="9667" w:val="right" w:leader="dot"/>
        </w:tabs>
        <w:spacing w:before="21"/>
        <w:ind w:left="956"/>
        <w:rPr>
          <w:rFonts w:ascii="Times New Roman" w:eastAsia="Times New Roman"/>
        </w:rPr>
      </w:pPr>
      <w:r>
        <w:rPr/>
        <w:t>退保会给您造成一定的损失，请您慎重决策</w:t>
        <w:tab/>
      </w:r>
      <w:r>
        <w:rPr>
          <w:rFonts w:ascii="Times New Roman" w:eastAsia="Times New Roman"/>
        </w:rPr>
        <w:t>5.1</w:t>
      </w:r>
    </w:p>
    <w:p>
      <w:pPr>
        <w:pStyle w:val="Heading4"/>
        <w:tabs>
          <w:tab w:pos="9670" w:val="right" w:leader="dot"/>
        </w:tabs>
        <w:spacing w:before="21"/>
        <w:ind w:left="956"/>
        <w:rPr>
          <w:rFonts w:ascii="Times New Roman" w:eastAsia="Times New Roman"/>
        </w:rPr>
      </w:pPr>
      <w:r>
        <w:rPr/>
        <w:t>您有如实告知的义务</w:t>
        <w:tab/>
      </w:r>
      <w:r>
        <w:rPr>
          <w:rFonts w:ascii="Times New Roman" w:eastAsia="Times New Roman"/>
        </w:rPr>
        <w:t>6.1</w:t>
      </w:r>
    </w:p>
    <w:p>
      <w:pPr>
        <w:pStyle w:val="Heading4"/>
        <w:tabs>
          <w:tab w:pos="9668" w:val="right" w:leader="dot"/>
        </w:tabs>
        <w:spacing w:before="21"/>
        <w:ind w:left="956"/>
        <w:rPr>
          <w:rFonts w:ascii="Times New Roman" w:eastAsia="Times New Roman"/>
        </w:rPr>
      </w:pPr>
      <w:r>
        <w:rPr/>
        <w:t>保险条款有关于重大疾病的定义，请您仔细阅读</w:t>
        <w:tab/>
      </w:r>
      <w:r>
        <w:rPr>
          <w:rFonts w:ascii="Times New Roman" w:eastAsia="Times New Roman"/>
        </w:rPr>
        <w:t>8</w:t>
      </w:r>
    </w:p>
    <w:p>
      <w:pPr>
        <w:pStyle w:val="Heading4"/>
        <w:tabs>
          <w:tab w:pos="9667" w:val="right" w:leader="dot"/>
        </w:tabs>
        <w:spacing w:before="21"/>
        <w:ind w:left="956"/>
        <w:rPr>
          <w:rFonts w:ascii="Times New Roman" w:eastAsia="Times New Roman"/>
        </w:rPr>
      </w:pPr>
      <w:r>
        <w:rPr/>
        <w:t>我们对一些重要术语进行了解释，请您注意</w:t>
        <w:tab/>
      </w:r>
      <w:r>
        <w:rPr>
          <w:rFonts w:ascii="Times New Roman" w:eastAsia="Times New Roman"/>
        </w:rPr>
        <w:t>9</w:t>
      </w:r>
    </w:p>
    <w:p>
      <w:pPr>
        <w:tabs>
          <w:tab w:pos="953" w:val="left" w:leader="none"/>
        </w:tabs>
        <w:spacing w:before="233"/>
        <w:ind w:left="114" w:right="0" w:firstLine="0"/>
        <w:jc w:val="left"/>
        <w:rPr>
          <w:b/>
          <w:sz w:val="21"/>
        </w:rPr>
      </w:pPr>
      <w:r>
        <w:rPr>
          <w:rFonts w:ascii="Arial" w:hAnsi="Arial" w:eastAsia="Arial"/>
          <w:b/>
          <w:w w:val="105"/>
          <w:position w:val="-9"/>
          <w:sz w:val="44"/>
        </w:rPr>
        <w:t></w:t>
        <w:tab/>
      </w:r>
      <w:r>
        <w:rPr>
          <w:b/>
          <w:w w:val="95"/>
          <w:sz w:val="21"/>
        </w:rPr>
        <w:t>条款是保险合同的重要内容，为充分保障您的权益，请您仔细阅读本条款</w:t>
      </w:r>
    </w:p>
    <w:p>
      <w:pPr>
        <w:tabs>
          <w:tab w:pos="953" w:val="left" w:leader="none"/>
        </w:tabs>
        <w:spacing w:before="271"/>
        <w:ind w:left="114" w:right="0" w:firstLine="0"/>
        <w:jc w:val="left"/>
        <w:rPr>
          <w:b/>
          <w:sz w:val="21"/>
        </w:rPr>
      </w:pPr>
      <w:r>
        <w:rPr/>
        <w:pict>
          <v:rect style="position:absolute;margin-left:267.299988pt;margin-top:11.626045pt;width:84.3pt;height:27.24pt;mso-position-horizontal-relative:page;mso-position-vertical-relative:paragraph;z-index:-67408" filled="true" fillcolor="#c0c0c0" stroked="false">
            <v:fill type="solid"/>
            <w10:wrap type="none"/>
          </v:rect>
        </w:pict>
      </w:r>
      <w:r>
        <w:rPr>
          <w:rFonts w:ascii="Arial" w:hAnsi="Arial" w:eastAsia="Arial"/>
          <w:b/>
          <w:w w:val="105"/>
          <w:position w:val="-11"/>
          <w:sz w:val="44"/>
        </w:rPr>
        <w:t></w:t>
        <w:tab/>
      </w:r>
      <w:r>
        <w:rPr>
          <w:b/>
          <w:w w:val="95"/>
          <w:sz w:val="21"/>
        </w:rPr>
        <w:t>请您特别留意条款中黑色加粗字体和灰色底纹背景字体的内容</w:t>
      </w:r>
    </w:p>
    <w:p>
      <w:pPr>
        <w:spacing w:after="0"/>
        <w:jc w:val="left"/>
        <w:rPr>
          <w:sz w:val="21"/>
        </w:rPr>
        <w:sectPr>
          <w:type w:val="continuous"/>
          <w:pgSz w:w="11910" w:h="16840"/>
          <w:pgMar w:top="1120" w:bottom="1180" w:left="1020" w:right="1100"/>
        </w:sectPr>
      </w:pPr>
    </w:p>
    <w:p>
      <w:pPr>
        <w:spacing w:line="435" w:lineRule="exact" w:before="0"/>
        <w:ind w:left="3724" w:right="3722" w:firstLine="0"/>
        <w:jc w:val="center"/>
        <w:rPr>
          <w:rFonts w:ascii="微软雅黑" w:eastAsia="微软雅黑" w:hint="eastAsia"/>
          <w:b/>
          <w:sz w:val="28"/>
        </w:rPr>
      </w:pPr>
      <w:r>
        <w:rPr>
          <w:rFonts w:ascii="微软雅黑" w:eastAsia="微软雅黑" w:hint="eastAsia"/>
          <w:b/>
          <w:w w:val="95"/>
          <w:sz w:val="28"/>
        </w:rPr>
        <w:t>条款目录</w:t>
      </w:r>
    </w:p>
    <w:p>
      <w:pPr>
        <w:spacing w:after="0" w:line="435" w:lineRule="exact"/>
        <w:jc w:val="center"/>
        <w:rPr>
          <w:rFonts w:ascii="微软雅黑" w:eastAsia="微软雅黑" w:hint="eastAsia"/>
          <w:sz w:val="28"/>
        </w:rPr>
        <w:sectPr>
          <w:pgSz w:w="11910" w:h="16840"/>
          <w:pgMar w:header="0" w:footer="988" w:top="1180" w:bottom="1180" w:left="1680" w:right="1680"/>
        </w:sectPr>
      </w:pPr>
    </w:p>
    <w:p>
      <w:pPr>
        <w:pStyle w:val="BodyText"/>
        <w:spacing w:before="8"/>
        <w:rPr>
          <w:rFonts w:ascii="微软雅黑"/>
          <w:b/>
          <w:sz w:val="25"/>
        </w:rPr>
      </w:pPr>
    </w:p>
    <w:p>
      <w:pPr>
        <w:pStyle w:val="ListParagraph"/>
        <w:numPr>
          <w:ilvl w:val="0"/>
          <w:numId w:val="1"/>
        </w:numPr>
        <w:tabs>
          <w:tab w:pos="648" w:val="left" w:leader="none"/>
        </w:tabs>
        <w:spacing w:line="240" w:lineRule="auto" w:before="0" w:after="0"/>
        <w:ind w:left="647" w:right="0" w:hanging="263"/>
        <w:jc w:val="left"/>
        <w:rPr>
          <w:b/>
          <w:sz w:val="21"/>
        </w:rPr>
      </w:pPr>
      <w:r>
        <w:rPr>
          <w:b/>
          <w:w w:val="95"/>
          <w:sz w:val="21"/>
        </w:rPr>
        <w:t>您与我们订立的合同</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合同构成</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合同成立及生效</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投保年龄</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合同的签收</w:t>
      </w:r>
    </w:p>
    <w:p>
      <w:pPr>
        <w:pStyle w:val="BodyText"/>
        <w:spacing w:before="6"/>
        <w:rPr>
          <w:sz w:val="25"/>
        </w:rPr>
      </w:pPr>
    </w:p>
    <w:p>
      <w:pPr>
        <w:pStyle w:val="Heading4"/>
        <w:numPr>
          <w:ilvl w:val="0"/>
          <w:numId w:val="1"/>
        </w:numPr>
        <w:tabs>
          <w:tab w:pos="648" w:val="left" w:leader="none"/>
        </w:tabs>
        <w:spacing w:line="240" w:lineRule="auto" w:before="0" w:after="0"/>
        <w:ind w:left="647" w:right="0" w:hanging="263"/>
        <w:jc w:val="left"/>
      </w:pPr>
      <w:r>
        <w:rPr>
          <w:w w:val="95"/>
        </w:rPr>
        <w:t>我们提供的保障</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基本保险金额</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保险期间和续保</w:t>
      </w:r>
    </w:p>
    <w:p>
      <w:pPr>
        <w:pStyle w:val="BodyText"/>
        <w:rPr>
          <w:sz w:val="22"/>
        </w:rPr>
      </w:pPr>
      <w:r>
        <w:rPr/>
        <w:br w:type="column"/>
      </w:r>
      <w:r>
        <w:rPr>
          <w:sz w:val="22"/>
        </w:rPr>
      </w:r>
    </w:p>
    <w:p>
      <w:pPr>
        <w:pStyle w:val="Heading4"/>
        <w:numPr>
          <w:ilvl w:val="0"/>
          <w:numId w:val="2"/>
        </w:numPr>
        <w:tabs>
          <w:tab w:pos="649" w:val="left" w:leader="none"/>
        </w:tabs>
        <w:spacing w:line="240" w:lineRule="auto" w:before="152" w:after="0"/>
        <w:ind w:left="648" w:right="0" w:hanging="264"/>
        <w:jc w:val="left"/>
      </w:pPr>
      <w:r>
        <w:rPr>
          <w:w w:val="95"/>
        </w:rPr>
        <w:t>合同解除</w:t>
      </w:r>
    </w:p>
    <w:p>
      <w:pPr>
        <w:pStyle w:val="ListParagraph"/>
        <w:numPr>
          <w:ilvl w:val="1"/>
          <w:numId w:val="2"/>
        </w:numPr>
        <w:tabs>
          <w:tab w:pos="859" w:val="left" w:leader="none"/>
        </w:tabs>
        <w:spacing w:line="240" w:lineRule="auto" w:before="21" w:after="0"/>
        <w:ind w:left="858" w:right="0" w:hanging="369"/>
        <w:jc w:val="left"/>
        <w:rPr>
          <w:sz w:val="21"/>
        </w:rPr>
      </w:pPr>
      <w:r>
        <w:rPr>
          <w:spacing w:val="-1"/>
          <w:sz w:val="21"/>
        </w:rPr>
        <w:t>您解除合同的手续及风险</w:t>
      </w:r>
    </w:p>
    <w:p>
      <w:pPr>
        <w:pStyle w:val="BodyText"/>
        <w:spacing w:before="5"/>
        <w:rPr>
          <w:sz w:val="25"/>
        </w:rPr>
      </w:pPr>
    </w:p>
    <w:p>
      <w:pPr>
        <w:pStyle w:val="Heading4"/>
        <w:numPr>
          <w:ilvl w:val="0"/>
          <w:numId w:val="2"/>
        </w:numPr>
        <w:tabs>
          <w:tab w:pos="649" w:val="left" w:leader="none"/>
        </w:tabs>
        <w:spacing w:line="240" w:lineRule="auto" w:before="0" w:after="0"/>
        <w:ind w:left="648" w:right="0" w:hanging="264"/>
        <w:jc w:val="left"/>
      </w:pPr>
      <w:r>
        <w:rPr>
          <w:w w:val="95"/>
        </w:rPr>
        <w:t>如实告知</w:t>
      </w:r>
    </w:p>
    <w:p>
      <w:pPr>
        <w:pStyle w:val="ListParagraph"/>
        <w:numPr>
          <w:ilvl w:val="1"/>
          <w:numId w:val="2"/>
        </w:numPr>
        <w:tabs>
          <w:tab w:pos="859" w:val="left" w:leader="none"/>
        </w:tabs>
        <w:spacing w:line="240" w:lineRule="auto" w:before="20" w:after="0"/>
        <w:ind w:left="858" w:right="0" w:hanging="369"/>
        <w:jc w:val="left"/>
        <w:rPr>
          <w:sz w:val="21"/>
        </w:rPr>
      </w:pPr>
      <w:r>
        <w:rPr>
          <w:spacing w:val="-1"/>
          <w:sz w:val="21"/>
        </w:rPr>
        <w:t>明确说明与如实告知</w:t>
      </w:r>
    </w:p>
    <w:p>
      <w:pPr>
        <w:pStyle w:val="ListParagraph"/>
        <w:numPr>
          <w:ilvl w:val="1"/>
          <w:numId w:val="2"/>
        </w:numPr>
        <w:tabs>
          <w:tab w:pos="859" w:val="left" w:leader="none"/>
        </w:tabs>
        <w:spacing w:line="240" w:lineRule="auto" w:before="20" w:after="0"/>
        <w:ind w:left="858" w:right="0" w:hanging="369"/>
        <w:jc w:val="left"/>
        <w:rPr>
          <w:sz w:val="21"/>
        </w:rPr>
      </w:pPr>
      <w:r>
        <w:rPr>
          <w:spacing w:val="-1"/>
          <w:sz w:val="21"/>
        </w:rPr>
        <w:t>本公司合同解除权的限制</w:t>
      </w:r>
    </w:p>
    <w:p>
      <w:pPr>
        <w:pStyle w:val="BodyText"/>
        <w:spacing w:before="5"/>
        <w:rPr>
          <w:sz w:val="25"/>
        </w:rPr>
      </w:pPr>
    </w:p>
    <w:p>
      <w:pPr>
        <w:pStyle w:val="Heading4"/>
        <w:numPr>
          <w:ilvl w:val="0"/>
          <w:numId w:val="2"/>
        </w:numPr>
        <w:tabs>
          <w:tab w:pos="648" w:val="left" w:leader="none"/>
        </w:tabs>
        <w:spacing w:line="240" w:lineRule="auto" w:before="0" w:after="0"/>
        <w:ind w:left="647" w:right="0" w:hanging="263"/>
        <w:jc w:val="left"/>
      </w:pPr>
      <w:r>
        <w:rPr>
          <w:w w:val="95"/>
        </w:rPr>
        <w:t>其他需要关注的事项</w:t>
      </w:r>
    </w:p>
    <w:p>
      <w:pPr>
        <w:pStyle w:val="ListParagraph"/>
        <w:numPr>
          <w:ilvl w:val="1"/>
          <w:numId w:val="2"/>
        </w:numPr>
        <w:tabs>
          <w:tab w:pos="806" w:val="left" w:leader="none"/>
        </w:tabs>
        <w:spacing w:line="240" w:lineRule="auto" w:before="21" w:after="0"/>
        <w:ind w:left="805" w:right="0" w:hanging="316"/>
        <w:jc w:val="left"/>
        <w:rPr>
          <w:sz w:val="21"/>
        </w:rPr>
      </w:pPr>
      <w:r>
        <w:rPr>
          <w:sz w:val="21"/>
        </w:rPr>
        <w:t>年龄错误</w:t>
      </w:r>
    </w:p>
    <w:p>
      <w:pPr>
        <w:spacing w:after="0" w:line="240" w:lineRule="auto"/>
        <w:jc w:val="left"/>
        <w:rPr>
          <w:sz w:val="21"/>
        </w:rPr>
        <w:sectPr>
          <w:type w:val="continuous"/>
          <w:pgSz w:w="11910" w:h="16840"/>
          <w:pgMar w:top="1120" w:bottom="1180" w:left="1680" w:right="1680"/>
          <w:cols w:num="2" w:equalWidth="0">
            <w:col w:w="2544" w:space="1453"/>
            <w:col w:w="4553"/>
          </w:cols>
        </w:sectPr>
      </w:pPr>
    </w:p>
    <w:p>
      <w:pPr>
        <w:pStyle w:val="BodyText"/>
        <w:rPr>
          <w:sz w:val="6"/>
        </w:rPr>
      </w:pPr>
    </w:p>
    <w:tbl>
      <w:tblPr>
        <w:tblW w:w="0" w:type="auto"/>
        <w:jc w:val="left"/>
        <w:tblInd w:w="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
        <w:gridCol w:w="2444"/>
        <w:gridCol w:w="1555"/>
        <w:gridCol w:w="1992"/>
      </w:tblGrid>
      <w:tr>
        <w:trPr>
          <w:trHeight w:val="272" w:hRule="atLeast"/>
        </w:trPr>
        <w:tc>
          <w:tcPr>
            <w:tcW w:w="422" w:type="dxa"/>
          </w:tcPr>
          <w:p>
            <w:pPr>
              <w:pStyle w:val="TableParagraph"/>
              <w:spacing w:line="233" w:lineRule="exact"/>
              <w:ind w:left="85" w:right="32"/>
              <w:jc w:val="center"/>
              <w:rPr>
                <w:rFonts w:ascii="Times New Roman"/>
                <w:sz w:val="21"/>
              </w:rPr>
            </w:pPr>
            <w:r>
              <w:rPr>
                <w:rFonts w:ascii="Times New Roman"/>
                <w:sz w:val="21"/>
              </w:rPr>
              <w:t>2.3</w:t>
            </w:r>
          </w:p>
        </w:tc>
        <w:tc>
          <w:tcPr>
            <w:tcW w:w="2444" w:type="dxa"/>
          </w:tcPr>
          <w:p>
            <w:pPr>
              <w:pStyle w:val="TableParagraph"/>
              <w:spacing w:line="217" w:lineRule="exact"/>
              <w:ind w:left="51"/>
              <w:rPr>
                <w:sz w:val="21"/>
              </w:rPr>
            </w:pPr>
            <w:r>
              <w:rPr>
                <w:sz w:val="21"/>
              </w:rPr>
              <w:t>保险责任</w:t>
            </w:r>
          </w:p>
        </w:tc>
        <w:tc>
          <w:tcPr>
            <w:tcW w:w="1555" w:type="dxa"/>
          </w:tcPr>
          <w:p>
            <w:pPr>
              <w:pStyle w:val="TableParagraph"/>
              <w:spacing w:line="233" w:lineRule="exact"/>
              <w:ind w:right="52"/>
              <w:jc w:val="right"/>
              <w:rPr>
                <w:rFonts w:ascii="Times New Roman"/>
                <w:sz w:val="21"/>
              </w:rPr>
            </w:pPr>
            <w:r>
              <w:rPr>
                <w:rFonts w:ascii="Times New Roman"/>
                <w:sz w:val="21"/>
              </w:rPr>
              <w:t>7.2</w:t>
            </w:r>
          </w:p>
        </w:tc>
        <w:tc>
          <w:tcPr>
            <w:tcW w:w="1992" w:type="dxa"/>
          </w:tcPr>
          <w:p>
            <w:pPr>
              <w:pStyle w:val="TableParagraph"/>
              <w:spacing w:line="217" w:lineRule="exact"/>
              <w:ind w:left="50"/>
              <w:rPr>
                <w:sz w:val="21"/>
              </w:rPr>
            </w:pPr>
            <w:r>
              <w:rPr>
                <w:sz w:val="21"/>
              </w:rPr>
              <w:t>合同内容变更</w:t>
            </w:r>
          </w:p>
        </w:tc>
      </w:tr>
      <w:tr>
        <w:trPr>
          <w:trHeight w:val="311" w:hRule="atLeast"/>
        </w:trPr>
        <w:tc>
          <w:tcPr>
            <w:tcW w:w="422" w:type="dxa"/>
          </w:tcPr>
          <w:p>
            <w:pPr>
              <w:pStyle w:val="TableParagraph"/>
              <w:spacing w:before="31"/>
              <w:ind w:left="84" w:right="33"/>
              <w:jc w:val="center"/>
              <w:rPr>
                <w:rFonts w:ascii="Times New Roman"/>
                <w:sz w:val="21"/>
              </w:rPr>
            </w:pPr>
            <w:r>
              <w:rPr>
                <w:rFonts w:ascii="Times New Roman"/>
                <w:sz w:val="21"/>
              </w:rPr>
              <w:t>2.4</w:t>
            </w:r>
          </w:p>
        </w:tc>
        <w:tc>
          <w:tcPr>
            <w:tcW w:w="2444" w:type="dxa"/>
          </w:tcPr>
          <w:p>
            <w:pPr>
              <w:pStyle w:val="TableParagraph"/>
              <w:spacing w:line="256" w:lineRule="exact"/>
              <w:ind w:left="51"/>
              <w:rPr>
                <w:sz w:val="21"/>
              </w:rPr>
            </w:pPr>
            <w:r>
              <w:rPr>
                <w:sz w:val="21"/>
              </w:rPr>
              <w:t>责任免除</w:t>
            </w:r>
          </w:p>
        </w:tc>
        <w:tc>
          <w:tcPr>
            <w:tcW w:w="1555" w:type="dxa"/>
          </w:tcPr>
          <w:p>
            <w:pPr>
              <w:pStyle w:val="TableParagraph"/>
              <w:spacing w:before="30"/>
              <w:ind w:right="52"/>
              <w:jc w:val="right"/>
              <w:rPr>
                <w:rFonts w:ascii="Times New Roman"/>
                <w:sz w:val="21"/>
              </w:rPr>
            </w:pPr>
            <w:r>
              <w:rPr>
                <w:rFonts w:ascii="Times New Roman"/>
                <w:sz w:val="21"/>
              </w:rPr>
              <w:t>7.3</w:t>
            </w:r>
          </w:p>
        </w:tc>
        <w:tc>
          <w:tcPr>
            <w:tcW w:w="1992" w:type="dxa"/>
          </w:tcPr>
          <w:p>
            <w:pPr>
              <w:pStyle w:val="TableParagraph"/>
              <w:spacing w:line="256" w:lineRule="exact"/>
              <w:ind w:left="50"/>
              <w:rPr>
                <w:sz w:val="21"/>
              </w:rPr>
            </w:pPr>
            <w:r>
              <w:rPr>
                <w:sz w:val="21"/>
              </w:rPr>
              <w:t>通讯方式变更的通知</w:t>
            </w:r>
          </w:p>
        </w:tc>
      </w:tr>
      <w:tr>
        <w:trPr>
          <w:trHeight w:val="311" w:hRule="atLeast"/>
        </w:trPr>
        <w:tc>
          <w:tcPr>
            <w:tcW w:w="422" w:type="dxa"/>
          </w:tcPr>
          <w:p>
            <w:pPr>
              <w:pStyle w:val="TableParagraph"/>
              <w:spacing w:before="31"/>
              <w:ind w:left="84" w:right="33"/>
              <w:jc w:val="center"/>
              <w:rPr>
                <w:rFonts w:ascii="Times New Roman"/>
                <w:sz w:val="21"/>
              </w:rPr>
            </w:pPr>
            <w:r>
              <w:rPr>
                <w:rFonts w:ascii="Times New Roman"/>
                <w:sz w:val="21"/>
              </w:rPr>
              <w:t>2.5</w:t>
            </w:r>
          </w:p>
        </w:tc>
        <w:tc>
          <w:tcPr>
            <w:tcW w:w="2444" w:type="dxa"/>
          </w:tcPr>
          <w:p>
            <w:pPr>
              <w:pStyle w:val="TableParagraph"/>
              <w:spacing w:line="256" w:lineRule="exact"/>
              <w:ind w:left="51"/>
              <w:rPr>
                <w:sz w:val="21"/>
              </w:rPr>
            </w:pPr>
            <w:r>
              <w:rPr>
                <w:sz w:val="21"/>
              </w:rPr>
              <w:t>其他免责条款</w:t>
            </w:r>
          </w:p>
        </w:tc>
        <w:tc>
          <w:tcPr>
            <w:tcW w:w="1555" w:type="dxa"/>
          </w:tcPr>
          <w:p>
            <w:pPr>
              <w:pStyle w:val="TableParagraph"/>
              <w:spacing w:before="30"/>
              <w:ind w:right="52"/>
              <w:jc w:val="right"/>
              <w:rPr>
                <w:rFonts w:ascii="Times New Roman"/>
                <w:sz w:val="21"/>
              </w:rPr>
            </w:pPr>
            <w:r>
              <w:rPr>
                <w:rFonts w:ascii="Times New Roman"/>
                <w:sz w:val="21"/>
              </w:rPr>
              <w:t>7.4</w:t>
            </w:r>
          </w:p>
        </w:tc>
        <w:tc>
          <w:tcPr>
            <w:tcW w:w="1992" w:type="dxa"/>
          </w:tcPr>
          <w:p>
            <w:pPr>
              <w:pStyle w:val="TableParagraph"/>
              <w:spacing w:line="256" w:lineRule="exact"/>
              <w:ind w:left="50"/>
              <w:rPr>
                <w:sz w:val="21"/>
              </w:rPr>
            </w:pPr>
            <w:r>
              <w:rPr>
                <w:sz w:val="21"/>
              </w:rPr>
              <w:t>争议处理</w:t>
            </w:r>
          </w:p>
        </w:tc>
      </w:tr>
      <w:tr>
        <w:trPr>
          <w:trHeight w:val="272" w:hRule="atLeast"/>
        </w:trPr>
        <w:tc>
          <w:tcPr>
            <w:tcW w:w="422" w:type="dxa"/>
          </w:tcPr>
          <w:p>
            <w:pPr>
              <w:pStyle w:val="TableParagraph"/>
              <w:rPr>
                <w:rFonts w:ascii="Times New Roman"/>
                <w:sz w:val="20"/>
              </w:rPr>
            </w:pPr>
          </w:p>
        </w:tc>
        <w:tc>
          <w:tcPr>
            <w:tcW w:w="2444" w:type="dxa"/>
          </w:tcPr>
          <w:p>
            <w:pPr>
              <w:pStyle w:val="TableParagraph"/>
              <w:rPr>
                <w:rFonts w:ascii="Times New Roman"/>
                <w:sz w:val="20"/>
              </w:rPr>
            </w:pPr>
          </w:p>
        </w:tc>
        <w:tc>
          <w:tcPr>
            <w:tcW w:w="1555" w:type="dxa"/>
          </w:tcPr>
          <w:p>
            <w:pPr>
              <w:pStyle w:val="TableParagraph"/>
              <w:spacing w:line="221" w:lineRule="exact" w:before="30"/>
              <w:ind w:right="52"/>
              <w:jc w:val="right"/>
              <w:rPr>
                <w:rFonts w:ascii="Times New Roman"/>
                <w:sz w:val="21"/>
              </w:rPr>
            </w:pPr>
            <w:r>
              <w:rPr>
                <w:rFonts w:ascii="Times New Roman"/>
                <w:sz w:val="21"/>
              </w:rPr>
              <w:t>7.5</w:t>
            </w:r>
          </w:p>
        </w:tc>
        <w:tc>
          <w:tcPr>
            <w:tcW w:w="1992" w:type="dxa"/>
          </w:tcPr>
          <w:p>
            <w:pPr>
              <w:pStyle w:val="TableParagraph"/>
              <w:spacing w:line="252" w:lineRule="exact"/>
              <w:ind w:left="50"/>
              <w:rPr>
                <w:sz w:val="21"/>
              </w:rPr>
            </w:pPr>
            <w:r>
              <w:rPr>
                <w:sz w:val="21"/>
              </w:rPr>
              <w:t>身体检查与司法鉴定</w:t>
            </w:r>
          </w:p>
        </w:tc>
      </w:tr>
      <w:tr>
        <w:trPr>
          <w:trHeight w:val="351" w:hRule="atLeast"/>
        </w:trPr>
        <w:tc>
          <w:tcPr>
            <w:tcW w:w="6413" w:type="dxa"/>
            <w:gridSpan w:val="4"/>
          </w:tcPr>
          <w:p>
            <w:pPr>
              <w:pStyle w:val="TableParagraph"/>
              <w:spacing w:before="21"/>
              <w:rPr>
                <w:b/>
                <w:sz w:val="21"/>
              </w:rPr>
            </w:pPr>
            <w:r>
              <w:rPr>
                <w:rFonts w:ascii="Times New Roman" w:eastAsia="Times New Roman"/>
                <w:b/>
                <w:sz w:val="21"/>
              </w:rPr>
              <w:t>3.  </w:t>
            </w:r>
            <w:r>
              <w:rPr>
                <w:b/>
                <w:sz w:val="21"/>
              </w:rPr>
              <w:t>保险金的申请</w:t>
            </w:r>
          </w:p>
        </w:tc>
      </w:tr>
      <w:tr>
        <w:trPr>
          <w:trHeight w:val="312" w:hRule="atLeast"/>
        </w:trPr>
        <w:tc>
          <w:tcPr>
            <w:tcW w:w="422" w:type="dxa"/>
          </w:tcPr>
          <w:p>
            <w:pPr>
              <w:pStyle w:val="TableParagraph"/>
              <w:spacing w:before="31"/>
              <w:ind w:left="84" w:right="33"/>
              <w:jc w:val="center"/>
              <w:rPr>
                <w:rFonts w:ascii="Times New Roman"/>
                <w:sz w:val="21"/>
              </w:rPr>
            </w:pPr>
            <w:r>
              <w:rPr>
                <w:rFonts w:ascii="Times New Roman"/>
                <w:sz w:val="21"/>
              </w:rPr>
              <w:t>3.1</w:t>
            </w:r>
          </w:p>
        </w:tc>
        <w:tc>
          <w:tcPr>
            <w:tcW w:w="2444" w:type="dxa"/>
          </w:tcPr>
          <w:p>
            <w:pPr>
              <w:pStyle w:val="TableParagraph"/>
              <w:spacing w:line="256" w:lineRule="exact"/>
              <w:ind w:left="51"/>
              <w:rPr>
                <w:sz w:val="21"/>
              </w:rPr>
            </w:pPr>
            <w:r>
              <w:rPr>
                <w:sz w:val="21"/>
              </w:rPr>
              <w:t>受益人</w:t>
            </w:r>
          </w:p>
        </w:tc>
        <w:tc>
          <w:tcPr>
            <w:tcW w:w="3547" w:type="dxa"/>
            <w:gridSpan w:val="2"/>
          </w:tcPr>
          <w:p>
            <w:pPr>
              <w:pStyle w:val="TableParagraph"/>
              <w:spacing w:line="272" w:lineRule="exact"/>
              <w:ind w:left="1131"/>
              <w:rPr>
                <w:b/>
                <w:sz w:val="21"/>
              </w:rPr>
            </w:pPr>
            <w:r>
              <w:rPr>
                <w:rFonts w:ascii="Times New Roman" w:eastAsia="Times New Roman"/>
                <w:b/>
                <w:sz w:val="21"/>
              </w:rPr>
              <w:t>8.  </w:t>
            </w:r>
            <w:r>
              <w:rPr>
                <w:b/>
                <w:sz w:val="21"/>
              </w:rPr>
              <w:t>重大疾病定义</w:t>
            </w:r>
          </w:p>
        </w:tc>
      </w:tr>
      <w:tr>
        <w:trPr>
          <w:trHeight w:val="311" w:hRule="atLeast"/>
        </w:trPr>
        <w:tc>
          <w:tcPr>
            <w:tcW w:w="422" w:type="dxa"/>
          </w:tcPr>
          <w:p>
            <w:pPr>
              <w:pStyle w:val="TableParagraph"/>
              <w:spacing w:before="30"/>
              <w:ind w:left="85" w:right="32"/>
              <w:jc w:val="center"/>
              <w:rPr>
                <w:rFonts w:ascii="Times New Roman"/>
                <w:sz w:val="21"/>
              </w:rPr>
            </w:pPr>
            <w:r>
              <w:rPr>
                <w:rFonts w:ascii="Times New Roman"/>
                <w:sz w:val="21"/>
              </w:rPr>
              <w:t>3.2</w:t>
            </w:r>
          </w:p>
        </w:tc>
        <w:tc>
          <w:tcPr>
            <w:tcW w:w="2444" w:type="dxa"/>
          </w:tcPr>
          <w:p>
            <w:pPr>
              <w:pStyle w:val="TableParagraph"/>
              <w:spacing w:line="256" w:lineRule="exact"/>
              <w:ind w:left="51"/>
              <w:rPr>
                <w:sz w:val="21"/>
              </w:rPr>
            </w:pPr>
            <w:r>
              <w:rPr>
                <w:sz w:val="21"/>
              </w:rPr>
              <w:t>保险事故通知</w:t>
            </w:r>
          </w:p>
        </w:tc>
        <w:tc>
          <w:tcPr>
            <w:tcW w:w="3547" w:type="dxa"/>
            <w:gridSpan w:val="2"/>
          </w:tcPr>
          <w:p>
            <w:pPr>
              <w:pStyle w:val="TableParagraph"/>
              <w:rPr>
                <w:rFonts w:ascii="Times New Roman"/>
                <w:sz w:val="20"/>
              </w:rPr>
            </w:pPr>
          </w:p>
        </w:tc>
      </w:tr>
      <w:tr>
        <w:trPr>
          <w:trHeight w:val="312" w:hRule="atLeast"/>
        </w:trPr>
        <w:tc>
          <w:tcPr>
            <w:tcW w:w="422" w:type="dxa"/>
          </w:tcPr>
          <w:p>
            <w:pPr>
              <w:pStyle w:val="TableParagraph"/>
              <w:spacing w:before="31"/>
              <w:ind w:left="85" w:right="32"/>
              <w:jc w:val="center"/>
              <w:rPr>
                <w:rFonts w:ascii="Times New Roman"/>
                <w:sz w:val="21"/>
              </w:rPr>
            </w:pPr>
            <w:r>
              <w:rPr>
                <w:rFonts w:ascii="Times New Roman"/>
                <w:sz w:val="21"/>
              </w:rPr>
              <w:t>3.3</w:t>
            </w:r>
          </w:p>
        </w:tc>
        <w:tc>
          <w:tcPr>
            <w:tcW w:w="2444" w:type="dxa"/>
          </w:tcPr>
          <w:p>
            <w:pPr>
              <w:pStyle w:val="TableParagraph"/>
              <w:spacing w:line="256" w:lineRule="exact"/>
              <w:ind w:left="51"/>
              <w:rPr>
                <w:sz w:val="21"/>
              </w:rPr>
            </w:pPr>
            <w:r>
              <w:rPr>
                <w:sz w:val="21"/>
              </w:rPr>
              <w:t>保险金申请</w:t>
            </w:r>
          </w:p>
        </w:tc>
        <w:tc>
          <w:tcPr>
            <w:tcW w:w="3547" w:type="dxa"/>
            <w:gridSpan w:val="2"/>
          </w:tcPr>
          <w:p>
            <w:pPr>
              <w:pStyle w:val="TableParagraph"/>
              <w:spacing w:line="272" w:lineRule="exact"/>
              <w:ind w:left="1131"/>
              <w:rPr>
                <w:b/>
                <w:sz w:val="21"/>
              </w:rPr>
            </w:pPr>
            <w:r>
              <w:rPr>
                <w:rFonts w:ascii="Times New Roman" w:eastAsia="Times New Roman"/>
                <w:b/>
                <w:sz w:val="21"/>
              </w:rPr>
              <w:t>9.</w:t>
            </w:r>
            <w:r>
              <w:rPr>
                <w:rFonts w:ascii="Times New Roman" w:eastAsia="Times New Roman"/>
                <w:b/>
                <w:spacing w:val="50"/>
                <w:sz w:val="21"/>
              </w:rPr>
              <w:t> </w:t>
            </w:r>
            <w:r>
              <w:rPr>
                <w:b/>
                <w:sz w:val="21"/>
              </w:rPr>
              <w:t>释义</w:t>
            </w:r>
          </w:p>
        </w:tc>
      </w:tr>
      <w:tr>
        <w:trPr>
          <w:trHeight w:val="311" w:hRule="atLeast"/>
        </w:trPr>
        <w:tc>
          <w:tcPr>
            <w:tcW w:w="422" w:type="dxa"/>
          </w:tcPr>
          <w:p>
            <w:pPr>
              <w:pStyle w:val="TableParagraph"/>
              <w:spacing w:before="30"/>
              <w:ind w:left="85" w:right="32"/>
              <w:jc w:val="center"/>
              <w:rPr>
                <w:rFonts w:ascii="Times New Roman"/>
                <w:sz w:val="21"/>
              </w:rPr>
            </w:pPr>
            <w:r>
              <w:rPr>
                <w:rFonts w:ascii="Times New Roman"/>
                <w:sz w:val="21"/>
              </w:rPr>
              <w:t>3.4</w:t>
            </w:r>
          </w:p>
        </w:tc>
        <w:tc>
          <w:tcPr>
            <w:tcW w:w="2444" w:type="dxa"/>
          </w:tcPr>
          <w:p>
            <w:pPr>
              <w:pStyle w:val="TableParagraph"/>
              <w:spacing w:line="256" w:lineRule="exact"/>
              <w:ind w:left="51"/>
              <w:rPr>
                <w:sz w:val="21"/>
              </w:rPr>
            </w:pPr>
            <w:r>
              <w:rPr>
                <w:sz w:val="21"/>
              </w:rPr>
              <w:t>保险金给付</w:t>
            </w:r>
          </w:p>
        </w:tc>
        <w:tc>
          <w:tcPr>
            <w:tcW w:w="3547" w:type="dxa"/>
            <w:gridSpan w:val="2"/>
          </w:tcPr>
          <w:p>
            <w:pPr>
              <w:pStyle w:val="TableParagraph"/>
              <w:rPr>
                <w:rFonts w:ascii="Times New Roman"/>
                <w:sz w:val="20"/>
              </w:rPr>
            </w:pPr>
          </w:p>
        </w:tc>
      </w:tr>
      <w:tr>
        <w:trPr>
          <w:trHeight w:val="272" w:hRule="atLeast"/>
        </w:trPr>
        <w:tc>
          <w:tcPr>
            <w:tcW w:w="422" w:type="dxa"/>
          </w:tcPr>
          <w:p>
            <w:pPr>
              <w:pStyle w:val="TableParagraph"/>
              <w:spacing w:line="221" w:lineRule="exact" w:before="30"/>
              <w:ind w:left="85" w:right="32"/>
              <w:jc w:val="center"/>
              <w:rPr>
                <w:rFonts w:ascii="Times New Roman"/>
                <w:sz w:val="21"/>
              </w:rPr>
            </w:pPr>
            <w:r>
              <w:rPr>
                <w:rFonts w:ascii="Times New Roman"/>
                <w:sz w:val="21"/>
              </w:rPr>
              <w:t>3.5</w:t>
            </w:r>
          </w:p>
        </w:tc>
        <w:tc>
          <w:tcPr>
            <w:tcW w:w="2444" w:type="dxa"/>
          </w:tcPr>
          <w:p>
            <w:pPr>
              <w:pStyle w:val="TableParagraph"/>
              <w:spacing w:line="252" w:lineRule="exact"/>
              <w:ind w:left="51"/>
              <w:rPr>
                <w:sz w:val="21"/>
              </w:rPr>
            </w:pPr>
            <w:r>
              <w:rPr>
                <w:sz w:val="21"/>
              </w:rPr>
              <w:t>诉讼时效</w:t>
            </w:r>
          </w:p>
        </w:tc>
        <w:tc>
          <w:tcPr>
            <w:tcW w:w="3547" w:type="dxa"/>
            <w:gridSpan w:val="2"/>
          </w:tcPr>
          <w:p>
            <w:pPr>
              <w:pStyle w:val="TableParagraph"/>
              <w:rPr>
                <w:rFonts w:ascii="Times New Roman"/>
                <w:sz w:val="20"/>
              </w:rPr>
            </w:pPr>
          </w:p>
        </w:tc>
      </w:tr>
    </w:tbl>
    <w:p>
      <w:pPr>
        <w:pStyle w:val="BodyText"/>
        <w:spacing w:before="4"/>
        <w:rPr>
          <w:sz w:val="22"/>
        </w:rPr>
      </w:pPr>
    </w:p>
    <w:p>
      <w:pPr>
        <w:pStyle w:val="Heading4"/>
        <w:spacing w:before="42"/>
        <w:ind w:left="383"/>
      </w:pPr>
      <w:r>
        <w:rPr>
          <w:rFonts w:ascii="Times New Roman" w:eastAsia="Times New Roman"/>
        </w:rPr>
        <w:t>4.  </w:t>
      </w:r>
      <w:r>
        <w:rPr/>
        <w:t>保险费的交纳</w:t>
      </w:r>
    </w:p>
    <w:p>
      <w:pPr>
        <w:pStyle w:val="BodyText"/>
        <w:spacing w:before="21"/>
        <w:ind w:left="489"/>
      </w:pPr>
      <w:r>
        <w:rPr>
          <w:rFonts w:ascii="Times New Roman" w:eastAsia="Times New Roman"/>
        </w:rPr>
        <w:t>4.1 </w:t>
      </w:r>
      <w:r>
        <w:rPr/>
        <w:t>保险费的交纳</w:t>
      </w:r>
    </w:p>
    <w:p>
      <w:pPr>
        <w:pStyle w:val="BodyText"/>
        <w:rPr>
          <w:sz w:val="20"/>
        </w:rPr>
      </w:pPr>
    </w:p>
    <w:p>
      <w:pPr>
        <w:pStyle w:val="BodyText"/>
        <w:rPr>
          <w:sz w:val="20"/>
        </w:rPr>
      </w:pPr>
    </w:p>
    <w:p>
      <w:pPr>
        <w:pStyle w:val="BodyText"/>
        <w:spacing w:before="3"/>
        <w:rPr>
          <w:sz w:val="19"/>
        </w:rPr>
      </w:pPr>
    </w:p>
    <w:p>
      <w:pPr>
        <w:pStyle w:val="Heading4"/>
        <w:spacing w:line="273" w:lineRule="auto" w:before="35"/>
        <w:ind w:left="303" w:right="228" w:hanging="1"/>
      </w:pPr>
      <w:r>
        <w:rPr/>
        <w:t>以上阅读指引和条款目录仅供辅助理解使用，不构成保险合同的组成部分，对本合同内</w:t>
      </w:r>
      <w:r>
        <w:rPr>
          <w:w w:val="95"/>
        </w:rPr>
        <w:t>容的解释以条款为准。</w:t>
      </w:r>
    </w:p>
    <w:p>
      <w:pPr>
        <w:spacing w:after="0" w:line="273" w:lineRule="auto"/>
        <w:sectPr>
          <w:type w:val="continuous"/>
          <w:pgSz w:w="11910" w:h="16840"/>
          <w:pgMar w:top="1120" w:bottom="1180" w:left="1680" w:right="1680"/>
        </w:sectPr>
      </w:pPr>
    </w:p>
    <w:p>
      <w:pPr>
        <w:spacing w:line="478"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49"/>
        <w:ind w:left="2790" w:right="0" w:firstLine="0"/>
        <w:jc w:val="left"/>
        <w:rPr>
          <w:rFonts w:ascii="微软雅黑" w:eastAsia="微软雅黑" w:hint="eastAsia"/>
          <w:b/>
          <w:sz w:val="32"/>
        </w:rPr>
      </w:pPr>
      <w:r>
        <w:rPr>
          <w:rFonts w:ascii="微软雅黑" w:eastAsia="微软雅黑" w:hint="eastAsia"/>
          <w:b/>
          <w:sz w:val="32"/>
        </w:rPr>
        <w:t>中华怡萌少儿重大疾病保险条款</w:t>
      </w:r>
    </w:p>
    <w:p>
      <w:pPr>
        <w:pStyle w:val="BodyText"/>
        <w:rPr>
          <w:rFonts w:ascii="微软雅黑"/>
          <w:b/>
          <w:sz w:val="33"/>
        </w:rPr>
      </w:pPr>
    </w:p>
    <w:p>
      <w:pPr>
        <w:pStyle w:val="BodyText"/>
        <w:spacing w:line="273" w:lineRule="auto"/>
        <w:ind w:left="213" w:right="129"/>
        <w:jc w:val="both"/>
      </w:pPr>
      <w:r>
        <w:rPr>
          <w:spacing w:val="-5"/>
        </w:rPr>
        <w:t>在本条款中，“您”指投保人，“我们”、“本公司”均指在保险单上签章的中华联合人寿保险股份有限公司，“本合同”指您与我们之间订立的“中华怡萌少儿重大疾病保险合同”，“被保险人”指本合同的被保险人，投保人、被保险人的姓名在保险单上载明。</w:t>
      </w:r>
    </w:p>
    <w:p>
      <w:pPr>
        <w:pStyle w:val="BodyText"/>
        <w:spacing w:before="10"/>
        <w:rPr>
          <w:sz w:val="28"/>
        </w:rPr>
      </w:pPr>
    </w:p>
    <w:p>
      <w:pPr>
        <w:pStyle w:val="ListParagraph"/>
        <w:numPr>
          <w:ilvl w:val="0"/>
          <w:numId w:val="3"/>
        </w:numPr>
        <w:tabs>
          <w:tab w:pos="1009" w:val="left" w:leader="none"/>
        </w:tabs>
        <w:spacing w:line="240" w:lineRule="auto" w:before="0" w:after="0"/>
        <w:ind w:left="1008" w:right="0" w:hanging="794"/>
        <w:jc w:val="both"/>
        <w:rPr>
          <w:b/>
          <w:sz w:val="24"/>
        </w:rPr>
      </w:pPr>
      <w:r>
        <w:rPr>
          <w:b/>
          <w:w w:val="95"/>
          <w:sz w:val="24"/>
        </w:rPr>
        <w:t>您与我们订立的合同</w:t>
      </w:r>
    </w:p>
    <w:p>
      <w:pPr>
        <w:pStyle w:val="BodyText"/>
        <w:spacing w:before="1"/>
        <w:rPr>
          <w:b/>
          <w:sz w:val="10"/>
        </w:rPr>
      </w:pPr>
      <w:r>
        <w:rPr/>
        <w:pict>
          <v:line style="position:absolute;mso-position-horizontal-relative:page;mso-position-vertical-relative:paragraph;z-index:1072;mso-wrap-distance-left:0;mso-wrap-distance-right:0" from="51.299999pt,9.043025pt" to="539.699999pt,9.043025pt" stroked="true" strokeweight=".96002pt" strokecolor="#000000">
            <v:stroke dashstyle="solid"/>
            <w10:wrap type="topAndBottom"/>
          </v:line>
        </w:pict>
      </w:r>
    </w:p>
    <w:p>
      <w:pPr>
        <w:pStyle w:val="ListParagraph"/>
        <w:numPr>
          <w:ilvl w:val="1"/>
          <w:numId w:val="3"/>
        </w:numPr>
        <w:tabs>
          <w:tab w:pos="1009" w:val="left" w:leader="none"/>
        </w:tabs>
        <w:spacing w:line="264" w:lineRule="auto" w:before="109" w:after="0"/>
        <w:ind w:left="2538" w:right="304" w:hanging="2324"/>
        <w:jc w:val="both"/>
        <w:rPr>
          <w:sz w:val="21"/>
        </w:rPr>
      </w:pPr>
      <w:r>
        <w:rPr>
          <w:b/>
          <w:spacing w:val="5"/>
          <w:sz w:val="21"/>
        </w:rPr>
        <w:t>合同构成     </w:t>
      </w:r>
      <w:r>
        <w:rPr>
          <w:sz w:val="21"/>
        </w:rPr>
        <w:t>本合同是您与我们约定保险权利义务关系的协议，包括本保险条款、保险单或其他有效保险凭证、投保单、与保险合同有关的投保文件、合法有效的声明、批注、批单及其他约定您和我们之间权利义务关系的</w:t>
      </w:r>
      <w:r>
        <w:rPr>
          <w:b/>
          <w:sz w:val="21"/>
        </w:rPr>
        <w:t>书面</w:t>
      </w:r>
      <w:r>
        <w:rPr>
          <w:sz w:val="21"/>
        </w:rPr>
        <w:t>（</w:t>
      </w:r>
      <w:r>
        <w:rPr>
          <w:spacing w:val="-29"/>
          <w:sz w:val="21"/>
        </w:rPr>
        <w:t>见 </w:t>
      </w:r>
      <w:r>
        <w:rPr>
          <w:rFonts w:ascii="Times New Roman" w:eastAsia="Times New Roman"/>
          <w:sz w:val="21"/>
        </w:rPr>
        <w:t>9.1</w:t>
      </w:r>
      <w:r>
        <w:rPr>
          <w:sz w:val="21"/>
        </w:rPr>
        <w:t>）文件。</w:t>
      </w:r>
    </w:p>
    <w:p>
      <w:pPr>
        <w:pStyle w:val="BodyText"/>
        <w:spacing w:before="90"/>
        <w:ind w:left="2538"/>
      </w:pPr>
      <w:r>
        <w:rPr/>
        <w:t>阅读指引和条款目录仅供辅助理解使用，不构成保险合同的组成部分。</w:t>
      </w:r>
    </w:p>
    <w:p>
      <w:pPr>
        <w:pStyle w:val="BodyText"/>
        <w:spacing w:before="9"/>
        <w:rPr>
          <w:sz w:val="24"/>
        </w:rPr>
      </w:pPr>
    </w:p>
    <w:p>
      <w:pPr>
        <w:spacing w:after="0"/>
        <w:rPr>
          <w:sz w:val="24"/>
        </w:rPr>
        <w:sectPr>
          <w:pgSz w:w="11910" w:h="16840"/>
          <w:pgMar w:header="0" w:footer="988" w:top="1240" w:bottom="1180" w:left="920" w:right="1000"/>
        </w:sectPr>
      </w:pPr>
    </w:p>
    <w:p>
      <w:pPr>
        <w:pStyle w:val="Heading4"/>
        <w:numPr>
          <w:ilvl w:val="1"/>
          <w:numId w:val="3"/>
        </w:numPr>
        <w:tabs>
          <w:tab w:pos="1008" w:val="left" w:leader="none"/>
          <w:tab w:pos="1009" w:val="left" w:leader="none"/>
        </w:tabs>
        <w:spacing w:line="256" w:lineRule="auto" w:before="43" w:after="0"/>
        <w:ind w:left="1008" w:right="0" w:hanging="795"/>
        <w:jc w:val="left"/>
      </w:pPr>
      <w:r>
        <w:rPr>
          <w:w w:val="95"/>
        </w:rPr>
        <w:t>合同成立及生</w:t>
      </w:r>
      <w:r>
        <w:rPr/>
        <w:t>效</w:t>
      </w:r>
    </w:p>
    <w:p>
      <w:pPr>
        <w:pStyle w:val="BodyText"/>
        <w:spacing w:before="40"/>
        <w:ind w:left="213"/>
      </w:pPr>
      <w:r>
        <w:rPr/>
        <w:br w:type="column"/>
      </w:r>
      <w:r>
        <w:rPr/>
        <w:t>您向我们提出保险申请，我们同意承保，本合同成立。</w:t>
      </w:r>
    </w:p>
    <w:p>
      <w:pPr>
        <w:pStyle w:val="BodyText"/>
        <w:spacing w:line="273" w:lineRule="auto" w:before="129"/>
        <w:ind w:left="213" w:right="304"/>
        <w:jc w:val="both"/>
      </w:pPr>
      <w:r>
        <w:rPr/>
        <w:t>本合同自我们同意承保、收取保险费并签发保险单后生效，具体的生效日由您和我们约定并在保险单上载明。保险合同周年日、保险费约定交纳日均以本合同生效日计算。</w:t>
      </w:r>
    </w:p>
    <w:p>
      <w:pPr>
        <w:spacing w:after="0" w:line="273" w:lineRule="auto"/>
        <w:jc w:val="both"/>
        <w:sectPr>
          <w:type w:val="continuous"/>
          <w:pgSz w:w="11910" w:h="16840"/>
          <w:pgMar w:top="1120" w:bottom="1180" w:left="920" w:right="1000"/>
          <w:cols w:num="2" w:equalWidth="0">
            <w:col w:w="2272" w:space="52"/>
            <w:col w:w="7666"/>
          </w:cols>
        </w:sectPr>
      </w:pPr>
    </w:p>
    <w:p>
      <w:pPr>
        <w:pStyle w:val="BodyText"/>
        <w:spacing w:before="4"/>
        <w:rPr>
          <w:sz w:val="22"/>
        </w:rPr>
      </w:pPr>
    </w:p>
    <w:p>
      <w:pPr>
        <w:pStyle w:val="ListParagraph"/>
        <w:numPr>
          <w:ilvl w:val="1"/>
          <w:numId w:val="3"/>
        </w:numPr>
        <w:tabs>
          <w:tab w:pos="1008" w:val="left" w:leader="none"/>
          <w:tab w:pos="1009" w:val="left" w:leader="none"/>
          <w:tab w:pos="2538" w:val="left" w:leader="none"/>
        </w:tabs>
        <w:spacing w:line="240" w:lineRule="auto" w:before="44" w:after="0"/>
        <w:ind w:left="1008" w:right="0" w:hanging="795"/>
        <w:jc w:val="left"/>
        <w:rPr>
          <w:sz w:val="21"/>
        </w:rPr>
      </w:pPr>
      <w:r>
        <w:rPr>
          <w:b/>
          <w:sz w:val="21"/>
        </w:rPr>
        <w:t>投保年龄</w:t>
        <w:tab/>
      </w:r>
      <w:r>
        <w:rPr>
          <w:sz w:val="21"/>
        </w:rPr>
        <w:t>投保年龄指本合同生效时被保险人的年龄，投保年龄以</w:t>
      </w:r>
      <w:r>
        <w:rPr>
          <w:b/>
          <w:sz w:val="21"/>
        </w:rPr>
        <w:t>周岁</w:t>
      </w:r>
      <w:r>
        <w:rPr>
          <w:sz w:val="21"/>
        </w:rPr>
        <w:t>（见</w:t>
      </w:r>
      <w:r>
        <w:rPr>
          <w:spacing w:val="-56"/>
          <w:sz w:val="21"/>
        </w:rPr>
        <w:t> </w:t>
      </w:r>
      <w:r>
        <w:rPr>
          <w:rFonts w:ascii="Times New Roman" w:eastAsia="Times New Roman"/>
          <w:sz w:val="21"/>
        </w:rPr>
        <w:t>9.2</w:t>
      </w:r>
      <w:r>
        <w:rPr>
          <w:sz w:val="21"/>
        </w:rPr>
        <w:t>）计算。</w:t>
      </w:r>
    </w:p>
    <w:p>
      <w:pPr>
        <w:pStyle w:val="BodyText"/>
        <w:spacing w:before="6"/>
        <w:rPr>
          <w:sz w:val="26"/>
        </w:rPr>
      </w:pPr>
    </w:p>
    <w:p>
      <w:pPr>
        <w:pStyle w:val="ListParagraph"/>
        <w:numPr>
          <w:ilvl w:val="1"/>
          <w:numId w:val="3"/>
        </w:numPr>
        <w:tabs>
          <w:tab w:pos="1008" w:val="left" w:leader="none"/>
          <w:tab w:pos="1009" w:val="left" w:leader="none"/>
          <w:tab w:pos="2538" w:val="left" w:leader="none"/>
        </w:tabs>
        <w:spacing w:line="240" w:lineRule="auto" w:before="1" w:after="0"/>
        <w:ind w:left="1008" w:right="0" w:hanging="795"/>
        <w:jc w:val="left"/>
        <w:rPr>
          <w:sz w:val="21"/>
        </w:rPr>
      </w:pPr>
      <w:r>
        <w:rPr>
          <w:b/>
          <w:sz w:val="21"/>
        </w:rPr>
        <w:t>合同的签收</w:t>
        <w:tab/>
      </w:r>
      <w:r>
        <w:rPr>
          <w:sz w:val="21"/>
        </w:rPr>
        <w:t>在您收到本合同时，您应当签署本合同的签收回执。</w:t>
      </w:r>
    </w:p>
    <w:p>
      <w:pPr>
        <w:pStyle w:val="BodyText"/>
        <w:spacing w:before="9"/>
        <w:rPr>
          <w:sz w:val="24"/>
        </w:rPr>
      </w:pPr>
    </w:p>
    <w:p>
      <w:pPr>
        <w:pStyle w:val="Heading3"/>
        <w:numPr>
          <w:ilvl w:val="0"/>
          <w:numId w:val="3"/>
        </w:numPr>
        <w:tabs>
          <w:tab w:pos="1008" w:val="left" w:leader="none"/>
          <w:tab w:pos="1009" w:val="left" w:leader="none"/>
        </w:tabs>
        <w:spacing w:line="240" w:lineRule="auto" w:before="0" w:after="0"/>
        <w:ind w:left="1008" w:right="0" w:hanging="794"/>
        <w:jc w:val="left"/>
      </w:pPr>
      <w:r>
        <w:rPr/>
        <w:t>我们提供的保障</w:t>
      </w:r>
    </w:p>
    <w:p>
      <w:pPr>
        <w:pStyle w:val="BodyText"/>
        <w:rPr>
          <w:b/>
          <w:sz w:val="10"/>
        </w:rPr>
      </w:pPr>
      <w:r>
        <w:rPr/>
        <w:pict>
          <v:line style="position:absolute;mso-position-horizontal-relative:page;mso-position-vertical-relative:paragraph;z-index:1096;mso-wrap-distance-left:0;mso-wrap-distance-right:0" from="51.299999pt,9.021125pt" to="539.699999pt,9.021125pt" stroked="true" strokeweight=".96002pt" strokecolor="#000000">
            <v:stroke dashstyle="solid"/>
            <w10:wrap type="topAndBottom"/>
          </v:line>
        </w:pict>
      </w:r>
    </w:p>
    <w:p>
      <w:pPr>
        <w:pStyle w:val="ListParagraph"/>
        <w:numPr>
          <w:ilvl w:val="1"/>
          <w:numId w:val="3"/>
        </w:numPr>
        <w:tabs>
          <w:tab w:pos="1008" w:val="left" w:leader="none"/>
          <w:tab w:pos="1009" w:val="left" w:leader="none"/>
          <w:tab w:pos="2538" w:val="left" w:leader="none"/>
        </w:tabs>
        <w:spacing w:line="256" w:lineRule="auto" w:before="109" w:after="0"/>
        <w:ind w:left="2538" w:right="304" w:hanging="2324"/>
        <w:jc w:val="left"/>
        <w:rPr>
          <w:sz w:val="21"/>
        </w:rPr>
      </w:pPr>
      <w:r>
        <w:rPr>
          <w:b/>
          <w:sz w:val="21"/>
        </w:rPr>
        <w:t>基本保险金额</w:t>
        <w:tab/>
      </w:r>
      <w:r>
        <w:rPr>
          <w:sz w:val="21"/>
        </w:rPr>
        <w:t>本合同的基本保险金额由您在投保时与我们约定并在保险单上载明。若金额发生变更，则以变更后的金额为基本保险金额。</w:t>
      </w:r>
    </w:p>
    <w:p>
      <w:pPr>
        <w:pStyle w:val="BodyText"/>
        <w:spacing w:before="5"/>
        <w:rPr>
          <w:sz w:val="23"/>
        </w:rPr>
      </w:pPr>
    </w:p>
    <w:p>
      <w:pPr>
        <w:spacing w:after="0"/>
        <w:rPr>
          <w:sz w:val="23"/>
        </w:rPr>
        <w:sectPr>
          <w:type w:val="continuous"/>
          <w:pgSz w:w="11910" w:h="16840"/>
          <w:pgMar w:top="1120" w:bottom="1180" w:left="920" w:right="1000"/>
        </w:sectPr>
      </w:pPr>
    </w:p>
    <w:p>
      <w:pPr>
        <w:pStyle w:val="Heading4"/>
        <w:numPr>
          <w:ilvl w:val="1"/>
          <w:numId w:val="3"/>
        </w:numPr>
        <w:tabs>
          <w:tab w:pos="1008" w:val="left" w:leader="none"/>
          <w:tab w:pos="1009" w:val="left" w:leader="none"/>
        </w:tabs>
        <w:spacing w:line="256" w:lineRule="auto" w:before="45" w:after="0"/>
        <w:ind w:left="1008" w:right="0" w:hanging="795"/>
        <w:jc w:val="left"/>
      </w:pPr>
      <w:r>
        <w:rPr>
          <w:w w:val="95"/>
        </w:rPr>
        <w:t>保险期间和续</w:t>
      </w:r>
      <w:r>
        <w:rPr/>
        <w:t>保</w:t>
      </w:r>
    </w:p>
    <w:p>
      <w:pPr>
        <w:pStyle w:val="BodyText"/>
        <w:spacing w:line="256" w:lineRule="auto" w:before="42"/>
        <w:ind w:left="213" w:right="242"/>
      </w:pPr>
      <w:r>
        <w:rPr/>
        <w:br w:type="column"/>
      </w:r>
      <w:r>
        <w:rPr/>
        <w:t>本合同的保险期间为 </w:t>
      </w:r>
      <w:r>
        <w:rPr>
          <w:rFonts w:ascii="Times New Roman" w:eastAsia="Times New Roman"/>
        </w:rPr>
        <w:t>1 </w:t>
      </w:r>
      <w:r>
        <w:rPr/>
        <w:t>年，除合同另有约定外，自本合同生效时起，至合同约定的保险合同期满日止。</w:t>
      </w:r>
    </w:p>
    <w:p>
      <w:pPr>
        <w:pStyle w:val="BodyText"/>
        <w:spacing w:line="268" w:lineRule="auto" w:before="114"/>
        <w:ind w:left="213" w:right="112"/>
      </w:pPr>
      <w:r>
        <w:rPr/>
        <w:t>您可以在投保时选择是否在本合同保险期间届满时自动续保本合同。如果投保</w:t>
      </w:r>
      <w:r>
        <w:rPr>
          <w:spacing w:val="-3"/>
        </w:rPr>
        <w:t>时选择自动续保，在每一个保险期间届满前，若我们未收到您停止续保的申请， 且我们同意您续保，您可于每个保险期间届满时向我们支付续期保险费，则本</w:t>
      </w:r>
      <w:r>
        <w:rPr>
          <w:spacing w:val="-10"/>
        </w:rPr>
        <w:t>合同将延续有效 </w:t>
      </w:r>
      <w:r>
        <w:rPr>
          <w:rFonts w:ascii="Times New Roman" w:eastAsia="Times New Roman"/>
        </w:rPr>
        <w:t>1 </w:t>
      </w:r>
      <w:r>
        <w:rPr/>
        <w:t>年；若我们不同意您续保，我们会以投保时约定的通知方式通知您。如果您在本合同保险期间届满前以书面或双方认可的其他方式通知终止自动续保或在投保时未选择自动续保，本合同自保险期间期满日的次日零时起终止。</w:t>
      </w:r>
    </w:p>
    <w:p>
      <w:pPr>
        <w:pStyle w:val="BodyText"/>
        <w:spacing w:line="264" w:lineRule="auto" w:before="105"/>
        <w:ind w:left="213" w:right="250"/>
        <w:jc w:val="both"/>
      </w:pPr>
      <w:r>
        <w:rPr/>
        <w:t>各年度续保保险费将根据续保时本合同的基本保险金额和保险费率计算。保险</w:t>
      </w:r>
      <w:r>
        <w:rPr>
          <w:spacing w:val="-2"/>
        </w:rPr>
        <w:t>费率以续保时被保险人的年龄确定。本合同最长可延续有效至被保险人年满 </w:t>
      </w:r>
      <w:r>
        <w:rPr>
          <w:rFonts w:ascii="Times New Roman" w:eastAsia="Times New Roman"/>
        </w:rPr>
        <w:t>25 </w:t>
      </w:r>
      <w:r>
        <w:rPr/>
        <w:t>周岁后的首个保险合同周年日。</w:t>
      </w:r>
    </w:p>
    <w:p>
      <w:pPr>
        <w:spacing w:after="0" w:line="264" w:lineRule="auto"/>
        <w:jc w:val="both"/>
        <w:sectPr>
          <w:type w:val="continuous"/>
          <w:pgSz w:w="11910" w:h="16840"/>
          <w:pgMar w:top="1120" w:bottom="1180" w:left="920" w:right="1000"/>
          <w:cols w:num="2" w:equalWidth="0">
            <w:col w:w="2272" w:space="52"/>
            <w:col w:w="7666"/>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gridCol w:w="1753"/>
        <w:gridCol w:w="7377"/>
      </w:tblGrid>
      <w:tr>
        <w:trPr>
          <w:trHeight w:val="329" w:hRule="atLeast"/>
        </w:trPr>
        <w:tc>
          <w:tcPr>
            <w:tcW w:w="637" w:type="dxa"/>
          </w:tcPr>
          <w:p>
            <w:pPr>
              <w:pStyle w:val="TableParagraph"/>
              <w:spacing w:line="227" w:lineRule="exact"/>
              <w:ind w:left="108"/>
              <w:rPr>
                <w:rFonts w:ascii="Times New Roman"/>
                <w:b/>
                <w:sz w:val="21"/>
              </w:rPr>
            </w:pPr>
            <w:r>
              <w:rPr>
                <w:rFonts w:ascii="Times New Roman"/>
                <w:b/>
                <w:sz w:val="21"/>
              </w:rPr>
              <w:t>2.3</w:t>
            </w:r>
          </w:p>
        </w:tc>
        <w:tc>
          <w:tcPr>
            <w:tcW w:w="1753" w:type="dxa"/>
          </w:tcPr>
          <w:p>
            <w:pPr>
              <w:pStyle w:val="TableParagraph"/>
              <w:spacing w:line="212" w:lineRule="exact"/>
              <w:ind w:left="265"/>
              <w:rPr>
                <w:b/>
                <w:sz w:val="21"/>
              </w:rPr>
            </w:pPr>
            <w:r>
              <w:rPr>
                <w:b/>
                <w:sz w:val="21"/>
              </w:rPr>
              <w:t>保险责任</w:t>
            </w:r>
          </w:p>
        </w:tc>
        <w:tc>
          <w:tcPr>
            <w:tcW w:w="7377" w:type="dxa"/>
          </w:tcPr>
          <w:p>
            <w:pPr>
              <w:pStyle w:val="TableParagraph"/>
              <w:spacing w:line="210" w:lineRule="exact"/>
              <w:ind w:left="42"/>
              <w:rPr>
                <w:sz w:val="21"/>
              </w:rPr>
            </w:pPr>
            <w:r>
              <w:rPr>
                <w:sz w:val="21"/>
              </w:rPr>
              <w:t>在本合同保险期间内，我们承担以下保险责任：</w:t>
            </w:r>
          </w:p>
        </w:tc>
      </w:tr>
      <w:tr>
        <w:trPr>
          <w:trHeight w:val="408" w:hRule="atLeast"/>
        </w:trPr>
        <w:tc>
          <w:tcPr>
            <w:tcW w:w="637" w:type="dxa"/>
          </w:tcPr>
          <w:p>
            <w:pPr>
              <w:pStyle w:val="TableParagraph"/>
              <w:rPr>
                <w:rFonts w:ascii="Times New Roman"/>
                <w:sz w:val="20"/>
              </w:rPr>
            </w:pPr>
          </w:p>
        </w:tc>
        <w:tc>
          <w:tcPr>
            <w:tcW w:w="1753" w:type="dxa"/>
          </w:tcPr>
          <w:p>
            <w:pPr>
              <w:pStyle w:val="TableParagraph"/>
              <w:spacing w:before="3"/>
              <w:ind w:left="265"/>
              <w:rPr>
                <w:rFonts w:ascii="Microsoft JhengHei UI" w:eastAsia="Microsoft JhengHei UI" w:hint="eastAsia"/>
                <w:b/>
                <w:sz w:val="21"/>
              </w:rPr>
            </w:pPr>
            <w:r>
              <w:rPr>
                <w:rFonts w:ascii="Microsoft JhengHei UI" w:eastAsia="Microsoft JhengHei UI" w:hint="eastAsia"/>
                <w:b/>
                <w:sz w:val="21"/>
              </w:rPr>
              <w:t>等待期</w:t>
            </w:r>
          </w:p>
        </w:tc>
        <w:tc>
          <w:tcPr>
            <w:tcW w:w="7377" w:type="dxa"/>
          </w:tcPr>
          <w:p>
            <w:pPr>
              <w:pStyle w:val="TableParagraph"/>
              <w:spacing w:before="65"/>
              <w:ind w:left="42"/>
              <w:rPr>
                <w:rFonts w:ascii="Times New Roman" w:eastAsia="Times New Roman"/>
                <w:sz w:val="21"/>
              </w:rPr>
            </w:pPr>
            <w:r>
              <w:rPr>
                <w:sz w:val="21"/>
                <w:shd w:fill="C0C0C0" w:color="auto" w:val="clear"/>
              </w:rPr>
              <w:t>您为被保险人首次投保本保险或者非连续投保本保险时，自本合同生效日起 </w:t>
            </w:r>
            <w:r>
              <w:rPr>
                <w:rFonts w:ascii="Times New Roman" w:eastAsia="Times New Roman"/>
                <w:sz w:val="21"/>
                <w:shd w:fill="C0C0C0" w:color="auto" w:val="clear"/>
              </w:rPr>
              <w:t>90</w:t>
            </w:r>
          </w:p>
        </w:tc>
      </w:tr>
      <w:tr>
        <w:trPr>
          <w:trHeight w:val="296"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44" w:lineRule="exact"/>
              <w:ind w:left="42"/>
              <w:rPr>
                <w:sz w:val="21"/>
              </w:rPr>
            </w:pPr>
            <w:r>
              <w:rPr>
                <w:sz w:val="21"/>
                <w:shd w:fill="C0C0C0" w:color="auto" w:val="clear"/>
              </w:rPr>
              <w:t>日（指自然日，本条款中如无特别说明，涉及日期的均指自然日）内，被保险</w:t>
            </w:r>
          </w:p>
        </w:tc>
      </w:tr>
      <w:tr>
        <w:trPr>
          <w:trHeight w:val="319"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75" w:lineRule="exact"/>
              <w:ind w:left="42"/>
              <w:rPr>
                <w:sz w:val="21"/>
              </w:rPr>
            </w:pPr>
            <w:r>
              <w:rPr>
                <w:sz w:val="21"/>
                <w:shd w:fill="C0C0C0" w:color="auto" w:val="clear"/>
              </w:rPr>
              <w:t>人因疾病发生下列情形之一的</w:t>
            </w:r>
            <w:r>
              <w:rPr>
                <w:spacing w:val="-116"/>
                <w:sz w:val="21"/>
                <w:shd w:fill="C0C0C0" w:color="auto" w:val="clear"/>
              </w:rPr>
              <w:t>：</w:t>
            </w:r>
            <w:r>
              <w:rPr>
                <w:sz w:val="21"/>
                <w:shd w:fill="C0C0C0" w:color="auto" w:val="clear"/>
              </w:rPr>
              <w:t>（一）</w:t>
            </w:r>
            <w:r>
              <w:rPr>
                <w:spacing w:val="-11"/>
                <w:sz w:val="21"/>
                <w:shd w:fill="C0C0C0" w:color="auto" w:val="clear"/>
              </w:rPr>
              <w:t> “</w:t>
            </w:r>
            <w:r>
              <w:rPr>
                <w:b/>
                <w:w w:val="99"/>
                <w:sz w:val="21"/>
                <w:shd w:fill="C0C0C0" w:color="auto" w:val="clear"/>
              </w:rPr>
              <w:t>重大疾病</w:t>
            </w:r>
            <w:r>
              <w:rPr>
                <w:spacing w:val="-116"/>
                <w:sz w:val="21"/>
                <w:shd w:fill="C0C0C0" w:color="auto" w:val="clear"/>
              </w:rPr>
              <w:t>”</w:t>
            </w:r>
            <w:r>
              <w:rPr>
                <w:sz w:val="21"/>
                <w:shd w:fill="C0C0C0" w:color="auto" w:val="clear"/>
              </w:rPr>
              <w:t>（</w:t>
            </w:r>
            <w:r>
              <w:rPr>
                <w:spacing w:val="-27"/>
                <w:sz w:val="21"/>
                <w:shd w:fill="C0C0C0" w:color="auto" w:val="clear"/>
              </w:rPr>
              <w:t>见 </w:t>
            </w:r>
            <w:r>
              <w:rPr>
                <w:rFonts w:ascii="Times New Roman" w:hAnsi="Times New Roman" w:eastAsia="Times New Roman"/>
                <w:spacing w:val="-1"/>
                <w:sz w:val="21"/>
                <w:shd w:fill="C0C0C0" w:color="auto" w:val="clear"/>
              </w:rPr>
              <w:t>8</w:t>
            </w:r>
            <w:r>
              <w:rPr>
                <w:spacing w:val="-105"/>
                <w:sz w:val="21"/>
                <w:shd w:fill="C0C0C0" w:color="auto" w:val="clear"/>
              </w:rPr>
              <w:t>）</w:t>
            </w:r>
            <w:r>
              <w:rPr>
                <w:spacing w:val="-117"/>
                <w:sz w:val="21"/>
                <w:shd w:fill="C0C0C0" w:color="auto" w:val="clear"/>
              </w:rPr>
              <w:t>；</w:t>
            </w:r>
            <w:r>
              <w:rPr>
                <w:sz w:val="21"/>
                <w:shd w:fill="C0C0C0" w:color="auto" w:val="clear"/>
              </w:rPr>
              <w:t>（二</w:t>
            </w:r>
            <w:r>
              <w:rPr>
                <w:spacing w:val="-11"/>
                <w:sz w:val="21"/>
                <w:shd w:fill="C0C0C0" w:color="auto" w:val="clear"/>
              </w:rPr>
              <w:t>）</w:t>
            </w:r>
            <w:r>
              <w:rPr>
                <w:spacing w:val="-3"/>
                <w:sz w:val="21"/>
                <w:shd w:fill="C0C0C0" w:color="auto" w:val="clear"/>
              </w:rPr>
              <w:t>因导致 “重</w:t>
            </w:r>
          </w:p>
        </w:tc>
      </w:tr>
      <w:tr>
        <w:trPr>
          <w:trHeight w:val="311"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67" w:lineRule="exact"/>
              <w:ind w:left="42"/>
              <w:rPr>
                <w:rFonts w:ascii="Times New Roman" w:hAnsi="Times New Roman" w:eastAsia="Times New Roman"/>
                <w:sz w:val="21"/>
              </w:rPr>
            </w:pPr>
            <w:r>
              <w:rPr>
                <w:sz w:val="21"/>
                <w:shd w:fill="C0C0C0" w:color="auto" w:val="clear"/>
              </w:rPr>
              <w:t>大疾病”的相关疾病就诊，我们向您无息退还已交保险费，本合同终止。这 </w:t>
            </w:r>
            <w:r>
              <w:rPr>
                <w:rFonts w:ascii="Times New Roman" w:hAnsi="Times New Roman" w:eastAsia="Times New Roman"/>
                <w:sz w:val="21"/>
                <w:shd w:fill="C0C0C0" w:color="auto" w:val="clear"/>
              </w:rPr>
              <w:t>90</w:t>
            </w:r>
          </w:p>
        </w:tc>
      </w:tr>
      <w:tr>
        <w:trPr>
          <w:trHeight w:val="315"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67" w:lineRule="exact"/>
              <w:ind w:left="42"/>
              <w:rPr>
                <w:sz w:val="21"/>
              </w:rPr>
            </w:pPr>
            <w:r>
              <w:rPr>
                <w:spacing w:val="-5"/>
                <w:sz w:val="21"/>
                <w:shd w:fill="C0C0C0" w:color="auto" w:val="clear"/>
              </w:rPr>
              <w:t>日的时间称为等待期；</w:t>
            </w:r>
            <w:r>
              <w:rPr>
                <w:sz w:val="21"/>
              </w:rPr>
              <w:t>被保险人因</w:t>
            </w:r>
            <w:r>
              <w:rPr>
                <w:b/>
                <w:spacing w:val="-11"/>
                <w:sz w:val="21"/>
              </w:rPr>
              <w:t>意外伤害</w:t>
            </w:r>
            <w:r>
              <w:rPr>
                <w:sz w:val="21"/>
              </w:rPr>
              <w:t>（</w:t>
            </w:r>
            <w:r>
              <w:rPr>
                <w:spacing w:val="-28"/>
                <w:sz w:val="21"/>
              </w:rPr>
              <w:t>见 </w:t>
            </w:r>
            <w:r>
              <w:rPr>
                <w:rFonts w:ascii="Times New Roman" w:eastAsia="Times New Roman"/>
                <w:spacing w:val="-11"/>
                <w:sz w:val="21"/>
              </w:rPr>
              <w:t>9.3</w:t>
            </w:r>
            <w:r>
              <w:rPr>
                <w:spacing w:val="-11"/>
                <w:sz w:val="21"/>
              </w:rPr>
              <w:t>）</w:t>
            </w:r>
            <w:r>
              <w:rPr>
                <w:sz w:val="21"/>
              </w:rPr>
              <w:t>发生上述两项情形之一的，</w:t>
            </w:r>
          </w:p>
        </w:tc>
      </w:tr>
      <w:tr>
        <w:trPr>
          <w:trHeight w:val="304"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48" w:lineRule="exact"/>
              <w:ind w:left="42"/>
              <w:rPr>
                <w:sz w:val="21"/>
              </w:rPr>
            </w:pPr>
            <w:r>
              <w:rPr>
                <w:sz w:val="21"/>
              </w:rPr>
              <w:t>无等待期。</w:t>
            </w:r>
          </w:p>
        </w:tc>
      </w:tr>
      <w:tr>
        <w:trPr>
          <w:trHeight w:val="338"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56" w:lineRule="exact"/>
              <w:ind w:left="42"/>
              <w:rPr>
                <w:sz w:val="21"/>
              </w:rPr>
            </w:pPr>
            <w:r>
              <w:rPr>
                <w:sz w:val="21"/>
              </w:rPr>
              <w:t>如果在等待期后发生保险事故，我们按照下列方式给付保险金：</w:t>
            </w:r>
          </w:p>
        </w:tc>
      </w:tr>
      <w:tr>
        <w:trPr>
          <w:trHeight w:val="701" w:hRule="atLeast"/>
        </w:trPr>
        <w:tc>
          <w:tcPr>
            <w:tcW w:w="637" w:type="dxa"/>
          </w:tcPr>
          <w:p>
            <w:pPr>
              <w:pStyle w:val="TableParagraph"/>
              <w:rPr>
                <w:rFonts w:ascii="Times New Roman"/>
                <w:sz w:val="20"/>
              </w:rPr>
            </w:pPr>
          </w:p>
        </w:tc>
        <w:tc>
          <w:tcPr>
            <w:tcW w:w="1753" w:type="dxa"/>
          </w:tcPr>
          <w:p>
            <w:pPr>
              <w:pStyle w:val="TableParagraph"/>
              <w:spacing w:line="213" w:lineRule="auto" w:before="22"/>
              <w:ind w:left="265" w:right="159"/>
              <w:rPr>
                <w:rFonts w:ascii="Microsoft JhengHei UI" w:eastAsia="Microsoft JhengHei UI" w:hint="eastAsia"/>
                <w:b/>
                <w:sz w:val="21"/>
              </w:rPr>
            </w:pPr>
            <w:r>
              <w:rPr>
                <w:rFonts w:ascii="Microsoft JhengHei UI" w:eastAsia="Microsoft JhengHei UI" w:hint="eastAsia"/>
                <w:b/>
                <w:sz w:val="21"/>
              </w:rPr>
              <w:t>重大疾病保险金</w:t>
            </w:r>
          </w:p>
        </w:tc>
        <w:tc>
          <w:tcPr>
            <w:tcW w:w="7377" w:type="dxa"/>
          </w:tcPr>
          <w:p>
            <w:pPr>
              <w:pStyle w:val="TableParagraph"/>
              <w:spacing w:line="247" w:lineRule="auto" w:before="22"/>
              <w:ind w:left="42" w:right="25"/>
              <w:rPr>
                <w:sz w:val="21"/>
              </w:rPr>
            </w:pPr>
            <w:r>
              <w:rPr>
                <w:sz w:val="21"/>
              </w:rPr>
              <w:t>若被保险人首次</w:t>
            </w:r>
            <w:r>
              <w:rPr>
                <w:b/>
                <w:sz w:val="24"/>
              </w:rPr>
              <w:t>发病</w:t>
            </w:r>
            <w:r>
              <w:rPr>
                <w:sz w:val="21"/>
              </w:rPr>
              <w:t>（见</w:t>
            </w:r>
            <w:r>
              <w:rPr>
                <w:rFonts w:ascii="Times New Roman" w:eastAsia="Times New Roman"/>
                <w:sz w:val="21"/>
              </w:rPr>
              <w:t>9.4</w:t>
            </w:r>
            <w:r>
              <w:rPr>
                <w:sz w:val="21"/>
              </w:rPr>
              <w:t>）并经</w:t>
            </w:r>
            <w:r>
              <w:rPr>
                <w:b/>
                <w:sz w:val="21"/>
              </w:rPr>
              <w:t>医院</w:t>
            </w:r>
            <w:r>
              <w:rPr>
                <w:sz w:val="21"/>
              </w:rPr>
              <w:t>（见</w:t>
            </w:r>
            <w:r>
              <w:rPr>
                <w:rFonts w:ascii="Times New Roman" w:eastAsia="Times New Roman"/>
                <w:sz w:val="21"/>
              </w:rPr>
              <w:t>9.5</w:t>
            </w:r>
            <w:r>
              <w:rPr>
                <w:sz w:val="21"/>
              </w:rPr>
              <w:t>）确诊患本合同所列的一种或多种重大疾病，我们按照本合同约定的基本保险金额给付重大疾病保险金，本合</w:t>
            </w:r>
          </w:p>
        </w:tc>
      </w:tr>
      <w:tr>
        <w:trPr>
          <w:trHeight w:val="460"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44" w:lineRule="exact"/>
              <w:ind w:left="42"/>
              <w:rPr>
                <w:sz w:val="21"/>
              </w:rPr>
            </w:pPr>
            <w:r>
              <w:rPr>
                <w:sz w:val="21"/>
              </w:rPr>
              <w:t>同终止。</w:t>
            </w:r>
          </w:p>
        </w:tc>
      </w:tr>
      <w:tr>
        <w:trPr>
          <w:trHeight w:val="486" w:hRule="atLeast"/>
        </w:trPr>
        <w:tc>
          <w:tcPr>
            <w:tcW w:w="637" w:type="dxa"/>
          </w:tcPr>
          <w:p>
            <w:pPr>
              <w:pStyle w:val="TableParagraph"/>
              <w:spacing w:before="1"/>
              <w:rPr>
                <w:sz w:val="15"/>
              </w:rPr>
            </w:pPr>
          </w:p>
          <w:p>
            <w:pPr>
              <w:pStyle w:val="TableParagraph"/>
              <w:ind w:left="107"/>
              <w:rPr>
                <w:rFonts w:ascii="Times New Roman"/>
                <w:b/>
                <w:sz w:val="21"/>
              </w:rPr>
            </w:pPr>
            <w:r>
              <w:rPr>
                <w:rFonts w:ascii="Times New Roman"/>
                <w:b/>
                <w:sz w:val="21"/>
              </w:rPr>
              <w:t>2.4</w:t>
            </w:r>
          </w:p>
        </w:tc>
        <w:tc>
          <w:tcPr>
            <w:tcW w:w="1753" w:type="dxa"/>
          </w:tcPr>
          <w:p>
            <w:pPr>
              <w:pStyle w:val="TableParagraph"/>
              <w:spacing w:before="146"/>
              <w:ind w:left="265"/>
              <w:rPr>
                <w:b/>
                <w:sz w:val="21"/>
              </w:rPr>
            </w:pPr>
            <w:r>
              <w:rPr>
                <w:b/>
                <w:sz w:val="21"/>
              </w:rPr>
              <w:t>责任免除</w:t>
            </w:r>
          </w:p>
        </w:tc>
        <w:tc>
          <w:tcPr>
            <w:tcW w:w="7377" w:type="dxa"/>
          </w:tcPr>
          <w:p>
            <w:pPr>
              <w:pStyle w:val="TableParagraph"/>
              <w:spacing w:before="146"/>
              <w:ind w:left="42"/>
              <w:rPr>
                <w:sz w:val="21"/>
              </w:rPr>
            </w:pPr>
            <w:r>
              <w:rPr>
                <w:sz w:val="21"/>
                <w:shd w:fill="C0C0C0" w:color="auto" w:val="clear"/>
              </w:rPr>
              <w:t>因下列情形之一导致被保险人首次发生重大疾病，我们不承担给付保险金的责</w:t>
            </w:r>
          </w:p>
        </w:tc>
      </w:tr>
      <w:tr>
        <w:trPr>
          <w:trHeight w:val="299"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47" w:lineRule="exact"/>
              <w:ind w:left="42"/>
              <w:rPr>
                <w:sz w:val="21"/>
              </w:rPr>
            </w:pPr>
            <w:r>
              <w:rPr>
                <w:sz w:val="21"/>
                <w:shd w:fill="C0C0C0" w:color="auto" w:val="clear"/>
              </w:rPr>
              <w:t>任：</w:t>
            </w:r>
          </w:p>
        </w:tc>
      </w:tr>
      <w:tr>
        <w:trPr>
          <w:trHeight w:val="319"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75" w:lineRule="exact"/>
              <w:ind w:left="42"/>
              <w:rPr>
                <w:sz w:val="21"/>
              </w:rPr>
            </w:pPr>
            <w:r>
              <w:rPr>
                <w:rFonts w:ascii="Times New Roman" w:eastAsia="Times New Roman"/>
                <w:sz w:val="21"/>
                <w:shd w:fill="C0C0C0" w:color="auto" w:val="clear"/>
              </w:rPr>
              <w:t>1.</w:t>
            </w:r>
            <w:r>
              <w:rPr>
                <w:sz w:val="21"/>
                <w:shd w:fill="C0C0C0" w:color="auto" w:val="clear"/>
              </w:rPr>
              <w:t>投保人对被保险人的故意杀害、故意伤害；</w:t>
            </w:r>
          </w:p>
        </w:tc>
      </w:tr>
      <w:tr>
        <w:trPr>
          <w:trHeight w:val="311"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67" w:lineRule="exact"/>
              <w:ind w:left="42"/>
              <w:rPr>
                <w:sz w:val="21"/>
              </w:rPr>
            </w:pPr>
            <w:r>
              <w:rPr>
                <w:rFonts w:ascii="Times New Roman" w:eastAsia="Times New Roman"/>
                <w:sz w:val="21"/>
                <w:shd w:fill="C0C0C0" w:color="auto" w:val="clear"/>
              </w:rPr>
              <w:t>2.</w:t>
            </w:r>
            <w:r>
              <w:rPr>
                <w:sz w:val="21"/>
                <w:shd w:fill="C0C0C0" w:color="auto" w:val="clear"/>
              </w:rPr>
              <w:t>被保险人故意自伤、故意犯罪或者抗拒依法采取的刑事强制措施；</w:t>
            </w:r>
          </w:p>
        </w:tc>
      </w:tr>
      <w:tr>
        <w:trPr>
          <w:trHeight w:val="312"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67" w:lineRule="exact"/>
              <w:ind w:left="42"/>
              <w:rPr>
                <w:sz w:val="21"/>
              </w:rPr>
            </w:pPr>
            <w:r>
              <w:rPr>
                <w:rFonts w:ascii="Times New Roman" w:eastAsia="Times New Roman"/>
                <w:sz w:val="21"/>
                <w:shd w:fill="C0C0C0" w:color="auto" w:val="clear"/>
              </w:rPr>
              <w:t>3.</w:t>
            </w:r>
            <w:r>
              <w:rPr>
                <w:spacing w:val="-1"/>
                <w:sz w:val="21"/>
                <w:shd w:fill="C0C0C0" w:color="auto" w:val="clear"/>
              </w:rPr>
              <w:t>被保险人主动吸食或注射</w:t>
            </w:r>
            <w:r>
              <w:rPr>
                <w:b/>
                <w:spacing w:val="0"/>
                <w:w w:val="99"/>
                <w:sz w:val="21"/>
                <w:shd w:fill="C0C0C0" w:color="auto" w:val="clear"/>
              </w:rPr>
              <w:t>毒品</w:t>
            </w:r>
            <w:r>
              <w:rPr>
                <w:sz w:val="21"/>
                <w:shd w:fill="C0C0C0" w:color="auto" w:val="clear"/>
              </w:rPr>
              <w:t>（</w:t>
            </w:r>
            <w:r>
              <w:rPr>
                <w:spacing w:val="-27"/>
                <w:sz w:val="21"/>
                <w:shd w:fill="C0C0C0" w:color="auto" w:val="clear"/>
              </w:rPr>
              <w:t>见 </w:t>
            </w:r>
            <w:r>
              <w:rPr>
                <w:rFonts w:ascii="Times New Roman" w:eastAsia="Times New Roman"/>
                <w:spacing w:val="-1"/>
                <w:sz w:val="21"/>
                <w:shd w:fill="C0C0C0" w:color="auto" w:val="clear"/>
              </w:rPr>
              <w:t>9.</w:t>
            </w:r>
            <w:r>
              <w:rPr>
                <w:rFonts w:ascii="Times New Roman" w:eastAsia="Times New Roman"/>
                <w:sz w:val="21"/>
                <w:shd w:fill="C0C0C0" w:color="auto" w:val="clear"/>
              </w:rPr>
              <w:t>6</w:t>
            </w:r>
            <w:r>
              <w:rPr>
                <w:spacing w:val="-105"/>
                <w:sz w:val="21"/>
                <w:shd w:fill="C0C0C0" w:color="auto" w:val="clear"/>
              </w:rPr>
              <w:t>）</w:t>
            </w:r>
            <w:r>
              <w:rPr>
                <w:sz w:val="21"/>
                <w:shd w:fill="C0C0C0" w:color="auto" w:val="clear"/>
              </w:rPr>
              <w:t>；</w:t>
            </w:r>
          </w:p>
        </w:tc>
      </w:tr>
      <w:tr>
        <w:trPr>
          <w:trHeight w:val="312"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67" w:lineRule="exact"/>
              <w:ind w:left="42"/>
              <w:rPr>
                <w:b/>
                <w:sz w:val="21"/>
              </w:rPr>
            </w:pPr>
            <w:r>
              <w:rPr>
                <w:rFonts w:ascii="Times New Roman" w:eastAsia="Times New Roman"/>
                <w:sz w:val="21"/>
                <w:shd w:fill="C0C0C0" w:color="auto" w:val="clear"/>
              </w:rPr>
              <w:t>4.</w:t>
            </w:r>
            <w:r>
              <w:rPr>
                <w:sz w:val="21"/>
                <w:shd w:fill="C0C0C0" w:color="auto" w:val="clear"/>
              </w:rPr>
              <w:t>被保险人</w:t>
            </w:r>
            <w:r>
              <w:rPr>
                <w:b/>
                <w:spacing w:val="-6"/>
                <w:w w:val="99"/>
                <w:sz w:val="21"/>
                <w:shd w:fill="C0C0C0" w:color="auto" w:val="clear"/>
              </w:rPr>
              <w:t>酒后驾驶</w:t>
            </w:r>
            <w:r>
              <w:rPr>
                <w:sz w:val="21"/>
                <w:shd w:fill="C0C0C0" w:color="auto" w:val="clear"/>
              </w:rPr>
              <w:t>（</w:t>
            </w:r>
            <w:r>
              <w:rPr>
                <w:spacing w:val="-27"/>
                <w:sz w:val="21"/>
                <w:shd w:fill="C0C0C0" w:color="auto" w:val="clear"/>
              </w:rPr>
              <w:t>见 </w:t>
            </w:r>
            <w:r>
              <w:rPr>
                <w:rFonts w:ascii="Times New Roman" w:eastAsia="Times New Roman"/>
                <w:spacing w:val="-1"/>
                <w:sz w:val="21"/>
                <w:shd w:fill="C0C0C0" w:color="auto" w:val="clear"/>
              </w:rPr>
              <w:t>9.</w:t>
            </w:r>
            <w:r>
              <w:rPr>
                <w:rFonts w:ascii="Times New Roman" w:eastAsia="Times New Roman"/>
                <w:sz w:val="21"/>
                <w:shd w:fill="C0C0C0" w:color="auto" w:val="clear"/>
              </w:rPr>
              <w:t>7</w:t>
            </w:r>
            <w:r>
              <w:rPr>
                <w:spacing w:val="-105"/>
                <w:sz w:val="21"/>
                <w:shd w:fill="C0C0C0" w:color="auto" w:val="clear"/>
              </w:rPr>
              <w:t>）</w:t>
            </w:r>
            <w:r>
              <w:rPr>
                <w:spacing w:val="-22"/>
                <w:sz w:val="21"/>
                <w:shd w:fill="C0C0C0" w:color="auto" w:val="clear"/>
              </w:rPr>
              <w:t>，</w:t>
            </w:r>
            <w:r>
              <w:rPr>
                <w:b/>
                <w:spacing w:val="-3"/>
                <w:w w:val="99"/>
                <w:sz w:val="21"/>
                <w:shd w:fill="C0C0C0" w:color="auto" w:val="clear"/>
              </w:rPr>
              <w:t>无合法有效驾驶证驾驶</w:t>
            </w:r>
            <w:r>
              <w:rPr>
                <w:sz w:val="21"/>
                <w:shd w:fill="C0C0C0" w:color="auto" w:val="clear"/>
              </w:rPr>
              <w:t>（</w:t>
            </w:r>
            <w:r>
              <w:rPr>
                <w:spacing w:val="-27"/>
                <w:sz w:val="21"/>
                <w:shd w:fill="C0C0C0" w:color="auto" w:val="clear"/>
              </w:rPr>
              <w:t>见 </w:t>
            </w:r>
            <w:r>
              <w:rPr>
                <w:rFonts w:ascii="Times New Roman" w:eastAsia="Times New Roman"/>
                <w:sz w:val="21"/>
                <w:shd w:fill="C0C0C0" w:color="auto" w:val="clear"/>
              </w:rPr>
              <w:t>9</w:t>
            </w:r>
            <w:r>
              <w:rPr>
                <w:rFonts w:ascii="Times New Roman" w:eastAsia="Times New Roman"/>
                <w:spacing w:val="-1"/>
                <w:sz w:val="21"/>
                <w:shd w:fill="C0C0C0" w:color="auto" w:val="clear"/>
              </w:rPr>
              <w:t>.8</w:t>
            </w:r>
            <w:r>
              <w:rPr>
                <w:spacing w:val="-105"/>
                <w:sz w:val="21"/>
                <w:shd w:fill="C0C0C0" w:color="auto" w:val="clear"/>
              </w:rPr>
              <w:t>）</w:t>
            </w:r>
            <w:r>
              <w:rPr>
                <w:spacing w:val="-6"/>
                <w:sz w:val="21"/>
                <w:shd w:fill="C0C0C0" w:color="auto" w:val="clear"/>
              </w:rPr>
              <w:t>，或驾驶</w:t>
            </w:r>
            <w:r>
              <w:rPr>
                <w:b/>
                <w:spacing w:val="0"/>
                <w:w w:val="99"/>
                <w:sz w:val="21"/>
                <w:shd w:fill="C0C0C0" w:color="auto" w:val="clear"/>
              </w:rPr>
              <w:t>无有效</w:t>
            </w:r>
          </w:p>
        </w:tc>
      </w:tr>
      <w:tr>
        <w:trPr>
          <w:trHeight w:val="311"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67" w:lineRule="exact"/>
              <w:ind w:left="42"/>
              <w:rPr>
                <w:sz w:val="21"/>
              </w:rPr>
            </w:pPr>
            <w:r>
              <w:rPr>
                <w:b/>
                <w:spacing w:val="0"/>
                <w:w w:val="99"/>
                <w:sz w:val="21"/>
                <w:shd w:fill="C0C0C0" w:color="auto" w:val="clear"/>
              </w:rPr>
              <w:t>行驶证</w:t>
            </w:r>
            <w:r>
              <w:rPr>
                <w:sz w:val="21"/>
                <w:shd w:fill="C0C0C0" w:color="auto" w:val="clear"/>
              </w:rPr>
              <w:t>（</w:t>
            </w:r>
            <w:r>
              <w:rPr>
                <w:spacing w:val="-27"/>
                <w:sz w:val="21"/>
                <w:shd w:fill="C0C0C0" w:color="auto" w:val="clear"/>
              </w:rPr>
              <w:t>见 </w:t>
            </w:r>
            <w:r>
              <w:rPr>
                <w:rFonts w:ascii="Times New Roman" w:eastAsia="Times New Roman"/>
                <w:spacing w:val="-1"/>
                <w:sz w:val="21"/>
                <w:shd w:fill="C0C0C0" w:color="auto" w:val="clear"/>
              </w:rPr>
              <w:t>9.</w:t>
            </w:r>
            <w:r>
              <w:rPr>
                <w:rFonts w:ascii="Times New Roman" w:eastAsia="Times New Roman"/>
                <w:sz w:val="21"/>
                <w:shd w:fill="C0C0C0" w:color="auto" w:val="clear"/>
              </w:rPr>
              <w:t>9</w:t>
            </w:r>
            <w:r>
              <w:rPr>
                <w:sz w:val="21"/>
                <w:shd w:fill="C0C0C0" w:color="auto" w:val="clear"/>
              </w:rPr>
              <w:t>）的</w:t>
            </w:r>
            <w:r>
              <w:rPr>
                <w:b/>
                <w:w w:val="99"/>
                <w:sz w:val="21"/>
                <w:shd w:fill="C0C0C0" w:color="auto" w:val="clear"/>
              </w:rPr>
              <w:t>机动车</w:t>
            </w:r>
            <w:r>
              <w:rPr>
                <w:sz w:val="21"/>
                <w:shd w:fill="C0C0C0" w:color="auto" w:val="clear"/>
              </w:rPr>
              <w:t>（</w:t>
            </w:r>
            <w:r>
              <w:rPr>
                <w:spacing w:val="-27"/>
                <w:sz w:val="21"/>
                <w:shd w:fill="C0C0C0" w:color="auto" w:val="clear"/>
              </w:rPr>
              <w:t>见 </w:t>
            </w:r>
            <w:r>
              <w:rPr>
                <w:rFonts w:ascii="Times New Roman" w:eastAsia="Times New Roman"/>
                <w:sz w:val="21"/>
                <w:shd w:fill="C0C0C0" w:color="auto" w:val="clear"/>
              </w:rPr>
              <w:t>9</w:t>
            </w:r>
            <w:r>
              <w:rPr>
                <w:rFonts w:ascii="Times New Roman" w:eastAsia="Times New Roman"/>
                <w:spacing w:val="-1"/>
                <w:sz w:val="21"/>
                <w:shd w:fill="C0C0C0" w:color="auto" w:val="clear"/>
              </w:rPr>
              <w:t>.</w:t>
            </w:r>
            <w:r>
              <w:rPr>
                <w:rFonts w:ascii="Times New Roman" w:eastAsia="Times New Roman"/>
                <w:sz w:val="21"/>
                <w:shd w:fill="C0C0C0" w:color="auto" w:val="clear"/>
              </w:rPr>
              <w:t>1</w:t>
            </w:r>
            <w:r>
              <w:rPr>
                <w:rFonts w:ascii="Times New Roman" w:eastAsia="Times New Roman"/>
                <w:spacing w:val="-1"/>
                <w:sz w:val="21"/>
                <w:shd w:fill="C0C0C0" w:color="auto" w:val="clear"/>
              </w:rPr>
              <w:t>0</w:t>
            </w:r>
            <w:r>
              <w:rPr>
                <w:spacing w:val="-105"/>
                <w:sz w:val="21"/>
                <w:shd w:fill="C0C0C0" w:color="auto" w:val="clear"/>
              </w:rPr>
              <w:t>）</w:t>
            </w:r>
            <w:r>
              <w:rPr>
                <w:sz w:val="21"/>
                <w:shd w:fill="C0C0C0" w:color="auto" w:val="clear"/>
              </w:rPr>
              <w:t>；</w:t>
            </w:r>
          </w:p>
        </w:tc>
      </w:tr>
      <w:tr>
        <w:trPr>
          <w:trHeight w:val="315"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67" w:lineRule="exact"/>
              <w:ind w:left="42"/>
              <w:rPr>
                <w:sz w:val="21"/>
              </w:rPr>
            </w:pPr>
            <w:r>
              <w:rPr>
                <w:rFonts w:ascii="Times New Roman" w:hAnsi="Times New Roman" w:eastAsia="Times New Roman"/>
                <w:sz w:val="21"/>
                <w:shd w:fill="C0C0C0" w:color="auto" w:val="clear"/>
              </w:rPr>
              <w:t>5.</w:t>
            </w:r>
            <w:r>
              <w:rPr>
                <w:sz w:val="21"/>
                <w:shd w:fill="C0C0C0" w:color="auto" w:val="clear"/>
              </w:rPr>
              <w:t>被保险人</w:t>
            </w:r>
            <w:r>
              <w:rPr>
                <w:b/>
                <w:w w:val="99"/>
                <w:sz w:val="21"/>
                <w:shd w:fill="C0C0C0" w:color="auto" w:val="clear"/>
              </w:rPr>
              <w:t>感染艾滋病病毒或患艾滋病</w:t>
            </w:r>
            <w:r>
              <w:rPr>
                <w:sz w:val="21"/>
                <w:shd w:fill="C0C0C0" w:color="auto" w:val="clear"/>
              </w:rPr>
              <w:t>（</w:t>
            </w:r>
            <w:r>
              <w:rPr>
                <w:spacing w:val="-27"/>
                <w:sz w:val="21"/>
                <w:shd w:fill="C0C0C0" w:color="auto" w:val="clear"/>
              </w:rPr>
              <w:t>见 </w:t>
            </w:r>
            <w:r>
              <w:rPr>
                <w:rFonts w:ascii="Times New Roman" w:hAnsi="Times New Roman" w:eastAsia="Times New Roman"/>
                <w:sz w:val="21"/>
                <w:shd w:fill="C0C0C0" w:color="auto" w:val="clear"/>
              </w:rPr>
              <w:t>9</w:t>
            </w:r>
            <w:r>
              <w:rPr>
                <w:rFonts w:ascii="Times New Roman" w:hAnsi="Times New Roman" w:eastAsia="Times New Roman"/>
                <w:spacing w:val="-1"/>
                <w:sz w:val="21"/>
                <w:shd w:fill="C0C0C0" w:color="auto" w:val="clear"/>
              </w:rPr>
              <w:t>.</w:t>
            </w:r>
            <w:r>
              <w:rPr>
                <w:rFonts w:ascii="Times New Roman" w:hAnsi="Times New Roman" w:eastAsia="Times New Roman"/>
                <w:spacing w:val="-8"/>
                <w:sz w:val="21"/>
                <w:shd w:fill="C0C0C0" w:color="auto" w:val="clear"/>
              </w:rPr>
              <w:t>1</w:t>
            </w:r>
            <w:r>
              <w:rPr>
                <w:rFonts w:ascii="Times New Roman" w:hAnsi="Times New Roman" w:eastAsia="Times New Roman"/>
                <w:sz w:val="21"/>
                <w:shd w:fill="C0C0C0" w:color="auto" w:val="clear"/>
              </w:rPr>
              <w:t>1</w:t>
            </w:r>
            <w:r>
              <w:rPr>
                <w:spacing w:val="-106"/>
                <w:sz w:val="21"/>
                <w:shd w:fill="C0C0C0" w:color="auto" w:val="clear"/>
              </w:rPr>
              <w:t>）</w:t>
            </w:r>
            <w:r>
              <w:rPr>
                <w:sz w:val="21"/>
              </w:rPr>
              <w:t>（不包括“</w:t>
            </w:r>
            <w:r>
              <w:rPr>
                <w:rFonts w:ascii="Times New Roman" w:hAnsi="Times New Roman" w:eastAsia="Times New Roman"/>
                <w:sz w:val="21"/>
              </w:rPr>
              <w:t>8</w:t>
            </w:r>
            <w:r>
              <w:rPr>
                <w:rFonts w:ascii="Times New Roman" w:hAnsi="Times New Roman" w:eastAsia="Times New Roman"/>
                <w:spacing w:val="-1"/>
                <w:sz w:val="21"/>
              </w:rPr>
              <w:t>.</w:t>
            </w:r>
            <w:r>
              <w:rPr>
                <w:sz w:val="21"/>
              </w:rPr>
              <w:t>重大疾病定义”</w:t>
            </w:r>
          </w:p>
        </w:tc>
      </w:tr>
      <w:tr>
        <w:trPr>
          <w:trHeight w:val="300"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48" w:lineRule="exact"/>
              <w:ind w:left="42"/>
              <w:rPr>
                <w:sz w:val="21"/>
              </w:rPr>
            </w:pPr>
            <w:r>
              <w:rPr>
                <w:sz w:val="21"/>
              </w:rPr>
              <w:t>中列明的疾病</w:t>
            </w:r>
            <w:r>
              <w:rPr>
                <w:spacing w:val="-105"/>
                <w:sz w:val="21"/>
              </w:rPr>
              <w:t>）</w:t>
            </w:r>
            <w:r>
              <w:rPr>
                <w:sz w:val="21"/>
              </w:rPr>
              <w:t>；</w:t>
            </w:r>
          </w:p>
        </w:tc>
      </w:tr>
      <w:tr>
        <w:trPr>
          <w:trHeight w:val="319"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75" w:lineRule="exact"/>
              <w:ind w:left="42"/>
              <w:rPr>
                <w:sz w:val="21"/>
              </w:rPr>
            </w:pPr>
            <w:r>
              <w:rPr>
                <w:rFonts w:ascii="Times New Roman" w:eastAsia="Times New Roman"/>
                <w:sz w:val="21"/>
                <w:shd w:fill="C0C0C0" w:color="auto" w:val="clear"/>
              </w:rPr>
              <w:t>6.</w:t>
            </w:r>
            <w:r>
              <w:rPr>
                <w:sz w:val="21"/>
                <w:shd w:fill="C0C0C0" w:color="auto" w:val="clear"/>
              </w:rPr>
              <w:t>战争、军事冲突、暴乱或武装叛乱；</w:t>
            </w:r>
          </w:p>
        </w:tc>
      </w:tr>
      <w:tr>
        <w:trPr>
          <w:trHeight w:val="312"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67" w:lineRule="exact"/>
              <w:ind w:left="42"/>
              <w:rPr>
                <w:sz w:val="21"/>
              </w:rPr>
            </w:pPr>
            <w:r>
              <w:rPr>
                <w:rFonts w:ascii="Times New Roman" w:eastAsia="Times New Roman"/>
                <w:sz w:val="21"/>
                <w:shd w:fill="C0C0C0" w:color="auto" w:val="clear"/>
              </w:rPr>
              <w:t>7.</w:t>
            </w:r>
            <w:r>
              <w:rPr>
                <w:sz w:val="21"/>
                <w:shd w:fill="C0C0C0" w:color="auto" w:val="clear"/>
              </w:rPr>
              <w:t>核爆炸、核辐射或核污染；</w:t>
            </w:r>
          </w:p>
        </w:tc>
      </w:tr>
      <w:tr>
        <w:trPr>
          <w:trHeight w:val="315"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67" w:lineRule="exact"/>
              <w:ind w:left="42"/>
              <w:rPr>
                <w:rFonts w:ascii="Times New Roman" w:hAnsi="Times New Roman" w:eastAsia="Times New Roman"/>
                <w:sz w:val="21"/>
              </w:rPr>
            </w:pPr>
            <w:r>
              <w:rPr>
                <w:rFonts w:ascii="Times New Roman" w:hAnsi="Times New Roman" w:eastAsia="Times New Roman"/>
                <w:sz w:val="21"/>
                <w:shd w:fill="C0C0C0" w:color="auto" w:val="clear"/>
              </w:rPr>
              <w:t>8.</w:t>
            </w:r>
            <w:r>
              <w:rPr>
                <w:b/>
                <w:spacing w:val="-9"/>
                <w:w w:val="99"/>
                <w:sz w:val="21"/>
                <w:shd w:fill="C0C0C0" w:color="auto" w:val="clear"/>
              </w:rPr>
              <w:t>遗传性疾病</w:t>
            </w:r>
            <w:r>
              <w:rPr>
                <w:sz w:val="21"/>
                <w:shd w:fill="C0C0C0" w:color="auto" w:val="clear"/>
              </w:rPr>
              <w:t>（</w:t>
            </w:r>
            <w:r>
              <w:rPr>
                <w:spacing w:val="-27"/>
                <w:sz w:val="21"/>
                <w:shd w:fill="C0C0C0" w:color="auto" w:val="clear"/>
              </w:rPr>
              <w:t>见 </w:t>
            </w:r>
            <w:r>
              <w:rPr>
                <w:rFonts w:ascii="Times New Roman" w:hAnsi="Times New Roman" w:eastAsia="Times New Roman"/>
                <w:sz w:val="21"/>
                <w:shd w:fill="C0C0C0" w:color="auto" w:val="clear"/>
              </w:rPr>
              <w:t>9.</w:t>
            </w:r>
            <w:r>
              <w:rPr>
                <w:rFonts w:ascii="Times New Roman" w:hAnsi="Times New Roman" w:eastAsia="Times New Roman"/>
                <w:spacing w:val="-1"/>
                <w:sz w:val="21"/>
                <w:shd w:fill="C0C0C0" w:color="auto" w:val="clear"/>
              </w:rPr>
              <w:t>1</w:t>
            </w:r>
            <w:r>
              <w:rPr>
                <w:rFonts w:ascii="Times New Roman" w:hAnsi="Times New Roman" w:eastAsia="Times New Roman"/>
                <w:sz w:val="21"/>
                <w:shd w:fill="C0C0C0" w:color="auto" w:val="clear"/>
              </w:rPr>
              <w:t>2</w:t>
            </w:r>
            <w:r>
              <w:rPr>
                <w:spacing w:val="-105"/>
                <w:sz w:val="21"/>
                <w:shd w:fill="C0C0C0" w:color="auto" w:val="clear"/>
              </w:rPr>
              <w:t>）</w:t>
            </w:r>
            <w:r>
              <w:rPr>
                <w:spacing w:val="-42"/>
                <w:sz w:val="21"/>
                <w:shd w:fill="C0C0C0" w:color="auto" w:val="clear"/>
              </w:rPr>
              <w:t>、</w:t>
            </w:r>
            <w:r>
              <w:rPr>
                <w:b/>
                <w:spacing w:val="-9"/>
                <w:w w:val="99"/>
                <w:sz w:val="21"/>
                <w:shd w:fill="C0C0C0" w:color="auto" w:val="clear"/>
              </w:rPr>
              <w:t>先天性畸形、变形或染色体异常</w:t>
            </w:r>
            <w:r>
              <w:rPr>
                <w:sz w:val="21"/>
                <w:shd w:fill="C0C0C0" w:color="auto" w:val="clear"/>
              </w:rPr>
              <w:t>（</w:t>
            </w:r>
            <w:r>
              <w:rPr>
                <w:spacing w:val="-27"/>
                <w:sz w:val="21"/>
                <w:shd w:fill="C0C0C0" w:color="auto" w:val="clear"/>
              </w:rPr>
              <w:t>见 </w:t>
            </w:r>
            <w:r>
              <w:rPr>
                <w:rFonts w:ascii="Times New Roman" w:hAnsi="Times New Roman" w:eastAsia="Times New Roman"/>
                <w:sz w:val="21"/>
                <w:shd w:fill="C0C0C0" w:color="auto" w:val="clear"/>
              </w:rPr>
              <w:t>9</w:t>
            </w:r>
            <w:r>
              <w:rPr>
                <w:rFonts w:ascii="Times New Roman" w:hAnsi="Times New Roman" w:eastAsia="Times New Roman"/>
                <w:spacing w:val="-1"/>
                <w:sz w:val="21"/>
                <w:shd w:fill="C0C0C0" w:color="auto" w:val="clear"/>
              </w:rPr>
              <w:t>.</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3</w:t>
            </w:r>
            <w:r>
              <w:rPr>
                <w:spacing w:val="-146"/>
                <w:sz w:val="21"/>
                <w:shd w:fill="C0C0C0" w:color="auto" w:val="clear"/>
              </w:rPr>
              <w:t>）</w:t>
            </w:r>
            <w:r>
              <w:rPr>
                <w:sz w:val="21"/>
                <w:shd w:fill="C0C0C0" w:color="auto" w:val="clear"/>
              </w:rPr>
              <w:t>（</w:t>
            </w:r>
            <w:r>
              <w:rPr>
                <w:spacing w:val="-11"/>
                <w:sz w:val="21"/>
              </w:rPr>
              <w:t>不包括“</w:t>
            </w:r>
            <w:r>
              <w:rPr>
                <w:rFonts w:ascii="Times New Roman" w:hAnsi="Times New Roman" w:eastAsia="Times New Roman"/>
                <w:sz w:val="21"/>
              </w:rPr>
              <w:t>8.</w:t>
            </w:r>
          </w:p>
        </w:tc>
      </w:tr>
      <w:tr>
        <w:trPr>
          <w:trHeight w:val="347"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48" w:lineRule="exact"/>
              <w:ind w:left="42"/>
              <w:rPr>
                <w:sz w:val="21"/>
              </w:rPr>
            </w:pPr>
            <w:r>
              <w:rPr>
                <w:sz w:val="21"/>
              </w:rPr>
              <w:t>重大疾病定义”中列明的疾病</w:t>
            </w:r>
            <w:r>
              <w:rPr>
                <w:spacing w:val="-105"/>
                <w:sz w:val="21"/>
              </w:rPr>
              <w:t>）</w:t>
            </w:r>
            <w:r>
              <w:rPr>
                <w:sz w:val="21"/>
              </w:rPr>
              <w:t>。</w:t>
            </w:r>
          </w:p>
        </w:tc>
      </w:tr>
      <w:tr>
        <w:trPr>
          <w:trHeight w:val="366"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before="31"/>
              <w:ind w:left="42"/>
              <w:rPr>
                <w:sz w:val="21"/>
              </w:rPr>
            </w:pPr>
            <w:r>
              <w:rPr>
                <w:sz w:val="21"/>
                <w:shd w:fill="C0C0C0" w:color="auto" w:val="clear"/>
              </w:rPr>
              <w:t>发生上述第 </w:t>
            </w:r>
            <w:r>
              <w:rPr>
                <w:rFonts w:ascii="Times New Roman" w:eastAsia="Times New Roman"/>
                <w:sz w:val="21"/>
                <w:shd w:fill="C0C0C0" w:color="auto" w:val="clear"/>
              </w:rPr>
              <w:t>1 </w:t>
            </w:r>
            <w:r>
              <w:rPr>
                <w:sz w:val="21"/>
                <w:shd w:fill="C0C0C0" w:color="auto" w:val="clear"/>
              </w:rPr>
              <w:t>项情形导致被保险人患重大疾病的，本合同终止，我们向被保险</w:t>
            </w:r>
          </w:p>
        </w:tc>
      </w:tr>
      <w:tr>
        <w:trPr>
          <w:trHeight w:val="361"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67" w:lineRule="exact"/>
              <w:ind w:left="42"/>
              <w:rPr>
                <w:sz w:val="21"/>
              </w:rPr>
            </w:pPr>
            <w:r>
              <w:rPr>
                <w:sz w:val="21"/>
                <w:shd w:fill="C0C0C0" w:color="auto" w:val="clear"/>
              </w:rPr>
              <w:t>人退还本合同的</w:t>
            </w:r>
            <w:r>
              <w:rPr>
                <w:b/>
                <w:w w:val="99"/>
                <w:sz w:val="21"/>
                <w:shd w:fill="C0C0C0" w:color="auto" w:val="clear"/>
              </w:rPr>
              <w:t>未到期净保费</w:t>
            </w:r>
            <w:r>
              <w:rPr>
                <w:sz w:val="21"/>
                <w:shd w:fill="C0C0C0" w:color="auto" w:val="clear"/>
              </w:rPr>
              <w:t>（</w:t>
            </w:r>
            <w:r>
              <w:rPr>
                <w:spacing w:val="-27"/>
                <w:sz w:val="21"/>
                <w:shd w:fill="C0C0C0" w:color="auto" w:val="clear"/>
              </w:rPr>
              <w:t>见 </w:t>
            </w:r>
            <w:r>
              <w:rPr>
                <w:rFonts w:ascii="Times New Roman" w:eastAsia="Times New Roman"/>
                <w:spacing w:val="-1"/>
                <w:sz w:val="21"/>
                <w:shd w:fill="C0C0C0" w:color="auto" w:val="clear"/>
              </w:rPr>
              <w:t>9.</w:t>
            </w:r>
            <w:r>
              <w:rPr>
                <w:rFonts w:ascii="Times New Roman" w:eastAsia="Times New Roman"/>
                <w:sz w:val="21"/>
                <w:shd w:fill="C0C0C0" w:color="auto" w:val="clear"/>
              </w:rPr>
              <w:t>1</w:t>
            </w:r>
            <w:r>
              <w:rPr>
                <w:rFonts w:ascii="Times New Roman" w:eastAsia="Times New Roman"/>
                <w:spacing w:val="-1"/>
                <w:sz w:val="21"/>
                <w:shd w:fill="C0C0C0" w:color="auto" w:val="clear"/>
              </w:rPr>
              <w:t>4</w:t>
            </w:r>
            <w:r>
              <w:rPr>
                <w:spacing w:val="-105"/>
                <w:sz w:val="21"/>
                <w:shd w:fill="C0C0C0" w:color="auto" w:val="clear"/>
              </w:rPr>
              <w:t>）</w:t>
            </w:r>
            <w:r>
              <w:rPr>
                <w:sz w:val="21"/>
                <w:shd w:fill="C0C0C0" w:color="auto" w:val="clear"/>
              </w:rPr>
              <w:t>。</w:t>
            </w:r>
          </w:p>
        </w:tc>
      </w:tr>
      <w:tr>
        <w:trPr>
          <w:trHeight w:val="350"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before="19"/>
              <w:ind w:left="42"/>
              <w:rPr>
                <w:sz w:val="21"/>
              </w:rPr>
            </w:pPr>
            <w:r>
              <w:rPr>
                <w:sz w:val="21"/>
                <w:shd w:fill="C0C0C0" w:color="auto" w:val="clear"/>
              </w:rPr>
              <w:t>发生上述其他情形导致被保险人患重大疾病的，本合同终止，我们向您退还本</w:t>
            </w:r>
          </w:p>
        </w:tc>
      </w:tr>
      <w:tr>
        <w:trPr>
          <w:trHeight w:val="471"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56" w:lineRule="exact"/>
              <w:ind w:left="42"/>
              <w:rPr>
                <w:sz w:val="21"/>
              </w:rPr>
            </w:pPr>
            <w:r>
              <w:rPr>
                <w:sz w:val="21"/>
                <w:shd w:fill="C0C0C0" w:color="auto" w:val="clear"/>
              </w:rPr>
              <w:t>合同的未到期净保费。</w:t>
            </w:r>
          </w:p>
        </w:tc>
      </w:tr>
      <w:tr>
        <w:trPr>
          <w:trHeight w:val="484" w:hRule="atLeast"/>
        </w:trPr>
        <w:tc>
          <w:tcPr>
            <w:tcW w:w="637" w:type="dxa"/>
          </w:tcPr>
          <w:p>
            <w:pPr>
              <w:pStyle w:val="TableParagraph"/>
              <w:spacing w:before="2"/>
              <w:rPr>
                <w:sz w:val="15"/>
              </w:rPr>
            </w:pPr>
          </w:p>
          <w:p>
            <w:pPr>
              <w:pStyle w:val="TableParagraph"/>
              <w:spacing w:before="1"/>
              <w:ind w:left="107"/>
              <w:rPr>
                <w:rFonts w:ascii="Times New Roman"/>
                <w:b/>
                <w:sz w:val="21"/>
              </w:rPr>
            </w:pPr>
            <w:r>
              <w:rPr>
                <w:rFonts w:ascii="Times New Roman"/>
                <w:b/>
                <w:sz w:val="21"/>
              </w:rPr>
              <w:t>2.5</w:t>
            </w:r>
          </w:p>
        </w:tc>
        <w:tc>
          <w:tcPr>
            <w:tcW w:w="1753" w:type="dxa"/>
          </w:tcPr>
          <w:p>
            <w:pPr>
              <w:pStyle w:val="TableParagraph"/>
              <w:spacing w:before="147"/>
              <w:ind w:left="265"/>
              <w:rPr>
                <w:b/>
                <w:sz w:val="21"/>
              </w:rPr>
            </w:pPr>
            <w:r>
              <w:rPr>
                <w:b/>
                <w:w w:val="95"/>
                <w:sz w:val="21"/>
              </w:rPr>
              <w:t>其他免责条款</w:t>
            </w:r>
          </w:p>
        </w:tc>
        <w:tc>
          <w:tcPr>
            <w:tcW w:w="7377" w:type="dxa"/>
          </w:tcPr>
          <w:p>
            <w:pPr>
              <w:pStyle w:val="TableParagraph"/>
              <w:spacing w:before="147"/>
              <w:ind w:left="42"/>
              <w:rPr>
                <w:sz w:val="21"/>
              </w:rPr>
            </w:pPr>
            <w:r>
              <w:rPr>
                <w:sz w:val="21"/>
              </w:rPr>
              <w:t>除“</w:t>
            </w:r>
            <w:r>
              <w:rPr>
                <w:rFonts w:ascii="Times New Roman" w:hAnsi="Times New Roman" w:eastAsia="Times New Roman"/>
                <w:sz w:val="21"/>
              </w:rPr>
              <w:t>2.4 </w:t>
            </w:r>
            <w:r>
              <w:rPr>
                <w:spacing w:val="-2"/>
                <w:sz w:val="21"/>
              </w:rPr>
              <w:t>责任免除”外，本合同中还有一些免除本公司责任的条款，详见 </w:t>
            </w:r>
            <w:r>
              <w:rPr>
                <w:rFonts w:ascii="Times New Roman" w:hAnsi="Times New Roman" w:eastAsia="Times New Roman"/>
                <w:sz w:val="21"/>
              </w:rPr>
              <w:t>2.3</w:t>
            </w:r>
            <w:r>
              <w:rPr>
                <w:sz w:val="21"/>
              </w:rPr>
              <w:t>、</w:t>
            </w:r>
          </w:p>
        </w:tc>
      </w:tr>
      <w:tr>
        <w:trPr>
          <w:trHeight w:val="467"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66" w:lineRule="exact"/>
              <w:ind w:left="42"/>
              <w:rPr>
                <w:sz w:val="21"/>
              </w:rPr>
            </w:pPr>
            <w:r>
              <w:rPr>
                <w:rFonts w:ascii="Times New Roman" w:eastAsia="Times New Roman"/>
                <w:sz w:val="21"/>
              </w:rPr>
              <w:t>3.2</w:t>
            </w:r>
            <w:r>
              <w:rPr>
                <w:sz w:val="21"/>
              </w:rPr>
              <w:t>、</w:t>
            </w:r>
            <w:r>
              <w:rPr>
                <w:rFonts w:ascii="Times New Roman" w:eastAsia="Times New Roman"/>
                <w:sz w:val="21"/>
              </w:rPr>
              <w:t>6.1</w:t>
            </w:r>
            <w:r>
              <w:rPr>
                <w:sz w:val="21"/>
              </w:rPr>
              <w:t>、</w:t>
            </w:r>
            <w:r>
              <w:rPr>
                <w:rFonts w:ascii="Times New Roman" w:eastAsia="Times New Roman"/>
                <w:sz w:val="21"/>
              </w:rPr>
              <w:t>7.1</w:t>
            </w:r>
            <w:r>
              <w:rPr>
                <w:sz w:val="21"/>
              </w:rPr>
              <w:t>、</w:t>
            </w:r>
            <w:r>
              <w:rPr>
                <w:rFonts w:ascii="Times New Roman" w:eastAsia="Times New Roman"/>
                <w:sz w:val="21"/>
              </w:rPr>
              <w:t>8 </w:t>
            </w:r>
            <w:r>
              <w:rPr>
                <w:sz w:val="21"/>
              </w:rPr>
              <w:t>和 </w:t>
            </w:r>
            <w:r>
              <w:rPr>
                <w:rFonts w:ascii="Times New Roman" w:eastAsia="Times New Roman"/>
                <w:sz w:val="21"/>
              </w:rPr>
              <w:t>9.5 </w:t>
            </w:r>
            <w:r>
              <w:rPr>
                <w:sz w:val="21"/>
              </w:rPr>
              <w:t>中</w:t>
            </w:r>
            <w:r>
              <w:rPr>
                <w:sz w:val="21"/>
                <w:shd w:fill="C0C0C0" w:color="auto" w:val="clear"/>
              </w:rPr>
              <w:t>灰色底纹背景字体</w:t>
            </w:r>
            <w:r>
              <w:rPr>
                <w:sz w:val="21"/>
              </w:rPr>
              <w:t>的内容。</w:t>
            </w:r>
          </w:p>
        </w:tc>
      </w:tr>
      <w:tr>
        <w:trPr>
          <w:trHeight w:val="632" w:hRule="atLeast"/>
        </w:trPr>
        <w:tc>
          <w:tcPr>
            <w:tcW w:w="637" w:type="dxa"/>
            <w:tcBorders>
              <w:bottom w:val="single" w:sz="8" w:space="0" w:color="000000"/>
            </w:tcBorders>
          </w:tcPr>
          <w:p>
            <w:pPr>
              <w:pStyle w:val="TableParagraph"/>
              <w:spacing w:before="181"/>
              <w:ind w:left="108"/>
              <w:rPr>
                <w:rFonts w:ascii="Times New Roman"/>
                <w:b/>
                <w:sz w:val="24"/>
              </w:rPr>
            </w:pPr>
            <w:r>
              <w:rPr>
                <w:rFonts w:ascii="Times New Roman"/>
                <w:b/>
                <w:sz w:val="24"/>
              </w:rPr>
              <w:t>3.</w:t>
            </w:r>
          </w:p>
        </w:tc>
        <w:tc>
          <w:tcPr>
            <w:tcW w:w="1753" w:type="dxa"/>
            <w:tcBorders>
              <w:bottom w:val="single" w:sz="8" w:space="0" w:color="000000"/>
            </w:tcBorders>
          </w:tcPr>
          <w:p>
            <w:pPr>
              <w:pStyle w:val="TableParagraph"/>
              <w:spacing w:before="121"/>
              <w:ind w:left="265"/>
              <w:rPr>
                <w:b/>
                <w:sz w:val="24"/>
              </w:rPr>
            </w:pPr>
            <w:r>
              <w:rPr>
                <w:b/>
                <w:sz w:val="24"/>
              </w:rPr>
              <w:t>保险金的申请</w:t>
            </w:r>
          </w:p>
        </w:tc>
        <w:tc>
          <w:tcPr>
            <w:tcW w:w="7377" w:type="dxa"/>
            <w:tcBorders>
              <w:bottom w:val="single" w:sz="8" w:space="0" w:color="000000"/>
            </w:tcBorders>
          </w:tcPr>
          <w:p>
            <w:pPr>
              <w:pStyle w:val="TableParagraph"/>
              <w:rPr>
                <w:rFonts w:ascii="Times New Roman"/>
                <w:sz w:val="20"/>
              </w:rPr>
            </w:pPr>
          </w:p>
        </w:tc>
      </w:tr>
      <w:tr>
        <w:trPr>
          <w:trHeight w:val="630" w:hRule="atLeast"/>
        </w:trPr>
        <w:tc>
          <w:tcPr>
            <w:tcW w:w="637" w:type="dxa"/>
            <w:tcBorders>
              <w:top w:val="single" w:sz="8" w:space="0" w:color="000000"/>
            </w:tcBorders>
          </w:tcPr>
          <w:p>
            <w:pPr>
              <w:pStyle w:val="TableParagraph"/>
              <w:spacing w:before="182"/>
              <w:ind w:left="108"/>
              <w:rPr>
                <w:rFonts w:ascii="Times New Roman"/>
                <w:b/>
                <w:sz w:val="21"/>
              </w:rPr>
            </w:pPr>
            <w:r>
              <w:rPr>
                <w:rFonts w:ascii="Times New Roman"/>
                <w:b/>
                <w:sz w:val="21"/>
              </w:rPr>
              <w:t>3.1</w:t>
            </w:r>
          </w:p>
        </w:tc>
        <w:tc>
          <w:tcPr>
            <w:tcW w:w="1753" w:type="dxa"/>
            <w:tcBorders>
              <w:top w:val="single" w:sz="8" w:space="0" w:color="000000"/>
            </w:tcBorders>
          </w:tcPr>
          <w:p>
            <w:pPr>
              <w:pStyle w:val="TableParagraph"/>
              <w:spacing w:before="130"/>
              <w:ind w:left="265"/>
              <w:rPr>
                <w:b/>
                <w:sz w:val="21"/>
              </w:rPr>
            </w:pPr>
            <w:r>
              <w:rPr>
                <w:b/>
                <w:sz w:val="21"/>
              </w:rPr>
              <w:t>受益人</w:t>
            </w:r>
          </w:p>
        </w:tc>
        <w:tc>
          <w:tcPr>
            <w:tcW w:w="7377" w:type="dxa"/>
            <w:tcBorders>
              <w:top w:val="single" w:sz="8" w:space="0" w:color="000000"/>
            </w:tcBorders>
          </w:tcPr>
          <w:p>
            <w:pPr>
              <w:pStyle w:val="TableParagraph"/>
              <w:spacing w:before="130"/>
              <w:ind w:left="42"/>
              <w:rPr>
                <w:sz w:val="21"/>
              </w:rPr>
            </w:pPr>
            <w:r>
              <w:rPr>
                <w:sz w:val="21"/>
              </w:rPr>
              <w:t>除本合同另有约定外，重大疾病保险金受益人为被保险人本人。</w:t>
            </w:r>
          </w:p>
        </w:tc>
      </w:tr>
      <w:tr>
        <w:trPr>
          <w:trHeight w:val="524" w:hRule="atLeast"/>
        </w:trPr>
        <w:tc>
          <w:tcPr>
            <w:tcW w:w="637" w:type="dxa"/>
          </w:tcPr>
          <w:p>
            <w:pPr>
              <w:pStyle w:val="TableParagraph"/>
              <w:spacing w:before="190"/>
              <w:ind w:left="107"/>
              <w:rPr>
                <w:rFonts w:ascii="Times New Roman"/>
                <w:b/>
                <w:sz w:val="21"/>
              </w:rPr>
            </w:pPr>
            <w:r>
              <w:rPr>
                <w:rFonts w:ascii="Times New Roman"/>
                <w:b/>
                <w:sz w:val="21"/>
              </w:rPr>
              <w:t>3.2</w:t>
            </w:r>
          </w:p>
        </w:tc>
        <w:tc>
          <w:tcPr>
            <w:tcW w:w="1753" w:type="dxa"/>
          </w:tcPr>
          <w:p>
            <w:pPr>
              <w:pStyle w:val="TableParagraph"/>
              <w:spacing w:before="138"/>
              <w:ind w:left="265"/>
              <w:rPr>
                <w:b/>
                <w:sz w:val="21"/>
              </w:rPr>
            </w:pPr>
            <w:r>
              <w:rPr>
                <w:b/>
                <w:w w:val="95"/>
                <w:sz w:val="21"/>
              </w:rPr>
              <w:t>保险事故通知</w:t>
            </w:r>
          </w:p>
        </w:tc>
        <w:tc>
          <w:tcPr>
            <w:tcW w:w="7377" w:type="dxa"/>
          </w:tcPr>
          <w:p>
            <w:pPr>
              <w:pStyle w:val="TableParagraph"/>
              <w:spacing w:before="138"/>
              <w:ind w:left="42"/>
              <w:rPr>
                <w:sz w:val="21"/>
              </w:rPr>
            </w:pPr>
            <w:r>
              <w:rPr>
                <w:sz w:val="21"/>
              </w:rPr>
              <w:t>您、被保险人或受益人知道保险事故后应当在 </w:t>
            </w:r>
            <w:r>
              <w:rPr>
                <w:rFonts w:ascii="Times New Roman" w:eastAsia="Times New Roman"/>
                <w:sz w:val="21"/>
              </w:rPr>
              <w:t>10 </w:t>
            </w:r>
            <w:r>
              <w:rPr>
                <w:sz w:val="21"/>
              </w:rPr>
              <w:t>日内通知我们。</w:t>
            </w:r>
          </w:p>
        </w:tc>
      </w:tr>
      <w:tr>
        <w:trPr>
          <w:trHeight w:val="349"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before="18"/>
              <w:ind w:left="42"/>
              <w:rPr>
                <w:sz w:val="21"/>
              </w:rPr>
            </w:pPr>
            <w:r>
              <w:rPr>
                <w:sz w:val="21"/>
                <w:shd w:fill="C0C0C0" w:color="auto" w:val="clear"/>
              </w:rPr>
              <w:t>如果您、被保险人或受益人故意或者因重大过失未及时通知，致使保险事故的</w:t>
            </w:r>
          </w:p>
        </w:tc>
      </w:tr>
      <w:tr>
        <w:trPr>
          <w:trHeight w:val="312"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56" w:lineRule="exact"/>
              <w:ind w:left="42"/>
              <w:rPr>
                <w:sz w:val="21"/>
              </w:rPr>
            </w:pPr>
            <w:r>
              <w:rPr>
                <w:sz w:val="21"/>
                <w:shd w:fill="C0C0C0" w:color="auto" w:val="clear"/>
              </w:rPr>
              <w:t>性质、原因、损失程度等难以确定的，我们对无法确定的部分，不承担给付保</w:t>
            </w:r>
          </w:p>
        </w:tc>
      </w:tr>
      <w:tr>
        <w:trPr>
          <w:trHeight w:val="311"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56" w:lineRule="exact"/>
              <w:ind w:left="42"/>
              <w:rPr>
                <w:sz w:val="21"/>
              </w:rPr>
            </w:pPr>
            <w:r>
              <w:rPr>
                <w:sz w:val="21"/>
                <w:shd w:fill="C0C0C0" w:color="auto" w:val="clear"/>
              </w:rPr>
              <w:t>险金的责任，</w:t>
            </w:r>
            <w:r>
              <w:rPr>
                <w:sz w:val="21"/>
              </w:rPr>
              <w:t>但我们通过其他途径已经及时知道或者应当及时知道保险事故发</w:t>
            </w:r>
          </w:p>
        </w:tc>
      </w:tr>
      <w:tr>
        <w:trPr>
          <w:trHeight w:val="311"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77" w:type="dxa"/>
          </w:tcPr>
          <w:p>
            <w:pPr>
              <w:pStyle w:val="TableParagraph"/>
              <w:spacing w:line="256" w:lineRule="exact"/>
              <w:ind w:left="42"/>
              <w:rPr>
                <w:sz w:val="21"/>
              </w:rPr>
            </w:pPr>
            <w:r>
              <w:rPr>
                <w:sz w:val="21"/>
              </w:rPr>
              <w:t>生或者虽未及时通知但不影响我们确定保险事故的性质、原因、损失程度的除</w:t>
            </w:r>
          </w:p>
        </w:tc>
      </w:tr>
      <w:tr>
        <w:trPr>
          <w:trHeight w:val="260" w:hRule="atLeast"/>
        </w:trPr>
        <w:tc>
          <w:tcPr>
            <w:tcW w:w="637" w:type="dxa"/>
          </w:tcPr>
          <w:p>
            <w:pPr>
              <w:pStyle w:val="TableParagraph"/>
              <w:rPr>
                <w:rFonts w:ascii="Times New Roman"/>
                <w:sz w:val="18"/>
              </w:rPr>
            </w:pPr>
          </w:p>
        </w:tc>
        <w:tc>
          <w:tcPr>
            <w:tcW w:w="1753" w:type="dxa"/>
          </w:tcPr>
          <w:p>
            <w:pPr>
              <w:pStyle w:val="TableParagraph"/>
              <w:rPr>
                <w:rFonts w:ascii="Times New Roman"/>
                <w:sz w:val="18"/>
              </w:rPr>
            </w:pPr>
          </w:p>
        </w:tc>
        <w:tc>
          <w:tcPr>
            <w:tcW w:w="7377" w:type="dxa"/>
          </w:tcPr>
          <w:p>
            <w:pPr>
              <w:pStyle w:val="TableParagraph"/>
              <w:spacing w:line="241" w:lineRule="exact"/>
              <w:ind w:left="42"/>
              <w:rPr>
                <w:sz w:val="21"/>
              </w:rPr>
            </w:pPr>
            <w:r>
              <w:rPr>
                <w:sz w:val="21"/>
              </w:rPr>
              <w:t>外。</w:t>
            </w:r>
          </w:p>
        </w:tc>
      </w:tr>
    </w:tbl>
    <w:p>
      <w:pPr>
        <w:spacing w:after="0" w:line="241" w:lineRule="exact"/>
        <w:rPr>
          <w:sz w:val="21"/>
        </w:rPr>
        <w:sectPr>
          <w:pgSz w:w="11910" w:h="16840"/>
          <w:pgMar w:header="0" w:footer="988" w:top="1240" w:bottom="1180" w:left="920" w:right="1000"/>
        </w:sectPr>
      </w:pPr>
    </w:p>
    <w:p>
      <w:pPr>
        <w:pStyle w:val="ListParagraph"/>
        <w:numPr>
          <w:ilvl w:val="1"/>
          <w:numId w:val="4"/>
        </w:numPr>
        <w:tabs>
          <w:tab w:pos="1008" w:val="left" w:leader="none"/>
          <w:tab w:pos="1009" w:val="left" w:leader="none"/>
          <w:tab w:pos="2538" w:val="left" w:leader="none"/>
        </w:tabs>
        <w:spacing w:line="256" w:lineRule="auto" w:before="21" w:after="0"/>
        <w:ind w:left="2538" w:right="304" w:hanging="2324"/>
        <w:jc w:val="left"/>
        <w:rPr>
          <w:sz w:val="21"/>
        </w:rPr>
      </w:pPr>
      <w:r>
        <w:rPr>
          <w:b/>
          <w:sz w:val="21"/>
        </w:rPr>
        <w:t>保险金申请</w:t>
        <w:tab/>
      </w:r>
      <w:r>
        <w:rPr>
          <w:sz w:val="21"/>
        </w:rPr>
        <w:t>在申请重大疾病保险金时，受益人须填写保险金给付申请书，并须提供下列证明和资料：</w:t>
      </w:r>
    </w:p>
    <w:p>
      <w:pPr>
        <w:pStyle w:val="BodyText"/>
        <w:spacing w:before="22"/>
        <w:ind w:left="2538"/>
      </w:pPr>
      <w:r>
        <w:rPr>
          <w:rFonts w:ascii="Times New Roman" w:eastAsia="Times New Roman"/>
        </w:rPr>
        <w:t>1.</w:t>
      </w:r>
      <w:r>
        <w:rPr/>
        <w:t>保险合同或其他有效的保险凭证；</w:t>
      </w:r>
    </w:p>
    <w:p>
      <w:pPr>
        <w:spacing w:before="21"/>
        <w:ind w:left="2538" w:right="0" w:firstLine="0"/>
        <w:jc w:val="left"/>
        <w:rPr>
          <w:sz w:val="21"/>
        </w:rPr>
      </w:pPr>
      <w:r>
        <w:rPr>
          <w:rFonts w:ascii="Times New Roman" w:eastAsia="Times New Roman"/>
          <w:sz w:val="21"/>
        </w:rPr>
        <w:t>2.</w:t>
      </w:r>
      <w:r>
        <w:rPr>
          <w:sz w:val="21"/>
        </w:rPr>
        <w:t>受益人的</w:t>
      </w:r>
      <w:r>
        <w:rPr>
          <w:b/>
          <w:w w:val="99"/>
          <w:sz w:val="21"/>
        </w:rPr>
        <w:t>有效身份证件</w:t>
      </w:r>
      <w:r>
        <w:rPr>
          <w:sz w:val="21"/>
        </w:rPr>
        <w:t>（</w:t>
      </w:r>
      <w:r>
        <w:rPr>
          <w:spacing w:val="-27"/>
          <w:sz w:val="21"/>
        </w:rPr>
        <w:t>见 </w:t>
      </w:r>
      <w:r>
        <w:rPr>
          <w:rFonts w:ascii="Times New Roman" w:eastAsia="Times New Roman"/>
          <w:sz w:val="21"/>
        </w:rPr>
        <w:t>9</w:t>
      </w:r>
      <w:r>
        <w:rPr>
          <w:rFonts w:ascii="Times New Roman" w:eastAsia="Times New Roman"/>
          <w:spacing w:val="-1"/>
          <w:sz w:val="21"/>
        </w:rPr>
        <w:t>.</w:t>
      </w:r>
      <w:r>
        <w:rPr>
          <w:rFonts w:ascii="Times New Roman" w:eastAsia="Times New Roman"/>
          <w:sz w:val="21"/>
        </w:rPr>
        <w:t>1</w:t>
      </w:r>
      <w:r>
        <w:rPr>
          <w:rFonts w:ascii="Times New Roman" w:eastAsia="Times New Roman"/>
          <w:spacing w:val="-1"/>
          <w:sz w:val="21"/>
        </w:rPr>
        <w:t>5</w:t>
      </w:r>
      <w:r>
        <w:rPr>
          <w:spacing w:val="-105"/>
          <w:sz w:val="21"/>
        </w:rPr>
        <w:t>）</w:t>
      </w:r>
      <w:r>
        <w:rPr>
          <w:sz w:val="21"/>
        </w:rPr>
        <w:t>；</w:t>
      </w:r>
    </w:p>
    <w:p>
      <w:pPr>
        <w:pStyle w:val="BodyText"/>
        <w:spacing w:line="256" w:lineRule="auto" w:before="21"/>
        <w:ind w:left="2538" w:right="145"/>
      </w:pPr>
      <w:r>
        <w:rPr>
          <w:rFonts w:ascii="Times New Roman" w:eastAsia="Times New Roman"/>
        </w:rPr>
        <w:t>3.</w:t>
      </w:r>
      <w:r>
        <w:rPr/>
        <w:t>就诊医院出具的诊断证明、完整的门诊及住院病历、出院小结、检查检验报告等完整的就诊资料；</w:t>
      </w:r>
    </w:p>
    <w:p>
      <w:pPr>
        <w:pStyle w:val="BodyText"/>
        <w:spacing w:before="22"/>
        <w:ind w:left="2538"/>
      </w:pPr>
      <w:r>
        <w:rPr>
          <w:rFonts w:ascii="Times New Roman" w:eastAsia="Times New Roman"/>
        </w:rPr>
        <w:t>4.</w:t>
      </w:r>
      <w:r>
        <w:rPr/>
        <w:t>与确认保险事故的性质、原因等有关的其他证明和资料。</w:t>
      </w:r>
    </w:p>
    <w:p>
      <w:pPr>
        <w:pStyle w:val="BodyText"/>
        <w:spacing w:line="355" w:lineRule="auto" w:before="113"/>
        <w:ind w:left="2538" w:right="304"/>
      </w:pPr>
      <w:r>
        <w:rPr/>
        <w:t>保险金作为被保险人遗产时，必须提供可证明合法继承权的相关权利文件。 若委托他人办理申请保险金，还须提供授权委托书及受托人身份证件等材料。</w:t>
      </w:r>
    </w:p>
    <w:p>
      <w:pPr>
        <w:pStyle w:val="BodyText"/>
        <w:spacing w:line="273" w:lineRule="auto" w:before="28"/>
        <w:ind w:left="2538" w:right="304"/>
      </w:pPr>
      <w:r>
        <w:rPr/>
        <w:t>以上证明和资料不完整的，我们将及时一次性通知受益人补充提供有关证明和资料。</w:t>
      </w:r>
    </w:p>
    <w:p>
      <w:pPr>
        <w:pStyle w:val="BodyText"/>
        <w:spacing w:before="8"/>
        <w:rPr>
          <w:sz w:val="25"/>
        </w:rPr>
      </w:pPr>
    </w:p>
    <w:p>
      <w:pPr>
        <w:pStyle w:val="ListParagraph"/>
        <w:numPr>
          <w:ilvl w:val="1"/>
          <w:numId w:val="4"/>
        </w:numPr>
        <w:tabs>
          <w:tab w:pos="1008" w:val="left" w:leader="none"/>
          <w:tab w:pos="1009" w:val="left" w:leader="none"/>
          <w:tab w:pos="2538" w:val="left" w:leader="none"/>
        </w:tabs>
        <w:spacing w:line="256" w:lineRule="auto" w:before="1" w:after="0"/>
        <w:ind w:left="2538" w:right="217" w:hanging="2325"/>
        <w:jc w:val="left"/>
        <w:rPr>
          <w:sz w:val="21"/>
        </w:rPr>
      </w:pPr>
      <w:r>
        <w:rPr>
          <w:b/>
          <w:sz w:val="21"/>
        </w:rPr>
        <w:t>保险金给付</w:t>
        <w:tab/>
      </w:r>
      <w:r>
        <w:rPr>
          <w:sz w:val="21"/>
        </w:rPr>
        <w:t>我们在收到保险金给付申请书及合同约定的证明和资料后，将在</w:t>
      </w:r>
      <w:r>
        <w:rPr>
          <w:spacing w:val="-54"/>
          <w:sz w:val="21"/>
        </w:rPr>
        <w:t> </w:t>
      </w:r>
      <w:r>
        <w:rPr>
          <w:rFonts w:ascii="Times New Roman" w:eastAsia="Times New Roman"/>
          <w:sz w:val="21"/>
        </w:rPr>
        <w:t>5</w:t>
      </w:r>
      <w:r>
        <w:rPr>
          <w:rFonts w:ascii="Times New Roman" w:eastAsia="Times New Roman"/>
          <w:spacing w:val="-1"/>
          <w:sz w:val="21"/>
        </w:rPr>
        <w:t> </w:t>
      </w:r>
      <w:r>
        <w:rPr>
          <w:sz w:val="21"/>
        </w:rPr>
        <w:t>日内作出核定</w:t>
      </w:r>
      <w:r>
        <w:rPr>
          <w:spacing w:val="-5"/>
          <w:sz w:val="21"/>
        </w:rPr>
        <w:t>；</w:t>
      </w:r>
      <w:r>
        <w:rPr>
          <w:sz w:val="21"/>
        </w:rPr>
        <w:t>情形复杂的</w:t>
      </w:r>
      <w:r>
        <w:rPr>
          <w:spacing w:val="-5"/>
          <w:sz w:val="21"/>
        </w:rPr>
        <w:t>，</w:t>
      </w:r>
      <w:r>
        <w:rPr>
          <w:sz w:val="21"/>
        </w:rPr>
        <w:t>在</w:t>
      </w:r>
      <w:r>
        <w:rPr>
          <w:spacing w:val="-53"/>
          <w:sz w:val="21"/>
        </w:rPr>
        <w:t> </w:t>
      </w:r>
      <w:r>
        <w:rPr>
          <w:rFonts w:ascii="Times New Roman" w:eastAsia="Times New Roman"/>
          <w:sz w:val="21"/>
        </w:rPr>
        <w:t>30</w:t>
      </w:r>
      <w:r>
        <w:rPr>
          <w:rFonts w:ascii="Times New Roman" w:eastAsia="Times New Roman"/>
          <w:spacing w:val="-1"/>
          <w:sz w:val="21"/>
        </w:rPr>
        <w:t> </w:t>
      </w:r>
      <w:r>
        <w:rPr>
          <w:sz w:val="21"/>
        </w:rPr>
        <w:t>日内作出核定</w:t>
      </w:r>
      <w:r>
        <w:rPr>
          <w:spacing w:val="-5"/>
          <w:sz w:val="21"/>
        </w:rPr>
        <w:t>。</w:t>
      </w:r>
      <w:r>
        <w:rPr>
          <w:sz w:val="21"/>
        </w:rPr>
        <w:t>对属于保险责任的</w:t>
      </w:r>
      <w:r>
        <w:rPr>
          <w:spacing w:val="-5"/>
          <w:sz w:val="21"/>
        </w:rPr>
        <w:t>，</w:t>
      </w:r>
      <w:r>
        <w:rPr>
          <w:sz w:val="21"/>
        </w:rPr>
        <w:t>我们在与受益人达成给付保险金的协议后</w:t>
      </w:r>
      <w:r>
        <w:rPr>
          <w:spacing w:val="-55"/>
          <w:sz w:val="21"/>
        </w:rPr>
        <w:t> </w:t>
      </w:r>
      <w:r>
        <w:rPr>
          <w:rFonts w:ascii="Times New Roman" w:eastAsia="Times New Roman"/>
          <w:sz w:val="21"/>
        </w:rPr>
        <w:t>10</w:t>
      </w:r>
      <w:r>
        <w:rPr>
          <w:rFonts w:ascii="Times New Roman" w:eastAsia="Times New Roman"/>
          <w:spacing w:val="-2"/>
          <w:sz w:val="21"/>
        </w:rPr>
        <w:t> </w:t>
      </w:r>
      <w:r>
        <w:rPr>
          <w:sz w:val="21"/>
        </w:rPr>
        <w:t>日内，履行给付保险金义务。</w:t>
      </w:r>
    </w:p>
    <w:p>
      <w:pPr>
        <w:pStyle w:val="BodyText"/>
        <w:spacing w:line="273" w:lineRule="auto" w:before="98"/>
        <w:ind w:left="2538" w:right="304"/>
        <w:jc w:val="both"/>
      </w:pPr>
      <w:r>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重大疾病确诊之日起至理赔审批结案之日止。</w:t>
      </w:r>
    </w:p>
    <w:p>
      <w:pPr>
        <w:pStyle w:val="BodyText"/>
        <w:spacing w:line="256" w:lineRule="auto" w:before="99"/>
        <w:ind w:left="2538" w:right="241"/>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64" w:lineRule="auto" w:before="115"/>
        <w:ind w:left="2538" w:right="217"/>
      </w:pPr>
      <w:r>
        <w:rPr>
          <w:spacing w:val="-3"/>
        </w:rPr>
        <w:t>我们在收到保险金给付申请书及有关证明和资料之日起 </w:t>
      </w:r>
      <w:r>
        <w:rPr>
          <w:rFonts w:ascii="Times New Roman" w:eastAsia="Times New Roman"/>
        </w:rPr>
        <w:t>60 </w:t>
      </w:r>
      <w:r>
        <w:rPr>
          <w:spacing w:val="-4"/>
        </w:rPr>
        <w:t>日内，对给付保险金的数额不能确定的，根据已有证明和资料可以确定的数额先予支付；我们最终确定给付保险金的数额后，将支付相应的差额。</w:t>
      </w:r>
    </w:p>
    <w:p>
      <w:pPr>
        <w:pStyle w:val="BodyText"/>
        <w:spacing w:before="2"/>
        <w:rPr>
          <w:sz w:val="26"/>
        </w:rPr>
      </w:pPr>
    </w:p>
    <w:p>
      <w:pPr>
        <w:pStyle w:val="ListParagraph"/>
        <w:numPr>
          <w:ilvl w:val="1"/>
          <w:numId w:val="4"/>
        </w:numPr>
        <w:tabs>
          <w:tab w:pos="1008" w:val="left" w:leader="none"/>
          <w:tab w:pos="1009" w:val="left" w:leader="none"/>
          <w:tab w:pos="2538" w:val="left" w:leader="none"/>
        </w:tabs>
        <w:spacing w:line="256" w:lineRule="auto" w:before="1" w:after="0"/>
        <w:ind w:left="2538" w:right="302" w:hanging="2325"/>
        <w:jc w:val="left"/>
        <w:rPr>
          <w:sz w:val="21"/>
        </w:rPr>
      </w:pPr>
      <w:r>
        <w:rPr>
          <w:b/>
          <w:sz w:val="21"/>
        </w:rPr>
        <w:t>诉讼时效</w:t>
        <w:tab/>
      </w:r>
      <w:r>
        <w:rPr>
          <w:sz w:val="21"/>
        </w:rPr>
        <w:t>被保险人或受益人向我们申请给付重大疾病保险金的诉讼时效期间为</w:t>
      </w:r>
      <w:r>
        <w:rPr>
          <w:spacing w:val="-53"/>
          <w:sz w:val="21"/>
        </w:rPr>
        <w:t> </w:t>
      </w:r>
      <w:r>
        <w:rPr>
          <w:rFonts w:ascii="Times New Roman" w:eastAsia="Times New Roman"/>
          <w:sz w:val="21"/>
        </w:rPr>
        <w:t>2 </w:t>
      </w:r>
      <w:r>
        <w:rPr>
          <w:sz w:val="21"/>
        </w:rPr>
        <w:t>年，自其知道或者应当知道保险事故发生之日起计算。</w:t>
      </w:r>
    </w:p>
    <w:p>
      <w:pPr>
        <w:pStyle w:val="BodyText"/>
        <w:spacing w:before="1"/>
        <w:rPr>
          <w:sz w:val="25"/>
        </w:rPr>
      </w:pPr>
    </w:p>
    <w:p>
      <w:pPr>
        <w:pStyle w:val="Heading3"/>
        <w:numPr>
          <w:ilvl w:val="0"/>
          <w:numId w:val="5"/>
        </w:numPr>
        <w:tabs>
          <w:tab w:pos="1008" w:val="left" w:leader="none"/>
          <w:tab w:pos="1009" w:val="left" w:leader="none"/>
        </w:tabs>
        <w:spacing w:line="240" w:lineRule="auto" w:before="0" w:after="0"/>
        <w:ind w:left="1008" w:right="0" w:hanging="794"/>
        <w:jc w:val="left"/>
      </w:pPr>
      <w:r>
        <w:rPr/>
        <w:t>保险费的交纳</w:t>
      </w:r>
    </w:p>
    <w:p>
      <w:pPr>
        <w:pStyle w:val="BodyText"/>
        <w:rPr>
          <w:b/>
          <w:sz w:val="10"/>
        </w:rPr>
      </w:pPr>
      <w:r>
        <w:rPr/>
        <w:pict>
          <v:line style="position:absolute;mso-position-horizontal-relative:page;mso-position-vertical-relative:paragraph;z-index:1120;mso-wrap-distance-left:0;mso-wrap-distance-right:0" from="51.299999pt,9.029469pt" to="539.699999pt,9.029469pt" stroked="true" strokeweight=".95999pt" strokecolor="#000000">
            <v:stroke dashstyle="solid"/>
            <w10:wrap type="topAndBottom"/>
          </v:line>
        </w:pict>
      </w:r>
    </w:p>
    <w:p>
      <w:pPr>
        <w:pStyle w:val="ListParagraph"/>
        <w:numPr>
          <w:ilvl w:val="1"/>
          <w:numId w:val="5"/>
        </w:numPr>
        <w:tabs>
          <w:tab w:pos="1008" w:val="left" w:leader="none"/>
          <w:tab w:pos="1009" w:val="left" w:leader="none"/>
          <w:tab w:pos="2538" w:val="left" w:leader="none"/>
        </w:tabs>
        <w:spacing w:line="256" w:lineRule="auto" w:before="109" w:after="0"/>
        <w:ind w:left="2538" w:right="304" w:hanging="2324"/>
        <w:jc w:val="left"/>
        <w:rPr>
          <w:sz w:val="21"/>
        </w:rPr>
      </w:pPr>
      <w:r>
        <w:rPr>
          <w:b/>
          <w:sz w:val="21"/>
        </w:rPr>
        <w:t>保险费的交纳</w:t>
        <w:tab/>
      </w:r>
      <w:r>
        <w:rPr>
          <w:sz w:val="21"/>
        </w:rPr>
        <w:t>本合同的保险费由您和我们约定并于保险合同上载明。您在投保时须一次性交清。</w:t>
      </w:r>
    </w:p>
    <w:p>
      <w:pPr>
        <w:pStyle w:val="BodyText"/>
        <w:spacing w:before="12"/>
        <w:rPr>
          <w:sz w:val="24"/>
        </w:rPr>
      </w:pPr>
    </w:p>
    <w:p>
      <w:pPr>
        <w:pStyle w:val="Heading3"/>
        <w:numPr>
          <w:ilvl w:val="0"/>
          <w:numId w:val="5"/>
        </w:numPr>
        <w:tabs>
          <w:tab w:pos="1008" w:val="left" w:leader="none"/>
          <w:tab w:pos="1009" w:val="left" w:leader="none"/>
        </w:tabs>
        <w:spacing w:line="240" w:lineRule="auto" w:before="0" w:after="0"/>
        <w:ind w:left="1008" w:right="0" w:hanging="794"/>
        <w:jc w:val="left"/>
      </w:pPr>
      <w:r>
        <w:rPr>
          <w:w w:val="95"/>
        </w:rPr>
        <w:t>合同解除</w:t>
      </w:r>
    </w:p>
    <w:p>
      <w:pPr>
        <w:pStyle w:val="BodyText"/>
        <w:rPr>
          <w:b/>
          <w:sz w:val="10"/>
        </w:rPr>
      </w:pPr>
      <w:r>
        <w:rPr/>
        <w:pict>
          <v:line style="position:absolute;mso-position-horizontal-relative:page;mso-position-vertical-relative:paragraph;z-index:1144;mso-wrap-distance-left:0;mso-wrap-distance-right:0" from="51.299999pt,9.011075pt" to="539.699999pt,9.011075pt" stroked="true" strokeweight=".95999pt" strokecolor="#000000">
            <v:stroke dashstyle="solid"/>
            <w10:wrap type="topAndBottom"/>
          </v:line>
        </w:pict>
      </w:r>
    </w:p>
    <w:p>
      <w:pPr>
        <w:pStyle w:val="BodyText"/>
        <w:spacing w:before="4"/>
        <w:rPr>
          <w:b/>
          <w:sz w:val="5"/>
        </w:rPr>
      </w:pPr>
    </w:p>
    <w:p>
      <w:pPr>
        <w:spacing w:after="0"/>
        <w:rPr>
          <w:sz w:val="5"/>
        </w:rPr>
        <w:sectPr>
          <w:pgSz w:w="11910" w:h="16840"/>
          <w:pgMar w:header="0" w:footer="988" w:top="1100" w:bottom="1180" w:left="920" w:right="1000"/>
        </w:sectPr>
      </w:pPr>
    </w:p>
    <w:p>
      <w:pPr>
        <w:pStyle w:val="Heading4"/>
        <w:numPr>
          <w:ilvl w:val="1"/>
          <w:numId w:val="5"/>
        </w:numPr>
        <w:tabs>
          <w:tab w:pos="1008" w:val="left" w:leader="none"/>
          <w:tab w:pos="1009" w:val="left" w:leader="none"/>
        </w:tabs>
        <w:spacing w:line="256" w:lineRule="auto" w:before="40" w:after="0"/>
        <w:ind w:left="1008" w:right="0" w:hanging="794"/>
        <w:jc w:val="left"/>
      </w:pPr>
      <w:r>
        <w:rPr>
          <w:w w:val="95"/>
        </w:rPr>
        <w:t>您解除合同的手续及风险</w:t>
      </w:r>
    </w:p>
    <w:p>
      <w:pPr>
        <w:pStyle w:val="BodyText"/>
        <w:spacing w:line="273" w:lineRule="auto" w:before="37"/>
        <w:ind w:left="214" w:right="304"/>
        <w:jc w:val="both"/>
      </w:pPr>
      <w:r>
        <w:rPr/>
        <w:br w:type="column"/>
      </w:r>
      <w:r>
        <w:rPr/>
        <w:t>在本合同保险期间内，除本合同另有约定外，您可以以书面或双方认可的其他方式通知要求解除保险合同。您要求解除本合同时，请填写解除合同申请并向我们提供下列资料：</w:t>
      </w:r>
    </w:p>
    <w:p>
      <w:pPr>
        <w:pStyle w:val="BodyText"/>
        <w:spacing w:before="7"/>
        <w:ind w:left="214"/>
      </w:pPr>
      <w:r>
        <w:rPr>
          <w:rFonts w:ascii="Times New Roman" w:eastAsia="Times New Roman"/>
        </w:rPr>
        <w:t>1.</w:t>
      </w:r>
      <w:r>
        <w:rPr/>
        <w:t>保险合同或其他有效的保险凭证；</w:t>
      </w:r>
    </w:p>
    <w:p>
      <w:pPr>
        <w:pStyle w:val="BodyText"/>
        <w:spacing w:before="21"/>
        <w:ind w:left="214"/>
      </w:pPr>
      <w:r>
        <w:rPr>
          <w:rFonts w:ascii="Times New Roman" w:eastAsia="Times New Roman"/>
        </w:rPr>
        <w:t>2.</w:t>
      </w:r>
      <w:r>
        <w:rPr/>
        <w:t>您的有效身份证件。</w:t>
      </w:r>
    </w:p>
    <w:p>
      <w:pPr>
        <w:pStyle w:val="BodyText"/>
        <w:spacing w:line="273" w:lineRule="auto" w:before="113"/>
        <w:ind w:left="214" w:right="304"/>
      </w:pPr>
      <w:r>
        <w:rPr/>
        <w:t>如您委托他人以书面或双方认可的其他方式办理申请解除本合同，还须提供授权委托书及受托人身份证件。</w:t>
      </w:r>
    </w:p>
    <w:p>
      <w:pPr>
        <w:spacing w:before="100"/>
        <w:ind w:left="214" w:right="0" w:firstLine="0"/>
        <w:jc w:val="both"/>
        <w:rPr>
          <w:sz w:val="21"/>
        </w:rPr>
      </w:pPr>
      <w:r>
        <w:rPr>
          <w:b/>
          <w:w w:val="95"/>
          <w:sz w:val="21"/>
        </w:rPr>
        <w:t>自我们收到解除合同申请时起，本合同终止。</w:t>
      </w:r>
      <w:r>
        <w:rPr>
          <w:w w:val="95"/>
          <w:sz w:val="21"/>
        </w:rPr>
        <w:t>我们自收到解除合同申请及完整</w:t>
      </w:r>
    </w:p>
    <w:p>
      <w:pPr>
        <w:spacing w:after="0"/>
        <w:jc w:val="both"/>
        <w:rPr>
          <w:sz w:val="21"/>
        </w:rPr>
        <w:sectPr>
          <w:type w:val="continuous"/>
          <w:pgSz w:w="11910" w:h="16840"/>
          <w:pgMar w:top="1120" w:bottom="1180" w:left="920" w:right="1000"/>
          <w:cols w:num="2" w:equalWidth="0">
            <w:col w:w="2272" w:space="52"/>
            <w:col w:w="7666"/>
          </w:cols>
        </w:sectPr>
      </w:pPr>
    </w:p>
    <w:p>
      <w:pPr>
        <w:spacing w:line="256" w:lineRule="auto" w:before="19"/>
        <w:ind w:left="2538" w:right="141" w:firstLine="0"/>
        <w:jc w:val="left"/>
        <w:rPr>
          <w:b/>
          <w:sz w:val="21"/>
        </w:rPr>
      </w:pPr>
      <w:r>
        <w:rPr>
          <w:sz w:val="21"/>
        </w:rPr>
        <w:t>的资料之日起 </w:t>
      </w:r>
      <w:r>
        <w:rPr>
          <w:rFonts w:ascii="Times New Roman" w:eastAsia="Times New Roman"/>
          <w:sz w:val="21"/>
        </w:rPr>
        <w:t>10 </w:t>
      </w:r>
      <w:r>
        <w:rPr>
          <w:sz w:val="21"/>
        </w:rPr>
        <w:t>日内向您退还本合同的未到期净保费。</w:t>
      </w:r>
      <w:r>
        <w:rPr>
          <w:b/>
          <w:sz w:val="21"/>
        </w:rPr>
        <w:t>您解除保险合同会遭受</w:t>
      </w:r>
      <w:r>
        <w:rPr>
          <w:b/>
          <w:w w:val="95"/>
          <w:sz w:val="21"/>
        </w:rPr>
        <w:t>一定损失。</w:t>
      </w:r>
    </w:p>
    <w:p>
      <w:pPr>
        <w:pStyle w:val="BodyText"/>
        <w:spacing w:before="6"/>
        <w:rPr>
          <w:b/>
          <w:sz w:val="22"/>
        </w:rPr>
      </w:pPr>
    </w:p>
    <w:p>
      <w:pPr>
        <w:pStyle w:val="Heading3"/>
        <w:numPr>
          <w:ilvl w:val="0"/>
          <w:numId w:val="5"/>
        </w:numPr>
        <w:tabs>
          <w:tab w:pos="1008" w:val="left" w:leader="none"/>
          <w:tab w:pos="1009" w:val="left" w:leader="none"/>
        </w:tabs>
        <w:spacing w:line="240" w:lineRule="auto" w:before="34" w:after="0"/>
        <w:ind w:left="1008" w:right="0" w:hanging="794"/>
        <w:jc w:val="left"/>
      </w:pPr>
      <w:r>
        <w:rPr>
          <w:w w:val="95"/>
        </w:rPr>
        <w:t>如实告知</w:t>
      </w:r>
    </w:p>
    <w:p>
      <w:pPr>
        <w:pStyle w:val="BodyText"/>
        <w:rPr>
          <w:b/>
          <w:sz w:val="10"/>
        </w:rPr>
      </w:pPr>
      <w:r>
        <w:rPr/>
        <w:pict>
          <v:line style="position:absolute;mso-position-horizontal-relative:page;mso-position-vertical-relative:paragraph;z-index:1168;mso-wrap-distance-left:0;mso-wrap-distance-right:0" from="51.299999pt,9.032207pt" to="539.699999pt,9.032207pt" stroked="true" strokeweight=".96002pt" strokecolor="#000000">
            <v:stroke dashstyle="solid"/>
            <w10:wrap type="topAndBottom"/>
          </v:line>
        </w:pict>
      </w:r>
    </w:p>
    <w:p>
      <w:pPr>
        <w:pStyle w:val="BodyText"/>
        <w:spacing w:before="4"/>
        <w:rPr>
          <w:b/>
          <w:sz w:val="5"/>
        </w:rPr>
      </w:pPr>
    </w:p>
    <w:p>
      <w:pPr>
        <w:spacing w:after="0"/>
        <w:rPr>
          <w:sz w:val="5"/>
        </w:rPr>
        <w:sectPr>
          <w:pgSz w:w="11910" w:h="16840"/>
          <w:pgMar w:header="0" w:footer="988" w:top="1100" w:bottom="1180" w:left="920" w:right="1000"/>
        </w:sectPr>
      </w:pPr>
    </w:p>
    <w:p>
      <w:pPr>
        <w:pStyle w:val="Heading4"/>
        <w:numPr>
          <w:ilvl w:val="1"/>
          <w:numId w:val="5"/>
        </w:numPr>
        <w:tabs>
          <w:tab w:pos="1008" w:val="left" w:leader="none"/>
          <w:tab w:pos="1009" w:val="left" w:leader="none"/>
        </w:tabs>
        <w:spacing w:line="256" w:lineRule="auto" w:before="38" w:after="0"/>
        <w:ind w:left="1008" w:right="0" w:hanging="794"/>
        <w:jc w:val="left"/>
      </w:pPr>
      <w:r>
        <w:rPr>
          <w:w w:val="95"/>
        </w:rPr>
        <w:t>明确说明与如</w:t>
      </w:r>
      <w:r>
        <w:rPr/>
        <w:t>实告知</w:t>
      </w:r>
    </w:p>
    <w:p>
      <w:pPr>
        <w:pStyle w:val="BodyText"/>
        <w:spacing w:before="36"/>
        <w:ind w:left="213"/>
      </w:pPr>
      <w:r>
        <w:rPr/>
        <w:br w:type="column"/>
      </w:r>
      <w:r>
        <w:rPr/>
        <w:t>订立本合同时，我们应向您说明本合同的内容。</w:t>
      </w:r>
    </w:p>
    <w:p>
      <w:pPr>
        <w:pStyle w:val="BodyText"/>
        <w:spacing w:line="273" w:lineRule="auto" w:before="130"/>
        <w:ind w:left="213" w:right="304"/>
        <w:jc w:val="both"/>
      </w:pPr>
      <w:r>
        <w:rPr/>
        <w:t>对保险条款中免除我们责任的条款，我们在订立合同时应当在投保单、保险单或者其他有效的保险凭证上作出足以引起您注意的提示，并对该条款的内容以书面或者口头形式向您作出明确说明，未作提示或者明确说明的，该条款不产生效力。</w:t>
      </w:r>
    </w:p>
    <w:p>
      <w:pPr>
        <w:pStyle w:val="BodyText"/>
        <w:spacing w:before="99"/>
        <w:ind w:left="213"/>
      </w:pPr>
      <w:r>
        <w:rPr/>
        <w:t>我们就您和被保险人的有关情况提出询问，您应当如实告知。</w:t>
      </w:r>
    </w:p>
    <w:p>
      <w:pPr>
        <w:pStyle w:val="Heading4"/>
        <w:spacing w:line="273" w:lineRule="auto" w:before="130"/>
        <w:ind w:left="213" w:right="277"/>
        <w:jc w:val="both"/>
      </w:pPr>
      <w:r>
        <w:rPr/>
        <w:t>如果您故意或者因重大过失未履行前款规定的如实告知义务，足以影响我们决</w:t>
      </w:r>
      <w:r>
        <w:rPr>
          <w:w w:val="95"/>
        </w:rPr>
        <w:t>定是否同意承保或者提高保险费率的，我们有权解除本合同。</w:t>
      </w:r>
    </w:p>
    <w:p>
      <w:pPr>
        <w:pStyle w:val="BodyText"/>
        <w:spacing w:line="273" w:lineRule="auto" w:before="100"/>
        <w:ind w:left="214" w:right="305"/>
        <w:jc w:val="both"/>
      </w:pPr>
      <w:r>
        <w:rPr>
          <w:shd w:fill="C0C0C0" w:color="auto" w:val="clear"/>
        </w:rPr>
        <w:t>如果您故意不履行如实告知义务，对于本合同解除前发生的保险事故，我们不承担给付保险金的责任，并不退还保险费。</w:t>
      </w:r>
    </w:p>
    <w:p>
      <w:pPr>
        <w:pStyle w:val="BodyText"/>
        <w:spacing w:line="273" w:lineRule="auto" w:before="101"/>
        <w:ind w:left="214" w:right="305"/>
        <w:jc w:val="both"/>
      </w:pPr>
      <w:r>
        <w:rPr>
          <w:shd w:fill="C0C0C0" w:color="auto" w:val="clear"/>
        </w:rPr>
        <w:t>如果您因重大过失未履行如实告知义务，对保险事故的发生有严重影响的，对</w:t>
      </w:r>
      <w:r>
        <w:rPr>
          <w:spacing w:val="-210"/>
          <w:shd w:fill="C0C0C0" w:color="auto" w:val="clear"/>
        </w:rPr>
        <w:t>于</w:t>
      </w:r>
      <w:r>
        <w:rPr>
          <w:shd w:fill="C0C0C0" w:color="auto" w:val="clear"/>
        </w:rPr>
        <w:t>本合同解除前发生的保险事故，我们不承担给付保险金的责任，但应当退还保险费。</w:t>
      </w:r>
    </w:p>
    <w:p>
      <w:pPr>
        <w:pStyle w:val="BodyText"/>
        <w:spacing w:line="273" w:lineRule="auto" w:before="100"/>
        <w:ind w:left="214" w:right="305"/>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1120" w:bottom="1180" w:left="920" w:right="1000"/>
          <w:cols w:num="2" w:equalWidth="0">
            <w:col w:w="2272" w:space="52"/>
            <w:col w:w="7666"/>
          </w:cols>
        </w:sectPr>
      </w:pPr>
    </w:p>
    <w:p>
      <w:pPr>
        <w:pStyle w:val="BodyText"/>
        <w:spacing w:before="4"/>
        <w:rPr>
          <w:sz w:val="22"/>
        </w:rPr>
      </w:pPr>
    </w:p>
    <w:p>
      <w:pPr>
        <w:spacing w:after="0"/>
        <w:rPr>
          <w:sz w:val="22"/>
        </w:rPr>
        <w:sectPr>
          <w:type w:val="continuous"/>
          <w:pgSz w:w="11910" w:h="16840"/>
          <w:pgMar w:top="1120" w:bottom="1180" w:left="920" w:right="1000"/>
        </w:sectPr>
      </w:pPr>
    </w:p>
    <w:p>
      <w:pPr>
        <w:pStyle w:val="Heading4"/>
        <w:numPr>
          <w:ilvl w:val="1"/>
          <w:numId w:val="5"/>
        </w:numPr>
        <w:tabs>
          <w:tab w:pos="1008" w:val="left" w:leader="none"/>
          <w:tab w:pos="1009" w:val="left" w:leader="none"/>
        </w:tabs>
        <w:spacing w:line="256" w:lineRule="auto" w:before="44" w:after="0"/>
        <w:ind w:left="1008" w:right="0" w:hanging="794"/>
        <w:jc w:val="left"/>
      </w:pPr>
      <w:r>
        <w:rPr>
          <w:w w:val="95"/>
        </w:rPr>
        <w:t>本公司合同解除权的限制</w:t>
      </w:r>
    </w:p>
    <w:p>
      <w:pPr>
        <w:pStyle w:val="BodyText"/>
        <w:spacing w:line="256" w:lineRule="auto" w:before="42"/>
        <w:ind w:left="213" w:right="146"/>
      </w:pPr>
      <w:r>
        <w:rPr/>
        <w:br w:type="column"/>
      </w:r>
      <w:r>
        <w:rPr/>
        <w:t>前条规定的合同解除权，自我们知道有解除事由之日起，超过 </w:t>
      </w:r>
      <w:r>
        <w:rPr>
          <w:rFonts w:ascii="Times New Roman" w:eastAsia="Times New Roman"/>
        </w:rPr>
        <w:t>30 </w:t>
      </w:r>
      <w:r>
        <w:rPr/>
        <w:t>日不行使而消灭。</w:t>
      </w:r>
    </w:p>
    <w:p>
      <w:pPr>
        <w:spacing w:after="0" w:line="256" w:lineRule="auto"/>
        <w:sectPr>
          <w:type w:val="continuous"/>
          <w:pgSz w:w="11910" w:h="16840"/>
          <w:pgMar w:top="1120" w:bottom="1180" w:left="920" w:right="1000"/>
          <w:cols w:num="2" w:equalWidth="0">
            <w:col w:w="2272" w:space="52"/>
            <w:col w:w="7666"/>
          </w:cols>
        </w:sectPr>
      </w:pPr>
    </w:p>
    <w:p>
      <w:pPr>
        <w:pStyle w:val="BodyText"/>
        <w:spacing w:before="6"/>
        <w:rPr>
          <w:sz w:val="22"/>
        </w:rPr>
      </w:pPr>
    </w:p>
    <w:p>
      <w:pPr>
        <w:pStyle w:val="Heading3"/>
        <w:numPr>
          <w:ilvl w:val="0"/>
          <w:numId w:val="5"/>
        </w:numPr>
        <w:tabs>
          <w:tab w:pos="1008" w:val="left" w:leader="none"/>
          <w:tab w:pos="1009" w:val="left" w:leader="none"/>
        </w:tabs>
        <w:spacing w:line="240" w:lineRule="auto" w:before="33" w:after="0"/>
        <w:ind w:left="1008" w:right="0" w:hanging="794"/>
        <w:jc w:val="left"/>
      </w:pPr>
      <w:r>
        <w:rPr>
          <w:w w:val="95"/>
        </w:rPr>
        <w:t>其他需要关注的事项</w:t>
      </w:r>
    </w:p>
    <w:p>
      <w:pPr>
        <w:pStyle w:val="BodyText"/>
        <w:rPr>
          <w:b/>
          <w:sz w:val="10"/>
        </w:rPr>
      </w:pPr>
      <w:r>
        <w:rPr/>
        <w:pict>
          <v:line style="position:absolute;mso-position-horizontal-relative:page;mso-position-vertical-relative:paragraph;z-index:1192;mso-wrap-distance-left:0;mso-wrap-distance-right:0" from="51.299999pt,9.014599pt" to="539.699999pt,9.014599pt" stroked="true" strokeweight=".96002pt" strokecolor="#000000">
            <v:stroke dashstyle="solid"/>
            <w10:wrap type="topAndBottom"/>
          </v:line>
        </w:pict>
      </w:r>
    </w:p>
    <w:p>
      <w:pPr>
        <w:pStyle w:val="ListParagraph"/>
        <w:numPr>
          <w:ilvl w:val="1"/>
          <w:numId w:val="5"/>
        </w:numPr>
        <w:tabs>
          <w:tab w:pos="1009" w:val="left" w:leader="none"/>
        </w:tabs>
        <w:spacing w:line="256" w:lineRule="auto" w:before="108" w:after="0"/>
        <w:ind w:left="2538" w:right="304" w:hanging="2324"/>
        <w:jc w:val="both"/>
        <w:rPr>
          <w:sz w:val="21"/>
        </w:rPr>
      </w:pPr>
      <w:r>
        <w:rPr>
          <w:b/>
          <w:spacing w:val="5"/>
          <w:sz w:val="21"/>
        </w:rPr>
        <w:t>年龄错误     </w:t>
      </w:r>
      <w:r>
        <w:rPr>
          <w:sz w:val="21"/>
        </w:rPr>
        <w:t>您在申请投保时，应填明与有效身份证件相符的被保险人的出生日期，如果发生错误按照下列方式办理：</w:t>
      </w:r>
    </w:p>
    <w:p>
      <w:pPr>
        <w:pStyle w:val="BodyText"/>
        <w:spacing w:line="268" w:lineRule="auto" w:before="22"/>
        <w:ind w:left="2538" w:right="217"/>
      </w:pPr>
      <w:r>
        <w:rPr>
          <w:rFonts w:ascii="Times New Roman" w:hAnsi="Times New Roman" w:eastAsia="Times New Roman"/>
          <w:shd w:fill="C0C0C0" w:color="auto" w:val="clear"/>
        </w:rPr>
        <w:t>1.</w:t>
      </w:r>
      <w:r>
        <w:rPr>
          <w:spacing w:val="-6"/>
          <w:shd w:fill="C0C0C0" w:color="auto" w:val="clear"/>
        </w:rPr>
        <w:t>您申报的被保险人年龄不真实，并且其真实年龄不符合本合同约定投保年龄限制的，我们有权解除本合同。对于解除本合同的，本合同自解除之日起终止，</w:t>
      </w:r>
      <w:r>
        <w:rPr>
          <w:spacing w:val="-210"/>
          <w:shd w:fill="C0C0C0" w:color="auto" w:val="clear"/>
        </w:rPr>
        <w:t>我</w:t>
      </w:r>
      <w:r>
        <w:rPr>
          <w:shd w:fill="C0C0C0" w:color="auto" w:val="clear"/>
        </w:rPr>
        <w:t>们向您退还本合同终止时的未到期净保费。对于本合同解除前发生的保险事故，我们不承担给付保险金的责任。</w:t>
      </w:r>
      <w:r>
        <w:rPr/>
        <w:t>我们行使合同解除权适用“本公司合同解除权的限制”的规定。</w:t>
      </w:r>
    </w:p>
    <w:p>
      <w:pPr>
        <w:spacing w:line="264" w:lineRule="auto" w:before="11"/>
        <w:ind w:left="2538" w:right="216" w:firstLine="0"/>
        <w:jc w:val="left"/>
        <w:rPr>
          <w:sz w:val="21"/>
        </w:rPr>
      </w:pPr>
      <w:r>
        <w:rPr>
          <w:rFonts w:ascii="Times New Roman" w:eastAsia="Times New Roman"/>
          <w:sz w:val="21"/>
        </w:rPr>
        <w:t>2.</w:t>
      </w:r>
      <w:r>
        <w:rPr>
          <w:spacing w:val="-5"/>
          <w:sz w:val="21"/>
        </w:rPr>
        <w:t>您申报的被保险人年龄不真实，致使您实付保险费少于应付保险费的，我们有权更正并要求您补交保险费。</w:t>
      </w:r>
      <w:r>
        <w:rPr>
          <w:b/>
          <w:spacing w:val="-5"/>
          <w:sz w:val="21"/>
        </w:rPr>
        <w:t>若已经发生保险事故，在给付保险金时按实付保</w:t>
      </w:r>
      <w:r>
        <w:rPr>
          <w:b/>
          <w:spacing w:val="-5"/>
          <w:w w:val="95"/>
          <w:sz w:val="21"/>
        </w:rPr>
        <w:t>险费和应付保险费的比例给付</w:t>
      </w:r>
      <w:r>
        <w:rPr>
          <w:spacing w:val="-5"/>
          <w:w w:val="95"/>
          <w:sz w:val="21"/>
        </w:rPr>
        <w:t>。</w:t>
      </w:r>
    </w:p>
    <w:p>
      <w:pPr>
        <w:pStyle w:val="BodyText"/>
        <w:spacing w:line="256" w:lineRule="auto" w:before="15"/>
        <w:ind w:left="2538" w:right="145"/>
      </w:pPr>
      <w:r>
        <w:rPr>
          <w:rFonts w:ascii="Times New Roman" w:eastAsia="Times New Roman"/>
        </w:rPr>
        <w:t>3.</w:t>
      </w:r>
      <w:r>
        <w:rPr/>
        <w:t>您申报的被保险人年龄不真实，致使您实付保险费多于应付保险费的，我们会将多收的保险费无息退还给您。</w:t>
      </w:r>
    </w:p>
    <w:p>
      <w:pPr>
        <w:pStyle w:val="BodyText"/>
        <w:spacing w:before="10"/>
        <w:rPr>
          <w:sz w:val="26"/>
        </w:rPr>
      </w:pPr>
    </w:p>
    <w:p>
      <w:pPr>
        <w:pStyle w:val="ListParagraph"/>
        <w:numPr>
          <w:ilvl w:val="1"/>
          <w:numId w:val="5"/>
        </w:numPr>
        <w:tabs>
          <w:tab w:pos="1009" w:val="left" w:leader="none"/>
        </w:tabs>
        <w:spacing w:line="266" w:lineRule="auto" w:before="0" w:after="0"/>
        <w:ind w:left="2538" w:right="304" w:hanging="2324"/>
        <w:jc w:val="both"/>
        <w:rPr>
          <w:sz w:val="21"/>
        </w:rPr>
      </w:pPr>
      <w:r>
        <w:rPr>
          <w:b/>
          <w:spacing w:val="6"/>
          <w:sz w:val="21"/>
        </w:rPr>
        <w:t>合同内容变更 </w:t>
      </w:r>
      <w:r>
        <w:rPr>
          <w:sz w:val="21"/>
        </w:rPr>
        <w:t>在本合同有效期间内，除本合同另有约定外，经您与我们协商一致，可以变更本合同的有关内容。您提出变更申请后，应当由我们在原保险单或者其他有效的保险凭证上批注或者附贴批单，或由您与我们订立书面的变更协议后，该变更生效。</w:t>
      </w:r>
    </w:p>
    <w:p>
      <w:pPr>
        <w:spacing w:after="0" w:line="266" w:lineRule="auto"/>
        <w:jc w:val="both"/>
        <w:rPr>
          <w:sz w:val="21"/>
        </w:rPr>
        <w:sectPr>
          <w:type w:val="continuous"/>
          <w:pgSz w:w="11910" w:h="16840"/>
          <w:pgMar w:top="1120" w:bottom="1180" w:left="920" w:right="1000"/>
        </w:sectPr>
      </w:pPr>
    </w:p>
    <w:p>
      <w:pPr>
        <w:pStyle w:val="Heading4"/>
        <w:numPr>
          <w:ilvl w:val="1"/>
          <w:numId w:val="5"/>
        </w:numPr>
        <w:tabs>
          <w:tab w:pos="1008" w:val="left" w:leader="none"/>
          <w:tab w:pos="1009" w:val="left" w:leader="none"/>
        </w:tabs>
        <w:spacing w:line="256" w:lineRule="auto" w:before="21" w:after="0"/>
        <w:ind w:left="1008" w:right="0" w:hanging="794"/>
        <w:jc w:val="left"/>
      </w:pPr>
      <w:r>
        <w:rPr>
          <w:w w:val="95"/>
        </w:rPr>
        <w:t>通讯方式变更</w:t>
      </w:r>
      <w:r>
        <w:rPr/>
        <w:t>的通知</w:t>
      </w:r>
    </w:p>
    <w:p>
      <w:pPr>
        <w:pStyle w:val="BodyText"/>
        <w:spacing w:line="273" w:lineRule="auto" w:before="19"/>
        <w:ind w:left="213" w:right="304"/>
        <w:jc w:val="both"/>
      </w:pPr>
      <w:r>
        <w:rPr/>
        <w:br w:type="column"/>
      </w:r>
      <w:r>
        <w:rPr/>
        <w:t>为了保障您的合法权益，您的住所、通讯地址或电话等联系方式变更时，请及时以书面或双方认可的其他方式通知我们。若您未以书面或双方认可的其他方式通知我们，我们按本合同载明的最后住所、通讯地址或电话、手机短信等联系方式所发送的有关通知，均视为已送达给您。</w:t>
      </w:r>
    </w:p>
    <w:p>
      <w:pPr>
        <w:spacing w:after="0" w:line="273" w:lineRule="auto"/>
        <w:jc w:val="both"/>
        <w:sectPr>
          <w:pgSz w:w="11910" w:h="16840"/>
          <w:pgMar w:header="0" w:footer="988" w:top="1100" w:bottom="1180" w:left="920" w:right="1000"/>
          <w:cols w:num="2" w:equalWidth="0">
            <w:col w:w="2272" w:space="52"/>
            <w:col w:w="7666"/>
          </w:cols>
        </w:sectPr>
      </w:pPr>
    </w:p>
    <w:p>
      <w:pPr>
        <w:pStyle w:val="BodyText"/>
        <w:spacing w:before="6"/>
        <w:rPr>
          <w:sz w:val="22"/>
        </w:rPr>
      </w:pPr>
    </w:p>
    <w:p>
      <w:pPr>
        <w:pStyle w:val="ListParagraph"/>
        <w:numPr>
          <w:ilvl w:val="1"/>
          <w:numId w:val="5"/>
        </w:numPr>
        <w:tabs>
          <w:tab w:pos="1008" w:val="left" w:leader="none"/>
          <w:tab w:pos="1009" w:val="left" w:leader="none"/>
          <w:tab w:pos="2538" w:val="left" w:leader="none"/>
        </w:tabs>
        <w:spacing w:line="256" w:lineRule="auto" w:before="42" w:after="0"/>
        <w:ind w:left="2538" w:right="304" w:hanging="2325"/>
        <w:jc w:val="left"/>
        <w:rPr>
          <w:sz w:val="21"/>
        </w:rPr>
      </w:pPr>
      <w:r>
        <w:rPr>
          <w:b/>
          <w:sz w:val="21"/>
        </w:rPr>
        <w:t>争议处理</w:t>
        <w:tab/>
      </w:r>
      <w:r>
        <w:rPr>
          <w:sz w:val="21"/>
        </w:rPr>
        <w:t>本合同履行过程中，双方发生争议时，应当协商解决，协商不成的，由当事人约定从下列两种方式中选择一种：</w:t>
      </w:r>
    </w:p>
    <w:p>
      <w:pPr>
        <w:pStyle w:val="BodyText"/>
        <w:spacing w:before="22"/>
        <w:ind w:left="2538"/>
      </w:pPr>
      <w:r>
        <w:rPr>
          <w:rFonts w:ascii="Times New Roman" w:eastAsia="Times New Roman"/>
        </w:rPr>
        <w:t>1.</w:t>
      </w:r>
      <w:r>
        <w:rPr/>
        <w:t>提交双方共同选择的仲裁委员会仲裁；</w:t>
      </w:r>
    </w:p>
    <w:p>
      <w:pPr>
        <w:pStyle w:val="BodyText"/>
        <w:spacing w:before="21"/>
        <w:ind w:left="2538"/>
      </w:pPr>
      <w:r>
        <w:rPr>
          <w:rFonts w:ascii="Times New Roman" w:eastAsia="Times New Roman"/>
        </w:rPr>
        <w:t>2.</w:t>
      </w:r>
      <w:r>
        <w:rPr/>
        <w:t>依法向人民法院起诉。</w:t>
      </w:r>
    </w:p>
    <w:p>
      <w:pPr>
        <w:pStyle w:val="BodyText"/>
        <w:spacing w:before="5"/>
        <w:rPr>
          <w:sz w:val="23"/>
        </w:rPr>
      </w:pPr>
    </w:p>
    <w:p>
      <w:pPr>
        <w:spacing w:after="0"/>
        <w:rPr>
          <w:sz w:val="23"/>
        </w:rPr>
        <w:sectPr>
          <w:type w:val="continuous"/>
          <w:pgSz w:w="11910" w:h="16840"/>
          <w:pgMar w:top="1120" w:bottom="1180" w:left="920" w:right="1000"/>
        </w:sectPr>
      </w:pPr>
    </w:p>
    <w:p>
      <w:pPr>
        <w:pStyle w:val="Heading4"/>
        <w:numPr>
          <w:ilvl w:val="1"/>
          <w:numId w:val="5"/>
        </w:numPr>
        <w:tabs>
          <w:tab w:pos="1008" w:val="left" w:leader="none"/>
          <w:tab w:pos="1009" w:val="left" w:leader="none"/>
        </w:tabs>
        <w:spacing w:line="256" w:lineRule="auto" w:before="42" w:after="0"/>
        <w:ind w:left="1008" w:right="0" w:hanging="795"/>
        <w:jc w:val="left"/>
      </w:pPr>
      <w:r>
        <w:rPr>
          <w:w w:val="95"/>
        </w:rPr>
        <w:t>身体检查与司</w:t>
      </w:r>
      <w:r>
        <w:rPr/>
        <w:t>法鉴定</w:t>
      </w:r>
    </w:p>
    <w:p>
      <w:pPr>
        <w:pStyle w:val="BodyText"/>
        <w:spacing w:line="268" w:lineRule="auto" w:before="40"/>
        <w:ind w:left="213" w:right="299"/>
        <w:jc w:val="both"/>
      </w:pPr>
      <w:r>
        <w:rPr/>
        <w:br w:type="column"/>
      </w:r>
      <w:r>
        <w:rPr/>
        <w:t>保险金受益人申请本合同保险金时，我们有权要求尸检或要求被保险人做身体检查或提供有关的检验报告，费用由我们承担。若本合同任何一方对伤残程度的认定有异议，则以双方认可的</w:t>
      </w:r>
      <w:r>
        <w:rPr>
          <w:b/>
        </w:rPr>
        <w:t>司法鉴定机构</w:t>
      </w:r>
      <w:r>
        <w:rPr/>
        <w:t>（</w:t>
      </w:r>
      <w:r>
        <w:rPr>
          <w:spacing w:val="-29"/>
        </w:rPr>
        <w:t>见 </w:t>
      </w:r>
      <w:r>
        <w:rPr>
          <w:rFonts w:ascii="Times New Roman" w:eastAsia="Times New Roman"/>
        </w:rPr>
        <w:t>9.16</w:t>
      </w:r>
      <w:r>
        <w:rPr/>
        <w:t>）的鉴定结果为准。发生保险事故的，您和我们均可以委托保险公估机构等依法设立的独立评估机构或者具有相关专业知识的人员，对保险事故进行评估和鉴定。</w:t>
      </w:r>
    </w:p>
    <w:p>
      <w:pPr>
        <w:spacing w:after="0" w:line="268" w:lineRule="auto"/>
        <w:jc w:val="both"/>
        <w:sectPr>
          <w:type w:val="continuous"/>
          <w:pgSz w:w="11910" w:h="16840"/>
          <w:pgMar w:top="1120" w:bottom="1180" w:left="920" w:right="1000"/>
          <w:cols w:num="2" w:equalWidth="0">
            <w:col w:w="2272" w:space="52"/>
            <w:col w:w="7666"/>
          </w:cols>
        </w:sectPr>
      </w:pPr>
    </w:p>
    <w:p>
      <w:pPr>
        <w:pStyle w:val="BodyText"/>
        <w:spacing w:before="9"/>
      </w:pPr>
    </w:p>
    <w:p>
      <w:pPr>
        <w:pStyle w:val="Heading3"/>
        <w:numPr>
          <w:ilvl w:val="0"/>
          <w:numId w:val="5"/>
        </w:numPr>
        <w:tabs>
          <w:tab w:pos="1008" w:val="left" w:leader="none"/>
          <w:tab w:pos="1009" w:val="left" w:leader="none"/>
        </w:tabs>
        <w:spacing w:line="240" w:lineRule="auto" w:before="34" w:after="0"/>
        <w:ind w:left="1008" w:right="0" w:hanging="794"/>
        <w:jc w:val="left"/>
      </w:pPr>
      <w:r>
        <w:rPr/>
        <w:t>重大疾病定义</w:t>
      </w:r>
    </w:p>
    <w:p>
      <w:pPr>
        <w:pStyle w:val="BodyText"/>
        <w:spacing w:before="1"/>
        <w:rPr>
          <w:b/>
          <w:sz w:val="10"/>
        </w:rPr>
      </w:pPr>
      <w:r>
        <w:rPr/>
        <w:pict>
          <v:line style="position:absolute;mso-position-horizontal-relative:page;mso-position-vertical-relative:paragraph;z-index:1216;mso-wrap-distance-left:0;mso-wrap-distance-right:0" from="51.299999pt,9.053581pt" to="539.699999pt,9.053581pt" stroked="true" strokeweight=".95999pt" strokecolor="#000000">
            <v:stroke dashstyle="solid"/>
            <w10:wrap type="topAndBottom"/>
          </v:line>
        </w:pict>
      </w:r>
    </w:p>
    <w:p>
      <w:pPr>
        <w:pStyle w:val="BodyText"/>
        <w:spacing w:before="6"/>
        <w:rPr>
          <w:b/>
          <w:sz w:val="5"/>
        </w:rPr>
      </w:pPr>
    </w:p>
    <w:p>
      <w:pPr>
        <w:pStyle w:val="BodyText"/>
        <w:spacing w:line="273" w:lineRule="auto" w:before="35"/>
        <w:ind w:left="214" w:right="318"/>
      </w:pPr>
      <w:r>
        <w:rPr/>
        <w:t>本合同所指重大疾病是指被保险人首次发生符合下列定义的疾病，或首次接受符合下列定义的手术。该疾病或手术应当由</w:t>
      </w:r>
      <w:r>
        <w:rPr>
          <w:b/>
        </w:rPr>
        <w:t>专科医生</w:t>
      </w:r>
      <w:r>
        <w:rPr/>
        <w:t>（见 </w:t>
      </w:r>
      <w:r>
        <w:rPr>
          <w:rFonts w:ascii="Times New Roman" w:eastAsia="Times New Roman"/>
        </w:rPr>
        <w:t>9.17</w:t>
      </w:r>
      <w:r>
        <w:rPr/>
        <w:t>）明确诊断。本合同所保障的重大疾病共 </w:t>
      </w:r>
      <w:r>
        <w:rPr>
          <w:rFonts w:ascii="Times New Roman" w:eastAsia="Times New Roman"/>
        </w:rPr>
        <w:t>60 </w:t>
      </w:r>
      <w:r>
        <w:rPr/>
        <w:t>种。</w:t>
      </w:r>
    </w:p>
    <w:p>
      <w:pPr>
        <w:pStyle w:val="BodyText"/>
        <w:spacing w:before="8"/>
        <w:rPr>
          <w:sz w:val="15"/>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
        <w:gridCol w:w="1662"/>
        <w:gridCol w:w="7412"/>
      </w:tblGrid>
      <w:tr>
        <w:trPr>
          <w:trHeight w:val="577" w:hRule="atLeast"/>
        </w:trPr>
        <w:tc>
          <w:tcPr>
            <w:tcW w:w="579" w:type="dxa"/>
          </w:tcPr>
          <w:p>
            <w:pPr>
              <w:pStyle w:val="TableParagraph"/>
              <w:spacing w:line="233" w:lineRule="exact"/>
              <w:ind w:left="50"/>
              <w:rPr>
                <w:rFonts w:ascii="Times New Roman"/>
                <w:b/>
                <w:sz w:val="21"/>
              </w:rPr>
            </w:pPr>
            <w:r>
              <w:rPr>
                <w:rFonts w:ascii="Times New Roman"/>
                <w:b/>
                <w:sz w:val="21"/>
              </w:rPr>
              <w:t>8.1</w:t>
            </w:r>
          </w:p>
        </w:tc>
        <w:tc>
          <w:tcPr>
            <w:tcW w:w="1662" w:type="dxa"/>
          </w:tcPr>
          <w:p>
            <w:pPr>
              <w:pStyle w:val="TableParagraph"/>
              <w:spacing w:line="214" w:lineRule="exact"/>
              <w:ind w:left="265"/>
              <w:rPr>
                <w:b/>
                <w:sz w:val="21"/>
              </w:rPr>
            </w:pPr>
            <w:r>
              <w:rPr>
                <w:b/>
                <w:sz w:val="21"/>
              </w:rPr>
              <w:t>恶性肿瘤</w:t>
            </w:r>
          </w:p>
        </w:tc>
        <w:tc>
          <w:tcPr>
            <w:tcW w:w="7412" w:type="dxa"/>
          </w:tcPr>
          <w:p>
            <w:pPr>
              <w:pStyle w:val="TableParagraph"/>
              <w:spacing w:line="214" w:lineRule="exact"/>
              <w:ind w:left="133"/>
              <w:rPr>
                <w:sz w:val="21"/>
              </w:rPr>
            </w:pPr>
            <w:r>
              <w:rPr>
                <w:sz w:val="21"/>
              </w:rPr>
              <w:t>指恶性细胞不受控制的进行性增长和扩散，浸润和破坏周围正常组织，可以经</w:t>
            </w:r>
          </w:p>
          <w:p>
            <w:pPr>
              <w:pStyle w:val="TableParagraph"/>
              <w:spacing w:before="37"/>
              <w:ind w:left="133"/>
              <w:rPr>
                <w:sz w:val="21"/>
              </w:rPr>
            </w:pPr>
            <w:r>
              <w:rPr>
                <w:sz w:val="21"/>
              </w:rPr>
              <w:t>血管、淋巴管和体腔扩散转移到身体其它部位的疾病。经病理学检查结果明确</w:t>
            </w:r>
          </w:p>
        </w:tc>
      </w:tr>
      <w:tr>
        <w:trPr>
          <w:trHeight w:val="308" w:hRule="atLeast"/>
        </w:trPr>
        <w:tc>
          <w:tcPr>
            <w:tcW w:w="579" w:type="dxa"/>
          </w:tcPr>
          <w:p>
            <w:pPr>
              <w:pStyle w:val="TableParagraph"/>
              <w:rPr>
                <w:rFonts w:ascii="Times New Roman"/>
                <w:sz w:val="20"/>
              </w:rPr>
            </w:pPr>
          </w:p>
        </w:tc>
        <w:tc>
          <w:tcPr>
            <w:tcW w:w="1662" w:type="dxa"/>
          </w:tcPr>
          <w:p>
            <w:pPr>
              <w:pStyle w:val="TableParagraph"/>
              <w:rPr>
                <w:rFonts w:ascii="Times New Roman"/>
                <w:sz w:val="20"/>
              </w:rPr>
            </w:pPr>
          </w:p>
        </w:tc>
        <w:tc>
          <w:tcPr>
            <w:tcW w:w="7412" w:type="dxa"/>
          </w:tcPr>
          <w:p>
            <w:pPr>
              <w:pStyle w:val="TableParagraph"/>
              <w:spacing w:line="261" w:lineRule="exact"/>
              <w:ind w:left="133"/>
              <w:rPr>
                <w:sz w:val="21"/>
              </w:rPr>
            </w:pPr>
            <w:r>
              <w:rPr>
                <w:sz w:val="21"/>
              </w:rPr>
              <w:t>诊断，临床诊断属于世界卫生组织《疾病和有关健康问题的国际统计分类》</w:t>
            </w:r>
          </w:p>
        </w:tc>
      </w:tr>
      <w:tr>
        <w:trPr>
          <w:trHeight w:val="369" w:hRule="atLeast"/>
        </w:trPr>
        <w:tc>
          <w:tcPr>
            <w:tcW w:w="579" w:type="dxa"/>
          </w:tcPr>
          <w:p>
            <w:pPr>
              <w:pStyle w:val="TableParagraph"/>
              <w:rPr>
                <w:rFonts w:ascii="Times New Roman"/>
                <w:sz w:val="20"/>
              </w:rPr>
            </w:pPr>
          </w:p>
        </w:tc>
        <w:tc>
          <w:tcPr>
            <w:tcW w:w="1662" w:type="dxa"/>
          </w:tcPr>
          <w:p>
            <w:pPr>
              <w:pStyle w:val="TableParagraph"/>
              <w:rPr>
                <w:rFonts w:ascii="Times New Roman"/>
                <w:sz w:val="20"/>
              </w:rPr>
            </w:pPr>
          </w:p>
        </w:tc>
        <w:tc>
          <w:tcPr>
            <w:tcW w:w="7412" w:type="dxa"/>
          </w:tcPr>
          <w:p>
            <w:pPr>
              <w:pStyle w:val="TableParagraph"/>
              <w:spacing w:line="280" w:lineRule="exact"/>
              <w:ind w:left="133"/>
              <w:rPr>
                <w:sz w:val="21"/>
              </w:rPr>
            </w:pPr>
            <w:r>
              <w:rPr>
                <w:sz w:val="21"/>
              </w:rPr>
              <w:t>（</w:t>
            </w:r>
            <w:r>
              <w:rPr>
                <w:rFonts w:ascii="Times New Roman" w:eastAsia="Times New Roman"/>
                <w:sz w:val="21"/>
              </w:rPr>
              <w:t>ICD</w:t>
            </w:r>
            <w:r>
              <w:rPr>
                <w:sz w:val="21"/>
              </w:rPr>
              <w:t>-</w:t>
            </w:r>
            <w:r>
              <w:rPr>
                <w:rFonts w:ascii="Times New Roman" w:eastAsia="Times New Roman"/>
                <w:sz w:val="21"/>
              </w:rPr>
              <w:t>10</w:t>
            </w:r>
            <w:r>
              <w:rPr>
                <w:sz w:val="21"/>
              </w:rPr>
              <w:t>）的恶性肿瘤范畴。</w:t>
            </w:r>
          </w:p>
        </w:tc>
      </w:tr>
      <w:tr>
        <w:trPr>
          <w:trHeight w:val="346" w:hRule="atLeast"/>
        </w:trPr>
        <w:tc>
          <w:tcPr>
            <w:tcW w:w="579" w:type="dxa"/>
          </w:tcPr>
          <w:p>
            <w:pPr>
              <w:pStyle w:val="TableParagraph"/>
              <w:rPr>
                <w:rFonts w:ascii="Times New Roman"/>
                <w:sz w:val="20"/>
              </w:rPr>
            </w:pPr>
          </w:p>
        </w:tc>
        <w:tc>
          <w:tcPr>
            <w:tcW w:w="1662" w:type="dxa"/>
          </w:tcPr>
          <w:p>
            <w:pPr>
              <w:pStyle w:val="TableParagraph"/>
              <w:rPr>
                <w:rFonts w:ascii="Times New Roman"/>
                <w:sz w:val="20"/>
              </w:rPr>
            </w:pPr>
          </w:p>
        </w:tc>
        <w:tc>
          <w:tcPr>
            <w:tcW w:w="7412" w:type="dxa"/>
          </w:tcPr>
          <w:p>
            <w:pPr>
              <w:pStyle w:val="TableParagraph"/>
              <w:spacing w:before="24"/>
              <w:ind w:left="133"/>
              <w:rPr>
                <w:sz w:val="21"/>
              </w:rPr>
            </w:pPr>
            <w:r>
              <w:rPr>
                <w:sz w:val="21"/>
                <w:shd w:fill="C0C0C0" w:color="auto" w:val="clear"/>
              </w:rPr>
              <w:t>下列疾病不在保障范围内：</w:t>
            </w:r>
          </w:p>
        </w:tc>
      </w:tr>
      <w:tr>
        <w:trPr>
          <w:trHeight w:val="1959" w:hRule="atLeast"/>
        </w:trPr>
        <w:tc>
          <w:tcPr>
            <w:tcW w:w="579" w:type="dxa"/>
          </w:tcPr>
          <w:p>
            <w:pPr>
              <w:pStyle w:val="TableParagraph"/>
              <w:rPr>
                <w:rFonts w:ascii="Times New Roman"/>
                <w:sz w:val="20"/>
              </w:rPr>
            </w:pPr>
          </w:p>
        </w:tc>
        <w:tc>
          <w:tcPr>
            <w:tcW w:w="1662" w:type="dxa"/>
          </w:tcPr>
          <w:p>
            <w:pPr>
              <w:pStyle w:val="TableParagraph"/>
              <w:rPr>
                <w:rFonts w:ascii="Times New Roman"/>
                <w:sz w:val="20"/>
              </w:rPr>
            </w:pPr>
          </w:p>
        </w:tc>
        <w:tc>
          <w:tcPr>
            <w:tcW w:w="7412" w:type="dxa"/>
          </w:tcPr>
          <w:p>
            <w:pPr>
              <w:pStyle w:val="TableParagraph"/>
              <w:spacing w:line="280" w:lineRule="exact"/>
              <w:ind w:left="133"/>
              <w:rPr>
                <w:sz w:val="21"/>
              </w:rPr>
            </w:pPr>
            <w:r>
              <w:rPr>
                <w:rFonts w:ascii="Times New Roman" w:eastAsia="Times New Roman"/>
                <w:sz w:val="21"/>
                <w:shd w:fill="C0C0C0" w:color="auto" w:val="clear"/>
              </w:rPr>
              <w:t>1.</w:t>
            </w:r>
            <w:r>
              <w:rPr>
                <w:sz w:val="21"/>
                <w:shd w:fill="C0C0C0" w:color="auto" w:val="clear"/>
              </w:rPr>
              <w:t>原位癌；</w:t>
            </w:r>
          </w:p>
          <w:p>
            <w:pPr>
              <w:pStyle w:val="TableParagraph"/>
              <w:spacing w:before="21"/>
              <w:ind w:left="133"/>
              <w:rPr>
                <w:sz w:val="21"/>
              </w:rPr>
            </w:pPr>
            <w:r>
              <w:rPr>
                <w:rFonts w:ascii="Times New Roman" w:eastAsia="Times New Roman"/>
                <w:sz w:val="21"/>
                <w:shd w:fill="C0C0C0" w:color="auto" w:val="clear"/>
              </w:rPr>
              <w:t>2.</w:t>
            </w:r>
            <w:r>
              <w:rPr>
                <w:spacing w:val="-14"/>
                <w:sz w:val="21"/>
                <w:shd w:fill="C0C0C0" w:color="auto" w:val="clear"/>
              </w:rPr>
              <w:t>相当于 </w:t>
            </w:r>
            <w:r>
              <w:rPr>
                <w:rFonts w:ascii="Times New Roman" w:eastAsia="Times New Roman"/>
                <w:sz w:val="21"/>
                <w:shd w:fill="C0C0C0" w:color="auto" w:val="clear"/>
              </w:rPr>
              <w:t>Binet</w:t>
            </w:r>
            <w:r>
              <w:rPr>
                <w:rFonts w:ascii="Times New Roman" w:eastAsia="Times New Roman"/>
                <w:spacing w:val="51"/>
                <w:sz w:val="21"/>
                <w:shd w:fill="C0C0C0" w:color="auto" w:val="clear"/>
              </w:rPr>
              <w:t> </w:t>
            </w:r>
            <w:r>
              <w:rPr>
                <w:spacing w:val="11"/>
                <w:sz w:val="21"/>
                <w:shd w:fill="C0C0C0" w:color="auto" w:val="clear"/>
              </w:rPr>
              <w:t>分期方案</w:t>
            </w:r>
            <w:r>
              <w:rPr>
                <w:rFonts w:ascii="Times New Roman" w:eastAsia="Times New Roman"/>
                <w:sz w:val="21"/>
                <w:shd w:fill="C0C0C0" w:color="auto" w:val="clear"/>
              </w:rPr>
              <w:t>A </w:t>
            </w:r>
            <w:r>
              <w:rPr>
                <w:sz w:val="21"/>
                <w:shd w:fill="C0C0C0" w:color="auto" w:val="clear"/>
              </w:rPr>
              <w:t>期程度的慢性淋巴细胞白血病；</w:t>
            </w:r>
          </w:p>
          <w:p>
            <w:pPr>
              <w:pStyle w:val="TableParagraph"/>
              <w:spacing w:before="21"/>
              <w:ind w:left="133"/>
              <w:rPr>
                <w:sz w:val="21"/>
              </w:rPr>
            </w:pPr>
            <w:r>
              <w:rPr>
                <w:rFonts w:ascii="Times New Roman" w:eastAsia="Times New Roman"/>
                <w:sz w:val="21"/>
                <w:shd w:fill="C0C0C0" w:color="auto" w:val="clear"/>
              </w:rPr>
              <w:t>3.</w:t>
            </w:r>
            <w:r>
              <w:rPr>
                <w:spacing w:val="-14"/>
                <w:sz w:val="21"/>
                <w:shd w:fill="C0C0C0" w:color="auto" w:val="clear"/>
              </w:rPr>
              <w:t>相当于 </w:t>
            </w:r>
            <w:r>
              <w:rPr>
                <w:rFonts w:ascii="Times New Roman" w:eastAsia="Times New Roman"/>
                <w:sz w:val="21"/>
                <w:shd w:fill="C0C0C0" w:color="auto" w:val="clear"/>
              </w:rPr>
              <w:t>Ann Arbor </w:t>
            </w:r>
            <w:r>
              <w:rPr>
                <w:spacing w:val="-11"/>
                <w:sz w:val="21"/>
                <w:shd w:fill="C0C0C0" w:color="auto" w:val="clear"/>
              </w:rPr>
              <w:t>分期方案 </w:t>
            </w:r>
            <w:r>
              <w:rPr>
                <w:rFonts w:ascii="Times New Roman" w:eastAsia="Times New Roman"/>
                <w:sz w:val="21"/>
                <w:shd w:fill="C0C0C0" w:color="auto" w:val="clear"/>
              </w:rPr>
              <w:t>I </w:t>
            </w:r>
            <w:r>
              <w:rPr>
                <w:sz w:val="21"/>
                <w:shd w:fill="C0C0C0" w:color="auto" w:val="clear"/>
              </w:rPr>
              <w:t>期程度的何杰金氏病；</w:t>
            </w:r>
          </w:p>
          <w:p>
            <w:pPr>
              <w:pStyle w:val="TableParagraph"/>
              <w:spacing w:before="21"/>
              <w:ind w:left="133"/>
              <w:rPr>
                <w:sz w:val="21"/>
              </w:rPr>
            </w:pPr>
            <w:r>
              <w:rPr>
                <w:rFonts w:ascii="Times New Roman" w:eastAsia="Times New Roman"/>
                <w:sz w:val="21"/>
                <w:shd w:fill="C0C0C0" w:color="auto" w:val="clear"/>
              </w:rPr>
              <w:t>4.</w:t>
            </w:r>
            <w:r>
              <w:rPr>
                <w:sz w:val="21"/>
                <w:shd w:fill="C0C0C0" w:color="auto" w:val="clear"/>
              </w:rPr>
              <w:t>皮肤癌</w:t>
            </w:r>
            <w:r>
              <w:rPr>
                <w:sz w:val="21"/>
              </w:rPr>
              <w:t>（</w:t>
            </w:r>
            <w:r>
              <w:rPr>
                <w:spacing w:val="-1"/>
                <w:sz w:val="21"/>
              </w:rPr>
              <w:t>不包括恶性黑色素瘤及已发生转移的皮肤癌</w:t>
            </w:r>
            <w:r>
              <w:rPr>
                <w:spacing w:val="-105"/>
                <w:sz w:val="21"/>
              </w:rPr>
              <w:t>）</w:t>
            </w:r>
            <w:r>
              <w:rPr>
                <w:sz w:val="21"/>
              </w:rPr>
              <w:t>；</w:t>
            </w:r>
          </w:p>
          <w:p>
            <w:pPr>
              <w:pStyle w:val="TableParagraph"/>
              <w:spacing w:before="21"/>
              <w:ind w:left="133"/>
              <w:rPr>
                <w:sz w:val="21"/>
              </w:rPr>
            </w:pPr>
            <w:r>
              <w:rPr>
                <w:rFonts w:ascii="Times New Roman" w:eastAsia="Times New Roman"/>
                <w:sz w:val="21"/>
                <w:shd w:fill="C0C0C0" w:color="auto" w:val="clear"/>
              </w:rPr>
              <w:t>5.TNM </w:t>
            </w:r>
            <w:r>
              <w:rPr>
                <w:sz w:val="21"/>
                <w:shd w:fill="C0C0C0" w:color="auto" w:val="clear"/>
              </w:rPr>
              <w:t>分期为 </w:t>
            </w:r>
            <w:r>
              <w:rPr>
                <w:rFonts w:ascii="Times New Roman" w:eastAsia="Times New Roman"/>
                <w:sz w:val="21"/>
                <w:shd w:fill="C0C0C0" w:color="auto" w:val="clear"/>
              </w:rPr>
              <w:t>T1N0M0 </w:t>
            </w:r>
            <w:r>
              <w:rPr>
                <w:sz w:val="21"/>
                <w:shd w:fill="C0C0C0" w:color="auto" w:val="clear"/>
              </w:rPr>
              <w:t>期或更轻分期的前列腺癌；</w:t>
            </w:r>
          </w:p>
          <w:p>
            <w:pPr>
              <w:pStyle w:val="TableParagraph"/>
              <w:spacing w:before="21"/>
              <w:ind w:left="133"/>
              <w:rPr>
                <w:sz w:val="21"/>
              </w:rPr>
            </w:pPr>
            <w:r>
              <w:rPr>
                <w:rFonts w:ascii="Times New Roman" w:eastAsia="Times New Roman"/>
                <w:sz w:val="21"/>
                <w:shd w:fill="C0C0C0" w:color="auto" w:val="clear"/>
              </w:rPr>
              <w:t>6.</w:t>
            </w:r>
            <w:r>
              <w:rPr>
                <w:sz w:val="21"/>
                <w:shd w:fill="C0C0C0" w:color="auto" w:val="clear"/>
              </w:rPr>
              <w:t>感染艾滋病病毒或患艾滋病期间所患恶性肿瘤。</w:t>
            </w:r>
          </w:p>
        </w:tc>
      </w:tr>
      <w:tr>
        <w:trPr>
          <w:trHeight w:val="696" w:hRule="atLeast"/>
        </w:trPr>
        <w:tc>
          <w:tcPr>
            <w:tcW w:w="579" w:type="dxa"/>
          </w:tcPr>
          <w:p>
            <w:pPr>
              <w:pStyle w:val="TableParagraph"/>
              <w:spacing w:before="110"/>
              <w:ind w:left="50"/>
              <w:rPr>
                <w:rFonts w:ascii="Times New Roman"/>
                <w:b/>
                <w:sz w:val="21"/>
              </w:rPr>
            </w:pPr>
            <w:r>
              <w:rPr>
                <w:rFonts w:ascii="Times New Roman"/>
                <w:b/>
                <w:sz w:val="21"/>
              </w:rPr>
              <w:t>8.2</w:t>
            </w:r>
          </w:p>
        </w:tc>
        <w:tc>
          <w:tcPr>
            <w:tcW w:w="1662" w:type="dxa"/>
          </w:tcPr>
          <w:p>
            <w:pPr>
              <w:pStyle w:val="TableParagraph"/>
              <w:spacing w:line="273" w:lineRule="auto" w:before="58"/>
              <w:ind w:left="265" w:right="130"/>
              <w:rPr>
                <w:b/>
                <w:sz w:val="21"/>
              </w:rPr>
            </w:pPr>
            <w:r>
              <w:rPr>
                <w:b/>
                <w:sz w:val="21"/>
              </w:rPr>
              <w:t>重大器官移植</w:t>
            </w:r>
            <w:r>
              <w:rPr>
                <w:b/>
                <w:w w:val="95"/>
                <w:sz w:val="21"/>
              </w:rPr>
              <w:t>术或造血干细</w:t>
            </w:r>
          </w:p>
        </w:tc>
        <w:tc>
          <w:tcPr>
            <w:tcW w:w="7412" w:type="dxa"/>
          </w:tcPr>
          <w:p>
            <w:pPr>
              <w:pStyle w:val="TableParagraph"/>
              <w:spacing w:line="273" w:lineRule="auto" w:before="58"/>
              <w:ind w:left="133" w:right="48"/>
              <w:rPr>
                <w:sz w:val="21"/>
              </w:rPr>
            </w:pPr>
            <w:r>
              <w:rPr>
                <w:sz w:val="21"/>
              </w:rPr>
              <w:t>重大器官移植术，指因相应器官功能衰竭，已经实施了肾脏、肝脏、心脏或肺脏的异体移植手术。造血干细胞移植术，指因造血功能损害或造血系统恶性肿</w:t>
            </w:r>
          </w:p>
        </w:tc>
      </w:tr>
      <w:tr>
        <w:trPr>
          <w:trHeight w:val="304" w:hRule="atLeast"/>
        </w:trPr>
        <w:tc>
          <w:tcPr>
            <w:tcW w:w="579" w:type="dxa"/>
          </w:tcPr>
          <w:p>
            <w:pPr>
              <w:pStyle w:val="TableParagraph"/>
              <w:rPr>
                <w:rFonts w:ascii="Times New Roman"/>
                <w:sz w:val="20"/>
              </w:rPr>
            </w:pPr>
          </w:p>
        </w:tc>
        <w:tc>
          <w:tcPr>
            <w:tcW w:w="1662" w:type="dxa"/>
          </w:tcPr>
          <w:p>
            <w:pPr>
              <w:pStyle w:val="TableParagraph"/>
              <w:spacing w:line="261" w:lineRule="exact"/>
              <w:ind w:left="265"/>
              <w:rPr>
                <w:b/>
                <w:sz w:val="21"/>
              </w:rPr>
            </w:pPr>
            <w:r>
              <w:rPr>
                <w:b/>
                <w:sz w:val="21"/>
              </w:rPr>
              <w:t>胞移植术</w:t>
            </w:r>
          </w:p>
        </w:tc>
        <w:tc>
          <w:tcPr>
            <w:tcW w:w="7412" w:type="dxa"/>
          </w:tcPr>
          <w:p>
            <w:pPr>
              <w:pStyle w:val="TableParagraph"/>
              <w:spacing w:line="261" w:lineRule="exact"/>
              <w:ind w:left="133"/>
              <w:rPr>
                <w:sz w:val="21"/>
              </w:rPr>
            </w:pPr>
            <w:r>
              <w:rPr>
                <w:sz w:val="21"/>
              </w:rPr>
              <w:t>瘤，已经实施了造血干细胞（包括骨髓造血干细胞、外周血造血干细胞和脐血</w:t>
            </w:r>
          </w:p>
        </w:tc>
      </w:tr>
      <w:tr>
        <w:trPr>
          <w:trHeight w:val="401" w:hRule="atLeast"/>
        </w:trPr>
        <w:tc>
          <w:tcPr>
            <w:tcW w:w="579" w:type="dxa"/>
          </w:tcPr>
          <w:p>
            <w:pPr>
              <w:pStyle w:val="TableParagraph"/>
              <w:rPr>
                <w:rFonts w:ascii="Times New Roman"/>
                <w:sz w:val="20"/>
              </w:rPr>
            </w:pPr>
          </w:p>
        </w:tc>
        <w:tc>
          <w:tcPr>
            <w:tcW w:w="1662" w:type="dxa"/>
          </w:tcPr>
          <w:p>
            <w:pPr>
              <w:pStyle w:val="TableParagraph"/>
              <w:rPr>
                <w:rFonts w:ascii="Times New Roman"/>
                <w:sz w:val="20"/>
              </w:rPr>
            </w:pPr>
          </w:p>
        </w:tc>
        <w:tc>
          <w:tcPr>
            <w:tcW w:w="7412" w:type="dxa"/>
          </w:tcPr>
          <w:p>
            <w:pPr>
              <w:pStyle w:val="TableParagraph"/>
              <w:spacing w:line="284" w:lineRule="exact"/>
              <w:ind w:left="133"/>
              <w:rPr>
                <w:sz w:val="24"/>
              </w:rPr>
            </w:pPr>
            <w:r>
              <w:rPr>
                <w:sz w:val="21"/>
              </w:rPr>
              <w:t>造血干细胞）的异体移植手术</w:t>
            </w:r>
            <w:r>
              <w:rPr>
                <w:sz w:val="24"/>
              </w:rPr>
              <w:t>。</w:t>
            </w:r>
          </w:p>
        </w:tc>
      </w:tr>
      <w:tr>
        <w:trPr>
          <w:trHeight w:val="697" w:hRule="atLeast"/>
        </w:trPr>
        <w:tc>
          <w:tcPr>
            <w:tcW w:w="579" w:type="dxa"/>
          </w:tcPr>
          <w:p>
            <w:pPr>
              <w:pStyle w:val="TableParagraph"/>
              <w:spacing w:before="111"/>
              <w:ind w:left="50"/>
              <w:rPr>
                <w:rFonts w:ascii="Times New Roman"/>
                <w:b/>
                <w:sz w:val="21"/>
              </w:rPr>
            </w:pPr>
            <w:r>
              <w:rPr>
                <w:rFonts w:ascii="Times New Roman"/>
                <w:b/>
                <w:sz w:val="21"/>
              </w:rPr>
              <w:t>8.3</w:t>
            </w:r>
          </w:p>
        </w:tc>
        <w:tc>
          <w:tcPr>
            <w:tcW w:w="1662" w:type="dxa"/>
          </w:tcPr>
          <w:p>
            <w:pPr>
              <w:pStyle w:val="TableParagraph"/>
              <w:spacing w:before="60"/>
              <w:ind w:left="265"/>
              <w:rPr>
                <w:b/>
                <w:sz w:val="21"/>
              </w:rPr>
            </w:pPr>
            <w:r>
              <w:rPr>
                <w:b/>
                <w:w w:val="95"/>
                <w:sz w:val="21"/>
              </w:rPr>
              <w:t>终末期肾病</w:t>
            </w:r>
          </w:p>
          <w:p>
            <w:pPr>
              <w:pStyle w:val="TableParagraph"/>
              <w:spacing w:before="37"/>
              <w:ind w:left="265"/>
              <w:rPr>
                <w:b/>
                <w:sz w:val="21"/>
              </w:rPr>
            </w:pPr>
            <w:r>
              <w:rPr>
                <w:b/>
                <w:w w:val="95"/>
                <w:sz w:val="21"/>
              </w:rPr>
              <w:t>（或称慢性肾</w:t>
            </w:r>
          </w:p>
        </w:tc>
        <w:tc>
          <w:tcPr>
            <w:tcW w:w="7412" w:type="dxa"/>
          </w:tcPr>
          <w:p>
            <w:pPr>
              <w:pStyle w:val="TableParagraph"/>
              <w:spacing w:line="256" w:lineRule="auto" w:before="60"/>
              <w:ind w:left="133" w:right="49"/>
              <w:rPr>
                <w:sz w:val="21"/>
              </w:rPr>
            </w:pPr>
            <w:r>
              <w:rPr>
                <w:spacing w:val="-4"/>
                <w:sz w:val="21"/>
              </w:rPr>
              <w:t>指双肾功能慢性不可逆性衰竭，达到尿毒症期，经诊断后已经进行了至少 </w:t>
            </w:r>
            <w:r>
              <w:rPr>
                <w:rFonts w:ascii="Times New Roman" w:eastAsia="Times New Roman"/>
                <w:sz w:val="21"/>
              </w:rPr>
              <w:t>90 </w:t>
            </w:r>
            <w:r>
              <w:rPr>
                <w:sz w:val="21"/>
              </w:rPr>
              <w:t>日的规律性透析治疗或实施了肾脏移植手术。</w:t>
            </w:r>
          </w:p>
        </w:tc>
      </w:tr>
      <w:tr>
        <w:trPr>
          <w:trHeight w:val="311" w:hRule="atLeast"/>
        </w:trPr>
        <w:tc>
          <w:tcPr>
            <w:tcW w:w="579" w:type="dxa"/>
          </w:tcPr>
          <w:p>
            <w:pPr>
              <w:pStyle w:val="TableParagraph"/>
              <w:rPr>
                <w:rFonts w:ascii="Times New Roman"/>
                <w:sz w:val="20"/>
              </w:rPr>
            </w:pPr>
          </w:p>
        </w:tc>
        <w:tc>
          <w:tcPr>
            <w:tcW w:w="1662" w:type="dxa"/>
          </w:tcPr>
          <w:p>
            <w:pPr>
              <w:pStyle w:val="TableParagraph"/>
              <w:spacing w:line="261" w:lineRule="exact"/>
              <w:ind w:left="265"/>
              <w:rPr>
                <w:b/>
                <w:sz w:val="21"/>
              </w:rPr>
            </w:pPr>
            <w:r>
              <w:rPr>
                <w:b/>
                <w:w w:val="95"/>
                <w:sz w:val="21"/>
              </w:rPr>
              <w:t>功能衰竭尿毒</w:t>
            </w:r>
          </w:p>
        </w:tc>
        <w:tc>
          <w:tcPr>
            <w:tcW w:w="7412" w:type="dxa"/>
          </w:tcPr>
          <w:p>
            <w:pPr>
              <w:pStyle w:val="TableParagraph"/>
              <w:rPr>
                <w:rFonts w:ascii="Times New Roman"/>
                <w:sz w:val="20"/>
              </w:rPr>
            </w:pPr>
          </w:p>
        </w:tc>
      </w:tr>
      <w:tr>
        <w:trPr>
          <w:trHeight w:val="387" w:hRule="atLeast"/>
        </w:trPr>
        <w:tc>
          <w:tcPr>
            <w:tcW w:w="579" w:type="dxa"/>
          </w:tcPr>
          <w:p>
            <w:pPr>
              <w:pStyle w:val="TableParagraph"/>
              <w:rPr>
                <w:rFonts w:ascii="Times New Roman"/>
                <w:sz w:val="20"/>
              </w:rPr>
            </w:pPr>
          </w:p>
        </w:tc>
        <w:tc>
          <w:tcPr>
            <w:tcW w:w="1662" w:type="dxa"/>
          </w:tcPr>
          <w:p>
            <w:pPr>
              <w:pStyle w:val="TableParagraph"/>
              <w:spacing w:line="261" w:lineRule="exact"/>
              <w:ind w:left="265"/>
              <w:rPr>
                <w:b/>
                <w:sz w:val="21"/>
              </w:rPr>
            </w:pPr>
            <w:r>
              <w:rPr>
                <w:b/>
                <w:sz w:val="21"/>
              </w:rPr>
              <w:t>症期）</w:t>
            </w:r>
          </w:p>
        </w:tc>
        <w:tc>
          <w:tcPr>
            <w:tcW w:w="7412" w:type="dxa"/>
          </w:tcPr>
          <w:p>
            <w:pPr>
              <w:pStyle w:val="TableParagraph"/>
              <w:rPr>
                <w:rFonts w:ascii="Times New Roman"/>
                <w:sz w:val="20"/>
              </w:rPr>
            </w:pPr>
          </w:p>
        </w:tc>
      </w:tr>
      <w:tr>
        <w:trPr>
          <w:trHeight w:val="780" w:hRule="atLeast"/>
        </w:trPr>
        <w:tc>
          <w:tcPr>
            <w:tcW w:w="579" w:type="dxa"/>
          </w:tcPr>
          <w:p>
            <w:pPr>
              <w:pStyle w:val="TableParagraph"/>
              <w:spacing w:before="118"/>
              <w:ind w:left="50"/>
              <w:rPr>
                <w:rFonts w:ascii="Times New Roman"/>
                <w:b/>
                <w:sz w:val="21"/>
              </w:rPr>
            </w:pPr>
            <w:r>
              <w:rPr>
                <w:rFonts w:ascii="Times New Roman"/>
                <w:b/>
                <w:sz w:val="21"/>
              </w:rPr>
              <w:t>8.4</w:t>
            </w:r>
          </w:p>
        </w:tc>
        <w:tc>
          <w:tcPr>
            <w:tcW w:w="1662" w:type="dxa"/>
          </w:tcPr>
          <w:p>
            <w:pPr>
              <w:pStyle w:val="TableParagraph"/>
              <w:spacing w:before="66"/>
              <w:ind w:left="265"/>
              <w:rPr>
                <w:b/>
                <w:sz w:val="21"/>
              </w:rPr>
            </w:pPr>
            <w:r>
              <w:rPr>
                <w:b/>
                <w:w w:val="95"/>
                <w:sz w:val="21"/>
              </w:rPr>
              <w:t>多个肢体缺失</w:t>
            </w:r>
          </w:p>
        </w:tc>
        <w:tc>
          <w:tcPr>
            <w:tcW w:w="7412" w:type="dxa"/>
          </w:tcPr>
          <w:p>
            <w:pPr>
              <w:pStyle w:val="TableParagraph"/>
              <w:spacing w:line="273" w:lineRule="auto" w:before="66"/>
              <w:ind w:left="133" w:right="48"/>
              <w:rPr>
                <w:sz w:val="21"/>
              </w:rPr>
            </w:pPr>
            <w:r>
              <w:rPr>
                <w:sz w:val="21"/>
              </w:rPr>
              <w:t>指因疾病或意外伤害导致两个或两个以上肢体自腕关节或踝关节近端（靠近躯干端）以上完全性断离。</w:t>
            </w:r>
          </w:p>
        </w:tc>
      </w:tr>
      <w:tr>
        <w:trPr>
          <w:trHeight w:val="653" w:hRule="atLeast"/>
        </w:trPr>
        <w:tc>
          <w:tcPr>
            <w:tcW w:w="579" w:type="dxa"/>
          </w:tcPr>
          <w:p>
            <w:pPr>
              <w:pStyle w:val="TableParagraph"/>
              <w:spacing w:before="118"/>
              <w:ind w:left="50"/>
              <w:rPr>
                <w:rFonts w:ascii="Times New Roman"/>
                <w:b/>
                <w:sz w:val="21"/>
              </w:rPr>
            </w:pPr>
            <w:r>
              <w:rPr>
                <w:rFonts w:ascii="Times New Roman"/>
                <w:b/>
                <w:sz w:val="21"/>
              </w:rPr>
              <w:t>8.5</w:t>
            </w:r>
          </w:p>
        </w:tc>
        <w:tc>
          <w:tcPr>
            <w:tcW w:w="1662" w:type="dxa"/>
          </w:tcPr>
          <w:p>
            <w:pPr>
              <w:pStyle w:val="TableParagraph"/>
              <w:spacing w:line="310" w:lineRule="atLeast" w:before="31"/>
              <w:ind w:left="265" w:right="131"/>
              <w:rPr>
                <w:b/>
                <w:sz w:val="21"/>
              </w:rPr>
            </w:pPr>
            <w:r>
              <w:rPr>
                <w:b/>
                <w:sz w:val="21"/>
              </w:rPr>
              <w:t>急性或亚急性重症肝炎</w:t>
            </w:r>
          </w:p>
        </w:tc>
        <w:tc>
          <w:tcPr>
            <w:tcW w:w="7412" w:type="dxa"/>
          </w:tcPr>
          <w:p>
            <w:pPr>
              <w:pStyle w:val="TableParagraph"/>
              <w:spacing w:line="310" w:lineRule="atLeast" w:before="31"/>
              <w:ind w:left="133" w:right="48"/>
              <w:rPr>
                <w:b/>
                <w:sz w:val="21"/>
              </w:rPr>
            </w:pPr>
            <w:r>
              <w:rPr>
                <w:sz w:val="21"/>
              </w:rPr>
              <w:t>指因肝炎病毒感染引起肝脏组织弥漫性坏死，导致急性肝功能衰竭，且经血清</w:t>
            </w:r>
            <w:r>
              <w:rPr>
                <w:w w:val="95"/>
                <w:sz w:val="21"/>
              </w:rPr>
              <w:t>学或病毒学检查证实，</w:t>
            </w:r>
            <w:r>
              <w:rPr>
                <w:b/>
                <w:w w:val="95"/>
                <w:sz w:val="21"/>
              </w:rPr>
              <w:t>并须满足下列全部条件：</w:t>
            </w:r>
          </w:p>
        </w:tc>
      </w:tr>
    </w:tbl>
    <w:p>
      <w:pPr>
        <w:spacing w:after="0" w:line="310" w:lineRule="atLeast"/>
        <w:rPr>
          <w:sz w:val="21"/>
        </w:rPr>
        <w:sectPr>
          <w:type w:val="continuous"/>
          <w:pgSz w:w="11910" w:h="16840"/>
          <w:pgMar w:top="1120" w:bottom="1180" w:left="920" w:right="10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610"/>
        <w:gridCol w:w="7515"/>
      </w:tblGrid>
      <w:tr>
        <w:trPr>
          <w:trHeight w:val="288"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64" w:lineRule="exact"/>
              <w:ind w:left="133"/>
              <w:rPr>
                <w:sz w:val="21"/>
              </w:rPr>
            </w:pPr>
            <w:r>
              <w:rPr>
                <w:rFonts w:ascii="Times New Roman" w:eastAsia="Times New Roman"/>
                <w:sz w:val="21"/>
              </w:rPr>
              <w:t>1</w:t>
            </w:r>
            <w:r>
              <w:rPr>
                <w:rFonts w:ascii="Times New Roman" w:eastAsia="Times New Roman"/>
                <w:sz w:val="24"/>
              </w:rPr>
              <w:t>.</w:t>
            </w:r>
            <w:r>
              <w:rPr>
                <w:sz w:val="21"/>
              </w:rPr>
              <w:t>重度黄疸或黄疸迅速加重；</w:t>
            </w:r>
          </w:p>
        </w:tc>
      </w:tr>
      <w:tr>
        <w:trPr>
          <w:trHeight w:val="312"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87" w:lineRule="exact"/>
              <w:ind w:left="133"/>
              <w:rPr>
                <w:sz w:val="21"/>
              </w:rPr>
            </w:pPr>
            <w:r>
              <w:rPr>
                <w:rFonts w:ascii="Times New Roman" w:eastAsia="Times New Roman"/>
                <w:sz w:val="21"/>
              </w:rPr>
              <w:t>2</w:t>
            </w:r>
            <w:r>
              <w:rPr>
                <w:rFonts w:ascii="Times New Roman" w:eastAsia="Times New Roman"/>
                <w:sz w:val="24"/>
              </w:rPr>
              <w:t>.</w:t>
            </w:r>
            <w:r>
              <w:rPr>
                <w:sz w:val="21"/>
              </w:rPr>
              <w:t>肝性脑病；</w:t>
            </w:r>
          </w:p>
        </w:tc>
      </w:tr>
      <w:tr>
        <w:trPr>
          <w:trHeight w:val="311"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87" w:lineRule="exact"/>
              <w:ind w:left="133"/>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w:t>
            </w:r>
          </w:p>
        </w:tc>
      </w:tr>
      <w:tr>
        <w:trPr>
          <w:trHeight w:val="400"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87" w:lineRule="exact"/>
              <w:ind w:left="133"/>
              <w:rPr>
                <w:sz w:val="21"/>
              </w:rPr>
            </w:pPr>
            <w:r>
              <w:rPr>
                <w:rFonts w:ascii="Times New Roman" w:eastAsia="Times New Roman"/>
                <w:sz w:val="21"/>
              </w:rPr>
              <w:t>4</w:t>
            </w:r>
            <w:r>
              <w:rPr>
                <w:rFonts w:ascii="Times New Roman" w:eastAsia="Times New Roman"/>
                <w:sz w:val="24"/>
              </w:rPr>
              <w:t>.</w:t>
            </w:r>
            <w:r>
              <w:rPr>
                <w:sz w:val="21"/>
              </w:rPr>
              <w:t>肝功能指标进行性恶化。</w:t>
            </w:r>
          </w:p>
        </w:tc>
      </w:tr>
      <w:tr>
        <w:trPr>
          <w:trHeight w:val="1009" w:hRule="atLeast"/>
        </w:trPr>
        <w:tc>
          <w:tcPr>
            <w:tcW w:w="631" w:type="dxa"/>
          </w:tcPr>
          <w:p>
            <w:pPr>
              <w:pStyle w:val="TableParagraph"/>
              <w:spacing w:before="101"/>
              <w:ind w:left="50"/>
              <w:rPr>
                <w:rFonts w:ascii="Times New Roman"/>
                <w:b/>
                <w:sz w:val="21"/>
              </w:rPr>
            </w:pPr>
            <w:r>
              <w:rPr>
                <w:rFonts w:ascii="Times New Roman"/>
                <w:b/>
                <w:sz w:val="21"/>
              </w:rPr>
              <w:t>8.6</w:t>
            </w:r>
          </w:p>
        </w:tc>
        <w:tc>
          <w:tcPr>
            <w:tcW w:w="1610" w:type="dxa"/>
          </w:tcPr>
          <w:p>
            <w:pPr>
              <w:pStyle w:val="TableParagraph"/>
              <w:spacing w:before="49"/>
              <w:ind w:left="213"/>
              <w:rPr>
                <w:b/>
                <w:sz w:val="21"/>
              </w:rPr>
            </w:pPr>
            <w:r>
              <w:rPr>
                <w:b/>
                <w:w w:val="95"/>
                <w:sz w:val="21"/>
              </w:rPr>
              <w:t>良性脑肿瘤</w:t>
            </w:r>
          </w:p>
        </w:tc>
        <w:tc>
          <w:tcPr>
            <w:tcW w:w="7515" w:type="dxa"/>
          </w:tcPr>
          <w:p>
            <w:pPr>
              <w:pStyle w:val="TableParagraph"/>
              <w:spacing w:line="264" w:lineRule="auto" w:before="49"/>
              <w:ind w:left="133" w:right="147"/>
              <w:jc w:val="both"/>
              <w:rPr>
                <w:b/>
                <w:sz w:val="21"/>
              </w:rPr>
            </w:pPr>
            <w:r>
              <w:rPr>
                <w:sz w:val="21"/>
              </w:rPr>
              <w:t>指脑的良性肿瘤，已经引起颅内压增高，临床表现为视神经乳头水肿、精神症状、癫痫及运动感觉障碍等，并危及生命。须由头颅断层扫描(</w:t>
            </w:r>
            <w:r>
              <w:rPr>
                <w:rFonts w:ascii="Times New Roman" w:eastAsia="Times New Roman"/>
                <w:sz w:val="21"/>
              </w:rPr>
              <w:t>CT</w:t>
            </w:r>
            <w:r>
              <w:rPr>
                <w:sz w:val="21"/>
              </w:rPr>
              <w:t>)、核磁共振</w:t>
            </w:r>
            <w:r>
              <w:rPr>
                <w:w w:val="95"/>
                <w:sz w:val="21"/>
              </w:rPr>
              <w:t>检查(</w:t>
            </w:r>
            <w:r>
              <w:rPr>
                <w:rFonts w:ascii="Times New Roman" w:eastAsia="Times New Roman"/>
                <w:w w:val="95"/>
                <w:sz w:val="21"/>
              </w:rPr>
              <w:t>MRI</w:t>
            </w:r>
            <w:r>
              <w:rPr>
                <w:w w:val="95"/>
                <w:sz w:val="21"/>
              </w:rPr>
              <w:t>)或正电子发射断层扫描(</w:t>
            </w:r>
            <w:r>
              <w:rPr>
                <w:rFonts w:ascii="Times New Roman" w:eastAsia="Times New Roman"/>
                <w:w w:val="95"/>
                <w:sz w:val="21"/>
              </w:rPr>
              <w:t>PET</w:t>
            </w:r>
            <w:r>
              <w:rPr>
                <w:w w:val="95"/>
                <w:sz w:val="21"/>
              </w:rPr>
              <w:t>)等影像学检查证实，</w:t>
            </w:r>
            <w:r>
              <w:rPr>
                <w:b/>
                <w:w w:val="95"/>
                <w:sz w:val="21"/>
              </w:rPr>
              <w:t>并须满足下列至少</w:t>
            </w:r>
          </w:p>
        </w:tc>
      </w:tr>
      <w:tr>
        <w:trPr>
          <w:trHeight w:val="300"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1" w:lineRule="exact"/>
              <w:ind w:left="133"/>
              <w:rPr>
                <w:b/>
                <w:sz w:val="21"/>
              </w:rPr>
            </w:pPr>
            <w:r>
              <w:rPr>
                <w:b/>
                <w:w w:val="95"/>
                <w:sz w:val="21"/>
              </w:rPr>
              <w:t>一项条件：</w:t>
            </w:r>
          </w:p>
        </w:tc>
      </w:tr>
      <w:tr>
        <w:trPr>
          <w:trHeight w:val="681"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78" w:lineRule="exact"/>
              <w:ind w:left="133"/>
              <w:rPr>
                <w:sz w:val="21"/>
              </w:rPr>
            </w:pPr>
            <w:r>
              <w:rPr>
                <w:rFonts w:ascii="Times New Roman" w:eastAsia="Times New Roman"/>
                <w:sz w:val="21"/>
              </w:rPr>
              <w:t>1.</w:t>
            </w:r>
            <w:r>
              <w:rPr>
                <w:sz w:val="21"/>
              </w:rPr>
              <w:t>实际实施了开颅进行的脑肿瘤完全切除或部分切除的手术；</w:t>
            </w:r>
          </w:p>
          <w:p>
            <w:pPr>
              <w:pStyle w:val="TableParagraph"/>
              <w:spacing w:before="21"/>
              <w:ind w:left="133"/>
              <w:rPr>
                <w:sz w:val="21"/>
              </w:rPr>
            </w:pPr>
            <w:r>
              <w:rPr>
                <w:rFonts w:ascii="Times New Roman" w:eastAsia="Times New Roman"/>
                <w:sz w:val="21"/>
              </w:rPr>
              <w:t>2.</w:t>
            </w:r>
            <w:r>
              <w:rPr>
                <w:sz w:val="21"/>
              </w:rPr>
              <w:t>实际实施了对脑肿瘤进行的放射治疗。</w:t>
            </w:r>
          </w:p>
        </w:tc>
      </w:tr>
      <w:tr>
        <w:trPr>
          <w:trHeight w:val="426"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before="22"/>
              <w:ind w:left="133"/>
              <w:rPr>
                <w:sz w:val="21"/>
              </w:rPr>
            </w:pPr>
            <w:r>
              <w:rPr>
                <w:sz w:val="21"/>
                <w:shd w:fill="C0C0C0" w:color="auto" w:val="clear"/>
              </w:rPr>
              <w:t>脑垂体瘤、脑囊肿、脑血管性疾病不在保障范围内。</w:t>
            </w:r>
          </w:p>
        </w:tc>
      </w:tr>
      <w:tr>
        <w:trPr>
          <w:trHeight w:val="1694" w:hRule="atLeast"/>
        </w:trPr>
        <w:tc>
          <w:tcPr>
            <w:tcW w:w="631" w:type="dxa"/>
          </w:tcPr>
          <w:p>
            <w:pPr>
              <w:pStyle w:val="TableParagraph"/>
              <w:spacing w:before="115"/>
              <w:ind w:left="50"/>
              <w:rPr>
                <w:rFonts w:ascii="Times New Roman"/>
                <w:b/>
                <w:sz w:val="21"/>
              </w:rPr>
            </w:pPr>
            <w:r>
              <w:rPr>
                <w:rFonts w:ascii="Times New Roman"/>
                <w:b/>
                <w:sz w:val="21"/>
              </w:rPr>
              <w:t>8.7</w:t>
            </w:r>
          </w:p>
        </w:tc>
        <w:tc>
          <w:tcPr>
            <w:tcW w:w="1610" w:type="dxa"/>
          </w:tcPr>
          <w:p>
            <w:pPr>
              <w:pStyle w:val="TableParagraph"/>
              <w:spacing w:line="273" w:lineRule="auto" w:before="64"/>
              <w:ind w:left="213" w:right="130"/>
              <w:rPr>
                <w:b/>
                <w:sz w:val="21"/>
              </w:rPr>
            </w:pPr>
            <w:r>
              <w:rPr>
                <w:b/>
                <w:sz w:val="21"/>
              </w:rPr>
              <w:t>慢性肝功能衰</w:t>
            </w:r>
            <w:r>
              <w:rPr>
                <w:b/>
                <w:w w:val="95"/>
                <w:sz w:val="21"/>
              </w:rPr>
              <w:t>竭失代偿期</w:t>
            </w:r>
          </w:p>
        </w:tc>
        <w:tc>
          <w:tcPr>
            <w:tcW w:w="7515" w:type="dxa"/>
          </w:tcPr>
          <w:p>
            <w:pPr>
              <w:pStyle w:val="TableParagraph"/>
              <w:spacing w:before="64"/>
              <w:ind w:left="133"/>
              <w:rPr>
                <w:sz w:val="21"/>
              </w:rPr>
            </w:pPr>
            <w:r>
              <w:rPr>
                <w:sz w:val="21"/>
              </w:rPr>
              <w:t>指因慢性肝脏疾病导致肝功能衰竭。须满足下列全部条件：</w:t>
            </w:r>
          </w:p>
          <w:p>
            <w:pPr>
              <w:pStyle w:val="TableParagraph"/>
              <w:spacing w:before="37"/>
              <w:ind w:left="133"/>
              <w:rPr>
                <w:sz w:val="21"/>
              </w:rPr>
            </w:pPr>
            <w:r>
              <w:rPr>
                <w:rFonts w:ascii="Times New Roman" w:eastAsia="Times New Roman"/>
                <w:sz w:val="21"/>
              </w:rPr>
              <w:t>1.</w:t>
            </w:r>
            <w:r>
              <w:rPr>
                <w:sz w:val="21"/>
              </w:rPr>
              <w:t>持续性黄疸；</w:t>
            </w:r>
          </w:p>
          <w:p>
            <w:pPr>
              <w:pStyle w:val="TableParagraph"/>
              <w:spacing w:before="21"/>
              <w:ind w:left="133"/>
              <w:rPr>
                <w:sz w:val="21"/>
              </w:rPr>
            </w:pPr>
            <w:r>
              <w:rPr>
                <w:rFonts w:ascii="Times New Roman" w:eastAsia="Times New Roman"/>
                <w:sz w:val="21"/>
              </w:rPr>
              <w:t>2.</w:t>
            </w:r>
            <w:r>
              <w:rPr>
                <w:sz w:val="21"/>
              </w:rPr>
              <w:t>腹水；</w:t>
            </w:r>
          </w:p>
          <w:p>
            <w:pPr>
              <w:pStyle w:val="TableParagraph"/>
              <w:spacing w:before="21"/>
              <w:ind w:left="133"/>
              <w:rPr>
                <w:sz w:val="21"/>
              </w:rPr>
            </w:pPr>
            <w:r>
              <w:rPr>
                <w:rFonts w:ascii="Times New Roman" w:eastAsia="Times New Roman"/>
                <w:sz w:val="21"/>
              </w:rPr>
              <w:t>3.</w:t>
            </w:r>
            <w:r>
              <w:rPr>
                <w:sz w:val="21"/>
              </w:rPr>
              <w:t>肝性脑病；</w:t>
            </w:r>
          </w:p>
          <w:p>
            <w:pPr>
              <w:pStyle w:val="TableParagraph"/>
              <w:spacing w:before="21"/>
              <w:ind w:left="133"/>
              <w:rPr>
                <w:sz w:val="21"/>
              </w:rPr>
            </w:pPr>
            <w:r>
              <w:rPr>
                <w:rFonts w:ascii="Times New Roman" w:eastAsia="Times New Roman"/>
                <w:sz w:val="21"/>
              </w:rPr>
              <w:t>4.</w:t>
            </w:r>
            <w:r>
              <w:rPr>
                <w:sz w:val="21"/>
              </w:rPr>
              <w:t>充血性脾肿大伴脾功能亢进或食管胃底静脉曲张。</w:t>
            </w:r>
          </w:p>
        </w:tc>
      </w:tr>
      <w:tr>
        <w:trPr>
          <w:trHeight w:val="426"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before="22"/>
              <w:ind w:left="133"/>
              <w:rPr>
                <w:sz w:val="21"/>
              </w:rPr>
            </w:pPr>
            <w:r>
              <w:rPr>
                <w:sz w:val="21"/>
                <w:shd w:fill="C0C0C0" w:color="auto" w:val="clear"/>
              </w:rPr>
              <w:t>因酗酒或药物滥用导致的肝功能衰竭不在保障范围内。</w:t>
            </w:r>
          </w:p>
        </w:tc>
      </w:tr>
      <w:tr>
        <w:trPr>
          <w:trHeight w:val="1648" w:hRule="atLeast"/>
        </w:trPr>
        <w:tc>
          <w:tcPr>
            <w:tcW w:w="631" w:type="dxa"/>
          </w:tcPr>
          <w:p>
            <w:pPr>
              <w:pStyle w:val="TableParagraph"/>
              <w:spacing w:before="115"/>
              <w:ind w:left="50"/>
              <w:rPr>
                <w:rFonts w:ascii="Times New Roman"/>
                <w:b/>
                <w:sz w:val="21"/>
              </w:rPr>
            </w:pPr>
            <w:r>
              <w:rPr>
                <w:rFonts w:ascii="Times New Roman"/>
                <w:b/>
                <w:sz w:val="21"/>
              </w:rPr>
              <w:t>8.8</w:t>
            </w:r>
          </w:p>
        </w:tc>
        <w:tc>
          <w:tcPr>
            <w:tcW w:w="1610" w:type="dxa"/>
          </w:tcPr>
          <w:p>
            <w:pPr>
              <w:pStyle w:val="TableParagraph"/>
              <w:spacing w:line="273" w:lineRule="auto" w:before="64"/>
              <w:ind w:left="213" w:right="130"/>
              <w:rPr>
                <w:b/>
                <w:sz w:val="21"/>
              </w:rPr>
            </w:pPr>
            <w:r>
              <w:rPr>
                <w:b/>
                <w:sz w:val="21"/>
              </w:rPr>
              <w:t>脑炎后遗症或</w:t>
            </w:r>
            <w:r>
              <w:rPr>
                <w:b/>
                <w:w w:val="95"/>
                <w:sz w:val="21"/>
              </w:rPr>
              <w:t>脑膜炎后遗症</w:t>
            </w:r>
          </w:p>
        </w:tc>
        <w:tc>
          <w:tcPr>
            <w:tcW w:w="7515" w:type="dxa"/>
          </w:tcPr>
          <w:p>
            <w:pPr>
              <w:pStyle w:val="TableParagraph"/>
              <w:spacing w:line="273" w:lineRule="auto" w:before="64"/>
              <w:ind w:left="133" w:right="150"/>
              <w:rPr>
                <w:b/>
                <w:sz w:val="21"/>
              </w:rPr>
            </w:pPr>
            <w:r>
              <w:rPr>
                <w:sz w:val="21"/>
              </w:rPr>
              <w:t>指因患脑炎或脑膜炎导致的神经系统永久性的功能障碍。神经系统永久性的功</w:t>
            </w:r>
            <w:r>
              <w:rPr>
                <w:w w:val="95"/>
                <w:sz w:val="21"/>
              </w:rPr>
              <w:t>能障碍，指疾病确诊</w:t>
            </w:r>
            <w:r>
              <w:rPr>
                <w:rFonts w:ascii="Times New Roman" w:eastAsia="Times New Roman"/>
                <w:w w:val="95"/>
                <w:sz w:val="21"/>
              </w:rPr>
              <w:t>180</w:t>
            </w:r>
            <w:r>
              <w:rPr>
                <w:w w:val="95"/>
                <w:sz w:val="21"/>
              </w:rPr>
              <w:t>日后，</w:t>
            </w:r>
            <w:r>
              <w:rPr>
                <w:b/>
                <w:w w:val="95"/>
                <w:sz w:val="21"/>
              </w:rPr>
              <w:t>仍遗留下列一种或一种以上障碍：</w:t>
            </w:r>
          </w:p>
          <w:p>
            <w:pPr>
              <w:pStyle w:val="TableParagraph"/>
              <w:spacing w:line="279" w:lineRule="exact"/>
              <w:ind w:left="133"/>
              <w:rPr>
                <w:sz w:val="21"/>
              </w:rPr>
            </w:pPr>
            <w:r>
              <w:rPr>
                <w:rFonts w:ascii="Times New Roman" w:eastAsia="Times New Roman"/>
                <w:sz w:val="21"/>
              </w:rPr>
              <w:t>1.</w:t>
            </w:r>
            <w:r>
              <w:rPr>
                <w:spacing w:val="-1"/>
                <w:sz w:val="21"/>
              </w:rPr>
              <w:t>一肢或一肢以上</w:t>
            </w:r>
            <w:r>
              <w:rPr>
                <w:b/>
                <w:w w:val="99"/>
                <w:sz w:val="21"/>
              </w:rPr>
              <w:t>肢体机能完全丧失</w:t>
            </w:r>
            <w:r>
              <w:rPr>
                <w:sz w:val="21"/>
              </w:rPr>
              <w:t>（见</w:t>
            </w:r>
            <w:r>
              <w:rPr>
                <w:rFonts w:ascii="Times New Roman" w:eastAsia="Times New Roman"/>
                <w:sz w:val="21"/>
              </w:rPr>
              <w:t>9.</w:t>
            </w:r>
            <w:r>
              <w:rPr>
                <w:rFonts w:ascii="Times New Roman" w:eastAsia="Times New Roman"/>
                <w:spacing w:val="-1"/>
                <w:sz w:val="21"/>
              </w:rPr>
              <w:t>1</w:t>
            </w:r>
            <w:r>
              <w:rPr>
                <w:rFonts w:ascii="Times New Roman" w:eastAsia="Times New Roman"/>
                <w:sz w:val="21"/>
              </w:rPr>
              <w:t>8</w:t>
            </w:r>
            <w:r>
              <w:rPr>
                <w:spacing w:val="-105"/>
                <w:sz w:val="21"/>
              </w:rPr>
              <w:t>）</w:t>
            </w:r>
            <w:r>
              <w:rPr>
                <w:sz w:val="21"/>
              </w:rPr>
              <w:t>；</w:t>
            </w:r>
          </w:p>
          <w:p>
            <w:pPr>
              <w:pStyle w:val="TableParagraph"/>
              <w:spacing w:before="21"/>
              <w:ind w:left="133"/>
              <w:rPr>
                <w:sz w:val="21"/>
              </w:rPr>
            </w:pPr>
            <w:r>
              <w:rPr>
                <w:rFonts w:ascii="Times New Roman" w:eastAsia="Times New Roman"/>
                <w:sz w:val="21"/>
              </w:rPr>
              <w:t>2.</w:t>
            </w:r>
            <w:r>
              <w:rPr>
                <w:b/>
                <w:w w:val="99"/>
                <w:sz w:val="21"/>
              </w:rPr>
              <w:t>语言能力或咀嚼吞咽能力完全丧失</w:t>
            </w:r>
            <w:r>
              <w:rPr>
                <w:sz w:val="21"/>
              </w:rPr>
              <w:t>（见</w:t>
            </w:r>
            <w:r>
              <w:rPr>
                <w:rFonts w:ascii="Times New Roman" w:eastAsia="Times New Roman"/>
                <w:sz w:val="21"/>
              </w:rPr>
              <w:t>9.</w:t>
            </w:r>
            <w:r>
              <w:rPr>
                <w:rFonts w:ascii="Times New Roman" w:eastAsia="Times New Roman"/>
                <w:spacing w:val="-1"/>
                <w:sz w:val="21"/>
              </w:rPr>
              <w:t>1</w:t>
            </w:r>
            <w:r>
              <w:rPr>
                <w:rFonts w:ascii="Times New Roman" w:eastAsia="Times New Roman"/>
                <w:sz w:val="21"/>
              </w:rPr>
              <w:t>9</w:t>
            </w:r>
            <w:r>
              <w:rPr>
                <w:spacing w:val="-105"/>
                <w:sz w:val="21"/>
              </w:rPr>
              <w:t>）</w:t>
            </w:r>
            <w:r>
              <w:rPr>
                <w:sz w:val="21"/>
              </w:rPr>
              <w:t>；</w:t>
            </w:r>
          </w:p>
          <w:p>
            <w:pPr>
              <w:pStyle w:val="TableParagraph"/>
              <w:spacing w:before="21"/>
              <w:ind w:left="133"/>
              <w:rPr>
                <w:sz w:val="21"/>
              </w:rPr>
            </w:pPr>
            <w:r>
              <w:rPr>
                <w:rFonts w:ascii="Times New Roman" w:eastAsia="Times New Roman"/>
                <w:w w:val="95"/>
                <w:sz w:val="21"/>
              </w:rPr>
              <w:t>3.</w:t>
            </w:r>
            <w:r>
              <w:rPr>
                <w:w w:val="95"/>
                <w:sz w:val="21"/>
              </w:rPr>
              <w:t>自主生活能力完全丧失，无法独立完成</w:t>
            </w:r>
            <w:r>
              <w:rPr>
                <w:b/>
                <w:w w:val="95"/>
                <w:sz w:val="21"/>
              </w:rPr>
              <w:t>六项基本日常生活活动</w:t>
            </w:r>
            <w:r>
              <w:rPr>
                <w:w w:val="95"/>
                <w:sz w:val="21"/>
              </w:rPr>
              <w:t>（见</w:t>
            </w:r>
            <w:r>
              <w:rPr>
                <w:rFonts w:ascii="Times New Roman" w:eastAsia="Times New Roman"/>
                <w:w w:val="95"/>
                <w:sz w:val="21"/>
              </w:rPr>
              <w:t>9.20</w:t>
            </w:r>
            <w:r>
              <w:rPr>
                <w:w w:val="95"/>
                <w:sz w:val="21"/>
              </w:rPr>
              <w:t>）中的</w:t>
            </w:r>
          </w:p>
        </w:tc>
      </w:tr>
      <w:tr>
        <w:trPr>
          <w:trHeight w:val="379"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1" w:lineRule="exact"/>
              <w:ind w:left="133"/>
              <w:rPr>
                <w:sz w:val="21"/>
              </w:rPr>
            </w:pPr>
            <w:r>
              <w:rPr>
                <w:sz w:val="21"/>
              </w:rPr>
              <w:t>三项或三项以上。</w:t>
            </w:r>
          </w:p>
        </w:tc>
      </w:tr>
      <w:tr>
        <w:trPr>
          <w:trHeight w:val="1070" w:hRule="atLeast"/>
        </w:trPr>
        <w:tc>
          <w:tcPr>
            <w:tcW w:w="631" w:type="dxa"/>
          </w:tcPr>
          <w:p>
            <w:pPr>
              <w:pStyle w:val="TableParagraph"/>
              <w:spacing w:before="115"/>
              <w:ind w:left="50"/>
              <w:rPr>
                <w:rFonts w:ascii="Times New Roman"/>
                <w:b/>
                <w:sz w:val="21"/>
              </w:rPr>
            </w:pPr>
            <w:r>
              <w:rPr>
                <w:rFonts w:ascii="Times New Roman"/>
                <w:b/>
                <w:sz w:val="21"/>
              </w:rPr>
              <w:t>8.9</w:t>
            </w:r>
          </w:p>
        </w:tc>
        <w:tc>
          <w:tcPr>
            <w:tcW w:w="1610" w:type="dxa"/>
          </w:tcPr>
          <w:p>
            <w:pPr>
              <w:pStyle w:val="TableParagraph"/>
              <w:spacing w:before="64"/>
              <w:ind w:left="213"/>
              <w:rPr>
                <w:b/>
                <w:sz w:val="21"/>
              </w:rPr>
            </w:pPr>
            <w:r>
              <w:rPr>
                <w:b/>
                <w:sz w:val="21"/>
              </w:rPr>
              <w:t>深度昏迷</w:t>
            </w:r>
          </w:p>
        </w:tc>
        <w:tc>
          <w:tcPr>
            <w:tcW w:w="7515" w:type="dxa"/>
          </w:tcPr>
          <w:p>
            <w:pPr>
              <w:pStyle w:val="TableParagraph"/>
              <w:spacing w:line="264" w:lineRule="auto" w:before="64"/>
              <w:ind w:left="133" w:right="151"/>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pacing w:val="-14"/>
                <w:sz w:val="21"/>
              </w:rPr>
              <w:t>结果为 </w:t>
            </w:r>
            <w:r>
              <w:rPr>
                <w:rFonts w:ascii="Times New Roman" w:eastAsia="Times New Roman"/>
                <w:sz w:val="21"/>
              </w:rPr>
              <w:t>5 </w:t>
            </w:r>
            <w:r>
              <w:rPr>
                <w:spacing w:val="-19"/>
                <w:sz w:val="21"/>
              </w:rPr>
              <w:t>分或 </w:t>
            </w:r>
            <w:r>
              <w:rPr>
                <w:rFonts w:ascii="Times New Roman" w:eastAsia="Times New Roman"/>
                <w:sz w:val="21"/>
              </w:rPr>
              <w:t>5 </w:t>
            </w:r>
            <w:r>
              <w:rPr>
                <w:spacing w:val="-14"/>
                <w:sz w:val="21"/>
              </w:rPr>
              <w:t>分以下，且已经持</w:t>
            </w:r>
            <w:r>
              <w:rPr>
                <w:spacing w:val="-17"/>
                <w:sz w:val="21"/>
              </w:rPr>
              <w:t>续使用呼吸机及其它生命维持系统 </w:t>
            </w:r>
            <w:r>
              <w:rPr>
                <w:rFonts w:ascii="Times New Roman" w:eastAsia="Times New Roman"/>
                <w:sz w:val="21"/>
              </w:rPr>
              <w:t>96 </w:t>
            </w:r>
            <w:r>
              <w:rPr>
                <w:sz w:val="21"/>
              </w:rPr>
              <w:t>小时以上。</w:t>
            </w:r>
          </w:p>
        </w:tc>
      </w:tr>
      <w:tr>
        <w:trPr>
          <w:trHeight w:val="424"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before="22"/>
              <w:ind w:left="133"/>
              <w:rPr>
                <w:sz w:val="21"/>
              </w:rPr>
            </w:pPr>
            <w:r>
              <w:rPr>
                <w:sz w:val="21"/>
                <w:shd w:fill="C0C0C0" w:color="auto" w:val="clear"/>
              </w:rPr>
              <w:t>因酗酒或药物滥用导致的深度昏迷不在保障范围内。</w:t>
            </w:r>
          </w:p>
        </w:tc>
      </w:tr>
      <w:tr>
        <w:trPr>
          <w:trHeight w:val="713" w:hRule="atLeast"/>
        </w:trPr>
        <w:tc>
          <w:tcPr>
            <w:tcW w:w="631" w:type="dxa"/>
          </w:tcPr>
          <w:p>
            <w:pPr>
              <w:pStyle w:val="TableParagraph"/>
              <w:spacing w:before="117"/>
              <w:ind w:left="50"/>
              <w:rPr>
                <w:rFonts w:ascii="Times New Roman"/>
                <w:b/>
                <w:sz w:val="21"/>
              </w:rPr>
            </w:pPr>
            <w:r>
              <w:rPr>
                <w:rFonts w:ascii="Times New Roman"/>
                <w:b/>
                <w:sz w:val="21"/>
              </w:rPr>
              <w:t>8.10</w:t>
            </w:r>
          </w:p>
        </w:tc>
        <w:tc>
          <w:tcPr>
            <w:tcW w:w="1610" w:type="dxa"/>
          </w:tcPr>
          <w:p>
            <w:pPr>
              <w:pStyle w:val="TableParagraph"/>
              <w:spacing w:before="65"/>
              <w:ind w:left="213"/>
              <w:rPr>
                <w:b/>
                <w:sz w:val="21"/>
              </w:rPr>
            </w:pPr>
            <w:r>
              <w:rPr>
                <w:b/>
                <w:sz w:val="21"/>
              </w:rPr>
              <w:t>双耳失聪</w:t>
            </w:r>
          </w:p>
        </w:tc>
        <w:tc>
          <w:tcPr>
            <w:tcW w:w="7515" w:type="dxa"/>
          </w:tcPr>
          <w:p>
            <w:pPr>
              <w:pStyle w:val="TableParagraph"/>
              <w:spacing w:before="65"/>
              <w:ind w:left="133"/>
              <w:rPr>
                <w:sz w:val="21"/>
              </w:rPr>
            </w:pPr>
            <w:r>
              <w:rPr>
                <w:sz w:val="21"/>
              </w:rPr>
              <w:t>指因疾病或意外伤害导致双耳听力</w:t>
            </w:r>
            <w:r>
              <w:rPr>
                <w:b/>
                <w:spacing w:val="-2"/>
                <w:sz w:val="21"/>
              </w:rPr>
              <w:t>永久不可逆</w:t>
            </w:r>
            <w:r>
              <w:rPr>
                <w:sz w:val="21"/>
              </w:rPr>
              <w:t>（</w:t>
            </w:r>
            <w:r>
              <w:rPr>
                <w:spacing w:val="-29"/>
                <w:sz w:val="21"/>
              </w:rPr>
              <w:t>见 </w:t>
            </w:r>
            <w:r>
              <w:rPr>
                <w:rFonts w:ascii="Times New Roman" w:eastAsia="Times New Roman"/>
                <w:sz w:val="21"/>
              </w:rPr>
              <w:t>9.21</w:t>
            </w:r>
            <w:r>
              <w:rPr>
                <w:sz w:val="21"/>
              </w:rPr>
              <w:t>）</w:t>
            </w:r>
            <w:r>
              <w:rPr>
                <w:spacing w:val="-12"/>
                <w:sz w:val="21"/>
              </w:rPr>
              <w:t>性丧失，在 </w:t>
            </w:r>
            <w:r>
              <w:rPr>
                <w:rFonts w:ascii="Times New Roman" w:eastAsia="Times New Roman"/>
                <w:sz w:val="21"/>
              </w:rPr>
              <w:t>500 </w:t>
            </w:r>
            <w:r>
              <w:rPr>
                <w:sz w:val="21"/>
              </w:rPr>
              <w:t>赫兹、</w:t>
            </w:r>
          </w:p>
          <w:p>
            <w:pPr>
              <w:pStyle w:val="TableParagraph"/>
              <w:spacing w:before="21"/>
              <w:ind w:left="133"/>
              <w:rPr>
                <w:sz w:val="21"/>
              </w:rPr>
            </w:pPr>
            <w:r>
              <w:rPr>
                <w:rFonts w:ascii="Times New Roman" w:eastAsia="Times New Roman"/>
                <w:sz w:val="21"/>
              </w:rPr>
              <w:t>1000 </w:t>
            </w:r>
            <w:r>
              <w:rPr>
                <w:spacing w:val="-14"/>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6"/>
                <w:sz w:val="21"/>
              </w:rPr>
              <w:t>分贝，且经纯音听力测试、</w:t>
            </w:r>
          </w:p>
        </w:tc>
      </w:tr>
      <w:tr>
        <w:trPr>
          <w:trHeight w:val="347"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1" w:lineRule="exact"/>
              <w:ind w:left="133"/>
              <w:rPr>
                <w:sz w:val="21"/>
              </w:rPr>
            </w:pPr>
            <w:r>
              <w:rPr>
                <w:sz w:val="21"/>
              </w:rPr>
              <w:t>声导抗检测或听觉诱发电位检测等证实。</w:t>
            </w:r>
          </w:p>
        </w:tc>
      </w:tr>
      <w:tr>
        <w:trPr>
          <w:trHeight w:val="445"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before="34"/>
              <w:ind w:left="133"/>
              <w:rPr>
                <w:b/>
                <w:sz w:val="21"/>
              </w:rPr>
            </w:pPr>
            <w:r>
              <w:rPr>
                <w:b/>
                <w:w w:val="95"/>
                <w:sz w:val="21"/>
              </w:rPr>
              <w:t>被保险人申请理赔时年龄必须在</w:t>
            </w:r>
            <w:r>
              <w:rPr>
                <w:rFonts w:ascii="Times New Roman" w:eastAsia="Times New Roman"/>
                <w:b/>
                <w:w w:val="95"/>
                <w:sz w:val="21"/>
              </w:rPr>
              <w:t>3</w:t>
            </w:r>
            <w:r>
              <w:rPr>
                <w:b/>
                <w:w w:val="95"/>
                <w:sz w:val="21"/>
              </w:rPr>
              <w:t>周岁以上。</w:t>
            </w:r>
          </w:p>
        </w:tc>
      </w:tr>
      <w:tr>
        <w:trPr>
          <w:trHeight w:val="692" w:hRule="atLeast"/>
        </w:trPr>
        <w:tc>
          <w:tcPr>
            <w:tcW w:w="631" w:type="dxa"/>
          </w:tcPr>
          <w:p>
            <w:pPr>
              <w:pStyle w:val="TableParagraph"/>
              <w:spacing w:before="107"/>
              <w:ind w:left="50"/>
              <w:rPr>
                <w:rFonts w:ascii="Times New Roman"/>
                <w:b/>
                <w:sz w:val="21"/>
              </w:rPr>
            </w:pPr>
            <w:r>
              <w:rPr>
                <w:rFonts w:ascii="Times New Roman"/>
                <w:b/>
                <w:sz w:val="21"/>
              </w:rPr>
              <w:t>8.11</w:t>
            </w:r>
          </w:p>
        </w:tc>
        <w:tc>
          <w:tcPr>
            <w:tcW w:w="1610" w:type="dxa"/>
          </w:tcPr>
          <w:p>
            <w:pPr>
              <w:pStyle w:val="TableParagraph"/>
              <w:spacing w:before="56"/>
              <w:ind w:left="213"/>
              <w:rPr>
                <w:b/>
                <w:sz w:val="21"/>
              </w:rPr>
            </w:pPr>
            <w:r>
              <w:rPr>
                <w:b/>
                <w:sz w:val="21"/>
              </w:rPr>
              <w:t>双目失明</w:t>
            </w:r>
          </w:p>
        </w:tc>
        <w:tc>
          <w:tcPr>
            <w:tcW w:w="7515" w:type="dxa"/>
          </w:tcPr>
          <w:p>
            <w:pPr>
              <w:pStyle w:val="TableParagraph"/>
              <w:spacing w:line="273" w:lineRule="auto" w:before="56"/>
              <w:ind w:left="133" w:right="151"/>
              <w:rPr>
                <w:sz w:val="21"/>
              </w:rPr>
            </w:pPr>
            <w:r>
              <w:rPr>
                <w:sz w:val="21"/>
              </w:rPr>
              <w:t>指因疾病或意外伤害导致双眼视力永久不可逆性丧失，双眼中较好眼须满足下列至少一项条件：</w:t>
            </w:r>
          </w:p>
        </w:tc>
      </w:tr>
      <w:tr>
        <w:trPr>
          <w:trHeight w:val="990"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78" w:lineRule="exact"/>
              <w:ind w:left="133"/>
              <w:rPr>
                <w:sz w:val="21"/>
              </w:rPr>
            </w:pPr>
            <w:r>
              <w:rPr>
                <w:rFonts w:ascii="Times New Roman" w:eastAsia="Times New Roman"/>
                <w:sz w:val="21"/>
              </w:rPr>
              <w:t>1.</w:t>
            </w:r>
            <w:r>
              <w:rPr>
                <w:sz w:val="21"/>
              </w:rPr>
              <w:t>眼球缺失或摘除；</w:t>
            </w:r>
          </w:p>
          <w:p>
            <w:pPr>
              <w:pStyle w:val="TableParagraph"/>
              <w:spacing w:before="21"/>
              <w:ind w:left="133"/>
              <w:rPr>
                <w:sz w:val="21"/>
              </w:rPr>
            </w:pPr>
            <w:r>
              <w:rPr>
                <w:rFonts w:ascii="Times New Roman" w:eastAsia="Times New Roman"/>
                <w:sz w:val="21"/>
              </w:rPr>
              <w:t>2.</w:t>
            </w:r>
            <w:r>
              <w:rPr>
                <w:spacing w:val="-1"/>
                <w:sz w:val="21"/>
              </w:rPr>
              <w:t>矫正视力低于</w:t>
            </w:r>
            <w:r>
              <w:rPr>
                <w:rFonts w:ascii="Times New Roman" w:eastAsia="Times New Roman"/>
                <w:sz w:val="21"/>
              </w:rPr>
              <w:t>0.</w:t>
            </w:r>
            <w:r>
              <w:rPr>
                <w:rFonts w:ascii="Times New Roman" w:eastAsia="Times New Roman"/>
                <w:spacing w:val="-1"/>
                <w:sz w:val="21"/>
              </w:rPr>
              <w:t>0</w:t>
            </w:r>
            <w:r>
              <w:rPr>
                <w:rFonts w:ascii="Times New Roman" w:eastAsia="Times New Roman"/>
                <w:spacing w:val="-8"/>
                <w:sz w:val="21"/>
              </w:rPr>
              <w:t>2</w:t>
            </w:r>
            <w:r>
              <w:rPr>
                <w:sz w:val="21"/>
              </w:rPr>
              <w:t>（</w:t>
            </w:r>
            <w:r>
              <w:rPr>
                <w:spacing w:val="-2"/>
                <w:sz w:val="21"/>
              </w:rPr>
              <w:t>采用国际标准视力表，如果使用其它视力表应进行换算</w:t>
            </w:r>
            <w:r>
              <w:rPr>
                <w:spacing w:val="-105"/>
                <w:sz w:val="21"/>
              </w:rPr>
              <w:t>）</w:t>
            </w:r>
            <w:r>
              <w:rPr>
                <w:sz w:val="21"/>
              </w:rPr>
              <w:t>；</w:t>
            </w:r>
          </w:p>
          <w:p>
            <w:pPr>
              <w:pStyle w:val="TableParagraph"/>
              <w:spacing w:before="21"/>
              <w:ind w:left="133"/>
              <w:rPr>
                <w:sz w:val="21"/>
              </w:rPr>
            </w:pP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437"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before="25"/>
              <w:ind w:left="133"/>
              <w:rPr>
                <w:b/>
                <w:sz w:val="21"/>
              </w:rPr>
            </w:pPr>
            <w:r>
              <w:rPr>
                <w:b/>
                <w:w w:val="95"/>
                <w:sz w:val="21"/>
              </w:rPr>
              <w:t>被保险人申请理赔时年龄必须在</w:t>
            </w:r>
            <w:r>
              <w:rPr>
                <w:rFonts w:ascii="Times New Roman" w:eastAsia="Times New Roman"/>
                <w:b/>
                <w:w w:val="95"/>
                <w:sz w:val="21"/>
              </w:rPr>
              <w:t>3</w:t>
            </w:r>
            <w:r>
              <w:rPr>
                <w:b/>
                <w:w w:val="95"/>
                <w:sz w:val="21"/>
              </w:rPr>
              <w:t>周岁以上。</w:t>
            </w:r>
          </w:p>
        </w:tc>
      </w:tr>
      <w:tr>
        <w:trPr>
          <w:trHeight w:val="704" w:hRule="atLeast"/>
        </w:trPr>
        <w:tc>
          <w:tcPr>
            <w:tcW w:w="631" w:type="dxa"/>
          </w:tcPr>
          <w:p>
            <w:pPr>
              <w:pStyle w:val="TableParagraph"/>
              <w:spacing w:before="107"/>
              <w:ind w:left="50"/>
              <w:rPr>
                <w:rFonts w:ascii="Times New Roman"/>
                <w:b/>
                <w:sz w:val="21"/>
              </w:rPr>
            </w:pPr>
            <w:r>
              <w:rPr>
                <w:rFonts w:ascii="Times New Roman"/>
                <w:b/>
                <w:sz w:val="21"/>
              </w:rPr>
              <w:t>8.12</w:t>
            </w:r>
          </w:p>
        </w:tc>
        <w:tc>
          <w:tcPr>
            <w:tcW w:w="1610" w:type="dxa"/>
          </w:tcPr>
          <w:p>
            <w:pPr>
              <w:pStyle w:val="TableParagraph"/>
              <w:spacing w:before="56"/>
              <w:ind w:left="213"/>
              <w:rPr>
                <w:b/>
                <w:sz w:val="21"/>
              </w:rPr>
            </w:pPr>
            <w:r>
              <w:rPr>
                <w:b/>
                <w:sz w:val="21"/>
              </w:rPr>
              <w:t>瘫痪</w:t>
            </w:r>
          </w:p>
        </w:tc>
        <w:tc>
          <w:tcPr>
            <w:tcW w:w="7515" w:type="dxa"/>
          </w:tcPr>
          <w:p>
            <w:pPr>
              <w:pStyle w:val="TableParagraph"/>
              <w:spacing w:line="320" w:lineRule="atLeast" w:before="11"/>
              <w:ind w:left="133" w:right="151"/>
              <w:rPr>
                <w:sz w:val="21"/>
              </w:rPr>
            </w:pPr>
            <w:r>
              <w:rPr>
                <w:sz w:val="21"/>
              </w:rPr>
              <w:t>指因疾病或意外伤害导致两肢或两肢以上肢体机能永久完全丧失。肢体机能永久完全丧失，指疾病确诊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w:t>
            </w:r>
          </w:p>
        </w:tc>
      </w:tr>
      <w:tr>
        <w:trPr>
          <w:trHeight w:val="253" w:hRule="atLeast"/>
        </w:trPr>
        <w:tc>
          <w:tcPr>
            <w:tcW w:w="631" w:type="dxa"/>
          </w:tcPr>
          <w:p>
            <w:pPr>
              <w:pStyle w:val="TableParagraph"/>
              <w:rPr>
                <w:rFonts w:ascii="Times New Roman"/>
                <w:sz w:val="18"/>
              </w:rPr>
            </w:pPr>
          </w:p>
        </w:tc>
        <w:tc>
          <w:tcPr>
            <w:tcW w:w="1610" w:type="dxa"/>
          </w:tcPr>
          <w:p>
            <w:pPr>
              <w:pStyle w:val="TableParagraph"/>
              <w:rPr>
                <w:rFonts w:ascii="Times New Roman"/>
                <w:sz w:val="18"/>
              </w:rPr>
            </w:pPr>
          </w:p>
        </w:tc>
        <w:tc>
          <w:tcPr>
            <w:tcW w:w="7515" w:type="dxa"/>
          </w:tcPr>
          <w:p>
            <w:pPr>
              <w:pStyle w:val="TableParagraph"/>
              <w:spacing w:line="233" w:lineRule="exact"/>
              <w:ind w:left="133"/>
              <w:rPr>
                <w:sz w:val="21"/>
              </w:rPr>
            </w:pPr>
            <w:r>
              <w:rPr>
                <w:sz w:val="21"/>
              </w:rPr>
              <w:t>两大关节仍然完全僵硬，或不能随意识活动。</w:t>
            </w:r>
          </w:p>
        </w:tc>
      </w:tr>
    </w:tbl>
    <w:p>
      <w:pPr>
        <w:spacing w:after="0" w:line="233" w:lineRule="exact"/>
        <w:rPr>
          <w:sz w:val="21"/>
        </w:rPr>
        <w:sectPr>
          <w:pgSz w:w="11910" w:h="16840"/>
          <w:pgMar w:header="0" w:footer="988" w:top="1160" w:bottom="1180" w:left="98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610"/>
        <w:gridCol w:w="7515"/>
      </w:tblGrid>
      <w:tr>
        <w:trPr>
          <w:trHeight w:val="350" w:hRule="atLeast"/>
        </w:trPr>
        <w:tc>
          <w:tcPr>
            <w:tcW w:w="631" w:type="dxa"/>
          </w:tcPr>
          <w:p>
            <w:pPr>
              <w:pStyle w:val="TableParagraph"/>
              <w:spacing w:line="233" w:lineRule="exact"/>
              <w:ind w:left="50"/>
              <w:rPr>
                <w:rFonts w:ascii="Times New Roman"/>
                <w:b/>
                <w:sz w:val="21"/>
              </w:rPr>
            </w:pPr>
            <w:r>
              <w:rPr>
                <w:rFonts w:ascii="Times New Roman"/>
                <w:b/>
                <w:sz w:val="21"/>
              </w:rPr>
              <w:t>8.13</w:t>
            </w:r>
          </w:p>
        </w:tc>
        <w:tc>
          <w:tcPr>
            <w:tcW w:w="1610" w:type="dxa"/>
          </w:tcPr>
          <w:p>
            <w:pPr>
              <w:pStyle w:val="TableParagraph"/>
              <w:spacing w:line="214" w:lineRule="exact"/>
              <w:ind w:left="213"/>
              <w:rPr>
                <w:b/>
                <w:sz w:val="21"/>
              </w:rPr>
            </w:pPr>
            <w:r>
              <w:rPr>
                <w:b/>
                <w:w w:val="95"/>
                <w:sz w:val="21"/>
              </w:rPr>
              <w:t>心脏瓣膜手术</w:t>
            </w:r>
          </w:p>
        </w:tc>
        <w:tc>
          <w:tcPr>
            <w:tcW w:w="7515" w:type="dxa"/>
          </w:tcPr>
          <w:p>
            <w:pPr>
              <w:pStyle w:val="TableParagraph"/>
              <w:spacing w:line="214" w:lineRule="exact"/>
              <w:ind w:left="133"/>
              <w:rPr>
                <w:sz w:val="21"/>
              </w:rPr>
            </w:pPr>
            <w:r>
              <w:rPr>
                <w:sz w:val="21"/>
              </w:rPr>
              <w:t>指为治疗心脏瓣膜疾病，实际实施了开胸进行的心脏瓣膜置换或修复的手术。</w:t>
            </w:r>
          </w:p>
        </w:tc>
      </w:tr>
      <w:tr>
        <w:trPr>
          <w:trHeight w:val="1014" w:hRule="atLeast"/>
        </w:trPr>
        <w:tc>
          <w:tcPr>
            <w:tcW w:w="631" w:type="dxa"/>
          </w:tcPr>
          <w:p>
            <w:pPr>
              <w:pStyle w:val="TableParagraph"/>
              <w:spacing w:before="109"/>
              <w:ind w:left="50"/>
              <w:rPr>
                <w:rFonts w:ascii="Times New Roman"/>
                <w:b/>
                <w:sz w:val="21"/>
              </w:rPr>
            </w:pPr>
            <w:r>
              <w:rPr>
                <w:rFonts w:ascii="Times New Roman"/>
                <w:b/>
                <w:sz w:val="21"/>
              </w:rPr>
              <w:t>8.14</w:t>
            </w:r>
          </w:p>
        </w:tc>
        <w:tc>
          <w:tcPr>
            <w:tcW w:w="1610" w:type="dxa"/>
          </w:tcPr>
          <w:p>
            <w:pPr>
              <w:pStyle w:val="TableParagraph"/>
              <w:spacing w:before="57"/>
              <w:ind w:left="213"/>
              <w:rPr>
                <w:b/>
                <w:sz w:val="21"/>
              </w:rPr>
            </w:pPr>
            <w:r>
              <w:rPr>
                <w:b/>
                <w:w w:val="95"/>
                <w:sz w:val="21"/>
              </w:rPr>
              <w:t>严重脑损伤</w:t>
            </w:r>
          </w:p>
        </w:tc>
        <w:tc>
          <w:tcPr>
            <w:tcW w:w="7515" w:type="dxa"/>
          </w:tcPr>
          <w:p>
            <w:pPr>
              <w:pStyle w:val="TableParagraph"/>
              <w:spacing w:line="273" w:lineRule="auto" w:before="57"/>
              <w:ind w:left="133" w:right="141"/>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79" w:lineRule="exact"/>
              <w:ind w:left="133"/>
              <w:rPr>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b/>
                <w:sz w:val="21"/>
              </w:rPr>
              <w:t>仍</w:t>
            </w:r>
          </w:p>
        </w:tc>
      </w:tr>
      <w:tr>
        <w:trPr>
          <w:trHeight w:val="300"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3" w:lineRule="exact"/>
              <w:ind w:left="133"/>
              <w:rPr>
                <w:b/>
                <w:sz w:val="21"/>
              </w:rPr>
            </w:pPr>
            <w:r>
              <w:rPr>
                <w:b/>
                <w:w w:val="95"/>
                <w:sz w:val="21"/>
              </w:rPr>
              <w:t>遗留下列一种或一种以上障碍：</w:t>
            </w:r>
          </w:p>
        </w:tc>
      </w:tr>
      <w:tr>
        <w:trPr>
          <w:trHeight w:val="947"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80" w:lineRule="exact"/>
              <w:ind w:left="133"/>
              <w:rPr>
                <w:sz w:val="21"/>
              </w:rPr>
            </w:pPr>
            <w:r>
              <w:rPr>
                <w:rFonts w:ascii="Times New Roman" w:eastAsia="Times New Roman"/>
                <w:sz w:val="21"/>
              </w:rPr>
              <w:t>1.</w:t>
            </w:r>
            <w:r>
              <w:rPr>
                <w:sz w:val="21"/>
              </w:rPr>
              <w:t>一肢或一肢以上肢体机能完全丧失；</w:t>
            </w:r>
          </w:p>
          <w:p>
            <w:pPr>
              <w:pStyle w:val="TableParagraph"/>
              <w:spacing w:before="21"/>
              <w:ind w:left="133"/>
              <w:rPr>
                <w:sz w:val="21"/>
              </w:rPr>
            </w:pPr>
            <w:r>
              <w:rPr>
                <w:rFonts w:ascii="Times New Roman" w:eastAsia="Times New Roman"/>
                <w:sz w:val="21"/>
              </w:rPr>
              <w:t>2.</w:t>
            </w:r>
            <w:r>
              <w:rPr>
                <w:sz w:val="21"/>
              </w:rPr>
              <w:t>语言能力或咀嚼吞咽能力完全丧失；</w:t>
            </w:r>
          </w:p>
          <w:p>
            <w:pPr>
              <w:pStyle w:val="TableParagraph"/>
              <w:spacing w:before="21"/>
              <w:ind w:left="133"/>
              <w:rPr>
                <w:sz w:val="21"/>
              </w:rPr>
            </w:pPr>
            <w:r>
              <w:rPr>
                <w:rFonts w:ascii="Times New Roman" w:eastAsia="Times New Roman"/>
                <w:sz w:val="21"/>
              </w:rPr>
              <w:t>3.</w:t>
            </w:r>
            <w:r>
              <w:rPr>
                <w:sz w:val="21"/>
              </w:rPr>
              <w:t>自主生活能力完全丧失，无法独立完成六项基本日常生活活动中的三项或三项</w:t>
            </w:r>
          </w:p>
        </w:tc>
      </w:tr>
      <w:tr>
        <w:trPr>
          <w:trHeight w:val="378"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3" w:lineRule="exact"/>
              <w:ind w:left="133"/>
              <w:rPr>
                <w:sz w:val="21"/>
              </w:rPr>
            </w:pPr>
            <w:r>
              <w:rPr>
                <w:sz w:val="21"/>
              </w:rPr>
              <w:t>以上。</w:t>
            </w:r>
          </w:p>
        </w:tc>
      </w:tr>
      <w:tr>
        <w:trPr>
          <w:trHeight w:val="781" w:hRule="atLeast"/>
        </w:trPr>
        <w:tc>
          <w:tcPr>
            <w:tcW w:w="631" w:type="dxa"/>
          </w:tcPr>
          <w:p>
            <w:pPr>
              <w:pStyle w:val="TableParagraph"/>
              <w:spacing w:before="119"/>
              <w:ind w:left="50"/>
              <w:rPr>
                <w:rFonts w:ascii="Times New Roman"/>
                <w:b/>
                <w:sz w:val="21"/>
              </w:rPr>
            </w:pPr>
            <w:r>
              <w:rPr>
                <w:rFonts w:ascii="Times New Roman"/>
                <w:b/>
                <w:sz w:val="21"/>
              </w:rPr>
              <w:t>8.15</w:t>
            </w:r>
          </w:p>
        </w:tc>
        <w:tc>
          <w:tcPr>
            <w:tcW w:w="1610" w:type="dxa"/>
          </w:tcPr>
          <w:p>
            <w:pPr>
              <w:pStyle w:val="TableParagraph"/>
              <w:spacing w:before="67"/>
              <w:ind w:left="213"/>
              <w:rPr>
                <w:b/>
                <w:sz w:val="21"/>
              </w:rPr>
            </w:pPr>
            <w:r>
              <w:rPr>
                <w:b/>
                <w:w w:val="95"/>
                <w:sz w:val="21"/>
              </w:rPr>
              <w:t>严重Ⅲ度烧伤</w:t>
            </w:r>
          </w:p>
        </w:tc>
        <w:tc>
          <w:tcPr>
            <w:tcW w:w="7515" w:type="dxa"/>
          </w:tcPr>
          <w:p>
            <w:pPr>
              <w:pStyle w:val="TableParagraph"/>
              <w:spacing w:line="256" w:lineRule="auto" w:before="67"/>
              <w:ind w:left="133" w:right="86"/>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700" w:hRule="atLeast"/>
        </w:trPr>
        <w:tc>
          <w:tcPr>
            <w:tcW w:w="631" w:type="dxa"/>
          </w:tcPr>
          <w:p>
            <w:pPr>
              <w:pStyle w:val="TableParagraph"/>
              <w:spacing w:before="118"/>
              <w:ind w:left="50"/>
              <w:rPr>
                <w:rFonts w:ascii="Times New Roman"/>
                <w:b/>
                <w:sz w:val="21"/>
              </w:rPr>
            </w:pPr>
            <w:r>
              <w:rPr>
                <w:rFonts w:ascii="Times New Roman"/>
                <w:b/>
                <w:sz w:val="21"/>
              </w:rPr>
              <w:t>8.16</w:t>
            </w:r>
          </w:p>
        </w:tc>
        <w:tc>
          <w:tcPr>
            <w:tcW w:w="1610" w:type="dxa"/>
          </w:tcPr>
          <w:p>
            <w:pPr>
              <w:pStyle w:val="TableParagraph"/>
              <w:spacing w:line="310" w:lineRule="atLeast" w:before="31"/>
              <w:ind w:left="213" w:right="130"/>
              <w:rPr>
                <w:b/>
                <w:sz w:val="21"/>
              </w:rPr>
            </w:pPr>
            <w:r>
              <w:rPr>
                <w:b/>
                <w:sz w:val="21"/>
              </w:rPr>
              <w:t>严重原发性肺动脉高压</w:t>
            </w:r>
          </w:p>
        </w:tc>
        <w:tc>
          <w:tcPr>
            <w:tcW w:w="7515" w:type="dxa"/>
          </w:tcPr>
          <w:p>
            <w:pPr>
              <w:pStyle w:val="TableParagraph"/>
              <w:spacing w:line="310" w:lineRule="atLeast" w:before="31"/>
              <w:ind w:left="133" w:right="150"/>
              <w:rPr>
                <w:sz w:val="21"/>
              </w:rPr>
            </w:pPr>
            <w:r>
              <w:rPr>
                <w:sz w:val="21"/>
              </w:rPr>
              <w:t>指不明原因的肺动脉压力持续性增高，进行性发展而导致的慢性疾病，已经造成永久不可逆性的体力活动能力受限，达到美国纽约心脏病学会心功能状态分</w:t>
            </w:r>
          </w:p>
        </w:tc>
      </w:tr>
      <w:tr>
        <w:trPr>
          <w:trHeight w:val="399"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80" w:lineRule="exact"/>
              <w:ind w:left="133"/>
              <w:rPr>
                <w:sz w:val="21"/>
              </w:rPr>
            </w:pPr>
            <w:r>
              <w:rPr>
                <w:sz w:val="21"/>
              </w:rPr>
              <w:t>级</w:t>
            </w:r>
            <w:r>
              <w:rPr>
                <w:rFonts w:ascii="Times New Roman" w:eastAsia="Times New Roman"/>
                <w:sz w:val="21"/>
              </w:rPr>
              <w:t>IV</w:t>
            </w:r>
            <w:r>
              <w:rPr>
                <w:sz w:val="21"/>
              </w:rPr>
              <w:t>级，且静息状态下肺动脉平均压超过</w:t>
            </w:r>
            <w:r>
              <w:rPr>
                <w:rFonts w:ascii="Times New Roman" w:eastAsia="Times New Roman"/>
                <w:sz w:val="21"/>
              </w:rPr>
              <w:t>30mmHg</w:t>
            </w:r>
            <w:r>
              <w:rPr>
                <w:sz w:val="21"/>
              </w:rPr>
              <w:t>。</w:t>
            </w:r>
          </w:p>
        </w:tc>
      </w:tr>
      <w:tr>
        <w:trPr>
          <w:trHeight w:val="696" w:hRule="atLeast"/>
        </w:trPr>
        <w:tc>
          <w:tcPr>
            <w:tcW w:w="631" w:type="dxa"/>
          </w:tcPr>
          <w:p>
            <w:pPr>
              <w:pStyle w:val="TableParagraph"/>
              <w:spacing w:before="110"/>
              <w:ind w:left="50"/>
              <w:rPr>
                <w:rFonts w:ascii="Times New Roman"/>
                <w:b/>
                <w:sz w:val="21"/>
              </w:rPr>
            </w:pPr>
            <w:r>
              <w:rPr>
                <w:rFonts w:ascii="Times New Roman"/>
                <w:b/>
                <w:sz w:val="21"/>
              </w:rPr>
              <w:t>8.17</w:t>
            </w:r>
          </w:p>
        </w:tc>
        <w:tc>
          <w:tcPr>
            <w:tcW w:w="1610" w:type="dxa"/>
          </w:tcPr>
          <w:p>
            <w:pPr>
              <w:pStyle w:val="TableParagraph"/>
              <w:spacing w:line="273" w:lineRule="auto" w:before="58"/>
              <w:ind w:left="213" w:right="130"/>
              <w:rPr>
                <w:b/>
                <w:sz w:val="21"/>
              </w:rPr>
            </w:pPr>
            <w:r>
              <w:rPr>
                <w:b/>
                <w:sz w:val="21"/>
              </w:rPr>
              <w:t>严重运动神经元病</w:t>
            </w:r>
          </w:p>
        </w:tc>
        <w:tc>
          <w:tcPr>
            <w:tcW w:w="7515" w:type="dxa"/>
          </w:tcPr>
          <w:p>
            <w:pPr>
              <w:pStyle w:val="TableParagraph"/>
              <w:spacing w:line="273" w:lineRule="auto" w:before="58"/>
              <w:ind w:left="133" w:right="150"/>
              <w:rPr>
                <w:sz w:val="21"/>
              </w:rPr>
            </w:pPr>
            <w:r>
              <w:rPr>
                <w:sz w:val="21"/>
              </w:rPr>
              <w:t>是一组中枢神经系统运动神经元的进行性变性疾病，包括进行性脊肌萎缩症、进行性延髓麻痹症、原发性侧索硬化症、肌萎缩性侧索硬化症。须满足自主生</w:t>
            </w:r>
          </w:p>
        </w:tc>
      </w:tr>
      <w:tr>
        <w:trPr>
          <w:trHeight w:val="311"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61" w:lineRule="exact"/>
              <w:ind w:left="133"/>
              <w:rPr>
                <w:sz w:val="21"/>
              </w:rPr>
            </w:pPr>
            <w:r>
              <w:rPr>
                <w:sz w:val="21"/>
              </w:rPr>
              <w:t>活能力完全丧失，无法独立完成六项基本日常生活活动中的三项或三项以上的</w:t>
            </w:r>
          </w:p>
        </w:tc>
      </w:tr>
      <w:tr>
        <w:trPr>
          <w:trHeight w:val="386"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61" w:lineRule="exact"/>
              <w:ind w:left="133"/>
              <w:rPr>
                <w:sz w:val="21"/>
              </w:rPr>
            </w:pPr>
            <w:r>
              <w:rPr>
                <w:sz w:val="21"/>
              </w:rPr>
              <w:t>条件。</w:t>
            </w:r>
          </w:p>
        </w:tc>
      </w:tr>
      <w:tr>
        <w:trPr>
          <w:trHeight w:val="751" w:hRule="atLeast"/>
        </w:trPr>
        <w:tc>
          <w:tcPr>
            <w:tcW w:w="631" w:type="dxa"/>
          </w:tcPr>
          <w:p>
            <w:pPr>
              <w:pStyle w:val="TableParagraph"/>
              <w:spacing w:before="119"/>
              <w:ind w:left="50"/>
              <w:rPr>
                <w:rFonts w:ascii="Times New Roman"/>
                <w:b/>
                <w:sz w:val="21"/>
              </w:rPr>
            </w:pPr>
            <w:r>
              <w:rPr>
                <w:rFonts w:ascii="Times New Roman"/>
                <w:b/>
                <w:sz w:val="21"/>
              </w:rPr>
              <w:t>8.18</w:t>
            </w:r>
          </w:p>
        </w:tc>
        <w:tc>
          <w:tcPr>
            <w:tcW w:w="1610" w:type="dxa"/>
          </w:tcPr>
          <w:p>
            <w:pPr>
              <w:pStyle w:val="TableParagraph"/>
              <w:spacing w:before="67"/>
              <w:ind w:left="213"/>
              <w:rPr>
                <w:b/>
                <w:sz w:val="21"/>
              </w:rPr>
            </w:pPr>
            <w:r>
              <w:rPr>
                <w:b/>
                <w:w w:val="95"/>
                <w:sz w:val="21"/>
              </w:rPr>
              <w:t>语言能力丧失</w:t>
            </w:r>
          </w:p>
        </w:tc>
        <w:tc>
          <w:tcPr>
            <w:tcW w:w="7515" w:type="dxa"/>
          </w:tcPr>
          <w:p>
            <w:pPr>
              <w:pStyle w:val="TableParagraph"/>
              <w:spacing w:line="256" w:lineRule="auto" w:before="67"/>
              <w:ind w:left="133" w:right="151"/>
              <w:rPr>
                <w:sz w:val="21"/>
              </w:rPr>
            </w:pPr>
            <w:r>
              <w:rPr>
                <w:spacing w:val="-3"/>
                <w:sz w:val="21"/>
              </w:rPr>
              <w:t>指因疾病或意外伤害导致完全丧失语言能力，经过积极治疗至少 </w:t>
            </w:r>
            <w:r>
              <w:rPr>
                <w:rFonts w:ascii="Times New Roman" w:eastAsia="Times New Roman"/>
                <w:sz w:val="21"/>
              </w:rPr>
              <w:t>12 </w:t>
            </w:r>
            <w:r>
              <w:rPr>
                <w:spacing w:val="-5"/>
                <w:sz w:val="21"/>
              </w:rPr>
              <w:t>个月</w:t>
            </w:r>
            <w:r>
              <w:rPr>
                <w:sz w:val="21"/>
              </w:rPr>
              <w:t>（声带完全切除不受此时间限制</w:t>
            </w:r>
            <w:r>
              <w:rPr>
                <w:spacing w:val="-105"/>
                <w:sz w:val="21"/>
              </w:rPr>
              <w:t>）</w:t>
            </w:r>
            <w:r>
              <w:rPr>
                <w:spacing w:val="-1"/>
                <w:sz w:val="21"/>
              </w:rPr>
              <w:t>，仍无法通过现有医疗手段恢复。</w:t>
            </w:r>
          </w:p>
        </w:tc>
      </w:tr>
      <w:tr>
        <w:trPr>
          <w:trHeight w:val="401"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before="32"/>
              <w:ind w:left="133"/>
              <w:rPr>
                <w:sz w:val="21"/>
              </w:rPr>
            </w:pPr>
            <w:r>
              <w:rPr>
                <w:sz w:val="21"/>
                <w:shd w:fill="C0C0C0" w:color="auto" w:val="clear"/>
              </w:rPr>
              <w:t>精神心理因素所致的语言能力丧失不在保障范围内。</w:t>
            </w:r>
          </w:p>
        </w:tc>
      </w:tr>
      <w:tr>
        <w:trPr>
          <w:trHeight w:val="445"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before="36"/>
              <w:ind w:left="133"/>
              <w:rPr>
                <w:b/>
                <w:sz w:val="21"/>
              </w:rPr>
            </w:pPr>
            <w:r>
              <w:rPr>
                <w:b/>
                <w:w w:val="95"/>
                <w:sz w:val="21"/>
              </w:rPr>
              <w:t>被保险人申请理赔时年龄必须在</w:t>
            </w:r>
            <w:r>
              <w:rPr>
                <w:rFonts w:ascii="Times New Roman" w:eastAsia="Times New Roman"/>
                <w:b/>
                <w:w w:val="95"/>
                <w:sz w:val="21"/>
              </w:rPr>
              <w:t>3</w:t>
            </w:r>
            <w:r>
              <w:rPr>
                <w:b/>
                <w:w w:val="95"/>
                <w:sz w:val="21"/>
              </w:rPr>
              <w:t>周岁以上。</w:t>
            </w:r>
          </w:p>
        </w:tc>
      </w:tr>
      <w:tr>
        <w:trPr>
          <w:trHeight w:val="692" w:hRule="atLeast"/>
        </w:trPr>
        <w:tc>
          <w:tcPr>
            <w:tcW w:w="631" w:type="dxa"/>
          </w:tcPr>
          <w:p>
            <w:pPr>
              <w:pStyle w:val="TableParagraph"/>
              <w:spacing w:before="110"/>
              <w:ind w:left="50"/>
              <w:rPr>
                <w:rFonts w:ascii="Times New Roman"/>
                <w:b/>
                <w:sz w:val="21"/>
              </w:rPr>
            </w:pPr>
            <w:r>
              <w:rPr>
                <w:rFonts w:ascii="Times New Roman"/>
                <w:b/>
                <w:sz w:val="21"/>
              </w:rPr>
              <w:t>8.19</w:t>
            </w:r>
          </w:p>
        </w:tc>
        <w:tc>
          <w:tcPr>
            <w:tcW w:w="1610" w:type="dxa"/>
          </w:tcPr>
          <w:p>
            <w:pPr>
              <w:pStyle w:val="TableParagraph"/>
              <w:spacing w:line="310" w:lineRule="atLeast" w:before="23"/>
              <w:ind w:left="213" w:right="132"/>
              <w:rPr>
                <w:b/>
                <w:sz w:val="21"/>
              </w:rPr>
            </w:pPr>
            <w:r>
              <w:rPr>
                <w:b/>
                <w:w w:val="95"/>
                <w:sz w:val="21"/>
              </w:rPr>
              <w:t>重型再生障碍</w:t>
            </w:r>
            <w:r>
              <w:rPr>
                <w:b/>
                <w:sz w:val="21"/>
              </w:rPr>
              <w:t>性贫血</w:t>
            </w:r>
          </w:p>
        </w:tc>
        <w:tc>
          <w:tcPr>
            <w:tcW w:w="7515" w:type="dxa"/>
          </w:tcPr>
          <w:p>
            <w:pPr>
              <w:pStyle w:val="TableParagraph"/>
              <w:spacing w:line="310" w:lineRule="atLeast" w:before="23"/>
              <w:ind w:left="133" w:right="15"/>
              <w:rPr>
                <w:sz w:val="21"/>
              </w:rPr>
            </w:pPr>
            <w:r>
              <w:rPr>
                <w:sz w:val="21"/>
              </w:rPr>
              <w:t>指因骨髓造血功能慢性持续性衰竭导致的贫血、中性粒细胞减少及血小板减少。须满足下列全部条件：</w:t>
            </w:r>
          </w:p>
        </w:tc>
      </w:tr>
      <w:tr>
        <w:trPr>
          <w:trHeight w:val="592"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80" w:lineRule="exact"/>
              <w:ind w:left="133"/>
              <w:rPr>
                <w:sz w:val="21"/>
              </w:rPr>
            </w:pPr>
            <w:r>
              <w:rPr>
                <w:rFonts w:ascii="Times New Roman" w:eastAsia="Times New Roman"/>
                <w:sz w:val="21"/>
              </w:rPr>
              <w:t>1.</w:t>
            </w:r>
            <w:r>
              <w:rPr>
                <w:sz w:val="21"/>
              </w:rPr>
              <w:t>骨髓穿刺检查或骨髓活检结果支持诊断；</w:t>
            </w:r>
          </w:p>
          <w:p>
            <w:pPr>
              <w:pStyle w:val="TableParagraph"/>
              <w:spacing w:line="271" w:lineRule="exact" w:before="21"/>
              <w:ind w:left="133"/>
              <w:rPr>
                <w:sz w:val="21"/>
              </w:rPr>
            </w:pPr>
            <w:r>
              <w:rPr>
                <w:rFonts w:ascii="Times New Roman" w:eastAsia="Times New Roman"/>
                <w:sz w:val="21"/>
              </w:rPr>
              <w:t>2.</w:t>
            </w:r>
            <w:r>
              <w:rPr>
                <w:sz w:val="21"/>
              </w:rPr>
              <w:t>外周血象须具备以下三项条件：</w:t>
            </w:r>
          </w:p>
        </w:tc>
      </w:tr>
    </w:tbl>
    <w:p>
      <w:pPr>
        <w:pStyle w:val="BodyText"/>
        <w:spacing w:before="21"/>
        <w:ind w:left="2688"/>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21"/>
        <w:ind w:left="2688"/>
      </w:pPr>
      <w:r>
        <w:rPr/>
        <w:t>②网织红细胞＜</w:t>
      </w:r>
      <w:r>
        <w:rPr>
          <w:rFonts w:ascii="Times New Roman" w:hAnsi="Times New Roman" w:eastAsia="Times New Roman"/>
        </w:rPr>
        <w:t>1%</w:t>
      </w:r>
      <w:r>
        <w:rPr/>
        <w:t>；</w:t>
      </w:r>
    </w:p>
    <w:p>
      <w:pPr>
        <w:pStyle w:val="BodyText"/>
        <w:spacing w:before="21"/>
        <w:ind w:left="2688"/>
      </w:pPr>
      <w:r>
        <w:rPr>
          <w:w w:val="95"/>
        </w:rPr>
        <w:t>③血小板绝对值</w:t>
      </w:r>
      <w:r>
        <w:rPr>
          <w:rFonts w:ascii="Times New Roman" w:hAnsi="Times New Roman" w:eastAsia="Times New Roman"/>
          <w:w w:val="95"/>
        </w:rPr>
        <w:t>≤20×10</w:t>
      </w:r>
      <w:r>
        <w:rPr>
          <w:rFonts w:ascii="Times New Roman" w:hAnsi="Times New Roman" w:eastAsia="Times New Roman"/>
          <w:w w:val="95"/>
          <w:vertAlign w:val="superscript"/>
        </w:rPr>
        <w:t>9</w:t>
      </w:r>
      <w:r>
        <w:rPr>
          <w:rFonts w:ascii="Times New Roman" w:hAnsi="Times New Roman" w:eastAsia="Times New Roman"/>
          <w:w w:val="95"/>
          <w:vertAlign w:val="baseline"/>
        </w:rPr>
        <w:t>/</w:t>
      </w:r>
      <w:r>
        <w:rPr>
          <w:rFonts w:ascii="Times New Roman" w:hAnsi="Times New Roman" w:eastAsia="Times New Roman"/>
          <w:w w:val="95"/>
          <w:vertAlign w:val="baseline"/>
        </w:rPr>
        <w:t>L</w:t>
      </w:r>
      <w:r>
        <w:rPr>
          <w:w w:val="95"/>
          <w:vertAlign w:val="baseline"/>
        </w:rPr>
        <w:t>。</w:t>
      </w:r>
    </w:p>
    <w:p>
      <w:pPr>
        <w:pStyle w:val="ListParagraph"/>
        <w:numPr>
          <w:ilvl w:val="1"/>
          <w:numId w:val="6"/>
        </w:numPr>
        <w:tabs>
          <w:tab w:pos="949" w:val="left" w:leader="none"/>
        </w:tabs>
        <w:spacing w:line="264" w:lineRule="auto" w:before="179" w:after="0"/>
        <w:ind w:left="2478" w:right="343" w:hanging="2324"/>
        <w:jc w:val="both"/>
        <w:rPr>
          <w:sz w:val="21"/>
        </w:rPr>
      </w:pPr>
      <w:r>
        <w:rPr>
          <w:b/>
          <w:spacing w:val="5"/>
          <w:sz w:val="21"/>
        </w:rPr>
        <w:t>主动脉手术   </w:t>
      </w:r>
      <w:r>
        <w:rPr>
          <w:sz w:val="21"/>
        </w:rPr>
        <w:t>指为治疗主动脉疾病，实际实施了开胸或开腹进行的切除、置换、修补病损主动脉血管的手术。主动脉指胸主动脉和腹主动脉，</w:t>
      </w:r>
      <w:r>
        <w:rPr>
          <w:sz w:val="21"/>
          <w:shd w:fill="C0C0C0" w:color="auto" w:val="clear"/>
        </w:rPr>
        <w:t>不包括胸主动脉和腹主动脉的分支血管。</w:t>
      </w:r>
    </w:p>
    <w:p>
      <w:pPr>
        <w:pStyle w:val="BodyText"/>
        <w:spacing w:before="108"/>
        <w:ind w:left="2478"/>
      </w:pPr>
      <w:r>
        <w:rPr>
          <w:shd w:fill="C0C0C0" w:color="auto" w:val="clear"/>
        </w:rPr>
        <w:t>动脉内血管成形术不在保障范围内。</w:t>
      </w:r>
    </w:p>
    <w:p>
      <w:pPr>
        <w:pStyle w:val="BodyText"/>
        <w:spacing w:before="9"/>
        <w:rPr>
          <w:sz w:val="11"/>
        </w:rPr>
      </w:pPr>
    </w:p>
    <w:p>
      <w:pPr>
        <w:spacing w:after="0"/>
        <w:rPr>
          <w:sz w:val="11"/>
        </w:rPr>
        <w:sectPr>
          <w:pgSz w:w="11910" w:h="16840"/>
          <w:pgMar w:header="0" w:footer="988" w:top="1180" w:bottom="1180" w:left="980" w:right="960"/>
        </w:sectPr>
      </w:pPr>
    </w:p>
    <w:p>
      <w:pPr>
        <w:pStyle w:val="Heading4"/>
        <w:numPr>
          <w:ilvl w:val="1"/>
          <w:numId w:val="6"/>
        </w:numPr>
        <w:tabs>
          <w:tab w:pos="948" w:val="left" w:leader="none"/>
          <w:tab w:pos="949" w:val="left" w:leader="none"/>
        </w:tabs>
        <w:spacing w:line="256" w:lineRule="auto" w:before="43" w:after="0"/>
        <w:ind w:left="948" w:right="0" w:hanging="795"/>
        <w:jc w:val="left"/>
      </w:pPr>
      <w:r>
        <w:rPr>
          <w:w w:val="95"/>
        </w:rPr>
        <w:t>严重多发性硬</w:t>
      </w:r>
      <w:r>
        <w:rPr/>
        <w:t>化</w:t>
      </w:r>
    </w:p>
    <w:p>
      <w:pPr>
        <w:pStyle w:val="BodyText"/>
        <w:spacing w:line="261" w:lineRule="auto" w:before="40"/>
        <w:ind w:left="153" w:right="255"/>
        <w:jc w:val="both"/>
      </w:pPr>
      <w:r>
        <w:rPr/>
        <w:br w:type="column"/>
      </w:r>
      <w:r>
        <w:rPr/>
        <w:t>多发性硬化为中枢神经系统白质多灶性脱髓鞘病变，病变有时累及灰质。多发性硬化必须明确诊断并由核磁共振(</w:t>
      </w:r>
      <w:r>
        <w:rPr>
          <w:rFonts w:ascii="Times New Roman" w:eastAsia="Times New Roman"/>
        </w:rPr>
        <w:t>MRI</w:t>
      </w:r>
      <w:r>
        <w:rPr>
          <w:spacing w:val="-10"/>
        </w:rPr>
        <w:t>)等影像学检验证实，而且已经造成永久的神经系统功能损害，导致被保险人持续</w:t>
      </w:r>
      <w:r>
        <w:rPr>
          <w:rFonts w:ascii="Times New Roman" w:eastAsia="Times New Roman"/>
        </w:rPr>
        <w:t>180</w:t>
      </w:r>
      <w:r>
        <w:rPr/>
        <w:t>日无法独立完成下列基本日常生活活动：</w:t>
      </w:r>
    </w:p>
    <w:p>
      <w:pPr>
        <w:pStyle w:val="BodyText"/>
        <w:spacing w:before="18"/>
        <w:ind w:left="154"/>
        <w:jc w:val="both"/>
      </w:pPr>
      <w:r>
        <w:rPr>
          <w:rFonts w:ascii="Times New Roman" w:eastAsia="Times New Roman"/>
        </w:rPr>
        <w:t>1.</w:t>
      </w:r>
      <w:r>
        <w:rPr/>
        <w:t>移动：自己从一个房间到另一个房间；</w:t>
      </w:r>
    </w:p>
    <w:p>
      <w:pPr>
        <w:pStyle w:val="BodyText"/>
        <w:spacing w:before="21"/>
        <w:ind w:left="154"/>
        <w:jc w:val="both"/>
      </w:pPr>
      <w:r>
        <w:rPr>
          <w:rFonts w:ascii="Times New Roman" w:eastAsia="Times New Roman"/>
        </w:rPr>
        <w:t>2.</w:t>
      </w:r>
      <w:r>
        <w:rPr/>
        <w:t>进食：自己从已准备好的碗或碟中取食物放入口中。</w:t>
      </w:r>
    </w:p>
    <w:p>
      <w:pPr>
        <w:spacing w:after="0"/>
        <w:jc w:val="both"/>
        <w:sectPr>
          <w:type w:val="continuous"/>
          <w:pgSz w:w="11910" w:h="16840"/>
          <w:pgMar w:top="1120" w:bottom="1180" w:left="980" w:right="960"/>
          <w:cols w:num="2" w:equalWidth="0">
            <w:col w:w="2212" w:space="112"/>
            <w:col w:w="7646"/>
          </w:cols>
        </w:sectPr>
      </w:pPr>
    </w:p>
    <w:p>
      <w:pPr>
        <w:pStyle w:val="BodyText"/>
        <w:spacing w:before="6"/>
        <w:rPr>
          <w:sz w:val="10"/>
        </w:rPr>
      </w:pPr>
    </w:p>
    <w:p>
      <w:pPr>
        <w:spacing w:after="0"/>
        <w:rPr>
          <w:sz w:val="10"/>
        </w:rPr>
        <w:sectPr>
          <w:type w:val="continuous"/>
          <w:pgSz w:w="11910" w:h="16840"/>
          <w:pgMar w:top="1120" w:bottom="1180" w:left="980" w:right="960"/>
        </w:sectPr>
      </w:pPr>
    </w:p>
    <w:p>
      <w:pPr>
        <w:pStyle w:val="Heading4"/>
        <w:numPr>
          <w:ilvl w:val="1"/>
          <w:numId w:val="6"/>
        </w:numPr>
        <w:tabs>
          <w:tab w:pos="948" w:val="left" w:leader="none"/>
          <w:tab w:pos="949" w:val="left" w:leader="none"/>
        </w:tabs>
        <w:spacing w:line="256" w:lineRule="auto" w:before="42" w:after="0"/>
        <w:ind w:left="948" w:right="0" w:hanging="794"/>
        <w:jc w:val="left"/>
      </w:pPr>
      <w:r>
        <w:rPr>
          <w:w w:val="95"/>
        </w:rPr>
        <w:t>系统性红斑狼</w:t>
      </w:r>
      <w:r>
        <w:rPr/>
        <w:t>疮—</w:t>
      </w:r>
      <w:r>
        <w:rPr>
          <w:rFonts w:ascii="Times New Roman" w:hAnsi="Times New Roman" w:eastAsia="Times New Roman"/>
        </w:rPr>
        <w:t>III</w:t>
      </w:r>
      <w:r>
        <w:rPr>
          <w:rFonts w:ascii="Times New Roman" w:hAnsi="Times New Roman" w:eastAsia="Times New Roman"/>
          <w:spacing w:val="-2"/>
        </w:rPr>
        <w:t> </w:t>
      </w:r>
      <w:r>
        <w:rPr/>
        <w:t>型或</w:t>
      </w:r>
    </w:p>
    <w:p>
      <w:pPr>
        <w:pStyle w:val="BodyText"/>
        <w:spacing w:line="273" w:lineRule="auto" w:before="40"/>
        <w:ind w:left="154" w:right="345"/>
      </w:pPr>
      <w:r>
        <w:rPr/>
        <w:br w:type="column"/>
      </w:r>
      <w:r>
        <w:rPr/>
        <w:t>是由多种因素引起，累及多系统的自身免疫性疾病。多侵犯育龄女性。其特点是生成自身抗体对抗多种自身抗原。本合同所指的系统性红斑狼疮仅限于累及</w:t>
      </w:r>
    </w:p>
    <w:p>
      <w:pPr>
        <w:spacing w:after="0" w:line="273" w:lineRule="auto"/>
        <w:sectPr>
          <w:type w:val="continuous"/>
          <w:pgSz w:w="11910" w:h="16840"/>
          <w:pgMar w:top="1120" w:bottom="1180" w:left="980" w:right="960"/>
          <w:cols w:num="2" w:equalWidth="0">
            <w:col w:w="2213" w:space="112"/>
            <w:col w:w="7645"/>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610"/>
        <w:gridCol w:w="7515"/>
      </w:tblGrid>
      <w:tr>
        <w:trPr>
          <w:trHeight w:val="275" w:hRule="atLeast"/>
        </w:trPr>
        <w:tc>
          <w:tcPr>
            <w:tcW w:w="631" w:type="dxa"/>
          </w:tcPr>
          <w:p>
            <w:pPr>
              <w:pStyle w:val="TableParagraph"/>
              <w:rPr>
                <w:rFonts w:ascii="Times New Roman"/>
                <w:sz w:val="20"/>
              </w:rPr>
            </w:pPr>
          </w:p>
        </w:tc>
        <w:tc>
          <w:tcPr>
            <w:tcW w:w="1610" w:type="dxa"/>
          </w:tcPr>
          <w:p>
            <w:pPr>
              <w:pStyle w:val="TableParagraph"/>
              <w:spacing w:line="214" w:lineRule="exact"/>
              <w:ind w:left="213"/>
              <w:rPr>
                <w:b/>
                <w:sz w:val="21"/>
              </w:rPr>
            </w:pPr>
            <w:r>
              <w:rPr>
                <w:b/>
                <w:w w:val="95"/>
                <w:sz w:val="21"/>
              </w:rPr>
              <w:t>以上狼疮性肾</w:t>
            </w:r>
          </w:p>
        </w:tc>
        <w:tc>
          <w:tcPr>
            <w:tcW w:w="7515" w:type="dxa"/>
          </w:tcPr>
          <w:p>
            <w:pPr>
              <w:pStyle w:val="TableParagraph"/>
              <w:spacing w:line="230" w:lineRule="exact"/>
              <w:ind w:left="133"/>
              <w:rPr>
                <w:sz w:val="21"/>
              </w:rPr>
            </w:pPr>
            <w:r>
              <w:rPr>
                <w:sz w:val="21"/>
              </w:rPr>
              <w:t>肾脏（经肾脏病理检查或临床确诊，并符合下列世界卫生组织</w:t>
            </w:r>
            <w:r>
              <w:rPr>
                <w:rFonts w:ascii="Times New Roman" w:eastAsia="Times New Roman"/>
                <w:sz w:val="21"/>
              </w:rPr>
              <w:t>(WHO)</w:t>
            </w:r>
            <w:r>
              <w:rPr>
                <w:sz w:val="21"/>
              </w:rPr>
              <w:t>诊断标准</w:t>
            </w:r>
          </w:p>
        </w:tc>
      </w:tr>
      <w:tr>
        <w:trPr>
          <w:trHeight w:val="350" w:hRule="atLeast"/>
        </w:trPr>
        <w:tc>
          <w:tcPr>
            <w:tcW w:w="631" w:type="dxa"/>
          </w:tcPr>
          <w:p>
            <w:pPr>
              <w:pStyle w:val="TableParagraph"/>
              <w:rPr>
                <w:rFonts w:ascii="Times New Roman"/>
                <w:sz w:val="20"/>
              </w:rPr>
            </w:pPr>
          </w:p>
        </w:tc>
        <w:tc>
          <w:tcPr>
            <w:tcW w:w="1610" w:type="dxa"/>
          </w:tcPr>
          <w:p>
            <w:pPr>
              <w:pStyle w:val="TableParagraph"/>
              <w:spacing w:line="250" w:lineRule="exact"/>
              <w:ind w:left="213"/>
              <w:rPr>
                <w:b/>
                <w:sz w:val="21"/>
              </w:rPr>
            </w:pPr>
            <w:r>
              <w:rPr>
                <w:b/>
                <w:w w:val="99"/>
                <w:sz w:val="21"/>
              </w:rPr>
              <w:t>炎</w:t>
            </w:r>
          </w:p>
        </w:tc>
        <w:tc>
          <w:tcPr>
            <w:tcW w:w="7515" w:type="dxa"/>
          </w:tcPr>
          <w:p>
            <w:pPr>
              <w:pStyle w:val="TableParagraph"/>
              <w:spacing w:line="250" w:lineRule="exact"/>
              <w:ind w:left="133"/>
              <w:rPr>
                <w:sz w:val="21"/>
              </w:rPr>
            </w:pPr>
            <w:r>
              <w:rPr>
                <w:sz w:val="21"/>
              </w:rPr>
              <w:t>定义Ⅲ型至Ⅴ型狼疮性肾炎）的系统性红斑狼疮。</w:t>
            </w:r>
          </w:p>
        </w:tc>
      </w:tr>
      <w:tr>
        <w:trPr>
          <w:trHeight w:val="358"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before="29"/>
              <w:ind w:left="133"/>
              <w:rPr>
                <w:sz w:val="21"/>
              </w:rPr>
            </w:pPr>
            <w:r>
              <w:rPr>
                <w:sz w:val="21"/>
                <w:shd w:fill="C0C0C0" w:color="auto" w:val="clear"/>
              </w:rPr>
              <w:t>其他类型的红斑性狼疮，如盘状狼疮，仅累及血液及关节等其他系统的系统性</w:t>
            </w:r>
          </w:p>
        </w:tc>
      </w:tr>
      <w:tr>
        <w:trPr>
          <w:trHeight w:val="355"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8" w:lineRule="exact"/>
              <w:ind w:left="133"/>
              <w:rPr>
                <w:sz w:val="21"/>
              </w:rPr>
            </w:pPr>
            <w:r>
              <w:rPr>
                <w:sz w:val="21"/>
                <w:shd w:fill="C0C0C0" w:color="auto" w:val="clear"/>
              </w:rPr>
              <w:t>红斑狼疮不在保障范围。</w:t>
            </w:r>
          </w:p>
        </w:tc>
      </w:tr>
      <w:tr>
        <w:trPr>
          <w:trHeight w:val="370"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before="33"/>
              <w:ind w:left="133"/>
              <w:rPr>
                <w:sz w:val="21"/>
              </w:rPr>
            </w:pPr>
            <w:r>
              <w:rPr>
                <w:sz w:val="21"/>
              </w:rPr>
              <w:t>世界卫生组织(</w:t>
            </w:r>
            <w:r>
              <w:rPr>
                <w:rFonts w:ascii="Times New Roman" w:eastAsia="Times New Roman"/>
                <w:sz w:val="21"/>
              </w:rPr>
              <w:t>WHO</w:t>
            </w:r>
            <w:r>
              <w:rPr>
                <w:sz w:val="21"/>
              </w:rPr>
              <w:t>)狼疮性肾炎分型：</w:t>
            </w:r>
          </w:p>
        </w:tc>
      </w:tr>
      <w:tr>
        <w:trPr>
          <w:trHeight w:val="304"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0" w:lineRule="exact"/>
              <w:ind w:left="133"/>
              <w:rPr>
                <w:sz w:val="21"/>
              </w:rPr>
            </w:pPr>
            <w:r>
              <w:rPr>
                <w:sz w:val="21"/>
              </w:rPr>
              <w:t>Ⅰ型（微小病变型）镜下阴性，尿液正常；</w:t>
            </w:r>
          </w:p>
        </w:tc>
      </w:tr>
      <w:tr>
        <w:trPr>
          <w:trHeight w:val="311"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8" w:lineRule="exact"/>
              <w:ind w:left="133"/>
              <w:rPr>
                <w:sz w:val="21"/>
              </w:rPr>
            </w:pPr>
            <w:r>
              <w:rPr>
                <w:sz w:val="21"/>
              </w:rPr>
              <w:t>Ⅱ型（系膜病变型）中度蛋白尿，偶有尿沉渣改变；</w:t>
            </w:r>
          </w:p>
        </w:tc>
      </w:tr>
      <w:tr>
        <w:trPr>
          <w:trHeight w:val="311"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8" w:lineRule="exact"/>
              <w:ind w:left="133"/>
              <w:rPr>
                <w:sz w:val="21"/>
              </w:rPr>
            </w:pPr>
            <w:r>
              <w:rPr>
                <w:sz w:val="21"/>
              </w:rPr>
              <w:t>Ⅲ型（局灶及节段增生型）蛋白尿，尿沉渣改变；</w:t>
            </w:r>
          </w:p>
        </w:tc>
      </w:tr>
      <w:tr>
        <w:trPr>
          <w:trHeight w:val="311"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8" w:lineRule="exact"/>
              <w:ind w:left="133"/>
              <w:rPr>
                <w:sz w:val="21"/>
              </w:rPr>
            </w:pPr>
            <w:r>
              <w:rPr>
                <w:sz w:val="21"/>
              </w:rPr>
              <w:t>Ⅳ型（弥漫增生型）急性肾炎伴有尿沉渣改变及/或肾病综合征；</w:t>
            </w:r>
          </w:p>
        </w:tc>
      </w:tr>
      <w:tr>
        <w:trPr>
          <w:trHeight w:val="387"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8" w:lineRule="exact"/>
              <w:ind w:left="133"/>
              <w:rPr>
                <w:sz w:val="21"/>
              </w:rPr>
            </w:pPr>
            <w:r>
              <w:rPr>
                <w:sz w:val="21"/>
              </w:rPr>
              <w:t>Ⅴ型（膜型）肾病综合征或重度蛋白尿。</w:t>
            </w:r>
          </w:p>
        </w:tc>
      </w:tr>
      <w:tr>
        <w:trPr>
          <w:trHeight w:val="700" w:hRule="atLeast"/>
        </w:trPr>
        <w:tc>
          <w:tcPr>
            <w:tcW w:w="631" w:type="dxa"/>
          </w:tcPr>
          <w:p>
            <w:pPr>
              <w:pStyle w:val="TableParagraph"/>
              <w:spacing w:before="115"/>
              <w:ind w:left="50"/>
              <w:rPr>
                <w:rFonts w:ascii="Times New Roman"/>
                <w:b/>
                <w:sz w:val="21"/>
              </w:rPr>
            </w:pPr>
            <w:r>
              <w:rPr>
                <w:rFonts w:ascii="Times New Roman"/>
                <w:b/>
                <w:sz w:val="21"/>
              </w:rPr>
              <w:t>8.23</w:t>
            </w:r>
          </w:p>
        </w:tc>
        <w:tc>
          <w:tcPr>
            <w:tcW w:w="1610" w:type="dxa"/>
          </w:tcPr>
          <w:p>
            <w:pPr>
              <w:pStyle w:val="TableParagraph"/>
              <w:spacing w:line="273" w:lineRule="auto" w:before="63"/>
              <w:ind w:left="213" w:right="130"/>
              <w:rPr>
                <w:b/>
                <w:sz w:val="21"/>
              </w:rPr>
            </w:pPr>
            <w:r>
              <w:rPr>
                <w:b/>
                <w:sz w:val="21"/>
              </w:rPr>
              <w:t>严重慢性呼吸功能衰竭</w:t>
            </w:r>
          </w:p>
        </w:tc>
        <w:tc>
          <w:tcPr>
            <w:tcW w:w="7515" w:type="dxa"/>
          </w:tcPr>
          <w:p>
            <w:pPr>
              <w:pStyle w:val="TableParagraph"/>
              <w:spacing w:line="273" w:lineRule="auto" w:before="63"/>
              <w:ind w:left="133" w:right="150"/>
              <w:rPr>
                <w:sz w:val="21"/>
              </w:rPr>
            </w:pPr>
            <w:r>
              <w:rPr>
                <w:sz w:val="21"/>
              </w:rPr>
              <w:t>慢性肺部疾病导致永久不可逆性的慢性呼吸功能衰竭，必须由呼吸专科医师确认并符合下列所有条件：</w:t>
            </w:r>
          </w:p>
        </w:tc>
      </w:tr>
      <w:tr>
        <w:trPr>
          <w:trHeight w:val="993"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77" w:lineRule="exact"/>
              <w:ind w:left="133"/>
              <w:rPr>
                <w:sz w:val="21"/>
              </w:rPr>
            </w:pP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0.75</w:t>
            </w:r>
            <w:r>
              <w:rPr>
                <w:sz w:val="21"/>
              </w:rPr>
              <w:t>升；</w:t>
            </w:r>
          </w:p>
          <w:p>
            <w:pPr>
              <w:pStyle w:val="TableParagraph"/>
              <w:spacing w:before="21"/>
              <w:ind w:left="133"/>
              <w:rPr>
                <w:sz w:val="21"/>
              </w:rPr>
            </w:pPr>
            <w:r>
              <w:rPr>
                <w:rFonts w:ascii="Times New Roman" w:eastAsia="Times New Roman"/>
                <w:sz w:val="21"/>
              </w:rPr>
              <w:t>2.</w:t>
            </w:r>
            <w:r>
              <w:rPr>
                <w:sz w:val="21"/>
              </w:rPr>
              <w:t>病人缺氧必须广泛而持续地进行输氧治疗；</w:t>
            </w:r>
          </w:p>
          <w:p>
            <w:pPr>
              <w:pStyle w:val="TableParagraph"/>
              <w:spacing w:before="21"/>
              <w:ind w:left="133"/>
              <w:rPr>
                <w:sz w:val="21"/>
              </w:rPr>
            </w:pPr>
            <w:r>
              <w:rPr>
                <w:rFonts w:ascii="Times New Roman" w:eastAsia="Times New Roman"/>
                <w:sz w:val="21"/>
              </w:rPr>
              <w:t>3.</w:t>
            </w:r>
            <w:r>
              <w:rPr>
                <w:sz w:val="21"/>
              </w:rPr>
              <w:t>动脉血气分析氧分压低于 </w:t>
            </w:r>
            <w:r>
              <w:rPr>
                <w:rFonts w:ascii="Times New Roman" w:eastAsia="Times New Roman"/>
                <w:sz w:val="21"/>
              </w:rPr>
              <w:t>55mmHg</w:t>
            </w:r>
            <w:r>
              <w:rPr>
                <w:sz w:val="21"/>
              </w:rPr>
              <w:t>。</w:t>
            </w:r>
          </w:p>
        </w:tc>
      </w:tr>
      <w:tr>
        <w:trPr>
          <w:trHeight w:val="426"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before="21"/>
              <w:ind w:left="133"/>
              <w:rPr>
                <w:b/>
                <w:sz w:val="21"/>
              </w:rPr>
            </w:pPr>
            <w:r>
              <w:rPr>
                <w:b/>
                <w:w w:val="95"/>
                <w:sz w:val="21"/>
              </w:rPr>
              <w:t>理赔时必须提供以上三项相应的证明文件或检查报告。</w:t>
            </w:r>
          </w:p>
        </w:tc>
      </w:tr>
      <w:tr>
        <w:trPr>
          <w:trHeight w:val="704" w:hRule="atLeast"/>
        </w:trPr>
        <w:tc>
          <w:tcPr>
            <w:tcW w:w="631" w:type="dxa"/>
          </w:tcPr>
          <w:p>
            <w:pPr>
              <w:pStyle w:val="TableParagraph"/>
              <w:spacing w:before="115"/>
              <w:ind w:left="50"/>
              <w:rPr>
                <w:rFonts w:ascii="Times New Roman"/>
                <w:b/>
                <w:sz w:val="21"/>
              </w:rPr>
            </w:pPr>
            <w:r>
              <w:rPr>
                <w:rFonts w:ascii="Times New Roman"/>
                <w:b/>
                <w:sz w:val="21"/>
              </w:rPr>
              <w:t>8.24</w:t>
            </w:r>
          </w:p>
        </w:tc>
        <w:tc>
          <w:tcPr>
            <w:tcW w:w="1610" w:type="dxa"/>
          </w:tcPr>
          <w:p>
            <w:pPr>
              <w:pStyle w:val="TableParagraph"/>
              <w:spacing w:line="273" w:lineRule="auto" w:before="63"/>
              <w:ind w:left="213" w:right="130"/>
              <w:rPr>
                <w:b/>
                <w:sz w:val="21"/>
              </w:rPr>
            </w:pPr>
            <w:r>
              <w:rPr>
                <w:b/>
                <w:sz w:val="21"/>
              </w:rPr>
              <w:t>全身性重症肌无力</w:t>
            </w:r>
          </w:p>
        </w:tc>
        <w:tc>
          <w:tcPr>
            <w:tcW w:w="7515" w:type="dxa"/>
          </w:tcPr>
          <w:p>
            <w:pPr>
              <w:pStyle w:val="TableParagraph"/>
              <w:spacing w:line="273" w:lineRule="auto" w:before="63"/>
              <w:ind w:left="133" w:right="150"/>
              <w:rPr>
                <w:sz w:val="21"/>
              </w:rPr>
            </w:pPr>
            <w:r>
              <w:rPr>
                <w:sz w:val="21"/>
              </w:rPr>
              <w:t>重症肌无力是一种神经肌肉接头传递障碍所致的疾病，表现为局部或全身骨骼肌（特别是眼外肌）极易疲劳。疾病可以累及呼吸肌、上肢或下肢的近端肌群</w:t>
            </w:r>
          </w:p>
        </w:tc>
      </w:tr>
      <w:tr>
        <w:trPr>
          <w:trHeight w:val="308"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8" w:lineRule="exact"/>
              <w:ind w:left="133"/>
              <w:rPr>
                <w:sz w:val="21"/>
              </w:rPr>
            </w:pPr>
            <w:r>
              <w:rPr>
                <w:sz w:val="21"/>
              </w:rPr>
              <w:t>或全身肌肉，必须满足下列全部条件：</w:t>
            </w:r>
          </w:p>
        </w:tc>
      </w:tr>
      <w:tr>
        <w:trPr>
          <w:trHeight w:val="635"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77" w:lineRule="exact"/>
              <w:ind w:left="133"/>
              <w:rPr>
                <w:sz w:val="21"/>
              </w:rPr>
            </w:pPr>
            <w:r>
              <w:rPr>
                <w:rFonts w:ascii="Times New Roman" w:eastAsia="Times New Roman"/>
                <w:sz w:val="21"/>
              </w:rPr>
              <w:t>1.</w:t>
            </w:r>
            <w:r>
              <w:rPr>
                <w:sz w:val="21"/>
              </w:rPr>
              <w:t>经药物治疗和胸腺切除治疗一年以上仍无法控制病情；</w:t>
            </w:r>
          </w:p>
          <w:p>
            <w:pPr>
              <w:pStyle w:val="TableParagraph"/>
              <w:spacing w:before="21"/>
              <w:ind w:left="133"/>
              <w:rPr>
                <w:sz w:val="21"/>
              </w:rPr>
            </w:pPr>
            <w:r>
              <w:rPr>
                <w:rFonts w:ascii="Times New Roman" w:eastAsia="Times New Roman"/>
                <w:sz w:val="21"/>
              </w:rPr>
              <w:t>2.</w:t>
            </w:r>
            <w:r>
              <w:rPr>
                <w:sz w:val="21"/>
              </w:rPr>
              <w:t>自主生活能力完全丧失，无法独立完成六项基本日常生活活动中的三项或三项</w:t>
            </w:r>
          </w:p>
        </w:tc>
      </w:tr>
      <w:tr>
        <w:trPr>
          <w:trHeight w:val="379"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0" w:lineRule="exact"/>
              <w:ind w:left="133"/>
              <w:rPr>
                <w:sz w:val="21"/>
              </w:rPr>
            </w:pPr>
            <w:r>
              <w:rPr>
                <w:sz w:val="21"/>
              </w:rPr>
              <w:t>以上。</w:t>
            </w:r>
          </w:p>
        </w:tc>
      </w:tr>
      <w:tr>
        <w:trPr>
          <w:trHeight w:val="712" w:hRule="atLeast"/>
        </w:trPr>
        <w:tc>
          <w:tcPr>
            <w:tcW w:w="631" w:type="dxa"/>
          </w:tcPr>
          <w:p>
            <w:pPr>
              <w:pStyle w:val="TableParagraph"/>
              <w:spacing w:before="115"/>
              <w:ind w:left="50"/>
              <w:rPr>
                <w:rFonts w:ascii="Times New Roman"/>
                <w:b/>
                <w:sz w:val="21"/>
              </w:rPr>
            </w:pPr>
            <w:r>
              <w:rPr>
                <w:rFonts w:ascii="Times New Roman"/>
                <w:b/>
                <w:sz w:val="21"/>
              </w:rPr>
              <w:t>8.25</w:t>
            </w:r>
          </w:p>
        </w:tc>
        <w:tc>
          <w:tcPr>
            <w:tcW w:w="1610" w:type="dxa"/>
          </w:tcPr>
          <w:p>
            <w:pPr>
              <w:pStyle w:val="TableParagraph"/>
              <w:spacing w:line="273" w:lineRule="auto" w:before="63"/>
              <w:ind w:left="213" w:right="130"/>
              <w:rPr>
                <w:b/>
                <w:sz w:val="21"/>
              </w:rPr>
            </w:pPr>
            <w:r>
              <w:rPr>
                <w:b/>
                <w:sz w:val="21"/>
              </w:rPr>
              <w:t>严重原发性心肌病</w:t>
            </w:r>
          </w:p>
        </w:tc>
        <w:tc>
          <w:tcPr>
            <w:tcW w:w="7515" w:type="dxa"/>
          </w:tcPr>
          <w:p>
            <w:pPr>
              <w:pStyle w:val="TableParagraph"/>
              <w:spacing w:line="320" w:lineRule="atLeast" w:before="18"/>
              <w:ind w:left="133" w:right="153"/>
              <w:rPr>
                <w:sz w:val="21"/>
              </w:rPr>
            </w:pPr>
            <w:r>
              <w:rPr>
                <w:sz w:val="21"/>
              </w:rPr>
              <w:t>指因原发性心肌病导致心室功能损害造成永久不可逆性的心功能衰竭，心功能</w:t>
            </w:r>
            <w:r>
              <w:rPr>
                <w:spacing w:val="-3"/>
                <w:sz w:val="21"/>
              </w:rPr>
              <w:t>衰竭程度达到美国纽约心脏病学会心功能状态分级 </w:t>
            </w:r>
            <w:r>
              <w:rPr>
                <w:rFonts w:ascii="Times New Roman" w:eastAsia="Times New Roman"/>
                <w:sz w:val="21"/>
              </w:rPr>
              <w:t>IV </w:t>
            </w:r>
            <w:r>
              <w:rPr>
                <w:spacing w:val="-6"/>
                <w:sz w:val="21"/>
              </w:rPr>
              <w:t>级。必须由心脏专科医生</w:t>
            </w:r>
          </w:p>
        </w:tc>
      </w:tr>
      <w:tr>
        <w:trPr>
          <w:trHeight w:val="350"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0" w:lineRule="exact"/>
              <w:ind w:left="133"/>
              <w:rPr>
                <w:sz w:val="21"/>
              </w:rPr>
            </w:pPr>
            <w:r>
              <w:rPr>
                <w:sz w:val="21"/>
              </w:rPr>
              <w:t>确诊，并有包括超声心动图在内的相关检查证实。</w:t>
            </w:r>
          </w:p>
        </w:tc>
      </w:tr>
      <w:tr>
        <w:trPr>
          <w:trHeight w:val="358"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before="30"/>
              <w:ind w:left="133"/>
              <w:rPr>
                <w:sz w:val="21"/>
              </w:rPr>
            </w:pPr>
            <w:r>
              <w:rPr>
                <w:sz w:val="21"/>
                <w:shd w:fill="C0C0C0" w:color="auto" w:val="clear"/>
              </w:rPr>
              <w:t>继发于全身性疾病或其它器官系统疾病或酗酒或滥用药物引起的心肌病不在保</w:t>
            </w:r>
          </w:p>
        </w:tc>
      </w:tr>
      <w:tr>
        <w:trPr>
          <w:trHeight w:val="387"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8" w:lineRule="exact"/>
              <w:ind w:left="133"/>
              <w:rPr>
                <w:sz w:val="21"/>
              </w:rPr>
            </w:pPr>
            <w:r>
              <w:rPr>
                <w:sz w:val="21"/>
                <w:shd w:fill="C0C0C0" w:color="auto" w:val="clear"/>
              </w:rPr>
              <w:t>障范围内。</w:t>
            </w:r>
          </w:p>
        </w:tc>
      </w:tr>
      <w:tr>
        <w:trPr>
          <w:trHeight w:val="1336" w:hRule="atLeast"/>
        </w:trPr>
        <w:tc>
          <w:tcPr>
            <w:tcW w:w="631" w:type="dxa"/>
          </w:tcPr>
          <w:p>
            <w:pPr>
              <w:pStyle w:val="TableParagraph"/>
              <w:spacing w:before="115"/>
              <w:ind w:left="50"/>
              <w:rPr>
                <w:rFonts w:ascii="Times New Roman"/>
                <w:b/>
                <w:sz w:val="21"/>
              </w:rPr>
            </w:pPr>
            <w:r>
              <w:rPr>
                <w:rFonts w:ascii="Times New Roman"/>
                <w:b/>
                <w:sz w:val="21"/>
              </w:rPr>
              <w:t>8.26</w:t>
            </w:r>
          </w:p>
        </w:tc>
        <w:tc>
          <w:tcPr>
            <w:tcW w:w="1610" w:type="dxa"/>
          </w:tcPr>
          <w:p>
            <w:pPr>
              <w:pStyle w:val="TableParagraph"/>
              <w:spacing w:before="63"/>
              <w:ind w:left="213"/>
              <w:rPr>
                <w:b/>
                <w:sz w:val="21"/>
              </w:rPr>
            </w:pPr>
            <w:r>
              <w:rPr>
                <w:b/>
                <w:w w:val="95"/>
                <w:sz w:val="21"/>
              </w:rPr>
              <w:t>坏死性筋膜炎</w:t>
            </w:r>
          </w:p>
        </w:tc>
        <w:tc>
          <w:tcPr>
            <w:tcW w:w="7515" w:type="dxa"/>
          </w:tcPr>
          <w:p>
            <w:pPr>
              <w:pStyle w:val="TableParagraph"/>
              <w:spacing w:before="63"/>
              <w:ind w:left="133"/>
              <w:rPr>
                <w:sz w:val="21"/>
              </w:rPr>
            </w:pPr>
            <w:r>
              <w:rPr>
                <w:sz w:val="21"/>
              </w:rPr>
              <w:t>坏死性筋膜炎的诊断须同时符合下列要求：</w:t>
            </w:r>
          </w:p>
          <w:p>
            <w:pPr>
              <w:pStyle w:val="TableParagraph"/>
              <w:spacing w:before="36"/>
              <w:ind w:left="133"/>
              <w:rPr>
                <w:sz w:val="21"/>
              </w:rPr>
            </w:pPr>
            <w:r>
              <w:rPr>
                <w:rFonts w:ascii="Times New Roman" w:eastAsia="Times New Roman"/>
                <w:sz w:val="21"/>
              </w:rPr>
              <w:t>1.</w:t>
            </w:r>
            <w:r>
              <w:rPr>
                <w:sz w:val="21"/>
              </w:rPr>
              <w:t>符合坏死性筋膜炎的一般临床表现；</w:t>
            </w:r>
          </w:p>
          <w:p>
            <w:pPr>
              <w:pStyle w:val="TableParagraph"/>
              <w:spacing w:before="20"/>
              <w:ind w:left="133"/>
              <w:rPr>
                <w:sz w:val="21"/>
              </w:rPr>
            </w:pPr>
            <w:r>
              <w:rPr>
                <w:rFonts w:ascii="Times New Roman" w:eastAsia="Times New Roman"/>
                <w:sz w:val="21"/>
              </w:rPr>
              <w:t>2.</w:t>
            </w:r>
            <w:r>
              <w:rPr>
                <w:sz w:val="21"/>
              </w:rPr>
              <w:t>细菌培养检出致病菌；</w:t>
            </w:r>
          </w:p>
          <w:p>
            <w:pPr>
              <w:pStyle w:val="TableParagraph"/>
              <w:spacing w:before="20"/>
              <w:ind w:left="133"/>
              <w:rPr>
                <w:sz w:val="21"/>
              </w:rPr>
            </w:pPr>
            <w:r>
              <w:rPr>
                <w:rFonts w:ascii="Times New Roman" w:eastAsia="Times New Roman"/>
                <w:sz w:val="21"/>
              </w:rPr>
              <w:t>3.</w:t>
            </w:r>
            <w:r>
              <w:rPr>
                <w:sz w:val="21"/>
              </w:rPr>
              <w:t>出现广泛性肌肉及软组织坏死，并导致身体受影响部位永久完全失去功能。所</w:t>
            </w:r>
          </w:p>
        </w:tc>
      </w:tr>
      <w:tr>
        <w:trPr>
          <w:trHeight w:val="379"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0" w:lineRule="exact"/>
              <w:ind w:left="133"/>
              <w:rPr>
                <w:sz w:val="21"/>
              </w:rPr>
            </w:pPr>
            <w:r>
              <w:rPr>
                <w:sz w:val="21"/>
              </w:rPr>
              <w:t>谓永久完全失去功能是指受影响部位的功能丧失超过六个月者。</w:t>
            </w:r>
          </w:p>
        </w:tc>
      </w:tr>
      <w:tr>
        <w:trPr>
          <w:trHeight w:val="704" w:hRule="atLeast"/>
        </w:trPr>
        <w:tc>
          <w:tcPr>
            <w:tcW w:w="631" w:type="dxa"/>
          </w:tcPr>
          <w:p>
            <w:pPr>
              <w:pStyle w:val="TableParagraph"/>
              <w:spacing w:before="115"/>
              <w:ind w:left="50"/>
              <w:rPr>
                <w:rFonts w:ascii="Times New Roman"/>
                <w:b/>
                <w:sz w:val="21"/>
              </w:rPr>
            </w:pPr>
            <w:r>
              <w:rPr>
                <w:rFonts w:ascii="Times New Roman"/>
                <w:b/>
                <w:sz w:val="21"/>
              </w:rPr>
              <w:t>8.27</w:t>
            </w:r>
          </w:p>
        </w:tc>
        <w:tc>
          <w:tcPr>
            <w:tcW w:w="1610" w:type="dxa"/>
          </w:tcPr>
          <w:p>
            <w:pPr>
              <w:pStyle w:val="TableParagraph"/>
              <w:spacing w:before="63"/>
              <w:ind w:left="213"/>
              <w:rPr>
                <w:b/>
                <w:sz w:val="21"/>
              </w:rPr>
            </w:pPr>
            <w:r>
              <w:rPr>
                <w:b/>
                <w:w w:val="95"/>
                <w:sz w:val="21"/>
              </w:rPr>
              <w:t>系统性硬皮病</w:t>
            </w:r>
          </w:p>
        </w:tc>
        <w:tc>
          <w:tcPr>
            <w:tcW w:w="7515" w:type="dxa"/>
          </w:tcPr>
          <w:p>
            <w:pPr>
              <w:pStyle w:val="TableParagraph"/>
              <w:spacing w:line="273" w:lineRule="auto" w:before="63"/>
              <w:ind w:left="133" w:right="15"/>
              <w:rPr>
                <w:sz w:val="21"/>
              </w:rPr>
            </w:pPr>
            <w:r>
              <w:rPr>
                <w:sz w:val="21"/>
              </w:rPr>
              <w:t>系统性硬皮病（须累及内脏器官），指一种以局限性或弥漫性皮肤增厚和皮肤、血管、内脏器官异常纤维化为特征的结缔组织病。本病须经专科医师明确诊断，</w:t>
            </w:r>
          </w:p>
        </w:tc>
      </w:tr>
      <w:tr>
        <w:trPr>
          <w:trHeight w:val="308"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8" w:lineRule="exact"/>
              <w:ind w:left="133"/>
              <w:rPr>
                <w:sz w:val="21"/>
              </w:rPr>
            </w:pPr>
            <w:r>
              <w:rPr>
                <w:sz w:val="21"/>
              </w:rPr>
              <w:t>并须满足下列至少一项条件：</w:t>
            </w:r>
          </w:p>
        </w:tc>
      </w:tr>
      <w:tr>
        <w:trPr>
          <w:trHeight w:val="993"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77" w:lineRule="exact"/>
              <w:ind w:left="133"/>
              <w:rPr>
                <w:sz w:val="21"/>
              </w:rPr>
            </w:pPr>
            <w:r>
              <w:rPr>
                <w:rFonts w:ascii="Times New Roman" w:eastAsia="Times New Roman"/>
                <w:sz w:val="21"/>
              </w:rPr>
              <w:t>1.</w:t>
            </w:r>
            <w:r>
              <w:rPr>
                <w:sz w:val="21"/>
              </w:rPr>
              <w:t>肺脏：肺部病变进而发展为肺间质纤维化和肺动脉高压；</w:t>
            </w:r>
          </w:p>
          <w:p>
            <w:pPr>
              <w:pStyle w:val="TableParagraph"/>
              <w:spacing w:before="21"/>
              <w:ind w:left="133"/>
              <w:rPr>
                <w:sz w:val="21"/>
              </w:rPr>
            </w:pP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1"/>
              <w:ind w:left="133"/>
              <w:rPr>
                <w:sz w:val="21"/>
              </w:rPr>
            </w:pPr>
            <w:r>
              <w:rPr>
                <w:rFonts w:ascii="Times New Roman" w:eastAsia="Times New Roman"/>
                <w:sz w:val="21"/>
              </w:rPr>
              <w:t>3.</w:t>
            </w:r>
            <w:r>
              <w:rPr>
                <w:sz w:val="21"/>
              </w:rPr>
              <w:t>肾脏：肾脏受损导致双肾功能慢性不可逆衰竭，达到尿毒症期。</w:t>
            </w:r>
          </w:p>
        </w:tc>
      </w:tr>
      <w:tr>
        <w:trPr>
          <w:trHeight w:val="346"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before="21"/>
              <w:ind w:left="133"/>
              <w:rPr>
                <w:sz w:val="21"/>
              </w:rPr>
            </w:pPr>
            <w:r>
              <w:rPr>
                <w:sz w:val="21"/>
                <w:shd w:fill="C0C0C0" w:color="auto" w:val="clear"/>
              </w:rPr>
              <w:t>下列疾病不在保障范围内：</w:t>
            </w:r>
          </w:p>
        </w:tc>
      </w:tr>
      <w:tr>
        <w:trPr>
          <w:trHeight w:val="904"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77" w:lineRule="exact"/>
              <w:ind w:left="133"/>
              <w:rPr>
                <w:sz w:val="21"/>
              </w:rPr>
            </w:pPr>
            <w:r>
              <w:rPr>
                <w:rFonts w:ascii="Times New Roman" w:eastAsia="Times New Roman"/>
                <w:sz w:val="21"/>
                <w:shd w:fill="C0C0C0" w:color="auto" w:val="clear"/>
              </w:rPr>
              <w:t>1.</w:t>
            </w:r>
            <w:r>
              <w:rPr>
                <w:sz w:val="21"/>
                <w:shd w:fill="C0C0C0" w:color="auto" w:val="clear"/>
              </w:rPr>
              <w:t>局部性硬皮病（如：带状硬皮病、硬斑病）； </w:t>
            </w:r>
          </w:p>
          <w:p>
            <w:pPr>
              <w:pStyle w:val="TableParagraph"/>
              <w:spacing w:before="21"/>
              <w:ind w:left="133"/>
              <w:rPr>
                <w:sz w:val="21"/>
              </w:rPr>
            </w:pPr>
            <w:r>
              <w:rPr>
                <w:rFonts w:ascii="Times New Roman" w:eastAsia="Times New Roman"/>
                <w:sz w:val="21"/>
                <w:shd w:fill="C0C0C0" w:color="auto" w:val="clear"/>
              </w:rPr>
              <w:t>2.</w:t>
            </w:r>
            <w:r>
              <w:rPr>
                <w:sz w:val="21"/>
                <w:shd w:fill="C0C0C0" w:color="auto" w:val="clear"/>
              </w:rPr>
              <w:t>嗜酸性粒细胞性筋膜炎；</w:t>
            </w:r>
          </w:p>
          <w:p>
            <w:pPr>
              <w:pStyle w:val="TableParagraph"/>
              <w:spacing w:line="273" w:lineRule="exact" w:before="21"/>
              <w:ind w:left="133"/>
              <w:rPr>
                <w:sz w:val="21"/>
              </w:rPr>
            </w:pPr>
            <w:r>
              <w:rPr>
                <w:rFonts w:ascii="Times New Roman" w:eastAsia="Times New Roman"/>
                <w:sz w:val="21"/>
                <w:shd w:fill="C0C0C0" w:color="auto" w:val="clear"/>
              </w:rPr>
              <w:t>3.CREST</w:t>
            </w:r>
            <w:r>
              <w:rPr>
                <w:sz w:val="21"/>
                <w:shd w:fill="C0C0C0" w:color="auto" w:val="clear"/>
              </w:rPr>
              <w:t>综合征。</w:t>
            </w:r>
          </w:p>
        </w:tc>
      </w:tr>
    </w:tbl>
    <w:p>
      <w:pPr>
        <w:spacing w:after="0" w:line="273" w:lineRule="exact"/>
        <w:rPr>
          <w:sz w:val="21"/>
        </w:rPr>
        <w:sectPr>
          <w:pgSz w:w="11910" w:h="16840"/>
          <w:pgMar w:header="0" w:footer="988" w:top="1180" w:bottom="1180" w:left="98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640"/>
        <w:gridCol w:w="7484"/>
      </w:tblGrid>
      <w:tr>
        <w:trPr>
          <w:trHeight w:val="577" w:hRule="atLeast"/>
        </w:trPr>
        <w:tc>
          <w:tcPr>
            <w:tcW w:w="631" w:type="dxa"/>
          </w:tcPr>
          <w:p>
            <w:pPr>
              <w:pStyle w:val="TableParagraph"/>
              <w:spacing w:line="233" w:lineRule="exact"/>
              <w:ind w:left="50"/>
              <w:rPr>
                <w:rFonts w:ascii="Times New Roman"/>
                <w:b/>
                <w:sz w:val="21"/>
              </w:rPr>
            </w:pPr>
            <w:r>
              <w:rPr>
                <w:rFonts w:ascii="Times New Roman"/>
                <w:b/>
                <w:sz w:val="21"/>
              </w:rPr>
              <w:t>8.28</w:t>
            </w:r>
          </w:p>
        </w:tc>
        <w:tc>
          <w:tcPr>
            <w:tcW w:w="1640" w:type="dxa"/>
          </w:tcPr>
          <w:p>
            <w:pPr>
              <w:pStyle w:val="TableParagraph"/>
              <w:spacing w:line="214" w:lineRule="exact"/>
              <w:ind w:left="213"/>
              <w:rPr>
                <w:b/>
                <w:sz w:val="21"/>
              </w:rPr>
            </w:pPr>
            <w:r>
              <w:rPr>
                <w:b/>
                <w:w w:val="95"/>
                <w:sz w:val="21"/>
              </w:rPr>
              <w:t>慢性复发性胰</w:t>
            </w:r>
          </w:p>
          <w:p>
            <w:pPr>
              <w:pStyle w:val="TableParagraph"/>
              <w:spacing w:before="37"/>
              <w:ind w:left="213"/>
              <w:rPr>
                <w:b/>
                <w:sz w:val="21"/>
              </w:rPr>
            </w:pPr>
            <w:r>
              <w:rPr>
                <w:b/>
                <w:sz w:val="21"/>
              </w:rPr>
              <w:t>腺炎</w:t>
            </w:r>
          </w:p>
        </w:tc>
        <w:tc>
          <w:tcPr>
            <w:tcW w:w="7484" w:type="dxa"/>
          </w:tcPr>
          <w:p>
            <w:pPr>
              <w:pStyle w:val="TableParagraph"/>
              <w:spacing w:line="214" w:lineRule="exact"/>
              <w:ind w:left="103"/>
              <w:rPr>
                <w:sz w:val="21"/>
              </w:rPr>
            </w:pPr>
            <w:r>
              <w:rPr>
                <w:sz w:val="21"/>
              </w:rPr>
              <w:t>胰腺炎反复发作超过三次以上并导致胰腺功能紊乱和营养不良，需要接受酶替</w:t>
            </w:r>
          </w:p>
          <w:p>
            <w:pPr>
              <w:pStyle w:val="TableParagraph"/>
              <w:spacing w:before="37"/>
              <w:ind w:left="103"/>
              <w:rPr>
                <w:sz w:val="21"/>
              </w:rPr>
            </w:pPr>
            <w:r>
              <w:rPr>
                <w:sz w:val="21"/>
              </w:rPr>
              <w:t>代治疗。诊断必须有消化科专科医生确认并且有内窥镜逆行胰胆管造影所证实。</w:t>
            </w:r>
          </w:p>
        </w:tc>
      </w:tr>
      <w:tr>
        <w:trPr>
          <w:trHeight w:val="387" w:hRule="atLeast"/>
        </w:trPr>
        <w:tc>
          <w:tcPr>
            <w:tcW w:w="631" w:type="dxa"/>
          </w:tcPr>
          <w:p>
            <w:pPr>
              <w:pStyle w:val="TableParagraph"/>
              <w:rPr>
                <w:rFonts w:ascii="Times New Roman"/>
                <w:sz w:val="20"/>
              </w:rPr>
            </w:pPr>
          </w:p>
        </w:tc>
        <w:tc>
          <w:tcPr>
            <w:tcW w:w="1640" w:type="dxa"/>
          </w:tcPr>
          <w:p>
            <w:pPr>
              <w:pStyle w:val="TableParagraph"/>
              <w:rPr>
                <w:rFonts w:ascii="Times New Roman"/>
                <w:sz w:val="20"/>
              </w:rPr>
            </w:pPr>
          </w:p>
        </w:tc>
        <w:tc>
          <w:tcPr>
            <w:tcW w:w="7484" w:type="dxa"/>
          </w:tcPr>
          <w:p>
            <w:pPr>
              <w:pStyle w:val="TableParagraph"/>
              <w:spacing w:line="261" w:lineRule="exact"/>
              <w:ind w:left="103"/>
              <w:rPr>
                <w:sz w:val="21"/>
              </w:rPr>
            </w:pPr>
            <w:r>
              <w:rPr>
                <w:sz w:val="21"/>
                <w:shd w:fill="C0C0C0" w:color="auto" w:val="clear"/>
              </w:rPr>
              <w:t>因酒精所致的慢性复发性胰腺炎不在保障范围内。</w:t>
            </w:r>
          </w:p>
        </w:tc>
      </w:tr>
      <w:tr>
        <w:trPr>
          <w:trHeight w:val="704" w:hRule="atLeast"/>
        </w:trPr>
        <w:tc>
          <w:tcPr>
            <w:tcW w:w="631" w:type="dxa"/>
          </w:tcPr>
          <w:p>
            <w:pPr>
              <w:pStyle w:val="TableParagraph"/>
              <w:spacing w:before="118"/>
              <w:ind w:left="50"/>
              <w:rPr>
                <w:rFonts w:ascii="Times New Roman"/>
                <w:b/>
                <w:sz w:val="21"/>
              </w:rPr>
            </w:pPr>
            <w:r>
              <w:rPr>
                <w:rFonts w:ascii="Times New Roman"/>
                <w:b/>
                <w:sz w:val="21"/>
              </w:rPr>
              <w:t>8.29</w:t>
            </w:r>
          </w:p>
        </w:tc>
        <w:tc>
          <w:tcPr>
            <w:tcW w:w="1640" w:type="dxa"/>
          </w:tcPr>
          <w:p>
            <w:pPr>
              <w:pStyle w:val="TableParagraph"/>
              <w:spacing w:before="66"/>
              <w:ind w:left="213"/>
              <w:rPr>
                <w:b/>
                <w:sz w:val="21"/>
              </w:rPr>
            </w:pPr>
            <w:r>
              <w:rPr>
                <w:b/>
                <w:sz w:val="21"/>
              </w:rPr>
              <w:t>象皮病</w:t>
            </w:r>
          </w:p>
        </w:tc>
        <w:tc>
          <w:tcPr>
            <w:tcW w:w="7484" w:type="dxa"/>
          </w:tcPr>
          <w:p>
            <w:pPr>
              <w:pStyle w:val="TableParagraph"/>
              <w:spacing w:line="273" w:lineRule="auto" w:before="66"/>
              <w:ind w:left="103" w:right="150"/>
              <w:rPr>
                <w:sz w:val="21"/>
              </w:rPr>
            </w:pPr>
            <w:r>
              <w:rPr>
                <w:sz w:val="21"/>
              </w:rPr>
              <w:t>指末期丝虫病，按国际淋巴学会分级为三度淋巴液肿，其临床表现为肢体非凹陷性水肿伴畸形增大、硬皮症和疣状增生。此病症须经专科医生根据临床表现</w:t>
            </w:r>
          </w:p>
        </w:tc>
      </w:tr>
      <w:tr>
        <w:trPr>
          <w:trHeight w:val="387" w:hRule="atLeast"/>
        </w:trPr>
        <w:tc>
          <w:tcPr>
            <w:tcW w:w="631" w:type="dxa"/>
          </w:tcPr>
          <w:p>
            <w:pPr>
              <w:pStyle w:val="TableParagraph"/>
              <w:rPr>
                <w:rFonts w:ascii="Times New Roman"/>
                <w:sz w:val="20"/>
              </w:rPr>
            </w:pPr>
          </w:p>
        </w:tc>
        <w:tc>
          <w:tcPr>
            <w:tcW w:w="1640" w:type="dxa"/>
          </w:tcPr>
          <w:p>
            <w:pPr>
              <w:pStyle w:val="TableParagraph"/>
              <w:rPr>
                <w:rFonts w:ascii="Times New Roman"/>
                <w:sz w:val="20"/>
              </w:rPr>
            </w:pPr>
          </w:p>
        </w:tc>
        <w:tc>
          <w:tcPr>
            <w:tcW w:w="7484" w:type="dxa"/>
          </w:tcPr>
          <w:p>
            <w:pPr>
              <w:pStyle w:val="TableParagraph"/>
              <w:spacing w:line="261" w:lineRule="exact"/>
              <w:ind w:left="103"/>
              <w:rPr>
                <w:sz w:val="21"/>
              </w:rPr>
            </w:pPr>
            <w:r>
              <w:rPr>
                <w:sz w:val="21"/>
              </w:rPr>
              <w:t>和微丝蚴的化验结果确诊。</w:t>
            </w:r>
          </w:p>
        </w:tc>
      </w:tr>
      <w:tr>
        <w:trPr>
          <w:trHeight w:val="704" w:hRule="atLeast"/>
        </w:trPr>
        <w:tc>
          <w:tcPr>
            <w:tcW w:w="631" w:type="dxa"/>
          </w:tcPr>
          <w:p>
            <w:pPr>
              <w:pStyle w:val="TableParagraph"/>
              <w:spacing w:before="118"/>
              <w:ind w:left="50"/>
              <w:rPr>
                <w:rFonts w:ascii="Times New Roman"/>
                <w:b/>
                <w:sz w:val="21"/>
              </w:rPr>
            </w:pPr>
            <w:r>
              <w:rPr>
                <w:rFonts w:ascii="Times New Roman"/>
                <w:b/>
                <w:sz w:val="21"/>
              </w:rPr>
              <w:t>8.30</w:t>
            </w:r>
          </w:p>
        </w:tc>
        <w:tc>
          <w:tcPr>
            <w:tcW w:w="1640" w:type="dxa"/>
          </w:tcPr>
          <w:p>
            <w:pPr>
              <w:pStyle w:val="TableParagraph"/>
              <w:spacing w:before="66"/>
              <w:ind w:left="213"/>
              <w:rPr>
                <w:b/>
                <w:sz w:val="21"/>
              </w:rPr>
            </w:pPr>
            <w:r>
              <w:rPr>
                <w:b/>
                <w:w w:val="95"/>
                <w:sz w:val="21"/>
              </w:rPr>
              <w:t>严重克隆病</w:t>
            </w:r>
          </w:p>
        </w:tc>
        <w:tc>
          <w:tcPr>
            <w:tcW w:w="7484" w:type="dxa"/>
          </w:tcPr>
          <w:p>
            <w:pPr>
              <w:pStyle w:val="TableParagraph"/>
              <w:spacing w:line="273" w:lineRule="auto" w:before="66"/>
              <w:ind w:left="103" w:right="150"/>
              <w:rPr>
                <w:sz w:val="21"/>
              </w:rPr>
            </w:pPr>
            <w:r>
              <w:rPr>
                <w:sz w:val="21"/>
              </w:rPr>
              <w:t>克隆病是一种慢性肉芽肿性肠炎，具有特征性的克隆病病理组织学变化。诊断必须由病理检查结果证实。被保险人所患的克隆病必须已经造成瘘管形成并伴</w:t>
            </w:r>
          </w:p>
        </w:tc>
      </w:tr>
      <w:tr>
        <w:trPr>
          <w:trHeight w:val="387" w:hRule="atLeast"/>
        </w:trPr>
        <w:tc>
          <w:tcPr>
            <w:tcW w:w="631" w:type="dxa"/>
          </w:tcPr>
          <w:p>
            <w:pPr>
              <w:pStyle w:val="TableParagraph"/>
              <w:rPr>
                <w:rFonts w:ascii="Times New Roman"/>
                <w:sz w:val="20"/>
              </w:rPr>
            </w:pPr>
          </w:p>
        </w:tc>
        <w:tc>
          <w:tcPr>
            <w:tcW w:w="1640" w:type="dxa"/>
          </w:tcPr>
          <w:p>
            <w:pPr>
              <w:pStyle w:val="TableParagraph"/>
              <w:rPr>
                <w:rFonts w:ascii="Times New Roman"/>
                <w:sz w:val="20"/>
              </w:rPr>
            </w:pPr>
          </w:p>
        </w:tc>
        <w:tc>
          <w:tcPr>
            <w:tcW w:w="7484" w:type="dxa"/>
          </w:tcPr>
          <w:p>
            <w:pPr>
              <w:pStyle w:val="TableParagraph"/>
              <w:spacing w:line="261" w:lineRule="exact"/>
              <w:ind w:left="103"/>
              <w:rPr>
                <w:sz w:val="21"/>
              </w:rPr>
            </w:pPr>
            <w:r>
              <w:rPr>
                <w:sz w:val="21"/>
              </w:rPr>
              <w:t>有肠梗阻或肠穿孔。</w:t>
            </w:r>
          </w:p>
        </w:tc>
      </w:tr>
      <w:tr>
        <w:trPr>
          <w:trHeight w:val="1411" w:hRule="atLeast"/>
        </w:trPr>
        <w:tc>
          <w:tcPr>
            <w:tcW w:w="631" w:type="dxa"/>
          </w:tcPr>
          <w:p>
            <w:pPr>
              <w:pStyle w:val="TableParagraph"/>
              <w:spacing w:before="118"/>
              <w:ind w:left="50"/>
              <w:rPr>
                <w:rFonts w:ascii="Times New Roman"/>
                <w:b/>
                <w:sz w:val="21"/>
              </w:rPr>
            </w:pPr>
            <w:r>
              <w:rPr>
                <w:rFonts w:ascii="Times New Roman"/>
                <w:b/>
                <w:sz w:val="21"/>
              </w:rPr>
              <w:t>8.31</w:t>
            </w:r>
          </w:p>
        </w:tc>
        <w:tc>
          <w:tcPr>
            <w:tcW w:w="1640" w:type="dxa"/>
          </w:tcPr>
          <w:p>
            <w:pPr>
              <w:pStyle w:val="TableParagraph"/>
              <w:spacing w:before="66"/>
              <w:ind w:left="213"/>
              <w:rPr>
                <w:b/>
                <w:sz w:val="21"/>
              </w:rPr>
            </w:pPr>
            <w:r>
              <w:rPr>
                <w:b/>
                <w:w w:val="95"/>
                <w:sz w:val="21"/>
              </w:rPr>
              <w:t>肾髓质囊性病</w:t>
            </w:r>
          </w:p>
        </w:tc>
        <w:tc>
          <w:tcPr>
            <w:tcW w:w="7484" w:type="dxa"/>
          </w:tcPr>
          <w:p>
            <w:pPr>
              <w:pStyle w:val="TableParagraph"/>
              <w:spacing w:before="66"/>
              <w:ind w:left="103"/>
              <w:rPr>
                <w:sz w:val="21"/>
              </w:rPr>
            </w:pPr>
            <w:r>
              <w:rPr>
                <w:sz w:val="21"/>
              </w:rPr>
              <w:t>肾髓质囊性病的诊断须同时符合下列要求：</w:t>
            </w:r>
          </w:p>
          <w:p>
            <w:pPr>
              <w:pStyle w:val="TableParagraph"/>
              <w:spacing w:before="37"/>
              <w:ind w:left="103"/>
              <w:rPr>
                <w:sz w:val="21"/>
              </w:rPr>
            </w:pPr>
            <w:r>
              <w:rPr>
                <w:rFonts w:ascii="Times New Roman" w:eastAsia="Times New Roman"/>
                <w:sz w:val="21"/>
              </w:rPr>
              <w:t>1.</w:t>
            </w:r>
            <w:r>
              <w:rPr>
                <w:sz w:val="21"/>
              </w:rPr>
              <w:t>肾髓质有囊肿、肾小管萎缩及间质纤维化等病理改变；</w:t>
            </w:r>
          </w:p>
          <w:p>
            <w:pPr>
              <w:pStyle w:val="TableParagraph"/>
              <w:spacing w:before="21"/>
              <w:ind w:left="103"/>
              <w:rPr>
                <w:sz w:val="21"/>
              </w:rPr>
            </w:pPr>
            <w:r>
              <w:rPr>
                <w:rFonts w:ascii="Times New Roman" w:eastAsia="Times New Roman"/>
                <w:sz w:val="21"/>
              </w:rPr>
              <w:t>2.</w:t>
            </w:r>
            <w:r>
              <w:rPr>
                <w:sz w:val="21"/>
              </w:rPr>
              <w:t>贫血、多尿及肾功能衰竭等临床表现；</w:t>
            </w:r>
          </w:p>
          <w:p>
            <w:pPr>
              <w:pStyle w:val="TableParagraph"/>
              <w:spacing w:before="21"/>
              <w:ind w:left="103"/>
              <w:rPr>
                <w:sz w:val="21"/>
              </w:rPr>
            </w:pPr>
            <w:r>
              <w:rPr>
                <w:rFonts w:ascii="Times New Roman" w:eastAsia="Times New Roman"/>
                <w:sz w:val="21"/>
              </w:rPr>
              <w:t>3.</w:t>
            </w:r>
            <w:r>
              <w:rPr>
                <w:sz w:val="21"/>
              </w:rPr>
              <w:t>诊断须由肾组织活检确定。</w:t>
            </w:r>
          </w:p>
        </w:tc>
      </w:tr>
      <w:tr>
        <w:trPr>
          <w:trHeight w:val="692" w:hRule="atLeast"/>
        </w:trPr>
        <w:tc>
          <w:tcPr>
            <w:tcW w:w="631" w:type="dxa"/>
          </w:tcPr>
          <w:p>
            <w:pPr>
              <w:pStyle w:val="TableParagraph"/>
              <w:spacing w:before="110"/>
              <w:ind w:left="50"/>
              <w:rPr>
                <w:rFonts w:ascii="Times New Roman"/>
                <w:b/>
                <w:sz w:val="21"/>
              </w:rPr>
            </w:pPr>
            <w:r>
              <w:rPr>
                <w:rFonts w:ascii="Times New Roman"/>
                <w:b/>
                <w:sz w:val="21"/>
              </w:rPr>
              <w:t>8.32</w:t>
            </w:r>
          </w:p>
        </w:tc>
        <w:tc>
          <w:tcPr>
            <w:tcW w:w="1640" w:type="dxa"/>
          </w:tcPr>
          <w:p>
            <w:pPr>
              <w:pStyle w:val="TableParagraph"/>
              <w:spacing w:line="310" w:lineRule="atLeast" w:before="23"/>
              <w:ind w:left="213" w:right="160"/>
              <w:rPr>
                <w:b/>
                <w:sz w:val="21"/>
              </w:rPr>
            </w:pPr>
            <w:r>
              <w:rPr>
                <w:b/>
                <w:sz w:val="21"/>
              </w:rPr>
              <w:t>严重肌营养不良症</w:t>
            </w:r>
          </w:p>
        </w:tc>
        <w:tc>
          <w:tcPr>
            <w:tcW w:w="7484" w:type="dxa"/>
          </w:tcPr>
          <w:p>
            <w:pPr>
              <w:pStyle w:val="TableParagraph"/>
              <w:spacing w:line="310" w:lineRule="atLeast" w:before="23"/>
              <w:ind w:left="103" w:right="46"/>
              <w:rPr>
                <w:sz w:val="21"/>
              </w:rPr>
            </w:pPr>
            <w:r>
              <w:rPr>
                <w:sz w:val="21"/>
              </w:rPr>
              <w:t>是一组原发于肌肉的遗传性的肌肉病变。主要临床特征为受累骨骼肌肉的无力</w:t>
            </w:r>
            <w:r>
              <w:rPr>
                <w:spacing w:val="-3"/>
                <w:sz w:val="21"/>
              </w:rPr>
              <w:t>和肌肉萎缩。经我们认可的神经专科医生确认符合以下四项诊断指标中的三项：</w:t>
            </w:r>
          </w:p>
        </w:tc>
      </w:tr>
      <w:tr>
        <w:trPr>
          <w:trHeight w:val="1335" w:hRule="atLeast"/>
        </w:trPr>
        <w:tc>
          <w:tcPr>
            <w:tcW w:w="631" w:type="dxa"/>
          </w:tcPr>
          <w:p>
            <w:pPr>
              <w:pStyle w:val="TableParagraph"/>
              <w:rPr>
                <w:rFonts w:ascii="Times New Roman"/>
                <w:sz w:val="20"/>
              </w:rPr>
            </w:pPr>
          </w:p>
        </w:tc>
        <w:tc>
          <w:tcPr>
            <w:tcW w:w="1640" w:type="dxa"/>
          </w:tcPr>
          <w:p>
            <w:pPr>
              <w:pStyle w:val="TableParagraph"/>
              <w:rPr>
                <w:rFonts w:ascii="Times New Roman"/>
                <w:sz w:val="20"/>
              </w:rPr>
            </w:pPr>
          </w:p>
        </w:tc>
        <w:tc>
          <w:tcPr>
            <w:tcW w:w="7484" w:type="dxa"/>
          </w:tcPr>
          <w:p>
            <w:pPr>
              <w:pStyle w:val="TableParagraph"/>
              <w:spacing w:line="280" w:lineRule="exact"/>
              <w:ind w:left="103"/>
              <w:rPr>
                <w:sz w:val="21"/>
              </w:rPr>
            </w:pPr>
            <w:r>
              <w:rPr>
                <w:rFonts w:ascii="Times New Roman" w:eastAsia="Times New Roman"/>
                <w:sz w:val="21"/>
              </w:rPr>
              <w:t>1.</w:t>
            </w:r>
            <w:r>
              <w:rPr>
                <w:sz w:val="21"/>
              </w:rPr>
              <w:t>家族史中有其他成员患相同疾病；</w:t>
            </w:r>
          </w:p>
          <w:p>
            <w:pPr>
              <w:pStyle w:val="TableParagraph"/>
              <w:spacing w:before="21"/>
              <w:ind w:left="103"/>
              <w:rPr>
                <w:sz w:val="21"/>
              </w:rPr>
            </w:pPr>
            <w:r>
              <w:rPr>
                <w:rFonts w:ascii="Times New Roman" w:eastAsia="Times New Roman"/>
                <w:sz w:val="21"/>
              </w:rPr>
              <w:t>2.</w:t>
            </w:r>
            <w:r>
              <w:rPr>
                <w:sz w:val="21"/>
              </w:rPr>
              <w:t>临床表现包括：无感觉神经紊乱，正常脑脊液及轻微腱反射的减</w:t>
            </w:r>
          </w:p>
          <w:p>
            <w:pPr>
              <w:pStyle w:val="TableParagraph"/>
              <w:spacing w:before="21"/>
              <w:ind w:left="103"/>
              <w:rPr>
                <w:sz w:val="21"/>
              </w:rPr>
            </w:pPr>
            <w:r>
              <w:rPr>
                <w:rFonts w:ascii="Times New Roman" w:eastAsia="Times New Roman"/>
                <w:sz w:val="21"/>
              </w:rPr>
              <w:t>3.</w:t>
            </w:r>
            <w:r>
              <w:rPr>
                <w:sz w:val="21"/>
              </w:rPr>
              <w:t>典型的肌电图；</w:t>
            </w:r>
          </w:p>
          <w:p>
            <w:pPr>
              <w:pStyle w:val="TableParagraph"/>
              <w:spacing w:before="21"/>
              <w:ind w:left="103"/>
              <w:rPr>
                <w:sz w:val="21"/>
              </w:rPr>
            </w:pPr>
            <w:r>
              <w:rPr>
                <w:rFonts w:ascii="Times New Roman" w:eastAsia="Times New Roman"/>
                <w:sz w:val="21"/>
              </w:rPr>
              <w:t>4.</w:t>
            </w:r>
            <w:r>
              <w:rPr>
                <w:sz w:val="21"/>
              </w:rPr>
              <w:t>临床推测必须有肌肉或组织检查加以证实。</w:t>
            </w:r>
          </w:p>
        </w:tc>
      </w:tr>
      <w:tr>
        <w:trPr>
          <w:trHeight w:val="2027" w:hRule="atLeast"/>
        </w:trPr>
        <w:tc>
          <w:tcPr>
            <w:tcW w:w="631" w:type="dxa"/>
          </w:tcPr>
          <w:p>
            <w:pPr>
              <w:pStyle w:val="TableParagraph"/>
              <w:spacing w:before="110"/>
              <w:ind w:left="50"/>
              <w:rPr>
                <w:rFonts w:ascii="Times New Roman"/>
                <w:b/>
                <w:sz w:val="21"/>
              </w:rPr>
            </w:pPr>
            <w:r>
              <w:rPr>
                <w:rFonts w:ascii="Times New Roman"/>
                <w:b/>
                <w:sz w:val="21"/>
              </w:rPr>
              <w:t>8.33</w:t>
            </w:r>
          </w:p>
        </w:tc>
        <w:tc>
          <w:tcPr>
            <w:tcW w:w="1640" w:type="dxa"/>
          </w:tcPr>
          <w:p>
            <w:pPr>
              <w:pStyle w:val="TableParagraph"/>
              <w:spacing w:before="58"/>
              <w:ind w:left="213"/>
              <w:rPr>
                <w:b/>
                <w:sz w:val="21"/>
              </w:rPr>
            </w:pPr>
            <w:r>
              <w:rPr>
                <w:b/>
                <w:sz w:val="21"/>
              </w:rPr>
              <w:t>严重哮喘</w:t>
            </w:r>
          </w:p>
        </w:tc>
        <w:tc>
          <w:tcPr>
            <w:tcW w:w="7484" w:type="dxa"/>
          </w:tcPr>
          <w:p>
            <w:pPr>
              <w:pStyle w:val="TableParagraph"/>
              <w:spacing w:before="58"/>
              <w:ind w:left="103"/>
              <w:rPr>
                <w:sz w:val="21"/>
              </w:rPr>
            </w:pPr>
            <w:r>
              <w:rPr>
                <w:sz w:val="21"/>
              </w:rPr>
              <w:t>是一种可逆性、反复发作的支气管阻塞型疾病，需满足下列至少三项条件：</w:t>
            </w:r>
          </w:p>
          <w:p>
            <w:pPr>
              <w:pStyle w:val="TableParagraph"/>
              <w:spacing w:before="37"/>
              <w:ind w:left="103"/>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w:t>
            </w:r>
          </w:p>
          <w:p>
            <w:pPr>
              <w:pStyle w:val="TableParagraph"/>
              <w:spacing w:before="21"/>
              <w:ind w:left="103"/>
              <w:rPr>
                <w:sz w:val="21"/>
              </w:rPr>
            </w:pPr>
            <w:r>
              <w:rPr>
                <w:rFonts w:ascii="Times New Roman" w:eastAsia="Times New Roman"/>
                <w:sz w:val="21"/>
              </w:rPr>
              <w:t>2.</w:t>
            </w:r>
            <w:r>
              <w:rPr>
                <w:sz w:val="21"/>
              </w:rPr>
              <w:t>身体活动耐受能力显著且持续下降；</w:t>
            </w:r>
          </w:p>
          <w:p>
            <w:pPr>
              <w:pStyle w:val="TableParagraph"/>
              <w:spacing w:before="21"/>
              <w:ind w:left="103"/>
              <w:rPr>
                <w:sz w:val="21"/>
              </w:rPr>
            </w:pPr>
            <w:r>
              <w:rPr>
                <w:rFonts w:ascii="Times New Roman" w:eastAsia="Times New Roman"/>
                <w:sz w:val="21"/>
              </w:rPr>
              <w:t>3.</w:t>
            </w:r>
            <w:r>
              <w:rPr>
                <w:sz w:val="21"/>
              </w:rPr>
              <w:t>肺部慢性过渡膨胀充气导致的胸廓畸形；</w:t>
            </w:r>
          </w:p>
          <w:p>
            <w:pPr>
              <w:pStyle w:val="TableParagraph"/>
              <w:spacing w:before="21"/>
              <w:ind w:left="103"/>
              <w:rPr>
                <w:sz w:val="21"/>
              </w:rPr>
            </w:pPr>
            <w:r>
              <w:rPr>
                <w:rFonts w:ascii="Times New Roman" w:eastAsia="Times New Roman"/>
                <w:sz w:val="21"/>
              </w:rPr>
              <w:t>4.</w:t>
            </w:r>
            <w:r>
              <w:rPr>
                <w:sz w:val="21"/>
              </w:rPr>
              <w:t>在家中需要医师处方的氧气治疗法；</w:t>
            </w:r>
          </w:p>
          <w:p>
            <w:pPr>
              <w:pStyle w:val="TableParagraph"/>
              <w:spacing w:before="21"/>
              <w:ind w:left="103"/>
              <w:rPr>
                <w:sz w:val="21"/>
              </w:rPr>
            </w:pPr>
            <w:r>
              <w:rPr>
                <w:rFonts w:ascii="Times New Roman" w:eastAsia="Times New Roman"/>
                <w:sz w:val="21"/>
              </w:rPr>
              <w:t>5.</w:t>
            </w:r>
            <w:r>
              <w:rPr>
                <w:sz w:val="21"/>
              </w:rPr>
              <w:t>持续日常服用口服可的松类固醇激素（至少持续服用</w:t>
            </w:r>
            <w:r>
              <w:rPr>
                <w:rFonts w:ascii="Times New Roman" w:eastAsia="Times New Roman"/>
                <w:sz w:val="21"/>
              </w:rPr>
              <w:t>6</w:t>
            </w:r>
            <w:r>
              <w:rPr>
                <w:sz w:val="21"/>
              </w:rPr>
              <w:t>个月以上）。</w:t>
            </w:r>
          </w:p>
        </w:tc>
      </w:tr>
      <w:tr>
        <w:trPr>
          <w:trHeight w:val="696" w:hRule="atLeast"/>
        </w:trPr>
        <w:tc>
          <w:tcPr>
            <w:tcW w:w="631" w:type="dxa"/>
          </w:tcPr>
          <w:p>
            <w:pPr>
              <w:pStyle w:val="TableParagraph"/>
              <w:spacing w:before="110"/>
              <w:ind w:left="50"/>
              <w:rPr>
                <w:rFonts w:ascii="Times New Roman"/>
                <w:b/>
                <w:sz w:val="21"/>
              </w:rPr>
            </w:pPr>
            <w:r>
              <w:rPr>
                <w:rFonts w:ascii="Times New Roman"/>
                <w:b/>
                <w:sz w:val="21"/>
              </w:rPr>
              <w:t>8.34</w:t>
            </w:r>
          </w:p>
        </w:tc>
        <w:tc>
          <w:tcPr>
            <w:tcW w:w="1640" w:type="dxa"/>
          </w:tcPr>
          <w:p>
            <w:pPr>
              <w:pStyle w:val="TableParagraph"/>
              <w:spacing w:line="273" w:lineRule="auto" w:before="58"/>
              <w:ind w:left="213" w:right="160"/>
              <w:rPr>
                <w:b/>
                <w:sz w:val="21"/>
              </w:rPr>
            </w:pPr>
            <w:r>
              <w:rPr>
                <w:b/>
                <w:sz w:val="21"/>
              </w:rPr>
              <w:t>严重溃疡性结肠炎</w:t>
            </w:r>
          </w:p>
        </w:tc>
        <w:tc>
          <w:tcPr>
            <w:tcW w:w="7484" w:type="dxa"/>
          </w:tcPr>
          <w:p>
            <w:pPr>
              <w:pStyle w:val="TableParagraph"/>
              <w:spacing w:line="273" w:lineRule="auto" w:before="58"/>
              <w:ind w:left="103" w:right="149"/>
              <w:rPr>
                <w:sz w:val="21"/>
              </w:rPr>
            </w:pPr>
            <w:r>
              <w:rPr>
                <w:sz w:val="21"/>
              </w:rPr>
              <w:t>指伴有致命性电解质紊乱的急性暴发性溃疡性结肠炎，病变累及全结肠，表现为严重的血便和系统性症状体征，治疗通常采取全结肠切除和回肠造瘘术。溃</w:t>
            </w:r>
          </w:p>
        </w:tc>
      </w:tr>
      <w:tr>
        <w:trPr>
          <w:trHeight w:val="311" w:hRule="atLeast"/>
        </w:trPr>
        <w:tc>
          <w:tcPr>
            <w:tcW w:w="631" w:type="dxa"/>
          </w:tcPr>
          <w:p>
            <w:pPr>
              <w:pStyle w:val="TableParagraph"/>
              <w:rPr>
                <w:rFonts w:ascii="Times New Roman"/>
                <w:sz w:val="20"/>
              </w:rPr>
            </w:pPr>
          </w:p>
        </w:tc>
        <w:tc>
          <w:tcPr>
            <w:tcW w:w="1640" w:type="dxa"/>
          </w:tcPr>
          <w:p>
            <w:pPr>
              <w:pStyle w:val="TableParagraph"/>
              <w:rPr>
                <w:rFonts w:ascii="Times New Roman"/>
                <w:sz w:val="20"/>
              </w:rPr>
            </w:pPr>
          </w:p>
        </w:tc>
        <w:tc>
          <w:tcPr>
            <w:tcW w:w="7484" w:type="dxa"/>
          </w:tcPr>
          <w:p>
            <w:pPr>
              <w:pStyle w:val="TableParagraph"/>
              <w:spacing w:line="261" w:lineRule="exact"/>
              <w:ind w:left="103"/>
              <w:rPr>
                <w:sz w:val="21"/>
              </w:rPr>
            </w:pPr>
            <w:r>
              <w:rPr>
                <w:sz w:val="21"/>
              </w:rPr>
              <w:t>疡性结肠炎必须根据组织病理学特点诊断，并且被保险人已经接受了结肠切除</w:t>
            </w:r>
          </w:p>
        </w:tc>
      </w:tr>
      <w:tr>
        <w:trPr>
          <w:trHeight w:val="387" w:hRule="atLeast"/>
        </w:trPr>
        <w:tc>
          <w:tcPr>
            <w:tcW w:w="631" w:type="dxa"/>
          </w:tcPr>
          <w:p>
            <w:pPr>
              <w:pStyle w:val="TableParagraph"/>
              <w:rPr>
                <w:rFonts w:ascii="Times New Roman"/>
                <w:sz w:val="20"/>
              </w:rPr>
            </w:pPr>
          </w:p>
        </w:tc>
        <w:tc>
          <w:tcPr>
            <w:tcW w:w="1640" w:type="dxa"/>
          </w:tcPr>
          <w:p>
            <w:pPr>
              <w:pStyle w:val="TableParagraph"/>
              <w:rPr>
                <w:rFonts w:ascii="Times New Roman"/>
                <w:sz w:val="20"/>
              </w:rPr>
            </w:pPr>
          </w:p>
        </w:tc>
        <w:tc>
          <w:tcPr>
            <w:tcW w:w="7484" w:type="dxa"/>
          </w:tcPr>
          <w:p>
            <w:pPr>
              <w:pStyle w:val="TableParagraph"/>
              <w:spacing w:line="261" w:lineRule="exact"/>
              <w:ind w:left="103"/>
              <w:rPr>
                <w:sz w:val="21"/>
              </w:rPr>
            </w:pPr>
            <w:r>
              <w:rPr>
                <w:sz w:val="21"/>
              </w:rPr>
              <w:t>和回肠造瘘术。</w:t>
            </w:r>
          </w:p>
        </w:tc>
      </w:tr>
      <w:tr>
        <w:trPr>
          <w:trHeight w:val="700" w:hRule="atLeast"/>
        </w:trPr>
        <w:tc>
          <w:tcPr>
            <w:tcW w:w="631" w:type="dxa"/>
          </w:tcPr>
          <w:p>
            <w:pPr>
              <w:pStyle w:val="TableParagraph"/>
              <w:spacing w:before="118"/>
              <w:ind w:left="50"/>
              <w:rPr>
                <w:rFonts w:ascii="Times New Roman"/>
                <w:b/>
                <w:sz w:val="21"/>
              </w:rPr>
            </w:pPr>
            <w:r>
              <w:rPr>
                <w:rFonts w:ascii="Times New Roman"/>
                <w:b/>
                <w:sz w:val="21"/>
              </w:rPr>
              <w:t>8.35</w:t>
            </w:r>
          </w:p>
        </w:tc>
        <w:tc>
          <w:tcPr>
            <w:tcW w:w="1640" w:type="dxa"/>
          </w:tcPr>
          <w:p>
            <w:pPr>
              <w:pStyle w:val="TableParagraph"/>
              <w:spacing w:before="66"/>
              <w:ind w:left="213"/>
              <w:rPr>
                <w:b/>
                <w:sz w:val="21"/>
              </w:rPr>
            </w:pPr>
            <w:r>
              <w:rPr>
                <w:b/>
                <w:w w:val="95"/>
                <w:sz w:val="21"/>
              </w:rPr>
              <w:t>肝豆状核变性</w:t>
            </w:r>
          </w:p>
        </w:tc>
        <w:tc>
          <w:tcPr>
            <w:tcW w:w="7484" w:type="dxa"/>
          </w:tcPr>
          <w:p>
            <w:pPr>
              <w:pStyle w:val="TableParagraph"/>
              <w:spacing w:line="310" w:lineRule="atLeast" w:before="31"/>
              <w:ind w:left="103" w:right="149"/>
              <w:rPr>
                <w:sz w:val="21"/>
              </w:rPr>
            </w:pPr>
            <w:r>
              <w:rPr>
                <w:sz w:val="21"/>
              </w:rPr>
              <w:t>指一种常染色体隐性遗传的铜代谢缺陷病，以不同程度的肝细胞损害、脑退行性病变和角膜边缘有铜盐沉着环为其临床特征，并须满足下列全部条件：</w:t>
            </w:r>
          </w:p>
        </w:tc>
      </w:tr>
      <w:tr>
        <w:trPr>
          <w:trHeight w:val="1335" w:hRule="atLeast"/>
        </w:trPr>
        <w:tc>
          <w:tcPr>
            <w:tcW w:w="631" w:type="dxa"/>
          </w:tcPr>
          <w:p>
            <w:pPr>
              <w:pStyle w:val="TableParagraph"/>
              <w:rPr>
                <w:rFonts w:ascii="Times New Roman"/>
                <w:sz w:val="20"/>
              </w:rPr>
            </w:pPr>
          </w:p>
        </w:tc>
        <w:tc>
          <w:tcPr>
            <w:tcW w:w="1640" w:type="dxa"/>
          </w:tcPr>
          <w:p>
            <w:pPr>
              <w:pStyle w:val="TableParagraph"/>
              <w:rPr>
                <w:rFonts w:ascii="Times New Roman"/>
                <w:sz w:val="20"/>
              </w:rPr>
            </w:pPr>
          </w:p>
        </w:tc>
        <w:tc>
          <w:tcPr>
            <w:tcW w:w="7484" w:type="dxa"/>
          </w:tcPr>
          <w:p>
            <w:pPr>
              <w:pStyle w:val="TableParagraph"/>
              <w:spacing w:line="280" w:lineRule="exact"/>
              <w:ind w:left="103"/>
              <w:rPr>
                <w:sz w:val="21"/>
              </w:rPr>
            </w:pPr>
            <w:r>
              <w:rPr>
                <w:rFonts w:ascii="Times New Roman" w:eastAsia="Times New Roman"/>
                <w:sz w:val="21"/>
              </w:rPr>
              <w:t>1.</w:t>
            </w:r>
            <w:r>
              <w:rPr>
                <w:sz w:val="21"/>
              </w:rPr>
              <w:t>典型症状；</w:t>
            </w:r>
          </w:p>
          <w:p>
            <w:pPr>
              <w:pStyle w:val="TableParagraph"/>
              <w:spacing w:before="21"/>
              <w:ind w:left="103"/>
              <w:rPr>
                <w:sz w:val="21"/>
              </w:rPr>
            </w:pPr>
            <w:r>
              <w:rPr>
                <w:rFonts w:ascii="Times New Roman" w:eastAsia="Times New Roman"/>
                <w:sz w:val="21"/>
              </w:rPr>
              <w:t>2.</w:t>
            </w:r>
            <w:r>
              <w:rPr>
                <w:sz w:val="21"/>
              </w:rPr>
              <w:t>角膜色素环（</w:t>
            </w:r>
            <w:r>
              <w:rPr>
                <w:rFonts w:ascii="Times New Roman" w:eastAsia="Times New Roman"/>
                <w:sz w:val="21"/>
              </w:rPr>
              <w:t>K</w:t>
            </w:r>
            <w:r>
              <w:rPr>
                <w:sz w:val="21"/>
              </w:rPr>
              <w:t>-</w:t>
            </w:r>
            <w:r>
              <w:rPr>
                <w:rFonts w:ascii="Times New Roman" w:eastAsia="Times New Roman"/>
                <w:sz w:val="21"/>
              </w:rPr>
              <w:t>F </w:t>
            </w:r>
            <w:r>
              <w:rPr>
                <w:sz w:val="21"/>
              </w:rPr>
              <w:t>环）；</w:t>
            </w:r>
          </w:p>
          <w:p>
            <w:pPr>
              <w:pStyle w:val="TableParagraph"/>
              <w:spacing w:before="21"/>
              <w:ind w:left="103"/>
              <w:rPr>
                <w:sz w:val="21"/>
              </w:rPr>
            </w:pPr>
            <w:r>
              <w:rPr>
                <w:rFonts w:ascii="Times New Roman" w:eastAsia="Times New Roman"/>
                <w:sz w:val="21"/>
              </w:rPr>
              <w:t>3.</w:t>
            </w:r>
            <w:r>
              <w:rPr>
                <w:sz w:val="21"/>
              </w:rPr>
              <w:t>血清铜和血清铜蓝蛋白降低，尿铜增加；</w:t>
            </w:r>
          </w:p>
          <w:p>
            <w:pPr>
              <w:pStyle w:val="TableParagraph"/>
              <w:spacing w:before="21"/>
              <w:ind w:left="103"/>
              <w:rPr>
                <w:sz w:val="21"/>
              </w:rPr>
            </w:pPr>
            <w:r>
              <w:rPr>
                <w:rFonts w:ascii="Times New Roman" w:eastAsia="Times New Roman"/>
                <w:sz w:val="21"/>
              </w:rPr>
              <w:t>4.</w:t>
            </w:r>
            <w:r>
              <w:rPr>
                <w:sz w:val="21"/>
              </w:rPr>
              <w:t>经皮做肝脏活检来定量分析肝脏铜的含量。</w:t>
            </w:r>
          </w:p>
        </w:tc>
      </w:tr>
      <w:tr>
        <w:trPr>
          <w:trHeight w:val="772" w:hRule="atLeast"/>
        </w:trPr>
        <w:tc>
          <w:tcPr>
            <w:tcW w:w="631" w:type="dxa"/>
          </w:tcPr>
          <w:p>
            <w:pPr>
              <w:pStyle w:val="TableParagraph"/>
              <w:spacing w:before="110"/>
              <w:ind w:left="50"/>
              <w:rPr>
                <w:rFonts w:ascii="Times New Roman"/>
                <w:b/>
                <w:sz w:val="21"/>
              </w:rPr>
            </w:pPr>
            <w:r>
              <w:rPr>
                <w:rFonts w:ascii="Times New Roman"/>
                <w:b/>
                <w:sz w:val="21"/>
              </w:rPr>
              <w:t>8.36</w:t>
            </w:r>
          </w:p>
        </w:tc>
        <w:tc>
          <w:tcPr>
            <w:tcW w:w="1640" w:type="dxa"/>
          </w:tcPr>
          <w:p>
            <w:pPr>
              <w:pStyle w:val="TableParagraph"/>
              <w:spacing w:before="58"/>
              <w:ind w:left="213"/>
              <w:rPr>
                <w:b/>
                <w:sz w:val="21"/>
              </w:rPr>
            </w:pPr>
            <w:r>
              <w:rPr>
                <w:b/>
                <w:sz w:val="21"/>
              </w:rPr>
              <w:t>胰腺移植</w:t>
            </w:r>
          </w:p>
        </w:tc>
        <w:tc>
          <w:tcPr>
            <w:tcW w:w="7484" w:type="dxa"/>
          </w:tcPr>
          <w:p>
            <w:pPr>
              <w:pStyle w:val="TableParagraph"/>
              <w:spacing w:line="273" w:lineRule="auto" w:before="58"/>
              <w:ind w:left="103" w:right="15"/>
              <w:rPr>
                <w:sz w:val="21"/>
              </w:rPr>
            </w:pPr>
            <w:r>
              <w:rPr>
                <w:sz w:val="21"/>
              </w:rPr>
              <w:t>指引胰腺功能衰竭，已经实施了在全身麻醉下进行的胰腺的异体器官移植手术。</w:t>
            </w:r>
            <w:r>
              <w:rPr>
                <w:sz w:val="21"/>
                <w:shd w:fill="C0C0C0" w:color="auto" w:val="clear"/>
              </w:rPr>
              <w:t>单纯胰岛移植、部分胰腺组织或细胞的移植不在保障范围内。</w:t>
            </w:r>
          </w:p>
        </w:tc>
      </w:tr>
      <w:tr>
        <w:trPr>
          <w:trHeight w:val="704" w:hRule="atLeast"/>
        </w:trPr>
        <w:tc>
          <w:tcPr>
            <w:tcW w:w="631" w:type="dxa"/>
          </w:tcPr>
          <w:p>
            <w:pPr>
              <w:pStyle w:val="TableParagraph"/>
              <w:spacing w:before="118"/>
              <w:ind w:left="50"/>
              <w:rPr>
                <w:rFonts w:ascii="Times New Roman"/>
                <w:b/>
                <w:sz w:val="21"/>
              </w:rPr>
            </w:pPr>
            <w:r>
              <w:rPr>
                <w:rFonts w:ascii="Times New Roman"/>
                <w:b/>
                <w:sz w:val="21"/>
              </w:rPr>
              <w:t>8.37</w:t>
            </w:r>
          </w:p>
        </w:tc>
        <w:tc>
          <w:tcPr>
            <w:tcW w:w="1640" w:type="dxa"/>
          </w:tcPr>
          <w:p>
            <w:pPr>
              <w:pStyle w:val="TableParagraph"/>
              <w:spacing w:line="273" w:lineRule="auto" w:before="66"/>
              <w:ind w:left="213" w:right="99"/>
              <w:rPr>
                <w:b/>
                <w:sz w:val="21"/>
              </w:rPr>
            </w:pPr>
            <w:r>
              <w:rPr>
                <w:b/>
                <w:sz w:val="21"/>
              </w:rPr>
              <w:t>慢性肾上腺皮</w:t>
            </w:r>
            <w:r>
              <w:rPr>
                <w:b/>
                <w:w w:val="95"/>
                <w:sz w:val="21"/>
              </w:rPr>
              <w:t>质功能衰竭</w:t>
            </w:r>
          </w:p>
        </w:tc>
        <w:tc>
          <w:tcPr>
            <w:tcW w:w="7484" w:type="dxa"/>
          </w:tcPr>
          <w:p>
            <w:pPr>
              <w:pStyle w:val="TableParagraph"/>
              <w:spacing w:line="273" w:lineRule="auto" w:before="66"/>
              <w:ind w:left="103" w:right="150"/>
              <w:rPr>
                <w:sz w:val="21"/>
              </w:rPr>
            </w:pPr>
            <w:r>
              <w:rPr>
                <w:sz w:val="21"/>
              </w:rPr>
              <w:t>因为自身免疫功能紊乱，使肾上腺组织逐渐受损，而需要长期接受糖皮质激素及肾上腺皮质激素替代疗法。该病必须经内分泌专科医生确诊，并有以下报告</w:t>
            </w:r>
          </w:p>
        </w:tc>
      </w:tr>
      <w:tr>
        <w:trPr>
          <w:trHeight w:val="308" w:hRule="atLeast"/>
        </w:trPr>
        <w:tc>
          <w:tcPr>
            <w:tcW w:w="631" w:type="dxa"/>
          </w:tcPr>
          <w:p>
            <w:pPr>
              <w:pStyle w:val="TableParagraph"/>
              <w:rPr>
                <w:rFonts w:ascii="Times New Roman"/>
                <w:sz w:val="20"/>
              </w:rPr>
            </w:pPr>
          </w:p>
        </w:tc>
        <w:tc>
          <w:tcPr>
            <w:tcW w:w="1640" w:type="dxa"/>
          </w:tcPr>
          <w:p>
            <w:pPr>
              <w:pStyle w:val="TableParagraph"/>
              <w:rPr>
                <w:rFonts w:ascii="Times New Roman"/>
                <w:sz w:val="20"/>
              </w:rPr>
            </w:pPr>
          </w:p>
        </w:tc>
        <w:tc>
          <w:tcPr>
            <w:tcW w:w="7484" w:type="dxa"/>
          </w:tcPr>
          <w:p>
            <w:pPr>
              <w:pStyle w:val="TableParagraph"/>
              <w:spacing w:line="261" w:lineRule="exact"/>
              <w:ind w:left="103"/>
              <w:rPr>
                <w:sz w:val="21"/>
              </w:rPr>
            </w:pPr>
            <w:r>
              <w:rPr>
                <w:sz w:val="21"/>
              </w:rPr>
              <w:t>作为证据：</w:t>
            </w:r>
          </w:p>
        </w:tc>
      </w:tr>
      <w:tr>
        <w:trPr>
          <w:trHeight w:val="280" w:hRule="atLeast"/>
        </w:trPr>
        <w:tc>
          <w:tcPr>
            <w:tcW w:w="631" w:type="dxa"/>
          </w:tcPr>
          <w:p>
            <w:pPr>
              <w:pStyle w:val="TableParagraph"/>
              <w:rPr>
                <w:rFonts w:ascii="Times New Roman"/>
                <w:sz w:val="20"/>
              </w:rPr>
            </w:pPr>
          </w:p>
        </w:tc>
        <w:tc>
          <w:tcPr>
            <w:tcW w:w="1640" w:type="dxa"/>
          </w:tcPr>
          <w:p>
            <w:pPr>
              <w:pStyle w:val="TableParagraph"/>
              <w:rPr>
                <w:rFonts w:ascii="Times New Roman"/>
                <w:sz w:val="20"/>
              </w:rPr>
            </w:pPr>
          </w:p>
        </w:tc>
        <w:tc>
          <w:tcPr>
            <w:tcW w:w="7484" w:type="dxa"/>
          </w:tcPr>
          <w:p>
            <w:pPr>
              <w:pStyle w:val="TableParagraph"/>
              <w:spacing w:line="260" w:lineRule="exact"/>
              <w:ind w:left="103"/>
              <w:rPr>
                <w:sz w:val="21"/>
              </w:rPr>
            </w:pP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tc>
      </w:tr>
    </w:tbl>
    <w:p>
      <w:pPr>
        <w:spacing w:after="0" w:line="260" w:lineRule="exact"/>
        <w:rPr>
          <w:sz w:val="21"/>
        </w:rPr>
        <w:sectPr>
          <w:footerReference w:type="default" r:id="rId7"/>
          <w:pgSz w:w="11910" w:h="16840"/>
          <w:pgMar w:footer="988" w:header="0" w:top="1180" w:bottom="1180" w:left="980" w:right="960"/>
          <w:pgNumType w:start="13"/>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688"/>
        <w:gridCol w:w="7437"/>
      </w:tblGrid>
      <w:tr>
        <w:trPr>
          <w:trHeight w:val="945" w:hRule="atLeast"/>
        </w:trPr>
        <w:tc>
          <w:tcPr>
            <w:tcW w:w="631" w:type="dxa"/>
          </w:tcPr>
          <w:p>
            <w:pPr>
              <w:pStyle w:val="TableParagraph"/>
              <w:rPr>
                <w:rFonts w:ascii="Times New Roman"/>
                <w:sz w:val="20"/>
              </w:rPr>
            </w:pPr>
          </w:p>
        </w:tc>
        <w:tc>
          <w:tcPr>
            <w:tcW w:w="1688" w:type="dxa"/>
          </w:tcPr>
          <w:p>
            <w:pPr>
              <w:pStyle w:val="TableParagraph"/>
              <w:rPr>
                <w:rFonts w:ascii="Times New Roman"/>
                <w:sz w:val="20"/>
              </w:rPr>
            </w:pPr>
          </w:p>
        </w:tc>
        <w:tc>
          <w:tcPr>
            <w:tcW w:w="7437" w:type="dxa"/>
          </w:tcPr>
          <w:p>
            <w:pPr>
              <w:pStyle w:val="TableParagraph"/>
              <w:spacing w:line="230" w:lineRule="exact"/>
              <w:ind w:left="55"/>
              <w:rPr>
                <w:sz w:val="21"/>
              </w:rPr>
            </w:pPr>
            <w:r>
              <w:rPr>
                <w:rFonts w:ascii="Times New Roman" w:eastAsia="Times New Roman"/>
                <w:sz w:val="21"/>
              </w:rPr>
              <w:t>2.</w:t>
            </w:r>
            <w:r>
              <w:rPr>
                <w:sz w:val="21"/>
              </w:rPr>
              <w:t>胰岛素血糖减少测试；</w:t>
            </w:r>
          </w:p>
          <w:p>
            <w:pPr>
              <w:pStyle w:val="TableParagraph"/>
              <w:spacing w:before="21"/>
              <w:ind w:left="55"/>
              <w:rPr>
                <w:sz w:val="21"/>
              </w:rPr>
            </w:pP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21"/>
              <w:ind w:left="55"/>
              <w:rPr>
                <w:sz w:val="21"/>
              </w:rPr>
            </w:pPr>
            <w:r>
              <w:rPr>
                <w:rFonts w:ascii="Times New Roman" w:eastAsia="Times New Roman"/>
                <w:sz w:val="21"/>
              </w:rPr>
              <w:t>4.</w:t>
            </w:r>
            <w:r>
              <w:rPr>
                <w:sz w:val="21"/>
              </w:rPr>
              <w:t>血浆肾素活性(</w:t>
            </w:r>
            <w:r>
              <w:rPr>
                <w:rFonts w:ascii="Times New Roman" w:eastAsia="Times New Roman"/>
                <w:sz w:val="21"/>
              </w:rPr>
              <w:t>PRA</w:t>
            </w:r>
            <w:r>
              <w:rPr>
                <w:sz w:val="21"/>
              </w:rPr>
              <w:t>)测定。</w:t>
            </w:r>
          </w:p>
        </w:tc>
      </w:tr>
      <w:tr>
        <w:trPr>
          <w:trHeight w:val="350" w:hRule="atLeast"/>
        </w:trPr>
        <w:tc>
          <w:tcPr>
            <w:tcW w:w="631" w:type="dxa"/>
          </w:tcPr>
          <w:p>
            <w:pPr>
              <w:pStyle w:val="TableParagraph"/>
              <w:rPr>
                <w:rFonts w:ascii="Times New Roman"/>
                <w:sz w:val="20"/>
              </w:rPr>
            </w:pPr>
          </w:p>
        </w:tc>
        <w:tc>
          <w:tcPr>
            <w:tcW w:w="1688" w:type="dxa"/>
          </w:tcPr>
          <w:p>
            <w:pPr>
              <w:pStyle w:val="TableParagraph"/>
              <w:rPr>
                <w:rFonts w:ascii="Times New Roman"/>
                <w:sz w:val="20"/>
              </w:rPr>
            </w:pPr>
          </w:p>
        </w:tc>
        <w:tc>
          <w:tcPr>
            <w:tcW w:w="7437" w:type="dxa"/>
          </w:tcPr>
          <w:p>
            <w:pPr>
              <w:pStyle w:val="TableParagraph"/>
              <w:spacing w:before="21"/>
              <w:ind w:left="55"/>
              <w:rPr>
                <w:sz w:val="21"/>
              </w:rPr>
            </w:pPr>
            <w:r>
              <w:rPr>
                <w:sz w:val="21"/>
                <w:shd w:fill="C0C0C0" w:color="auto" w:val="clear"/>
              </w:rPr>
              <w:t>慢性肾上腺皮质功能衰竭只对由自身免疫功能紊乱引起的承担保险责任，其他</w:t>
            </w:r>
          </w:p>
        </w:tc>
      </w:tr>
      <w:tr>
        <w:trPr>
          <w:trHeight w:val="387" w:hRule="atLeast"/>
        </w:trPr>
        <w:tc>
          <w:tcPr>
            <w:tcW w:w="631" w:type="dxa"/>
          </w:tcPr>
          <w:p>
            <w:pPr>
              <w:pStyle w:val="TableParagraph"/>
              <w:rPr>
                <w:rFonts w:ascii="Times New Roman"/>
                <w:sz w:val="20"/>
              </w:rPr>
            </w:pPr>
          </w:p>
        </w:tc>
        <w:tc>
          <w:tcPr>
            <w:tcW w:w="1688" w:type="dxa"/>
          </w:tcPr>
          <w:p>
            <w:pPr>
              <w:pStyle w:val="TableParagraph"/>
              <w:rPr>
                <w:rFonts w:ascii="Times New Roman"/>
                <w:sz w:val="20"/>
              </w:rPr>
            </w:pPr>
          </w:p>
        </w:tc>
        <w:tc>
          <w:tcPr>
            <w:tcW w:w="7437" w:type="dxa"/>
          </w:tcPr>
          <w:p>
            <w:pPr>
              <w:pStyle w:val="TableParagraph"/>
              <w:spacing w:line="258" w:lineRule="exact"/>
              <w:ind w:left="55"/>
              <w:rPr>
                <w:sz w:val="21"/>
              </w:rPr>
            </w:pPr>
            <w:r>
              <w:rPr>
                <w:sz w:val="21"/>
                <w:shd w:fill="C0C0C0" w:color="auto" w:val="clear"/>
              </w:rPr>
              <w:t>原因引起的不在保障范围内。</w:t>
            </w:r>
          </w:p>
        </w:tc>
      </w:tr>
      <w:tr>
        <w:trPr>
          <w:trHeight w:val="750" w:hRule="atLeast"/>
        </w:trPr>
        <w:tc>
          <w:tcPr>
            <w:tcW w:w="631" w:type="dxa"/>
          </w:tcPr>
          <w:p>
            <w:pPr>
              <w:pStyle w:val="TableParagraph"/>
              <w:spacing w:before="115"/>
              <w:ind w:left="50"/>
              <w:rPr>
                <w:rFonts w:ascii="Times New Roman"/>
                <w:b/>
                <w:sz w:val="21"/>
              </w:rPr>
            </w:pPr>
            <w:r>
              <w:rPr>
                <w:rFonts w:ascii="Times New Roman"/>
                <w:b/>
                <w:sz w:val="21"/>
              </w:rPr>
              <w:t>8.38</w:t>
            </w:r>
          </w:p>
        </w:tc>
        <w:tc>
          <w:tcPr>
            <w:tcW w:w="1688" w:type="dxa"/>
          </w:tcPr>
          <w:p>
            <w:pPr>
              <w:pStyle w:val="TableParagraph"/>
              <w:spacing w:line="273" w:lineRule="auto" w:before="63"/>
              <w:ind w:left="213" w:right="147"/>
              <w:rPr>
                <w:b/>
                <w:sz w:val="21"/>
              </w:rPr>
            </w:pPr>
            <w:r>
              <w:rPr>
                <w:b/>
                <w:sz w:val="21"/>
              </w:rPr>
              <w:t>重症急性胰腺炎-不包括酒</w:t>
            </w:r>
          </w:p>
        </w:tc>
        <w:tc>
          <w:tcPr>
            <w:tcW w:w="7437" w:type="dxa"/>
          </w:tcPr>
          <w:p>
            <w:pPr>
              <w:pStyle w:val="TableParagraph"/>
              <w:spacing w:line="273" w:lineRule="auto" w:before="63"/>
              <w:ind w:left="55" w:right="151"/>
              <w:rPr>
                <w:sz w:val="21"/>
              </w:rPr>
            </w:pPr>
            <w:r>
              <w:rPr>
                <w:sz w:val="21"/>
              </w:rPr>
              <w:t>指被保险人因为急性出血坏死性胰腺炎已经接受了外科开腹手术治疗，以进行坏死组织清除、坏死病灶切除或胰腺切除。</w:t>
            </w:r>
          </w:p>
        </w:tc>
      </w:tr>
      <w:tr>
        <w:trPr>
          <w:trHeight w:val="358" w:hRule="atLeast"/>
        </w:trPr>
        <w:tc>
          <w:tcPr>
            <w:tcW w:w="631" w:type="dxa"/>
          </w:tcPr>
          <w:p>
            <w:pPr>
              <w:pStyle w:val="TableParagraph"/>
              <w:rPr>
                <w:rFonts w:ascii="Times New Roman"/>
                <w:sz w:val="20"/>
              </w:rPr>
            </w:pPr>
          </w:p>
        </w:tc>
        <w:tc>
          <w:tcPr>
            <w:tcW w:w="1688" w:type="dxa"/>
          </w:tcPr>
          <w:p>
            <w:pPr>
              <w:pStyle w:val="TableParagraph"/>
              <w:spacing w:line="211" w:lineRule="exact"/>
              <w:ind w:left="213"/>
              <w:rPr>
                <w:b/>
                <w:sz w:val="21"/>
              </w:rPr>
            </w:pPr>
            <w:r>
              <w:rPr>
                <w:b/>
                <w:w w:val="95"/>
                <w:sz w:val="21"/>
              </w:rPr>
              <w:t>精作用所致</w:t>
            </w:r>
          </w:p>
        </w:tc>
        <w:tc>
          <w:tcPr>
            <w:tcW w:w="7437" w:type="dxa"/>
          </w:tcPr>
          <w:p>
            <w:pPr>
              <w:pStyle w:val="TableParagraph"/>
              <w:spacing w:before="30"/>
              <w:ind w:left="55"/>
              <w:rPr>
                <w:sz w:val="21"/>
              </w:rPr>
            </w:pPr>
            <w:r>
              <w:rPr>
                <w:sz w:val="21"/>
                <w:shd w:fill="C0C0C0" w:color="auto" w:val="clear"/>
              </w:rPr>
              <w:t>因饮酒所致的急性出血坏死性胰腺炎或经腹腔镜手术进行的治疗不在保障范围</w:t>
            </w:r>
          </w:p>
        </w:tc>
      </w:tr>
      <w:tr>
        <w:trPr>
          <w:trHeight w:val="387" w:hRule="atLeast"/>
        </w:trPr>
        <w:tc>
          <w:tcPr>
            <w:tcW w:w="631" w:type="dxa"/>
          </w:tcPr>
          <w:p>
            <w:pPr>
              <w:pStyle w:val="TableParagraph"/>
              <w:rPr>
                <w:rFonts w:ascii="Times New Roman"/>
                <w:sz w:val="20"/>
              </w:rPr>
            </w:pPr>
          </w:p>
        </w:tc>
        <w:tc>
          <w:tcPr>
            <w:tcW w:w="1688" w:type="dxa"/>
          </w:tcPr>
          <w:p>
            <w:pPr>
              <w:pStyle w:val="TableParagraph"/>
              <w:rPr>
                <w:rFonts w:ascii="Times New Roman"/>
                <w:sz w:val="20"/>
              </w:rPr>
            </w:pPr>
          </w:p>
        </w:tc>
        <w:tc>
          <w:tcPr>
            <w:tcW w:w="7437" w:type="dxa"/>
          </w:tcPr>
          <w:p>
            <w:pPr>
              <w:pStyle w:val="TableParagraph"/>
              <w:spacing w:line="258" w:lineRule="exact"/>
              <w:ind w:left="55"/>
              <w:rPr>
                <w:sz w:val="21"/>
              </w:rPr>
            </w:pPr>
            <w:r>
              <w:rPr>
                <w:sz w:val="21"/>
                <w:shd w:fill="C0C0C0" w:color="auto" w:val="clear"/>
              </w:rPr>
              <w:t>内。</w:t>
            </w:r>
          </w:p>
        </w:tc>
      </w:tr>
      <w:tr>
        <w:trPr>
          <w:trHeight w:val="700" w:hRule="atLeast"/>
        </w:trPr>
        <w:tc>
          <w:tcPr>
            <w:tcW w:w="631" w:type="dxa"/>
          </w:tcPr>
          <w:p>
            <w:pPr>
              <w:pStyle w:val="TableParagraph"/>
              <w:spacing w:before="115"/>
              <w:ind w:left="50"/>
              <w:rPr>
                <w:rFonts w:ascii="Times New Roman"/>
                <w:b/>
                <w:sz w:val="21"/>
              </w:rPr>
            </w:pPr>
            <w:r>
              <w:rPr>
                <w:rFonts w:ascii="Times New Roman"/>
                <w:b/>
                <w:sz w:val="21"/>
              </w:rPr>
              <w:t>8.39</w:t>
            </w:r>
          </w:p>
        </w:tc>
        <w:tc>
          <w:tcPr>
            <w:tcW w:w="1688" w:type="dxa"/>
          </w:tcPr>
          <w:p>
            <w:pPr>
              <w:pStyle w:val="TableParagraph"/>
              <w:spacing w:line="273" w:lineRule="auto" w:before="63"/>
              <w:ind w:left="213" w:right="147"/>
              <w:rPr>
                <w:b/>
                <w:sz w:val="21"/>
              </w:rPr>
            </w:pPr>
            <w:r>
              <w:rPr>
                <w:b/>
                <w:sz w:val="21"/>
              </w:rPr>
              <w:t>严重的胰岛素</w:t>
            </w:r>
            <w:r>
              <w:rPr>
                <w:b/>
                <w:w w:val="95"/>
                <w:sz w:val="21"/>
              </w:rPr>
              <w:t>依赖型糖尿病</w:t>
            </w:r>
          </w:p>
        </w:tc>
        <w:tc>
          <w:tcPr>
            <w:tcW w:w="7437" w:type="dxa"/>
          </w:tcPr>
          <w:p>
            <w:pPr>
              <w:pStyle w:val="TableParagraph"/>
              <w:spacing w:line="273" w:lineRule="auto" w:before="63"/>
              <w:ind w:left="55" w:right="151"/>
              <w:rPr>
                <w:sz w:val="21"/>
              </w:rPr>
            </w:pPr>
            <w:r>
              <w:rPr>
                <w:sz w:val="21"/>
              </w:rPr>
              <w:t>胰岛素依赖型糖尿病是由于胰岛素分泌绝对不足而引起以血浆葡萄糖水平增高为特征的代谢内分泌疾病，需持续利用外源性胰岛素治疗。必须明确诊断为胰</w:t>
            </w:r>
          </w:p>
        </w:tc>
      </w:tr>
      <w:tr>
        <w:trPr>
          <w:trHeight w:val="1335" w:hRule="atLeast"/>
        </w:trPr>
        <w:tc>
          <w:tcPr>
            <w:tcW w:w="631" w:type="dxa"/>
          </w:tcPr>
          <w:p>
            <w:pPr>
              <w:pStyle w:val="TableParagraph"/>
              <w:rPr>
                <w:rFonts w:ascii="Times New Roman"/>
                <w:sz w:val="20"/>
              </w:rPr>
            </w:pPr>
          </w:p>
        </w:tc>
        <w:tc>
          <w:tcPr>
            <w:tcW w:w="1688" w:type="dxa"/>
          </w:tcPr>
          <w:p>
            <w:pPr>
              <w:pStyle w:val="TableParagraph"/>
              <w:spacing w:line="277" w:lineRule="exact"/>
              <w:ind w:left="213"/>
              <w:rPr>
                <w:b/>
                <w:sz w:val="21"/>
              </w:rPr>
            </w:pPr>
            <w:r>
              <w:rPr>
                <w:b/>
                <w:sz w:val="21"/>
              </w:rPr>
              <w:t>（</w:t>
            </w:r>
            <w:r>
              <w:rPr>
                <w:rFonts w:ascii="Times New Roman" w:eastAsia="Times New Roman"/>
                <w:b/>
                <w:sz w:val="21"/>
              </w:rPr>
              <w:t>1 </w:t>
            </w:r>
            <w:r>
              <w:rPr>
                <w:b/>
                <w:sz w:val="21"/>
              </w:rPr>
              <w:t>型糖尿病）</w:t>
            </w:r>
          </w:p>
        </w:tc>
        <w:tc>
          <w:tcPr>
            <w:tcW w:w="7437" w:type="dxa"/>
          </w:tcPr>
          <w:p>
            <w:pPr>
              <w:pStyle w:val="TableParagraph"/>
              <w:spacing w:line="277" w:lineRule="exact"/>
              <w:ind w:left="55"/>
              <w:rPr>
                <w:sz w:val="21"/>
              </w:rPr>
            </w:pPr>
            <w:r>
              <w:rPr>
                <w:sz w:val="21"/>
              </w:rPr>
              <w:t>岛素依赖型糖尿病（</w:t>
            </w:r>
            <w:r>
              <w:rPr>
                <w:rFonts w:ascii="Times New Roman" w:eastAsia="Times New Roman"/>
                <w:sz w:val="21"/>
              </w:rPr>
              <w:t>1 </w:t>
            </w:r>
            <w:r>
              <w:rPr>
                <w:sz w:val="21"/>
              </w:rPr>
              <w:t>型糖尿病）并满足下列至少一个条件：</w:t>
            </w:r>
          </w:p>
          <w:p>
            <w:pPr>
              <w:pStyle w:val="TableParagraph"/>
              <w:spacing w:before="21"/>
              <w:ind w:left="55"/>
              <w:rPr>
                <w:sz w:val="21"/>
              </w:rPr>
            </w:pPr>
            <w:r>
              <w:rPr>
                <w:rFonts w:ascii="Times New Roman" w:eastAsia="Times New Roman"/>
                <w:sz w:val="21"/>
              </w:rPr>
              <w:t>1.</w:t>
            </w:r>
            <w:r>
              <w:rPr>
                <w:sz w:val="21"/>
              </w:rPr>
              <w:t>出现增殖性糖尿病视网膜病变；</w:t>
            </w:r>
          </w:p>
          <w:p>
            <w:pPr>
              <w:pStyle w:val="TableParagraph"/>
              <w:spacing w:before="21"/>
              <w:ind w:left="55"/>
              <w:rPr>
                <w:sz w:val="21"/>
              </w:rPr>
            </w:pPr>
            <w:r>
              <w:rPr>
                <w:rFonts w:ascii="Times New Roman" w:eastAsia="Times New Roman"/>
                <w:sz w:val="21"/>
              </w:rPr>
              <w:t>2.</w:t>
            </w:r>
            <w:r>
              <w:rPr>
                <w:sz w:val="21"/>
              </w:rPr>
              <w:t>糖尿病肾病，且尿蛋白</w:t>
            </w:r>
            <w:r>
              <w:rPr>
                <w:rFonts w:ascii="Times New Roman" w:eastAsia="Times New Roman"/>
                <w:sz w:val="21"/>
              </w:rPr>
              <w:t>&gt;0.5g/24h</w:t>
            </w:r>
            <w:r>
              <w:rPr>
                <w:sz w:val="21"/>
              </w:rPr>
              <w:t>；</w:t>
            </w:r>
          </w:p>
          <w:p>
            <w:pPr>
              <w:pStyle w:val="TableParagraph"/>
              <w:spacing w:before="21"/>
              <w:ind w:left="55"/>
              <w:rPr>
                <w:sz w:val="21"/>
              </w:rPr>
            </w:pPr>
            <w:r>
              <w:rPr>
                <w:rFonts w:ascii="Times New Roman" w:eastAsia="Times New Roman"/>
                <w:sz w:val="21"/>
              </w:rPr>
              <w:t>3.</w:t>
            </w:r>
            <w:r>
              <w:rPr>
                <w:sz w:val="21"/>
              </w:rPr>
              <w:t>因糖尿病足趾坏疽进行足趾或下肢截断术。</w:t>
            </w:r>
          </w:p>
        </w:tc>
      </w:tr>
      <w:tr>
        <w:trPr>
          <w:trHeight w:val="696" w:hRule="atLeast"/>
        </w:trPr>
        <w:tc>
          <w:tcPr>
            <w:tcW w:w="631" w:type="dxa"/>
          </w:tcPr>
          <w:p>
            <w:pPr>
              <w:pStyle w:val="TableParagraph"/>
              <w:spacing w:before="107"/>
              <w:ind w:left="50"/>
              <w:rPr>
                <w:rFonts w:ascii="Times New Roman"/>
                <w:b/>
                <w:sz w:val="21"/>
              </w:rPr>
            </w:pPr>
            <w:r>
              <w:rPr>
                <w:rFonts w:ascii="Times New Roman"/>
                <w:b/>
                <w:sz w:val="21"/>
              </w:rPr>
              <w:t>8.40</w:t>
            </w:r>
          </w:p>
        </w:tc>
        <w:tc>
          <w:tcPr>
            <w:tcW w:w="1688" w:type="dxa"/>
          </w:tcPr>
          <w:p>
            <w:pPr>
              <w:pStyle w:val="TableParagraph"/>
              <w:spacing w:line="273" w:lineRule="auto" w:before="55"/>
              <w:ind w:left="213" w:right="147"/>
              <w:rPr>
                <w:b/>
                <w:sz w:val="21"/>
              </w:rPr>
            </w:pPr>
            <w:r>
              <w:rPr>
                <w:b/>
                <w:sz w:val="21"/>
              </w:rPr>
              <w:t>严重脊髓灰质炎</w:t>
            </w:r>
          </w:p>
        </w:tc>
        <w:tc>
          <w:tcPr>
            <w:tcW w:w="7437" w:type="dxa"/>
          </w:tcPr>
          <w:p>
            <w:pPr>
              <w:pStyle w:val="TableParagraph"/>
              <w:spacing w:line="273" w:lineRule="auto" w:before="55"/>
              <w:ind w:left="55" w:right="151"/>
              <w:rPr>
                <w:sz w:val="21"/>
              </w:rPr>
            </w:pPr>
            <w:r>
              <w:rPr>
                <w:sz w:val="21"/>
              </w:rPr>
              <w:t>脊髓灰质炎是由于脊髓灰质炎病毒感染所致的瘫痪性疾病，临床表现为运动功能损害或呼吸无力。脊髓灰质炎必须明确诊断。本保单仅对脊髓灰质炎造成的</w:t>
            </w:r>
          </w:p>
        </w:tc>
      </w:tr>
      <w:tr>
        <w:trPr>
          <w:trHeight w:val="308" w:hRule="atLeast"/>
        </w:trPr>
        <w:tc>
          <w:tcPr>
            <w:tcW w:w="631" w:type="dxa"/>
          </w:tcPr>
          <w:p>
            <w:pPr>
              <w:pStyle w:val="TableParagraph"/>
              <w:rPr>
                <w:rFonts w:ascii="Times New Roman"/>
                <w:sz w:val="20"/>
              </w:rPr>
            </w:pPr>
          </w:p>
        </w:tc>
        <w:tc>
          <w:tcPr>
            <w:tcW w:w="1688" w:type="dxa"/>
          </w:tcPr>
          <w:p>
            <w:pPr>
              <w:pStyle w:val="TableParagraph"/>
              <w:rPr>
                <w:rFonts w:ascii="Times New Roman"/>
                <w:sz w:val="20"/>
              </w:rPr>
            </w:pPr>
          </w:p>
        </w:tc>
        <w:tc>
          <w:tcPr>
            <w:tcW w:w="7437" w:type="dxa"/>
          </w:tcPr>
          <w:p>
            <w:pPr>
              <w:pStyle w:val="TableParagraph"/>
              <w:spacing w:line="258" w:lineRule="exact"/>
              <w:ind w:left="55"/>
              <w:rPr>
                <w:sz w:val="21"/>
              </w:rPr>
            </w:pPr>
            <w:r>
              <w:rPr>
                <w:sz w:val="21"/>
              </w:rPr>
              <w:t>神经系统功能损害导致被保险人一肢或一肢以上肢体机能永久完全丧失的情况</w:t>
            </w:r>
          </w:p>
        </w:tc>
      </w:tr>
      <w:tr>
        <w:trPr>
          <w:trHeight w:val="323" w:hRule="atLeast"/>
        </w:trPr>
        <w:tc>
          <w:tcPr>
            <w:tcW w:w="631" w:type="dxa"/>
          </w:tcPr>
          <w:p>
            <w:pPr>
              <w:pStyle w:val="TableParagraph"/>
              <w:rPr>
                <w:rFonts w:ascii="Times New Roman"/>
                <w:sz w:val="20"/>
              </w:rPr>
            </w:pPr>
          </w:p>
        </w:tc>
        <w:tc>
          <w:tcPr>
            <w:tcW w:w="1688" w:type="dxa"/>
          </w:tcPr>
          <w:p>
            <w:pPr>
              <w:pStyle w:val="TableParagraph"/>
              <w:rPr>
                <w:rFonts w:ascii="Times New Roman"/>
                <w:sz w:val="20"/>
              </w:rPr>
            </w:pPr>
          </w:p>
        </w:tc>
        <w:tc>
          <w:tcPr>
            <w:tcW w:w="7437" w:type="dxa"/>
          </w:tcPr>
          <w:p>
            <w:pPr>
              <w:pStyle w:val="TableParagraph"/>
              <w:spacing w:line="277" w:lineRule="exact"/>
              <w:ind w:left="55"/>
              <w:rPr>
                <w:sz w:val="21"/>
              </w:rPr>
            </w:pPr>
            <w:r>
              <w:rPr>
                <w:sz w:val="21"/>
              </w:rPr>
              <w:t>予以理赔。肢体机能永久完全丧失，指疾病确诊</w:t>
            </w:r>
            <w:r>
              <w:rPr>
                <w:rFonts w:ascii="Times New Roman" w:eastAsia="Times New Roman"/>
                <w:sz w:val="21"/>
              </w:rPr>
              <w:t>180</w:t>
            </w:r>
            <w:r>
              <w:rPr>
                <w:sz w:val="21"/>
              </w:rPr>
              <w:t>日后，每肢三大关节中的两</w:t>
            </w:r>
          </w:p>
        </w:tc>
      </w:tr>
      <w:tr>
        <w:trPr>
          <w:trHeight w:val="379" w:hRule="atLeast"/>
        </w:trPr>
        <w:tc>
          <w:tcPr>
            <w:tcW w:w="631" w:type="dxa"/>
          </w:tcPr>
          <w:p>
            <w:pPr>
              <w:pStyle w:val="TableParagraph"/>
              <w:rPr>
                <w:rFonts w:ascii="Times New Roman"/>
                <w:sz w:val="20"/>
              </w:rPr>
            </w:pPr>
          </w:p>
        </w:tc>
        <w:tc>
          <w:tcPr>
            <w:tcW w:w="1688" w:type="dxa"/>
          </w:tcPr>
          <w:p>
            <w:pPr>
              <w:pStyle w:val="TableParagraph"/>
              <w:rPr>
                <w:rFonts w:ascii="Times New Roman"/>
                <w:sz w:val="20"/>
              </w:rPr>
            </w:pPr>
          </w:p>
        </w:tc>
        <w:tc>
          <w:tcPr>
            <w:tcW w:w="7437" w:type="dxa"/>
          </w:tcPr>
          <w:p>
            <w:pPr>
              <w:pStyle w:val="TableParagraph"/>
              <w:spacing w:line="250" w:lineRule="exact"/>
              <w:ind w:left="55"/>
              <w:rPr>
                <w:sz w:val="21"/>
              </w:rPr>
            </w:pPr>
            <w:r>
              <w:rPr>
                <w:sz w:val="21"/>
              </w:rPr>
              <w:t>大关节仍然完全僵硬，或不能随意识活动。</w:t>
            </w:r>
          </w:p>
        </w:tc>
      </w:tr>
      <w:tr>
        <w:trPr>
          <w:trHeight w:val="787" w:hRule="atLeast"/>
        </w:trPr>
        <w:tc>
          <w:tcPr>
            <w:tcW w:w="631" w:type="dxa"/>
          </w:tcPr>
          <w:p>
            <w:pPr>
              <w:pStyle w:val="TableParagraph"/>
              <w:spacing w:before="115"/>
              <w:ind w:left="50"/>
              <w:rPr>
                <w:rFonts w:ascii="Times New Roman"/>
                <w:b/>
                <w:sz w:val="21"/>
              </w:rPr>
            </w:pPr>
            <w:r>
              <w:rPr>
                <w:rFonts w:ascii="Times New Roman"/>
                <w:b/>
                <w:sz w:val="21"/>
              </w:rPr>
              <w:t>8.41</w:t>
            </w:r>
          </w:p>
        </w:tc>
        <w:tc>
          <w:tcPr>
            <w:tcW w:w="1688" w:type="dxa"/>
          </w:tcPr>
          <w:p>
            <w:pPr>
              <w:pStyle w:val="TableParagraph"/>
              <w:spacing w:before="63"/>
              <w:ind w:left="213"/>
              <w:rPr>
                <w:b/>
                <w:sz w:val="21"/>
              </w:rPr>
            </w:pPr>
            <w:r>
              <w:rPr>
                <w:b/>
                <w:w w:val="95"/>
                <w:sz w:val="21"/>
              </w:rPr>
              <w:t>严重心肌炎</w:t>
            </w:r>
          </w:p>
        </w:tc>
        <w:tc>
          <w:tcPr>
            <w:tcW w:w="7437" w:type="dxa"/>
          </w:tcPr>
          <w:p>
            <w:pPr>
              <w:pStyle w:val="TableParagraph"/>
              <w:spacing w:line="273" w:lineRule="auto" w:before="63"/>
              <w:ind w:left="55" w:right="150"/>
              <w:rPr>
                <w:sz w:val="21"/>
              </w:rPr>
            </w:pPr>
            <w:r>
              <w:rPr>
                <w:sz w:val="21"/>
              </w:rPr>
              <w:t>指心肌局限性或弥漫性的急性或慢性炎症病变，导致心脏功能障碍，达到纽约心脏学会心功能分级状态分级</w:t>
            </w:r>
            <w:r>
              <w:rPr>
                <w:rFonts w:ascii="Times New Roman" w:eastAsia="Times New Roman"/>
                <w:sz w:val="21"/>
              </w:rPr>
              <w:t>IV</w:t>
            </w:r>
            <w:r>
              <w:rPr>
                <w:sz w:val="21"/>
              </w:rPr>
              <w:t>级，且需持续至少</w:t>
            </w:r>
            <w:r>
              <w:rPr>
                <w:rFonts w:ascii="Times New Roman" w:eastAsia="Times New Roman"/>
                <w:sz w:val="21"/>
              </w:rPr>
              <w:t>180</w:t>
            </w:r>
            <w:r>
              <w:rPr>
                <w:sz w:val="21"/>
              </w:rPr>
              <w:t>日。</w:t>
            </w:r>
          </w:p>
        </w:tc>
      </w:tr>
      <w:tr>
        <w:trPr>
          <w:trHeight w:val="772" w:hRule="atLeast"/>
        </w:trPr>
        <w:tc>
          <w:tcPr>
            <w:tcW w:w="631" w:type="dxa"/>
          </w:tcPr>
          <w:p>
            <w:pPr>
              <w:pStyle w:val="TableParagraph"/>
              <w:spacing w:before="107"/>
              <w:ind w:left="50"/>
              <w:rPr>
                <w:rFonts w:ascii="Times New Roman"/>
                <w:b/>
                <w:sz w:val="21"/>
              </w:rPr>
            </w:pPr>
            <w:r>
              <w:rPr>
                <w:rFonts w:ascii="Times New Roman"/>
                <w:b/>
                <w:sz w:val="21"/>
              </w:rPr>
              <w:t>8.42</w:t>
            </w:r>
          </w:p>
        </w:tc>
        <w:tc>
          <w:tcPr>
            <w:tcW w:w="1688" w:type="dxa"/>
          </w:tcPr>
          <w:p>
            <w:pPr>
              <w:pStyle w:val="TableParagraph"/>
              <w:spacing w:before="55"/>
              <w:ind w:left="213"/>
              <w:rPr>
                <w:b/>
                <w:sz w:val="21"/>
              </w:rPr>
            </w:pPr>
            <w:r>
              <w:rPr>
                <w:b/>
                <w:w w:val="95"/>
                <w:sz w:val="21"/>
              </w:rPr>
              <w:t>嗜铬细胞瘤</w:t>
            </w:r>
          </w:p>
        </w:tc>
        <w:tc>
          <w:tcPr>
            <w:tcW w:w="7437" w:type="dxa"/>
          </w:tcPr>
          <w:p>
            <w:pPr>
              <w:pStyle w:val="TableParagraph"/>
              <w:spacing w:line="256" w:lineRule="auto" w:before="55"/>
              <w:ind w:left="55" w:right="239"/>
              <w:rPr>
                <w:sz w:val="21"/>
              </w:rPr>
            </w:pPr>
            <w:r>
              <w:rPr>
                <w:sz w:val="21"/>
              </w:rPr>
              <w:t>是指肾上腺或嗜铬外组织出现神经内分泌肿瘤，并分</w:t>
            </w:r>
            <w:r>
              <w:rPr>
                <w:rFonts w:ascii="Times New Roman" w:eastAsia="Times New Roman"/>
                <w:w w:val="110"/>
                <w:sz w:val="21"/>
              </w:rPr>
              <w:t>泌</w:t>
            </w:r>
            <w:r>
              <w:rPr>
                <w:spacing w:val="-7"/>
                <w:sz w:val="21"/>
              </w:rPr>
              <w:t>过多的儿茶酚胺类，需</w:t>
            </w:r>
            <w:r>
              <w:rPr>
                <w:sz w:val="21"/>
              </w:rPr>
              <w:t>要确实进</w:t>
            </w:r>
            <w:r>
              <w:rPr>
                <w:rFonts w:ascii="Times New Roman" w:eastAsia="Times New Roman"/>
                <w:w w:val="110"/>
                <w:sz w:val="21"/>
              </w:rPr>
              <w:t>行</w:t>
            </w:r>
            <w:r>
              <w:rPr>
                <w:sz w:val="21"/>
              </w:rPr>
              <w:t>手术以切除肿瘤。嗜铬细胞瘤的诊断必须由内分泌专科医生确定。</w:t>
            </w:r>
          </w:p>
        </w:tc>
      </w:tr>
      <w:tr>
        <w:trPr>
          <w:trHeight w:val="779" w:hRule="atLeast"/>
        </w:trPr>
        <w:tc>
          <w:tcPr>
            <w:tcW w:w="631" w:type="dxa"/>
          </w:tcPr>
          <w:p>
            <w:pPr>
              <w:pStyle w:val="TableParagraph"/>
              <w:spacing w:before="115"/>
              <w:ind w:left="50"/>
              <w:rPr>
                <w:rFonts w:ascii="Times New Roman"/>
                <w:b/>
                <w:sz w:val="21"/>
              </w:rPr>
            </w:pPr>
            <w:r>
              <w:rPr>
                <w:rFonts w:ascii="Times New Roman"/>
                <w:b/>
                <w:sz w:val="21"/>
              </w:rPr>
              <w:t>8.43</w:t>
            </w:r>
          </w:p>
        </w:tc>
        <w:tc>
          <w:tcPr>
            <w:tcW w:w="1688" w:type="dxa"/>
          </w:tcPr>
          <w:p>
            <w:pPr>
              <w:pStyle w:val="TableParagraph"/>
              <w:spacing w:line="273" w:lineRule="auto" w:before="63"/>
              <w:ind w:left="213" w:right="147"/>
              <w:rPr>
                <w:b/>
                <w:sz w:val="21"/>
              </w:rPr>
            </w:pPr>
            <w:r>
              <w:rPr>
                <w:b/>
                <w:sz w:val="21"/>
              </w:rPr>
              <w:t>溶血性链球菌</w:t>
            </w:r>
            <w:r>
              <w:rPr>
                <w:b/>
                <w:w w:val="95"/>
                <w:sz w:val="21"/>
              </w:rPr>
              <w:t>引起的坏疽</w:t>
            </w:r>
          </w:p>
        </w:tc>
        <w:tc>
          <w:tcPr>
            <w:tcW w:w="7437" w:type="dxa"/>
          </w:tcPr>
          <w:p>
            <w:pPr>
              <w:pStyle w:val="TableParagraph"/>
              <w:spacing w:line="273" w:lineRule="auto" w:before="63"/>
              <w:ind w:left="55" w:right="47"/>
              <w:rPr>
                <w:sz w:val="21"/>
              </w:rPr>
            </w:pPr>
            <w:r>
              <w:rPr>
                <w:sz w:val="21"/>
              </w:rPr>
              <w:t>躯干或肢体的浅筋膜或涉及肌肉的深筋膜感染，呈暴发性进展，必须即刻手术</w:t>
            </w:r>
            <w:r>
              <w:rPr>
                <w:spacing w:val="-4"/>
                <w:sz w:val="21"/>
              </w:rPr>
              <w:t>清创。须在外科手术后进行组织培养证实溶血性链球菌坏疽并由专科医生确诊。</w:t>
            </w:r>
          </w:p>
        </w:tc>
      </w:tr>
      <w:tr>
        <w:trPr>
          <w:trHeight w:val="1099" w:hRule="atLeast"/>
        </w:trPr>
        <w:tc>
          <w:tcPr>
            <w:tcW w:w="631" w:type="dxa"/>
          </w:tcPr>
          <w:p>
            <w:pPr>
              <w:pStyle w:val="TableParagraph"/>
              <w:spacing w:before="115"/>
              <w:ind w:left="50"/>
              <w:rPr>
                <w:rFonts w:ascii="Times New Roman"/>
                <w:b/>
                <w:sz w:val="21"/>
              </w:rPr>
            </w:pPr>
            <w:r>
              <w:rPr>
                <w:rFonts w:ascii="Times New Roman"/>
                <w:b/>
                <w:sz w:val="21"/>
              </w:rPr>
              <w:t>8.44</w:t>
            </w:r>
          </w:p>
        </w:tc>
        <w:tc>
          <w:tcPr>
            <w:tcW w:w="1688" w:type="dxa"/>
          </w:tcPr>
          <w:p>
            <w:pPr>
              <w:pStyle w:val="TableParagraph"/>
              <w:spacing w:line="273" w:lineRule="auto" w:before="63"/>
              <w:ind w:left="213" w:right="147"/>
              <w:rPr>
                <w:b/>
                <w:sz w:val="21"/>
              </w:rPr>
            </w:pPr>
            <w:r>
              <w:rPr>
                <w:b/>
                <w:sz w:val="21"/>
              </w:rPr>
              <w:t>严重肠道疾病并发症</w:t>
            </w:r>
          </w:p>
        </w:tc>
        <w:tc>
          <w:tcPr>
            <w:tcW w:w="7437" w:type="dxa"/>
          </w:tcPr>
          <w:p>
            <w:pPr>
              <w:pStyle w:val="TableParagraph"/>
              <w:spacing w:before="63"/>
              <w:ind w:left="55"/>
              <w:rPr>
                <w:sz w:val="21"/>
              </w:rPr>
            </w:pPr>
            <w:r>
              <w:rPr>
                <w:sz w:val="21"/>
              </w:rPr>
              <w:t>严重肠道疾病或外伤导致小肠损害并发症，满足以下所有条件：</w:t>
            </w:r>
          </w:p>
          <w:p>
            <w:pPr>
              <w:pStyle w:val="TableParagraph"/>
              <w:spacing w:before="36"/>
              <w:ind w:left="55"/>
              <w:rPr>
                <w:sz w:val="21"/>
              </w:rPr>
            </w:pPr>
            <w:r>
              <w:rPr>
                <w:rFonts w:ascii="Times New Roman" w:eastAsia="Times New Roman"/>
                <w:sz w:val="21"/>
              </w:rPr>
              <w:t>1.</w:t>
            </w:r>
            <w:r>
              <w:rPr>
                <w:sz w:val="21"/>
              </w:rPr>
              <w:t>至少切除了三分之二小肠；</w:t>
            </w:r>
          </w:p>
          <w:p>
            <w:pPr>
              <w:pStyle w:val="TableParagraph"/>
              <w:spacing w:before="20"/>
              <w:ind w:left="55"/>
              <w:rPr>
                <w:sz w:val="21"/>
              </w:rPr>
            </w:pPr>
            <w:r>
              <w:rPr>
                <w:rFonts w:ascii="Times New Roman" w:eastAsia="Times New Roman"/>
                <w:sz w:val="21"/>
              </w:rPr>
              <w:t>2.</w:t>
            </w:r>
            <w:r>
              <w:rPr>
                <w:sz w:val="21"/>
              </w:rPr>
              <w:t>完全场外营养支持三个月以上。</w:t>
            </w:r>
          </w:p>
        </w:tc>
      </w:tr>
      <w:tr>
        <w:trPr>
          <w:trHeight w:val="704" w:hRule="atLeast"/>
        </w:trPr>
        <w:tc>
          <w:tcPr>
            <w:tcW w:w="631" w:type="dxa"/>
          </w:tcPr>
          <w:p>
            <w:pPr>
              <w:pStyle w:val="TableParagraph"/>
              <w:spacing w:before="107"/>
              <w:ind w:left="50"/>
              <w:rPr>
                <w:rFonts w:ascii="Times New Roman"/>
                <w:b/>
                <w:sz w:val="21"/>
              </w:rPr>
            </w:pPr>
            <w:r>
              <w:rPr>
                <w:rFonts w:ascii="Times New Roman"/>
                <w:b/>
                <w:sz w:val="21"/>
              </w:rPr>
              <w:t>8.45</w:t>
            </w:r>
          </w:p>
        </w:tc>
        <w:tc>
          <w:tcPr>
            <w:tcW w:w="1688" w:type="dxa"/>
          </w:tcPr>
          <w:p>
            <w:pPr>
              <w:pStyle w:val="TableParagraph"/>
              <w:spacing w:line="320" w:lineRule="atLeast" w:before="10"/>
              <w:ind w:left="213" w:right="147"/>
              <w:rPr>
                <w:b/>
                <w:sz w:val="21"/>
              </w:rPr>
            </w:pPr>
            <w:r>
              <w:rPr>
                <w:b/>
                <w:spacing w:val="10"/>
                <w:sz w:val="21"/>
              </w:rPr>
              <w:t>严重瑞氏综合</w:t>
            </w:r>
            <w:r>
              <w:rPr>
                <w:b/>
                <w:spacing w:val="-76"/>
                <w:sz w:val="21"/>
              </w:rPr>
              <w:t>征</w:t>
            </w:r>
            <w:r>
              <w:rPr>
                <w:b/>
                <w:sz w:val="21"/>
              </w:rPr>
              <w:t>（</w:t>
            </w:r>
            <w:r>
              <w:rPr>
                <w:rFonts w:ascii="Times New Roman" w:eastAsia="Times New Roman"/>
                <w:b/>
                <w:sz w:val="21"/>
              </w:rPr>
              <w:t>Reye </w:t>
            </w:r>
            <w:r>
              <w:rPr>
                <w:b/>
                <w:sz w:val="21"/>
              </w:rPr>
              <w:t>综合</w:t>
            </w:r>
          </w:p>
        </w:tc>
        <w:tc>
          <w:tcPr>
            <w:tcW w:w="7437" w:type="dxa"/>
          </w:tcPr>
          <w:p>
            <w:pPr>
              <w:pStyle w:val="TableParagraph"/>
              <w:spacing w:line="273" w:lineRule="auto" w:before="55"/>
              <w:ind w:left="55" w:right="15"/>
              <w:rPr>
                <w:sz w:val="21"/>
              </w:rPr>
            </w:pPr>
            <w:r>
              <w:rPr>
                <w:sz w:val="21"/>
              </w:rPr>
              <w:t>瑞氏综合征是线粒体功能障碍性疾病。广泛的线粒体受损，导致脂肪代谢障碍， 引起短链脂肪酸、血氨升高，造成脑水肿。主要临床表现为急性发热、反复呕</w:t>
            </w:r>
          </w:p>
        </w:tc>
      </w:tr>
      <w:tr>
        <w:trPr>
          <w:trHeight w:val="253" w:hRule="atLeast"/>
        </w:trPr>
        <w:tc>
          <w:tcPr>
            <w:tcW w:w="631" w:type="dxa"/>
          </w:tcPr>
          <w:p>
            <w:pPr>
              <w:pStyle w:val="TableParagraph"/>
              <w:rPr>
                <w:rFonts w:ascii="Times New Roman"/>
                <w:sz w:val="18"/>
              </w:rPr>
            </w:pPr>
          </w:p>
        </w:tc>
        <w:tc>
          <w:tcPr>
            <w:tcW w:w="1688" w:type="dxa"/>
          </w:tcPr>
          <w:p>
            <w:pPr>
              <w:pStyle w:val="TableParagraph"/>
              <w:spacing w:line="233" w:lineRule="exact"/>
              <w:ind w:left="213"/>
              <w:rPr>
                <w:b/>
                <w:sz w:val="21"/>
              </w:rPr>
            </w:pPr>
            <w:r>
              <w:rPr>
                <w:b/>
                <w:w w:val="95"/>
                <w:sz w:val="21"/>
              </w:rPr>
              <w:t>征，也称赖氏</w:t>
            </w:r>
          </w:p>
        </w:tc>
        <w:tc>
          <w:tcPr>
            <w:tcW w:w="7437" w:type="dxa"/>
          </w:tcPr>
          <w:p>
            <w:pPr>
              <w:pStyle w:val="TableParagraph"/>
              <w:spacing w:line="233" w:lineRule="exact"/>
              <w:ind w:left="55"/>
              <w:rPr>
                <w:sz w:val="21"/>
              </w:rPr>
            </w:pPr>
            <w:r>
              <w:rPr>
                <w:sz w:val="21"/>
              </w:rPr>
              <w:t>吐、惊厥及意识障碍等等。</w:t>
            </w:r>
          </w:p>
        </w:tc>
      </w:tr>
      <w:tr>
        <w:trPr>
          <w:trHeight w:val="455" w:hRule="atLeast"/>
        </w:trPr>
        <w:tc>
          <w:tcPr>
            <w:tcW w:w="631" w:type="dxa"/>
          </w:tcPr>
          <w:p>
            <w:pPr>
              <w:pStyle w:val="TableParagraph"/>
              <w:rPr>
                <w:rFonts w:ascii="Times New Roman"/>
                <w:sz w:val="20"/>
              </w:rPr>
            </w:pPr>
          </w:p>
        </w:tc>
        <w:tc>
          <w:tcPr>
            <w:tcW w:w="1688" w:type="dxa"/>
          </w:tcPr>
          <w:p>
            <w:pPr>
              <w:pStyle w:val="TableParagraph"/>
              <w:spacing w:before="34"/>
              <w:ind w:left="213"/>
              <w:rPr>
                <w:b/>
                <w:sz w:val="21"/>
              </w:rPr>
            </w:pPr>
            <w:r>
              <w:rPr>
                <w:b/>
                <w:w w:val="95"/>
                <w:sz w:val="21"/>
              </w:rPr>
              <w:t>综合征、雷氏</w:t>
            </w:r>
          </w:p>
        </w:tc>
        <w:tc>
          <w:tcPr>
            <w:tcW w:w="7437" w:type="dxa"/>
          </w:tcPr>
          <w:p>
            <w:pPr>
              <w:pStyle w:val="TableParagraph"/>
              <w:spacing w:before="127"/>
              <w:ind w:left="55"/>
              <w:rPr>
                <w:sz w:val="21"/>
              </w:rPr>
            </w:pPr>
            <w:r>
              <w:rPr>
                <w:sz w:val="21"/>
              </w:rPr>
              <w:t>肝脏活检是确诊的重要手段。瑞氏综合征需由三级医院的儿科专科医生确诊，</w:t>
            </w:r>
          </w:p>
        </w:tc>
      </w:tr>
      <w:tr>
        <w:trPr>
          <w:trHeight w:val="308" w:hRule="atLeast"/>
        </w:trPr>
        <w:tc>
          <w:tcPr>
            <w:tcW w:w="631" w:type="dxa"/>
          </w:tcPr>
          <w:p>
            <w:pPr>
              <w:pStyle w:val="TableParagraph"/>
              <w:rPr>
                <w:rFonts w:ascii="Times New Roman"/>
                <w:sz w:val="20"/>
              </w:rPr>
            </w:pPr>
          </w:p>
        </w:tc>
        <w:tc>
          <w:tcPr>
            <w:tcW w:w="1688" w:type="dxa"/>
          </w:tcPr>
          <w:p>
            <w:pPr>
              <w:pStyle w:val="TableParagraph"/>
              <w:spacing w:line="166" w:lineRule="exact"/>
              <w:ind w:left="213"/>
              <w:rPr>
                <w:b/>
                <w:sz w:val="21"/>
              </w:rPr>
            </w:pPr>
            <w:r>
              <w:rPr>
                <w:b/>
                <w:sz w:val="21"/>
              </w:rPr>
              <w:t>综合征）</w:t>
            </w:r>
          </w:p>
        </w:tc>
        <w:tc>
          <w:tcPr>
            <w:tcW w:w="7437" w:type="dxa"/>
          </w:tcPr>
          <w:p>
            <w:pPr>
              <w:pStyle w:val="TableParagraph"/>
              <w:spacing w:line="258" w:lineRule="exact"/>
              <w:ind w:left="55"/>
              <w:rPr>
                <w:sz w:val="21"/>
              </w:rPr>
            </w:pPr>
            <w:r>
              <w:rPr>
                <w:sz w:val="21"/>
              </w:rPr>
              <w:t>并符合下列所有条件：</w:t>
            </w:r>
          </w:p>
        </w:tc>
      </w:tr>
      <w:tr>
        <w:trPr>
          <w:trHeight w:val="1023" w:hRule="atLeast"/>
        </w:trPr>
        <w:tc>
          <w:tcPr>
            <w:tcW w:w="631" w:type="dxa"/>
          </w:tcPr>
          <w:p>
            <w:pPr>
              <w:pStyle w:val="TableParagraph"/>
              <w:rPr>
                <w:rFonts w:ascii="Times New Roman"/>
                <w:sz w:val="20"/>
              </w:rPr>
            </w:pPr>
          </w:p>
        </w:tc>
        <w:tc>
          <w:tcPr>
            <w:tcW w:w="1688" w:type="dxa"/>
          </w:tcPr>
          <w:p>
            <w:pPr>
              <w:pStyle w:val="TableParagraph"/>
              <w:rPr>
                <w:rFonts w:ascii="Times New Roman"/>
                <w:sz w:val="20"/>
              </w:rPr>
            </w:pPr>
          </w:p>
        </w:tc>
        <w:tc>
          <w:tcPr>
            <w:tcW w:w="7437" w:type="dxa"/>
          </w:tcPr>
          <w:p>
            <w:pPr>
              <w:pStyle w:val="TableParagraph"/>
              <w:spacing w:line="277" w:lineRule="exact"/>
              <w:ind w:left="55"/>
              <w:rPr>
                <w:sz w:val="21"/>
              </w:rPr>
            </w:pPr>
            <w:r>
              <w:rPr>
                <w:rFonts w:ascii="Times New Roman" w:eastAsia="Times New Roman"/>
                <w:sz w:val="21"/>
              </w:rPr>
              <w:t>1.</w:t>
            </w:r>
            <w:r>
              <w:rPr>
                <w:sz w:val="21"/>
              </w:rPr>
              <w:t>有脑水肿和颅内压升高的脑脊液检查和影像学检查证据；</w:t>
            </w:r>
          </w:p>
          <w:p>
            <w:pPr>
              <w:pStyle w:val="TableParagraph"/>
              <w:spacing w:before="21"/>
              <w:ind w:left="55"/>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w:t>
            </w:r>
          </w:p>
          <w:p>
            <w:pPr>
              <w:pStyle w:val="TableParagraph"/>
              <w:spacing w:before="21"/>
              <w:ind w:left="55"/>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w:t>
            </w:r>
          </w:p>
        </w:tc>
      </w:tr>
      <w:tr>
        <w:trPr>
          <w:trHeight w:val="696" w:hRule="atLeast"/>
        </w:trPr>
        <w:tc>
          <w:tcPr>
            <w:tcW w:w="631" w:type="dxa"/>
          </w:tcPr>
          <w:p>
            <w:pPr>
              <w:pStyle w:val="TableParagraph"/>
              <w:spacing w:before="107"/>
              <w:ind w:left="50"/>
              <w:rPr>
                <w:rFonts w:ascii="Times New Roman"/>
                <w:b/>
                <w:sz w:val="21"/>
              </w:rPr>
            </w:pPr>
            <w:r>
              <w:rPr>
                <w:rFonts w:ascii="Times New Roman"/>
                <w:b/>
                <w:sz w:val="21"/>
              </w:rPr>
              <w:t>8.46</w:t>
            </w:r>
          </w:p>
        </w:tc>
        <w:tc>
          <w:tcPr>
            <w:tcW w:w="1688" w:type="dxa"/>
          </w:tcPr>
          <w:p>
            <w:pPr>
              <w:pStyle w:val="TableParagraph"/>
              <w:spacing w:before="55"/>
              <w:ind w:left="213"/>
              <w:rPr>
                <w:b/>
                <w:sz w:val="21"/>
              </w:rPr>
            </w:pPr>
            <w:r>
              <w:rPr>
                <w:b/>
                <w:w w:val="95"/>
                <w:sz w:val="21"/>
              </w:rPr>
              <w:t>重症手足口病</w:t>
            </w:r>
          </w:p>
        </w:tc>
        <w:tc>
          <w:tcPr>
            <w:tcW w:w="7437" w:type="dxa"/>
          </w:tcPr>
          <w:p>
            <w:pPr>
              <w:pStyle w:val="TableParagraph"/>
              <w:spacing w:line="273" w:lineRule="auto" w:before="55"/>
              <w:ind w:left="55" w:right="15"/>
              <w:rPr>
                <w:sz w:val="21"/>
              </w:rPr>
            </w:pPr>
            <w:r>
              <w:rPr>
                <w:sz w:val="21"/>
              </w:rPr>
              <w:t>由肠道病毒引起的急性传染病，主要症状表现为手、足、口腔等部位的斑丘疹、疱疹。经我们认可的医疗机构的儿科专科医生确诊为患有手足口病，并伴有下</w:t>
            </w:r>
          </w:p>
        </w:tc>
      </w:tr>
      <w:tr>
        <w:trPr>
          <w:trHeight w:val="308" w:hRule="atLeast"/>
        </w:trPr>
        <w:tc>
          <w:tcPr>
            <w:tcW w:w="631" w:type="dxa"/>
          </w:tcPr>
          <w:p>
            <w:pPr>
              <w:pStyle w:val="TableParagraph"/>
              <w:rPr>
                <w:rFonts w:ascii="Times New Roman"/>
                <w:sz w:val="20"/>
              </w:rPr>
            </w:pPr>
          </w:p>
        </w:tc>
        <w:tc>
          <w:tcPr>
            <w:tcW w:w="1688" w:type="dxa"/>
          </w:tcPr>
          <w:p>
            <w:pPr>
              <w:pStyle w:val="TableParagraph"/>
              <w:rPr>
                <w:rFonts w:ascii="Times New Roman"/>
                <w:sz w:val="20"/>
              </w:rPr>
            </w:pPr>
          </w:p>
        </w:tc>
        <w:tc>
          <w:tcPr>
            <w:tcW w:w="7437" w:type="dxa"/>
          </w:tcPr>
          <w:p>
            <w:pPr>
              <w:pStyle w:val="TableParagraph"/>
              <w:spacing w:line="258" w:lineRule="exact"/>
              <w:ind w:left="55"/>
              <w:rPr>
                <w:sz w:val="21"/>
              </w:rPr>
            </w:pPr>
            <w:r>
              <w:rPr>
                <w:sz w:val="21"/>
              </w:rPr>
              <w:t>列三项中的任意一项并发症：</w:t>
            </w:r>
          </w:p>
        </w:tc>
      </w:tr>
      <w:tr>
        <w:trPr>
          <w:trHeight w:val="280" w:hRule="atLeast"/>
        </w:trPr>
        <w:tc>
          <w:tcPr>
            <w:tcW w:w="631" w:type="dxa"/>
          </w:tcPr>
          <w:p>
            <w:pPr>
              <w:pStyle w:val="TableParagraph"/>
              <w:rPr>
                <w:rFonts w:ascii="Times New Roman"/>
                <w:sz w:val="20"/>
              </w:rPr>
            </w:pPr>
          </w:p>
        </w:tc>
        <w:tc>
          <w:tcPr>
            <w:tcW w:w="1688" w:type="dxa"/>
          </w:tcPr>
          <w:p>
            <w:pPr>
              <w:pStyle w:val="TableParagraph"/>
              <w:rPr>
                <w:rFonts w:ascii="Times New Roman"/>
                <w:sz w:val="20"/>
              </w:rPr>
            </w:pPr>
          </w:p>
        </w:tc>
        <w:tc>
          <w:tcPr>
            <w:tcW w:w="7437" w:type="dxa"/>
          </w:tcPr>
          <w:p>
            <w:pPr>
              <w:pStyle w:val="TableParagraph"/>
              <w:spacing w:line="260" w:lineRule="exact"/>
              <w:ind w:left="55"/>
              <w:rPr>
                <w:sz w:val="21"/>
              </w:rPr>
            </w:pPr>
            <w:r>
              <w:rPr>
                <w:rFonts w:ascii="Times New Roman" w:eastAsia="Times New Roman"/>
                <w:sz w:val="21"/>
              </w:rPr>
              <w:t>1.</w:t>
            </w:r>
            <w:r>
              <w:rPr>
                <w:sz w:val="21"/>
              </w:rPr>
              <w:t>有脑膜炎或脑炎并发症，且导致意识障碍或瘫痪的临床表现及实验室检查证</w:t>
            </w:r>
          </w:p>
        </w:tc>
      </w:tr>
    </w:tbl>
    <w:p>
      <w:pPr>
        <w:spacing w:after="0" w:line="260" w:lineRule="exact"/>
        <w:rPr>
          <w:sz w:val="21"/>
        </w:rPr>
        <w:sectPr>
          <w:pgSz w:w="11910" w:h="16840"/>
          <w:pgMar w:header="0" w:footer="988" w:top="1180" w:bottom="1180" w:left="98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641"/>
        <w:gridCol w:w="7485"/>
      </w:tblGrid>
      <w:tr>
        <w:trPr>
          <w:trHeight w:val="257" w:hRule="atLeast"/>
        </w:trPr>
        <w:tc>
          <w:tcPr>
            <w:tcW w:w="631" w:type="dxa"/>
          </w:tcPr>
          <w:p>
            <w:pPr>
              <w:pStyle w:val="TableParagraph"/>
              <w:rPr>
                <w:rFonts w:ascii="Times New Roman"/>
                <w:sz w:val="18"/>
              </w:rPr>
            </w:pPr>
          </w:p>
        </w:tc>
        <w:tc>
          <w:tcPr>
            <w:tcW w:w="1641" w:type="dxa"/>
          </w:tcPr>
          <w:p>
            <w:pPr>
              <w:pStyle w:val="TableParagraph"/>
              <w:rPr>
                <w:rFonts w:ascii="Times New Roman"/>
                <w:sz w:val="18"/>
              </w:rPr>
            </w:pPr>
          </w:p>
        </w:tc>
        <w:tc>
          <w:tcPr>
            <w:tcW w:w="7485" w:type="dxa"/>
          </w:tcPr>
          <w:p>
            <w:pPr>
              <w:pStyle w:val="TableParagraph"/>
              <w:spacing w:line="210" w:lineRule="exact"/>
              <w:ind w:left="102"/>
              <w:rPr>
                <w:sz w:val="21"/>
              </w:rPr>
            </w:pPr>
            <w:r>
              <w:rPr>
                <w:sz w:val="21"/>
              </w:rPr>
              <w:t>据；</w:t>
            </w:r>
          </w:p>
        </w:tc>
      </w:tr>
      <w:tr>
        <w:trPr>
          <w:trHeight w:val="319"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80" w:lineRule="exact"/>
              <w:ind w:left="102"/>
              <w:rPr>
                <w:sz w:val="21"/>
              </w:rPr>
            </w:pPr>
            <w:r>
              <w:rPr>
                <w:rFonts w:ascii="Times New Roman" w:eastAsia="Times New Roman"/>
                <w:sz w:val="21"/>
              </w:rPr>
              <w:t>2.</w:t>
            </w:r>
            <w:r>
              <w:rPr>
                <w:sz w:val="21"/>
              </w:rPr>
              <w:t>有肺炎或肺水肿并发症，且导致呼吸衰竭的临床表现及实验室检查证据；</w:t>
            </w:r>
          </w:p>
        </w:tc>
      </w:tr>
      <w:tr>
        <w:trPr>
          <w:trHeight w:val="390"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72" w:lineRule="exact"/>
              <w:ind w:left="102"/>
              <w:rPr>
                <w:sz w:val="21"/>
              </w:rPr>
            </w:pPr>
            <w:r>
              <w:rPr>
                <w:rFonts w:ascii="Times New Roman" w:eastAsia="Times New Roman"/>
                <w:sz w:val="21"/>
              </w:rPr>
              <w:t>3.</w:t>
            </w:r>
            <w:r>
              <w:rPr>
                <w:sz w:val="21"/>
              </w:rPr>
              <w:t>有心肌炎并发症，且导致心脏扩大或心力衰竭的临床表现及实验室检查证据。</w:t>
            </w:r>
          </w:p>
        </w:tc>
      </w:tr>
      <w:tr>
        <w:trPr>
          <w:trHeight w:val="391" w:hRule="atLeast"/>
        </w:trPr>
        <w:tc>
          <w:tcPr>
            <w:tcW w:w="631" w:type="dxa"/>
          </w:tcPr>
          <w:p>
            <w:pPr>
              <w:pStyle w:val="TableParagraph"/>
              <w:spacing w:before="111"/>
              <w:ind w:left="50"/>
              <w:rPr>
                <w:rFonts w:ascii="Times New Roman"/>
                <w:b/>
                <w:sz w:val="21"/>
              </w:rPr>
            </w:pPr>
            <w:r>
              <w:rPr>
                <w:rFonts w:ascii="Times New Roman"/>
                <w:b/>
                <w:sz w:val="21"/>
              </w:rPr>
              <w:t>8.47</w:t>
            </w:r>
          </w:p>
        </w:tc>
        <w:tc>
          <w:tcPr>
            <w:tcW w:w="1641" w:type="dxa"/>
          </w:tcPr>
          <w:p>
            <w:pPr>
              <w:pStyle w:val="TableParagraph"/>
              <w:spacing w:before="59"/>
              <w:ind w:left="213"/>
              <w:rPr>
                <w:b/>
                <w:sz w:val="21"/>
              </w:rPr>
            </w:pPr>
            <w:r>
              <w:rPr>
                <w:b/>
                <w:w w:val="95"/>
                <w:sz w:val="21"/>
              </w:rPr>
              <w:t>骨生长不全症</w:t>
            </w:r>
          </w:p>
        </w:tc>
        <w:tc>
          <w:tcPr>
            <w:tcW w:w="7485" w:type="dxa"/>
          </w:tcPr>
          <w:p>
            <w:pPr>
              <w:pStyle w:val="TableParagraph"/>
              <w:spacing w:before="59"/>
              <w:ind w:left="102"/>
              <w:rPr>
                <w:rFonts w:ascii="Times New Roman" w:eastAsia="Times New Roman"/>
                <w:sz w:val="21"/>
              </w:rPr>
            </w:pPr>
            <w:r>
              <w:rPr>
                <w:sz w:val="21"/>
              </w:rPr>
              <w:t>是一种胶原病，特征为骨易碎，骨质疏松和易骨折。该病有</w:t>
            </w:r>
            <w:r>
              <w:rPr>
                <w:rFonts w:ascii="Times New Roman" w:eastAsia="Times New Roman"/>
                <w:sz w:val="21"/>
              </w:rPr>
              <w:t>4</w:t>
            </w:r>
            <w:r>
              <w:rPr>
                <w:sz w:val="21"/>
              </w:rPr>
              <w:t>种类型：</w:t>
            </w:r>
            <w:r>
              <w:rPr>
                <w:rFonts w:ascii="Times New Roman" w:eastAsia="Times New Roman"/>
                <w:sz w:val="21"/>
              </w:rPr>
              <w:t>I </w:t>
            </w:r>
            <w:r>
              <w:rPr>
                <w:sz w:val="21"/>
              </w:rPr>
              <w:t>型、</w:t>
            </w:r>
            <w:r>
              <w:rPr>
                <w:rFonts w:ascii="Times New Roman" w:eastAsia="Times New Roman"/>
                <w:sz w:val="21"/>
              </w:rPr>
              <w:t>II</w:t>
            </w:r>
          </w:p>
        </w:tc>
      </w:tr>
      <w:tr>
        <w:trPr>
          <w:trHeight w:val="310"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71" w:lineRule="exact"/>
              <w:ind w:left="102"/>
              <w:rPr>
                <w:sz w:val="21"/>
              </w:rPr>
            </w:pPr>
            <w:r>
              <w:rPr>
                <w:w w:val="95"/>
                <w:sz w:val="21"/>
              </w:rPr>
              <w:t>型、</w:t>
            </w:r>
            <w:r>
              <w:rPr>
                <w:rFonts w:ascii="Times New Roman" w:eastAsia="Times New Roman"/>
                <w:w w:val="95"/>
                <w:sz w:val="21"/>
              </w:rPr>
              <w:t>III</w:t>
            </w:r>
            <w:r>
              <w:rPr>
                <w:w w:val="95"/>
                <w:sz w:val="21"/>
              </w:rPr>
              <w:t>型、</w:t>
            </w:r>
            <w:r>
              <w:rPr>
                <w:rFonts w:ascii="Times New Roman" w:eastAsia="Times New Roman"/>
                <w:w w:val="95"/>
                <w:sz w:val="21"/>
              </w:rPr>
              <w:t>IV</w:t>
            </w:r>
            <w:r>
              <w:rPr>
                <w:w w:val="95"/>
                <w:sz w:val="21"/>
              </w:rPr>
              <w:t>型。</w:t>
            </w:r>
            <w:r>
              <w:rPr>
                <w:b/>
                <w:w w:val="95"/>
                <w:sz w:val="21"/>
              </w:rPr>
              <w:t>本合同只保障</w:t>
            </w:r>
            <w:r>
              <w:rPr>
                <w:rFonts w:ascii="Times New Roman" w:eastAsia="Times New Roman"/>
                <w:b/>
                <w:w w:val="95"/>
                <w:sz w:val="21"/>
              </w:rPr>
              <w:t>III</w:t>
            </w:r>
            <w:r>
              <w:rPr>
                <w:b/>
                <w:w w:val="95"/>
                <w:sz w:val="21"/>
              </w:rPr>
              <w:t>型成骨不全的情形，</w:t>
            </w:r>
            <w:r>
              <w:rPr>
                <w:w w:val="95"/>
                <w:sz w:val="21"/>
              </w:rPr>
              <w:t>其主要临床特点有：发</w:t>
            </w:r>
          </w:p>
        </w:tc>
      </w:tr>
      <w:tr>
        <w:trPr>
          <w:trHeight w:val="311"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72" w:lineRule="exact"/>
              <w:ind w:left="102"/>
              <w:rPr>
                <w:sz w:val="21"/>
              </w:rPr>
            </w:pPr>
            <w:r>
              <w:rPr>
                <w:sz w:val="21"/>
              </w:rPr>
              <w:t>展迟缓、多发性骨折、进行性脊柱后侧凸及听力损害。</w:t>
            </w:r>
            <w:r>
              <w:rPr>
                <w:rFonts w:ascii="Times New Roman" w:eastAsia="Times New Roman"/>
                <w:sz w:val="21"/>
              </w:rPr>
              <w:t>III</w:t>
            </w:r>
            <w:r>
              <w:rPr>
                <w:sz w:val="21"/>
              </w:rPr>
              <w:t>型成骨不全的诊断必</w:t>
            </w:r>
          </w:p>
        </w:tc>
      </w:tr>
      <w:tr>
        <w:trPr>
          <w:trHeight w:val="391"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72" w:lineRule="exact"/>
              <w:ind w:left="102"/>
              <w:rPr>
                <w:sz w:val="21"/>
              </w:rPr>
            </w:pPr>
            <w:r>
              <w:rPr>
                <w:sz w:val="21"/>
              </w:rPr>
              <w:t>须根据身体检查，家族史，</w:t>
            </w:r>
            <w:r>
              <w:rPr>
                <w:rFonts w:ascii="Times New Roman" w:eastAsia="Times New Roman"/>
                <w:sz w:val="21"/>
              </w:rPr>
              <w:t>X</w:t>
            </w:r>
            <w:r>
              <w:rPr>
                <w:sz w:val="21"/>
              </w:rPr>
              <w:t>线检查和皮肤活检报告资料确诊。</w:t>
            </w:r>
          </w:p>
        </w:tc>
      </w:tr>
      <w:tr>
        <w:trPr>
          <w:trHeight w:val="393" w:hRule="atLeast"/>
        </w:trPr>
        <w:tc>
          <w:tcPr>
            <w:tcW w:w="631" w:type="dxa"/>
          </w:tcPr>
          <w:p>
            <w:pPr>
              <w:pStyle w:val="TableParagraph"/>
              <w:spacing w:before="110"/>
              <w:ind w:left="50"/>
              <w:rPr>
                <w:rFonts w:ascii="Times New Roman"/>
                <w:b/>
                <w:sz w:val="21"/>
              </w:rPr>
            </w:pPr>
            <w:r>
              <w:rPr>
                <w:rFonts w:ascii="Times New Roman"/>
                <w:b/>
                <w:sz w:val="21"/>
              </w:rPr>
              <w:t>8.48</w:t>
            </w:r>
          </w:p>
        </w:tc>
        <w:tc>
          <w:tcPr>
            <w:tcW w:w="1641" w:type="dxa"/>
          </w:tcPr>
          <w:p>
            <w:pPr>
              <w:pStyle w:val="TableParagraph"/>
              <w:spacing w:before="58"/>
              <w:ind w:left="213"/>
              <w:rPr>
                <w:b/>
                <w:sz w:val="21"/>
              </w:rPr>
            </w:pPr>
            <w:r>
              <w:rPr>
                <w:b/>
                <w:w w:val="95"/>
                <w:sz w:val="21"/>
              </w:rPr>
              <w:t>细菌性脑脊髓</w:t>
            </w:r>
          </w:p>
        </w:tc>
        <w:tc>
          <w:tcPr>
            <w:tcW w:w="7485" w:type="dxa"/>
          </w:tcPr>
          <w:p>
            <w:pPr>
              <w:pStyle w:val="TableParagraph"/>
              <w:spacing w:before="58"/>
              <w:ind w:left="102"/>
              <w:rPr>
                <w:sz w:val="21"/>
              </w:rPr>
            </w:pPr>
            <w:r>
              <w:rPr>
                <w:sz w:val="21"/>
              </w:rPr>
              <w:t>指因脑膜炎双球菌感染引起脑脊髓膜化脓性病变，且导致永久性神经损害，持</w:t>
            </w:r>
          </w:p>
        </w:tc>
      </w:tr>
      <w:tr>
        <w:trPr>
          <w:trHeight w:val="360" w:hRule="atLeast"/>
        </w:trPr>
        <w:tc>
          <w:tcPr>
            <w:tcW w:w="631" w:type="dxa"/>
          </w:tcPr>
          <w:p>
            <w:pPr>
              <w:pStyle w:val="TableParagraph"/>
              <w:rPr>
                <w:rFonts w:ascii="Times New Roman"/>
                <w:sz w:val="20"/>
              </w:rPr>
            </w:pPr>
          </w:p>
        </w:tc>
        <w:tc>
          <w:tcPr>
            <w:tcW w:w="1641" w:type="dxa"/>
          </w:tcPr>
          <w:p>
            <w:pPr>
              <w:pStyle w:val="TableParagraph"/>
              <w:spacing w:line="252" w:lineRule="exact"/>
              <w:ind w:left="213"/>
              <w:rPr>
                <w:b/>
                <w:sz w:val="21"/>
              </w:rPr>
            </w:pPr>
            <w:r>
              <w:rPr>
                <w:b/>
                <w:sz w:val="21"/>
              </w:rPr>
              <w:t>膜炎</w:t>
            </w:r>
          </w:p>
        </w:tc>
        <w:tc>
          <w:tcPr>
            <w:tcW w:w="7485" w:type="dxa"/>
          </w:tcPr>
          <w:p>
            <w:pPr>
              <w:pStyle w:val="TableParagraph"/>
              <w:spacing w:line="279" w:lineRule="exact"/>
              <w:ind w:left="102"/>
              <w:rPr>
                <w:sz w:val="21"/>
              </w:rPr>
            </w:pPr>
            <w:r>
              <w:rPr>
                <w:sz w:val="21"/>
              </w:rPr>
              <w:t>续</w:t>
            </w:r>
            <w:r>
              <w:rPr>
                <w:rFonts w:ascii="Calibri" w:eastAsia="Calibri"/>
                <w:sz w:val="21"/>
              </w:rPr>
              <w:t>90  </w:t>
            </w:r>
            <w:r>
              <w:rPr>
                <w:sz w:val="21"/>
              </w:rPr>
              <w:t>日以上，并且脑脊液检查显示脑膜炎双球菌阳性。</w:t>
            </w:r>
          </w:p>
        </w:tc>
      </w:tr>
      <w:tr>
        <w:trPr>
          <w:trHeight w:val="343"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before="21"/>
              <w:ind w:left="102"/>
              <w:rPr>
                <w:sz w:val="21"/>
              </w:rPr>
            </w:pPr>
            <w:r>
              <w:rPr>
                <w:sz w:val="21"/>
              </w:rPr>
              <w:t>永久性神经损害是指由细菌性脑脊髓膜炎引起的耳聋、失明、动眼神经麻痹、</w:t>
            </w:r>
          </w:p>
        </w:tc>
      </w:tr>
      <w:tr>
        <w:trPr>
          <w:trHeight w:val="323"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80" w:lineRule="exact"/>
              <w:ind w:left="102"/>
              <w:rPr>
                <w:sz w:val="21"/>
              </w:rPr>
            </w:pPr>
            <w:r>
              <w:rPr>
                <w:sz w:val="21"/>
              </w:rPr>
              <w:t>瘫痪、脑积水、智力或性情中度以上的损害，且上述症状持续</w:t>
            </w:r>
            <w:r>
              <w:rPr>
                <w:rFonts w:ascii="Times New Roman" w:eastAsia="Times New Roman"/>
                <w:sz w:val="21"/>
              </w:rPr>
              <w:t>90 </w:t>
            </w:r>
            <w:r>
              <w:rPr>
                <w:sz w:val="21"/>
              </w:rPr>
              <w:t>日以上仍无改</w:t>
            </w:r>
          </w:p>
        </w:tc>
      </w:tr>
      <w:tr>
        <w:trPr>
          <w:trHeight w:val="379"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53" w:lineRule="exact"/>
              <w:ind w:left="102"/>
              <w:rPr>
                <w:sz w:val="21"/>
              </w:rPr>
            </w:pPr>
            <w:r>
              <w:rPr>
                <w:sz w:val="21"/>
              </w:rPr>
              <w:t>善迹象。</w:t>
            </w:r>
          </w:p>
        </w:tc>
      </w:tr>
      <w:tr>
        <w:trPr>
          <w:trHeight w:val="397" w:hRule="atLeast"/>
        </w:trPr>
        <w:tc>
          <w:tcPr>
            <w:tcW w:w="631" w:type="dxa"/>
          </w:tcPr>
          <w:p>
            <w:pPr>
              <w:pStyle w:val="TableParagraph"/>
              <w:spacing w:before="118"/>
              <w:ind w:left="50"/>
              <w:rPr>
                <w:rFonts w:ascii="Times New Roman"/>
                <w:b/>
                <w:sz w:val="21"/>
              </w:rPr>
            </w:pPr>
            <w:r>
              <w:rPr>
                <w:rFonts w:ascii="Times New Roman"/>
                <w:b/>
                <w:sz w:val="21"/>
              </w:rPr>
              <w:t>8.49</w:t>
            </w:r>
          </w:p>
        </w:tc>
        <w:tc>
          <w:tcPr>
            <w:tcW w:w="1641" w:type="dxa"/>
          </w:tcPr>
          <w:p>
            <w:pPr>
              <w:pStyle w:val="TableParagraph"/>
              <w:spacing w:before="66"/>
              <w:ind w:left="213"/>
              <w:rPr>
                <w:b/>
                <w:sz w:val="21"/>
              </w:rPr>
            </w:pPr>
            <w:r>
              <w:rPr>
                <w:b/>
                <w:w w:val="95"/>
                <w:sz w:val="21"/>
              </w:rPr>
              <w:t>严重川崎病</w:t>
            </w:r>
          </w:p>
        </w:tc>
        <w:tc>
          <w:tcPr>
            <w:tcW w:w="7485" w:type="dxa"/>
          </w:tcPr>
          <w:p>
            <w:pPr>
              <w:pStyle w:val="TableParagraph"/>
              <w:spacing w:before="66"/>
              <w:ind w:left="102"/>
              <w:rPr>
                <w:sz w:val="21"/>
              </w:rPr>
            </w:pPr>
            <w:r>
              <w:rPr>
                <w:sz w:val="21"/>
              </w:rPr>
              <w:t>是指原因不明的系统性血管炎，并须满足下列全部条件:</w:t>
            </w:r>
          </w:p>
        </w:tc>
      </w:tr>
      <w:tr>
        <w:trPr>
          <w:trHeight w:val="310"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71" w:lineRule="exact"/>
              <w:ind w:left="102"/>
              <w:rPr>
                <w:sz w:val="21"/>
              </w:rPr>
            </w:pPr>
            <w:r>
              <w:rPr>
                <w:rFonts w:ascii="Times New Roman" w:eastAsia="Times New Roman"/>
                <w:sz w:val="21"/>
              </w:rPr>
              <w:t>1.</w:t>
            </w:r>
            <w:r>
              <w:rPr>
                <w:sz w:val="21"/>
              </w:rPr>
              <w:t>超声心动图显示川崎病并发冠状动脉瘤或其他心血管异常；</w:t>
            </w:r>
          </w:p>
        </w:tc>
      </w:tr>
      <w:tr>
        <w:trPr>
          <w:trHeight w:val="391"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72" w:lineRule="exact"/>
              <w:ind w:left="102"/>
              <w:rPr>
                <w:sz w:val="21"/>
              </w:rPr>
            </w:pPr>
            <w:r>
              <w:rPr>
                <w:rFonts w:ascii="Times New Roman" w:eastAsia="Times New Roman"/>
                <w:sz w:val="21"/>
              </w:rPr>
              <w:t>2.</w:t>
            </w:r>
            <w:r>
              <w:rPr>
                <w:sz w:val="21"/>
              </w:rPr>
              <w:t>已接受了针对川崎病并发冠状动脉瘤或其他心血管异常所进行的手术治疗。</w:t>
            </w:r>
          </w:p>
        </w:tc>
      </w:tr>
      <w:tr>
        <w:trPr>
          <w:trHeight w:val="390" w:hRule="atLeast"/>
        </w:trPr>
        <w:tc>
          <w:tcPr>
            <w:tcW w:w="631" w:type="dxa"/>
          </w:tcPr>
          <w:p>
            <w:pPr>
              <w:pStyle w:val="TableParagraph"/>
              <w:spacing w:before="110"/>
              <w:ind w:left="50"/>
              <w:rPr>
                <w:rFonts w:ascii="Times New Roman"/>
                <w:b/>
                <w:sz w:val="21"/>
              </w:rPr>
            </w:pPr>
            <w:r>
              <w:rPr>
                <w:rFonts w:ascii="Times New Roman"/>
                <w:b/>
                <w:sz w:val="21"/>
              </w:rPr>
              <w:t>8.50</w:t>
            </w:r>
          </w:p>
        </w:tc>
        <w:tc>
          <w:tcPr>
            <w:tcW w:w="1641" w:type="dxa"/>
          </w:tcPr>
          <w:p>
            <w:pPr>
              <w:pStyle w:val="TableParagraph"/>
              <w:spacing w:before="58"/>
              <w:ind w:left="213"/>
              <w:rPr>
                <w:b/>
                <w:sz w:val="21"/>
              </w:rPr>
            </w:pPr>
            <w:r>
              <w:rPr>
                <w:b/>
                <w:sz w:val="21"/>
              </w:rPr>
              <w:t>斯蒂尔病</w:t>
            </w:r>
          </w:p>
        </w:tc>
        <w:tc>
          <w:tcPr>
            <w:tcW w:w="7485" w:type="dxa"/>
          </w:tcPr>
          <w:p>
            <w:pPr>
              <w:pStyle w:val="TableParagraph"/>
              <w:spacing w:before="58"/>
              <w:ind w:left="102"/>
              <w:rPr>
                <w:sz w:val="21"/>
              </w:rPr>
            </w:pPr>
            <w:r>
              <w:rPr>
                <w:sz w:val="21"/>
              </w:rPr>
              <w:t>斯蒂尔病须满足下列全部条件：</w:t>
            </w:r>
          </w:p>
        </w:tc>
      </w:tr>
      <w:tr>
        <w:trPr>
          <w:trHeight w:val="310"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71" w:lineRule="exact"/>
              <w:ind w:left="102"/>
              <w:rPr>
                <w:sz w:val="21"/>
              </w:rPr>
            </w:pPr>
            <w:r>
              <w:rPr>
                <w:rFonts w:ascii="Times New Roman" w:eastAsia="Times New Roman"/>
                <w:sz w:val="21"/>
              </w:rPr>
              <w:t>1.</w:t>
            </w:r>
            <w:r>
              <w:rPr>
                <w:sz w:val="21"/>
              </w:rPr>
              <w:t>因该病引致广泛性关节破坏，以致需要进</w:t>
            </w:r>
            <w:r>
              <w:rPr>
                <w:rFonts w:ascii="Times New Roman" w:eastAsia="Times New Roman"/>
                <w:sz w:val="21"/>
              </w:rPr>
              <w:t>行</w:t>
            </w:r>
            <w:r>
              <w:rPr>
                <w:sz w:val="21"/>
              </w:rPr>
              <w:t>髋及膝关节置换；</w:t>
            </w:r>
          </w:p>
        </w:tc>
      </w:tr>
      <w:tr>
        <w:trPr>
          <w:trHeight w:val="379"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72" w:lineRule="exact"/>
              <w:ind w:left="102"/>
              <w:rPr>
                <w:sz w:val="21"/>
              </w:rPr>
            </w:pPr>
            <w:r>
              <w:rPr>
                <w:rFonts w:ascii="Times New Roman" w:eastAsia="Times New Roman"/>
                <w:sz w:val="21"/>
              </w:rPr>
              <w:t>2.</w:t>
            </w:r>
            <w:r>
              <w:rPr>
                <w:sz w:val="21"/>
              </w:rPr>
              <w:t>由风湿病专科医生确定诊断。</w:t>
            </w:r>
          </w:p>
        </w:tc>
      </w:tr>
      <w:tr>
        <w:trPr>
          <w:trHeight w:val="705" w:hRule="atLeast"/>
        </w:trPr>
        <w:tc>
          <w:tcPr>
            <w:tcW w:w="631" w:type="dxa"/>
          </w:tcPr>
          <w:p>
            <w:pPr>
              <w:pStyle w:val="TableParagraph"/>
              <w:spacing w:before="121"/>
              <w:ind w:left="50"/>
              <w:rPr>
                <w:rFonts w:ascii="Times New Roman"/>
                <w:b/>
                <w:sz w:val="21"/>
              </w:rPr>
            </w:pPr>
            <w:r>
              <w:rPr>
                <w:rFonts w:ascii="Times New Roman"/>
                <w:b/>
                <w:sz w:val="21"/>
              </w:rPr>
              <w:t>8.51</w:t>
            </w:r>
          </w:p>
        </w:tc>
        <w:tc>
          <w:tcPr>
            <w:tcW w:w="1641" w:type="dxa"/>
          </w:tcPr>
          <w:p>
            <w:pPr>
              <w:pStyle w:val="TableParagraph"/>
              <w:spacing w:line="310" w:lineRule="atLeast" w:before="34"/>
              <w:ind w:left="213" w:right="100"/>
              <w:rPr>
                <w:b/>
                <w:sz w:val="21"/>
              </w:rPr>
            </w:pPr>
            <w:r>
              <w:rPr>
                <w:b/>
                <w:sz w:val="21"/>
              </w:rPr>
              <w:t>经输血导致的</w:t>
            </w:r>
            <w:r>
              <w:rPr>
                <w:b/>
                <w:w w:val="95"/>
                <w:sz w:val="21"/>
              </w:rPr>
              <w:t>艾滋病病毒感</w:t>
            </w:r>
          </w:p>
        </w:tc>
        <w:tc>
          <w:tcPr>
            <w:tcW w:w="7485" w:type="dxa"/>
          </w:tcPr>
          <w:p>
            <w:pPr>
              <w:pStyle w:val="TableParagraph"/>
              <w:spacing w:before="49"/>
              <w:ind w:left="102"/>
              <w:rPr>
                <w:sz w:val="21"/>
              </w:rPr>
            </w:pPr>
            <w:r>
              <w:rPr>
                <w:sz w:val="21"/>
              </w:rPr>
              <w:t>被保险人因输血而感染上人类免疫缺陷病毒(</w:t>
            </w:r>
            <w:r>
              <w:rPr>
                <w:rFonts w:ascii="Times New Roman" w:eastAsia="Times New Roman"/>
                <w:sz w:val="21"/>
              </w:rPr>
              <w:t>HIV</w:t>
            </w:r>
            <w:r>
              <w:rPr>
                <w:sz w:val="21"/>
              </w:rPr>
              <w:t>) 并须满足下列条件：</w:t>
            </w:r>
          </w:p>
          <w:p>
            <w:pPr>
              <w:pStyle w:val="TableParagraph"/>
              <w:spacing w:before="1"/>
              <w:ind w:left="102"/>
              <w:rPr>
                <w:sz w:val="21"/>
              </w:rPr>
            </w:pPr>
            <w:r>
              <w:rPr>
                <w:rFonts w:ascii="Times New Roman" w:eastAsia="Times New Roman"/>
                <w:sz w:val="21"/>
              </w:rPr>
              <w:t>1.</w:t>
            </w:r>
            <w:r>
              <w:rPr>
                <w:sz w:val="21"/>
              </w:rPr>
              <w:t>在保障起始日或复效日之后，被保险人因输血而感染</w:t>
            </w:r>
            <w:r>
              <w:rPr>
                <w:rFonts w:ascii="Times New Roman" w:eastAsia="Times New Roman"/>
                <w:sz w:val="21"/>
              </w:rPr>
              <w:t>HIV</w:t>
            </w:r>
            <w:r>
              <w:rPr>
                <w:sz w:val="21"/>
              </w:rPr>
              <w:t>；</w:t>
            </w:r>
          </w:p>
        </w:tc>
      </w:tr>
      <w:tr>
        <w:trPr>
          <w:trHeight w:val="311" w:hRule="atLeast"/>
        </w:trPr>
        <w:tc>
          <w:tcPr>
            <w:tcW w:w="631" w:type="dxa"/>
          </w:tcPr>
          <w:p>
            <w:pPr>
              <w:pStyle w:val="TableParagraph"/>
              <w:rPr>
                <w:rFonts w:ascii="Times New Roman"/>
                <w:sz w:val="20"/>
              </w:rPr>
            </w:pPr>
          </w:p>
        </w:tc>
        <w:tc>
          <w:tcPr>
            <w:tcW w:w="1641" w:type="dxa"/>
          </w:tcPr>
          <w:p>
            <w:pPr>
              <w:pStyle w:val="TableParagraph"/>
              <w:spacing w:line="263" w:lineRule="exact"/>
              <w:ind w:left="213"/>
              <w:rPr>
                <w:b/>
                <w:sz w:val="21"/>
              </w:rPr>
            </w:pPr>
            <w:r>
              <w:rPr>
                <w:b/>
                <w:w w:val="99"/>
                <w:sz w:val="21"/>
              </w:rPr>
              <w:t>染</w:t>
            </w:r>
          </w:p>
        </w:tc>
        <w:tc>
          <w:tcPr>
            <w:tcW w:w="7485" w:type="dxa"/>
          </w:tcPr>
          <w:p>
            <w:pPr>
              <w:pStyle w:val="TableParagraph"/>
              <w:spacing w:line="281" w:lineRule="exact"/>
              <w:ind w:left="102"/>
              <w:rPr>
                <w:sz w:val="21"/>
              </w:rPr>
            </w:pPr>
            <w:r>
              <w:rPr>
                <w:sz w:val="21"/>
              </w:rPr>
              <w:t>以及下列条件 </w:t>
            </w:r>
            <w:r>
              <w:rPr>
                <w:rFonts w:ascii="Times New Roman" w:eastAsia="Times New Roman"/>
                <w:sz w:val="21"/>
              </w:rPr>
              <w:t>2 </w:t>
            </w:r>
            <w:r>
              <w:rPr>
                <w:sz w:val="21"/>
              </w:rPr>
              <w:t>或 </w:t>
            </w:r>
            <w:r>
              <w:rPr>
                <w:rFonts w:ascii="Times New Roman" w:eastAsia="Times New Roman"/>
                <w:sz w:val="21"/>
              </w:rPr>
              <w:t>3 </w:t>
            </w:r>
            <w:r>
              <w:rPr>
                <w:sz w:val="21"/>
              </w:rPr>
              <w:t>中的任意一条：</w:t>
            </w:r>
          </w:p>
        </w:tc>
      </w:tr>
      <w:tr>
        <w:trPr>
          <w:trHeight w:val="302"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63" w:lineRule="exact"/>
              <w:ind w:left="102"/>
              <w:rPr>
                <w:sz w:val="21"/>
              </w:rPr>
            </w:pPr>
            <w:r>
              <w:rPr>
                <w:rFonts w:ascii="Times New Roman" w:eastAsia="Times New Roman"/>
                <w:sz w:val="21"/>
              </w:rPr>
              <w:t>2.</w:t>
            </w:r>
            <w:r>
              <w:rPr>
                <w:sz w:val="21"/>
              </w:rPr>
              <w:t>提供输血治疗的输血中心或医院承认该项输血感染责任的证明；</w:t>
            </w:r>
          </w:p>
        </w:tc>
      </w:tr>
      <w:tr>
        <w:trPr>
          <w:trHeight w:val="311"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72" w:lineRule="exact"/>
              <w:ind w:left="102"/>
              <w:rPr>
                <w:sz w:val="21"/>
              </w:rPr>
            </w:pPr>
            <w:r>
              <w:rPr>
                <w:rFonts w:ascii="Times New Roman" w:eastAsia="Times New Roman"/>
                <w:sz w:val="21"/>
              </w:rPr>
              <w:t>3.</w:t>
            </w:r>
            <w:r>
              <w:rPr>
                <w:sz w:val="21"/>
              </w:rPr>
              <w:t>提供输血前一个月内</w:t>
            </w:r>
            <w:r>
              <w:rPr>
                <w:rFonts w:ascii="Times New Roman" w:eastAsia="Times New Roman"/>
                <w:sz w:val="21"/>
              </w:rPr>
              <w:t>HIV</w:t>
            </w:r>
            <w:r>
              <w:rPr>
                <w:sz w:val="21"/>
              </w:rPr>
              <w:t>检查阴性的报告、输血血液来源的证明以及输血后</w:t>
            </w:r>
          </w:p>
        </w:tc>
      </w:tr>
      <w:tr>
        <w:trPr>
          <w:trHeight w:val="358"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72" w:lineRule="exact"/>
              <w:ind w:left="102"/>
              <w:rPr>
                <w:sz w:val="21"/>
              </w:rPr>
            </w:pPr>
            <w:r>
              <w:rPr>
                <w:rFonts w:ascii="Times New Roman" w:eastAsia="Times New Roman"/>
                <w:sz w:val="21"/>
              </w:rPr>
              <w:t>HIV</w:t>
            </w:r>
            <w:r>
              <w:rPr>
                <w:sz w:val="21"/>
              </w:rPr>
              <w:t>检查阳性的报告。</w:t>
            </w:r>
          </w:p>
        </w:tc>
      </w:tr>
      <w:tr>
        <w:trPr>
          <w:trHeight w:val="362"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before="28"/>
              <w:ind w:left="102"/>
              <w:rPr>
                <w:sz w:val="21"/>
              </w:rPr>
            </w:pPr>
            <w:r>
              <w:rPr>
                <w:sz w:val="21"/>
                <w:shd w:fill="C0C0C0" w:color="auto" w:val="clear"/>
              </w:rPr>
              <w:t>任何因其他传播方式（包括：性传播或静脉注射毒品）导致的 </w:t>
            </w:r>
            <w:r>
              <w:rPr>
                <w:rFonts w:ascii="Times New Roman" w:eastAsia="Times New Roman"/>
                <w:sz w:val="21"/>
                <w:shd w:fill="C0C0C0" w:color="auto" w:val="clear"/>
              </w:rPr>
              <w:t>HIV </w:t>
            </w:r>
            <w:r>
              <w:rPr>
                <w:sz w:val="21"/>
                <w:shd w:fill="C0C0C0" w:color="auto" w:val="clear"/>
              </w:rPr>
              <w:t>感染不在保</w:t>
            </w:r>
          </w:p>
        </w:tc>
      </w:tr>
      <w:tr>
        <w:trPr>
          <w:trHeight w:val="379"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53" w:lineRule="exact"/>
              <w:ind w:left="102"/>
              <w:rPr>
                <w:sz w:val="21"/>
              </w:rPr>
            </w:pPr>
            <w:r>
              <w:rPr>
                <w:sz w:val="21"/>
                <w:shd w:fill="C0C0C0" w:color="auto" w:val="clear"/>
              </w:rPr>
              <w:t>障范围内。</w:t>
            </w:r>
          </w:p>
        </w:tc>
      </w:tr>
      <w:tr>
        <w:trPr>
          <w:trHeight w:val="401" w:hRule="atLeast"/>
        </w:trPr>
        <w:tc>
          <w:tcPr>
            <w:tcW w:w="631" w:type="dxa"/>
          </w:tcPr>
          <w:p>
            <w:pPr>
              <w:pStyle w:val="TableParagraph"/>
              <w:spacing w:before="118"/>
              <w:ind w:left="50"/>
              <w:rPr>
                <w:rFonts w:ascii="Times New Roman"/>
                <w:b/>
                <w:sz w:val="21"/>
              </w:rPr>
            </w:pPr>
            <w:r>
              <w:rPr>
                <w:rFonts w:ascii="Times New Roman"/>
                <w:b/>
                <w:sz w:val="21"/>
              </w:rPr>
              <w:t>8.52</w:t>
            </w:r>
          </w:p>
        </w:tc>
        <w:tc>
          <w:tcPr>
            <w:tcW w:w="1641" w:type="dxa"/>
          </w:tcPr>
          <w:p>
            <w:pPr>
              <w:pStyle w:val="TableParagraph"/>
              <w:spacing w:before="66"/>
              <w:ind w:left="213"/>
              <w:rPr>
                <w:b/>
                <w:sz w:val="21"/>
              </w:rPr>
            </w:pPr>
            <w:r>
              <w:rPr>
                <w:b/>
                <w:w w:val="95"/>
                <w:sz w:val="21"/>
              </w:rPr>
              <w:t>持续植物人状</w:t>
            </w:r>
          </w:p>
        </w:tc>
        <w:tc>
          <w:tcPr>
            <w:tcW w:w="7485" w:type="dxa"/>
          </w:tcPr>
          <w:p>
            <w:pPr>
              <w:pStyle w:val="TableParagraph"/>
              <w:spacing w:before="66"/>
              <w:ind w:left="102"/>
              <w:rPr>
                <w:sz w:val="21"/>
              </w:rPr>
            </w:pPr>
            <w:r>
              <w:rPr>
                <w:sz w:val="21"/>
              </w:rPr>
              <w:t>植物人状态系指由于意外事故或疾病引起的大脑和脑干严重损害导致完全永久</w:t>
            </w:r>
          </w:p>
        </w:tc>
      </w:tr>
      <w:tr>
        <w:trPr>
          <w:trHeight w:val="302" w:hRule="atLeast"/>
        </w:trPr>
        <w:tc>
          <w:tcPr>
            <w:tcW w:w="631" w:type="dxa"/>
          </w:tcPr>
          <w:p>
            <w:pPr>
              <w:pStyle w:val="TableParagraph"/>
              <w:rPr>
                <w:rFonts w:ascii="Times New Roman"/>
                <w:sz w:val="20"/>
              </w:rPr>
            </w:pPr>
          </w:p>
        </w:tc>
        <w:tc>
          <w:tcPr>
            <w:tcW w:w="1641" w:type="dxa"/>
          </w:tcPr>
          <w:p>
            <w:pPr>
              <w:pStyle w:val="TableParagraph"/>
              <w:spacing w:line="252" w:lineRule="exact"/>
              <w:ind w:left="213"/>
              <w:rPr>
                <w:b/>
                <w:sz w:val="21"/>
              </w:rPr>
            </w:pPr>
            <w:r>
              <w:rPr>
                <w:b/>
                <w:w w:val="99"/>
                <w:sz w:val="21"/>
              </w:rPr>
              <w:t>态</w:t>
            </w:r>
          </w:p>
        </w:tc>
        <w:tc>
          <w:tcPr>
            <w:tcW w:w="7485" w:type="dxa"/>
          </w:tcPr>
          <w:p>
            <w:pPr>
              <w:pStyle w:val="TableParagraph"/>
              <w:spacing w:line="252" w:lineRule="exact"/>
              <w:ind w:left="102"/>
              <w:rPr>
                <w:sz w:val="21"/>
              </w:rPr>
            </w:pPr>
            <w:r>
              <w:rPr>
                <w:sz w:val="21"/>
              </w:rPr>
              <w:t>性的对自身和环境的意识丧失和中枢神经系统功能丧失，仅残存植物神经功能</w:t>
            </w:r>
          </w:p>
        </w:tc>
      </w:tr>
      <w:tr>
        <w:trPr>
          <w:trHeight w:val="308"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61" w:lineRule="exact"/>
              <w:ind w:left="102"/>
              <w:rPr>
                <w:sz w:val="21"/>
              </w:rPr>
            </w:pPr>
            <w:r>
              <w:rPr>
                <w:sz w:val="21"/>
              </w:rPr>
              <w:t>的疾病状态。诊断必须明确诊断并且具有严重脑损害的证据。植物人状态必须</w:t>
            </w:r>
          </w:p>
        </w:tc>
      </w:tr>
      <w:tr>
        <w:trPr>
          <w:trHeight w:val="399"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80" w:lineRule="exact"/>
              <w:ind w:left="102"/>
              <w:rPr>
                <w:sz w:val="21"/>
              </w:rPr>
            </w:pPr>
            <w:r>
              <w:rPr>
                <w:sz w:val="21"/>
              </w:rPr>
              <w:t>持续 </w:t>
            </w:r>
            <w:r>
              <w:rPr>
                <w:rFonts w:ascii="Times New Roman" w:eastAsia="Times New Roman"/>
                <w:sz w:val="21"/>
              </w:rPr>
              <w:t>180 </w:t>
            </w:r>
            <w:r>
              <w:rPr>
                <w:sz w:val="21"/>
              </w:rPr>
              <w:t>日以上方可申请理赔。</w:t>
            </w:r>
          </w:p>
        </w:tc>
      </w:tr>
      <w:tr>
        <w:trPr>
          <w:trHeight w:val="393" w:hRule="atLeast"/>
        </w:trPr>
        <w:tc>
          <w:tcPr>
            <w:tcW w:w="631" w:type="dxa"/>
          </w:tcPr>
          <w:p>
            <w:pPr>
              <w:pStyle w:val="TableParagraph"/>
              <w:spacing w:before="110"/>
              <w:ind w:left="50"/>
              <w:rPr>
                <w:rFonts w:ascii="Times New Roman"/>
                <w:b/>
                <w:sz w:val="21"/>
              </w:rPr>
            </w:pPr>
            <w:r>
              <w:rPr>
                <w:rFonts w:ascii="Times New Roman"/>
                <w:b/>
                <w:sz w:val="21"/>
              </w:rPr>
              <w:t>8.53</w:t>
            </w:r>
          </w:p>
        </w:tc>
        <w:tc>
          <w:tcPr>
            <w:tcW w:w="1641" w:type="dxa"/>
          </w:tcPr>
          <w:p>
            <w:pPr>
              <w:pStyle w:val="TableParagraph"/>
              <w:spacing w:before="58"/>
              <w:ind w:left="213"/>
              <w:rPr>
                <w:b/>
                <w:sz w:val="21"/>
              </w:rPr>
            </w:pPr>
            <w:r>
              <w:rPr>
                <w:b/>
                <w:sz w:val="21"/>
              </w:rPr>
              <w:t>颅脑手术</w:t>
            </w:r>
          </w:p>
        </w:tc>
        <w:tc>
          <w:tcPr>
            <w:tcW w:w="7485" w:type="dxa"/>
          </w:tcPr>
          <w:p>
            <w:pPr>
              <w:pStyle w:val="TableParagraph"/>
              <w:spacing w:before="58"/>
              <w:ind w:left="102"/>
              <w:rPr>
                <w:sz w:val="21"/>
              </w:rPr>
            </w:pPr>
            <w:r>
              <w:rPr>
                <w:sz w:val="21"/>
              </w:rPr>
              <w:t>指被保险人因脑部疾病实施了全麻下的开颅手术（以切开硬脑膜为准）</w:t>
            </w:r>
            <w:r>
              <w:rPr>
                <w:sz w:val="21"/>
                <w:shd w:fill="C0C0C0" w:color="auto" w:val="clear"/>
              </w:rPr>
              <w:t>（不包</w:t>
            </w:r>
          </w:p>
        </w:tc>
      </w:tr>
      <w:tr>
        <w:trPr>
          <w:trHeight w:val="380"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52" w:lineRule="exact"/>
              <w:ind w:left="102"/>
              <w:rPr>
                <w:sz w:val="21"/>
              </w:rPr>
            </w:pPr>
            <w:r>
              <w:rPr>
                <w:sz w:val="21"/>
                <w:shd w:fill="C0C0C0" w:color="auto" w:val="clear"/>
              </w:rPr>
              <w:t>括颅骨钻孔手术）</w:t>
            </w:r>
            <w:r>
              <w:rPr>
                <w:sz w:val="21"/>
              </w:rPr>
              <w:t>。理赔时必须提供由神经外科医生出具的诊断书及手术报告。</w:t>
            </w:r>
          </w:p>
        </w:tc>
      </w:tr>
      <w:tr>
        <w:trPr>
          <w:trHeight w:val="465"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before="64"/>
              <w:ind w:left="102"/>
              <w:rPr>
                <w:sz w:val="21"/>
              </w:rPr>
            </w:pPr>
            <w:r>
              <w:rPr>
                <w:sz w:val="21"/>
                <w:shd w:fill="C0C0C0" w:color="auto" w:val="clear"/>
              </w:rPr>
              <w:t>因外伤而实施的颅脑手术不在保障范围内</w:t>
            </w:r>
            <w:r>
              <w:rPr>
                <w:sz w:val="21"/>
              </w:rPr>
              <w:t>。</w:t>
            </w:r>
          </w:p>
        </w:tc>
      </w:tr>
      <w:tr>
        <w:trPr>
          <w:trHeight w:val="400" w:hRule="atLeast"/>
        </w:trPr>
        <w:tc>
          <w:tcPr>
            <w:tcW w:w="631" w:type="dxa"/>
          </w:tcPr>
          <w:p>
            <w:pPr>
              <w:pStyle w:val="TableParagraph"/>
              <w:spacing w:before="118"/>
              <w:ind w:left="50"/>
              <w:rPr>
                <w:rFonts w:ascii="Times New Roman"/>
                <w:b/>
                <w:sz w:val="21"/>
              </w:rPr>
            </w:pPr>
            <w:r>
              <w:rPr>
                <w:rFonts w:ascii="Times New Roman"/>
                <w:b/>
                <w:sz w:val="21"/>
              </w:rPr>
              <w:t>8.54</w:t>
            </w:r>
          </w:p>
        </w:tc>
        <w:tc>
          <w:tcPr>
            <w:tcW w:w="1641" w:type="dxa"/>
          </w:tcPr>
          <w:p>
            <w:pPr>
              <w:pStyle w:val="TableParagraph"/>
              <w:spacing w:before="66"/>
              <w:ind w:left="213"/>
              <w:rPr>
                <w:b/>
                <w:sz w:val="21"/>
              </w:rPr>
            </w:pPr>
            <w:r>
              <w:rPr>
                <w:b/>
                <w:w w:val="95"/>
                <w:sz w:val="21"/>
              </w:rPr>
              <w:t>破裂脑动脉瘤</w:t>
            </w:r>
          </w:p>
        </w:tc>
        <w:tc>
          <w:tcPr>
            <w:tcW w:w="7485" w:type="dxa"/>
          </w:tcPr>
          <w:p>
            <w:pPr>
              <w:pStyle w:val="TableParagraph"/>
              <w:spacing w:before="66"/>
              <w:ind w:left="102"/>
              <w:rPr>
                <w:sz w:val="21"/>
              </w:rPr>
            </w:pPr>
            <w:r>
              <w:rPr>
                <w:sz w:val="21"/>
              </w:rPr>
              <w:t>指因脑动脉瘤破裂造成蛛网膜下腔出血，被保险人实际接受了在全麻下进行的</w:t>
            </w:r>
          </w:p>
        </w:tc>
      </w:tr>
      <w:tr>
        <w:trPr>
          <w:trHeight w:val="349" w:hRule="atLeast"/>
        </w:trPr>
        <w:tc>
          <w:tcPr>
            <w:tcW w:w="631" w:type="dxa"/>
          </w:tcPr>
          <w:p>
            <w:pPr>
              <w:pStyle w:val="TableParagraph"/>
              <w:rPr>
                <w:rFonts w:ascii="Times New Roman"/>
                <w:sz w:val="20"/>
              </w:rPr>
            </w:pPr>
          </w:p>
        </w:tc>
        <w:tc>
          <w:tcPr>
            <w:tcW w:w="1641" w:type="dxa"/>
          </w:tcPr>
          <w:p>
            <w:pPr>
              <w:pStyle w:val="TableParagraph"/>
              <w:spacing w:line="251" w:lineRule="exact"/>
              <w:ind w:left="213"/>
              <w:rPr>
                <w:b/>
                <w:sz w:val="21"/>
              </w:rPr>
            </w:pPr>
            <w:r>
              <w:rPr>
                <w:b/>
                <w:sz w:val="21"/>
              </w:rPr>
              <w:t>夹闭手术</w:t>
            </w:r>
          </w:p>
        </w:tc>
        <w:tc>
          <w:tcPr>
            <w:tcW w:w="7485" w:type="dxa"/>
          </w:tcPr>
          <w:p>
            <w:pPr>
              <w:pStyle w:val="TableParagraph"/>
              <w:spacing w:line="251" w:lineRule="exact"/>
              <w:ind w:left="102"/>
              <w:rPr>
                <w:sz w:val="21"/>
              </w:rPr>
            </w:pPr>
            <w:r>
              <w:rPr>
                <w:sz w:val="21"/>
              </w:rPr>
              <w:t>开颅动脉夹闭手术。</w:t>
            </w:r>
          </w:p>
        </w:tc>
      </w:tr>
      <w:tr>
        <w:trPr>
          <w:trHeight w:val="358"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before="33"/>
              <w:ind w:left="102"/>
              <w:rPr>
                <w:sz w:val="21"/>
              </w:rPr>
            </w:pPr>
            <w:r>
              <w:rPr>
                <w:sz w:val="21"/>
                <w:shd w:fill="C0C0C0" w:color="auto" w:val="clear"/>
              </w:rPr>
              <w:t>脑动脉瘤（未破裂）预防性手术、颅骨打孔手术、动脉瘤栓塞手术、血管内手</w:t>
            </w:r>
          </w:p>
        </w:tc>
      </w:tr>
      <w:tr>
        <w:trPr>
          <w:trHeight w:val="379" w:hRule="atLeast"/>
        </w:trPr>
        <w:tc>
          <w:tcPr>
            <w:tcW w:w="631" w:type="dxa"/>
          </w:tcPr>
          <w:p>
            <w:pPr>
              <w:pStyle w:val="TableParagraph"/>
              <w:rPr>
                <w:rFonts w:ascii="Times New Roman"/>
                <w:sz w:val="20"/>
              </w:rPr>
            </w:pPr>
          </w:p>
        </w:tc>
        <w:tc>
          <w:tcPr>
            <w:tcW w:w="1641" w:type="dxa"/>
          </w:tcPr>
          <w:p>
            <w:pPr>
              <w:pStyle w:val="TableParagraph"/>
              <w:rPr>
                <w:rFonts w:ascii="Times New Roman"/>
                <w:sz w:val="20"/>
              </w:rPr>
            </w:pPr>
          </w:p>
        </w:tc>
        <w:tc>
          <w:tcPr>
            <w:tcW w:w="7485" w:type="dxa"/>
          </w:tcPr>
          <w:p>
            <w:pPr>
              <w:pStyle w:val="TableParagraph"/>
              <w:spacing w:line="261" w:lineRule="exact"/>
              <w:ind w:left="102"/>
              <w:rPr>
                <w:sz w:val="21"/>
              </w:rPr>
            </w:pPr>
            <w:r>
              <w:rPr>
                <w:sz w:val="21"/>
                <w:shd w:fill="C0C0C0" w:color="auto" w:val="clear"/>
              </w:rPr>
              <w:t>术及其他颅脑手术不在保障范围内。</w:t>
            </w:r>
          </w:p>
        </w:tc>
      </w:tr>
      <w:tr>
        <w:trPr>
          <w:trHeight w:val="367" w:hRule="atLeast"/>
        </w:trPr>
        <w:tc>
          <w:tcPr>
            <w:tcW w:w="631" w:type="dxa"/>
          </w:tcPr>
          <w:p>
            <w:pPr>
              <w:pStyle w:val="TableParagraph"/>
              <w:spacing w:line="221" w:lineRule="exact" w:before="126"/>
              <w:ind w:left="50"/>
              <w:rPr>
                <w:rFonts w:ascii="Times New Roman"/>
                <w:b/>
                <w:sz w:val="21"/>
              </w:rPr>
            </w:pPr>
            <w:r>
              <w:rPr>
                <w:rFonts w:ascii="Times New Roman"/>
                <w:b/>
                <w:sz w:val="21"/>
              </w:rPr>
              <w:t>8.55</w:t>
            </w:r>
          </w:p>
        </w:tc>
        <w:tc>
          <w:tcPr>
            <w:tcW w:w="1641" w:type="dxa"/>
          </w:tcPr>
          <w:p>
            <w:pPr>
              <w:pStyle w:val="TableParagraph"/>
              <w:spacing w:line="273" w:lineRule="exact" w:before="74"/>
              <w:ind w:left="213"/>
              <w:rPr>
                <w:b/>
                <w:sz w:val="21"/>
              </w:rPr>
            </w:pPr>
            <w:r>
              <w:rPr>
                <w:b/>
                <w:w w:val="95"/>
                <w:sz w:val="21"/>
              </w:rPr>
              <w:t>严重自身免疫</w:t>
            </w:r>
          </w:p>
        </w:tc>
        <w:tc>
          <w:tcPr>
            <w:tcW w:w="7485" w:type="dxa"/>
          </w:tcPr>
          <w:p>
            <w:pPr>
              <w:pStyle w:val="TableParagraph"/>
              <w:spacing w:before="54"/>
              <w:ind w:left="102"/>
              <w:rPr>
                <w:sz w:val="21"/>
              </w:rPr>
            </w:pPr>
            <w:r>
              <w:rPr>
                <w:sz w:val="21"/>
              </w:rPr>
              <w:t>自身免疫性肝炎是一种原因不明的慢性肝脏的坏死性炎性疾病，机体免疫机制</w:t>
            </w:r>
          </w:p>
        </w:tc>
      </w:tr>
    </w:tbl>
    <w:p>
      <w:pPr>
        <w:spacing w:after="0"/>
        <w:rPr>
          <w:sz w:val="21"/>
        </w:rPr>
        <w:sectPr>
          <w:pgSz w:w="11910" w:h="16840"/>
          <w:pgMar w:header="0" w:footer="988" w:top="1180" w:bottom="1180" w:left="980" w:right="960"/>
        </w:sectPr>
      </w:pPr>
    </w:p>
    <w:p>
      <w:pPr>
        <w:pStyle w:val="Heading4"/>
        <w:spacing w:before="23"/>
        <w:ind w:left="948"/>
      </w:pPr>
      <w:r>
        <w:rPr/>
        <w:t>性肝炎</w:t>
      </w:r>
    </w:p>
    <w:p>
      <w:pPr>
        <w:pStyle w:val="BodyText"/>
        <w:spacing w:line="236" w:lineRule="exact"/>
        <w:ind w:left="856"/>
      </w:pPr>
      <w:r>
        <w:rPr/>
        <w:br w:type="column"/>
      </w:r>
      <w:r>
        <w:rPr/>
        <w:t>被破坏，产生针对肝脏自身抗原的抗体导致自身免疫反应，从而破坏肝细胞造</w:t>
      </w:r>
    </w:p>
    <w:p>
      <w:pPr>
        <w:spacing w:line="272" w:lineRule="exact" w:before="0"/>
        <w:ind w:left="856" w:right="0" w:firstLine="0"/>
        <w:jc w:val="left"/>
        <w:rPr>
          <w:sz w:val="21"/>
        </w:rPr>
      </w:pPr>
      <w:r>
        <w:rPr>
          <w:w w:val="95"/>
          <w:sz w:val="21"/>
        </w:rPr>
        <w:t>成肝脏炎症坏死，进而发展为肝硬化，</w:t>
      </w:r>
      <w:r>
        <w:rPr>
          <w:b/>
          <w:w w:val="95"/>
          <w:sz w:val="21"/>
        </w:rPr>
        <w:t>并须满足下列全部条件</w:t>
      </w:r>
      <w:r>
        <w:rPr>
          <w:w w:val="95"/>
          <w:sz w:val="21"/>
        </w:rPr>
        <w:t>：</w:t>
      </w:r>
    </w:p>
    <w:p>
      <w:pPr>
        <w:pStyle w:val="BodyText"/>
        <w:spacing w:line="289" w:lineRule="exact"/>
        <w:ind w:left="856"/>
      </w:pPr>
      <w:r>
        <w:rPr>
          <w:rFonts w:ascii="Times New Roman" w:hAnsi="Times New Roman" w:eastAsia="Times New Roman"/>
        </w:rPr>
        <w:t>1.</w:t>
      </w:r>
      <w:r>
        <w:rPr/>
        <w:t>高 γ 球蛋白血症；</w:t>
      </w:r>
    </w:p>
    <w:p>
      <w:pPr>
        <w:spacing w:after="0" w:line="289" w:lineRule="exact"/>
        <w:sectPr>
          <w:type w:val="continuous"/>
          <w:pgSz w:w="11910" w:h="16840"/>
          <w:pgMar w:top="1120" w:bottom="1180" w:left="980" w:right="960"/>
          <w:cols w:num="2" w:equalWidth="0">
            <w:col w:w="1582" w:space="40"/>
            <w:col w:w="8348"/>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651"/>
        <w:gridCol w:w="7428"/>
      </w:tblGrid>
      <w:tr>
        <w:trPr>
          <w:trHeight w:val="807"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20" w:lineRule="exact"/>
              <w:ind w:left="92"/>
              <w:rPr>
                <w:sz w:val="21"/>
              </w:rPr>
            </w:pPr>
            <w:r>
              <w:rPr>
                <w:rFonts w:ascii="Times New Roman" w:eastAsia="Times New Roman"/>
                <w:sz w:val="21"/>
              </w:rPr>
              <w:t>2.</w:t>
            </w:r>
            <w:r>
              <w:rPr>
                <w:spacing w:val="-5"/>
                <w:sz w:val="21"/>
              </w:rPr>
              <w:t>血液中存在高水平的自身免疫抗体，如 </w:t>
            </w:r>
            <w:r>
              <w:rPr>
                <w:rFonts w:ascii="Times New Roman" w:eastAsia="Times New Roman"/>
                <w:spacing w:val="-6"/>
                <w:sz w:val="21"/>
              </w:rPr>
              <w:t>ANA</w:t>
            </w:r>
            <w:r>
              <w:rPr>
                <w:spacing w:val="-6"/>
                <w:sz w:val="21"/>
              </w:rPr>
              <w:t>（</w:t>
            </w:r>
            <w:r>
              <w:rPr>
                <w:sz w:val="21"/>
              </w:rPr>
              <w:t>抗核抗体</w:t>
            </w:r>
            <w:r>
              <w:rPr>
                <w:spacing w:val="-105"/>
                <w:sz w:val="21"/>
              </w:rPr>
              <w:t>）</w:t>
            </w:r>
            <w:r>
              <w:rPr>
                <w:spacing w:val="-23"/>
                <w:sz w:val="21"/>
              </w:rPr>
              <w:t>、</w:t>
            </w:r>
            <w:r>
              <w:rPr>
                <w:rFonts w:ascii="Times New Roman" w:eastAsia="Times New Roman"/>
                <w:spacing w:val="-6"/>
                <w:sz w:val="21"/>
              </w:rPr>
              <w:t>SMA</w:t>
            </w:r>
            <w:r>
              <w:rPr>
                <w:spacing w:val="-6"/>
                <w:sz w:val="21"/>
              </w:rPr>
              <w:t>（</w:t>
            </w:r>
            <w:r>
              <w:rPr>
                <w:sz w:val="21"/>
              </w:rPr>
              <w:t>抗平滑肌抗</w:t>
            </w:r>
          </w:p>
          <w:p>
            <w:pPr>
              <w:pStyle w:val="TableParagraph"/>
              <w:spacing w:line="272" w:lineRule="exact"/>
              <w:ind w:left="92"/>
              <w:rPr>
                <w:sz w:val="21"/>
              </w:rPr>
            </w:pPr>
            <w:r>
              <w:rPr>
                <w:sz w:val="21"/>
              </w:rPr>
              <w:t>体</w:t>
            </w:r>
            <w:r>
              <w:rPr>
                <w:spacing w:val="-105"/>
                <w:sz w:val="21"/>
              </w:rPr>
              <w:t>）</w:t>
            </w:r>
            <w:r>
              <w:rPr>
                <w:spacing w:val="-19"/>
                <w:sz w:val="21"/>
              </w:rPr>
              <w:t>、抗 </w:t>
            </w:r>
            <w:r>
              <w:rPr>
                <w:rFonts w:ascii="Times New Roman" w:eastAsia="Times New Roman"/>
                <w:sz w:val="21"/>
              </w:rPr>
              <w:t>LKM1 </w:t>
            </w:r>
            <w:r>
              <w:rPr>
                <w:sz w:val="21"/>
              </w:rPr>
              <w:t>抗体或抗-</w:t>
            </w:r>
            <w:r>
              <w:rPr>
                <w:rFonts w:ascii="Times New Roman" w:eastAsia="Times New Roman"/>
                <w:sz w:val="21"/>
              </w:rPr>
              <w:t>SLA</w:t>
            </w:r>
            <w:r>
              <w:rPr>
                <w:sz w:val="21"/>
              </w:rPr>
              <w:t>/</w:t>
            </w:r>
            <w:r>
              <w:rPr>
                <w:rFonts w:ascii="Times New Roman" w:eastAsia="Times New Roman"/>
                <w:sz w:val="21"/>
              </w:rPr>
              <w:t>LP </w:t>
            </w:r>
            <w:r>
              <w:rPr>
                <w:sz w:val="21"/>
              </w:rPr>
              <w:t>抗体；</w:t>
            </w:r>
          </w:p>
          <w:p>
            <w:pPr>
              <w:pStyle w:val="TableParagraph"/>
              <w:spacing w:line="282" w:lineRule="exact"/>
              <w:ind w:left="92"/>
              <w:rPr>
                <w:sz w:val="21"/>
              </w:rPr>
            </w:pPr>
            <w:r>
              <w:rPr>
                <w:rFonts w:ascii="Times New Roman" w:eastAsia="Times New Roman"/>
                <w:sz w:val="21"/>
              </w:rPr>
              <w:t>3.</w:t>
            </w:r>
            <w:r>
              <w:rPr>
                <w:sz w:val="21"/>
              </w:rPr>
              <w:t>肝脏活检证实免疫性肝炎；</w:t>
            </w:r>
          </w:p>
        </w:tc>
      </w:tr>
      <w:tr>
        <w:trPr>
          <w:trHeight w:val="380"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60" w:lineRule="exact"/>
              <w:ind w:left="92"/>
              <w:rPr>
                <w:sz w:val="21"/>
              </w:rPr>
            </w:pPr>
            <w:r>
              <w:rPr>
                <w:rFonts w:ascii="Times New Roman" w:eastAsia="Times New Roman"/>
                <w:sz w:val="21"/>
              </w:rPr>
              <w:t>4.</w:t>
            </w:r>
            <w:r>
              <w:rPr>
                <w:sz w:val="21"/>
              </w:rPr>
              <w:t>临床已经出现腹水、食道静脉曲张和脾肿大等肝硬化表现。</w:t>
            </w:r>
          </w:p>
        </w:tc>
      </w:tr>
      <w:tr>
        <w:trPr>
          <w:trHeight w:val="394" w:hRule="atLeast"/>
        </w:trPr>
        <w:tc>
          <w:tcPr>
            <w:tcW w:w="689" w:type="dxa"/>
          </w:tcPr>
          <w:p>
            <w:pPr>
              <w:pStyle w:val="TableParagraph"/>
              <w:spacing w:before="108"/>
              <w:ind w:left="108"/>
              <w:rPr>
                <w:rFonts w:ascii="Times New Roman"/>
                <w:b/>
                <w:sz w:val="21"/>
              </w:rPr>
            </w:pPr>
            <w:r>
              <w:rPr>
                <w:rFonts w:ascii="Times New Roman"/>
                <w:b/>
                <w:sz w:val="21"/>
              </w:rPr>
              <w:t>8.56</w:t>
            </w:r>
          </w:p>
        </w:tc>
        <w:tc>
          <w:tcPr>
            <w:tcW w:w="1651" w:type="dxa"/>
          </w:tcPr>
          <w:p>
            <w:pPr>
              <w:pStyle w:val="TableParagraph"/>
              <w:spacing w:before="56"/>
              <w:ind w:left="213"/>
              <w:rPr>
                <w:b/>
                <w:sz w:val="21"/>
              </w:rPr>
            </w:pPr>
            <w:r>
              <w:rPr>
                <w:rFonts w:ascii="Times New Roman" w:eastAsia="Times New Roman"/>
                <w:b/>
                <w:sz w:val="21"/>
              </w:rPr>
              <w:t>III  </w:t>
            </w:r>
            <w:r>
              <w:rPr>
                <w:b/>
                <w:sz w:val="21"/>
              </w:rPr>
              <w:t>度房室传</w:t>
            </w:r>
          </w:p>
        </w:tc>
        <w:tc>
          <w:tcPr>
            <w:tcW w:w="7428" w:type="dxa"/>
          </w:tcPr>
          <w:p>
            <w:pPr>
              <w:pStyle w:val="TableParagraph"/>
              <w:spacing w:before="56"/>
              <w:ind w:left="92"/>
              <w:rPr>
                <w:sz w:val="21"/>
              </w:rPr>
            </w:pPr>
            <w:r>
              <w:rPr>
                <w:sz w:val="21"/>
              </w:rPr>
              <w:t>指心房激动在房室交界区、房室束及其分支内发生阻滞，不能正常地传到心</w:t>
            </w:r>
          </w:p>
        </w:tc>
      </w:tr>
      <w:tr>
        <w:trPr>
          <w:trHeight w:val="299" w:hRule="atLeast"/>
        </w:trPr>
        <w:tc>
          <w:tcPr>
            <w:tcW w:w="689" w:type="dxa"/>
          </w:tcPr>
          <w:p>
            <w:pPr>
              <w:pStyle w:val="TableParagraph"/>
              <w:rPr>
                <w:rFonts w:ascii="Times New Roman"/>
                <w:sz w:val="20"/>
              </w:rPr>
            </w:pPr>
          </w:p>
        </w:tc>
        <w:tc>
          <w:tcPr>
            <w:tcW w:w="1651" w:type="dxa"/>
          </w:tcPr>
          <w:p>
            <w:pPr>
              <w:pStyle w:val="TableParagraph"/>
              <w:spacing w:line="249" w:lineRule="exact"/>
              <w:ind w:left="213"/>
              <w:rPr>
                <w:b/>
                <w:sz w:val="21"/>
              </w:rPr>
            </w:pPr>
            <w:r>
              <w:rPr>
                <w:b/>
                <w:sz w:val="21"/>
              </w:rPr>
              <w:t>导阻滞</w:t>
            </w:r>
          </w:p>
        </w:tc>
        <w:tc>
          <w:tcPr>
            <w:tcW w:w="7428" w:type="dxa"/>
          </w:tcPr>
          <w:p>
            <w:pPr>
              <w:pStyle w:val="TableParagraph"/>
              <w:spacing w:line="249" w:lineRule="exact"/>
              <w:ind w:left="92"/>
              <w:rPr>
                <w:sz w:val="21"/>
              </w:rPr>
            </w:pPr>
            <w:r>
              <w:rPr>
                <w:w w:val="95"/>
                <w:sz w:val="21"/>
              </w:rPr>
              <w:t>室的心脏传导性疾病，</w:t>
            </w:r>
            <w:r>
              <w:rPr>
                <w:b/>
                <w:w w:val="95"/>
                <w:sz w:val="21"/>
              </w:rPr>
              <w:t>并须满足下列全部条件</w:t>
            </w:r>
            <w:r>
              <w:rPr>
                <w:w w:val="95"/>
                <w:sz w:val="21"/>
              </w:rPr>
              <w:t>：</w:t>
            </w:r>
          </w:p>
        </w:tc>
      </w:tr>
      <w:tr>
        <w:trPr>
          <w:trHeight w:val="319"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77" w:lineRule="exact"/>
              <w:ind w:left="92"/>
              <w:rPr>
                <w:sz w:val="21"/>
              </w:rPr>
            </w:pP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次/分钟；</w:t>
            </w:r>
          </w:p>
        </w:tc>
      </w:tr>
      <w:tr>
        <w:trPr>
          <w:trHeight w:val="311"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69" w:lineRule="exact"/>
              <w:ind w:left="92"/>
              <w:rPr>
                <w:sz w:val="21"/>
              </w:rPr>
            </w:pPr>
            <w:r>
              <w:rPr>
                <w:rFonts w:ascii="Times New Roman" w:eastAsia="Times New Roman"/>
                <w:sz w:val="21"/>
              </w:rPr>
              <w:t>2.</w:t>
            </w:r>
            <w:r>
              <w:rPr>
                <w:sz w:val="21"/>
              </w:rPr>
              <w:t>出现阿-斯综合征或心力衰竭的表现；</w:t>
            </w:r>
          </w:p>
        </w:tc>
      </w:tr>
      <w:tr>
        <w:trPr>
          <w:trHeight w:val="391"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69" w:lineRule="exact"/>
              <w:ind w:left="92"/>
              <w:rPr>
                <w:sz w:val="21"/>
              </w:rPr>
            </w:pPr>
            <w:r>
              <w:rPr>
                <w:rFonts w:ascii="Times New Roman" w:eastAsia="Times New Roman"/>
                <w:sz w:val="21"/>
              </w:rPr>
              <w:t>3.</w:t>
            </w:r>
            <w:r>
              <w:rPr>
                <w:sz w:val="21"/>
              </w:rPr>
              <w:t>必须持续性依赖心脏起搏器维持心脏正常功能，且已经放置心脏起搏器。</w:t>
            </w:r>
          </w:p>
        </w:tc>
      </w:tr>
      <w:tr>
        <w:trPr>
          <w:trHeight w:val="390" w:hRule="atLeast"/>
        </w:trPr>
        <w:tc>
          <w:tcPr>
            <w:tcW w:w="689" w:type="dxa"/>
          </w:tcPr>
          <w:p>
            <w:pPr>
              <w:pStyle w:val="TableParagraph"/>
              <w:spacing w:before="107"/>
              <w:ind w:left="108"/>
              <w:rPr>
                <w:rFonts w:ascii="Times New Roman"/>
                <w:b/>
                <w:sz w:val="21"/>
              </w:rPr>
            </w:pPr>
            <w:r>
              <w:rPr>
                <w:rFonts w:ascii="Times New Roman"/>
                <w:b/>
                <w:sz w:val="21"/>
              </w:rPr>
              <w:t>8.57</w:t>
            </w:r>
          </w:p>
        </w:tc>
        <w:tc>
          <w:tcPr>
            <w:tcW w:w="1651" w:type="dxa"/>
          </w:tcPr>
          <w:p>
            <w:pPr>
              <w:pStyle w:val="TableParagraph"/>
              <w:spacing w:before="55"/>
              <w:ind w:left="213"/>
              <w:rPr>
                <w:b/>
                <w:sz w:val="21"/>
              </w:rPr>
            </w:pPr>
            <w:r>
              <w:rPr>
                <w:b/>
                <w:w w:val="95"/>
                <w:sz w:val="21"/>
              </w:rPr>
              <w:t>严重传染性心</w:t>
            </w:r>
          </w:p>
        </w:tc>
        <w:tc>
          <w:tcPr>
            <w:tcW w:w="7428" w:type="dxa"/>
          </w:tcPr>
          <w:p>
            <w:pPr>
              <w:pStyle w:val="TableParagraph"/>
              <w:spacing w:before="55"/>
              <w:ind w:left="92"/>
              <w:rPr>
                <w:sz w:val="21"/>
              </w:rPr>
            </w:pPr>
            <w:r>
              <w:rPr>
                <w:w w:val="95"/>
                <w:sz w:val="21"/>
              </w:rPr>
              <w:t>是指由感染性微生物引致的心脏内膜炎症，</w:t>
            </w:r>
            <w:r>
              <w:rPr>
                <w:b/>
                <w:w w:val="95"/>
                <w:sz w:val="21"/>
              </w:rPr>
              <w:t>并须满足下列全部条件</w:t>
            </w:r>
            <w:r>
              <w:rPr>
                <w:w w:val="95"/>
                <w:sz w:val="21"/>
              </w:rPr>
              <w:t>：</w:t>
            </w:r>
          </w:p>
        </w:tc>
      </w:tr>
      <w:tr>
        <w:trPr>
          <w:trHeight w:val="310" w:hRule="atLeast"/>
        </w:trPr>
        <w:tc>
          <w:tcPr>
            <w:tcW w:w="689" w:type="dxa"/>
          </w:tcPr>
          <w:p>
            <w:pPr>
              <w:pStyle w:val="TableParagraph"/>
              <w:rPr>
                <w:rFonts w:ascii="Times New Roman"/>
                <w:sz w:val="20"/>
              </w:rPr>
            </w:pPr>
          </w:p>
        </w:tc>
        <w:tc>
          <w:tcPr>
            <w:tcW w:w="1651" w:type="dxa"/>
          </w:tcPr>
          <w:p>
            <w:pPr>
              <w:pStyle w:val="TableParagraph"/>
              <w:spacing w:line="252" w:lineRule="exact"/>
              <w:ind w:left="213"/>
              <w:rPr>
                <w:b/>
                <w:sz w:val="21"/>
              </w:rPr>
            </w:pPr>
            <w:r>
              <w:rPr>
                <w:b/>
                <w:sz w:val="21"/>
              </w:rPr>
              <w:t>内膜炎</w:t>
            </w:r>
          </w:p>
        </w:tc>
        <w:tc>
          <w:tcPr>
            <w:tcW w:w="7428" w:type="dxa"/>
          </w:tcPr>
          <w:p>
            <w:pPr>
              <w:pStyle w:val="TableParagraph"/>
              <w:spacing w:line="268" w:lineRule="exact"/>
              <w:ind w:left="92"/>
              <w:rPr>
                <w:sz w:val="21"/>
              </w:rPr>
            </w:pPr>
            <w:r>
              <w:rPr>
                <w:rFonts w:ascii="Times New Roman" w:eastAsia="Times New Roman"/>
                <w:sz w:val="21"/>
              </w:rPr>
              <w:t>1.</w:t>
            </w:r>
            <w:r>
              <w:rPr>
                <w:sz w:val="21"/>
              </w:rPr>
              <w:t>血液培植结果呈阳性反应，证明感染性微生物的存在；</w:t>
            </w:r>
          </w:p>
        </w:tc>
      </w:tr>
      <w:tr>
        <w:trPr>
          <w:trHeight w:val="315"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69" w:lineRule="exact"/>
              <w:ind w:left="92"/>
              <w:rPr>
                <w:sz w:val="21"/>
              </w:rPr>
            </w:pPr>
            <w:r>
              <w:rPr>
                <w:rFonts w:ascii="Times New Roman" w:eastAsia="Times New Roman"/>
                <w:sz w:val="21"/>
              </w:rPr>
              <w:t>2.</w:t>
            </w:r>
            <w:r>
              <w:rPr>
                <w:sz w:val="21"/>
              </w:rPr>
              <w:t>出现最少中度之心脏瓣膜功能不全（即返流部分达百分之二十或者以上）或者</w:t>
            </w:r>
          </w:p>
        </w:tc>
      </w:tr>
      <w:tr>
        <w:trPr>
          <w:trHeight w:val="304"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50" w:lineRule="exact"/>
              <w:ind w:left="92"/>
              <w:rPr>
                <w:sz w:val="21"/>
              </w:rPr>
            </w:pPr>
            <w:r>
              <w:rPr>
                <w:sz w:val="21"/>
              </w:rPr>
              <w:t>中度之心脏瓣膜狭窄（即心脏瓣面积为正常值的百分之三十或者以下），导致</w:t>
            </w:r>
          </w:p>
        </w:tc>
      </w:tr>
      <w:tr>
        <w:trPr>
          <w:trHeight w:val="308"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58" w:lineRule="exact"/>
              <w:ind w:left="92"/>
              <w:rPr>
                <w:sz w:val="21"/>
              </w:rPr>
            </w:pPr>
            <w:r>
              <w:rPr>
                <w:sz w:val="21"/>
              </w:rPr>
              <w:t>传染性心内膜炎；</w:t>
            </w:r>
          </w:p>
        </w:tc>
      </w:tr>
      <w:tr>
        <w:trPr>
          <w:trHeight w:val="399"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77" w:lineRule="exact"/>
              <w:ind w:left="92"/>
              <w:rPr>
                <w:sz w:val="21"/>
              </w:rPr>
            </w:pPr>
            <w:r>
              <w:rPr>
                <w:rFonts w:ascii="Times New Roman" w:eastAsia="Times New Roman"/>
                <w:sz w:val="21"/>
              </w:rPr>
              <w:t>3.</w:t>
            </w:r>
            <w:r>
              <w:rPr>
                <w:sz w:val="21"/>
              </w:rPr>
              <w:t>传染性心内膜炎的诊断及瓣膜受损的严重程度必须由心脏病专科医生确定。</w:t>
            </w:r>
          </w:p>
        </w:tc>
      </w:tr>
      <w:tr>
        <w:trPr>
          <w:trHeight w:val="393" w:hRule="atLeast"/>
        </w:trPr>
        <w:tc>
          <w:tcPr>
            <w:tcW w:w="689" w:type="dxa"/>
          </w:tcPr>
          <w:p>
            <w:pPr>
              <w:pStyle w:val="TableParagraph"/>
              <w:spacing w:before="107"/>
              <w:ind w:left="108"/>
              <w:rPr>
                <w:rFonts w:ascii="Times New Roman"/>
                <w:b/>
                <w:sz w:val="21"/>
              </w:rPr>
            </w:pPr>
            <w:r>
              <w:rPr>
                <w:rFonts w:ascii="Times New Roman"/>
                <w:b/>
                <w:sz w:val="21"/>
              </w:rPr>
              <w:t>8.58</w:t>
            </w:r>
          </w:p>
        </w:tc>
        <w:tc>
          <w:tcPr>
            <w:tcW w:w="1651" w:type="dxa"/>
          </w:tcPr>
          <w:p>
            <w:pPr>
              <w:pStyle w:val="TableParagraph"/>
              <w:spacing w:before="55"/>
              <w:ind w:left="213"/>
              <w:rPr>
                <w:b/>
                <w:sz w:val="21"/>
              </w:rPr>
            </w:pPr>
            <w:r>
              <w:rPr>
                <w:b/>
                <w:w w:val="95"/>
                <w:sz w:val="21"/>
              </w:rPr>
              <w:t>自体造血干细</w:t>
            </w:r>
          </w:p>
        </w:tc>
        <w:tc>
          <w:tcPr>
            <w:tcW w:w="7428" w:type="dxa"/>
          </w:tcPr>
          <w:p>
            <w:pPr>
              <w:pStyle w:val="TableParagraph"/>
              <w:spacing w:before="55"/>
              <w:ind w:left="92"/>
              <w:rPr>
                <w:sz w:val="21"/>
              </w:rPr>
            </w:pPr>
            <w:r>
              <w:rPr>
                <w:sz w:val="21"/>
              </w:rPr>
              <w:t>指由于患者自身骨髓造血功能异常或为了达到治疗肿瘤的目的，采集患者自己</w:t>
            </w:r>
          </w:p>
        </w:tc>
      </w:tr>
      <w:tr>
        <w:trPr>
          <w:trHeight w:val="302" w:hRule="atLeast"/>
        </w:trPr>
        <w:tc>
          <w:tcPr>
            <w:tcW w:w="689" w:type="dxa"/>
          </w:tcPr>
          <w:p>
            <w:pPr>
              <w:pStyle w:val="TableParagraph"/>
              <w:rPr>
                <w:rFonts w:ascii="Times New Roman"/>
                <w:sz w:val="20"/>
              </w:rPr>
            </w:pPr>
          </w:p>
        </w:tc>
        <w:tc>
          <w:tcPr>
            <w:tcW w:w="1651" w:type="dxa"/>
          </w:tcPr>
          <w:p>
            <w:pPr>
              <w:pStyle w:val="TableParagraph"/>
              <w:spacing w:line="249" w:lineRule="exact"/>
              <w:ind w:left="213"/>
              <w:rPr>
                <w:b/>
                <w:sz w:val="21"/>
              </w:rPr>
            </w:pPr>
            <w:r>
              <w:rPr>
                <w:b/>
                <w:sz w:val="21"/>
              </w:rPr>
              <w:t>胞移植</w:t>
            </w:r>
          </w:p>
        </w:tc>
        <w:tc>
          <w:tcPr>
            <w:tcW w:w="7428" w:type="dxa"/>
          </w:tcPr>
          <w:p>
            <w:pPr>
              <w:pStyle w:val="TableParagraph"/>
              <w:spacing w:line="249" w:lineRule="exact"/>
              <w:ind w:left="92"/>
              <w:rPr>
                <w:sz w:val="21"/>
              </w:rPr>
            </w:pPr>
            <w:r>
              <w:rPr>
                <w:sz w:val="21"/>
              </w:rPr>
              <w:t>的一部分造血干细胞，分离并深低温保存，再回输给患者使患者的造血功能和</w:t>
            </w:r>
          </w:p>
        </w:tc>
      </w:tr>
      <w:tr>
        <w:trPr>
          <w:trHeight w:val="311"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58" w:lineRule="exact"/>
              <w:ind w:left="92"/>
              <w:rPr>
                <w:sz w:val="21"/>
              </w:rPr>
            </w:pPr>
            <w:r>
              <w:rPr>
                <w:sz w:val="21"/>
              </w:rPr>
              <w:t>免疫功能重新恢复的一种治疗方法。该治疗须由专科医生认为在临床上是必需</w:t>
            </w:r>
          </w:p>
        </w:tc>
      </w:tr>
      <w:tr>
        <w:trPr>
          <w:trHeight w:val="386"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58" w:lineRule="exact"/>
              <w:ind w:left="92"/>
              <w:rPr>
                <w:sz w:val="21"/>
              </w:rPr>
            </w:pPr>
            <w:r>
              <w:rPr>
                <w:sz w:val="21"/>
              </w:rPr>
              <w:t>的。</w:t>
            </w:r>
          </w:p>
        </w:tc>
      </w:tr>
      <w:tr>
        <w:trPr>
          <w:trHeight w:val="399" w:hRule="atLeast"/>
        </w:trPr>
        <w:tc>
          <w:tcPr>
            <w:tcW w:w="689" w:type="dxa"/>
          </w:tcPr>
          <w:p>
            <w:pPr>
              <w:pStyle w:val="TableParagraph"/>
              <w:spacing w:before="116"/>
              <w:ind w:left="108"/>
              <w:rPr>
                <w:rFonts w:ascii="Times New Roman"/>
                <w:b/>
                <w:sz w:val="21"/>
              </w:rPr>
            </w:pPr>
            <w:r>
              <w:rPr>
                <w:rFonts w:ascii="Times New Roman"/>
                <w:b/>
                <w:sz w:val="21"/>
              </w:rPr>
              <w:t>8.59</w:t>
            </w:r>
          </w:p>
        </w:tc>
        <w:tc>
          <w:tcPr>
            <w:tcW w:w="1651" w:type="dxa"/>
          </w:tcPr>
          <w:p>
            <w:pPr>
              <w:pStyle w:val="TableParagraph"/>
              <w:spacing w:before="64"/>
              <w:ind w:left="213"/>
              <w:rPr>
                <w:b/>
                <w:sz w:val="21"/>
              </w:rPr>
            </w:pPr>
            <w:r>
              <w:rPr>
                <w:b/>
                <w:sz w:val="21"/>
              </w:rPr>
              <w:t>严重癫痫</w:t>
            </w:r>
          </w:p>
        </w:tc>
        <w:tc>
          <w:tcPr>
            <w:tcW w:w="7428" w:type="dxa"/>
          </w:tcPr>
          <w:p>
            <w:pPr>
              <w:pStyle w:val="TableParagraph"/>
              <w:spacing w:before="64"/>
              <w:ind w:left="92"/>
              <w:rPr>
                <w:sz w:val="21"/>
              </w:rPr>
            </w:pPr>
            <w:r>
              <w:rPr>
                <w:sz w:val="21"/>
              </w:rPr>
              <w:t>本病的诊断须由神经科或儿科专科医生根据典型临床症状和脑电图及 </w:t>
            </w:r>
            <w:r>
              <w:rPr>
                <w:rFonts w:ascii="Times New Roman" w:eastAsia="Times New Roman"/>
                <w:sz w:val="21"/>
              </w:rPr>
              <w:t>MRI</w:t>
            </w:r>
            <w:r>
              <w:rPr>
                <w:sz w:val="21"/>
              </w:rPr>
              <w:t>、</w:t>
            </w:r>
          </w:p>
        </w:tc>
      </w:tr>
      <w:tr>
        <w:trPr>
          <w:trHeight w:val="314"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68" w:lineRule="exact"/>
              <w:ind w:left="92"/>
              <w:rPr>
                <w:sz w:val="21"/>
              </w:rPr>
            </w:pPr>
            <w:r>
              <w:rPr>
                <w:rFonts w:ascii="Times New Roman" w:eastAsia="Times New Roman"/>
                <w:sz w:val="21"/>
              </w:rPr>
              <w:t>PET</w:t>
            </w:r>
            <w:r>
              <w:rPr>
                <w:sz w:val="21"/>
              </w:rPr>
              <w:t>、</w:t>
            </w:r>
            <w:r>
              <w:rPr>
                <w:rFonts w:ascii="Times New Roman" w:eastAsia="Times New Roman"/>
                <w:sz w:val="21"/>
              </w:rPr>
              <w:t>CT </w:t>
            </w:r>
            <w:r>
              <w:rPr>
                <w:sz w:val="21"/>
              </w:rPr>
              <w:t>等影相学检查做出。理赔时必须提供 </w:t>
            </w:r>
            <w:r>
              <w:rPr>
                <w:rFonts w:ascii="Times New Roman" w:eastAsia="Times New Roman"/>
                <w:sz w:val="21"/>
              </w:rPr>
              <w:t>6 </w:t>
            </w:r>
            <w:r>
              <w:rPr>
                <w:sz w:val="21"/>
              </w:rPr>
              <w:t>个月以上的相关病历记录证明</w:t>
            </w:r>
          </w:p>
        </w:tc>
      </w:tr>
      <w:tr>
        <w:trPr>
          <w:trHeight w:val="304"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50" w:lineRule="exact"/>
              <w:ind w:left="92"/>
              <w:rPr>
                <w:sz w:val="21"/>
              </w:rPr>
            </w:pPr>
            <w:r>
              <w:rPr>
                <w:sz w:val="21"/>
              </w:rPr>
              <w:t>被保险人存在经抗癫痫药物治疗无效而反复发作的强直阵挛性发作或癫痫大发</w:t>
            </w:r>
          </w:p>
        </w:tc>
      </w:tr>
      <w:tr>
        <w:trPr>
          <w:trHeight w:val="312"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58" w:lineRule="exact"/>
              <w:ind w:left="92"/>
              <w:rPr>
                <w:sz w:val="21"/>
              </w:rPr>
            </w:pPr>
            <w:r>
              <w:rPr>
                <w:sz w:val="21"/>
              </w:rPr>
              <w:t>作，且已行神经外科手术以治疗反复发作的癫痫。</w:t>
            </w:r>
          </w:p>
        </w:tc>
      </w:tr>
      <w:tr>
        <w:trPr>
          <w:trHeight w:val="387"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58" w:lineRule="exact"/>
              <w:ind w:left="92"/>
              <w:rPr>
                <w:sz w:val="21"/>
              </w:rPr>
            </w:pPr>
            <w:r>
              <w:rPr>
                <w:spacing w:val="-2"/>
                <w:sz w:val="21"/>
                <w:shd w:fill="C0C0C0" w:color="auto" w:val="clear"/>
              </w:rPr>
              <w:t>发热性惊厥以及没有全身性发作的失神发作</w:t>
            </w:r>
            <w:r>
              <w:rPr>
                <w:sz w:val="21"/>
                <w:shd w:fill="C0C0C0" w:color="auto" w:val="clear"/>
              </w:rPr>
              <w:t>（癫痫小发作</w:t>
            </w:r>
            <w:r>
              <w:rPr>
                <w:spacing w:val="-9"/>
                <w:sz w:val="21"/>
                <w:shd w:fill="C0C0C0" w:color="auto" w:val="clear"/>
              </w:rPr>
              <w:t>）</w:t>
            </w:r>
            <w:r>
              <w:rPr>
                <w:sz w:val="21"/>
                <w:shd w:fill="C0C0C0" w:color="auto" w:val="clear"/>
              </w:rPr>
              <w:t>不在本保障范围内。</w:t>
            </w:r>
          </w:p>
        </w:tc>
      </w:tr>
      <w:tr>
        <w:trPr>
          <w:trHeight w:val="401" w:hRule="atLeast"/>
        </w:trPr>
        <w:tc>
          <w:tcPr>
            <w:tcW w:w="689" w:type="dxa"/>
          </w:tcPr>
          <w:p>
            <w:pPr>
              <w:pStyle w:val="TableParagraph"/>
              <w:spacing w:before="115"/>
              <w:ind w:left="107"/>
              <w:rPr>
                <w:rFonts w:ascii="Times New Roman"/>
                <w:b/>
                <w:sz w:val="21"/>
              </w:rPr>
            </w:pPr>
            <w:r>
              <w:rPr>
                <w:rFonts w:ascii="Times New Roman"/>
                <w:b/>
                <w:sz w:val="21"/>
              </w:rPr>
              <w:t>8.60</w:t>
            </w:r>
          </w:p>
        </w:tc>
        <w:tc>
          <w:tcPr>
            <w:tcW w:w="1651" w:type="dxa"/>
          </w:tcPr>
          <w:p>
            <w:pPr>
              <w:pStyle w:val="TableParagraph"/>
              <w:spacing w:before="63"/>
              <w:ind w:left="213"/>
              <w:rPr>
                <w:b/>
                <w:sz w:val="21"/>
              </w:rPr>
            </w:pPr>
            <w:r>
              <w:rPr>
                <w:b/>
                <w:w w:val="95"/>
                <w:sz w:val="21"/>
              </w:rPr>
              <w:t>原发性骨髓纤</w:t>
            </w:r>
          </w:p>
        </w:tc>
        <w:tc>
          <w:tcPr>
            <w:tcW w:w="7428" w:type="dxa"/>
          </w:tcPr>
          <w:p>
            <w:pPr>
              <w:pStyle w:val="TableParagraph"/>
              <w:spacing w:before="63"/>
              <w:ind w:left="92"/>
              <w:rPr>
                <w:sz w:val="21"/>
              </w:rPr>
            </w:pPr>
            <w:r>
              <w:rPr>
                <w:sz w:val="21"/>
              </w:rPr>
              <w:t>原发性骨髓纤维化为原因不明的骨髓中成纤维细胞增殖，伴有髓外造血，表现</w:t>
            </w:r>
          </w:p>
        </w:tc>
      </w:tr>
      <w:tr>
        <w:trPr>
          <w:trHeight w:val="302" w:hRule="atLeast"/>
        </w:trPr>
        <w:tc>
          <w:tcPr>
            <w:tcW w:w="689" w:type="dxa"/>
          </w:tcPr>
          <w:p>
            <w:pPr>
              <w:pStyle w:val="TableParagraph"/>
              <w:rPr>
                <w:rFonts w:ascii="Times New Roman"/>
                <w:sz w:val="20"/>
              </w:rPr>
            </w:pPr>
          </w:p>
        </w:tc>
        <w:tc>
          <w:tcPr>
            <w:tcW w:w="1651" w:type="dxa"/>
          </w:tcPr>
          <w:p>
            <w:pPr>
              <w:pStyle w:val="TableParagraph"/>
              <w:spacing w:line="249" w:lineRule="exact"/>
              <w:ind w:left="213"/>
              <w:rPr>
                <w:b/>
                <w:sz w:val="21"/>
              </w:rPr>
            </w:pPr>
            <w:r>
              <w:rPr>
                <w:b/>
                <w:sz w:val="21"/>
              </w:rPr>
              <w:t>维化</w:t>
            </w:r>
          </w:p>
        </w:tc>
        <w:tc>
          <w:tcPr>
            <w:tcW w:w="7428" w:type="dxa"/>
          </w:tcPr>
          <w:p>
            <w:pPr>
              <w:pStyle w:val="TableParagraph"/>
              <w:spacing w:line="249" w:lineRule="exact"/>
              <w:ind w:left="92"/>
              <w:rPr>
                <w:sz w:val="21"/>
              </w:rPr>
            </w:pPr>
            <w:r>
              <w:rPr>
                <w:sz w:val="21"/>
              </w:rPr>
              <w:t>为进行性贫血、脾肿大等症状。本疾病须根据骨髓的活组织检查和周围血象检</w:t>
            </w:r>
          </w:p>
        </w:tc>
      </w:tr>
      <w:tr>
        <w:trPr>
          <w:trHeight w:val="308"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58" w:lineRule="exact"/>
              <w:ind w:left="92"/>
              <w:rPr>
                <w:sz w:val="21"/>
              </w:rPr>
            </w:pPr>
            <w:r>
              <w:rPr>
                <w:sz w:val="21"/>
              </w:rPr>
              <w:t>查由血液科专科医生明确诊断，并至少符合下列条件中的三项，且符合条件的</w:t>
            </w:r>
          </w:p>
        </w:tc>
      </w:tr>
      <w:tr>
        <w:trPr>
          <w:trHeight w:val="319"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77" w:lineRule="exact"/>
              <w:ind w:left="92"/>
              <w:rPr>
                <w:sz w:val="21"/>
              </w:rPr>
            </w:pPr>
            <w:r>
              <w:rPr>
                <w:sz w:val="21"/>
              </w:rPr>
              <w:t>状态持续 </w:t>
            </w:r>
            <w:r>
              <w:rPr>
                <w:rFonts w:ascii="Times New Roman" w:eastAsia="Times New Roman"/>
                <w:sz w:val="21"/>
              </w:rPr>
              <w:t>180 </w:t>
            </w:r>
            <w:r>
              <w:rPr>
                <w:sz w:val="21"/>
              </w:rPr>
              <w:t>日及以上，并已经实际实施了针对此症的治疗：</w:t>
            </w:r>
          </w:p>
        </w:tc>
      </w:tr>
      <w:tr>
        <w:trPr>
          <w:trHeight w:val="624"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69" w:lineRule="exact"/>
              <w:ind w:left="92"/>
              <w:rPr>
                <w:sz w:val="21"/>
              </w:rPr>
            </w:pP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21"/>
              <w:ind w:left="92"/>
              <w:rPr>
                <w:sz w:val="21"/>
              </w:rPr>
            </w:pPr>
            <w:r>
              <w:rPr>
                <w:rFonts w:ascii="Times New Roman" w:hAnsi="Times New Roman" w:eastAsia="Times New Roman"/>
                <w:w w:val="95"/>
                <w:sz w:val="21"/>
              </w:rPr>
              <w:t>2.</w:t>
            </w:r>
            <w:r>
              <w:rPr>
                <w:w w:val="95"/>
                <w:sz w:val="21"/>
              </w:rPr>
              <w:t>白细胞计数</w:t>
            </w:r>
            <w:r>
              <w:rPr>
                <w:rFonts w:ascii="Times New Roman" w:hAnsi="Times New Roman" w:eastAsia="Times New Roman"/>
                <w:w w:val="95"/>
                <w:sz w:val="21"/>
              </w:rPr>
              <w:t>&gt;25</w:t>
            </w:r>
            <w:r>
              <w:rPr>
                <w:w w:val="95"/>
                <w:sz w:val="21"/>
              </w:rPr>
              <w:t>×</w:t>
            </w:r>
            <w:r>
              <w:rPr>
                <w:rFonts w:ascii="Times New Roman" w:hAnsi="Times New Roman" w:eastAsia="Times New Roman"/>
                <w:w w:val="95"/>
                <w:sz w:val="21"/>
              </w:rPr>
              <w:t>10</w:t>
            </w:r>
            <w:r>
              <w:rPr>
                <w:rFonts w:ascii="Times New Roman" w:hAnsi="Times New Roman" w:eastAsia="Times New Roman"/>
                <w:w w:val="95"/>
                <w:sz w:val="21"/>
                <w:vertAlign w:val="superscript"/>
              </w:rPr>
              <w:t>9</w:t>
            </w:r>
            <w:r>
              <w:rPr>
                <w:rFonts w:ascii="Times New Roman" w:hAnsi="Times New Roman" w:eastAsia="Times New Roman"/>
                <w:w w:val="95"/>
                <w:sz w:val="21"/>
                <w:vertAlign w:val="baseline"/>
              </w:rPr>
              <w:t>/L</w:t>
            </w:r>
            <w:r>
              <w:rPr>
                <w:w w:val="95"/>
                <w:sz w:val="21"/>
                <w:vertAlign w:val="baseline"/>
              </w:rPr>
              <w:t>；</w:t>
            </w:r>
          </w:p>
        </w:tc>
      </w:tr>
      <w:tr>
        <w:trPr>
          <w:trHeight w:val="663"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69" w:lineRule="exact"/>
              <w:ind w:left="92"/>
              <w:rPr>
                <w:sz w:val="21"/>
              </w:rPr>
            </w:pPr>
            <w:r>
              <w:rPr>
                <w:rFonts w:ascii="Times New Roman" w:hAnsi="Times New Roman" w:eastAsia="Times New Roman"/>
                <w:sz w:val="21"/>
              </w:rPr>
              <w:t>3.</w:t>
            </w:r>
            <w:r>
              <w:rPr>
                <w:sz w:val="21"/>
              </w:rPr>
              <w:t>外周血原始细胞</w:t>
            </w:r>
            <w:r>
              <w:rPr>
                <w:rFonts w:ascii="Times New Roman" w:hAnsi="Times New Roman" w:eastAsia="Times New Roman"/>
                <w:sz w:val="21"/>
              </w:rPr>
              <w:t>≥ 1%</w:t>
            </w:r>
            <w:r>
              <w:rPr>
                <w:sz w:val="21"/>
              </w:rPr>
              <w:t>；</w:t>
            </w:r>
          </w:p>
          <w:p>
            <w:pPr>
              <w:pStyle w:val="TableParagraph"/>
              <w:spacing w:before="21"/>
              <w:ind w:left="92"/>
              <w:rPr>
                <w:sz w:val="21"/>
              </w:rPr>
            </w:pPr>
            <w:r>
              <w:rPr>
                <w:rFonts w:ascii="Times New Roman" w:hAnsi="Times New Roman" w:eastAsia="Times New Roman"/>
                <w:w w:val="95"/>
                <w:sz w:val="21"/>
              </w:rPr>
              <w:t>4.</w:t>
            </w:r>
            <w:r>
              <w:rPr>
                <w:w w:val="95"/>
                <w:sz w:val="21"/>
              </w:rPr>
              <w:t>血小板计数</w:t>
            </w:r>
            <w:r>
              <w:rPr>
                <w:rFonts w:ascii="Times New Roman" w:hAnsi="Times New Roman" w:eastAsia="Times New Roman"/>
                <w:w w:val="95"/>
                <w:sz w:val="21"/>
              </w:rPr>
              <w:t>&lt;100</w:t>
            </w:r>
            <w:r>
              <w:rPr>
                <w:w w:val="95"/>
                <w:sz w:val="21"/>
              </w:rPr>
              <w:t>×</w:t>
            </w:r>
            <w:r>
              <w:rPr>
                <w:rFonts w:ascii="Times New Roman" w:hAnsi="Times New Roman" w:eastAsia="Times New Roman"/>
                <w:w w:val="95"/>
                <w:sz w:val="21"/>
              </w:rPr>
              <w:t>10</w:t>
            </w:r>
            <w:r>
              <w:rPr>
                <w:rFonts w:ascii="Times New Roman" w:hAnsi="Times New Roman" w:eastAsia="Times New Roman"/>
                <w:w w:val="95"/>
                <w:sz w:val="21"/>
                <w:vertAlign w:val="superscript"/>
              </w:rPr>
              <w:t>9</w:t>
            </w:r>
            <w:r>
              <w:rPr>
                <w:rFonts w:ascii="Times New Roman" w:hAnsi="Times New Roman" w:eastAsia="Times New Roman"/>
                <w:w w:val="95"/>
                <w:sz w:val="21"/>
                <w:vertAlign w:val="baseline"/>
              </w:rPr>
              <w:t>/</w:t>
            </w:r>
            <w:r>
              <w:rPr>
                <w:rFonts w:ascii="Times New Roman" w:hAnsi="Times New Roman" w:eastAsia="Times New Roman"/>
                <w:w w:val="95"/>
                <w:sz w:val="21"/>
                <w:vertAlign w:val="baseline"/>
              </w:rPr>
              <w:t>L</w:t>
            </w:r>
            <w:r>
              <w:rPr>
                <w:w w:val="95"/>
                <w:sz w:val="21"/>
                <w:vertAlign w:val="baseline"/>
              </w:rPr>
              <w:t>。</w:t>
            </w:r>
          </w:p>
        </w:tc>
      </w:tr>
      <w:tr>
        <w:trPr>
          <w:trHeight w:val="406"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before="11"/>
              <w:ind w:left="92"/>
              <w:rPr>
                <w:sz w:val="21"/>
              </w:rPr>
            </w:pPr>
            <w:r>
              <w:rPr>
                <w:sz w:val="21"/>
                <w:shd w:fill="C0C0C0" w:color="auto" w:val="clear"/>
              </w:rPr>
              <w:t>任何其它病因导致的继发性骨髓纤维化不在保障范围内。</w:t>
            </w:r>
          </w:p>
        </w:tc>
      </w:tr>
      <w:tr>
        <w:trPr>
          <w:trHeight w:val="553" w:hRule="atLeast"/>
        </w:trPr>
        <w:tc>
          <w:tcPr>
            <w:tcW w:w="689" w:type="dxa"/>
            <w:tcBorders>
              <w:bottom w:val="single" w:sz="8" w:space="0" w:color="000000"/>
            </w:tcBorders>
          </w:tcPr>
          <w:p>
            <w:pPr>
              <w:pStyle w:val="TableParagraph"/>
              <w:spacing w:before="103"/>
              <w:ind w:left="108"/>
              <w:rPr>
                <w:rFonts w:ascii="Times New Roman"/>
                <w:b/>
                <w:sz w:val="24"/>
              </w:rPr>
            </w:pPr>
            <w:r>
              <w:rPr>
                <w:rFonts w:ascii="Times New Roman"/>
                <w:b/>
                <w:sz w:val="24"/>
              </w:rPr>
              <w:t>9.</w:t>
            </w:r>
          </w:p>
        </w:tc>
        <w:tc>
          <w:tcPr>
            <w:tcW w:w="1651" w:type="dxa"/>
            <w:tcBorders>
              <w:bottom w:val="single" w:sz="8" w:space="0" w:color="000000"/>
            </w:tcBorders>
          </w:tcPr>
          <w:p>
            <w:pPr>
              <w:pStyle w:val="TableParagraph"/>
              <w:spacing w:before="44"/>
              <w:ind w:left="213"/>
              <w:rPr>
                <w:b/>
                <w:sz w:val="24"/>
              </w:rPr>
            </w:pPr>
            <w:r>
              <w:rPr>
                <w:b/>
                <w:sz w:val="24"/>
              </w:rPr>
              <w:t>释义</w:t>
            </w:r>
          </w:p>
        </w:tc>
        <w:tc>
          <w:tcPr>
            <w:tcW w:w="7428" w:type="dxa"/>
            <w:tcBorders>
              <w:bottom w:val="single" w:sz="8" w:space="0" w:color="000000"/>
            </w:tcBorders>
          </w:tcPr>
          <w:p>
            <w:pPr>
              <w:pStyle w:val="TableParagraph"/>
              <w:rPr>
                <w:rFonts w:ascii="Times New Roman"/>
                <w:sz w:val="20"/>
              </w:rPr>
            </w:pPr>
          </w:p>
        </w:tc>
      </w:tr>
      <w:tr>
        <w:trPr>
          <w:trHeight w:val="470" w:hRule="atLeast"/>
        </w:trPr>
        <w:tc>
          <w:tcPr>
            <w:tcW w:w="689" w:type="dxa"/>
            <w:tcBorders>
              <w:top w:val="single" w:sz="8" w:space="0" w:color="000000"/>
            </w:tcBorders>
          </w:tcPr>
          <w:p>
            <w:pPr>
              <w:pStyle w:val="TableParagraph"/>
              <w:spacing w:before="184"/>
              <w:ind w:left="108"/>
              <w:rPr>
                <w:rFonts w:ascii="Times New Roman"/>
                <w:b/>
                <w:sz w:val="21"/>
              </w:rPr>
            </w:pPr>
            <w:r>
              <w:rPr>
                <w:rFonts w:ascii="Times New Roman"/>
                <w:b/>
                <w:sz w:val="21"/>
              </w:rPr>
              <w:t>9.1</w:t>
            </w:r>
          </w:p>
        </w:tc>
        <w:tc>
          <w:tcPr>
            <w:tcW w:w="1651" w:type="dxa"/>
            <w:tcBorders>
              <w:top w:val="single" w:sz="8" w:space="0" w:color="000000"/>
            </w:tcBorders>
          </w:tcPr>
          <w:p>
            <w:pPr>
              <w:pStyle w:val="TableParagraph"/>
              <w:spacing w:before="132"/>
              <w:ind w:left="213"/>
              <w:rPr>
                <w:b/>
                <w:sz w:val="21"/>
              </w:rPr>
            </w:pPr>
            <w:r>
              <w:rPr>
                <w:b/>
                <w:sz w:val="21"/>
              </w:rPr>
              <w:t>书面</w:t>
            </w:r>
          </w:p>
        </w:tc>
        <w:tc>
          <w:tcPr>
            <w:tcW w:w="7428" w:type="dxa"/>
            <w:tcBorders>
              <w:top w:val="single" w:sz="8" w:space="0" w:color="000000"/>
            </w:tcBorders>
          </w:tcPr>
          <w:p>
            <w:pPr>
              <w:pStyle w:val="TableParagraph"/>
              <w:spacing w:before="132"/>
              <w:ind w:left="92"/>
              <w:rPr>
                <w:sz w:val="21"/>
              </w:rPr>
            </w:pPr>
            <w:r>
              <w:rPr>
                <w:sz w:val="21"/>
              </w:rPr>
              <w:t>如无特别说明或约定，纸质（包括其他材质，如电子书写板）函件、合同书、</w:t>
            </w:r>
          </w:p>
        </w:tc>
      </w:tr>
      <w:tr>
        <w:trPr>
          <w:trHeight w:val="302"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49" w:lineRule="exact"/>
              <w:ind w:left="92"/>
              <w:rPr>
                <w:sz w:val="21"/>
              </w:rPr>
            </w:pPr>
            <w:r>
              <w:rPr>
                <w:sz w:val="21"/>
              </w:rPr>
              <w:t>信件和数据电文、电报、电传、传真、电子数据交换、电子邮件、网络合同、</w:t>
            </w:r>
          </w:p>
        </w:tc>
      </w:tr>
      <w:tr>
        <w:trPr>
          <w:trHeight w:val="471"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58" w:lineRule="exact"/>
              <w:ind w:left="92"/>
              <w:rPr>
                <w:sz w:val="21"/>
              </w:rPr>
            </w:pPr>
            <w:r>
              <w:rPr>
                <w:sz w:val="21"/>
              </w:rPr>
              <w:t>网络授权函等可以有形地表现其所记载内容的形式均视为书面形式。</w:t>
            </w:r>
          </w:p>
        </w:tc>
      </w:tr>
      <w:tr>
        <w:trPr>
          <w:trHeight w:val="487" w:hRule="atLeast"/>
        </w:trPr>
        <w:tc>
          <w:tcPr>
            <w:tcW w:w="689" w:type="dxa"/>
          </w:tcPr>
          <w:p>
            <w:pPr>
              <w:pStyle w:val="TableParagraph"/>
              <w:spacing w:before="4"/>
              <w:rPr>
                <w:sz w:val="15"/>
              </w:rPr>
            </w:pPr>
          </w:p>
          <w:p>
            <w:pPr>
              <w:pStyle w:val="TableParagraph"/>
              <w:ind w:left="107"/>
              <w:rPr>
                <w:rFonts w:ascii="Times New Roman"/>
                <w:b/>
                <w:sz w:val="21"/>
              </w:rPr>
            </w:pPr>
            <w:r>
              <w:rPr>
                <w:rFonts w:ascii="Times New Roman"/>
                <w:b/>
                <w:sz w:val="21"/>
              </w:rPr>
              <w:t>9.2</w:t>
            </w:r>
          </w:p>
        </w:tc>
        <w:tc>
          <w:tcPr>
            <w:tcW w:w="1651" w:type="dxa"/>
          </w:tcPr>
          <w:p>
            <w:pPr>
              <w:pStyle w:val="TableParagraph"/>
              <w:spacing w:before="149"/>
              <w:ind w:left="213"/>
              <w:rPr>
                <w:b/>
                <w:sz w:val="21"/>
              </w:rPr>
            </w:pPr>
            <w:r>
              <w:rPr>
                <w:b/>
                <w:sz w:val="21"/>
              </w:rPr>
              <w:t>周岁</w:t>
            </w:r>
          </w:p>
        </w:tc>
        <w:tc>
          <w:tcPr>
            <w:tcW w:w="7428" w:type="dxa"/>
          </w:tcPr>
          <w:p>
            <w:pPr>
              <w:pStyle w:val="TableParagraph"/>
              <w:spacing w:before="149"/>
              <w:ind w:left="92"/>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tc>
      </w:tr>
      <w:tr>
        <w:trPr>
          <w:trHeight w:val="463" w:hRule="atLeast"/>
        </w:trPr>
        <w:tc>
          <w:tcPr>
            <w:tcW w:w="689" w:type="dxa"/>
          </w:tcPr>
          <w:p>
            <w:pPr>
              <w:pStyle w:val="TableParagraph"/>
              <w:rPr>
                <w:rFonts w:ascii="Times New Roman"/>
                <w:sz w:val="20"/>
              </w:rPr>
            </w:pPr>
          </w:p>
        </w:tc>
        <w:tc>
          <w:tcPr>
            <w:tcW w:w="1651" w:type="dxa"/>
          </w:tcPr>
          <w:p>
            <w:pPr>
              <w:pStyle w:val="TableParagraph"/>
              <w:rPr>
                <w:rFonts w:ascii="Times New Roman"/>
                <w:sz w:val="20"/>
              </w:rPr>
            </w:pPr>
          </w:p>
        </w:tc>
        <w:tc>
          <w:tcPr>
            <w:tcW w:w="7428" w:type="dxa"/>
          </w:tcPr>
          <w:p>
            <w:pPr>
              <w:pStyle w:val="TableParagraph"/>
              <w:spacing w:line="249" w:lineRule="exact"/>
              <w:ind w:left="92"/>
              <w:rPr>
                <w:sz w:val="21"/>
              </w:rPr>
            </w:pPr>
            <w:r>
              <w:rPr>
                <w:sz w:val="21"/>
              </w:rPr>
              <w:t>年不计</w:t>
            </w:r>
            <w:r>
              <w:rPr>
                <w:spacing w:val="-105"/>
                <w:sz w:val="21"/>
              </w:rPr>
              <w:t>）</w:t>
            </w:r>
            <w:r>
              <w:rPr>
                <w:sz w:val="21"/>
              </w:rPr>
              <w:t>。</w:t>
            </w:r>
          </w:p>
        </w:tc>
      </w:tr>
      <w:tr>
        <w:trPr>
          <w:trHeight w:val="444" w:hRule="atLeast"/>
        </w:trPr>
        <w:tc>
          <w:tcPr>
            <w:tcW w:w="689" w:type="dxa"/>
          </w:tcPr>
          <w:p>
            <w:pPr>
              <w:pStyle w:val="TableParagraph"/>
              <w:spacing w:before="3"/>
              <w:rPr>
                <w:sz w:val="15"/>
              </w:rPr>
            </w:pPr>
          </w:p>
          <w:p>
            <w:pPr>
              <w:pStyle w:val="TableParagraph"/>
              <w:spacing w:line="225" w:lineRule="exact"/>
              <w:ind w:left="107"/>
              <w:rPr>
                <w:rFonts w:ascii="Times New Roman"/>
                <w:b/>
                <w:sz w:val="21"/>
              </w:rPr>
            </w:pPr>
            <w:r>
              <w:rPr>
                <w:rFonts w:ascii="Times New Roman"/>
                <w:b/>
                <w:sz w:val="21"/>
              </w:rPr>
              <w:t>9.3</w:t>
            </w:r>
          </w:p>
        </w:tc>
        <w:tc>
          <w:tcPr>
            <w:tcW w:w="1651" w:type="dxa"/>
          </w:tcPr>
          <w:p>
            <w:pPr>
              <w:pStyle w:val="TableParagraph"/>
              <w:spacing w:before="148"/>
              <w:ind w:left="213"/>
              <w:rPr>
                <w:b/>
                <w:sz w:val="21"/>
              </w:rPr>
            </w:pPr>
            <w:r>
              <w:rPr>
                <w:b/>
                <w:sz w:val="21"/>
              </w:rPr>
              <w:t>意外伤害</w:t>
            </w:r>
          </w:p>
        </w:tc>
        <w:tc>
          <w:tcPr>
            <w:tcW w:w="7428" w:type="dxa"/>
          </w:tcPr>
          <w:p>
            <w:pPr>
              <w:pStyle w:val="TableParagraph"/>
              <w:spacing w:before="148"/>
              <w:ind w:left="92"/>
              <w:rPr>
                <w:sz w:val="21"/>
              </w:rPr>
            </w:pPr>
            <w:r>
              <w:rPr>
                <w:sz w:val="21"/>
              </w:rPr>
              <w:t>指遭受外来的、突发的、非本意的、非由疾病引起的使身体受到伤害的客观事</w:t>
            </w:r>
          </w:p>
        </w:tc>
      </w:tr>
    </w:tbl>
    <w:p>
      <w:pPr>
        <w:spacing w:after="0"/>
        <w:rPr>
          <w:sz w:val="21"/>
        </w:rPr>
        <w:sectPr>
          <w:pgSz w:w="11910" w:h="16840"/>
          <w:pgMar w:header="0" w:footer="988" w:top="1160" w:bottom="1180" w:left="920" w:right="1000"/>
        </w:sectPr>
      </w:pPr>
    </w:p>
    <w:p>
      <w:pPr>
        <w:pStyle w:val="BodyText"/>
        <w:spacing w:before="19"/>
        <w:ind w:left="2438"/>
      </w:pPr>
      <w:r>
        <w:rPr/>
        <w:t>件。</w:t>
      </w:r>
    </w:p>
    <w:p>
      <w:pPr>
        <w:pStyle w:val="BodyText"/>
        <w:spacing w:before="12"/>
        <w:rPr>
          <w:sz w:val="27"/>
        </w:rPr>
      </w:pPr>
    </w:p>
    <w:p>
      <w:pPr>
        <w:pStyle w:val="Heading4"/>
        <w:numPr>
          <w:ilvl w:val="1"/>
          <w:numId w:val="7"/>
        </w:numPr>
        <w:tabs>
          <w:tab w:pos="909" w:val="left" w:leader="none"/>
        </w:tabs>
        <w:spacing w:line="264" w:lineRule="auto" w:before="0" w:after="0"/>
        <w:ind w:left="2438" w:right="115" w:hanging="2325"/>
        <w:jc w:val="both"/>
      </w:pPr>
      <w:r>
        <w:rPr>
          <w:spacing w:val="-2"/>
        </w:rPr>
        <w:t>发病         指被保险人出现本合同第 </w:t>
      </w:r>
      <w:r>
        <w:rPr/>
        <w:t>8</w:t>
      </w:r>
      <w:r>
        <w:rPr>
          <w:spacing w:val="-5"/>
        </w:rPr>
        <w:t> 条重大疾病定义中约定疾病的前兆或异常的身体状况，该疾病前兆或异常身体状况按常识足以引起或应当引起被保险人或被保险</w:t>
      </w:r>
      <w:r>
        <w:rPr>
          <w:spacing w:val="-5"/>
          <w:w w:val="95"/>
        </w:rPr>
        <w:t>人的监护人注意并寻求检查、诊断、治疗或护理。</w:t>
      </w:r>
    </w:p>
    <w:p>
      <w:pPr>
        <w:pStyle w:val="BodyText"/>
        <w:spacing w:before="3"/>
        <w:rPr>
          <w:b/>
          <w:sz w:val="26"/>
        </w:rPr>
      </w:pPr>
    </w:p>
    <w:p>
      <w:pPr>
        <w:pStyle w:val="ListParagraph"/>
        <w:numPr>
          <w:ilvl w:val="1"/>
          <w:numId w:val="7"/>
        </w:numPr>
        <w:tabs>
          <w:tab w:pos="909" w:val="left" w:leader="none"/>
        </w:tabs>
        <w:spacing w:line="266" w:lineRule="auto" w:before="0" w:after="0"/>
        <w:ind w:left="2438" w:right="115" w:hanging="2325"/>
        <w:jc w:val="both"/>
        <w:rPr>
          <w:sz w:val="21"/>
        </w:rPr>
      </w:pPr>
      <w:r>
        <w:rPr>
          <w:b/>
          <w:spacing w:val="0"/>
          <w:sz w:val="21"/>
        </w:rPr>
        <w:t>医院          </w:t>
      </w:r>
      <w:r>
        <w:rPr>
          <w:sz w:val="21"/>
        </w:rPr>
        <w:t>本合同所称医院指我们指定医院或经中华人民共和国卫生部门评审确定的二级或以上之社保定点医院，</w:t>
      </w:r>
      <w:r>
        <w:rPr>
          <w:sz w:val="21"/>
          <w:shd w:fill="C0C0C0" w:color="auto" w:val="clear"/>
        </w:rPr>
        <w:t>但不包括精神病院及专供康复、护理、疗养、戒酒、戒毒、养老等非以直接诊治病人为目的之医疗机构。</w:t>
      </w:r>
      <w:r>
        <w:rPr>
          <w:sz w:val="21"/>
        </w:rPr>
        <w:t>该医院必须具有符合国家</w:t>
      </w:r>
      <w:r>
        <w:rPr>
          <w:spacing w:val="-4"/>
          <w:sz w:val="21"/>
        </w:rPr>
        <w:t>有关医院管理规则设置标准的医疗设备，且全天 </w:t>
      </w:r>
      <w:r>
        <w:rPr>
          <w:rFonts w:ascii="Times New Roman" w:eastAsia="Times New Roman"/>
          <w:sz w:val="21"/>
        </w:rPr>
        <w:t>24 </w:t>
      </w:r>
      <w:r>
        <w:rPr>
          <w:sz w:val="21"/>
        </w:rPr>
        <w:t>小时</w:t>
      </w:r>
      <w:r>
        <w:rPr>
          <w:spacing w:val="-20"/>
          <w:sz w:val="21"/>
        </w:rPr>
        <w:t>有合格的医生和护士驻院</w:t>
      </w:r>
      <w:r>
        <w:rPr>
          <w:sz w:val="21"/>
        </w:rPr>
        <w:t>提供医疗和护理服务。当被保险人因遭受意外伤害事故须急救时不受此限，但经急救处理伤情稳定后，必须转入本合同所指医院治疗</w:t>
      </w:r>
      <w:r>
        <w:rPr>
          <w:sz w:val="21"/>
          <w:shd w:fill="C0C0C0" w:color="auto" w:val="clear"/>
        </w:rPr>
        <w:t>（急救情况不适用于私人诊所</w:t>
      </w:r>
      <w:r>
        <w:rPr>
          <w:spacing w:val="-105"/>
          <w:sz w:val="21"/>
          <w:shd w:fill="C0C0C0" w:color="auto" w:val="clear"/>
        </w:rPr>
        <w:t>）</w:t>
      </w:r>
      <w:r>
        <w:rPr>
          <w:sz w:val="21"/>
        </w:rPr>
        <w:t>。</w:t>
      </w:r>
    </w:p>
    <w:p>
      <w:pPr>
        <w:pStyle w:val="BodyText"/>
        <w:spacing w:before="2"/>
        <w:rPr>
          <w:sz w:val="26"/>
        </w:rPr>
      </w:pPr>
    </w:p>
    <w:p>
      <w:pPr>
        <w:pStyle w:val="ListParagraph"/>
        <w:numPr>
          <w:ilvl w:val="1"/>
          <w:numId w:val="7"/>
        </w:numPr>
        <w:tabs>
          <w:tab w:pos="908" w:val="left" w:leader="none"/>
          <w:tab w:pos="909" w:val="left" w:leader="none"/>
          <w:tab w:pos="2438" w:val="left" w:leader="none"/>
        </w:tabs>
        <w:spacing w:line="266" w:lineRule="auto" w:before="0" w:after="0"/>
        <w:ind w:left="2438" w:right="99" w:hanging="2324"/>
        <w:jc w:val="left"/>
        <w:rPr>
          <w:sz w:val="21"/>
        </w:rPr>
      </w:pPr>
      <w:r>
        <w:rPr>
          <w:b/>
          <w:sz w:val="21"/>
        </w:rPr>
        <w:t>毒品</w:t>
        <w:tab/>
      </w:r>
      <w:r>
        <w:rPr>
          <w:sz w:val="21"/>
        </w:rPr>
        <w:t>指《中华人民共和国刑法》规定的鸦片、海洛因、甲基苯丙胺（冰毒</w:t>
      </w:r>
      <w:r>
        <w:rPr>
          <w:spacing w:val="-106"/>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BodyText"/>
        <w:spacing w:before="2"/>
        <w:rPr>
          <w:sz w:val="26"/>
        </w:rPr>
      </w:pPr>
    </w:p>
    <w:p>
      <w:pPr>
        <w:pStyle w:val="ListParagraph"/>
        <w:numPr>
          <w:ilvl w:val="1"/>
          <w:numId w:val="7"/>
        </w:numPr>
        <w:tabs>
          <w:tab w:pos="909" w:val="left" w:leader="none"/>
        </w:tabs>
        <w:spacing w:line="264" w:lineRule="auto" w:before="0" w:after="0"/>
        <w:ind w:left="2438" w:right="204" w:hanging="2325"/>
        <w:jc w:val="both"/>
        <w:rPr>
          <w:sz w:val="21"/>
        </w:rPr>
      </w:pPr>
      <w:r>
        <w:rPr>
          <w:b/>
          <w:spacing w:val="5"/>
          <w:sz w:val="21"/>
        </w:rPr>
        <w:t>酒后驾驶     </w:t>
      </w: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BodyText"/>
        <w:rPr>
          <w:sz w:val="23"/>
        </w:rPr>
      </w:pPr>
    </w:p>
    <w:p>
      <w:pPr>
        <w:spacing w:after="0"/>
        <w:rPr>
          <w:sz w:val="23"/>
        </w:rPr>
        <w:sectPr>
          <w:pgSz w:w="11910" w:h="16840"/>
          <w:pgMar w:header="0" w:footer="988" w:top="1100" w:bottom="1180" w:left="1020" w:right="1100"/>
        </w:sectPr>
      </w:pPr>
    </w:p>
    <w:p>
      <w:pPr>
        <w:pStyle w:val="Heading4"/>
        <w:numPr>
          <w:ilvl w:val="1"/>
          <w:numId w:val="7"/>
        </w:numPr>
        <w:tabs>
          <w:tab w:pos="908" w:val="left" w:leader="none"/>
          <w:tab w:pos="909" w:val="left" w:leader="none"/>
        </w:tabs>
        <w:spacing w:line="256" w:lineRule="auto" w:before="43" w:after="0"/>
        <w:ind w:left="908" w:right="0" w:hanging="795"/>
        <w:jc w:val="left"/>
      </w:pPr>
      <w:r>
        <w:rPr>
          <w:w w:val="95"/>
        </w:rPr>
        <w:t>无合法有效驾</w:t>
      </w:r>
      <w:r>
        <w:rPr/>
        <w:t>驶证驾驶</w:t>
      </w:r>
    </w:p>
    <w:p>
      <w:pPr>
        <w:pStyle w:val="BodyText"/>
        <w:spacing w:before="40"/>
        <w:ind w:left="113"/>
      </w:pPr>
      <w:r>
        <w:rPr/>
        <w:br w:type="column"/>
      </w:r>
      <w:r>
        <w:rPr/>
        <w:t>指下列情形之一：</w:t>
      </w:r>
    </w:p>
    <w:p>
      <w:pPr>
        <w:pStyle w:val="BodyText"/>
        <w:spacing w:before="36"/>
        <w:ind w:left="113"/>
      </w:pPr>
      <w:r>
        <w:rPr>
          <w:rFonts w:ascii="Times New Roman" w:eastAsia="Times New Roman"/>
        </w:rPr>
        <w:t>1.</w:t>
      </w:r>
      <w:r>
        <w:rPr/>
        <w:t>没有取得驾驶资格；</w:t>
      </w:r>
    </w:p>
    <w:p>
      <w:pPr>
        <w:pStyle w:val="BodyText"/>
        <w:spacing w:before="20"/>
        <w:ind w:left="113"/>
      </w:pPr>
      <w:r>
        <w:rPr>
          <w:rFonts w:ascii="Times New Roman" w:eastAsia="Times New Roman"/>
        </w:rPr>
        <w:t>2.</w:t>
      </w:r>
      <w:r>
        <w:rPr/>
        <w:t>驾驶与驾驶证准驾车型不相符合的车辆；</w:t>
      </w:r>
    </w:p>
    <w:p>
      <w:pPr>
        <w:pStyle w:val="BodyText"/>
        <w:spacing w:before="20"/>
        <w:ind w:left="113"/>
      </w:pPr>
      <w:r>
        <w:rPr>
          <w:rFonts w:ascii="Times New Roman" w:eastAsia="Times New Roman"/>
        </w:rPr>
        <w:t>3.</w:t>
      </w:r>
      <w:r>
        <w:rPr/>
        <w:t>持审验不合格的驾驶证驾驶；</w:t>
      </w:r>
    </w:p>
    <w:p>
      <w:pPr>
        <w:pStyle w:val="BodyText"/>
        <w:spacing w:line="256" w:lineRule="auto" w:before="20"/>
        <w:ind w:left="113" w:right="117"/>
      </w:pPr>
      <w:r>
        <w:rPr>
          <w:rFonts w:ascii="Times New Roman" w:eastAsia="Times New Roman"/>
        </w:rPr>
        <w:t>4.</w:t>
      </w:r>
      <w:r>
        <w:rPr>
          <w:spacing w:val="-6"/>
        </w:rPr>
        <w:t>持学习驾驶证学习驾车时，无教练员随车指导，或不按指定时间、路线学习驾车。</w:t>
      </w:r>
    </w:p>
    <w:p>
      <w:pPr>
        <w:spacing w:after="0" w:line="256" w:lineRule="auto"/>
        <w:sectPr>
          <w:type w:val="continuous"/>
          <w:pgSz w:w="11910" w:h="16840"/>
          <w:pgMar w:top="1120" w:bottom="1180" w:left="1020" w:right="1100"/>
          <w:cols w:num="2" w:equalWidth="0">
            <w:col w:w="2172" w:space="152"/>
            <w:col w:w="7466"/>
          </w:cols>
        </w:sectPr>
      </w:pPr>
    </w:p>
    <w:p>
      <w:pPr>
        <w:pStyle w:val="BodyText"/>
        <w:spacing w:before="7"/>
        <w:rPr>
          <w:sz w:val="23"/>
        </w:rPr>
      </w:pPr>
    </w:p>
    <w:p>
      <w:pPr>
        <w:pStyle w:val="ListParagraph"/>
        <w:numPr>
          <w:ilvl w:val="1"/>
          <w:numId w:val="7"/>
        </w:numPr>
        <w:tabs>
          <w:tab w:pos="908" w:val="left" w:leader="none"/>
          <w:tab w:pos="909" w:val="left" w:leader="none"/>
          <w:tab w:pos="2438" w:val="left" w:leader="none"/>
        </w:tabs>
        <w:spacing w:line="240" w:lineRule="auto" w:before="42" w:after="0"/>
        <w:ind w:left="908" w:right="0" w:hanging="795"/>
        <w:jc w:val="left"/>
        <w:rPr>
          <w:sz w:val="21"/>
        </w:rPr>
      </w:pPr>
      <w:r>
        <w:rPr>
          <w:b/>
          <w:sz w:val="21"/>
        </w:rPr>
        <w:t>无有效行驶证</w:t>
        <w:tab/>
      </w:r>
      <w:r>
        <w:rPr>
          <w:sz w:val="21"/>
        </w:rPr>
        <w:t>指下列情形之一：</w:t>
      </w:r>
    </w:p>
    <w:p>
      <w:pPr>
        <w:pStyle w:val="BodyText"/>
        <w:spacing w:before="18"/>
        <w:ind w:left="2438"/>
      </w:pPr>
      <w:r>
        <w:rPr>
          <w:rFonts w:ascii="Times New Roman" w:eastAsia="Times New Roman"/>
        </w:rPr>
        <w:t>1.</w:t>
      </w:r>
      <w:r>
        <w:rPr/>
        <w:t>机动车被依法注销登记的；</w:t>
      </w:r>
    </w:p>
    <w:p>
      <w:pPr>
        <w:pStyle w:val="BodyText"/>
        <w:spacing w:before="21"/>
        <w:ind w:left="2438"/>
      </w:pPr>
      <w:r>
        <w:rPr>
          <w:rFonts w:ascii="Times New Roman" w:eastAsia="Times New Roman"/>
        </w:rPr>
        <w:t>2.</w:t>
      </w:r>
      <w:r>
        <w:rPr/>
        <w:t>未依法按时进行或通过机动车安全技术检验。</w:t>
      </w:r>
    </w:p>
    <w:p>
      <w:pPr>
        <w:pStyle w:val="BodyText"/>
        <w:spacing w:before="9"/>
        <w:rPr>
          <w:sz w:val="26"/>
        </w:rPr>
      </w:pPr>
    </w:p>
    <w:p>
      <w:pPr>
        <w:pStyle w:val="ListParagraph"/>
        <w:numPr>
          <w:ilvl w:val="1"/>
          <w:numId w:val="7"/>
        </w:numPr>
        <w:tabs>
          <w:tab w:pos="908" w:val="left" w:leader="none"/>
          <w:tab w:pos="909" w:val="left" w:leader="none"/>
          <w:tab w:pos="2438" w:val="left" w:leader="none"/>
        </w:tabs>
        <w:spacing w:line="256" w:lineRule="auto" w:before="0" w:after="0"/>
        <w:ind w:left="2438" w:right="204" w:hanging="2325"/>
        <w:jc w:val="left"/>
        <w:rPr>
          <w:sz w:val="21"/>
        </w:rPr>
      </w:pPr>
      <w:r>
        <w:rPr>
          <w:b/>
          <w:sz w:val="21"/>
        </w:rPr>
        <w:t>机动车</w:t>
        <w:tab/>
      </w:r>
      <w:r>
        <w:rPr>
          <w:sz w:val="21"/>
        </w:rPr>
        <w:t>指以动力装置驱动或者牵引，上道路行驶的供人员乘用或者用于运送物品以及进行工程专项作业的轮式车辆。</w:t>
      </w:r>
    </w:p>
    <w:p>
      <w:pPr>
        <w:pStyle w:val="BodyText"/>
        <w:spacing w:before="4"/>
        <w:rPr>
          <w:sz w:val="23"/>
        </w:rPr>
      </w:pPr>
    </w:p>
    <w:p>
      <w:pPr>
        <w:spacing w:after="0"/>
        <w:rPr>
          <w:sz w:val="23"/>
        </w:rPr>
        <w:sectPr>
          <w:type w:val="continuous"/>
          <w:pgSz w:w="11910" w:h="16840"/>
          <w:pgMar w:top="1120" w:bottom="1180" w:left="1020" w:right="1100"/>
        </w:sectPr>
      </w:pPr>
    </w:p>
    <w:p>
      <w:pPr>
        <w:pStyle w:val="Heading4"/>
        <w:numPr>
          <w:ilvl w:val="1"/>
          <w:numId w:val="7"/>
        </w:numPr>
        <w:tabs>
          <w:tab w:pos="908" w:val="left" w:leader="none"/>
          <w:tab w:pos="909" w:val="left" w:leader="none"/>
        </w:tabs>
        <w:spacing w:line="256" w:lineRule="auto" w:before="44" w:after="0"/>
        <w:ind w:left="908" w:right="0" w:hanging="795"/>
        <w:jc w:val="left"/>
      </w:pPr>
      <w:r>
        <w:rPr>
          <w:w w:val="95"/>
        </w:rPr>
        <w:t>感染艾滋病病毒或患艾滋病</w:t>
      </w:r>
    </w:p>
    <w:p>
      <w:pPr>
        <w:pStyle w:val="BodyText"/>
        <w:spacing w:line="256" w:lineRule="auto" w:before="42"/>
        <w:ind w:left="113" w:right="117"/>
        <w:jc w:val="both"/>
      </w:pPr>
      <w:r>
        <w:rPr/>
        <w:br w:type="column"/>
      </w:r>
      <w:r>
        <w:rPr>
          <w:spacing w:val="-3"/>
        </w:rPr>
        <w:t>艾滋病病毒指人类免疫缺陷病毒，英文缩写为</w:t>
      </w:r>
      <w:r>
        <w:rPr>
          <w:rFonts w:ascii="Times New Roman" w:eastAsia="Times New Roman"/>
        </w:rPr>
        <w:t>HIV</w:t>
      </w:r>
      <w:r>
        <w:rPr>
          <w:spacing w:val="-7"/>
        </w:rPr>
        <w:t>。艾滋病指人类免疫缺陷病毒</w:t>
      </w:r>
      <w:r>
        <w:rPr>
          <w:spacing w:val="-1"/>
        </w:rPr>
        <w:t>引起的获得性免疫缺陷综合征，英文缩写为</w:t>
      </w:r>
      <w:r>
        <w:rPr>
          <w:rFonts w:ascii="Times New Roman" w:eastAsia="Times New Roman"/>
        </w:rPr>
        <w:t>AIDS</w:t>
      </w:r>
      <w:r>
        <w:rPr/>
        <w:t>。</w:t>
      </w:r>
    </w:p>
    <w:p>
      <w:pPr>
        <w:pStyle w:val="BodyText"/>
        <w:spacing w:line="273" w:lineRule="auto" w:before="98"/>
        <w:ind w:left="113" w:right="204"/>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1120" w:bottom="1180" w:left="1020" w:right="1100"/>
          <w:cols w:num="2" w:equalWidth="0">
            <w:col w:w="2172" w:space="152"/>
            <w:col w:w="7466"/>
          </w:cols>
        </w:sectPr>
      </w:pPr>
    </w:p>
    <w:p>
      <w:pPr>
        <w:pStyle w:val="BodyText"/>
        <w:spacing w:before="5"/>
        <w:rPr>
          <w:sz w:val="22"/>
        </w:rPr>
      </w:pPr>
    </w:p>
    <w:p>
      <w:pPr>
        <w:pStyle w:val="ListParagraph"/>
        <w:numPr>
          <w:ilvl w:val="1"/>
          <w:numId w:val="7"/>
        </w:numPr>
        <w:tabs>
          <w:tab w:pos="908" w:val="left" w:leader="none"/>
          <w:tab w:pos="909" w:val="left" w:leader="none"/>
          <w:tab w:pos="2438" w:val="left" w:leader="none"/>
        </w:tabs>
        <w:spacing w:line="256" w:lineRule="auto" w:before="42" w:after="0"/>
        <w:ind w:left="2438" w:right="204" w:hanging="2325"/>
        <w:jc w:val="left"/>
        <w:rPr>
          <w:sz w:val="21"/>
        </w:rPr>
      </w:pPr>
      <w:r>
        <w:rPr>
          <w:b/>
          <w:sz w:val="21"/>
        </w:rPr>
        <w:t>遗传性疾病</w:t>
        <w:tab/>
      </w:r>
      <w:r>
        <w:rPr>
          <w:sz w:val="21"/>
        </w:rPr>
        <w:t>指生殖细胞或受精卵的遗传物质（染色体和基因）发生突变或畸变所引起的疾病，通常具有亲代传至后代的垂直传递的特征。</w:t>
      </w:r>
    </w:p>
    <w:p>
      <w:pPr>
        <w:spacing w:after="0" w:line="256" w:lineRule="auto"/>
        <w:jc w:val="left"/>
        <w:rPr>
          <w:sz w:val="21"/>
        </w:rPr>
        <w:sectPr>
          <w:type w:val="continuous"/>
          <w:pgSz w:w="11910" w:h="16840"/>
          <w:pgMar w:top="1120" w:bottom="1180" w:left="1020" w:right="11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610"/>
        <w:gridCol w:w="7515"/>
      </w:tblGrid>
      <w:tr>
        <w:trPr>
          <w:trHeight w:val="585" w:hRule="atLeast"/>
        </w:trPr>
        <w:tc>
          <w:tcPr>
            <w:tcW w:w="631" w:type="dxa"/>
          </w:tcPr>
          <w:p>
            <w:pPr>
              <w:pStyle w:val="TableParagraph"/>
              <w:spacing w:line="223" w:lineRule="exact"/>
              <w:ind w:left="50"/>
              <w:rPr>
                <w:rFonts w:ascii="Times New Roman"/>
                <w:b/>
                <w:sz w:val="21"/>
              </w:rPr>
            </w:pPr>
            <w:r>
              <w:rPr>
                <w:rFonts w:ascii="Times New Roman"/>
                <w:b/>
                <w:sz w:val="21"/>
              </w:rPr>
              <w:t>9.13</w:t>
            </w:r>
          </w:p>
        </w:tc>
        <w:tc>
          <w:tcPr>
            <w:tcW w:w="1610" w:type="dxa"/>
          </w:tcPr>
          <w:p>
            <w:pPr>
              <w:pStyle w:val="TableParagraph"/>
              <w:spacing w:line="204" w:lineRule="exact"/>
              <w:ind w:left="213"/>
              <w:rPr>
                <w:b/>
                <w:sz w:val="21"/>
              </w:rPr>
            </w:pPr>
            <w:r>
              <w:rPr>
                <w:b/>
                <w:w w:val="95"/>
                <w:sz w:val="21"/>
              </w:rPr>
              <w:t>先天畸形、变</w:t>
            </w:r>
          </w:p>
          <w:p>
            <w:pPr>
              <w:pStyle w:val="TableParagraph"/>
              <w:spacing w:before="37"/>
              <w:ind w:left="213"/>
              <w:rPr>
                <w:b/>
                <w:sz w:val="21"/>
              </w:rPr>
            </w:pPr>
            <w:r>
              <w:rPr>
                <w:b/>
                <w:w w:val="95"/>
                <w:sz w:val="21"/>
              </w:rPr>
              <w:t>形或染色体异</w:t>
            </w:r>
          </w:p>
        </w:tc>
        <w:tc>
          <w:tcPr>
            <w:tcW w:w="7515" w:type="dxa"/>
          </w:tcPr>
          <w:p>
            <w:pPr>
              <w:pStyle w:val="TableParagraph"/>
              <w:spacing w:line="204" w:lineRule="exact"/>
              <w:ind w:left="133"/>
              <w:rPr>
                <w:sz w:val="21"/>
              </w:rPr>
            </w:pPr>
            <w:r>
              <w:rPr>
                <w:sz w:val="21"/>
              </w:rPr>
              <w:t>指被保险人出生时就具有的畸形、变形或染色体异常。先天性畸形、变形和染</w:t>
            </w:r>
          </w:p>
          <w:p>
            <w:pPr>
              <w:pStyle w:val="TableParagraph"/>
              <w:spacing w:before="37"/>
              <w:ind w:left="133"/>
              <w:rPr>
                <w:sz w:val="21"/>
              </w:rPr>
            </w:pPr>
            <w:r>
              <w:rPr>
                <w:spacing w:val="-5"/>
                <w:sz w:val="21"/>
              </w:rPr>
              <w:t>色体异常依照世界卫生组织《疾病和有关健康问题的国际统计分类》</w:t>
            </w:r>
            <w:r>
              <w:rPr>
                <w:sz w:val="21"/>
              </w:rPr>
              <w:t>（</w:t>
            </w:r>
            <w:r>
              <w:rPr>
                <w:rFonts w:ascii="Times New Roman" w:eastAsia="Times New Roman"/>
                <w:sz w:val="21"/>
              </w:rPr>
              <w:t>ICD</w:t>
            </w:r>
            <w:r>
              <w:rPr>
                <w:sz w:val="21"/>
              </w:rPr>
              <w:t>-</w:t>
            </w:r>
            <w:r>
              <w:rPr>
                <w:rFonts w:ascii="Times New Roman" w:eastAsia="Times New Roman"/>
                <w:sz w:val="21"/>
              </w:rPr>
              <w:t>10</w:t>
            </w:r>
            <w:r>
              <w:rPr>
                <w:sz w:val="21"/>
              </w:rPr>
              <w:t>）</w:t>
            </w:r>
          </w:p>
        </w:tc>
      </w:tr>
      <w:tr>
        <w:trPr>
          <w:trHeight w:val="463" w:hRule="atLeast"/>
        </w:trPr>
        <w:tc>
          <w:tcPr>
            <w:tcW w:w="631" w:type="dxa"/>
          </w:tcPr>
          <w:p>
            <w:pPr>
              <w:pStyle w:val="TableParagraph"/>
              <w:rPr>
                <w:rFonts w:ascii="Times New Roman"/>
                <w:sz w:val="20"/>
              </w:rPr>
            </w:pPr>
          </w:p>
        </w:tc>
        <w:tc>
          <w:tcPr>
            <w:tcW w:w="1610" w:type="dxa"/>
          </w:tcPr>
          <w:p>
            <w:pPr>
              <w:pStyle w:val="TableParagraph"/>
              <w:spacing w:line="243" w:lineRule="exact"/>
              <w:ind w:left="213"/>
              <w:rPr>
                <w:b/>
                <w:sz w:val="21"/>
              </w:rPr>
            </w:pPr>
            <w:r>
              <w:rPr>
                <w:b/>
                <w:w w:val="99"/>
                <w:sz w:val="21"/>
              </w:rPr>
              <w:t>常</w:t>
            </w:r>
          </w:p>
        </w:tc>
        <w:tc>
          <w:tcPr>
            <w:tcW w:w="7515" w:type="dxa"/>
          </w:tcPr>
          <w:p>
            <w:pPr>
              <w:pStyle w:val="TableParagraph"/>
              <w:spacing w:line="243" w:lineRule="exact"/>
              <w:ind w:left="133"/>
              <w:rPr>
                <w:sz w:val="21"/>
              </w:rPr>
            </w:pPr>
            <w:r>
              <w:rPr>
                <w:sz w:val="21"/>
              </w:rPr>
              <w:t>确定。</w:t>
            </w:r>
          </w:p>
        </w:tc>
      </w:tr>
      <w:tr>
        <w:trPr>
          <w:trHeight w:val="833" w:hRule="atLeast"/>
        </w:trPr>
        <w:tc>
          <w:tcPr>
            <w:tcW w:w="631" w:type="dxa"/>
          </w:tcPr>
          <w:p>
            <w:pPr>
              <w:pStyle w:val="TableParagraph"/>
              <w:spacing w:before="194"/>
              <w:ind w:left="50"/>
              <w:rPr>
                <w:rFonts w:ascii="Times New Roman"/>
                <w:b/>
                <w:sz w:val="21"/>
              </w:rPr>
            </w:pPr>
            <w:r>
              <w:rPr>
                <w:rFonts w:ascii="Times New Roman"/>
                <w:b/>
                <w:sz w:val="21"/>
              </w:rPr>
              <w:t>9.14</w:t>
            </w:r>
          </w:p>
        </w:tc>
        <w:tc>
          <w:tcPr>
            <w:tcW w:w="1610" w:type="dxa"/>
          </w:tcPr>
          <w:p>
            <w:pPr>
              <w:pStyle w:val="TableParagraph"/>
              <w:spacing w:before="142"/>
              <w:ind w:left="213"/>
              <w:rPr>
                <w:b/>
                <w:sz w:val="21"/>
              </w:rPr>
            </w:pPr>
            <w:r>
              <w:rPr>
                <w:b/>
                <w:w w:val="95"/>
                <w:sz w:val="21"/>
              </w:rPr>
              <w:t>未到期净保费</w:t>
            </w:r>
          </w:p>
        </w:tc>
        <w:tc>
          <w:tcPr>
            <w:tcW w:w="7515" w:type="dxa"/>
          </w:tcPr>
          <w:p>
            <w:pPr>
              <w:pStyle w:val="TableParagraph"/>
              <w:spacing w:line="247" w:lineRule="auto" w:before="142"/>
              <w:ind w:left="133" w:right="153"/>
              <w:rPr>
                <w:sz w:val="21"/>
              </w:rPr>
            </w:pPr>
            <w:r>
              <w:rPr>
                <w:sz w:val="21"/>
              </w:rPr>
              <w:t>未到期净保费</w:t>
            </w:r>
            <w:r>
              <w:rPr>
                <w:rFonts w:ascii="Calibri" w:hAnsi="Calibri" w:eastAsia="Calibri"/>
                <w:sz w:val="21"/>
              </w:rPr>
              <w:t>=</w:t>
            </w:r>
            <w:r>
              <w:rPr>
                <w:sz w:val="21"/>
              </w:rPr>
              <w:t>保险费</w:t>
            </w:r>
            <w:r>
              <w:rPr>
                <w:rFonts w:ascii="Calibri" w:hAnsi="Calibri" w:eastAsia="Calibri"/>
                <w:sz w:val="21"/>
              </w:rPr>
              <w:t>×</w:t>
            </w:r>
            <w:r>
              <w:rPr>
                <w:sz w:val="21"/>
              </w:rPr>
              <w:t>（</w:t>
            </w:r>
            <w:r>
              <w:rPr>
                <w:rFonts w:ascii="Times New Roman" w:hAnsi="Times New Roman" w:eastAsia="Times New Roman"/>
                <w:sz w:val="21"/>
              </w:rPr>
              <w:t>1-35%</w:t>
            </w:r>
            <w:r>
              <w:rPr>
                <w:sz w:val="21"/>
              </w:rPr>
              <w:t>）</w:t>
            </w:r>
            <w:r>
              <w:rPr>
                <w:rFonts w:ascii="Times New Roman" w:hAnsi="Times New Roman" w:eastAsia="Times New Roman"/>
                <w:sz w:val="21"/>
              </w:rPr>
              <w:t>×</w:t>
            </w:r>
            <w:r>
              <w:rPr>
                <w:sz w:val="21"/>
              </w:rPr>
              <w:t>（</w:t>
            </w:r>
            <w:r>
              <w:rPr>
                <w:rFonts w:ascii="Times New Roman" w:hAnsi="Times New Roman" w:eastAsia="Times New Roman"/>
                <w:sz w:val="21"/>
              </w:rPr>
              <w:t>1-</w:t>
            </w:r>
            <w:r>
              <w:rPr>
                <w:sz w:val="21"/>
              </w:rPr>
              <w:t>经过天数</w:t>
            </w:r>
            <w:r>
              <w:rPr>
                <w:rFonts w:ascii="Times New Roman" w:hAnsi="Times New Roman" w:eastAsia="Times New Roman"/>
                <w:sz w:val="21"/>
              </w:rPr>
              <w:t>/</w:t>
            </w:r>
            <w:r>
              <w:rPr>
                <w:sz w:val="21"/>
              </w:rPr>
              <w:t>本合同保险期间内所包含的天数</w:t>
            </w:r>
            <w:r>
              <w:rPr>
                <w:spacing w:val="-105"/>
                <w:sz w:val="21"/>
              </w:rPr>
              <w:t>）</w:t>
            </w:r>
            <w:r>
              <w:rPr>
                <w:spacing w:val="-1"/>
                <w:sz w:val="21"/>
              </w:rPr>
              <w:t>，经过天数指从合同生效之日起至终止之日实际经过的天数。</w:t>
            </w:r>
          </w:p>
        </w:tc>
      </w:tr>
      <w:tr>
        <w:trPr>
          <w:trHeight w:val="370"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before="26"/>
              <w:ind w:left="133"/>
              <w:rPr>
                <w:sz w:val="21"/>
              </w:rPr>
            </w:pPr>
            <w:r>
              <w:rPr>
                <w:sz w:val="21"/>
              </w:rPr>
              <w:t>本合同的未到期净保费为扣除手续费（手续费为保费的 </w:t>
            </w:r>
            <w:r>
              <w:rPr>
                <w:rFonts w:ascii="Times New Roman" w:eastAsia="Times New Roman"/>
                <w:sz w:val="21"/>
              </w:rPr>
              <w:t>35%</w:t>
            </w:r>
            <w:r>
              <w:rPr>
                <w:sz w:val="21"/>
              </w:rPr>
              <w:t>）后的未到期保险</w:t>
            </w:r>
          </w:p>
        </w:tc>
      </w:tr>
      <w:tr>
        <w:trPr>
          <w:trHeight w:val="304"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43" w:lineRule="exact"/>
              <w:ind w:left="133"/>
              <w:rPr>
                <w:sz w:val="21"/>
              </w:rPr>
            </w:pPr>
            <w:r>
              <w:rPr>
                <w:sz w:val="21"/>
              </w:rPr>
              <w:t>费，其中手续费为我们对本合同已承担的保险责任所收取的费用及每张保险合</w:t>
            </w:r>
          </w:p>
        </w:tc>
      </w:tr>
      <w:tr>
        <w:trPr>
          <w:trHeight w:val="472"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1" w:lineRule="exact"/>
              <w:ind w:left="133"/>
              <w:rPr>
                <w:sz w:val="21"/>
              </w:rPr>
            </w:pPr>
            <w:r>
              <w:rPr>
                <w:sz w:val="21"/>
              </w:rPr>
              <w:t>同平均承担的营业费用、佣金的总和</w:t>
            </w:r>
          </w:p>
        </w:tc>
      </w:tr>
      <w:tr>
        <w:trPr>
          <w:trHeight w:val="949" w:hRule="atLeast"/>
        </w:trPr>
        <w:tc>
          <w:tcPr>
            <w:tcW w:w="631" w:type="dxa"/>
          </w:tcPr>
          <w:p>
            <w:pPr>
              <w:pStyle w:val="TableParagraph"/>
              <w:spacing w:before="192"/>
              <w:ind w:left="50"/>
              <w:rPr>
                <w:rFonts w:ascii="Times New Roman"/>
                <w:b/>
                <w:sz w:val="21"/>
              </w:rPr>
            </w:pPr>
            <w:r>
              <w:rPr>
                <w:rFonts w:ascii="Times New Roman"/>
                <w:b/>
                <w:sz w:val="21"/>
              </w:rPr>
              <w:t>9.15</w:t>
            </w:r>
          </w:p>
        </w:tc>
        <w:tc>
          <w:tcPr>
            <w:tcW w:w="1610" w:type="dxa"/>
          </w:tcPr>
          <w:p>
            <w:pPr>
              <w:pStyle w:val="TableParagraph"/>
              <w:spacing w:before="141"/>
              <w:ind w:left="213"/>
              <w:rPr>
                <w:b/>
                <w:sz w:val="21"/>
              </w:rPr>
            </w:pPr>
            <w:r>
              <w:rPr>
                <w:b/>
                <w:w w:val="95"/>
                <w:sz w:val="21"/>
              </w:rPr>
              <w:t>有效身份证件</w:t>
            </w:r>
          </w:p>
        </w:tc>
        <w:tc>
          <w:tcPr>
            <w:tcW w:w="7515" w:type="dxa"/>
          </w:tcPr>
          <w:p>
            <w:pPr>
              <w:pStyle w:val="TableParagraph"/>
              <w:spacing w:line="273" w:lineRule="auto" w:before="141"/>
              <w:ind w:left="133" w:right="239"/>
              <w:rPr>
                <w:sz w:val="21"/>
              </w:rPr>
            </w:pPr>
            <w:r>
              <w:rPr>
                <w:sz w:val="21"/>
              </w:rPr>
              <w:t>指由政府主管部门规定的证明其身份的证件，如：居民身份证、按规定可使用的有效护照、军官证、警官证、士兵证、户口簿等证件。</w:t>
            </w:r>
          </w:p>
        </w:tc>
      </w:tr>
      <w:tr>
        <w:trPr>
          <w:trHeight w:val="950" w:hRule="atLeast"/>
        </w:trPr>
        <w:tc>
          <w:tcPr>
            <w:tcW w:w="631" w:type="dxa"/>
          </w:tcPr>
          <w:p>
            <w:pPr>
              <w:pStyle w:val="TableParagraph"/>
              <w:spacing w:before="193"/>
              <w:ind w:left="50"/>
              <w:rPr>
                <w:rFonts w:ascii="Times New Roman"/>
                <w:b/>
                <w:sz w:val="21"/>
              </w:rPr>
            </w:pPr>
            <w:r>
              <w:rPr>
                <w:rFonts w:ascii="Times New Roman"/>
                <w:b/>
                <w:sz w:val="21"/>
              </w:rPr>
              <w:t>9.16</w:t>
            </w:r>
          </w:p>
        </w:tc>
        <w:tc>
          <w:tcPr>
            <w:tcW w:w="1610" w:type="dxa"/>
          </w:tcPr>
          <w:p>
            <w:pPr>
              <w:pStyle w:val="TableParagraph"/>
              <w:spacing w:before="141"/>
              <w:ind w:left="213"/>
              <w:rPr>
                <w:b/>
                <w:sz w:val="21"/>
              </w:rPr>
            </w:pPr>
            <w:r>
              <w:rPr>
                <w:b/>
                <w:w w:val="95"/>
                <w:sz w:val="21"/>
              </w:rPr>
              <w:t>司法鉴定机构</w:t>
            </w:r>
          </w:p>
        </w:tc>
        <w:tc>
          <w:tcPr>
            <w:tcW w:w="7515" w:type="dxa"/>
          </w:tcPr>
          <w:p>
            <w:pPr>
              <w:pStyle w:val="TableParagraph"/>
              <w:spacing w:line="273" w:lineRule="auto" w:before="141"/>
              <w:ind w:left="133" w:right="239"/>
              <w:rPr>
                <w:sz w:val="21"/>
              </w:rPr>
            </w:pPr>
            <w:r>
              <w:rPr>
                <w:sz w:val="21"/>
              </w:rPr>
              <w:t>指经中华人民共和国司法行政机关审核登记，依法取得《司法鉴定许可证》且鉴定业务范围包含法医临床鉴定的司法鉴定机构。</w:t>
            </w:r>
          </w:p>
        </w:tc>
      </w:tr>
      <w:tr>
        <w:trPr>
          <w:trHeight w:val="1893" w:hRule="atLeast"/>
        </w:trPr>
        <w:tc>
          <w:tcPr>
            <w:tcW w:w="631" w:type="dxa"/>
          </w:tcPr>
          <w:p>
            <w:pPr>
              <w:pStyle w:val="TableParagraph"/>
              <w:spacing w:before="193"/>
              <w:ind w:left="50"/>
              <w:rPr>
                <w:rFonts w:ascii="Times New Roman"/>
                <w:b/>
                <w:sz w:val="21"/>
              </w:rPr>
            </w:pPr>
            <w:r>
              <w:rPr>
                <w:rFonts w:ascii="Times New Roman"/>
                <w:b/>
                <w:sz w:val="21"/>
              </w:rPr>
              <w:t>9.17</w:t>
            </w:r>
          </w:p>
        </w:tc>
        <w:tc>
          <w:tcPr>
            <w:tcW w:w="1610" w:type="dxa"/>
          </w:tcPr>
          <w:p>
            <w:pPr>
              <w:pStyle w:val="TableParagraph"/>
              <w:spacing w:before="141"/>
              <w:ind w:left="213"/>
              <w:rPr>
                <w:b/>
                <w:sz w:val="21"/>
              </w:rPr>
            </w:pPr>
            <w:r>
              <w:rPr>
                <w:b/>
                <w:sz w:val="21"/>
              </w:rPr>
              <w:t>专科医生</w:t>
            </w:r>
          </w:p>
        </w:tc>
        <w:tc>
          <w:tcPr>
            <w:tcW w:w="7515" w:type="dxa"/>
          </w:tcPr>
          <w:p>
            <w:pPr>
              <w:pStyle w:val="TableParagraph"/>
              <w:spacing w:before="141"/>
              <w:ind w:left="133"/>
              <w:rPr>
                <w:sz w:val="21"/>
              </w:rPr>
            </w:pPr>
            <w:r>
              <w:rPr>
                <w:sz w:val="21"/>
              </w:rPr>
              <w:t>专科医生应当同时满足以下四项资格条件：</w:t>
            </w:r>
          </w:p>
          <w:p>
            <w:pPr>
              <w:pStyle w:val="TableParagraph"/>
              <w:spacing w:before="36"/>
              <w:ind w:left="133"/>
              <w:rPr>
                <w:sz w:val="21"/>
              </w:rPr>
            </w:pPr>
            <w:r>
              <w:rPr>
                <w:rFonts w:ascii="Times New Roman" w:eastAsia="Times New Roman"/>
                <w:sz w:val="21"/>
              </w:rPr>
              <w:t>1.</w:t>
            </w:r>
            <w:r>
              <w:rPr>
                <w:sz w:val="21"/>
              </w:rPr>
              <w:t>具有有效的中华人民共和国《医师资格证书》；</w:t>
            </w:r>
          </w:p>
          <w:p>
            <w:pPr>
              <w:pStyle w:val="TableParagraph"/>
              <w:spacing w:before="20"/>
              <w:ind w:left="133"/>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before="20"/>
              <w:ind w:left="133"/>
              <w:rPr>
                <w:sz w:val="21"/>
              </w:rPr>
            </w:pPr>
            <w:r>
              <w:rPr>
                <w:rFonts w:ascii="Times New Roman" w:eastAsia="Times New Roman"/>
                <w:spacing w:val="-1"/>
                <w:sz w:val="21"/>
              </w:rPr>
              <w:t>3.</w:t>
            </w:r>
            <w:r>
              <w:rPr>
                <w:spacing w:val="-6"/>
                <w:sz w:val="21"/>
              </w:rPr>
              <w:t>具有有效的中华人民共和国主治医师或主治医师以上职称的《医师职称证书》；</w:t>
            </w:r>
          </w:p>
          <w:p>
            <w:pPr>
              <w:pStyle w:val="TableParagraph"/>
              <w:spacing w:before="20"/>
              <w:ind w:left="133"/>
              <w:rPr>
                <w:sz w:val="21"/>
              </w:rPr>
            </w:pPr>
            <w:r>
              <w:rPr>
                <w:rFonts w:ascii="Times New Roman" w:eastAsia="Times New Roman"/>
                <w:sz w:val="21"/>
              </w:rPr>
              <w:t>4.</w:t>
            </w:r>
            <w:r>
              <w:rPr>
                <w:sz w:val="21"/>
              </w:rPr>
              <w:t>在二级或二级以上医院的相应科室从事临床工作三年以上。</w:t>
            </w:r>
          </w:p>
        </w:tc>
      </w:tr>
      <w:tr>
        <w:trPr>
          <w:trHeight w:val="941" w:hRule="atLeast"/>
        </w:trPr>
        <w:tc>
          <w:tcPr>
            <w:tcW w:w="631" w:type="dxa"/>
          </w:tcPr>
          <w:p>
            <w:pPr>
              <w:pStyle w:val="TableParagraph"/>
              <w:spacing w:before="184"/>
              <w:ind w:left="50"/>
              <w:rPr>
                <w:rFonts w:ascii="Times New Roman"/>
                <w:b/>
                <w:sz w:val="21"/>
              </w:rPr>
            </w:pPr>
            <w:r>
              <w:rPr>
                <w:rFonts w:ascii="Times New Roman"/>
                <w:b/>
                <w:sz w:val="21"/>
              </w:rPr>
              <w:t>9.18</w:t>
            </w:r>
          </w:p>
        </w:tc>
        <w:tc>
          <w:tcPr>
            <w:tcW w:w="1610" w:type="dxa"/>
          </w:tcPr>
          <w:p>
            <w:pPr>
              <w:pStyle w:val="TableParagraph"/>
              <w:spacing w:line="273" w:lineRule="auto" w:before="133"/>
              <w:ind w:left="213" w:right="130"/>
              <w:rPr>
                <w:b/>
                <w:sz w:val="21"/>
              </w:rPr>
            </w:pPr>
            <w:r>
              <w:rPr>
                <w:b/>
                <w:sz w:val="21"/>
              </w:rPr>
              <w:t>肢体机能完全丧失</w:t>
            </w:r>
          </w:p>
        </w:tc>
        <w:tc>
          <w:tcPr>
            <w:tcW w:w="7515" w:type="dxa"/>
          </w:tcPr>
          <w:p>
            <w:pPr>
              <w:pStyle w:val="TableParagraph"/>
              <w:spacing w:line="273" w:lineRule="auto" w:before="133"/>
              <w:ind w:left="133" w:right="239"/>
              <w:rPr>
                <w:sz w:val="21"/>
              </w:rPr>
            </w:pPr>
            <w:r>
              <w:rPr>
                <w:sz w:val="21"/>
              </w:rPr>
              <w:t>指肢体的三大关节中的两大关节僵硬，或不能随意识活动。肢体是指包括肩关节的整个上肢或包括髋关节的整个下肢。</w:t>
            </w:r>
          </w:p>
        </w:tc>
      </w:tr>
      <w:tr>
        <w:trPr>
          <w:trHeight w:val="789" w:hRule="atLeast"/>
        </w:trPr>
        <w:tc>
          <w:tcPr>
            <w:tcW w:w="631" w:type="dxa"/>
          </w:tcPr>
          <w:p>
            <w:pPr>
              <w:pStyle w:val="TableParagraph"/>
              <w:spacing w:before="193"/>
              <w:ind w:left="50"/>
              <w:rPr>
                <w:rFonts w:ascii="Times New Roman"/>
                <w:b/>
                <w:sz w:val="21"/>
              </w:rPr>
            </w:pPr>
            <w:r>
              <w:rPr>
                <w:rFonts w:ascii="Times New Roman"/>
                <w:b/>
                <w:sz w:val="21"/>
              </w:rPr>
              <w:t>9.19</w:t>
            </w:r>
          </w:p>
        </w:tc>
        <w:tc>
          <w:tcPr>
            <w:tcW w:w="1610" w:type="dxa"/>
          </w:tcPr>
          <w:p>
            <w:pPr>
              <w:pStyle w:val="TableParagraph"/>
              <w:spacing w:line="273" w:lineRule="auto" w:before="141"/>
              <w:ind w:left="213" w:right="130"/>
              <w:rPr>
                <w:b/>
                <w:sz w:val="21"/>
              </w:rPr>
            </w:pPr>
            <w:r>
              <w:rPr>
                <w:b/>
                <w:sz w:val="21"/>
              </w:rPr>
              <w:t>语言能力或咀</w:t>
            </w:r>
            <w:r>
              <w:rPr>
                <w:b/>
                <w:w w:val="95"/>
                <w:sz w:val="21"/>
              </w:rPr>
              <w:t>嚼吞咽能力完</w:t>
            </w:r>
          </w:p>
        </w:tc>
        <w:tc>
          <w:tcPr>
            <w:tcW w:w="7515" w:type="dxa"/>
          </w:tcPr>
          <w:p>
            <w:pPr>
              <w:pStyle w:val="TableParagraph"/>
              <w:spacing w:line="273" w:lineRule="auto" w:before="141"/>
              <w:ind w:left="133" w:right="47"/>
              <w:rPr>
                <w:sz w:val="21"/>
              </w:rPr>
            </w:pPr>
            <w:r>
              <w:rPr>
                <w:sz w:val="21"/>
              </w:rPr>
              <w:t>语言能力完全丧失，指无法发出四种语音（包括口唇音、齿舌音、口盖音和喉头音</w:t>
            </w:r>
            <w:r>
              <w:rPr>
                <w:spacing w:val="-7"/>
                <w:sz w:val="21"/>
              </w:rPr>
              <w:t>）</w:t>
            </w:r>
            <w:r>
              <w:rPr>
                <w:spacing w:val="-2"/>
                <w:sz w:val="21"/>
              </w:rPr>
              <w:t>中的任何三种、或声带全部切除，或因大脑语言中枢受伤害而患失语症。</w:t>
            </w:r>
          </w:p>
        </w:tc>
      </w:tr>
      <w:tr>
        <w:trPr>
          <w:trHeight w:val="311" w:hRule="atLeast"/>
        </w:trPr>
        <w:tc>
          <w:tcPr>
            <w:tcW w:w="631" w:type="dxa"/>
          </w:tcPr>
          <w:p>
            <w:pPr>
              <w:pStyle w:val="TableParagraph"/>
              <w:rPr>
                <w:rFonts w:ascii="Times New Roman"/>
                <w:sz w:val="20"/>
              </w:rPr>
            </w:pPr>
          </w:p>
        </w:tc>
        <w:tc>
          <w:tcPr>
            <w:tcW w:w="1610" w:type="dxa"/>
          </w:tcPr>
          <w:p>
            <w:pPr>
              <w:pStyle w:val="TableParagraph"/>
              <w:spacing w:line="251" w:lineRule="exact"/>
              <w:ind w:left="213"/>
              <w:rPr>
                <w:b/>
                <w:sz w:val="21"/>
              </w:rPr>
            </w:pPr>
            <w:r>
              <w:rPr>
                <w:b/>
                <w:sz w:val="21"/>
              </w:rPr>
              <w:t>全丧失</w:t>
            </w:r>
          </w:p>
        </w:tc>
        <w:tc>
          <w:tcPr>
            <w:tcW w:w="7515" w:type="dxa"/>
          </w:tcPr>
          <w:p>
            <w:pPr>
              <w:pStyle w:val="TableParagraph"/>
              <w:spacing w:line="251" w:lineRule="exact"/>
              <w:ind w:left="133"/>
              <w:rPr>
                <w:sz w:val="21"/>
              </w:rPr>
            </w:pPr>
            <w:r>
              <w:rPr>
                <w:sz w:val="21"/>
              </w:rPr>
              <w:t>咀嚼吞咽能力完全丧失，指因牙齿以外的原因导致器质障碍或机能障碍，以致</w:t>
            </w:r>
          </w:p>
        </w:tc>
      </w:tr>
      <w:tr>
        <w:trPr>
          <w:trHeight w:val="471" w:hRule="atLeast"/>
        </w:trPr>
        <w:tc>
          <w:tcPr>
            <w:tcW w:w="631" w:type="dxa"/>
          </w:tcPr>
          <w:p>
            <w:pPr>
              <w:pStyle w:val="TableParagraph"/>
              <w:rPr>
                <w:rFonts w:ascii="Times New Roman"/>
                <w:sz w:val="20"/>
              </w:rPr>
            </w:pPr>
          </w:p>
        </w:tc>
        <w:tc>
          <w:tcPr>
            <w:tcW w:w="1610" w:type="dxa"/>
          </w:tcPr>
          <w:p>
            <w:pPr>
              <w:pStyle w:val="TableParagraph"/>
              <w:rPr>
                <w:rFonts w:ascii="Times New Roman"/>
                <w:sz w:val="20"/>
              </w:rPr>
            </w:pPr>
          </w:p>
        </w:tc>
        <w:tc>
          <w:tcPr>
            <w:tcW w:w="7515" w:type="dxa"/>
          </w:tcPr>
          <w:p>
            <w:pPr>
              <w:pStyle w:val="TableParagraph"/>
              <w:spacing w:line="251" w:lineRule="exact"/>
              <w:ind w:left="133"/>
              <w:rPr>
                <w:sz w:val="21"/>
              </w:rPr>
            </w:pPr>
            <w:r>
              <w:rPr>
                <w:sz w:val="21"/>
              </w:rPr>
              <w:t>不能作咀嚼吞咽运动，除流质食物外不能摄取或吞咽的状态。</w:t>
            </w:r>
          </w:p>
        </w:tc>
      </w:tr>
      <w:tr>
        <w:trPr>
          <w:trHeight w:val="2205" w:hRule="atLeast"/>
        </w:trPr>
        <w:tc>
          <w:tcPr>
            <w:tcW w:w="631" w:type="dxa"/>
          </w:tcPr>
          <w:p>
            <w:pPr>
              <w:pStyle w:val="TableParagraph"/>
              <w:spacing w:before="194"/>
              <w:ind w:left="50"/>
              <w:rPr>
                <w:rFonts w:ascii="Times New Roman"/>
                <w:b/>
                <w:sz w:val="21"/>
              </w:rPr>
            </w:pPr>
            <w:r>
              <w:rPr>
                <w:rFonts w:ascii="Times New Roman"/>
                <w:b/>
                <w:sz w:val="21"/>
              </w:rPr>
              <w:t>9.20</w:t>
            </w:r>
          </w:p>
        </w:tc>
        <w:tc>
          <w:tcPr>
            <w:tcW w:w="1610" w:type="dxa"/>
          </w:tcPr>
          <w:p>
            <w:pPr>
              <w:pStyle w:val="TableParagraph"/>
              <w:spacing w:line="273" w:lineRule="auto" w:before="142"/>
              <w:ind w:left="213" w:right="130"/>
              <w:rPr>
                <w:b/>
                <w:sz w:val="21"/>
              </w:rPr>
            </w:pPr>
            <w:r>
              <w:rPr>
                <w:b/>
                <w:sz w:val="21"/>
              </w:rPr>
              <w:t>六项基本日常生活活动</w:t>
            </w:r>
          </w:p>
        </w:tc>
        <w:tc>
          <w:tcPr>
            <w:tcW w:w="7515" w:type="dxa"/>
          </w:tcPr>
          <w:p>
            <w:pPr>
              <w:pStyle w:val="TableParagraph"/>
              <w:spacing w:before="142"/>
              <w:ind w:left="133"/>
              <w:rPr>
                <w:sz w:val="21"/>
              </w:rPr>
            </w:pPr>
            <w:r>
              <w:rPr>
                <w:rFonts w:ascii="Times New Roman" w:eastAsia="Times New Roman"/>
                <w:sz w:val="21"/>
              </w:rPr>
              <w:t>1.</w:t>
            </w:r>
            <w:r>
              <w:rPr>
                <w:sz w:val="21"/>
              </w:rPr>
              <w:t>穿衣：自己能够穿衣及脱衣；</w:t>
            </w:r>
          </w:p>
          <w:p>
            <w:pPr>
              <w:pStyle w:val="TableParagraph"/>
              <w:spacing w:before="20"/>
              <w:ind w:left="133"/>
              <w:rPr>
                <w:sz w:val="21"/>
              </w:rPr>
            </w:pPr>
            <w:r>
              <w:rPr>
                <w:rFonts w:ascii="Times New Roman" w:eastAsia="Times New Roman"/>
                <w:sz w:val="21"/>
              </w:rPr>
              <w:t>2.</w:t>
            </w:r>
            <w:r>
              <w:rPr>
                <w:sz w:val="21"/>
              </w:rPr>
              <w:t>移动：自己从一个房间到另一个房间；</w:t>
            </w:r>
          </w:p>
          <w:p>
            <w:pPr>
              <w:pStyle w:val="TableParagraph"/>
              <w:spacing w:before="20"/>
              <w:ind w:left="133"/>
              <w:rPr>
                <w:sz w:val="21"/>
              </w:rPr>
            </w:pPr>
            <w:r>
              <w:rPr>
                <w:rFonts w:ascii="Times New Roman" w:eastAsia="Times New Roman"/>
                <w:sz w:val="21"/>
              </w:rPr>
              <w:t>3.</w:t>
            </w:r>
            <w:r>
              <w:rPr>
                <w:sz w:val="21"/>
              </w:rPr>
              <w:t>行动：自己上下床或上下轮椅；</w:t>
            </w:r>
          </w:p>
          <w:p>
            <w:pPr>
              <w:pStyle w:val="TableParagraph"/>
              <w:spacing w:before="20"/>
              <w:ind w:left="133"/>
              <w:rPr>
                <w:sz w:val="21"/>
              </w:rPr>
            </w:pPr>
            <w:r>
              <w:rPr>
                <w:rFonts w:ascii="Times New Roman" w:eastAsia="Times New Roman"/>
                <w:sz w:val="21"/>
              </w:rPr>
              <w:t>4.</w:t>
            </w:r>
            <w:r>
              <w:rPr>
                <w:sz w:val="21"/>
              </w:rPr>
              <w:t>如厕：自己控制进行大小便；</w:t>
            </w:r>
          </w:p>
          <w:p>
            <w:pPr>
              <w:pStyle w:val="TableParagraph"/>
              <w:spacing w:before="20"/>
              <w:ind w:left="133"/>
              <w:rPr>
                <w:sz w:val="21"/>
              </w:rPr>
            </w:pPr>
            <w:r>
              <w:rPr>
                <w:rFonts w:ascii="Times New Roman" w:eastAsia="Times New Roman"/>
                <w:sz w:val="21"/>
              </w:rPr>
              <w:t>5.</w:t>
            </w:r>
            <w:r>
              <w:rPr>
                <w:sz w:val="21"/>
              </w:rPr>
              <w:t>进食：自己从已准备好的碗或碟中取食物放入口中；</w:t>
            </w:r>
          </w:p>
          <w:p>
            <w:pPr>
              <w:pStyle w:val="TableParagraph"/>
              <w:spacing w:before="20"/>
              <w:ind w:left="133"/>
              <w:rPr>
                <w:sz w:val="21"/>
              </w:rPr>
            </w:pPr>
            <w:r>
              <w:rPr>
                <w:rFonts w:ascii="Times New Roman" w:eastAsia="Times New Roman"/>
                <w:sz w:val="21"/>
              </w:rPr>
              <w:t>6.</w:t>
            </w:r>
            <w:r>
              <w:rPr>
                <w:sz w:val="21"/>
              </w:rPr>
              <w:t>洗澡：自己进行淋浴或盆浴。</w:t>
            </w:r>
          </w:p>
        </w:tc>
      </w:tr>
      <w:tr>
        <w:trPr>
          <w:trHeight w:val="730" w:hRule="atLeast"/>
        </w:trPr>
        <w:tc>
          <w:tcPr>
            <w:tcW w:w="631" w:type="dxa"/>
          </w:tcPr>
          <w:p>
            <w:pPr>
              <w:pStyle w:val="TableParagraph"/>
              <w:spacing w:before="186"/>
              <w:ind w:left="50"/>
              <w:rPr>
                <w:rFonts w:ascii="Times New Roman"/>
                <w:b/>
                <w:sz w:val="21"/>
              </w:rPr>
            </w:pPr>
            <w:r>
              <w:rPr>
                <w:rFonts w:ascii="Times New Roman"/>
                <w:b/>
                <w:sz w:val="21"/>
              </w:rPr>
              <w:t>9.21</w:t>
            </w:r>
          </w:p>
        </w:tc>
        <w:tc>
          <w:tcPr>
            <w:tcW w:w="1610" w:type="dxa"/>
          </w:tcPr>
          <w:p>
            <w:pPr>
              <w:pStyle w:val="TableParagraph"/>
              <w:spacing w:before="134"/>
              <w:ind w:left="213"/>
              <w:rPr>
                <w:b/>
                <w:sz w:val="21"/>
              </w:rPr>
            </w:pPr>
            <w:r>
              <w:rPr>
                <w:b/>
                <w:w w:val="95"/>
                <w:sz w:val="21"/>
              </w:rPr>
              <w:t>永久不可逆</w:t>
            </w:r>
          </w:p>
        </w:tc>
        <w:tc>
          <w:tcPr>
            <w:tcW w:w="7515" w:type="dxa"/>
          </w:tcPr>
          <w:p>
            <w:pPr>
              <w:pStyle w:val="TableParagraph"/>
              <w:spacing w:line="290" w:lineRule="atLeast" w:before="134"/>
              <w:ind w:left="133" w:right="174"/>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rPr>
          <w:sz w:val="20"/>
        </w:rPr>
      </w:pPr>
    </w:p>
    <w:p>
      <w:pPr>
        <w:pStyle w:val="BodyText"/>
        <w:rPr>
          <w:sz w:val="20"/>
        </w:rPr>
      </w:pPr>
    </w:p>
    <w:p>
      <w:pPr>
        <w:pStyle w:val="BodyText"/>
        <w:rPr>
          <w:sz w:val="20"/>
        </w:rPr>
      </w:pPr>
    </w:p>
    <w:p>
      <w:pPr>
        <w:pStyle w:val="BodyText"/>
        <w:spacing w:before="11"/>
        <w:rPr>
          <w:sz w:val="25"/>
        </w:rPr>
      </w:pPr>
    </w:p>
    <w:p>
      <w:pPr>
        <w:pStyle w:val="BodyText"/>
        <w:spacing w:before="35"/>
        <w:ind w:left="3907" w:right="3922"/>
        <w:jc w:val="center"/>
      </w:pPr>
      <w:r>
        <w:rPr/>
        <w:t>（保险条款内容结束）</w:t>
      </w:r>
    </w:p>
    <w:sectPr>
      <w:pgSz w:w="11910" w:h="16840"/>
      <w:pgMar w:header="0" w:footer="988" w:top="1360" w:bottom="11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UI">
    <w:altName w:val="Microsoft JhengHei UI"/>
    <w:charset w:val="0"/>
    <w:family w:val="swiss"/>
    <w:pitch w:val="variable"/>
  </w:font>
  <w:font w:name="微软雅黑">
    <w:altName w:val="微软雅黑"/>
    <w:charset w:val="86"/>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91.159698pt;margin-top:781.11969pt;width:13pt;height:12pt;mso-position-horizontal-relative:page;mso-position-vertical-relative:page;z-index:-67432" type="#_x0000_t202" filled="false" stroked="false">
          <v:textbox inset="0,0,0,0">
            <w:txbxContent>
              <w:p>
                <w:pPr>
                  <w:spacing w:before="12"/>
                  <w:ind w:left="43"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1.159698pt;margin-top:781.11969pt;width:13pt;height:12pt;mso-position-horizontal-relative:page;mso-position-vertical-relative:page;z-index:-67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2438" w:hanging="795"/>
        <w:jc w:val="left"/>
      </w:pPr>
      <w:rPr>
        <w:rFonts w:hint="default"/>
      </w:rPr>
    </w:lvl>
    <w:lvl w:ilvl="1">
      <w:start w:val="4"/>
      <w:numFmt w:val="decimal"/>
      <w:lvlText w:val="%1.%2"/>
      <w:lvlJc w:val="left"/>
      <w:pPr>
        <w:ind w:left="2438" w:hanging="795"/>
        <w:jc w:val="left"/>
      </w:pPr>
      <w:rPr>
        <w:rFonts w:hint="default" w:ascii="Times New Roman" w:hAnsi="Times New Roman" w:eastAsia="Times New Roman" w:cs="Times New Roman"/>
        <w:b/>
        <w:bCs/>
        <w:spacing w:val="-24"/>
        <w:w w:val="99"/>
        <w:sz w:val="21"/>
        <w:szCs w:val="21"/>
      </w:rPr>
    </w:lvl>
    <w:lvl w:ilvl="2">
      <w:start w:val="0"/>
      <w:numFmt w:val="bullet"/>
      <w:lvlText w:val="•"/>
      <w:lvlJc w:val="left"/>
      <w:pPr>
        <w:ind w:left="3908" w:hanging="795"/>
      </w:pPr>
      <w:rPr>
        <w:rFonts w:hint="default"/>
      </w:rPr>
    </w:lvl>
    <w:lvl w:ilvl="3">
      <w:start w:val="0"/>
      <w:numFmt w:val="bullet"/>
      <w:lvlText w:val="•"/>
      <w:lvlJc w:val="left"/>
      <w:pPr>
        <w:ind w:left="4643" w:hanging="795"/>
      </w:pPr>
      <w:rPr>
        <w:rFonts w:hint="default"/>
      </w:rPr>
    </w:lvl>
    <w:lvl w:ilvl="4">
      <w:start w:val="0"/>
      <w:numFmt w:val="bullet"/>
      <w:lvlText w:val="•"/>
      <w:lvlJc w:val="left"/>
      <w:pPr>
        <w:ind w:left="5377" w:hanging="795"/>
      </w:pPr>
      <w:rPr>
        <w:rFonts w:hint="default"/>
      </w:rPr>
    </w:lvl>
    <w:lvl w:ilvl="5">
      <w:start w:val="0"/>
      <w:numFmt w:val="bullet"/>
      <w:lvlText w:val="•"/>
      <w:lvlJc w:val="left"/>
      <w:pPr>
        <w:ind w:left="6112" w:hanging="795"/>
      </w:pPr>
      <w:rPr>
        <w:rFonts w:hint="default"/>
      </w:rPr>
    </w:lvl>
    <w:lvl w:ilvl="6">
      <w:start w:val="0"/>
      <w:numFmt w:val="bullet"/>
      <w:lvlText w:val="•"/>
      <w:lvlJc w:val="left"/>
      <w:pPr>
        <w:ind w:left="6846" w:hanging="795"/>
      </w:pPr>
      <w:rPr>
        <w:rFonts w:hint="default"/>
      </w:rPr>
    </w:lvl>
    <w:lvl w:ilvl="7">
      <w:start w:val="0"/>
      <w:numFmt w:val="bullet"/>
      <w:lvlText w:val="•"/>
      <w:lvlJc w:val="left"/>
      <w:pPr>
        <w:ind w:left="7581" w:hanging="795"/>
      </w:pPr>
      <w:rPr>
        <w:rFonts w:hint="default"/>
      </w:rPr>
    </w:lvl>
    <w:lvl w:ilvl="8">
      <w:start w:val="0"/>
      <w:numFmt w:val="bullet"/>
      <w:lvlText w:val="•"/>
      <w:lvlJc w:val="left"/>
      <w:pPr>
        <w:ind w:left="8315" w:hanging="795"/>
      </w:pPr>
      <w:rPr>
        <w:rFonts w:hint="default"/>
      </w:rPr>
    </w:lvl>
  </w:abstractNum>
  <w:abstractNum w:abstractNumId="5">
    <w:multiLevelType w:val="hybridMultilevel"/>
    <w:lvl w:ilvl="0">
      <w:start w:val="8"/>
      <w:numFmt w:val="decimal"/>
      <w:lvlText w:val="%1"/>
      <w:lvlJc w:val="left"/>
      <w:pPr>
        <w:ind w:left="2478" w:hanging="795"/>
        <w:jc w:val="left"/>
      </w:pPr>
      <w:rPr>
        <w:rFonts w:hint="default"/>
      </w:rPr>
    </w:lvl>
    <w:lvl w:ilvl="1">
      <w:start w:val="20"/>
      <w:numFmt w:val="decimal"/>
      <w:lvlText w:val="%1.%2"/>
      <w:lvlJc w:val="left"/>
      <w:pPr>
        <w:ind w:left="2478" w:hanging="795"/>
        <w:jc w:val="left"/>
      </w:pPr>
      <w:rPr>
        <w:rFonts w:hint="default" w:ascii="Times New Roman" w:hAnsi="Times New Roman" w:eastAsia="Times New Roman" w:cs="Times New Roman"/>
        <w:b/>
        <w:bCs/>
        <w:spacing w:val="-53"/>
        <w:w w:val="99"/>
        <w:sz w:val="21"/>
        <w:szCs w:val="21"/>
      </w:rPr>
    </w:lvl>
    <w:lvl w:ilvl="2">
      <w:start w:val="0"/>
      <w:numFmt w:val="bullet"/>
      <w:lvlText w:val="•"/>
      <w:lvlJc w:val="left"/>
      <w:pPr>
        <w:ind w:left="3976" w:hanging="795"/>
      </w:pPr>
      <w:rPr>
        <w:rFonts w:hint="default"/>
      </w:rPr>
    </w:lvl>
    <w:lvl w:ilvl="3">
      <w:start w:val="0"/>
      <w:numFmt w:val="bullet"/>
      <w:lvlText w:val="•"/>
      <w:lvlJc w:val="left"/>
      <w:pPr>
        <w:ind w:left="4725" w:hanging="795"/>
      </w:pPr>
      <w:rPr>
        <w:rFonts w:hint="default"/>
      </w:rPr>
    </w:lvl>
    <w:lvl w:ilvl="4">
      <w:start w:val="0"/>
      <w:numFmt w:val="bullet"/>
      <w:lvlText w:val="•"/>
      <w:lvlJc w:val="left"/>
      <w:pPr>
        <w:ind w:left="5473" w:hanging="795"/>
      </w:pPr>
      <w:rPr>
        <w:rFonts w:hint="default"/>
      </w:rPr>
    </w:lvl>
    <w:lvl w:ilvl="5">
      <w:start w:val="0"/>
      <w:numFmt w:val="bullet"/>
      <w:lvlText w:val="•"/>
      <w:lvlJc w:val="left"/>
      <w:pPr>
        <w:ind w:left="6222" w:hanging="795"/>
      </w:pPr>
      <w:rPr>
        <w:rFonts w:hint="default"/>
      </w:rPr>
    </w:lvl>
    <w:lvl w:ilvl="6">
      <w:start w:val="0"/>
      <w:numFmt w:val="bullet"/>
      <w:lvlText w:val="•"/>
      <w:lvlJc w:val="left"/>
      <w:pPr>
        <w:ind w:left="6970" w:hanging="795"/>
      </w:pPr>
      <w:rPr>
        <w:rFonts w:hint="default"/>
      </w:rPr>
    </w:lvl>
    <w:lvl w:ilvl="7">
      <w:start w:val="0"/>
      <w:numFmt w:val="bullet"/>
      <w:lvlText w:val="•"/>
      <w:lvlJc w:val="left"/>
      <w:pPr>
        <w:ind w:left="7719" w:hanging="795"/>
      </w:pPr>
      <w:rPr>
        <w:rFonts w:hint="default"/>
      </w:rPr>
    </w:lvl>
    <w:lvl w:ilvl="8">
      <w:start w:val="0"/>
      <w:numFmt w:val="bullet"/>
      <w:lvlText w:val="•"/>
      <w:lvlJc w:val="left"/>
      <w:pPr>
        <w:ind w:left="8467" w:hanging="795"/>
      </w:pPr>
      <w:rPr>
        <w:rFonts w:hint="default"/>
      </w:rPr>
    </w:lvl>
  </w:abstractNum>
  <w:abstractNum w:abstractNumId="4">
    <w:multiLevelType w:val="hybridMultilevel"/>
    <w:lvl w:ilvl="0">
      <w:start w:val="4"/>
      <w:numFmt w:val="decimal"/>
      <w:lvlText w:val="%1."/>
      <w:lvlJc w:val="left"/>
      <w:pPr>
        <w:ind w:left="1008" w:hanging="795"/>
        <w:jc w:val="left"/>
      </w:pPr>
      <w:rPr>
        <w:rFonts w:hint="default" w:ascii="Times New Roman" w:hAnsi="Times New Roman" w:eastAsia="Times New Roman" w:cs="Times New Roman"/>
        <w:b/>
        <w:bCs/>
        <w:w w:val="99"/>
        <w:sz w:val="24"/>
        <w:szCs w:val="24"/>
      </w:rPr>
    </w:lvl>
    <w:lvl w:ilvl="1">
      <w:start w:val="1"/>
      <w:numFmt w:val="decimal"/>
      <w:lvlText w:val="%1.%2"/>
      <w:lvlJc w:val="left"/>
      <w:pPr>
        <w:ind w:left="2538" w:hanging="795"/>
        <w:jc w:val="left"/>
      </w:pPr>
      <w:rPr>
        <w:rFonts w:hint="default" w:ascii="Times New Roman" w:hAnsi="Times New Roman" w:eastAsia="Times New Roman" w:cs="Times New Roman"/>
        <w:b/>
        <w:bCs/>
        <w:w w:val="99"/>
        <w:sz w:val="21"/>
        <w:szCs w:val="21"/>
      </w:rPr>
    </w:lvl>
    <w:lvl w:ilvl="2">
      <w:start w:val="0"/>
      <w:numFmt w:val="bullet"/>
      <w:lvlText w:val="•"/>
      <w:lvlJc w:val="left"/>
      <w:pPr>
        <w:ind w:left="2510" w:hanging="795"/>
      </w:pPr>
      <w:rPr>
        <w:rFonts w:hint="default"/>
      </w:rPr>
    </w:lvl>
    <w:lvl w:ilvl="3">
      <w:start w:val="0"/>
      <w:numFmt w:val="bullet"/>
      <w:lvlText w:val="•"/>
      <w:lvlJc w:val="left"/>
      <w:pPr>
        <w:ind w:left="2480" w:hanging="795"/>
      </w:pPr>
      <w:rPr>
        <w:rFonts w:hint="default"/>
      </w:rPr>
    </w:lvl>
    <w:lvl w:ilvl="4">
      <w:start w:val="0"/>
      <w:numFmt w:val="bullet"/>
      <w:lvlText w:val="•"/>
      <w:lvlJc w:val="left"/>
      <w:pPr>
        <w:ind w:left="2450" w:hanging="795"/>
      </w:pPr>
      <w:rPr>
        <w:rFonts w:hint="default"/>
      </w:rPr>
    </w:lvl>
    <w:lvl w:ilvl="5">
      <w:start w:val="0"/>
      <w:numFmt w:val="bullet"/>
      <w:lvlText w:val="•"/>
      <w:lvlJc w:val="left"/>
      <w:pPr>
        <w:ind w:left="2420" w:hanging="795"/>
      </w:pPr>
      <w:rPr>
        <w:rFonts w:hint="default"/>
      </w:rPr>
    </w:lvl>
    <w:lvl w:ilvl="6">
      <w:start w:val="0"/>
      <w:numFmt w:val="bullet"/>
      <w:lvlText w:val="•"/>
      <w:lvlJc w:val="left"/>
      <w:pPr>
        <w:ind w:left="2391" w:hanging="795"/>
      </w:pPr>
      <w:rPr>
        <w:rFonts w:hint="default"/>
      </w:rPr>
    </w:lvl>
    <w:lvl w:ilvl="7">
      <w:start w:val="0"/>
      <w:numFmt w:val="bullet"/>
      <w:lvlText w:val="•"/>
      <w:lvlJc w:val="left"/>
      <w:pPr>
        <w:ind w:left="2361" w:hanging="795"/>
      </w:pPr>
      <w:rPr>
        <w:rFonts w:hint="default"/>
      </w:rPr>
    </w:lvl>
    <w:lvl w:ilvl="8">
      <w:start w:val="0"/>
      <w:numFmt w:val="bullet"/>
      <w:lvlText w:val="•"/>
      <w:lvlJc w:val="left"/>
      <w:pPr>
        <w:ind w:left="2331" w:hanging="795"/>
      </w:pPr>
      <w:rPr>
        <w:rFonts w:hint="default"/>
      </w:rPr>
    </w:lvl>
  </w:abstractNum>
  <w:abstractNum w:abstractNumId="3">
    <w:multiLevelType w:val="hybridMultilevel"/>
    <w:lvl w:ilvl="0">
      <w:start w:val="3"/>
      <w:numFmt w:val="decimal"/>
      <w:lvlText w:val="%1"/>
      <w:lvlJc w:val="left"/>
      <w:pPr>
        <w:ind w:left="2538" w:hanging="795"/>
        <w:jc w:val="left"/>
      </w:pPr>
      <w:rPr>
        <w:rFonts w:hint="default"/>
      </w:rPr>
    </w:lvl>
    <w:lvl w:ilvl="1">
      <w:start w:val="3"/>
      <w:numFmt w:val="decimal"/>
      <w:lvlText w:val="%1.%2"/>
      <w:lvlJc w:val="left"/>
      <w:pPr>
        <w:ind w:left="2538" w:hanging="795"/>
        <w:jc w:val="left"/>
      </w:pPr>
      <w:rPr>
        <w:rFonts w:hint="default" w:ascii="Times New Roman" w:hAnsi="Times New Roman" w:eastAsia="Times New Roman" w:cs="Times New Roman"/>
        <w:b/>
        <w:bCs/>
        <w:w w:val="99"/>
        <w:sz w:val="21"/>
        <w:szCs w:val="21"/>
      </w:rPr>
    </w:lvl>
    <w:lvl w:ilvl="2">
      <w:start w:val="0"/>
      <w:numFmt w:val="bullet"/>
      <w:lvlText w:val="•"/>
      <w:lvlJc w:val="left"/>
      <w:pPr>
        <w:ind w:left="4028" w:hanging="795"/>
      </w:pPr>
      <w:rPr>
        <w:rFonts w:hint="default"/>
      </w:rPr>
    </w:lvl>
    <w:lvl w:ilvl="3">
      <w:start w:val="0"/>
      <w:numFmt w:val="bullet"/>
      <w:lvlText w:val="•"/>
      <w:lvlJc w:val="left"/>
      <w:pPr>
        <w:ind w:left="4773" w:hanging="795"/>
      </w:pPr>
      <w:rPr>
        <w:rFonts w:hint="default"/>
      </w:rPr>
    </w:lvl>
    <w:lvl w:ilvl="4">
      <w:start w:val="0"/>
      <w:numFmt w:val="bullet"/>
      <w:lvlText w:val="•"/>
      <w:lvlJc w:val="left"/>
      <w:pPr>
        <w:ind w:left="5517" w:hanging="795"/>
      </w:pPr>
      <w:rPr>
        <w:rFonts w:hint="default"/>
      </w:rPr>
    </w:lvl>
    <w:lvl w:ilvl="5">
      <w:start w:val="0"/>
      <w:numFmt w:val="bullet"/>
      <w:lvlText w:val="•"/>
      <w:lvlJc w:val="left"/>
      <w:pPr>
        <w:ind w:left="6262" w:hanging="795"/>
      </w:pPr>
      <w:rPr>
        <w:rFonts w:hint="default"/>
      </w:rPr>
    </w:lvl>
    <w:lvl w:ilvl="6">
      <w:start w:val="0"/>
      <w:numFmt w:val="bullet"/>
      <w:lvlText w:val="•"/>
      <w:lvlJc w:val="left"/>
      <w:pPr>
        <w:ind w:left="7006" w:hanging="795"/>
      </w:pPr>
      <w:rPr>
        <w:rFonts w:hint="default"/>
      </w:rPr>
    </w:lvl>
    <w:lvl w:ilvl="7">
      <w:start w:val="0"/>
      <w:numFmt w:val="bullet"/>
      <w:lvlText w:val="•"/>
      <w:lvlJc w:val="left"/>
      <w:pPr>
        <w:ind w:left="7751" w:hanging="795"/>
      </w:pPr>
      <w:rPr>
        <w:rFonts w:hint="default"/>
      </w:rPr>
    </w:lvl>
    <w:lvl w:ilvl="8">
      <w:start w:val="0"/>
      <w:numFmt w:val="bullet"/>
      <w:lvlText w:val="•"/>
      <w:lvlJc w:val="left"/>
      <w:pPr>
        <w:ind w:left="8495" w:hanging="795"/>
      </w:pPr>
      <w:rPr>
        <w:rFonts w:hint="default"/>
      </w:rPr>
    </w:lvl>
  </w:abstractNum>
  <w:abstractNum w:abstractNumId="2">
    <w:multiLevelType w:val="hybridMultilevel"/>
    <w:lvl w:ilvl="0">
      <w:start w:val="1"/>
      <w:numFmt w:val="decimal"/>
      <w:lvlText w:val="%1."/>
      <w:lvlJc w:val="left"/>
      <w:pPr>
        <w:ind w:left="1008" w:hanging="795"/>
        <w:jc w:val="left"/>
      </w:pPr>
      <w:rPr>
        <w:rFonts w:hint="default" w:ascii="Times New Roman" w:hAnsi="Times New Roman" w:eastAsia="Times New Roman" w:cs="Times New Roman"/>
        <w:b/>
        <w:bCs/>
        <w:w w:val="99"/>
        <w:sz w:val="24"/>
        <w:szCs w:val="24"/>
      </w:rPr>
    </w:lvl>
    <w:lvl w:ilvl="1">
      <w:start w:val="1"/>
      <w:numFmt w:val="decimal"/>
      <w:lvlText w:val="%1.%2"/>
      <w:lvlJc w:val="left"/>
      <w:pPr>
        <w:ind w:left="2538" w:hanging="795"/>
        <w:jc w:val="left"/>
      </w:pPr>
      <w:rPr>
        <w:rFonts w:hint="default" w:ascii="Times New Roman" w:hAnsi="Times New Roman" w:eastAsia="Times New Roman" w:cs="Times New Roman"/>
        <w:b/>
        <w:bCs/>
        <w:spacing w:val="-53"/>
        <w:w w:val="99"/>
        <w:sz w:val="21"/>
        <w:szCs w:val="21"/>
      </w:rPr>
    </w:lvl>
    <w:lvl w:ilvl="2">
      <w:start w:val="0"/>
      <w:numFmt w:val="bullet"/>
      <w:lvlText w:val="•"/>
      <w:lvlJc w:val="left"/>
      <w:pPr>
        <w:ind w:left="3367" w:hanging="795"/>
      </w:pPr>
      <w:rPr>
        <w:rFonts w:hint="default"/>
      </w:rPr>
    </w:lvl>
    <w:lvl w:ilvl="3">
      <w:start w:val="0"/>
      <w:numFmt w:val="bullet"/>
      <w:lvlText w:val="•"/>
      <w:lvlJc w:val="left"/>
      <w:pPr>
        <w:ind w:left="4194" w:hanging="795"/>
      </w:pPr>
      <w:rPr>
        <w:rFonts w:hint="default"/>
      </w:rPr>
    </w:lvl>
    <w:lvl w:ilvl="4">
      <w:start w:val="0"/>
      <w:numFmt w:val="bullet"/>
      <w:lvlText w:val="•"/>
      <w:lvlJc w:val="left"/>
      <w:pPr>
        <w:ind w:left="5021" w:hanging="795"/>
      </w:pPr>
      <w:rPr>
        <w:rFonts w:hint="default"/>
      </w:rPr>
    </w:lvl>
    <w:lvl w:ilvl="5">
      <w:start w:val="0"/>
      <w:numFmt w:val="bullet"/>
      <w:lvlText w:val="•"/>
      <w:lvlJc w:val="left"/>
      <w:pPr>
        <w:ind w:left="5848" w:hanging="795"/>
      </w:pPr>
      <w:rPr>
        <w:rFonts w:hint="default"/>
      </w:rPr>
    </w:lvl>
    <w:lvl w:ilvl="6">
      <w:start w:val="0"/>
      <w:numFmt w:val="bullet"/>
      <w:lvlText w:val="•"/>
      <w:lvlJc w:val="left"/>
      <w:pPr>
        <w:ind w:left="6675" w:hanging="795"/>
      </w:pPr>
      <w:rPr>
        <w:rFonts w:hint="default"/>
      </w:rPr>
    </w:lvl>
    <w:lvl w:ilvl="7">
      <w:start w:val="0"/>
      <w:numFmt w:val="bullet"/>
      <w:lvlText w:val="•"/>
      <w:lvlJc w:val="left"/>
      <w:pPr>
        <w:ind w:left="7502" w:hanging="795"/>
      </w:pPr>
      <w:rPr>
        <w:rFonts w:hint="default"/>
      </w:rPr>
    </w:lvl>
    <w:lvl w:ilvl="8">
      <w:start w:val="0"/>
      <w:numFmt w:val="bullet"/>
      <w:lvlText w:val="•"/>
      <w:lvlJc w:val="left"/>
      <w:pPr>
        <w:ind w:left="8330" w:hanging="795"/>
      </w:pPr>
      <w:rPr>
        <w:rFonts w:hint="default"/>
      </w:rPr>
    </w:lvl>
  </w:abstractNum>
  <w:abstractNum w:abstractNumId="1">
    <w:multiLevelType w:val="hybridMultilevel"/>
    <w:lvl w:ilvl="0">
      <w:start w:val="5"/>
      <w:numFmt w:val="decimal"/>
      <w:lvlText w:val="%1."/>
      <w:lvlJc w:val="left"/>
      <w:pPr>
        <w:ind w:left="648"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58"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860" w:hanging="369"/>
      </w:pPr>
      <w:rPr>
        <w:rFonts w:hint="default"/>
      </w:rPr>
    </w:lvl>
    <w:lvl w:ilvl="3">
      <w:start w:val="0"/>
      <w:numFmt w:val="bullet"/>
      <w:lvlText w:val="•"/>
      <w:lvlJc w:val="left"/>
      <w:pPr>
        <w:ind w:left="1320" w:hanging="369"/>
      </w:pPr>
      <w:rPr>
        <w:rFonts w:hint="default"/>
      </w:rPr>
    </w:lvl>
    <w:lvl w:ilvl="4">
      <w:start w:val="0"/>
      <w:numFmt w:val="bullet"/>
      <w:lvlText w:val="•"/>
      <w:lvlJc w:val="left"/>
      <w:pPr>
        <w:ind w:left="1781" w:hanging="369"/>
      </w:pPr>
      <w:rPr>
        <w:rFonts w:hint="default"/>
      </w:rPr>
    </w:lvl>
    <w:lvl w:ilvl="5">
      <w:start w:val="0"/>
      <w:numFmt w:val="bullet"/>
      <w:lvlText w:val="•"/>
      <w:lvlJc w:val="left"/>
      <w:pPr>
        <w:ind w:left="2242" w:hanging="369"/>
      </w:pPr>
      <w:rPr>
        <w:rFonts w:hint="default"/>
      </w:rPr>
    </w:lvl>
    <w:lvl w:ilvl="6">
      <w:start w:val="0"/>
      <w:numFmt w:val="bullet"/>
      <w:lvlText w:val="•"/>
      <w:lvlJc w:val="left"/>
      <w:pPr>
        <w:ind w:left="2703" w:hanging="369"/>
      </w:pPr>
      <w:rPr>
        <w:rFonts w:hint="default"/>
      </w:rPr>
    </w:lvl>
    <w:lvl w:ilvl="7">
      <w:start w:val="0"/>
      <w:numFmt w:val="bullet"/>
      <w:lvlText w:val="•"/>
      <w:lvlJc w:val="left"/>
      <w:pPr>
        <w:ind w:left="3164" w:hanging="369"/>
      </w:pPr>
      <w:rPr>
        <w:rFonts w:hint="default"/>
      </w:rPr>
    </w:lvl>
    <w:lvl w:ilvl="8">
      <w:start w:val="0"/>
      <w:numFmt w:val="bullet"/>
      <w:lvlText w:val="•"/>
      <w:lvlJc w:val="left"/>
      <w:pPr>
        <w:ind w:left="3625" w:hanging="369"/>
      </w:pPr>
      <w:rPr>
        <w:rFonts w:hint="default"/>
      </w:rPr>
    </w:lvl>
  </w:abstractNum>
  <w:abstractNum w:abstractNumId="0">
    <w:multiLevelType w:val="hybridMultilevel"/>
    <w:lvl w:ilvl="0">
      <w:start w:val="1"/>
      <w:numFmt w:val="decimal"/>
      <w:lvlText w:val="%1."/>
      <w:lvlJc w:val="left"/>
      <w:pPr>
        <w:ind w:left="647"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57"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047" w:hanging="369"/>
      </w:pPr>
      <w:rPr>
        <w:rFonts w:hint="default"/>
      </w:rPr>
    </w:lvl>
    <w:lvl w:ilvl="3">
      <w:start w:val="0"/>
      <w:numFmt w:val="bullet"/>
      <w:lvlText w:val="•"/>
      <w:lvlJc w:val="left"/>
      <w:pPr>
        <w:ind w:left="1234" w:hanging="369"/>
      </w:pPr>
      <w:rPr>
        <w:rFonts w:hint="default"/>
      </w:rPr>
    </w:lvl>
    <w:lvl w:ilvl="4">
      <w:start w:val="0"/>
      <w:numFmt w:val="bullet"/>
      <w:lvlText w:val="•"/>
      <w:lvlJc w:val="left"/>
      <w:pPr>
        <w:ind w:left="1421" w:hanging="369"/>
      </w:pPr>
      <w:rPr>
        <w:rFonts w:hint="default"/>
      </w:rPr>
    </w:lvl>
    <w:lvl w:ilvl="5">
      <w:start w:val="0"/>
      <w:numFmt w:val="bullet"/>
      <w:lvlText w:val="•"/>
      <w:lvlJc w:val="left"/>
      <w:pPr>
        <w:ind w:left="1608" w:hanging="369"/>
      </w:pPr>
      <w:rPr>
        <w:rFonts w:hint="default"/>
      </w:rPr>
    </w:lvl>
    <w:lvl w:ilvl="6">
      <w:start w:val="0"/>
      <w:numFmt w:val="bullet"/>
      <w:lvlText w:val="•"/>
      <w:lvlJc w:val="left"/>
      <w:pPr>
        <w:ind w:left="1795" w:hanging="369"/>
      </w:pPr>
      <w:rPr>
        <w:rFonts w:hint="default"/>
      </w:rPr>
    </w:lvl>
    <w:lvl w:ilvl="7">
      <w:start w:val="0"/>
      <w:numFmt w:val="bullet"/>
      <w:lvlText w:val="•"/>
      <w:lvlJc w:val="left"/>
      <w:pPr>
        <w:ind w:left="1982" w:hanging="369"/>
      </w:pPr>
      <w:rPr>
        <w:rFonts w:hint="default"/>
      </w:rPr>
    </w:lvl>
    <w:lvl w:ilvl="8">
      <w:start w:val="0"/>
      <w:numFmt w:val="bullet"/>
      <w:lvlText w:val="•"/>
      <w:lvlJc w:val="left"/>
      <w:pPr>
        <w:ind w:left="2169" w:hanging="36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90"/>
      <w:outlineLvl w:val="1"/>
    </w:pPr>
    <w:rPr>
      <w:rFonts w:ascii="微软雅黑" w:hAnsi="微软雅黑" w:eastAsia="微软雅黑" w:cs="微软雅黑"/>
      <w:b/>
      <w:bCs/>
      <w:sz w:val="32"/>
      <w:szCs w:val="32"/>
    </w:rPr>
  </w:style>
  <w:style w:styleId="Heading2" w:type="paragraph">
    <w:name w:val="Heading 2"/>
    <w:basedOn w:val="Normal"/>
    <w:uiPriority w:val="1"/>
    <w:qFormat/>
    <w:pPr>
      <w:jc w:val="center"/>
      <w:outlineLvl w:val="2"/>
    </w:pPr>
    <w:rPr>
      <w:rFonts w:ascii="微软雅黑" w:hAnsi="微软雅黑" w:eastAsia="微软雅黑" w:cs="微软雅黑"/>
      <w:b/>
      <w:bCs/>
      <w:sz w:val="28"/>
      <w:szCs w:val="28"/>
    </w:rPr>
  </w:style>
  <w:style w:styleId="Heading3" w:type="paragraph">
    <w:name w:val="Heading 3"/>
    <w:basedOn w:val="Normal"/>
    <w:uiPriority w:val="1"/>
    <w:qFormat/>
    <w:pPr>
      <w:ind w:left="1008" w:hanging="794"/>
      <w:outlineLvl w:val="3"/>
    </w:pPr>
    <w:rPr>
      <w:rFonts w:ascii="宋体" w:hAnsi="宋体" w:eastAsia="宋体" w:cs="宋体"/>
      <w:b/>
      <w:bCs/>
      <w:sz w:val="24"/>
      <w:szCs w:val="24"/>
    </w:rPr>
  </w:style>
  <w:style w:styleId="Heading4" w:type="paragraph">
    <w:name w:val="Heading 4"/>
    <w:basedOn w:val="Normal"/>
    <w:uiPriority w:val="1"/>
    <w:qFormat/>
    <w:pPr>
      <w:ind w:left="1008"/>
      <w:outlineLvl w:val="4"/>
    </w:pPr>
    <w:rPr>
      <w:rFonts w:ascii="宋体" w:hAnsi="宋体" w:eastAsia="宋体" w:cs="宋体"/>
      <w:b/>
      <w:bCs/>
      <w:sz w:val="21"/>
      <w:szCs w:val="21"/>
    </w:rPr>
  </w:style>
  <w:style w:styleId="ListParagraph" w:type="paragraph">
    <w:name w:val="List Paragraph"/>
    <w:basedOn w:val="Normal"/>
    <w:uiPriority w:val="1"/>
    <w:qFormat/>
    <w:pPr>
      <w:ind w:left="1008" w:hanging="79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&lt;4D6963726F736F667420576F7264202D2030322DD6D0BBAAE2F9C3C8C9D9B6F9D6D8B4F3BCB2B2A1B1A3CFD5CCF5BFEE332D31382E646F63&gt;</dc:title>
  <dcterms:created xsi:type="dcterms:W3CDTF">2018-10-20T04:12:37Z</dcterms:created>
  <dcterms:modified xsi:type="dcterms:W3CDTF">2018-10-20T04:12:37Z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2018-01-23T00:00:00Z</vt:filetime>
  </property>
  <property fmtid="{D5CDD505-2E9C-101B-9397-08002B2CF9AE}" pid="3" name="Creator">
    <vt:lpwstr>PScript5.dll Version 5.2.2</vt:lpwstr>
  </property>
  <property fmtid="{D5CDD505-2E9C-101B-9397-08002B2CF9AE}" pid="4" name="LastSaved">
    <vt:filetime>2018-10-19T00:00:00Z</vt:filetime>
  </property>
</Properties>
</file>