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315"/>
      </w:pPr>
      <w:r>
        <w:rPr/>
        <w:t>中宏守护星重大疾病保险条款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保险责任</w:t>
        </w:r>
      </w:hyperlink>
    </w:p>
    <w:p>
      <w:pPr>
        <w:spacing w:before="7"/>
        <w:ind w:left="620" w:right="0" w:firstLine="0"/>
        <w:jc w:val="both"/>
        <w:rPr>
          <w:sz w:val="21"/>
        </w:rPr>
      </w:pPr>
      <w:hyperlink w:history="true" w:anchor="_bookmark5">
        <w:r>
          <w:rPr>
            <w:sz w:val="21"/>
          </w:rPr>
          <w:t>第四条      当年度保险金额</w:t>
        </w:r>
      </w:hyperlink>
    </w:p>
    <w:p>
      <w:pPr>
        <w:spacing w:before="37"/>
        <w:ind w:left="620" w:right="0" w:firstLine="0"/>
        <w:jc w:val="both"/>
        <w:rPr>
          <w:sz w:val="21"/>
        </w:rPr>
      </w:pPr>
      <w:hyperlink w:history="true" w:anchor="_bookmark6">
        <w:r>
          <w:rPr>
            <w:sz w:val="21"/>
          </w:rPr>
          <w:t>第五条      责任免除</w:t>
        </w:r>
      </w:hyperlink>
    </w:p>
    <w:p>
      <w:pPr>
        <w:spacing w:before="37"/>
        <w:ind w:left="620" w:right="0" w:firstLine="0"/>
        <w:jc w:val="both"/>
        <w:rPr>
          <w:sz w:val="21"/>
        </w:rPr>
      </w:pPr>
      <w:hyperlink w:history="true" w:anchor="_bookmark7">
        <w:r>
          <w:rPr>
            <w:sz w:val="21"/>
          </w:rPr>
          <w:t>第六条      合同的成立与生效</w:t>
        </w:r>
      </w:hyperlink>
    </w:p>
    <w:p>
      <w:pPr>
        <w:spacing w:before="37"/>
        <w:ind w:left="620" w:right="0" w:firstLine="0"/>
        <w:jc w:val="both"/>
        <w:rPr>
          <w:sz w:val="21"/>
        </w:rPr>
      </w:pPr>
      <w:hyperlink w:history="true" w:anchor="_bookmark8">
        <w:r>
          <w:rPr>
            <w:sz w:val="21"/>
          </w:rPr>
          <w:t>第七条      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9">
        <w:r>
          <w:rPr>
            <w:b/>
            <w:sz w:val="21"/>
          </w:rPr>
          <w:t>第三部分</w:t>
          <w:tab/>
          <w:t>如何缴纳保险费 </w:t>
        </w:r>
      </w:hyperlink>
      <w:hyperlink w:history="true" w:anchor="_bookmark10">
        <w:r>
          <w:rPr>
            <w:sz w:val="21"/>
          </w:rPr>
          <w:t>第八条</w:t>
          <w:tab/>
          <w:t>保险费</w:t>
        </w:r>
      </w:hyperlink>
    </w:p>
    <w:p>
      <w:pPr>
        <w:tabs>
          <w:tab w:pos="1911" w:val="left" w:leader="none"/>
        </w:tabs>
        <w:spacing w:before="7"/>
        <w:ind w:left="620" w:right="0" w:firstLine="0"/>
        <w:jc w:val="left"/>
        <w:rPr>
          <w:sz w:val="21"/>
        </w:rPr>
      </w:pPr>
      <w:hyperlink w:history="true" w:anchor="_bookmark11">
        <w:r>
          <w:rPr>
            <w:sz w:val="21"/>
          </w:rPr>
          <w:t>第九条</w:t>
          <w:tab/>
          <w:t>宽限期</w:t>
        </w:r>
      </w:hyperlink>
    </w:p>
    <w:p>
      <w:pPr>
        <w:pStyle w:val="BodyText"/>
        <w:spacing w:before="8"/>
        <w:ind w:left="0"/>
        <w:rPr>
          <w:sz w:val="26"/>
        </w:rPr>
      </w:pPr>
    </w:p>
    <w:p>
      <w:pPr>
        <w:tabs>
          <w:tab w:pos="1887" w:val="left" w:leader="none"/>
        </w:tabs>
        <w:spacing w:line="273" w:lineRule="auto" w:before="1"/>
        <w:ind w:left="620" w:right="857" w:hanging="423"/>
        <w:jc w:val="left"/>
        <w:rPr>
          <w:sz w:val="21"/>
        </w:rPr>
      </w:pPr>
      <w:hyperlink w:history="true" w:anchor="_bookmark12">
        <w:r>
          <w:rPr>
            <w:b/>
            <w:sz w:val="21"/>
          </w:rPr>
          <w:t>第四部分</w:t>
          <w:tab/>
          <w:t>投保人还享有哪些</w:t>
        </w:r>
        <w:r>
          <w:rPr>
            <w:b/>
            <w:spacing w:val="-5"/>
            <w:sz w:val="21"/>
          </w:rPr>
          <w:t>权</w:t>
        </w:r>
        <w:r>
          <w:rPr>
            <w:b/>
            <w:sz w:val="21"/>
          </w:rPr>
          <w:t>益 </w:t>
        </w:r>
      </w:hyperlink>
      <w:hyperlink w:history="true" w:anchor="_bookmark13">
        <w:r>
          <w:rPr>
            <w:sz w:val="21"/>
          </w:rPr>
          <w:t>第十条</w:t>
          <w:tab/>
          <w:t>自动贷款</w:t>
        </w:r>
        <w:r>
          <w:rPr>
            <w:spacing w:val="-5"/>
            <w:sz w:val="21"/>
          </w:rPr>
          <w:t>垫</w:t>
        </w:r>
        <w:r>
          <w:rPr>
            <w:sz w:val="21"/>
          </w:rPr>
          <w:t>缴保险费</w:t>
        </w:r>
      </w:hyperlink>
      <w:hyperlink w:history="true" w:anchor="_bookmark14">
        <w:r>
          <w:rPr>
            <w:sz w:val="21"/>
          </w:rPr>
          <w:t>第十一条</w:t>
          <w:tab/>
          <w:t>合同效力</w:t>
        </w:r>
        <w:r>
          <w:rPr>
            <w:spacing w:val="-5"/>
            <w:sz w:val="21"/>
          </w:rPr>
          <w:t>恢</w:t>
        </w:r>
        <w:r>
          <w:rPr>
            <w:sz w:val="21"/>
          </w:rPr>
          <w:t>复</w:t>
        </w:r>
      </w:hyperlink>
    </w:p>
    <w:p>
      <w:pPr>
        <w:tabs>
          <w:tab w:pos="1911" w:val="left" w:leader="none"/>
        </w:tabs>
        <w:spacing w:line="273" w:lineRule="auto" w:before="8"/>
        <w:ind w:left="620" w:right="1466" w:firstLine="0"/>
        <w:jc w:val="left"/>
        <w:rPr>
          <w:sz w:val="21"/>
        </w:rPr>
      </w:pPr>
      <w:hyperlink w:history="true" w:anchor="_bookmark15">
        <w:r>
          <w:rPr>
            <w:sz w:val="21"/>
          </w:rPr>
          <w:t>第十二条</w:t>
          <w:tab/>
          <w:t>保险合同</w:t>
        </w:r>
        <w:r>
          <w:rPr>
            <w:spacing w:val="-5"/>
            <w:sz w:val="21"/>
          </w:rPr>
          <w:t>贷</w:t>
        </w:r>
        <w:r>
          <w:rPr>
            <w:sz w:val="21"/>
          </w:rPr>
          <w:t>款</w:t>
        </w:r>
      </w:hyperlink>
      <w:hyperlink w:history="true" w:anchor="_bookmark16">
        <w:r>
          <w:rPr>
            <w:sz w:val="21"/>
          </w:rPr>
          <w:t> 第十三条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1"/>
        <w:ind w:left="197" w:right="0" w:firstLine="0"/>
        <w:jc w:val="left"/>
        <w:rPr>
          <w:b/>
          <w:sz w:val="21"/>
        </w:rPr>
      </w:pPr>
      <w:hyperlink w:history="true" w:anchor="_bookmark17">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18">
        <w:r>
          <w:rPr>
            <w:sz w:val="21"/>
          </w:rPr>
          <w:t>第十四条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19">
        <w:r>
          <w:rPr>
            <w:sz w:val="21"/>
          </w:rPr>
          <w:t>第十五条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0">
        <w:r>
          <w:rPr>
            <w:sz w:val="21"/>
          </w:rPr>
          <w:t>第十六条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1"/>
        <w:ind w:left="620" w:right="645" w:hanging="423"/>
        <w:jc w:val="left"/>
        <w:rPr>
          <w:sz w:val="21"/>
        </w:rPr>
      </w:pPr>
      <w:hyperlink w:history="true" w:anchor="_bookmark21">
        <w:r>
          <w:rPr>
            <w:b/>
            <w:sz w:val="21"/>
          </w:rPr>
          <w:t>第六部分</w:t>
          <w:tab/>
          <w:t>其他应当了解的重</w:t>
        </w:r>
        <w:r>
          <w:rPr>
            <w:b/>
            <w:spacing w:val="-5"/>
            <w:sz w:val="21"/>
          </w:rPr>
          <w:t>要</w:t>
        </w:r>
        <w:r>
          <w:rPr>
            <w:b/>
            <w:sz w:val="21"/>
          </w:rPr>
          <w:t>事项 </w:t>
        </w:r>
      </w:hyperlink>
      <w:hyperlink w:history="true" w:anchor="_bookmark22">
        <w:r>
          <w:rPr>
            <w:sz w:val="21"/>
          </w:rPr>
          <w:t>第十七条</w:t>
          <w:tab/>
          <w:t>明确说明</w:t>
        </w:r>
        <w:r>
          <w:rPr>
            <w:spacing w:val="-5"/>
            <w:sz w:val="21"/>
          </w:rPr>
          <w:t>与</w:t>
        </w:r>
        <w:r>
          <w:rPr>
            <w:sz w:val="21"/>
          </w:rPr>
          <w:t>如实告知</w:t>
        </w:r>
      </w:hyperlink>
    </w:p>
    <w:p>
      <w:pPr>
        <w:spacing w:line="273" w:lineRule="auto" w:before="8"/>
        <w:ind w:left="620" w:right="1677" w:firstLine="0"/>
        <w:jc w:val="both"/>
        <w:rPr>
          <w:sz w:val="21"/>
        </w:rPr>
      </w:pPr>
      <w:hyperlink w:history="true" w:anchor="_bookmark23">
        <w:r>
          <w:rPr>
            <w:sz w:val="21"/>
          </w:rPr>
          <w:t>第十八条   年龄性别错误</w:t>
        </w:r>
      </w:hyperlink>
      <w:hyperlink w:history="true" w:anchor="_bookmark24">
        <w:r>
          <w:rPr>
            <w:sz w:val="21"/>
          </w:rPr>
          <w:t>第十九条   联系地址变更</w:t>
        </w:r>
      </w:hyperlink>
      <w:hyperlink w:history="true" w:anchor="_bookmark25">
        <w:r>
          <w:rPr>
            <w:sz w:val="21"/>
          </w:rPr>
          <w:t>第二十条    未还款项</w:t>
        </w:r>
      </w:hyperlink>
    </w:p>
    <w:p>
      <w:pPr>
        <w:tabs>
          <w:tab w:pos="1911" w:val="left" w:leader="none"/>
        </w:tabs>
        <w:spacing w:line="273" w:lineRule="auto" w:before="8"/>
        <w:ind w:left="620" w:right="1466" w:firstLine="0"/>
        <w:jc w:val="left"/>
        <w:rPr>
          <w:sz w:val="21"/>
        </w:rPr>
      </w:pPr>
      <w:hyperlink w:history="true" w:anchor="_bookmark26">
        <w:r>
          <w:rPr>
            <w:sz w:val="21"/>
          </w:rPr>
          <w:t>第二十一条</w:t>
          <w:tab/>
          <w:t>货币及适</w:t>
        </w:r>
        <w:r>
          <w:rPr>
            <w:spacing w:val="-5"/>
            <w:sz w:val="21"/>
          </w:rPr>
          <w:t>用</w:t>
        </w:r>
        <w:r>
          <w:rPr>
            <w:sz w:val="21"/>
          </w:rPr>
          <w:t>法律 </w:t>
        </w:r>
      </w:hyperlink>
      <w:hyperlink w:history="true" w:anchor="_bookmark27">
        <w:r>
          <w:rPr>
            <w:sz w:val="21"/>
          </w:rPr>
          <w:t>第二十二条</w:t>
          <w:tab/>
          <w:t>争议处理</w:t>
        </w:r>
      </w:hyperlink>
    </w:p>
    <w:p>
      <w:pPr>
        <w:spacing w:line="273" w:lineRule="auto" w:before="8"/>
        <w:ind w:left="620" w:right="1677" w:firstLine="0"/>
        <w:jc w:val="both"/>
        <w:rPr>
          <w:sz w:val="21"/>
        </w:rPr>
      </w:pPr>
      <w:hyperlink w:history="true" w:anchor="_bookmark28">
        <w:r>
          <w:rPr>
            <w:sz w:val="21"/>
          </w:rPr>
          <w:t>第二十三条 重大疾病释义</w:t>
        </w:r>
      </w:hyperlink>
      <w:hyperlink w:history="true" w:anchor="_bookmark29">
        <w:r>
          <w:rPr>
            <w:sz w:val="21"/>
          </w:rPr>
          <w:t>第二十四条 轻症疾病释义</w:t>
        </w:r>
      </w:hyperlink>
      <w:hyperlink w:history="true" w:anchor="_bookmark30">
        <w:r>
          <w:rPr>
            <w:sz w:val="21"/>
          </w:rPr>
          <w:t>第二十五条  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中宏人寿[2017]疾病保险 013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6"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218" w:firstLine="441"/>
        <w:jc w:val="both"/>
      </w:pPr>
      <w:r>
        <w:rPr>
          <w:spacing w:val="-2"/>
        </w:rPr>
        <w:t>保险合同由基本保险合同</w:t>
      </w:r>
      <w:r>
        <w:rPr/>
        <w:t>（</w:t>
      </w:r>
      <w:r>
        <w:rPr>
          <w:spacing w:val="-4"/>
        </w:rPr>
        <w:t>以下简称“本合同</w:t>
      </w:r>
      <w:r>
        <w:rPr>
          <w:spacing w:val="-10"/>
        </w:rPr>
        <w:t>”）</w:t>
      </w:r>
      <w:r>
        <w:rPr>
          <w:spacing w:val="-2"/>
        </w:rPr>
        <w:t>及附加保险合同</w:t>
      </w:r>
      <w:r>
        <w:rPr/>
        <w:t>（</w:t>
      </w:r>
      <w:r>
        <w:rPr>
          <w:spacing w:val="-3"/>
        </w:rPr>
        <w:t>若有</w:t>
      </w:r>
      <w:r>
        <w:rPr>
          <w:spacing w:val="-5"/>
        </w:rPr>
        <w:t>）</w:t>
      </w:r>
      <w:r>
        <w:rPr>
          <w:spacing w:val="-4"/>
        </w:rPr>
        <w:t>构成，其组成文件如下：</w:t>
      </w:r>
    </w:p>
    <w:p>
      <w:pPr>
        <w:pStyle w:val="BodyText"/>
        <w:spacing w:line="259" w:lineRule="auto" w:before="3"/>
        <w:ind w:right="6325"/>
      </w:pPr>
      <w:r>
        <w:rPr/>
        <w:t>一、保险单或其他保险凭证； 二、条款；</w:t>
      </w:r>
    </w:p>
    <w:p>
      <w:pPr>
        <w:pStyle w:val="BodyText"/>
        <w:spacing w:line="259" w:lineRule="auto"/>
        <w:ind w:left="108" w:right="164" w:firstLine="441"/>
        <w:jc w:val="both"/>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保险责任</w:t>
      </w:r>
    </w:p>
    <w:p>
      <w:pPr>
        <w:pStyle w:val="BodyText"/>
        <w:spacing w:line="261" w:lineRule="auto" w:before="24"/>
        <w:ind w:right="4347"/>
      </w:pPr>
      <w:r>
        <w:rPr/>
        <w:t>在本合同有效期内，本公司将承担下列保险责任： 一、重大疾病保险金</w:t>
      </w:r>
    </w:p>
    <w:p>
      <w:pPr>
        <w:spacing w:before="4"/>
        <w:ind w:left="550" w:right="0" w:firstLine="0"/>
        <w:jc w:val="left"/>
        <w:rPr>
          <w:sz w:val="11"/>
        </w:rPr>
      </w:pPr>
      <w:r>
        <w:rPr>
          <w:sz w:val="22"/>
        </w:rPr>
        <w:t>若被保险人在</w:t>
      </w:r>
      <w:r>
        <w:rPr>
          <w:b/>
          <w:sz w:val="22"/>
        </w:rPr>
        <w:t>等待期</w:t>
      </w:r>
      <w:r>
        <w:rPr>
          <w:position w:val="11"/>
          <w:sz w:val="11"/>
        </w:rPr>
        <w:t>【术语释义二】</w:t>
      </w:r>
      <w:r>
        <w:rPr>
          <w:sz w:val="22"/>
        </w:rPr>
        <w:t>内因疾病经医院</w:t>
      </w:r>
      <w:r>
        <w:rPr>
          <w:position w:val="11"/>
          <w:sz w:val="11"/>
        </w:rPr>
        <w:t>【术语释义三】</w:t>
      </w:r>
      <w:r>
        <w:rPr>
          <w:sz w:val="22"/>
        </w:rPr>
        <w:t>确诊首次出现本合同约定的重大疾病</w:t>
      </w:r>
      <w:r>
        <w:rPr>
          <w:position w:val="11"/>
          <w:sz w:val="11"/>
        </w:rPr>
        <w:t>【重大疾</w:t>
      </w:r>
    </w:p>
    <w:p>
      <w:pPr>
        <w:pStyle w:val="BodyText"/>
        <w:spacing w:before="23"/>
        <w:ind w:left="108"/>
      </w:pPr>
      <w:r>
        <w:rPr>
          <w:position w:val="11"/>
          <w:sz w:val="11"/>
        </w:rPr>
        <w:t>病释义】</w:t>
      </w:r>
      <w:r>
        <w:rPr/>
        <w:t>，本公司将按照该重大疾病确诊时本合同和中宏附加守护星两全保险合同所有累计已缴保险费</w:t>
      </w:r>
    </w:p>
    <w:p>
      <w:pPr>
        <w:pStyle w:val="BodyText"/>
        <w:spacing w:before="23"/>
        <w:ind w:left="108"/>
      </w:pPr>
      <w:r>
        <w:rPr/>
        <w:t>给付重大疾病保险金，本合同随之终止。</w:t>
      </w:r>
    </w:p>
    <w:p>
      <w:pPr>
        <w:pStyle w:val="BodyText"/>
        <w:spacing w:line="259" w:lineRule="auto" w:before="23"/>
        <w:ind w:left="108" w:right="216" w:firstLine="441"/>
        <w:jc w:val="both"/>
      </w:pPr>
      <w:r>
        <w:rPr/>
        <w:t>若被保险人因意外伤害事故</w:t>
      </w:r>
      <w:r>
        <w:rPr>
          <w:position w:val="11"/>
          <w:sz w:val="11"/>
        </w:rPr>
        <w:t>【术语释义四】</w:t>
      </w:r>
      <w:r>
        <w:rPr/>
        <w:t>或在</w:t>
      </w:r>
      <w:r>
        <w:rPr>
          <w:b/>
          <w:spacing w:val="2"/>
        </w:rPr>
        <w:t>等待期</w:t>
      </w:r>
      <w:r>
        <w:rPr>
          <w:spacing w:val="-2"/>
        </w:rPr>
        <w:t>后因疾病经医院确诊首次出现本合同约定的重</w:t>
      </w:r>
      <w:r>
        <w:rPr>
          <w:spacing w:val="-7"/>
        </w:rPr>
        <w:t>大疾病，本公司将按照该重大疾病确诊时本合同的当年度保险金额给付重大疾病保险金，本合同随之终止。</w:t>
      </w:r>
    </w:p>
    <w:p>
      <w:pPr>
        <w:pStyle w:val="BodyText"/>
        <w:spacing w:before="5"/>
      </w:pPr>
      <w:r>
        <w:rPr/>
        <w:t>二、特定重大疾病保险金</w:t>
      </w:r>
    </w:p>
    <w:p>
      <w:pPr>
        <w:pStyle w:val="BodyText"/>
        <w:spacing w:line="259" w:lineRule="auto" w:before="23"/>
        <w:ind w:left="108" w:right="212" w:firstLine="441"/>
        <w:jc w:val="both"/>
      </w:pPr>
      <w:r>
        <w:rPr>
          <w:spacing w:val="-1"/>
        </w:rPr>
        <w:t>若被保险人在</w:t>
      </w:r>
      <w:r>
        <w:rPr>
          <w:b/>
          <w:spacing w:val="0"/>
        </w:rPr>
        <w:t>等待期</w:t>
      </w:r>
      <w:r>
        <w:rPr>
          <w:spacing w:val="-6"/>
        </w:rPr>
        <w:t>后经医院确诊首次出现本合同约定的肺部恶性肿瘤</w:t>
      </w:r>
      <w:r>
        <w:rPr>
          <w:spacing w:val="-9"/>
          <w:position w:val="11"/>
          <w:sz w:val="11"/>
        </w:rPr>
        <w:t>【术语释义五】</w:t>
      </w:r>
      <w:r>
        <w:rPr>
          <w:spacing w:val="-13"/>
        </w:rPr>
        <w:t>，除上述重大疾</w:t>
      </w:r>
      <w:r>
        <w:rPr>
          <w:spacing w:val="-11"/>
        </w:rPr>
        <w:t>病保险金外，本公司将按照该肺部恶性肿瘤确诊时本合同的当年度保险金额的 </w:t>
      </w:r>
      <w:r>
        <w:rPr/>
        <w:t>20</w:t>
      </w:r>
      <w:r>
        <w:rPr>
          <w:spacing w:val="-1"/>
        </w:rPr>
        <w:t>%给付特定重大疾</w:t>
      </w:r>
      <w:r>
        <w:rPr>
          <w:spacing w:val="-2"/>
        </w:rPr>
        <w:t>病保险金，本项保险责任终止。</w:t>
      </w:r>
    </w:p>
    <w:p>
      <w:pPr>
        <w:pStyle w:val="BodyText"/>
      </w:pPr>
      <w:r>
        <w:rPr/>
        <w:t>三、轻症疾病保险金</w:t>
      </w:r>
    </w:p>
    <w:p>
      <w:pPr>
        <w:pStyle w:val="BodyText"/>
        <w:spacing w:line="259" w:lineRule="auto" w:before="23"/>
        <w:ind w:left="108" w:right="212" w:firstLine="441"/>
        <w:jc w:val="both"/>
      </w:pPr>
      <w:r>
        <w:rPr>
          <w:spacing w:val="-2"/>
        </w:rPr>
        <w:t>若被保险人因意外伤害事故或在</w:t>
      </w:r>
      <w:r>
        <w:rPr>
          <w:b/>
        </w:rPr>
        <w:t>等待期</w:t>
      </w:r>
      <w:r>
        <w:rPr>
          <w:spacing w:val="-6"/>
        </w:rPr>
        <w:t>后因疾病经医院确诊首次出现本合同约定的轻症疾病</w:t>
      </w:r>
      <w:r>
        <w:rPr>
          <w:position w:val="11"/>
          <w:sz w:val="11"/>
        </w:rPr>
        <w:t>【轻</w:t>
      </w:r>
      <w:r>
        <w:rPr>
          <w:spacing w:val="-9"/>
          <w:position w:val="11"/>
          <w:sz w:val="11"/>
        </w:rPr>
        <w:t>症疾病释义】</w:t>
      </w:r>
      <w:r>
        <w:rPr>
          <w:spacing w:val="-8"/>
        </w:rPr>
        <w:t>，且轻症疾病的确诊是医生在被保险人未满七十周岁</w:t>
      </w:r>
      <w:r>
        <w:rPr>
          <w:position w:val="11"/>
          <w:sz w:val="11"/>
        </w:rPr>
        <w:t>【术语释义六】</w:t>
      </w:r>
      <w:r>
        <w:rPr>
          <w:spacing w:val="-8"/>
        </w:rPr>
        <w:t>时作出，本公司将按照该轻症疾</w:t>
      </w:r>
      <w:r>
        <w:rPr>
          <w:spacing w:val="-10"/>
        </w:rPr>
        <w:t>病确诊时本合同的当年度保险金额的 </w:t>
      </w:r>
      <w:r>
        <w:rPr/>
        <w:t>20%</w:t>
      </w:r>
      <w:r>
        <w:rPr>
          <w:spacing w:val="-4"/>
        </w:rPr>
        <w:t>给付轻症疾病保险金，本项保险责任终止。</w:t>
      </w:r>
    </w:p>
    <w:p>
      <w:pPr>
        <w:pStyle w:val="Heading2"/>
        <w:spacing w:line="261" w:lineRule="auto"/>
        <w:ind w:right="222" w:firstLine="441"/>
        <w:jc w:val="both"/>
      </w:pPr>
      <w:r>
        <w:rPr>
          <w:spacing w:val="-3"/>
        </w:rPr>
        <w:t>若被保险人所患疾病既符合本合同约定的重大疾病释义又符合轻症疾病释义的，本公司仅承担</w:t>
      </w:r>
      <w:r>
        <w:rPr>
          <w:spacing w:val="-3"/>
          <w:w w:val="95"/>
        </w:rPr>
        <w:t>给付重大疾病保险金的保险责任。</w:t>
      </w:r>
    </w:p>
    <w:p>
      <w:pPr>
        <w:spacing w:before="4"/>
        <w:ind w:left="108" w:right="0" w:firstLine="0"/>
        <w:jc w:val="left"/>
        <w:rPr>
          <w:b/>
          <w:sz w:val="22"/>
        </w:rPr>
      </w:pPr>
      <w:bookmarkStart w:name="_bookmark5" w:id="6"/>
      <w:bookmarkEnd w:id="6"/>
      <w:r>
        <w:rPr/>
      </w:r>
      <w:r>
        <w:rPr>
          <w:b/>
          <w:sz w:val="22"/>
        </w:rPr>
        <w:t>第四条 当年度保险金额</w:t>
      </w:r>
    </w:p>
    <w:p>
      <w:pPr>
        <w:spacing w:line="259" w:lineRule="auto" w:before="24" w:after="10"/>
        <w:ind w:left="108" w:right="222" w:firstLine="441"/>
        <w:jc w:val="both"/>
        <w:rPr>
          <w:sz w:val="21"/>
        </w:rPr>
      </w:pPr>
      <w:r>
        <w:rPr>
          <w:sz w:val="22"/>
        </w:rPr>
        <w:t>本合同每个保单年度</w:t>
      </w:r>
      <w:r>
        <w:rPr>
          <w:position w:val="11"/>
          <w:sz w:val="11"/>
        </w:rPr>
        <w:t>【术语释义七】</w:t>
      </w:r>
      <w:r>
        <w:rPr>
          <w:sz w:val="22"/>
        </w:rPr>
        <w:t>的当年度保险金额等于保险单或批注上所载的本合同的基本保险金额乘以 </w:t>
      </w:r>
      <w:r>
        <w:rPr>
          <w:rFonts w:ascii="Times New Roman" w:eastAsia="Times New Roman"/>
          <w:sz w:val="22"/>
        </w:rPr>
        <w:t>X</w:t>
      </w:r>
      <w:r>
        <w:rPr>
          <w:sz w:val="22"/>
        </w:rPr>
        <w:t>。</w:t>
      </w:r>
      <w:r>
        <w:rPr>
          <w:rFonts w:ascii="Times New Roman" w:eastAsia="Times New Roman"/>
          <w:sz w:val="22"/>
        </w:rPr>
        <w:t>X </w:t>
      </w:r>
      <w:r>
        <w:rPr>
          <w:sz w:val="21"/>
        </w:rPr>
        <w:t>的数值如下表：</w:t>
      </w:r>
    </w:p>
    <w:tbl>
      <w:tblPr>
        <w:tblW w:w="0" w:type="auto"/>
        <w:jc w:val="left"/>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050"/>
      </w:tblGrid>
      <w:tr>
        <w:trPr>
          <w:trHeight w:val="316" w:hRule="atLeast"/>
        </w:trPr>
        <w:tc>
          <w:tcPr>
            <w:tcW w:w="3399" w:type="dxa"/>
          </w:tcPr>
          <w:p>
            <w:pPr>
              <w:pStyle w:val="TableParagraph"/>
              <w:spacing w:line="266" w:lineRule="exact"/>
              <w:ind w:right="100"/>
              <w:rPr>
                <w:sz w:val="22"/>
              </w:rPr>
            </w:pPr>
            <w:r>
              <w:rPr>
                <w:sz w:val="22"/>
              </w:rPr>
              <w:t>保单年度</w:t>
            </w:r>
          </w:p>
        </w:tc>
        <w:tc>
          <w:tcPr>
            <w:tcW w:w="2050" w:type="dxa"/>
          </w:tcPr>
          <w:p>
            <w:pPr>
              <w:pStyle w:val="TableParagraph"/>
              <w:spacing w:before="29"/>
              <w:ind w:left="2" w:right="0"/>
              <w:rPr>
                <w:rFonts w:ascii="Times New Roman"/>
                <w:sz w:val="22"/>
              </w:rPr>
            </w:pPr>
            <w:r>
              <w:rPr>
                <w:rFonts w:ascii="Times New Roman"/>
                <w:w w:val="100"/>
                <w:sz w:val="22"/>
              </w:rPr>
              <w:t>X</w:t>
            </w:r>
          </w:p>
        </w:tc>
      </w:tr>
      <w:tr>
        <w:trPr>
          <w:trHeight w:val="326" w:hRule="atLeast"/>
        </w:trPr>
        <w:tc>
          <w:tcPr>
            <w:tcW w:w="3399" w:type="dxa"/>
          </w:tcPr>
          <w:p>
            <w:pPr>
              <w:pStyle w:val="TableParagraph"/>
              <w:spacing w:line="271" w:lineRule="exact"/>
              <w:rPr>
                <w:sz w:val="22"/>
              </w:rPr>
            </w:pPr>
            <w:r>
              <w:rPr>
                <w:sz w:val="22"/>
              </w:rPr>
              <w:t>第一个保单年度</w:t>
            </w:r>
          </w:p>
        </w:tc>
        <w:tc>
          <w:tcPr>
            <w:tcW w:w="2050" w:type="dxa"/>
          </w:tcPr>
          <w:p>
            <w:pPr>
              <w:pStyle w:val="TableParagraph"/>
              <w:spacing w:before="35"/>
              <w:ind w:left="744" w:right="742"/>
              <w:rPr>
                <w:rFonts w:ascii="Times New Roman"/>
                <w:sz w:val="22"/>
              </w:rPr>
            </w:pPr>
            <w:r>
              <w:rPr>
                <w:rFonts w:ascii="Times New Roman"/>
                <w:sz w:val="22"/>
              </w:rPr>
              <w:t>100%</w:t>
            </w:r>
          </w:p>
        </w:tc>
      </w:tr>
      <w:tr>
        <w:trPr>
          <w:trHeight w:val="326" w:hRule="atLeast"/>
        </w:trPr>
        <w:tc>
          <w:tcPr>
            <w:tcW w:w="3399" w:type="dxa"/>
          </w:tcPr>
          <w:p>
            <w:pPr>
              <w:pStyle w:val="TableParagraph"/>
              <w:spacing w:line="271" w:lineRule="exact"/>
              <w:rPr>
                <w:sz w:val="22"/>
              </w:rPr>
            </w:pPr>
            <w:r>
              <w:rPr>
                <w:sz w:val="22"/>
              </w:rPr>
              <w:t>第二个保单年度</w:t>
            </w:r>
          </w:p>
        </w:tc>
        <w:tc>
          <w:tcPr>
            <w:tcW w:w="2050" w:type="dxa"/>
          </w:tcPr>
          <w:p>
            <w:pPr>
              <w:pStyle w:val="TableParagraph"/>
              <w:spacing w:before="34"/>
              <w:ind w:left="744" w:right="742"/>
              <w:rPr>
                <w:rFonts w:ascii="Times New Roman"/>
                <w:sz w:val="22"/>
              </w:rPr>
            </w:pPr>
            <w:r>
              <w:rPr>
                <w:rFonts w:ascii="Times New Roman"/>
                <w:sz w:val="22"/>
              </w:rPr>
              <w:t>110%</w:t>
            </w:r>
          </w:p>
        </w:tc>
      </w:tr>
      <w:tr>
        <w:trPr>
          <w:trHeight w:val="311" w:hRule="atLeast"/>
        </w:trPr>
        <w:tc>
          <w:tcPr>
            <w:tcW w:w="3399" w:type="dxa"/>
          </w:tcPr>
          <w:p>
            <w:pPr>
              <w:pStyle w:val="TableParagraph"/>
              <w:spacing w:line="266" w:lineRule="exact"/>
              <w:rPr>
                <w:sz w:val="22"/>
              </w:rPr>
            </w:pPr>
            <w:r>
              <w:rPr>
                <w:sz w:val="22"/>
              </w:rPr>
              <w:t>第三个保单年度</w:t>
            </w:r>
          </w:p>
        </w:tc>
        <w:tc>
          <w:tcPr>
            <w:tcW w:w="2050" w:type="dxa"/>
          </w:tcPr>
          <w:p>
            <w:pPr>
              <w:pStyle w:val="TableParagraph"/>
              <w:spacing w:before="29"/>
              <w:ind w:left="744" w:right="742"/>
              <w:rPr>
                <w:rFonts w:ascii="Times New Roman"/>
                <w:sz w:val="22"/>
              </w:rPr>
            </w:pPr>
            <w:r>
              <w:rPr>
                <w:rFonts w:ascii="Times New Roman"/>
                <w:sz w:val="22"/>
              </w:rPr>
              <w:t>120%</w:t>
            </w:r>
          </w:p>
        </w:tc>
      </w:tr>
      <w:tr>
        <w:trPr>
          <w:trHeight w:val="325" w:hRule="atLeast"/>
        </w:trPr>
        <w:tc>
          <w:tcPr>
            <w:tcW w:w="3399" w:type="dxa"/>
          </w:tcPr>
          <w:p>
            <w:pPr>
              <w:pStyle w:val="TableParagraph"/>
              <w:spacing w:line="271" w:lineRule="exact"/>
              <w:rPr>
                <w:sz w:val="22"/>
              </w:rPr>
            </w:pPr>
            <w:r>
              <w:rPr>
                <w:sz w:val="22"/>
              </w:rPr>
              <w:t>第四个保单年度</w:t>
            </w:r>
          </w:p>
        </w:tc>
        <w:tc>
          <w:tcPr>
            <w:tcW w:w="2050" w:type="dxa"/>
          </w:tcPr>
          <w:p>
            <w:pPr>
              <w:pStyle w:val="TableParagraph"/>
              <w:spacing w:before="34"/>
              <w:ind w:left="744" w:right="742"/>
              <w:rPr>
                <w:rFonts w:ascii="Times New Roman"/>
                <w:sz w:val="22"/>
              </w:rPr>
            </w:pPr>
            <w:r>
              <w:rPr>
                <w:rFonts w:ascii="Times New Roman"/>
                <w:sz w:val="22"/>
              </w:rPr>
              <w:t>130%</w:t>
            </w:r>
          </w:p>
        </w:tc>
      </w:tr>
      <w:tr>
        <w:trPr>
          <w:trHeight w:val="326" w:hRule="atLeast"/>
        </w:trPr>
        <w:tc>
          <w:tcPr>
            <w:tcW w:w="3399" w:type="dxa"/>
          </w:tcPr>
          <w:p>
            <w:pPr>
              <w:pStyle w:val="TableParagraph"/>
              <w:spacing w:line="271" w:lineRule="exact"/>
              <w:rPr>
                <w:sz w:val="22"/>
              </w:rPr>
            </w:pPr>
            <w:r>
              <w:rPr>
                <w:sz w:val="22"/>
              </w:rPr>
              <w:t>第五个保单年度</w:t>
            </w:r>
          </w:p>
        </w:tc>
        <w:tc>
          <w:tcPr>
            <w:tcW w:w="2050" w:type="dxa"/>
          </w:tcPr>
          <w:p>
            <w:pPr>
              <w:pStyle w:val="TableParagraph"/>
              <w:spacing w:before="34"/>
              <w:ind w:left="744" w:right="742"/>
              <w:rPr>
                <w:rFonts w:ascii="Times New Roman"/>
                <w:sz w:val="22"/>
              </w:rPr>
            </w:pPr>
            <w:r>
              <w:rPr>
                <w:rFonts w:ascii="Times New Roman"/>
                <w:sz w:val="22"/>
              </w:rPr>
              <w:t>140%</w:t>
            </w:r>
          </w:p>
        </w:tc>
      </w:tr>
      <w:tr>
        <w:trPr>
          <w:trHeight w:val="326" w:hRule="atLeast"/>
        </w:trPr>
        <w:tc>
          <w:tcPr>
            <w:tcW w:w="3399" w:type="dxa"/>
          </w:tcPr>
          <w:p>
            <w:pPr>
              <w:pStyle w:val="TableParagraph"/>
              <w:spacing w:line="271" w:lineRule="exact"/>
              <w:rPr>
                <w:sz w:val="22"/>
              </w:rPr>
            </w:pPr>
            <w:r>
              <w:rPr>
                <w:sz w:val="22"/>
              </w:rPr>
              <w:t>第六个保单年度</w:t>
            </w:r>
          </w:p>
        </w:tc>
        <w:tc>
          <w:tcPr>
            <w:tcW w:w="2050" w:type="dxa"/>
          </w:tcPr>
          <w:p>
            <w:pPr>
              <w:pStyle w:val="TableParagraph"/>
              <w:spacing w:before="35"/>
              <w:ind w:left="744" w:right="742"/>
              <w:rPr>
                <w:rFonts w:ascii="Times New Roman"/>
                <w:sz w:val="22"/>
              </w:rPr>
            </w:pPr>
            <w:r>
              <w:rPr>
                <w:rFonts w:ascii="Times New Roman"/>
                <w:sz w:val="22"/>
              </w:rPr>
              <w:t>150%</w:t>
            </w:r>
          </w:p>
        </w:tc>
      </w:tr>
    </w:tbl>
    <w:p>
      <w:pPr>
        <w:spacing w:after="0"/>
        <w:rPr>
          <w:rFonts w:ascii="Times New Roman"/>
          <w:sz w:val="22"/>
        </w:rPr>
        <w:sectPr>
          <w:pgSz w:w="11910" w:h="16840"/>
          <w:pgMar w:top="1040" w:bottom="280" w:left="1140" w:right="1020"/>
        </w:sectPr>
      </w:pPr>
    </w:p>
    <w:tbl>
      <w:tblPr>
        <w:tblW w:w="0" w:type="auto"/>
        <w:jc w:val="left"/>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050"/>
      </w:tblGrid>
      <w:tr>
        <w:trPr>
          <w:trHeight w:val="325" w:hRule="atLeast"/>
        </w:trPr>
        <w:tc>
          <w:tcPr>
            <w:tcW w:w="3399" w:type="dxa"/>
          </w:tcPr>
          <w:p>
            <w:pPr>
              <w:pStyle w:val="TableParagraph"/>
              <w:spacing w:line="276" w:lineRule="exact"/>
              <w:rPr>
                <w:sz w:val="22"/>
              </w:rPr>
            </w:pPr>
            <w:r>
              <w:rPr>
                <w:sz w:val="22"/>
              </w:rPr>
              <w:t>第七个保单年度</w:t>
            </w:r>
          </w:p>
        </w:tc>
        <w:tc>
          <w:tcPr>
            <w:tcW w:w="2050" w:type="dxa"/>
          </w:tcPr>
          <w:p>
            <w:pPr>
              <w:pStyle w:val="TableParagraph"/>
              <w:spacing w:before="39"/>
              <w:ind w:left="763" w:right="0"/>
              <w:jc w:val="left"/>
              <w:rPr>
                <w:rFonts w:ascii="Times New Roman"/>
                <w:sz w:val="22"/>
              </w:rPr>
            </w:pPr>
            <w:r>
              <w:rPr>
                <w:rFonts w:ascii="Times New Roman"/>
                <w:sz w:val="22"/>
              </w:rPr>
              <w:t>160%</w:t>
            </w:r>
          </w:p>
        </w:tc>
      </w:tr>
      <w:tr>
        <w:trPr>
          <w:trHeight w:val="325" w:hRule="atLeast"/>
        </w:trPr>
        <w:tc>
          <w:tcPr>
            <w:tcW w:w="3399" w:type="dxa"/>
          </w:tcPr>
          <w:p>
            <w:pPr>
              <w:pStyle w:val="TableParagraph"/>
              <w:spacing w:line="276" w:lineRule="exact"/>
              <w:rPr>
                <w:sz w:val="22"/>
              </w:rPr>
            </w:pPr>
            <w:r>
              <w:rPr>
                <w:sz w:val="22"/>
              </w:rPr>
              <w:t>第八个保单年度</w:t>
            </w:r>
          </w:p>
        </w:tc>
        <w:tc>
          <w:tcPr>
            <w:tcW w:w="2050" w:type="dxa"/>
          </w:tcPr>
          <w:p>
            <w:pPr>
              <w:pStyle w:val="TableParagraph"/>
              <w:spacing w:before="39"/>
              <w:ind w:left="763" w:right="0"/>
              <w:jc w:val="left"/>
              <w:rPr>
                <w:rFonts w:ascii="Times New Roman"/>
                <w:sz w:val="22"/>
              </w:rPr>
            </w:pPr>
            <w:r>
              <w:rPr>
                <w:rFonts w:ascii="Times New Roman"/>
                <w:sz w:val="22"/>
              </w:rPr>
              <w:t>170%</w:t>
            </w:r>
          </w:p>
        </w:tc>
      </w:tr>
      <w:tr>
        <w:trPr>
          <w:trHeight w:val="326" w:hRule="atLeast"/>
        </w:trPr>
        <w:tc>
          <w:tcPr>
            <w:tcW w:w="3399" w:type="dxa"/>
          </w:tcPr>
          <w:p>
            <w:pPr>
              <w:pStyle w:val="TableParagraph"/>
              <w:spacing w:line="276" w:lineRule="exact"/>
              <w:rPr>
                <w:sz w:val="22"/>
              </w:rPr>
            </w:pPr>
            <w:r>
              <w:rPr>
                <w:sz w:val="22"/>
              </w:rPr>
              <w:t>第九个保单年度</w:t>
            </w:r>
          </w:p>
        </w:tc>
        <w:tc>
          <w:tcPr>
            <w:tcW w:w="2050" w:type="dxa"/>
          </w:tcPr>
          <w:p>
            <w:pPr>
              <w:pStyle w:val="TableParagraph"/>
              <w:spacing w:before="39"/>
              <w:ind w:left="763" w:right="0"/>
              <w:jc w:val="left"/>
              <w:rPr>
                <w:rFonts w:ascii="Times New Roman"/>
                <w:sz w:val="22"/>
              </w:rPr>
            </w:pPr>
            <w:r>
              <w:rPr>
                <w:rFonts w:ascii="Times New Roman"/>
                <w:sz w:val="22"/>
              </w:rPr>
              <w:t>180%</w:t>
            </w:r>
          </w:p>
        </w:tc>
      </w:tr>
      <w:tr>
        <w:trPr>
          <w:trHeight w:val="325" w:hRule="atLeast"/>
        </w:trPr>
        <w:tc>
          <w:tcPr>
            <w:tcW w:w="3399" w:type="dxa"/>
          </w:tcPr>
          <w:p>
            <w:pPr>
              <w:pStyle w:val="TableParagraph"/>
              <w:spacing w:line="276" w:lineRule="exact"/>
              <w:rPr>
                <w:sz w:val="22"/>
              </w:rPr>
            </w:pPr>
            <w:r>
              <w:rPr>
                <w:sz w:val="22"/>
              </w:rPr>
              <w:t>第十个保单年度</w:t>
            </w:r>
          </w:p>
        </w:tc>
        <w:tc>
          <w:tcPr>
            <w:tcW w:w="2050" w:type="dxa"/>
          </w:tcPr>
          <w:p>
            <w:pPr>
              <w:pStyle w:val="TableParagraph"/>
              <w:spacing w:before="39"/>
              <w:ind w:left="763" w:right="0"/>
              <w:jc w:val="left"/>
              <w:rPr>
                <w:rFonts w:ascii="Times New Roman"/>
                <w:sz w:val="22"/>
              </w:rPr>
            </w:pPr>
            <w:r>
              <w:rPr>
                <w:rFonts w:ascii="Times New Roman"/>
                <w:sz w:val="22"/>
              </w:rPr>
              <w:t>190%</w:t>
            </w:r>
          </w:p>
        </w:tc>
      </w:tr>
      <w:tr>
        <w:trPr>
          <w:trHeight w:val="326" w:hRule="atLeast"/>
        </w:trPr>
        <w:tc>
          <w:tcPr>
            <w:tcW w:w="3399" w:type="dxa"/>
          </w:tcPr>
          <w:p>
            <w:pPr>
              <w:pStyle w:val="TableParagraph"/>
              <w:spacing w:line="276" w:lineRule="exact"/>
              <w:ind w:right="-15"/>
              <w:rPr>
                <w:sz w:val="22"/>
              </w:rPr>
            </w:pPr>
            <w:r>
              <w:rPr>
                <w:spacing w:val="-2"/>
                <w:sz w:val="22"/>
              </w:rPr>
              <w:t>第十一个保单年度及以后</w:t>
            </w:r>
            <w:r>
              <w:rPr>
                <w:spacing w:val="-5"/>
                <w:sz w:val="22"/>
              </w:rPr>
              <w:t>（</w:t>
            </w:r>
            <w:r>
              <w:rPr>
                <w:sz w:val="22"/>
              </w:rPr>
              <w:t>若有）</w:t>
            </w:r>
          </w:p>
        </w:tc>
        <w:tc>
          <w:tcPr>
            <w:tcW w:w="2050" w:type="dxa"/>
          </w:tcPr>
          <w:p>
            <w:pPr>
              <w:pStyle w:val="TableParagraph"/>
              <w:spacing w:before="40"/>
              <w:ind w:left="763" w:right="0"/>
              <w:jc w:val="left"/>
              <w:rPr>
                <w:rFonts w:ascii="Times New Roman"/>
                <w:sz w:val="22"/>
              </w:rPr>
            </w:pPr>
            <w:r>
              <w:rPr>
                <w:rFonts w:ascii="Times New Roman"/>
                <w:sz w:val="22"/>
              </w:rPr>
              <w:t>200%</w:t>
            </w:r>
          </w:p>
        </w:tc>
      </w:tr>
    </w:tbl>
    <w:p>
      <w:pPr>
        <w:pStyle w:val="Heading2"/>
        <w:spacing w:line="275" w:lineRule="exact" w:before="0"/>
      </w:pPr>
      <w:bookmarkStart w:name="_bookmark6" w:id="7"/>
      <w:bookmarkEnd w:id="7"/>
      <w:r>
        <w:rPr>
          <w:b w:val="0"/>
        </w:rPr>
      </w:r>
      <w:r>
        <w:rPr/>
        <w:t>第五条 责任免除</w:t>
      </w:r>
    </w:p>
    <w:p>
      <w:pPr>
        <w:spacing w:line="266" w:lineRule="auto" w:before="24"/>
        <w:ind w:left="108" w:right="152" w:firstLine="427"/>
        <w:jc w:val="both"/>
        <w:rPr>
          <w:b/>
          <w:sz w:val="21"/>
        </w:rPr>
      </w:pPr>
      <w:r>
        <w:rPr>
          <w:b/>
          <w:sz w:val="21"/>
        </w:rPr>
        <w:t>因下列情形之一</w:t>
      </w:r>
      <w:r>
        <w:rPr>
          <w:b/>
          <w:spacing w:val="-5"/>
          <w:sz w:val="22"/>
        </w:rPr>
        <w:t>导致被保险人发生疾病、达到疾病状态或进行手术的</w:t>
      </w:r>
      <w:r>
        <w:rPr>
          <w:b/>
          <w:spacing w:val="-7"/>
          <w:sz w:val="21"/>
        </w:rPr>
        <w:t>，本公司不承担给付重大疾病保险金、特定重大疾病保险金和轻症疾病保险金的保险责任：</w:t>
      </w:r>
    </w:p>
    <w:p>
      <w:pPr>
        <w:pStyle w:val="Heading2"/>
        <w:spacing w:line="261" w:lineRule="auto" w:before="7"/>
        <w:ind w:left="550" w:right="4495"/>
      </w:pPr>
      <w:r>
        <w:rPr/>
        <w:t>一、投保人对被保险人的故意杀害、故意伤害； </w:t>
      </w:r>
      <w:r>
        <w:rPr>
          <w:w w:val="95"/>
        </w:rPr>
        <w:t>二、被保险人故意自伤、故意犯罪或拒捕；</w:t>
      </w:r>
    </w:p>
    <w:p>
      <w:pPr>
        <w:spacing w:before="4"/>
        <w:ind w:left="550" w:right="0" w:firstLine="0"/>
        <w:jc w:val="left"/>
        <w:rPr>
          <w:b/>
          <w:sz w:val="22"/>
        </w:rPr>
      </w:pPr>
      <w:r>
        <w:rPr>
          <w:b/>
          <w:sz w:val="22"/>
        </w:rPr>
        <w:t>三、被保险人服用、吸食或注射毒品</w:t>
      </w:r>
      <w:r>
        <w:rPr>
          <w:b/>
          <w:position w:val="11"/>
          <w:sz w:val="11"/>
        </w:rPr>
        <w:t>【术语释义八】</w:t>
      </w:r>
      <w:r>
        <w:rPr>
          <w:b/>
          <w:sz w:val="22"/>
        </w:rPr>
        <w:t>；</w:t>
      </w:r>
    </w:p>
    <w:p>
      <w:pPr>
        <w:pStyle w:val="Heading2"/>
        <w:spacing w:line="259" w:lineRule="auto" w:before="24"/>
        <w:ind w:left="550" w:right="4152"/>
      </w:pPr>
      <w:r>
        <w:rPr/>
        <w:t>四、被保险人感染艾滋病病毒或患艾滋病</w:t>
      </w:r>
      <w:r>
        <w:rPr>
          <w:position w:val="11"/>
          <w:sz w:val="11"/>
        </w:rPr>
        <w:t>【术语释义九】</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61" w:lineRule="auto" w:before="23"/>
        <w:ind w:left="108" w:right="2500" w:firstLine="441"/>
        <w:jc w:val="left"/>
        <w:rPr>
          <w:b/>
          <w:sz w:val="22"/>
        </w:rPr>
      </w:pPr>
      <w:r>
        <w:rPr>
          <w:b/>
          <w:sz w:val="22"/>
        </w:rPr>
        <w:t>七、遗传性疾病</w:t>
      </w:r>
      <w:r>
        <w:rPr>
          <w:b/>
          <w:spacing w:val="-9"/>
          <w:position w:val="11"/>
          <w:sz w:val="11"/>
        </w:rPr>
        <w:t>【术语释义十】</w:t>
      </w:r>
      <w:r>
        <w:rPr>
          <w:b/>
          <w:sz w:val="22"/>
        </w:rPr>
        <w:t>，先天性畸形、变形或染色体异常</w:t>
      </w:r>
      <w:r>
        <w:rPr>
          <w:b/>
          <w:spacing w:val="-8"/>
          <w:position w:val="11"/>
          <w:sz w:val="11"/>
        </w:rPr>
        <w:t>【术语释义十一】</w:t>
      </w:r>
      <w:r>
        <w:rPr>
          <w:b/>
          <w:sz w:val="22"/>
        </w:rPr>
        <w:t>。</w:t>
      </w:r>
      <w:bookmarkStart w:name="_bookmark7" w:id="8"/>
      <w:bookmarkEnd w:id="8"/>
      <w:r>
        <w:rPr>
          <w:b/>
          <w:sz w:val="22"/>
        </w:rPr>
      </w:r>
      <w:r>
        <w:rPr>
          <w:b/>
          <w:spacing w:val="3"/>
          <w:sz w:val="22"/>
        </w:rPr>
        <w:t>第六条 合同的成立与生效</w:t>
      </w:r>
    </w:p>
    <w:p>
      <w:pPr>
        <w:pStyle w:val="BodyText"/>
        <w:spacing w:line="259" w:lineRule="auto" w:before="4"/>
        <w:ind w:left="108" w:right="154" w:firstLine="436"/>
        <w:jc w:val="both"/>
      </w:pPr>
      <w:r>
        <w:rPr>
          <w:spacing w:val="-7"/>
        </w:rPr>
        <w:t>投保人向本公司投保并缴纳首期保险费，经本公司同意承保，本合同成立。本公司签发本合同作为同意承保的标志。</w:t>
      </w:r>
    </w:p>
    <w:p>
      <w:pPr>
        <w:pStyle w:val="BodyText"/>
        <w:spacing w:line="259" w:lineRule="auto"/>
        <w:ind w:left="108" w:right="161" w:firstLine="436"/>
        <w:jc w:val="both"/>
      </w:pPr>
      <w:r>
        <w:rPr/>
        <w:t>除投保人与本公司在投保单或保险合同其他构成文件中另有约定外，本合同自成立当日的 24 时生效。</w:t>
      </w:r>
    </w:p>
    <w:p>
      <w:pPr>
        <w:pStyle w:val="BodyText"/>
        <w:spacing w:line="259" w:lineRule="auto"/>
        <w:ind w:left="108" w:right="155" w:firstLine="436"/>
        <w:jc w:val="both"/>
      </w:pPr>
      <w:r>
        <w:rPr/>
        <w:t>保险合同周年日</w:t>
      </w:r>
      <w:r>
        <w:rPr>
          <w:spacing w:val="-8"/>
          <w:position w:val="11"/>
          <w:sz w:val="11"/>
        </w:rPr>
        <w:t>【术语释义十二】</w:t>
      </w:r>
      <w:r>
        <w:rPr>
          <w:spacing w:val="-3"/>
        </w:rPr>
        <w:t>、保单年度、缴费期满日和保险合同期满日均以保险单上注明的保险</w:t>
      </w:r>
      <w:r>
        <w:rPr>
          <w:spacing w:val="-4"/>
        </w:rPr>
        <w:t>合同生效日为计算标准。</w:t>
      </w:r>
    </w:p>
    <w:p>
      <w:pPr>
        <w:pStyle w:val="Heading2"/>
      </w:pPr>
      <w:bookmarkStart w:name="_bookmark8" w:id="9"/>
      <w:bookmarkEnd w:id="9"/>
      <w:r>
        <w:rPr>
          <w:b w:val="0"/>
        </w:rPr>
      </w:r>
      <w:r>
        <w:rPr/>
        <w:t>第七条 保险期间</w:t>
      </w:r>
    </w:p>
    <w:p>
      <w:pPr>
        <w:pStyle w:val="BodyText"/>
        <w:spacing w:line="259" w:lineRule="auto" w:before="24"/>
        <w:ind w:left="108" w:right="156" w:firstLine="436"/>
        <w:jc w:val="both"/>
      </w:pPr>
      <w:r>
        <w:rPr>
          <w:spacing w:val="-7"/>
        </w:rPr>
        <w:t>本合同的保险期间自保险单上载明的保险合同生效日起，至被保险人六十周岁、七十周岁、一百周岁时的保险合同周年日止</w:t>
      </w:r>
      <w:r>
        <w:rPr>
          <w:spacing w:val="-5"/>
        </w:rPr>
        <w:t>（</w:t>
      </w:r>
      <w:r>
        <w:rPr>
          <w:spacing w:val="-2"/>
        </w:rPr>
        <w:t>投保人投保时可选择其中之一</w:t>
      </w:r>
      <w:r>
        <w:rPr>
          <w:spacing w:val="-111"/>
        </w:rPr>
        <w:t>）</w:t>
      </w:r>
      <w:r>
        <w:rPr>
          <w:spacing w:val="-3"/>
        </w:rPr>
        <w:t>。保险期间届满，本合同终止。</w:t>
      </w:r>
    </w:p>
    <w:p>
      <w:pPr>
        <w:pStyle w:val="BodyText"/>
        <w:spacing w:before="2"/>
        <w:ind w:left="0"/>
        <w:rPr>
          <w:sz w:val="20"/>
        </w:rPr>
      </w:pPr>
    </w:p>
    <w:p>
      <w:pPr>
        <w:pStyle w:val="Heading1"/>
        <w:tabs>
          <w:tab w:pos="2415" w:val="left" w:leader="none"/>
        </w:tabs>
        <w:ind w:right="44"/>
        <w:jc w:val="center"/>
      </w:pPr>
      <w:bookmarkStart w:name="_bookmark9" w:id="10"/>
      <w:bookmarkEnd w:id="10"/>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0" w:id="11"/>
      <w:bookmarkEnd w:id="11"/>
      <w:r>
        <w:rPr>
          <w:b w:val="0"/>
        </w:rPr>
      </w:r>
      <w:r>
        <w:rPr/>
        <w:t>第八条 保险费</w:t>
      </w:r>
    </w:p>
    <w:p>
      <w:pPr>
        <w:pStyle w:val="BodyText"/>
        <w:spacing w:line="259" w:lineRule="auto" w:before="24"/>
        <w:ind w:left="108" w:right="15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_bookmark11" w:id="12"/>
      <w:bookmarkEnd w:id="12"/>
      <w:r>
        <w:rPr>
          <w:b w:val="0"/>
        </w:rPr>
      </w:r>
      <w:r>
        <w:rPr/>
        <w:t>第九条 宽限期</w:t>
      </w:r>
    </w:p>
    <w:p>
      <w:pPr>
        <w:pStyle w:val="BodyText"/>
        <w:spacing w:line="259" w:lineRule="auto" w:before="23"/>
        <w:ind w:left="108" w:right="156"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2" w:id="13"/>
      <w:bookmarkEnd w:id="13"/>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spacing w:before="0"/>
      </w:pPr>
      <w:bookmarkStart w:name="_bookmark13" w:id="14"/>
      <w:bookmarkEnd w:id="14"/>
      <w:r>
        <w:rPr>
          <w:b w:val="0"/>
        </w:rPr>
      </w:r>
      <w:r>
        <w:rPr/>
        <w:t>第十条 自动贷款垫缴保险费</w:t>
      </w:r>
    </w:p>
    <w:p>
      <w:pPr>
        <w:pStyle w:val="BodyText"/>
        <w:spacing w:line="259" w:lineRule="auto" w:before="24"/>
        <w:ind w:left="108" w:right="152" w:firstLine="436"/>
        <w:jc w:val="both"/>
      </w:pPr>
      <w:r>
        <w:rPr>
          <w:spacing w:val="-6"/>
        </w:rPr>
        <w:t>除本合同另有约定外，首期后的分期保险费在宽限期满后仍未缴付的，若保险合同当时的保证现金价值</w:t>
      </w:r>
      <w:r>
        <w:rPr>
          <w:spacing w:val="-6"/>
          <w:position w:val="11"/>
          <w:sz w:val="11"/>
        </w:rPr>
        <w:t>【术语释义十三】</w:t>
      </w:r>
      <w:r>
        <w:rPr/>
        <w:t>净额</w:t>
      </w:r>
      <w:r>
        <w:rPr>
          <w:spacing w:val="-1"/>
          <w:position w:val="11"/>
          <w:sz w:val="11"/>
        </w:rPr>
        <w:t>【术语释义十四】</w:t>
      </w:r>
      <w:r>
        <w:rPr>
          <w:spacing w:val="-9"/>
        </w:rPr>
        <w:t>足以垫缴应缴保险费，本公司将自动提供贷款垫缴保险费，以使保</w:t>
      </w:r>
      <w:r>
        <w:rPr/>
        <w:t>险合同继续有效。</w:t>
      </w:r>
    </w:p>
    <w:p>
      <w:pPr>
        <w:pStyle w:val="BodyText"/>
        <w:spacing w:line="259" w:lineRule="auto"/>
        <w:ind w:left="108" w:right="108" w:firstLine="436"/>
        <w:jc w:val="both"/>
      </w:pPr>
      <w:r>
        <w:rPr>
          <w:spacing w:val="-5"/>
        </w:rPr>
        <w:t>若保险合同当时的保证现金价值净额不足以垫缴当时到期的月缴保险费，保险合同效力中止； 效力中止期间，本公司不承担保险责任。</w:t>
      </w:r>
    </w:p>
    <w:p>
      <w:pPr>
        <w:pStyle w:val="BodyText"/>
        <w:spacing w:before="7"/>
        <w:ind w:left="545"/>
      </w:pPr>
      <w:r>
        <w:rPr/>
        <w:t>若本合同附有附加保险合同，本合同及其附加保险合同均不得单独自动贷款垫缴保险费。</w:t>
      </w:r>
    </w:p>
    <w:p>
      <w:pPr>
        <w:spacing w:after="0"/>
        <w:sectPr>
          <w:pgSz w:w="11910" w:h="16840"/>
          <w:pgMar w:top="880" w:bottom="280" w:left="1140" w:right="1080"/>
        </w:sectPr>
      </w:pPr>
    </w:p>
    <w:p>
      <w:pPr>
        <w:pStyle w:val="Heading2"/>
        <w:tabs>
          <w:tab w:pos="1371" w:val="left" w:leader="none"/>
        </w:tabs>
        <w:spacing w:before="7"/>
      </w:pPr>
      <w:bookmarkStart w:name="_bookmark14" w:id="15"/>
      <w:bookmarkEnd w:id="15"/>
      <w:r>
        <w:rPr>
          <w:b w:val="0"/>
        </w:rPr>
      </w:r>
      <w:r>
        <w:rPr/>
        <w:t>第十一条</w:t>
        <w:tab/>
      </w:r>
      <w:r>
        <w:rPr>
          <w:w w:val="95"/>
        </w:rPr>
        <w:t>合同效力恢复</w:t>
      </w:r>
    </w:p>
    <w:p>
      <w:pPr>
        <w:pStyle w:val="BodyText"/>
        <w:spacing w:line="259" w:lineRule="auto" w:before="23"/>
        <w:ind w:left="108" w:right="102" w:firstLine="436"/>
      </w:pPr>
      <w:r>
        <w:rPr>
          <w:spacing w:val="-7"/>
        </w:rPr>
        <w:t>本合同效力中止后二年内，若投保人申请恢复合同效力，应填写复效申请书，并向本公司提供被保险人的健康证明，在投保人补缴所欠缴的保险费及其利息</w:t>
      </w:r>
      <w:r>
        <w:rPr>
          <w:spacing w:val="-8"/>
          <w:position w:val="11"/>
          <w:sz w:val="11"/>
        </w:rPr>
        <w:t>【术语释义十五】</w:t>
      </w:r>
      <w:r>
        <w:rPr>
          <w:spacing w:val="-1"/>
        </w:rPr>
        <w:t>、保险合同贷款</w:t>
      </w:r>
      <w:r>
        <w:rPr/>
        <w:t>（含自动贷款垫缴保险费</w:t>
      </w:r>
      <w:r>
        <w:rPr>
          <w:spacing w:val="-34"/>
        </w:rPr>
        <w:t>）</w:t>
      </w:r>
      <w:r>
        <w:rPr>
          <w:spacing w:val="-2"/>
        </w:rPr>
        <w:t>及贷款利息</w:t>
      </w:r>
      <w:r>
        <w:rPr>
          <w:spacing w:val="-1"/>
          <w:position w:val="11"/>
          <w:sz w:val="11"/>
        </w:rPr>
        <w:t>【术语释义十六】</w:t>
      </w:r>
      <w:r>
        <w:rPr>
          <w:spacing w:val="-11"/>
        </w:rPr>
        <w:t>后，经本公司审核同意，自双方达成复效协议的当日 </w:t>
      </w:r>
      <w:r>
        <w:rPr/>
        <w:t>24</w:t>
      </w:r>
      <w:r>
        <w:rPr>
          <w:spacing w:val="-7"/>
        </w:rPr>
        <w:t> 时起， </w:t>
      </w:r>
      <w:r>
        <w:rPr/>
        <w:t>合同效力恢复。</w:t>
      </w:r>
    </w:p>
    <w:p>
      <w:pPr>
        <w:tabs>
          <w:tab w:pos="1371" w:val="left" w:leader="none"/>
        </w:tabs>
        <w:spacing w:line="259" w:lineRule="auto" w:before="6"/>
        <w:ind w:left="108" w:right="1272" w:firstLine="436"/>
        <w:jc w:val="left"/>
        <w:rPr>
          <w:b/>
          <w:sz w:val="22"/>
        </w:rPr>
      </w:pPr>
      <w:r>
        <w:rPr>
          <w:sz w:val="22"/>
        </w:rPr>
        <w:t>自本合同效力中</w:t>
      </w:r>
      <w:r>
        <w:rPr>
          <w:spacing w:val="-5"/>
          <w:sz w:val="22"/>
        </w:rPr>
        <w:t>止</w:t>
      </w:r>
      <w:r>
        <w:rPr>
          <w:sz w:val="22"/>
        </w:rPr>
        <w:t>之日起满二</w:t>
      </w:r>
      <w:r>
        <w:rPr>
          <w:spacing w:val="-5"/>
          <w:sz w:val="22"/>
        </w:rPr>
        <w:t>年</w:t>
      </w:r>
      <w:r>
        <w:rPr>
          <w:sz w:val="22"/>
        </w:rPr>
        <w:t>投保人和本</w:t>
      </w:r>
      <w:r>
        <w:rPr>
          <w:spacing w:val="-5"/>
          <w:sz w:val="22"/>
        </w:rPr>
        <w:t>公</w:t>
      </w:r>
      <w:r>
        <w:rPr>
          <w:sz w:val="22"/>
        </w:rPr>
        <w:t>司</w:t>
      </w:r>
      <w:r>
        <w:rPr>
          <w:spacing w:val="-5"/>
          <w:sz w:val="22"/>
        </w:rPr>
        <w:t>未</w:t>
      </w:r>
      <w:r>
        <w:rPr>
          <w:sz w:val="22"/>
        </w:rPr>
        <w:t>达成复效协议的</w:t>
      </w:r>
      <w:r>
        <w:rPr>
          <w:spacing w:val="-5"/>
          <w:sz w:val="22"/>
        </w:rPr>
        <w:t>，</w:t>
      </w:r>
      <w:r>
        <w:rPr>
          <w:sz w:val="22"/>
        </w:rPr>
        <w:t>本合同终止。</w:t>
      </w:r>
      <w:bookmarkStart w:name="_bookmark15" w:id="16"/>
      <w:bookmarkEnd w:id="16"/>
      <w:r>
        <w:rPr>
          <w:sz w:val="22"/>
        </w:rPr>
      </w:r>
      <w:r>
        <w:rPr>
          <w:b/>
          <w:sz w:val="22"/>
        </w:rPr>
        <w:t>第十二条</w:t>
        <w:tab/>
      </w:r>
      <w:r>
        <w:rPr>
          <w:b/>
          <w:w w:val="95"/>
          <w:sz w:val="22"/>
        </w:rPr>
        <w:t>保险合同贷款</w:t>
      </w:r>
    </w:p>
    <w:p>
      <w:pPr>
        <w:pStyle w:val="BodyText"/>
        <w:spacing w:line="259" w:lineRule="auto"/>
        <w:ind w:left="108" w:right="21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保险合同贷款。贷款金额不可超过当时保证现金价值净额的百分之八十，且每次贷款的金额不得少于人民币一百元。</w:t>
      </w:r>
    </w:p>
    <w:p>
      <w:pPr>
        <w:pStyle w:val="BodyText"/>
        <w:spacing w:line="259" w:lineRule="auto" w:before="7"/>
        <w:ind w:left="108" w:right="2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及贷款利息加上欠缴的保险费及其利息等于保险合同当时的保证现金价值时，保险合同效力中止；效力中止期间，本公司不承担保险责任。</w:t>
      </w:r>
    </w:p>
    <w:p>
      <w:pPr>
        <w:pStyle w:val="Heading2"/>
        <w:tabs>
          <w:tab w:pos="1371" w:val="left" w:leader="none"/>
        </w:tabs>
      </w:pPr>
      <w:bookmarkStart w:name="_bookmark16" w:id="17"/>
      <w:bookmarkEnd w:id="17"/>
      <w:r>
        <w:rPr>
          <w:b w:val="0"/>
        </w:rPr>
      </w:r>
      <w:r>
        <w:rPr/>
        <w:t>第十三条</w:t>
        <w:tab/>
      </w:r>
      <w:r>
        <w:rPr>
          <w:w w:val="95"/>
        </w:rPr>
        <w:t>解除合同的处理</w:t>
      </w:r>
    </w:p>
    <w:p>
      <w:pPr>
        <w:pStyle w:val="BodyText"/>
        <w:spacing w:line="261" w:lineRule="auto" w:before="23"/>
        <w:ind w:left="530" w:right="1507"/>
      </w:pPr>
      <w:r>
        <w:rPr/>
        <w:t>犹豫期满后投保人要求解除本合同的，由投保人填写申请书，并提供下列资料： 一、保险合同；</w:t>
      </w:r>
    </w:p>
    <w:p>
      <w:pPr>
        <w:pStyle w:val="BodyText"/>
        <w:spacing w:before="4"/>
        <w:ind w:left="530"/>
      </w:pPr>
      <w:r>
        <w:rPr/>
        <w:t>二、投保人身份证明。</w:t>
      </w:r>
    </w:p>
    <w:p>
      <w:pPr>
        <w:pStyle w:val="BodyText"/>
        <w:spacing w:line="259" w:lineRule="auto" w:before="24"/>
        <w:ind w:left="108" w:right="168" w:firstLine="422"/>
      </w:pPr>
      <w:r>
        <w:rPr/>
        <w:t>自本公司收到解除合同申请书的当日 24 时起，本合同终止，本公司将退还投保人本合同当时的保证现金价值。</w:t>
      </w:r>
    </w:p>
    <w:p>
      <w:pPr>
        <w:pStyle w:val="Heading2"/>
        <w:ind w:left="530"/>
      </w:pPr>
      <w:r>
        <w:rPr>
          <w:w w:val="95"/>
        </w:rPr>
        <w:t>投保人在犹豫期后解除本合同会受到一定的损失。</w:t>
      </w:r>
    </w:p>
    <w:p>
      <w:pPr>
        <w:pStyle w:val="BodyText"/>
        <w:ind w:left="0"/>
        <w:rPr>
          <w:b/>
          <w:sz w:val="21"/>
        </w:rPr>
      </w:pPr>
    </w:p>
    <w:p>
      <w:pPr>
        <w:tabs>
          <w:tab w:pos="4972" w:val="left" w:leader="none"/>
        </w:tabs>
        <w:spacing w:before="0"/>
        <w:ind w:left="2557" w:right="0" w:firstLine="0"/>
        <w:jc w:val="left"/>
        <w:rPr>
          <w:b/>
          <w:sz w:val="30"/>
        </w:rPr>
      </w:pPr>
      <w:bookmarkStart w:name="_bookmark17" w:id="18"/>
      <w:bookmarkEnd w:id="18"/>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2"/>
        <w:ind w:left="0"/>
        <w:rPr>
          <w:b/>
        </w:rPr>
      </w:pPr>
    </w:p>
    <w:p>
      <w:pPr>
        <w:tabs>
          <w:tab w:pos="1371" w:val="left" w:leader="none"/>
        </w:tabs>
        <w:spacing w:before="1"/>
        <w:ind w:left="108" w:right="0" w:firstLine="0"/>
        <w:jc w:val="left"/>
        <w:rPr>
          <w:b/>
          <w:sz w:val="22"/>
        </w:rPr>
      </w:pPr>
      <w:bookmarkStart w:name="_bookmark18" w:id="19"/>
      <w:bookmarkEnd w:id="19"/>
      <w:r>
        <w:rPr/>
      </w:r>
      <w:r>
        <w:rPr>
          <w:b/>
          <w:sz w:val="22"/>
        </w:rPr>
        <w:t>第十四条</w:t>
        <w:tab/>
      </w:r>
      <w:r>
        <w:rPr>
          <w:b/>
          <w:w w:val="95"/>
          <w:sz w:val="22"/>
        </w:rPr>
        <w:t>受益人的指定和变更</w:t>
      </w:r>
    </w:p>
    <w:p>
      <w:pPr>
        <w:pStyle w:val="BodyText"/>
        <w:spacing w:line="261" w:lineRule="auto" w:before="24"/>
        <w:ind w:left="108" w:right="212" w:firstLine="441"/>
      </w:pPr>
      <w:r>
        <w:rPr>
          <w:spacing w:val="-6"/>
        </w:rPr>
        <w:t>除本合同另有约定外，重大疾病保险金、特定重大疾病保险金和轻症疾病保险金的受益人为被保险人本人。</w:t>
      </w:r>
    </w:p>
    <w:p>
      <w:pPr>
        <w:pStyle w:val="BodyText"/>
        <w:spacing w:line="259" w:lineRule="auto" w:before="4"/>
        <w:ind w:left="108" w:right="215" w:firstLine="436"/>
      </w:pPr>
      <w:r>
        <w:rPr/>
        <w:t>被保险人或者投保人可以变更受益人并书面通知本公司；本公司收到变更受益人的书面通知后，应当在保险单或其他保险凭证上批注或者附贴批单。</w:t>
      </w:r>
    </w:p>
    <w:p>
      <w:pPr>
        <w:tabs>
          <w:tab w:pos="1371" w:val="left" w:leader="none"/>
        </w:tabs>
        <w:spacing w:line="259" w:lineRule="auto" w:before="6"/>
        <w:ind w:left="108" w:right="4574" w:firstLine="436"/>
        <w:jc w:val="left"/>
        <w:rPr>
          <w:b/>
          <w:sz w:val="22"/>
        </w:rPr>
      </w:pPr>
      <w:r>
        <w:rPr>
          <w:sz w:val="22"/>
        </w:rPr>
        <w:t>投保人指定或变</w:t>
      </w:r>
      <w:r>
        <w:rPr>
          <w:spacing w:val="-5"/>
          <w:sz w:val="22"/>
        </w:rPr>
        <w:t>更</w:t>
      </w:r>
      <w:r>
        <w:rPr>
          <w:sz w:val="22"/>
        </w:rPr>
        <w:t>受益人时须</w:t>
      </w:r>
      <w:r>
        <w:rPr>
          <w:spacing w:val="-5"/>
          <w:sz w:val="22"/>
        </w:rPr>
        <w:t>经</w:t>
      </w:r>
      <w:r>
        <w:rPr>
          <w:sz w:val="22"/>
        </w:rPr>
        <w:t>被保险人同</w:t>
      </w:r>
      <w:r>
        <w:rPr>
          <w:spacing w:val="-5"/>
          <w:sz w:val="22"/>
        </w:rPr>
        <w:t>意</w:t>
      </w:r>
      <w:r>
        <w:rPr>
          <w:sz w:val="22"/>
        </w:rPr>
        <w:t>。</w:t>
      </w:r>
      <w:bookmarkStart w:name="_bookmark19" w:id="20"/>
      <w:bookmarkEnd w:id="20"/>
      <w:r>
        <w:rPr>
          <w:sz w:val="22"/>
        </w:rPr>
      </w:r>
      <w:r>
        <w:rPr>
          <w:b/>
          <w:sz w:val="22"/>
        </w:rPr>
        <w:t>第十五条</w:t>
        <w:tab/>
      </w:r>
      <w:r>
        <w:rPr>
          <w:b/>
          <w:w w:val="95"/>
          <w:sz w:val="22"/>
        </w:rPr>
        <w:t>保险事故的通知与保险金的申请</w:t>
      </w:r>
    </w:p>
    <w:p>
      <w:pPr>
        <w:pStyle w:val="BodyText"/>
        <w:spacing w:line="259" w:lineRule="auto"/>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spacing w:line="259" w:lineRule="auto" w:before="5"/>
        <w:ind w:right="2824" w:hanging="20"/>
      </w:pPr>
      <w:r>
        <w:rPr/>
        <w:t>重大疾病保险金、特定重大疾病保险金或轻症疾病保险金申请文件一、被保险人的户籍证明与身份证明；</w:t>
      </w:r>
    </w:p>
    <w:p>
      <w:pPr>
        <w:pStyle w:val="BodyText"/>
        <w:spacing w:line="259" w:lineRule="auto" w:before="5"/>
        <w:ind w:right="828"/>
      </w:pPr>
      <w:r>
        <w:rPr/>
        <w:t>二、医院出具的被保险人病历、病理、血液及其他科学方法检验报告等诊断证明文件； 三、被保险人完整的门急诊病历卡（含首诊病历）和出院小结；</w:t>
      </w:r>
    </w:p>
    <w:p>
      <w:pPr>
        <w:pStyle w:val="BodyText"/>
      </w:pPr>
      <w:r>
        <w:rPr/>
        <w:t>四、保险合同；</w:t>
      </w:r>
    </w:p>
    <w:p>
      <w:pPr>
        <w:pStyle w:val="BodyText"/>
        <w:spacing w:before="24"/>
      </w:pPr>
      <w:r>
        <w:rPr/>
        <w:t>五、所能提供的与确认保险事故的性质、原因等有关的证明和资料。</w:t>
      </w:r>
    </w:p>
    <w:p>
      <w:pPr>
        <w:pStyle w:val="BodyText"/>
        <w:spacing w:line="259" w:lineRule="auto" w:before="24"/>
        <w:ind w:left="108" w:right="213" w:firstLine="436"/>
      </w:pPr>
      <w:r>
        <w:rPr>
          <w:spacing w:val="-7"/>
        </w:rPr>
        <w:t>受益人或者被保险人的继承人向本公司请求给付保险金的诉讼时效期间为二年，自其知道或者应当知道保险事故发生之日起计算。</w:t>
      </w:r>
    </w:p>
    <w:p>
      <w:pPr>
        <w:pStyle w:val="Heading2"/>
        <w:tabs>
          <w:tab w:pos="1371" w:val="left" w:leader="none"/>
        </w:tabs>
      </w:pPr>
      <w:bookmarkStart w:name="_bookmark20" w:id="21"/>
      <w:bookmarkEnd w:id="21"/>
      <w:r>
        <w:rPr>
          <w:b w:val="0"/>
        </w:rPr>
      </w:r>
      <w:r>
        <w:rPr/>
        <w:t>第十六条</w:t>
        <w:tab/>
      </w:r>
      <w:r>
        <w:rPr>
          <w:w w:val="95"/>
        </w:rPr>
        <w:t>保险金的给付</w:t>
      </w:r>
    </w:p>
    <w:p>
      <w:pPr>
        <w:pStyle w:val="BodyText"/>
        <w:spacing w:line="259" w:lineRule="auto" w:before="24"/>
        <w:ind w:left="108" w:right="212"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spacing w:before="7"/>
        <w:ind w:left="108"/>
      </w:pPr>
      <w:r>
        <w:rPr/>
        <w:t>说明理由。</w:t>
      </w:r>
    </w:p>
    <w:p>
      <w:pPr>
        <w:spacing w:after="0"/>
        <w:sectPr>
          <w:pgSz w:w="11910" w:h="16840"/>
          <w:pgMar w:top="860" w:bottom="280" w:left="1140" w:right="1020"/>
        </w:sectPr>
      </w:pPr>
    </w:p>
    <w:p>
      <w:pPr>
        <w:pStyle w:val="BodyText"/>
        <w:spacing w:line="259" w:lineRule="auto" w:before="7"/>
        <w:ind w:left="108" w:right="212"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spacing w:before="1"/>
        <w:ind w:left="1952"/>
      </w:pPr>
      <w:bookmarkStart w:name="_bookmark21" w:id="22"/>
      <w:bookmarkEnd w:id="22"/>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2" w:id="23"/>
      <w:bookmarkEnd w:id="23"/>
      <w:r>
        <w:rPr>
          <w:b w:val="0"/>
        </w:rPr>
      </w:r>
      <w:r>
        <w:rPr/>
        <w:t>第十七条</w:t>
        <w:tab/>
      </w:r>
      <w:r>
        <w:rPr>
          <w:w w:val="95"/>
        </w:rPr>
        <w:t>明确说明与如实告知</w:t>
      </w:r>
    </w:p>
    <w:p>
      <w:pPr>
        <w:pStyle w:val="BodyText"/>
        <w:spacing w:line="259" w:lineRule="auto" w:before="23"/>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ind w:left="108"/>
      </w:pPr>
      <w:r>
        <w:rPr/>
        <w:t>保或者提高保险费率的，本公司有权解除合同。</w:t>
      </w:r>
    </w:p>
    <w:p>
      <w:pPr>
        <w:pStyle w:val="BodyText"/>
        <w:spacing w:line="259" w:lineRule="auto" w:before="23"/>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61"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before="4"/>
        <w:ind w:left="108" w:right="214"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3" w:id="24"/>
      <w:bookmarkEnd w:id="24"/>
      <w:r>
        <w:rPr>
          <w:sz w:val="22"/>
        </w:rPr>
      </w:r>
      <w:r>
        <w:rPr>
          <w:b/>
          <w:sz w:val="22"/>
        </w:rPr>
        <w:t>第十八条</w:t>
        <w:tab/>
      </w:r>
      <w:r>
        <w:rPr>
          <w:b/>
          <w:w w:val="95"/>
          <w:sz w:val="22"/>
        </w:rPr>
        <w:t>年龄性别错误</w:t>
      </w:r>
    </w:p>
    <w:p>
      <w:pPr>
        <w:pStyle w:val="BodyText"/>
        <w:spacing w:line="259" w:lineRule="auto"/>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pStyle w:val="BodyText"/>
        <w:spacing w:line="259" w:lineRule="auto" w:before="7"/>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pPr>
      <w:bookmarkStart w:name="_bookmark24" w:id="25"/>
      <w:bookmarkEnd w:id="25"/>
      <w:r>
        <w:rPr>
          <w:b w:val="0"/>
        </w:rPr>
      </w:r>
      <w:r>
        <w:rPr/>
        <w:t>第十九条</w:t>
        <w:tab/>
      </w:r>
      <w:r>
        <w:rPr>
          <w:w w:val="95"/>
        </w:rPr>
        <w:t>联系地址变更</w:t>
      </w:r>
    </w:p>
    <w:p>
      <w:pPr>
        <w:pStyle w:val="BodyText"/>
        <w:spacing w:line="259" w:lineRule="auto" w:before="24"/>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tabs>
          <w:tab w:pos="1371" w:val="left" w:leader="none"/>
        </w:tabs>
      </w:pPr>
      <w:bookmarkStart w:name="_bookmark25" w:id="26"/>
      <w:bookmarkEnd w:id="26"/>
      <w:r>
        <w:rPr>
          <w:b w:val="0"/>
        </w:rPr>
      </w:r>
      <w:r>
        <w:rPr/>
        <w:t>第二十条</w:t>
        <w:tab/>
      </w:r>
      <w:r>
        <w:rPr>
          <w:w w:val="95"/>
        </w:rPr>
        <w:t>未还款项</w:t>
      </w:r>
    </w:p>
    <w:p>
      <w:pPr>
        <w:pStyle w:val="BodyText"/>
        <w:spacing w:line="259" w:lineRule="auto" w:before="24"/>
        <w:ind w:left="108" w:right="214"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pPr>
      <w:bookmarkStart w:name="_bookmark26" w:id="27"/>
      <w:bookmarkEnd w:id="27"/>
      <w:r>
        <w:rPr>
          <w:b w:val="0"/>
        </w:rPr>
      </w:r>
      <w:r>
        <w:rPr/>
        <w:t>第二十一条 货币及适用法律</w:t>
      </w:r>
    </w:p>
    <w:p>
      <w:pPr>
        <w:pStyle w:val="BodyText"/>
        <w:spacing w:line="259" w:lineRule="auto" w:before="23"/>
        <w:ind w:left="108" w:right="2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spacing w:after="0" w:line="259" w:lineRule="auto"/>
        <w:jc w:val="both"/>
        <w:sectPr>
          <w:pgSz w:w="11910" w:h="16840"/>
          <w:pgMar w:top="860" w:bottom="280" w:left="1140" w:right="1020"/>
        </w:sectPr>
      </w:pPr>
    </w:p>
    <w:p>
      <w:pPr>
        <w:pStyle w:val="Heading2"/>
        <w:spacing w:before="7"/>
      </w:pPr>
      <w:bookmarkStart w:name="_bookmark27" w:id="28"/>
      <w:bookmarkEnd w:id="28"/>
      <w:r>
        <w:rPr>
          <w:b w:val="0"/>
        </w:rPr>
      </w:r>
      <w:r>
        <w:rPr/>
        <w:t>第二十二条 争议处理</w:t>
      </w:r>
    </w:p>
    <w:p>
      <w:pPr>
        <w:pStyle w:val="BodyText"/>
        <w:spacing w:line="259" w:lineRule="auto" w:before="23"/>
        <w:ind w:left="108" w:right="112" w:firstLine="436"/>
      </w:pPr>
      <w:r>
        <w:rPr>
          <w:spacing w:val="-7"/>
        </w:rPr>
        <w:t>本合同履行过程中，双方发生争议不能协商解决的，可以达成仲裁协议通过仲裁解决，也可依法直接向法院提起诉讼。</w:t>
      </w:r>
    </w:p>
    <w:p>
      <w:pPr>
        <w:spacing w:line="259" w:lineRule="auto" w:before="6"/>
        <w:ind w:left="545" w:right="6945" w:hanging="437"/>
        <w:jc w:val="left"/>
        <w:rPr>
          <w:sz w:val="22"/>
        </w:rPr>
      </w:pPr>
      <w:bookmarkStart w:name="_bookmark28" w:id="29"/>
      <w:bookmarkEnd w:id="29"/>
      <w:r>
        <w:rPr/>
      </w:r>
      <w:r>
        <w:rPr>
          <w:b/>
          <w:sz w:val="22"/>
        </w:rPr>
        <w:t>第二十三条 重大疾病释义</w:t>
      </w:r>
      <w:r>
        <w:rPr>
          <w:sz w:val="22"/>
        </w:rPr>
        <w:t>重大疾病包括：</w:t>
      </w:r>
    </w:p>
    <w:p>
      <w:pPr>
        <w:pStyle w:val="BodyText"/>
        <w:spacing w:before="7"/>
      </w:pPr>
      <w:r>
        <w:rPr/>
        <w:t>一、恶性肿瘤</w:t>
      </w:r>
    </w:p>
    <w:p>
      <w:pPr>
        <w:pStyle w:val="BodyText"/>
        <w:spacing w:line="259" w:lineRule="auto" w:before="24"/>
        <w:ind w:left="108" w:right="1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5"/>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pStyle w:val="BodyText"/>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08" w:right="114"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7"/>
        <w:ind w:left="550" w:right="0" w:firstLine="0"/>
        <w:jc w:val="left"/>
        <w:rPr>
          <w:sz w:val="22"/>
        </w:rPr>
      </w:pPr>
      <w:r>
        <w:rPr>
          <w:sz w:val="22"/>
        </w:rPr>
        <w:t>1、一肢或一肢以上肢体机能完全丧失</w:t>
      </w:r>
      <w:r>
        <w:rPr>
          <w:position w:val="11"/>
          <w:sz w:val="11"/>
        </w:rPr>
        <w:t>【术语释义十七】</w:t>
      </w:r>
      <w:r>
        <w:rPr>
          <w:sz w:val="22"/>
        </w:rPr>
        <w:t>；</w:t>
      </w:r>
    </w:p>
    <w:p>
      <w:pPr>
        <w:spacing w:before="24"/>
        <w:ind w:left="550" w:right="0" w:firstLine="0"/>
        <w:jc w:val="left"/>
        <w:rPr>
          <w:sz w:val="22"/>
        </w:rPr>
      </w:pPr>
      <w:r>
        <w:rPr>
          <w:sz w:val="22"/>
        </w:rPr>
        <w:t>2、语言能力或咀嚼吞咽能力完全丧失</w:t>
      </w:r>
      <w:r>
        <w:rPr>
          <w:position w:val="11"/>
          <w:sz w:val="11"/>
        </w:rPr>
        <w:t>【术语释义十八】</w:t>
      </w:r>
      <w:r>
        <w:rPr>
          <w:sz w:val="22"/>
        </w:rPr>
        <w:t>；</w:t>
      </w:r>
    </w:p>
    <w:p>
      <w:pPr>
        <w:pStyle w:val="BodyText"/>
        <w:spacing w:line="259" w:lineRule="auto" w:before="24"/>
        <w:ind w:left="108" w:right="122" w:firstLine="441"/>
      </w:pPr>
      <w:r>
        <w:rPr/>
        <w:t>3、自主生活能力完全丧失，无法独立完成六项基本日常生活活动</w:t>
      </w:r>
      <w:r>
        <w:rPr>
          <w:position w:val="11"/>
          <w:sz w:val="11"/>
        </w:rPr>
        <w:t>【术语释义十九】</w:t>
      </w:r>
      <w:r>
        <w:rPr/>
        <w:t>中的三项或三项以上。</w:t>
      </w:r>
    </w:p>
    <w:p>
      <w:pPr>
        <w:pStyle w:val="BodyText"/>
        <w:ind w:left="545"/>
      </w:pPr>
      <w:r>
        <w:rPr/>
        <w:t>四、重大器官移植术或造血干细胞移植术</w:t>
      </w:r>
    </w:p>
    <w:p>
      <w:pPr>
        <w:pStyle w:val="BodyText"/>
        <w:spacing w:line="259" w:lineRule="auto" w:before="24"/>
        <w:ind w:left="108" w:right="115" w:firstLine="441"/>
      </w:pPr>
      <w:r>
        <w:rPr>
          <w:spacing w:val="-7"/>
        </w:rPr>
        <w:t>重大器官移植术，指因相应器官功能衰竭，已经实施了肾脏、肝脏、心脏或肺脏的异体移植手术。</w:t>
      </w:r>
    </w:p>
    <w:p>
      <w:pPr>
        <w:pStyle w:val="BodyText"/>
        <w:spacing w:line="259" w:lineRule="auto"/>
        <w:ind w:left="108" w:right="113"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pPr>
      <w:r>
        <w:rPr/>
        <w:t>六、终末期肾病（或称慢性肾功能衰竭尿毒症期）</w:t>
      </w:r>
    </w:p>
    <w:p>
      <w:pPr>
        <w:pStyle w:val="BodyText"/>
        <w:spacing w:line="259" w:lineRule="auto" w:before="24"/>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7"/>
      </w:pPr>
      <w:r>
        <w:rPr/>
        <w:t>七、多个肢体缺失</w:t>
      </w:r>
    </w:p>
    <w:p>
      <w:pPr>
        <w:pStyle w:val="BodyText"/>
        <w:spacing w:line="259" w:lineRule="auto" w:before="24"/>
        <w:ind w:left="108" w:right="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61" w:lineRule="auto" w:before="23"/>
        <w:ind w:left="108" w:right="115" w:firstLine="441"/>
      </w:pPr>
      <w:r>
        <w:rPr>
          <w:spacing w:val="-6"/>
        </w:rPr>
        <w:t>指因肝炎病毒感染引起肝脏组织弥漫性坏死，导致急性肝功能衰竭，且经血清学或病毒学检查证实，并须满足下列全部条件：</w:t>
      </w:r>
    </w:p>
    <w:p>
      <w:pPr>
        <w:spacing w:after="0" w:line="261" w:lineRule="auto"/>
        <w:sectPr>
          <w:pgSz w:w="11910" w:h="16840"/>
          <w:pgMar w:top="860" w:bottom="280" w:left="1140" w:right="1120"/>
        </w:sectPr>
      </w:pPr>
    </w:p>
    <w:p>
      <w:pPr>
        <w:pStyle w:val="BodyText"/>
        <w:spacing w:before="7"/>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59" w:lineRule="auto"/>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4"/>
          <w:w w:val="100"/>
        </w:rPr>
        <w:t>或正电子发射断层扫描</w:t>
      </w:r>
    </w:p>
    <w:p>
      <w:pPr>
        <w:pStyle w:val="BodyText"/>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left="545" w:right="618"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pPr>
      <w:r>
        <w:rPr>
          <w:spacing w:val="-3"/>
        </w:rPr>
        <w:t>指因疾病或意外伤害导致双耳听力永久不可逆</w:t>
      </w:r>
      <w:r>
        <w:rPr>
          <w:spacing w:val="-4"/>
          <w:position w:val="11"/>
          <w:sz w:val="11"/>
        </w:rPr>
        <w:t>【术语释义二十】</w:t>
      </w:r>
      <w:r>
        <w:rPr>
          <w:spacing w:val="-20"/>
        </w:rPr>
        <w:t>性丧失，在 </w:t>
      </w:r>
      <w:r>
        <w:rPr/>
        <w:t>500</w:t>
      </w:r>
      <w:r>
        <w:rPr>
          <w:spacing w:val="-31"/>
        </w:rPr>
        <w:t> 赫兹、</w:t>
      </w:r>
      <w:r>
        <w:rPr/>
        <w:t>1000</w:t>
      </w:r>
      <w:r>
        <w:rPr>
          <w:spacing w:val="-21"/>
        </w:rPr>
        <w:t> 赫兹和 </w:t>
      </w:r>
      <w:r>
        <w:rPr/>
        <w:t>2000</w:t>
      </w:r>
    </w:p>
    <w:p>
      <w:pPr>
        <w:pStyle w:val="BodyText"/>
        <w:spacing w:line="261" w:lineRule="auto" w:before="23"/>
        <w:ind w:left="108" w:right="66"/>
      </w:pPr>
      <w:r>
        <w:rPr/>
        <w:t>赫兹语音频率下，平均听阈大于 90 分贝，且经纯音听力测试、声导抗检测或听觉诱发电位检测等证实。</w:t>
      </w:r>
    </w:p>
    <w:p>
      <w:pPr>
        <w:spacing w:line="259" w:lineRule="auto" w:before="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pStyle w:val="BodyText"/>
        <w:spacing w:line="261" w:lineRule="auto" w:before="23"/>
        <w:ind w:left="108" w:right="120" w:firstLine="436"/>
      </w:pPr>
      <w:r>
        <w:rPr/>
        <w:t>指因疾病或意外伤害导致双眼视力永久不可逆性丧失，双眼中较好眼须满足下列至少一项条件：</w:t>
      </w:r>
    </w:p>
    <w:p>
      <w:pPr>
        <w:pStyle w:val="BodyText"/>
        <w:spacing w:before="4"/>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3"/>
        <w:ind w:left="108"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right="16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before="24"/>
        <w:ind w:left="545"/>
      </w:pPr>
      <w:r>
        <w:rPr/>
        <w:t>指不明原因的肺动脉压力持续性增高，进行性发展而导致的慢性疾病，已经造成永久不可逆性</w:t>
      </w:r>
    </w:p>
    <w:p>
      <w:pPr>
        <w:spacing w:after="0"/>
        <w:sectPr>
          <w:pgSz w:w="11910" w:h="16840"/>
          <w:pgMar w:top="860" w:bottom="280" w:left="1140" w:right="1120"/>
        </w:sectPr>
      </w:pPr>
    </w:p>
    <w:p>
      <w:pPr>
        <w:pStyle w:val="BodyText"/>
        <w:spacing w:line="259" w:lineRule="auto" w:before="7"/>
        <w:ind w:left="108" w:right="218"/>
      </w:pPr>
      <w:r>
        <w:rPr>
          <w:spacing w:val="-5"/>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3"/>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left="108" w:right="216" w:firstLine="441"/>
      </w:pPr>
      <w:r>
        <w:rPr>
          <w:spacing w:val="-6"/>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24"/>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0" w:right="6106"/>
        <w:jc w:val="center"/>
      </w:pPr>
      <w:r>
        <w:rPr/>
        <w:t>② 网织红细胞＜1%；</w:t>
      </w:r>
    </w:p>
    <w:p>
      <w:pPr>
        <w:spacing w:line="92" w:lineRule="exact" w:before="12"/>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spacing w:line="259" w:lineRule="auto" w:before="23"/>
        <w:ind w:left="108" w:right="105"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pStyle w:val="BodyText"/>
        <w:spacing w:before="7"/>
        <w:ind w:left="545"/>
      </w:pPr>
      <w:r>
        <w:rPr/>
        <w:t>指因慢性肝脏疾病导致肝功能衰竭。须满足下列全部条件：</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3"/>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4"/>
      </w:pPr>
      <w:r>
        <w:rPr/>
        <w:t>1、药物治疗无法控制病情；</w:t>
      </w:r>
    </w:p>
    <w:p>
      <w:pPr>
        <w:spacing w:after="0"/>
        <w:sectPr>
          <w:pgSz w:w="11910" w:h="16840"/>
          <w:pgMar w:top="860" w:bottom="280" w:left="1140" w:right="1020"/>
        </w:sectPr>
      </w:pPr>
    </w:p>
    <w:p>
      <w:pPr>
        <w:spacing w:line="259" w:lineRule="auto" w:before="7"/>
        <w:ind w:left="550" w:right="66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66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spacing w:line="259" w:lineRule="auto" w:before="24"/>
        <w:ind w:left="545" w:right="3739" w:hanging="437"/>
        <w:jc w:val="left"/>
        <w:rPr>
          <w:b/>
          <w:sz w:val="22"/>
        </w:rPr>
      </w:pPr>
      <w:r>
        <w:rPr>
          <w:sz w:val="22"/>
        </w:rPr>
        <w:t>科医生</w:t>
      </w:r>
      <w:r>
        <w:rPr>
          <w:position w:val="11"/>
          <w:sz w:val="11"/>
        </w:rPr>
        <w:t>【术语释义二十一】</w:t>
      </w:r>
      <w:r>
        <w:rPr>
          <w:sz w:val="22"/>
        </w:rPr>
        <w:t>做出，并有胰胆管逆行造影（ERCP）确证。</w:t>
      </w:r>
      <w:r>
        <w:rPr>
          <w:b/>
          <w:w w:val="95"/>
          <w:sz w:val="22"/>
        </w:rPr>
        <w:t>由酒精所致的慢性复发性胰腺炎除外。</w:t>
      </w:r>
    </w:p>
    <w:p>
      <w:pPr>
        <w:pStyle w:val="BodyText"/>
        <w:ind w:left="545"/>
      </w:pPr>
      <w:r>
        <w:rPr/>
        <w:t>二十七、多发性硬化(MS)</w:t>
      </w:r>
    </w:p>
    <w:p>
      <w:pPr>
        <w:pStyle w:val="BodyText"/>
        <w:spacing w:line="259" w:lineRule="auto" w:before="24"/>
        <w:ind w:left="108" w:right="16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pPr>
      <w:r>
        <w:rPr/>
        <w:t>必须有永久性神经损害的证据，且持续至少满 6 个月。</w:t>
      </w:r>
    </w:p>
    <w:p>
      <w:pPr>
        <w:pStyle w:val="Heading2"/>
        <w:spacing w:line="259" w:lineRule="auto" w:before="23"/>
        <w:ind w:left="545" w:right="302"/>
        <w:rPr>
          <w:b w:val="0"/>
        </w:rPr>
      </w:pPr>
      <w:r>
        <w:rPr/>
        <w:t>其他原因如系统性红斑狼疮（SLE）及人类免疫缺陷病毒（HIV）感染所致的神经损害除外。</w:t>
      </w:r>
      <w:r>
        <w:rPr>
          <w:b w:val="0"/>
        </w:rPr>
        <w:t>二十八、肌营养不良</w:t>
      </w:r>
    </w:p>
    <w:p>
      <w:pPr>
        <w:pStyle w:val="BodyText"/>
        <w:spacing w:line="259" w:lineRule="auto"/>
        <w:ind w:left="108" w:right="154"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61" w:lineRule="auto" w:before="24"/>
        <w:ind w:left="108" w:right="15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spacing w:before="4"/>
        <w:ind w:left="545"/>
      </w:pPr>
      <w:r>
        <w:rPr/>
        <w:t>三十、进行性球麻痹</w:t>
      </w:r>
    </w:p>
    <w:p>
      <w:pPr>
        <w:pStyle w:val="BodyText"/>
        <w:spacing w:line="259" w:lineRule="auto" w:before="24"/>
        <w:ind w:left="108" w:right="15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4"/>
        <w:ind w:left="108" w:right="16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3"/>
        <w:ind w:left="108" w:right="108" w:firstLine="441"/>
      </w:pPr>
      <w:r>
        <w:rPr>
          <w:spacing w:val="-5"/>
        </w:rPr>
        <w:t>指一种自身免疫性结缔组织病，于体内有大量致病性自身抗体和免疫复合物，造成组织损伤。系统性红斑狼疮的诊断必须经专科医生明确诊断，并须同时满足下列条件：</w:t>
      </w:r>
    </w:p>
    <w:p>
      <w:pPr>
        <w:pStyle w:val="BodyText"/>
      </w:pPr>
      <w:r>
        <w:rPr/>
        <w:t>1、临床表现至少具备下列条件中的 4 个：</w:t>
      </w:r>
    </w:p>
    <w:p>
      <w:pPr>
        <w:pStyle w:val="BodyText"/>
        <w:spacing w:before="23"/>
      </w:pPr>
      <w:r>
        <w:rPr/>
        <w:t>① 蝶形红斑或盘形红斑；</w:t>
      </w:r>
    </w:p>
    <w:p>
      <w:pPr>
        <w:pStyle w:val="BodyText"/>
        <w:spacing w:before="23"/>
      </w:pPr>
      <w:r>
        <w:rPr/>
        <w:t>② 光敏感；</w:t>
      </w:r>
    </w:p>
    <w:p>
      <w:pPr>
        <w:pStyle w:val="BodyText"/>
        <w:spacing w:before="23"/>
      </w:pPr>
      <w:r>
        <w:rPr/>
        <w:t>③ 口鼻腔黏膜溃疡；</w:t>
      </w:r>
    </w:p>
    <w:p>
      <w:pPr>
        <w:pStyle w:val="BodyText"/>
        <w:spacing w:before="23"/>
      </w:pPr>
      <w:r>
        <w:rPr/>
        <w:t>④ 非畸形性关节炎或多关节痛；</w:t>
      </w:r>
    </w:p>
    <w:p>
      <w:pPr>
        <w:pStyle w:val="BodyText"/>
        <w:spacing w:before="23"/>
      </w:pPr>
      <w:r>
        <w:rPr/>
        <w:t>⑤ 胸膜炎或心包炎；</w:t>
      </w:r>
    </w:p>
    <w:p>
      <w:pPr>
        <w:pStyle w:val="BodyText"/>
        <w:spacing w:before="24"/>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4"/>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BodyText"/>
        <w:spacing w:before="24"/>
      </w:pPr>
      <w:r>
        <w:rPr/>
        <w:t>2、检测结果至少具备下列条件中的 2 个：</w:t>
      </w:r>
    </w:p>
    <w:p>
      <w:pPr>
        <w:pStyle w:val="BodyText"/>
        <w:spacing w:before="24"/>
      </w:pPr>
      <w:r>
        <w:rPr/>
        <w:t>① 抗 dsDNA 抗体阳性；</w:t>
      </w:r>
    </w:p>
    <w:p>
      <w:pPr>
        <w:pStyle w:val="BodyText"/>
        <w:spacing w:before="24"/>
      </w:pPr>
      <w:r>
        <w:rPr/>
        <w:t>② 抗 Sm 抗体阳性；</w:t>
      </w:r>
    </w:p>
    <w:p>
      <w:pPr>
        <w:pStyle w:val="BodyText"/>
        <w:spacing w:before="24"/>
      </w:pPr>
      <w:r>
        <w:rPr/>
        <w:t>③ 抗核抗体阳性；</w:t>
      </w:r>
    </w:p>
    <w:p>
      <w:pPr>
        <w:pStyle w:val="BodyText"/>
        <w:spacing w:before="23"/>
      </w:pPr>
      <w:r>
        <w:rPr/>
        <w:t>④ 皮肤狼疮带试验（非病损部位）或肾活检阳性；</w:t>
      </w:r>
    </w:p>
    <w:p>
      <w:pPr>
        <w:pStyle w:val="BodyText"/>
        <w:spacing w:before="23"/>
      </w:pPr>
      <w:r>
        <w:rPr/>
        <w:t>⑤ C3 低于正常值。</w:t>
      </w:r>
    </w:p>
    <w:p>
      <w:pPr>
        <w:pStyle w:val="BodyText"/>
        <w:spacing w:before="23"/>
      </w:pPr>
      <w:r>
        <w:rPr>
          <w:w w:val="100"/>
        </w:rPr>
        <w:t>3</w:t>
      </w:r>
      <w:r>
        <w:rPr>
          <w:spacing w:val="-1"/>
          <w:w w:val="100"/>
        </w:rPr>
        <w:t>、狼疮肾炎致使肾功能减退</w:t>
      </w:r>
      <w:r>
        <w:rPr>
          <w:spacing w:val="-5"/>
          <w:w w:val="100"/>
        </w:rPr>
        <w:t>（</w:t>
      </w:r>
      <w:r>
        <w:rPr>
          <w:w w:val="100"/>
        </w:rPr>
        <w:t>或损害</w:t>
      </w:r>
      <w:r>
        <w:rPr>
          <w:spacing w:val="-111"/>
          <w:w w:val="100"/>
        </w:rPr>
        <w:t>）</w:t>
      </w:r>
      <w:r>
        <w:rPr>
          <w:spacing w:val="-3"/>
          <w:w w:val="100"/>
        </w:rPr>
        <w:t>，且符合以下条件之一：</w:t>
      </w:r>
    </w:p>
    <w:p>
      <w:pPr>
        <w:pStyle w:val="BodyText"/>
        <w:spacing w:before="24"/>
      </w:pPr>
      <w:r>
        <w:rPr/>
        <w:t>① 系统性红斑狼疮造成肾脏功能损害，尿蛋白＞2g/24 小时且持续性蛋白尿＞+++；</w:t>
      </w:r>
    </w:p>
    <w:p>
      <w:pPr>
        <w:pStyle w:val="BodyText"/>
        <w:spacing w:before="24"/>
      </w:pPr>
      <w:r>
        <w:rPr/>
        <w:t>② 符合下列 WHO 诊断标准定义的Ⅲ型至Ⅴ型狼疮性肾炎。</w:t>
      </w:r>
    </w:p>
    <w:p>
      <w:pPr>
        <w:spacing w:after="0"/>
        <w:sectPr>
          <w:pgSz w:w="11910" w:h="16840"/>
          <w:pgMar w:top="860" w:bottom="280" w:left="1140" w:right="1080"/>
        </w:sectPr>
      </w:pPr>
    </w:p>
    <w:p>
      <w:pPr>
        <w:pStyle w:val="BodyText"/>
        <w:spacing w:before="7"/>
      </w:pPr>
      <w:r>
        <w:rPr/>
        <w:t>世界卫生组织（WHO）狼疮性肾炎分型：</w:t>
      </w:r>
    </w:p>
    <w:p>
      <w:pPr>
        <w:pStyle w:val="BodyText"/>
        <w:spacing w:before="23"/>
      </w:pPr>
      <w:r>
        <w:rPr/>
        <w:t>Ⅰ型（微小病变型） 镜下阴性，尿液正常；</w:t>
      </w:r>
    </w:p>
    <w:p>
      <w:pPr>
        <w:pStyle w:val="BodyText"/>
        <w:spacing w:before="23"/>
      </w:pPr>
      <w:r>
        <w:rPr/>
        <w:t>Ⅱ型（系膜病变型） 中度蛋白尿，偶有尿沉渣改变；</w:t>
      </w:r>
    </w:p>
    <w:p>
      <w:pPr>
        <w:pStyle w:val="BodyText"/>
        <w:spacing w:before="23"/>
      </w:pPr>
      <w:r>
        <w:rPr/>
        <w:t>Ⅲ型（局灶及节段增生型） 蛋白尿，尿沉渣改变；</w:t>
      </w:r>
    </w:p>
    <w:p>
      <w:pPr>
        <w:pStyle w:val="BodyText"/>
        <w:spacing w:before="23"/>
      </w:pPr>
      <w:r>
        <w:rPr/>
        <w:t>Ⅳ型（弥漫增生型） 急性肾炎伴有尿沉渣改变及/或肾病综合征；</w:t>
      </w:r>
    </w:p>
    <w:p>
      <w:pPr>
        <w:pStyle w:val="BodyText"/>
        <w:spacing w:line="259" w:lineRule="auto" w:before="24"/>
        <w:ind w:left="545" w:right="5015" w:firstLine="4"/>
      </w:pPr>
      <w:r>
        <w:rPr/>
        <w:t>Ⅴ型（膜型） 肾病综合征或重度蛋白尿。三十三、溶血性链球菌坏疽</w:t>
      </w:r>
    </w:p>
    <w:p>
      <w:pPr>
        <w:pStyle w:val="BodyText"/>
        <w:spacing w:line="259" w:lineRule="auto"/>
        <w:ind w:left="108" w:right="1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59" w:lineRule="auto" w:before="24"/>
        <w:ind w:left="108" w:right="124"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line="259" w:lineRule="auto" w:before="23"/>
        <w:ind w:left="545" w:right="5301"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59" w:lineRule="auto" w:before="24"/>
        <w:ind w:right="1829"/>
      </w:pPr>
      <w:r>
        <w:rPr/>
        <w:t>诊断必须由神经科专科医生确定，临床情况必须有至少一个月的书面记载。三十六、严重原发性心肌病</w:t>
      </w:r>
    </w:p>
    <w:p>
      <w:pPr>
        <w:spacing w:line="259" w:lineRule="auto" w:before="6"/>
        <w:ind w:left="108" w:right="113" w:firstLine="441"/>
        <w:jc w:val="both"/>
        <w:rPr>
          <w:b/>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ind w:left="108" w:right="58" w:firstLine="441"/>
      </w:pPr>
      <w:r>
        <w:rPr/>
        <w:t>纽约心脏病学会的心功能分级标准之心功能 IV 级是指病人不能进行任何活动，休息时仍有心悸、呼吸困难等心力衰竭表现。</w:t>
      </w:r>
    </w:p>
    <w:p>
      <w:pPr>
        <w:pStyle w:val="BodyText"/>
      </w:pPr>
      <w:r>
        <w:rPr/>
        <w:t>三十七、严重重症肌无力</w:t>
      </w:r>
    </w:p>
    <w:p>
      <w:pPr>
        <w:pStyle w:val="BodyText"/>
        <w:spacing w:line="259" w:lineRule="auto" w:before="25"/>
        <w:ind w:left="108" w:right="1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BodyText"/>
      </w:pPr>
      <w:r>
        <w:rPr/>
        <w:t>1、经药物治疗或胸腺手术治疗一年以上无法控制病情，症状缓解、复发及恶化交替出现；</w:t>
      </w:r>
    </w:p>
    <w:p>
      <w:pPr>
        <w:pStyle w:val="BodyText"/>
        <w:spacing w:line="259" w:lineRule="auto" w:before="23"/>
        <w:ind w:right="619"/>
      </w:pPr>
      <w:r>
        <w:rPr/>
        <w:t>2、自主生活能力完全丧失，无法独立完成六项基本日常生活活动中的三项或三项以上。三十八、严重克隆病</w:t>
      </w:r>
    </w:p>
    <w:p>
      <w:pPr>
        <w:pStyle w:val="BodyText"/>
        <w:spacing w:line="261" w:lineRule="auto"/>
        <w:ind w:left="108" w:right="1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4"/>
      </w:pPr>
      <w:r>
        <w:rPr/>
        <w:t>三十九、经输血导致的人类免疫缺陷病毒感染</w:t>
      </w:r>
    </w:p>
    <w:p>
      <w:pPr>
        <w:pStyle w:val="BodyText"/>
        <w:spacing w:before="24"/>
      </w:pPr>
      <w:r>
        <w:rPr/>
        <w:t>被保险人感染上人类免疫缺陷病毒（HIV）并且符合下列所有条件：</w:t>
      </w:r>
    </w:p>
    <w:p>
      <w:pPr>
        <w:pStyle w:val="BodyText"/>
        <w:spacing w:before="24"/>
      </w:pPr>
      <w:r>
        <w:rPr/>
        <w:t>1、在合同成立日或复效日之后，被保险人因治疗必需而接受输血，并且因输血而感染 HIV；</w:t>
      </w:r>
    </w:p>
    <w:p>
      <w:pPr>
        <w:pStyle w:val="BodyText"/>
        <w:spacing w:line="261" w:lineRule="auto" w:before="24"/>
        <w:ind w:left="108" w:right="125" w:firstLine="441"/>
      </w:pPr>
      <w:r>
        <w:rPr/>
        <w:t>2、提供输血治疗的输血中心或医院出具该项输血感染属医疗责任事故的报告，或者法院终审裁定为医疗责任；</w:t>
      </w:r>
    </w:p>
    <w:p>
      <w:pPr>
        <w:pStyle w:val="BodyText"/>
        <w:spacing w:before="4"/>
      </w:pPr>
      <w:r>
        <w:rPr/>
        <w:t>3、提供输血治疗的输血中心或医院必须拥有合法经营执照；</w:t>
      </w:r>
    </w:p>
    <w:p>
      <w:pPr>
        <w:pStyle w:val="BodyText"/>
        <w:spacing w:before="23"/>
      </w:pPr>
      <w:r>
        <w:rPr/>
        <w:t>4、受感染的被保险人不是血友病患者。</w:t>
      </w:r>
    </w:p>
    <w:p>
      <w:pPr>
        <w:pStyle w:val="Heading2"/>
        <w:spacing w:line="259" w:lineRule="auto" w:before="23"/>
        <w:ind w:right="1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6"/>
        <w:ind w:left="550" w:right="0" w:firstLine="0"/>
        <w:jc w:val="left"/>
        <w:rPr>
          <w:b/>
          <w:sz w:val="22"/>
        </w:rPr>
      </w:pPr>
      <w:r>
        <w:rPr>
          <w:b/>
          <w:sz w:val="22"/>
        </w:rPr>
        <w:t>任何因其他传播方式（包括：性传播或静脉注射毒品）导致的 HIV 感染不在保障范围内。</w:t>
      </w:r>
    </w:p>
    <w:p>
      <w:pPr>
        <w:spacing w:after="0"/>
        <w:jc w:val="left"/>
        <w:rPr>
          <w:sz w:val="22"/>
        </w:rPr>
        <w:sectPr>
          <w:pgSz w:w="11910" w:h="16840"/>
          <w:pgMar w:top="860" w:bottom="280" w:left="1140" w:right="1120"/>
        </w:sectPr>
      </w:pPr>
    </w:p>
    <w:p>
      <w:pPr>
        <w:pStyle w:val="BodyText"/>
        <w:spacing w:line="259" w:lineRule="auto" w:before="7"/>
        <w:ind w:left="108" w:right="114" w:firstLine="441"/>
      </w:pPr>
      <w:r>
        <w:rPr/>
        <w:t>保险公司必须拥有获得和使用被保险人的血液样本的权利和能够对这些样本进行独立检验的权利。</w:t>
      </w:r>
    </w:p>
    <w:p>
      <w:pPr>
        <w:pStyle w:val="BodyText"/>
      </w:pPr>
      <w:r>
        <w:rPr/>
        <w:t>四十、慢性呼吸功能衰竭</w:t>
      </w:r>
    </w:p>
    <w:p>
      <w:pPr>
        <w:pStyle w:val="BodyText"/>
        <w:spacing w:line="259" w:lineRule="auto" w:before="24"/>
        <w:ind w:left="108" w:right="116" w:firstLine="441"/>
      </w:pPr>
      <w:r>
        <w:rPr>
          <w:spacing w:val="-6"/>
        </w:rPr>
        <w:t>慢性肺部疾病导致永久不可逆性的慢性呼吸功能衰竭，必须由呼吸专科医师确认并符合下列所有条件：</w:t>
      </w:r>
    </w:p>
    <w:p>
      <w:pPr>
        <w:pStyle w:val="BodyText"/>
        <w:spacing w:before="7"/>
      </w:pPr>
      <w:r>
        <w:rPr/>
        <w:t>1、休息时出现呼吸困难；</w:t>
      </w:r>
    </w:p>
    <w:p>
      <w:pPr>
        <w:pStyle w:val="BodyText"/>
        <w:spacing w:before="24"/>
      </w:pPr>
      <w:r>
        <w:rPr/>
        <w:t>2、动脉氧分压 （PaO2）&lt; 50mmHg；</w:t>
      </w:r>
    </w:p>
    <w:p>
      <w:pPr>
        <w:pStyle w:val="BodyText"/>
        <w:spacing w:before="24"/>
      </w:pPr>
      <w:r>
        <w:rPr/>
        <w:t>3、动脉血氧饱和度 （SaO2）&lt; 80％；</w:t>
      </w:r>
    </w:p>
    <w:p>
      <w:pPr>
        <w:pStyle w:val="BodyText"/>
        <w:spacing w:before="24"/>
      </w:pPr>
      <w:r>
        <w:rPr/>
        <w:t>4、因缺氧必须接受持续的输氧治疗。</w:t>
      </w:r>
    </w:p>
    <w:p>
      <w:pPr>
        <w:pStyle w:val="BodyText"/>
        <w:spacing w:before="24"/>
      </w:pPr>
      <w:r>
        <w:rPr/>
        <w:t>四十一、Ｉ型糖尿病（或称胰岛素依赖型糖尿病）</w:t>
      </w:r>
    </w:p>
    <w:p>
      <w:pPr>
        <w:pStyle w:val="BodyText"/>
        <w:spacing w:line="259" w:lineRule="auto" w:before="24"/>
        <w:ind w:left="108" w:right="116" w:firstLine="441"/>
        <w:jc w:val="both"/>
      </w:pPr>
      <w:r>
        <w:rPr>
          <w:spacing w:val="-6"/>
        </w:rPr>
        <w:t>指因严重的胰岛素缺乏导致的一组糖、脂肪、蛋白质代谢异常综合症，并且须依赖外源性胰岛</w:t>
      </w:r>
      <w:r>
        <w:rPr>
          <w:spacing w:val="-10"/>
        </w:rPr>
        <w:t>素进行机体的葡萄糖代谢和维持生命。本病须经专科医生明确诊断，同时经血胰岛素测定、血 </w:t>
      </w:r>
      <w:r>
        <w:rPr/>
        <w:t>C</w:t>
      </w:r>
      <w:r>
        <w:rPr>
          <w:spacing w:val="-22"/>
        </w:rPr>
        <w:t> 肽</w:t>
      </w:r>
      <w:r>
        <w:rPr>
          <w:spacing w:val="-28"/>
        </w:rPr>
        <w:t>测定或尿 </w:t>
      </w:r>
      <w:r>
        <w:rPr/>
        <w:t>C</w:t>
      </w:r>
      <w:r>
        <w:rPr>
          <w:spacing w:val="-12"/>
        </w:rPr>
        <w:t> 肽测定结果证实，已经接受了持续的胰岛素治疗 </w:t>
      </w:r>
      <w:r>
        <w:rPr/>
        <w:t>180</w:t>
      </w:r>
      <w:r>
        <w:rPr>
          <w:spacing w:val="-10"/>
        </w:rPr>
        <w:t> 天以上，并须满足下列至少一项条件：</w:t>
      </w:r>
    </w:p>
    <w:p>
      <w:pPr>
        <w:pStyle w:val="BodyText"/>
      </w:pPr>
      <w:r>
        <w:rPr/>
        <w:t>1、并发增殖性视网膜病变；</w:t>
      </w:r>
    </w:p>
    <w:p>
      <w:pPr>
        <w:pStyle w:val="BodyText"/>
        <w:spacing w:before="24"/>
      </w:pPr>
      <w:r>
        <w:rPr/>
        <w:t>2、并发心脏病变，并须植入心脏起搏器进行治疗；</w:t>
      </w:r>
    </w:p>
    <w:p>
      <w:pPr>
        <w:pStyle w:val="BodyText"/>
        <w:spacing w:before="23"/>
      </w:pPr>
      <w:r>
        <w:rPr/>
        <w:t>3、至少一个脚趾发生坏疽并已实施手术切除。</w:t>
      </w:r>
    </w:p>
    <w:p>
      <w:pPr>
        <w:pStyle w:val="BodyText"/>
        <w:spacing w:before="23"/>
      </w:pPr>
      <w:r>
        <w:rPr/>
        <w:t>四十二、严重川崎病（或称皮肤粘膜淋巴结综合征）</w:t>
      </w:r>
    </w:p>
    <w:p>
      <w:pPr>
        <w:pStyle w:val="BodyText"/>
        <w:spacing w:line="259" w:lineRule="auto" w:before="23"/>
        <w:ind w:left="108" w:right="116" w:firstLine="441"/>
      </w:pPr>
      <w:r>
        <w:rPr>
          <w:spacing w:val="-7"/>
        </w:rPr>
        <w:t>指一种原因未明的血管炎综合征，临床表现为急性发热，皮肤粘膜病损和淋巴结肿大。本病须经专科医生明确诊断，同时须由血管造影或超声心动图检查证实，满足下列至少一项条件：</w:t>
      </w:r>
    </w:p>
    <w:p>
      <w:pPr>
        <w:pStyle w:val="BodyText"/>
      </w:pPr>
      <w:r>
        <w:rPr/>
        <w:t>1、伴有冠状动脉瘤，且冠状动脉瘤于最初急性发病后持续至少一百八十天；</w:t>
      </w:r>
    </w:p>
    <w:p>
      <w:pPr>
        <w:pStyle w:val="BodyText"/>
        <w:spacing w:line="259" w:lineRule="auto" w:before="23"/>
        <w:ind w:right="2597"/>
      </w:pPr>
      <w:r>
        <w:rPr/>
        <w:t>2、伴有冠状动脉瘤，且实际接受了对冠状动脉瘤进行的手术治疗。四十三、严重幼年性类风湿关节炎（或称斯蒂尔病）</w:t>
      </w:r>
    </w:p>
    <w:p>
      <w:pPr>
        <w:pStyle w:val="BodyText"/>
        <w:spacing w:line="259" w:lineRule="auto"/>
        <w:ind w:left="108" w:right="115" w:firstLine="441"/>
        <w:jc w:val="both"/>
      </w:pPr>
      <w:r>
        <w:rPr>
          <w:spacing w:val="-7"/>
        </w:rPr>
        <w:t>指一种少儿的结缔组织病，以慢性关节炎为其主要特点，并伴有全身多个系统的受累，包括关</w:t>
      </w:r>
      <w:r>
        <w:rPr>
          <w:spacing w:val="-9"/>
        </w:rPr>
        <w:t>节、肌肉、肝、脾、淋巴结等。本病须经专科医生明确诊断，同时须已经实施膝关节或髋关节置换手术。</w:t>
      </w:r>
    </w:p>
    <w:p>
      <w:pPr>
        <w:pStyle w:val="BodyText"/>
      </w:pPr>
      <w:r>
        <w:rPr/>
        <w:t>四十四、严重心肌炎</w:t>
      </w:r>
    </w:p>
    <w:p>
      <w:pPr>
        <w:pStyle w:val="BodyText"/>
        <w:spacing w:line="259" w:lineRule="auto" w:before="23"/>
        <w:ind w:left="108" w:right="112" w:firstLine="441"/>
      </w:pPr>
      <w:r>
        <w:rPr>
          <w:spacing w:val="-8"/>
        </w:rPr>
        <w:t>指心肌局限性或弥漫性的急性或慢性炎症病变，导致至少持续 </w:t>
      </w:r>
      <w:r>
        <w:rPr/>
        <w:t>6</w:t>
      </w:r>
      <w:r>
        <w:rPr>
          <w:spacing w:val="-7"/>
        </w:rPr>
        <w:t> 个月的心功能损害并经专科医生明确诊断。严重的心功能损害必须具备如下条件：</w:t>
      </w:r>
    </w:p>
    <w:p>
      <w:pPr>
        <w:pStyle w:val="BodyText"/>
      </w:pPr>
      <w:r>
        <w:rPr/>
        <w:t>1、左室腔扩大至少达到正常值上限的 120%；</w:t>
      </w:r>
    </w:p>
    <w:p>
      <w:pPr>
        <w:pStyle w:val="BodyText"/>
        <w:spacing w:line="259" w:lineRule="auto" w:before="24"/>
        <w:ind w:right="5670"/>
      </w:pPr>
      <w:r>
        <w:rPr/>
        <w:t>2、左室射血分数持续性低于 40%。四十五、严重哮喘</w:t>
      </w:r>
    </w:p>
    <w:p>
      <w:pPr>
        <w:pStyle w:val="BodyText"/>
        <w:spacing w:line="259" w:lineRule="auto"/>
        <w:ind w:left="108" w:right="116" w:firstLine="441"/>
      </w:pPr>
      <w:r>
        <w:rPr>
          <w:spacing w:val="-6"/>
        </w:rPr>
        <w:t>被保险人必须在过去两年内曾发生哮喘持续状态，并符合以下其中三项标准，本公司才承担保险责任：</w:t>
      </w:r>
    </w:p>
    <w:p>
      <w:pPr>
        <w:pStyle w:val="BodyText"/>
      </w:pPr>
      <w:r>
        <w:rPr/>
        <w:t>1</w:t>
      </w:r>
      <w:r>
        <w:rPr>
          <w:spacing w:val="-5"/>
        </w:rPr>
        <w:t>、呼气峰流量持续严重受限</w:t>
      </w:r>
      <w:r>
        <w:rPr>
          <w:spacing w:val="-135"/>
        </w:rPr>
        <w:t>。</w:t>
      </w:r>
      <w:r>
        <w:rPr>
          <w:spacing w:val="-5"/>
        </w:rPr>
        <w:t>（</w:t>
      </w:r>
      <w:r>
        <w:rPr>
          <w:spacing w:val="-4"/>
        </w:rPr>
        <w:t>呼气峰流量严重受限指使用激动剂后最高呼气流量预计值小于</w:t>
      </w:r>
    </w:p>
    <w:p>
      <w:pPr>
        <w:pStyle w:val="BodyText"/>
        <w:spacing w:line="261" w:lineRule="auto" w:before="23"/>
        <w:ind w:left="108" w:right="113"/>
      </w:pPr>
      <w:r>
        <w:rPr/>
        <w:t>60%</w:t>
      </w:r>
      <w:r>
        <w:rPr>
          <w:spacing w:val="-111"/>
        </w:rPr>
        <w:t>。</w:t>
      </w:r>
      <w:r>
        <w:rPr/>
        <w:t>）</w:t>
      </w:r>
      <w:r>
        <w:rPr>
          <w:spacing w:val="-5"/>
        </w:rPr>
        <w:t>测试记录应由专科医师在至少 </w:t>
      </w:r>
      <w:r>
        <w:rPr>
          <w:spacing w:val="-3"/>
        </w:rPr>
        <w:t>12</w:t>
      </w:r>
      <w:r>
        <w:rPr>
          <w:spacing w:val="-11"/>
        </w:rPr>
        <w:t> 个月中、间隔不少于 </w:t>
      </w:r>
      <w:r>
        <w:rPr/>
        <w:t>1</w:t>
      </w:r>
      <w:r>
        <w:rPr>
          <w:spacing w:val="-18"/>
        </w:rPr>
        <w:t> 个月的 </w:t>
      </w:r>
      <w:r>
        <w:rPr/>
        <w:t>4</w:t>
      </w:r>
      <w:r>
        <w:rPr>
          <w:spacing w:val="-8"/>
        </w:rPr>
        <w:t> 个不同时间取得。专科医师应确认在获取该记录的时间段内，患者接受了最佳的哮喘药物治疗；</w:t>
      </w:r>
    </w:p>
    <w:p>
      <w:pPr>
        <w:pStyle w:val="BodyText"/>
        <w:spacing w:before="4"/>
      </w:pPr>
      <w:r>
        <w:rPr/>
        <w:t>2、长期胸腔过度膨胀而导致胸腔畸形；</w:t>
      </w:r>
    </w:p>
    <w:p>
      <w:pPr>
        <w:pStyle w:val="BodyText"/>
        <w:spacing w:before="24"/>
      </w:pPr>
      <w:r>
        <w:rPr/>
        <w:t>3、在家及在静息状态下需要吸氧；</w:t>
      </w:r>
    </w:p>
    <w:p>
      <w:pPr>
        <w:pStyle w:val="BodyText"/>
        <w:spacing w:before="24"/>
      </w:pPr>
      <w:r>
        <w:rPr/>
        <w:t>4、持续的每天服用类固醇药物(至少持续六个月以上)；</w:t>
      </w:r>
    </w:p>
    <w:p>
      <w:pPr>
        <w:pStyle w:val="BodyText"/>
        <w:spacing w:before="24"/>
      </w:pPr>
      <w:r>
        <w:rPr/>
        <w:t>5</w:t>
      </w:r>
      <w:r>
        <w:rPr>
          <w:spacing w:val="-9"/>
        </w:rPr>
        <w:t>、在过去 </w:t>
      </w:r>
      <w:r>
        <w:rPr/>
        <w:t>2</w:t>
      </w:r>
      <w:r>
        <w:rPr>
          <w:spacing w:val="-9"/>
        </w:rPr>
        <w:t> 年中为控制哮喘的急性发作，平均 </w:t>
      </w:r>
      <w:r>
        <w:rPr/>
        <w:t>1</w:t>
      </w:r>
      <w:r>
        <w:rPr>
          <w:spacing w:val="-16"/>
        </w:rPr>
        <w:t> 年中至少 </w:t>
      </w:r>
      <w:r>
        <w:rPr/>
        <w:t>3</w:t>
      </w:r>
      <w:r>
        <w:rPr>
          <w:spacing w:val="-7"/>
        </w:rPr>
        <w:t> 次住院治疗。住院治疗是指在专</w:t>
      </w:r>
    </w:p>
    <w:p>
      <w:pPr>
        <w:pStyle w:val="BodyText"/>
        <w:spacing w:line="259" w:lineRule="auto" w:before="24"/>
        <w:ind w:right="3810" w:hanging="442"/>
      </w:pPr>
      <w:r>
        <w:rPr>
          <w:spacing w:val="-5"/>
        </w:rPr>
        <w:t>科医师的建议下，由于哮喘而持续住院治疗至少 </w:t>
      </w:r>
      <w:r>
        <w:rPr/>
        <w:t>2</w:t>
      </w:r>
      <w:r>
        <w:rPr>
          <w:spacing w:val="-12"/>
        </w:rPr>
        <w:t> 个夜晚。</w:t>
      </w:r>
      <w:r>
        <w:rPr>
          <w:spacing w:val="-10"/>
        </w:rPr>
        <w:t>四十六、重症手足口病</w:t>
      </w:r>
    </w:p>
    <w:p>
      <w:pPr>
        <w:pStyle w:val="BodyText"/>
        <w:spacing w:line="259" w:lineRule="auto"/>
        <w:ind w:left="108" w:right="115" w:firstLine="441"/>
      </w:pPr>
      <w:r>
        <w:rPr>
          <w:spacing w:val="-9"/>
        </w:rPr>
        <w:t>是由肠道病毒引起的急性传染病，主要症状表现为手、足、口腔等部位的斑丘疹、疱疹。重症</w:t>
      </w:r>
      <w:r>
        <w:rPr>
          <w:spacing w:val="-8"/>
        </w:rPr>
        <w:t>手足口病必须符合下列全部条件：</w:t>
      </w:r>
    </w:p>
    <w:p>
      <w:pPr>
        <w:pStyle w:val="BodyText"/>
      </w:pPr>
      <w:r>
        <w:rPr/>
        <w:t>1、经专科医生诊断为手足口病；</w:t>
      </w:r>
    </w:p>
    <w:p>
      <w:pPr>
        <w:pStyle w:val="BodyText"/>
        <w:spacing w:before="24"/>
      </w:pPr>
      <w:r>
        <w:rPr/>
        <w:t>2、伴有所列危重并发症之一：脑膜炎、脑炎、脑脊髓炎、肺水肿；</w:t>
      </w:r>
    </w:p>
    <w:p>
      <w:pPr>
        <w:spacing w:after="0"/>
        <w:sectPr>
          <w:pgSz w:w="11910" w:h="16840"/>
          <w:pgMar w:top="860" w:bottom="280" w:left="1140" w:right="1120"/>
        </w:sectPr>
      </w:pPr>
    </w:p>
    <w:p>
      <w:pPr>
        <w:pStyle w:val="BodyText"/>
        <w:spacing w:line="259" w:lineRule="auto" w:before="7"/>
        <w:ind w:right="6888"/>
      </w:pPr>
      <w:r>
        <w:rPr/>
        <w:t>3、接受了住院治疗。四十七、骨生长不全症</w:t>
      </w:r>
    </w:p>
    <w:p>
      <w:pPr>
        <w:pStyle w:val="BodyText"/>
        <w:spacing w:line="259" w:lineRule="auto"/>
        <w:ind w:left="108" w:right="113" w:firstLine="441"/>
      </w:pPr>
      <w:r>
        <w:rPr>
          <w:spacing w:val="-7"/>
        </w:rPr>
        <w:t>指一种胶元病，特征为骨易碎、骨质疏松和易骨折。该病有 </w:t>
      </w:r>
      <w:r>
        <w:rPr/>
        <w:t>4</w:t>
      </w:r>
      <w:r>
        <w:rPr>
          <w:spacing w:val="-9"/>
        </w:rPr>
        <w:t> 种类型：Ⅰ型、Ⅱ型、Ⅲ型、Ⅳ 型。</w:t>
      </w:r>
    </w:p>
    <w:p>
      <w:pPr>
        <w:pStyle w:val="BodyText"/>
        <w:spacing w:line="259" w:lineRule="auto"/>
        <w:ind w:left="108" w:right="113" w:firstLine="441"/>
        <w:jc w:val="both"/>
      </w:pPr>
      <w:r>
        <w:rPr>
          <w:b/>
          <w:spacing w:val="-1"/>
        </w:rPr>
        <w:t>本产品只对Ⅲ型成骨不全予以理赔。</w:t>
      </w:r>
      <w:r>
        <w:rPr>
          <w:spacing w:val="-7"/>
        </w:rPr>
        <w:t>其主要临床特点有：发育迟缓、多发性骨折、进行性脊柱后侧凸及听力损害。Ⅲ型成骨不全的诊断必须根据身体检查、家族史、</w:t>
      </w:r>
      <w:r>
        <w:rPr/>
        <w:t>X</w:t>
      </w:r>
      <w:r>
        <w:rPr>
          <w:spacing w:val="-5"/>
        </w:rPr>
        <w:t> 线检查和皮肤活检报告资料并由专科医生确诊。</w:t>
      </w:r>
    </w:p>
    <w:p>
      <w:pPr>
        <w:pStyle w:val="BodyText"/>
      </w:pPr>
      <w:r>
        <w:rPr/>
        <w:t>四十八、婴儿进行性脊肌萎缩症</w:t>
      </w:r>
    </w:p>
    <w:p>
      <w:pPr>
        <w:pStyle w:val="BodyText"/>
        <w:spacing w:line="259" w:lineRule="auto" w:before="24"/>
        <w:ind w:left="108" w:right="116" w:firstLine="441"/>
      </w:pPr>
      <w:r>
        <w:rPr>
          <w:spacing w:val="-6"/>
        </w:rPr>
        <w:t>该病是累及脊髓前角细胞及延髓运动核的神经元退行性变性病。在出生后两年内出现的脊髓和脑干颅神经前角细胞进行性机能障碍，伴随肌肉无力和延髓机能障碍。</w:t>
      </w:r>
    </w:p>
    <w:p>
      <w:pPr>
        <w:spacing w:line="259" w:lineRule="auto" w:before="7"/>
        <w:ind w:left="108" w:right="116" w:firstLine="441"/>
        <w:jc w:val="both"/>
        <w:rPr>
          <w:b/>
          <w:sz w:val="22"/>
        </w:rPr>
      </w:pPr>
      <w:r>
        <w:rPr>
          <w:spacing w:val="-6"/>
          <w:sz w:val="22"/>
        </w:rPr>
        <w:t>该病必须经由神经科医师通过肌肉活检而确诊。理赔时必须提供肌肉活检的病理报告。</w:t>
      </w:r>
      <w:r>
        <w:rPr>
          <w:b/>
          <w:sz w:val="22"/>
        </w:rPr>
        <w:t>其它类</w:t>
      </w:r>
      <w:r>
        <w:rPr>
          <w:b/>
          <w:spacing w:val="-2"/>
          <w:sz w:val="22"/>
        </w:rPr>
        <w:t>型的脊肌萎缩症如Ⅱ型中间型进行性脊肌萎缩症，Ⅲ型少年型脊肌萎缩症</w:t>
      </w:r>
      <w:r>
        <w:rPr>
          <w:b/>
          <w:sz w:val="22"/>
        </w:rPr>
        <w:t>(Kugelberg-Welander</w:t>
      </w:r>
      <w:r>
        <w:rPr>
          <w:b/>
          <w:spacing w:val="-27"/>
          <w:sz w:val="22"/>
        </w:rPr>
        <w:t> 氏</w:t>
      </w:r>
      <w:r>
        <w:rPr>
          <w:b/>
          <w:spacing w:val="-27"/>
          <w:w w:val="95"/>
          <w:sz w:val="22"/>
        </w:rPr>
        <w:t>病)不在本保障范围之内。</w:t>
      </w:r>
    </w:p>
    <w:p>
      <w:pPr>
        <w:pStyle w:val="BodyText"/>
        <w:spacing w:before="4"/>
        <w:ind w:left="0"/>
        <w:rPr>
          <w:b/>
          <w:sz w:val="24"/>
        </w:rPr>
      </w:pPr>
    </w:p>
    <w:p>
      <w:pPr>
        <w:spacing w:line="261" w:lineRule="auto" w:before="0"/>
        <w:ind w:left="550" w:right="6945" w:hanging="442"/>
        <w:jc w:val="left"/>
        <w:rPr>
          <w:sz w:val="22"/>
        </w:rPr>
      </w:pPr>
      <w:bookmarkStart w:name="_bookmark29" w:id="30"/>
      <w:bookmarkEnd w:id="30"/>
      <w:r>
        <w:rPr/>
      </w:r>
      <w:r>
        <w:rPr>
          <w:b/>
          <w:sz w:val="22"/>
        </w:rPr>
        <w:t>第二十四条 轻症疾病释义</w:t>
      </w:r>
      <w:r>
        <w:rPr>
          <w:sz w:val="22"/>
        </w:rPr>
        <w:t>轻症疾病包括：</w:t>
      </w:r>
    </w:p>
    <w:p>
      <w:pPr>
        <w:pStyle w:val="BodyText"/>
        <w:spacing w:before="3"/>
      </w:pPr>
      <w:r>
        <w:rPr/>
        <w:t>一、极早期恶性肿瘤或恶性病变</w:t>
      </w:r>
    </w:p>
    <w:p>
      <w:pPr>
        <w:pStyle w:val="BodyText"/>
        <w:spacing w:before="23"/>
      </w:pPr>
      <w:r>
        <w:rPr/>
        <w:t>指经组织病理学检查被明确诊断为下列恶性病变，并且接受了相应的治疗。</w:t>
      </w:r>
    </w:p>
    <w:p>
      <w:pPr>
        <w:pStyle w:val="BodyText"/>
        <w:spacing w:before="23"/>
      </w:pPr>
      <w:r>
        <w:rPr/>
        <w:t>1、原位癌*；</w:t>
      </w:r>
    </w:p>
    <w:p>
      <w:pPr>
        <w:pStyle w:val="BodyText"/>
        <w:spacing w:before="23"/>
      </w:pPr>
      <w:r>
        <w:rPr/>
        <w:t>2、相当于 Binet 分期方案 A 期程度的慢性淋巴细胞白血病</w:t>
      </w:r>
    </w:p>
    <w:p>
      <w:pPr>
        <w:pStyle w:val="BodyText"/>
        <w:spacing w:before="24"/>
      </w:pPr>
      <w:r>
        <w:rPr/>
        <w:t>3、相当于 Ann Arbor 分期方案 I 期程度的何杰金氏病</w:t>
      </w:r>
    </w:p>
    <w:p>
      <w:pPr>
        <w:pStyle w:val="Heading2"/>
        <w:spacing w:before="24"/>
        <w:ind w:left="550"/>
      </w:pPr>
      <w:r>
        <w:rPr>
          <w:b w:val="0"/>
        </w:rPr>
        <w:t>4、皮肤癌</w:t>
      </w:r>
      <w:r>
        <w:rPr/>
        <w:t>（不包括恶性黑色素瘤及已发生转移的皮肤癌）</w:t>
      </w:r>
    </w:p>
    <w:p>
      <w:pPr>
        <w:pStyle w:val="BodyText"/>
        <w:spacing w:before="24"/>
      </w:pPr>
      <w:r>
        <w:rPr/>
        <w:t>5、TNM 分期为 T1N0M0 期或更轻分期的前列腺癌。</w:t>
      </w:r>
    </w:p>
    <w:p>
      <w:pPr>
        <w:pStyle w:val="BodyText"/>
        <w:spacing w:before="24"/>
      </w:pPr>
      <w:r>
        <w:rPr/>
        <w:t>* 原位癌</w:t>
      </w:r>
    </w:p>
    <w:p>
      <w:pPr>
        <w:pStyle w:val="BodyText"/>
        <w:spacing w:line="261" w:lineRule="auto" w:before="24"/>
        <w:ind w:left="108" w:right="11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4"/>
        <w:ind w:left="550" w:right="4234" w:firstLine="0"/>
        <w:jc w:val="left"/>
        <w:rPr>
          <w:sz w:val="22"/>
        </w:rPr>
      </w:pPr>
      <w:r>
        <w:rPr>
          <w:b/>
          <w:sz w:val="22"/>
        </w:rPr>
        <w:t>除外感染艾滋病毒或患艾滋病期间所患恶性肿瘤。</w:t>
      </w:r>
      <w:r>
        <w:rPr>
          <w:sz w:val="22"/>
        </w:rPr>
        <w:t>二、轻微脑中风</w:t>
      </w:r>
    </w:p>
    <w:p>
      <w:pPr>
        <w:pStyle w:val="BodyText"/>
        <w:spacing w:line="259" w:lineRule="auto"/>
        <w:ind w:left="108" w:right="122" w:firstLine="441"/>
        <w:jc w:val="both"/>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BodyText"/>
      </w:pPr>
      <w:r>
        <w:rPr/>
        <w:t>1、一肢或一肢以上肢体机能部分丧失，其肢体肌力为Ⅲ级，或小于Ⅲ级。</w:t>
      </w:r>
    </w:p>
    <w:p>
      <w:pPr>
        <w:spacing w:line="259" w:lineRule="auto" w:before="24"/>
        <w:ind w:left="550" w:right="1061" w:firstLine="0"/>
        <w:jc w:val="left"/>
        <w:rPr>
          <w:b/>
          <w:sz w:val="22"/>
        </w:rPr>
      </w:pPr>
      <w:r>
        <w:rPr>
          <w:sz w:val="22"/>
        </w:rPr>
        <w:t>2、自主生活能力部分丧失，无法独立完成六项基本日常生活活动中的一项或两项。</w:t>
      </w:r>
      <w:r>
        <w:rPr>
          <w:b/>
          <w:sz w:val="22"/>
        </w:rPr>
        <w:t>短暂性脑缺血发作(TIA) 和腔隙性脑梗塞不在保障范围。</w:t>
      </w:r>
    </w:p>
    <w:p>
      <w:pPr>
        <w:pStyle w:val="BodyText"/>
      </w:pPr>
      <w:r>
        <w:rPr/>
        <w:t>三、冠状动脉介入手术（非开胸手术）</w:t>
      </w:r>
    </w:p>
    <w:p>
      <w:pPr>
        <w:pStyle w:val="BodyText"/>
        <w:spacing w:line="261" w:lineRule="auto" w:before="23"/>
        <w:ind w:left="108" w:right="11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before="3"/>
        <w:ind w:left="530" w:right="506" w:firstLine="19"/>
      </w:pPr>
      <w:r>
        <w:rPr/>
        <w:t>1、有一支或者一支以上主要冠状动脉管腔狭窄，管腔横截面面积减少超过60%或者以上。主要冠状动脉是指：左冠状动脉主干，左前降支主干，左回旋支主干，右冠状动脉主干。</w:t>
      </w:r>
    </w:p>
    <w:p>
      <w:pPr>
        <w:pStyle w:val="BodyText"/>
        <w:spacing w:line="259" w:lineRule="auto" w:before="5"/>
        <w:ind w:right="3480"/>
      </w:pPr>
      <w:r>
        <w:rPr/>
        <w:t>2、须由心脏专科医生证明其病情需要接受上述介入手术。四、心脏起搏器植入术</w:t>
      </w:r>
    </w:p>
    <w:p>
      <w:pPr>
        <w:pStyle w:val="BodyText"/>
        <w:spacing w:line="259" w:lineRule="auto"/>
        <w:ind w:left="108" w:right="115"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pPr>
      <w:r>
        <w:rPr/>
        <w:t>五、视力严重受损</w:t>
      </w:r>
    </w:p>
    <w:p>
      <w:pPr>
        <w:pStyle w:val="BodyText"/>
        <w:spacing w:line="261" w:lineRule="auto" w:before="24"/>
        <w:ind w:left="108" w:right="116" w:firstLine="441"/>
      </w:pPr>
      <w:r>
        <w:rPr>
          <w:spacing w:val="-6"/>
        </w:rPr>
        <w:t>指因疾病或意外伤害导致双目视力永久不可逆性丧失，须经眼科专科医生确诊，虽然未达到重大疾病“双目失明”的给付标准，但满足下列全部条件：</w:t>
      </w:r>
    </w:p>
    <w:p>
      <w:pPr>
        <w:spacing w:after="0" w:line="261" w:lineRule="auto"/>
        <w:sectPr>
          <w:pgSz w:w="11910" w:h="16840"/>
          <w:pgMar w:top="860" w:bottom="280" w:left="1140" w:right="1120"/>
        </w:sectPr>
      </w:pPr>
    </w:p>
    <w:p>
      <w:pPr>
        <w:pStyle w:val="BodyText"/>
        <w:spacing w:before="7"/>
      </w:pPr>
      <w:r>
        <w:rPr>
          <w:w w:val="100"/>
        </w:rPr>
        <w:t>1</w:t>
      </w:r>
      <w:r>
        <w:rPr>
          <w:spacing w:val="-7"/>
          <w:w w:val="100"/>
        </w:rPr>
        <w:t>、双眼中较好眼矫正视力低于</w:t>
      </w:r>
      <w:r>
        <w:rPr>
          <w:spacing w:val="-57"/>
        </w:rPr>
        <w:t> </w:t>
      </w:r>
      <w:r>
        <w:rPr>
          <w:w w:val="100"/>
        </w:rPr>
        <w:t>0.</w:t>
      </w:r>
      <w:r>
        <w:rPr>
          <w:spacing w:val="-39"/>
          <w:w w:val="100"/>
        </w:rPr>
        <w:t>1</w:t>
      </w:r>
      <w:r>
        <w:rPr>
          <w:w w:val="100"/>
        </w:rPr>
        <w:t>（</w:t>
      </w:r>
      <w:r>
        <w:rPr>
          <w:spacing w:val="-6"/>
          <w:w w:val="100"/>
        </w:rPr>
        <w:t>采用国际标准视力表，如果使用其他视力表应进行换算</w:t>
      </w:r>
      <w:r>
        <w:rPr>
          <w:spacing w:val="-111"/>
          <w:w w:val="100"/>
        </w:rPr>
        <w:t>）</w:t>
      </w:r>
      <w:r>
        <w:rPr>
          <w:w w:val="100"/>
        </w:rPr>
        <w:t>；</w:t>
      </w:r>
    </w:p>
    <w:p>
      <w:pPr>
        <w:pStyle w:val="BodyText"/>
        <w:spacing w:before="23"/>
      </w:pPr>
      <w:r>
        <w:rPr/>
        <w:t>2、双眼中较好眼视野半径小于 20 度。</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pPr>
      <w:r>
        <w:rPr/>
        <w:t>六、心脏瓣膜介入手术（非开胸手术）</w:t>
      </w:r>
    </w:p>
    <w:p>
      <w:pPr>
        <w:pStyle w:val="BodyText"/>
        <w:spacing w:line="259" w:lineRule="auto" w:before="24"/>
        <w:ind w:left="108" w:right="21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pPr>
      <w:r>
        <w:rPr/>
        <w:t>七、较小面积 III 度烧伤</w:t>
      </w:r>
    </w:p>
    <w:p>
      <w:pPr>
        <w:pStyle w:val="BodyText"/>
        <w:spacing w:line="261" w:lineRule="auto" w:before="24"/>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spacing w:before="4"/>
      </w:pPr>
      <w:r>
        <w:rPr/>
        <w:t>八、主动脉介入手术（非开胸手术）</w:t>
      </w:r>
    </w:p>
    <w:p>
      <w:pPr>
        <w:spacing w:line="259" w:lineRule="auto" w:before="24"/>
        <w:ind w:left="108" w:right="220"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pPr>
      <w:r>
        <w:rPr/>
        <w:t>九、重度头部外伤</w:t>
      </w:r>
    </w:p>
    <w:p>
      <w:pPr>
        <w:pStyle w:val="BodyText"/>
        <w:spacing w:line="259" w:lineRule="auto" w:before="24"/>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spacing w:before="6"/>
        <w:ind w:left="550" w:right="0" w:firstLine="0"/>
        <w:jc w:val="left"/>
        <w:rPr>
          <w:sz w:val="22"/>
        </w:rPr>
      </w:pPr>
      <w:r>
        <w:rPr>
          <w:sz w:val="22"/>
        </w:rPr>
        <w:t>1、已接受全麻下颅骨切开颅内血肿清除术（</w:t>
      </w:r>
      <w:r>
        <w:rPr>
          <w:b/>
          <w:sz w:val="22"/>
        </w:rPr>
        <w:t>颅骨钻孔术除外</w:t>
      </w:r>
      <w:r>
        <w:rPr>
          <w:sz w:val="22"/>
        </w:rPr>
        <w:t>）</w:t>
      </w:r>
    </w:p>
    <w:p>
      <w:pPr>
        <w:pStyle w:val="BodyText"/>
        <w:spacing w:line="261" w:lineRule="auto" w:before="24"/>
        <w:ind w:left="108" w:right="162" w:firstLine="441"/>
      </w:pPr>
      <w:r>
        <w:rPr/>
        <w:t>2、在遭受外伤 180 天后，一肢或一肢以上肢体机能部分丧失，其肢体肌力为Ⅲ级，或小于Ⅲ 级。</w:t>
      </w:r>
    </w:p>
    <w:p>
      <w:pPr>
        <w:pStyle w:val="BodyText"/>
        <w:spacing w:before="4"/>
      </w:pPr>
      <w:r>
        <w:rPr/>
        <w:t>十、脑垂体瘤、脑囊肿、脑动脉瘤及脑血管瘤</w:t>
      </w:r>
    </w:p>
    <w:p>
      <w:pPr>
        <w:spacing w:line="259" w:lineRule="auto" w:before="23"/>
        <w:ind w:left="108" w:right="154" w:firstLine="441"/>
        <w:jc w:val="left"/>
        <w:rPr>
          <w:sz w:val="22"/>
        </w:rPr>
      </w:pPr>
      <w:r>
        <w:rPr>
          <w:spacing w:val="-4"/>
          <w:w w:val="100"/>
          <w:sz w:val="22"/>
        </w:rPr>
        <w:t>脑部肿瘤已经引起颅内压增高，须经头颅断层扫描</w:t>
      </w:r>
      <w:r>
        <w:rPr>
          <w:spacing w:val="0"/>
          <w:w w:val="100"/>
          <w:sz w:val="22"/>
        </w:rPr>
        <w:t>（</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pStyle w:val="BodyText"/>
      </w:pPr>
      <w:r>
        <w:rPr/>
        <w:t>1、脑垂体瘤；</w:t>
      </w:r>
    </w:p>
    <w:p>
      <w:pPr>
        <w:pStyle w:val="BodyText"/>
        <w:spacing w:before="24"/>
      </w:pPr>
      <w:r>
        <w:rPr/>
        <w:t>2、脑囊肿；</w:t>
      </w:r>
    </w:p>
    <w:p>
      <w:pPr>
        <w:spacing w:line="259" w:lineRule="auto" w:before="23"/>
        <w:ind w:left="108" w:right="6661" w:firstLine="436"/>
        <w:jc w:val="left"/>
        <w:rPr>
          <w:b/>
          <w:sz w:val="22"/>
        </w:rPr>
      </w:pPr>
      <w:r>
        <w:rPr>
          <w:sz w:val="22"/>
        </w:rPr>
        <w:t>3、脑动脉瘤、脑血管瘤。</w:t>
      </w:r>
      <w:bookmarkStart w:name="_bookmark30" w:id="31"/>
      <w:bookmarkEnd w:id="31"/>
      <w:r>
        <w:rPr>
          <w:sz w:val="22"/>
        </w:rPr>
      </w:r>
      <w:r>
        <w:rPr>
          <w:b/>
          <w:sz w:val="22"/>
        </w:rPr>
        <w:t>第二十五条 术语释义</w:t>
      </w:r>
    </w:p>
    <w:p>
      <w:pPr>
        <w:pStyle w:val="BodyText"/>
      </w:pPr>
      <w:r>
        <w:rPr/>
        <w:t>一、本公司</w:t>
      </w:r>
    </w:p>
    <w:p>
      <w:pPr>
        <w:spacing w:line="261" w:lineRule="auto" w:before="24"/>
        <w:ind w:left="550" w:right="6546" w:firstLine="0"/>
        <w:jc w:val="left"/>
        <w:rPr>
          <w:b/>
          <w:sz w:val="22"/>
        </w:rPr>
      </w:pPr>
      <w:r>
        <w:rPr>
          <w:sz w:val="22"/>
        </w:rPr>
        <w:t>指中宏人寿保险有限公司。</w:t>
      </w:r>
      <w:r>
        <w:rPr>
          <w:b/>
          <w:w w:val="95"/>
          <w:sz w:val="22"/>
        </w:rPr>
        <w:t>二、等待期</w:t>
      </w:r>
    </w:p>
    <w:p>
      <w:pPr>
        <w:pStyle w:val="Heading2"/>
        <w:spacing w:line="259" w:lineRule="auto" w:before="4"/>
        <w:ind w:left="550" w:right="3119"/>
        <w:rPr>
          <w:b w:val="0"/>
        </w:rPr>
      </w:pPr>
      <w:r>
        <w:rPr/>
        <w:t>指本合同签发（或最后复效）之日起的九十天（含第九十天</w:t>
      </w:r>
      <w:r>
        <w:rPr>
          <w:spacing w:val="-111"/>
        </w:rPr>
        <w:t>）</w:t>
      </w:r>
      <w:r>
        <w:rPr/>
        <w:t>。</w:t>
      </w:r>
      <w:r>
        <w:rPr>
          <w:b w:val="0"/>
        </w:rPr>
        <w:t>三、医院</w:t>
      </w:r>
    </w:p>
    <w:p>
      <w:pPr>
        <w:spacing w:line="259" w:lineRule="auto" w:before="6"/>
        <w:ind w:left="108" w:right="15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pPr>
      <w:r>
        <w:rPr/>
        <w:t>四、意外伤害事故</w:t>
      </w:r>
    </w:p>
    <w:p>
      <w:pPr>
        <w:pStyle w:val="BodyText"/>
        <w:spacing w:line="259" w:lineRule="auto" w:before="23"/>
        <w:ind w:left="108" w:right="215" w:firstLine="441"/>
      </w:pPr>
      <w:r>
        <w:rPr>
          <w:spacing w:val="-7"/>
        </w:rPr>
        <w:t>是指遭受外来的、突发的、非本意的、非疾病的使身体受到伤害的客观事件，并以此客观事件为直接且单独原因导致被保险人首次出现本合同约定的重大疾病的临床症状。</w:t>
      </w:r>
    </w:p>
    <w:p>
      <w:pPr>
        <w:pStyle w:val="BodyText"/>
      </w:pPr>
      <w:r>
        <w:rPr/>
        <w:t>五、肺部恶性肿瘤</w:t>
      </w:r>
    </w:p>
    <w:p>
      <w:pPr>
        <w:spacing w:line="261" w:lineRule="auto" w:before="24"/>
        <w:ind w:left="550" w:right="846" w:hanging="20"/>
        <w:jc w:val="left"/>
        <w:rPr>
          <w:b/>
          <w:sz w:val="22"/>
        </w:rPr>
      </w:pPr>
      <w:r>
        <w:rPr>
          <w:sz w:val="22"/>
        </w:rPr>
        <w:t>指属于本合同重大疾病释义中“恶性肿瘤”的范畴内，但仅限于原发于肺的恶性肿瘤。</w:t>
      </w:r>
      <w:r>
        <w:rPr>
          <w:b/>
          <w:w w:val="95"/>
          <w:sz w:val="22"/>
        </w:rPr>
        <w:t>原发于其他器官组织而浸润、转移至肺的恶性肿瘤不在保障范围内。</w:t>
      </w:r>
    </w:p>
    <w:p>
      <w:pPr>
        <w:pStyle w:val="BodyText"/>
        <w:spacing w:before="4"/>
      </w:pPr>
      <w:r>
        <w:rPr/>
        <w:t>六、周岁</w:t>
      </w:r>
    </w:p>
    <w:p>
      <w:pPr>
        <w:pStyle w:val="BodyText"/>
        <w:spacing w:line="259" w:lineRule="auto" w:before="24"/>
        <w:ind w:right="4132"/>
      </w:pPr>
      <w:r>
        <w:rPr/>
        <w:t>以法定身份证明文件中记载的出生日期为计算基础。七、保单年度</w:t>
      </w:r>
    </w:p>
    <w:p>
      <w:pPr>
        <w:pStyle w:val="BodyText"/>
        <w:spacing w:line="261" w:lineRule="auto"/>
        <w:ind w:right="2586"/>
      </w:pPr>
      <w:r>
        <w:rPr/>
        <w:t>指从保险合同生效日或保险合同周年日起至下一保险合同周年日止。八、毒品</w:t>
      </w:r>
    </w:p>
    <w:p>
      <w:pPr>
        <w:spacing w:after="0" w:line="261" w:lineRule="auto"/>
        <w:sectPr>
          <w:pgSz w:w="11910" w:h="16840"/>
          <w:pgMar w:top="860" w:bottom="280" w:left="1140" w:right="1020"/>
        </w:sectPr>
      </w:pPr>
    </w:p>
    <w:p>
      <w:pPr>
        <w:pStyle w:val="BodyText"/>
        <w:spacing w:line="259" w:lineRule="auto" w:before="7"/>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九、感染艾滋病病毒或患艾滋病</w:t>
      </w:r>
    </w:p>
    <w:p>
      <w:pPr>
        <w:pStyle w:val="BodyText"/>
        <w:spacing w:line="261" w:lineRule="auto" w:before="24"/>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4"/>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十、遗传性疾病</w:t>
      </w:r>
    </w:p>
    <w:p>
      <w:pPr>
        <w:pStyle w:val="BodyText"/>
        <w:spacing w:line="261" w:lineRule="auto" w:before="24"/>
        <w:ind w:left="108" w:right="158" w:firstLine="441"/>
      </w:pPr>
      <w:r>
        <w:rPr/>
        <w:t>指生殖细胞或受精卵的遗传物质（染色体和基因）发生突变或畸变所引起的疾病，通常具有由亲代传至后代的垂直传递的特征。</w:t>
      </w:r>
    </w:p>
    <w:p>
      <w:pPr>
        <w:pStyle w:val="BodyText"/>
        <w:spacing w:before="4"/>
      </w:pPr>
      <w:r>
        <w:rPr/>
        <w:t>十一、先天性畸形、变形或染色体异常</w:t>
      </w:r>
    </w:p>
    <w:p>
      <w:pPr>
        <w:pStyle w:val="BodyText"/>
        <w:spacing w:line="259" w:lineRule="auto" w:before="23"/>
        <w:ind w:left="108" w:right="212"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十二、保险合同周年日</w:t>
      </w:r>
    </w:p>
    <w:p>
      <w:pPr>
        <w:pStyle w:val="BodyText"/>
        <w:spacing w:before="25"/>
      </w:pPr>
      <w:r>
        <w:rPr/>
        <w:t>指自保险单上注明的保险合同生效日起的周年日期。如保险合同生效日为 2 月 29 日的保险合</w:t>
      </w:r>
    </w:p>
    <w:p>
      <w:pPr>
        <w:pStyle w:val="BodyText"/>
        <w:spacing w:line="259" w:lineRule="auto" w:before="24"/>
        <w:ind w:right="4462" w:hanging="442"/>
      </w:pPr>
      <w:r>
        <w:rPr>
          <w:spacing w:val="-5"/>
        </w:rPr>
        <w:t>同，在非闰年的时候其保险合同周年日为 </w:t>
      </w:r>
      <w:r>
        <w:rPr/>
        <w:t>2</w:t>
      </w:r>
      <w:r>
        <w:rPr>
          <w:spacing w:val="-36"/>
        </w:rPr>
        <w:t> 月 </w:t>
      </w:r>
      <w:r>
        <w:rPr/>
        <w:t>28</w:t>
      </w:r>
      <w:r>
        <w:rPr>
          <w:spacing w:val="-18"/>
        </w:rPr>
        <w:t> 日。</w:t>
      </w:r>
      <w:r>
        <w:rPr>
          <w:spacing w:val="-16"/>
        </w:rPr>
        <w:t>十三、保证现金价值</w:t>
      </w:r>
    </w:p>
    <w:p>
      <w:pPr>
        <w:pStyle w:val="BodyText"/>
        <w:spacing w:line="259" w:lineRule="auto"/>
        <w:ind w:right="3912"/>
      </w:pPr>
      <w:r>
        <w:rPr/>
        <w:t>指保险单上保证现金价值表所列的保证现金价值金额。十四、保证现金价值净额</w:t>
      </w:r>
    </w:p>
    <w:p>
      <w:pPr>
        <w:pStyle w:val="BodyText"/>
        <w:spacing w:line="259" w:lineRule="auto"/>
        <w:ind w:left="108" w:right="158" w:firstLine="441"/>
      </w:pPr>
      <w:r>
        <w:rPr/>
        <w:t>指保证现金价值在扣除所欠缴的保险费及其利息、保险合同贷款（含自动贷款垫缴保险费）及贷款利息后的余额。</w:t>
      </w:r>
    </w:p>
    <w:p>
      <w:pPr>
        <w:pStyle w:val="BodyText"/>
      </w:pPr>
      <w:r>
        <w:rPr/>
        <w:t>十五、利息</w:t>
      </w:r>
    </w:p>
    <w:p>
      <w:pPr>
        <w:pStyle w:val="BodyText"/>
        <w:spacing w:line="259" w:lineRule="auto" w:before="24"/>
        <w:ind w:right="164"/>
      </w:pPr>
      <w:r>
        <w:rPr>
          <w:spacing w:val="-5"/>
        </w:rPr>
        <w:t>指补缴保险费的利息，该利息将按计息期间本公司公布的补缴保险费利率按年复利方式计算。十六、贷款利息</w:t>
      </w:r>
    </w:p>
    <w:p>
      <w:pPr>
        <w:pStyle w:val="BodyText"/>
        <w:spacing w:line="259" w:lineRule="auto"/>
        <w:ind w:left="108" w:right="220" w:firstLine="441"/>
      </w:pPr>
      <w:r>
        <w:rPr/>
        <w:t>指保险合同内任何贷款的利息，该利息将按贷款期间本公司公布的贷款利率按年复利方式计算。</w:t>
      </w:r>
    </w:p>
    <w:p>
      <w:pPr>
        <w:pStyle w:val="BodyText"/>
      </w:pPr>
      <w:r>
        <w:rPr/>
        <w:t>十七、肢体机能完全丧失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spacing w:before="7"/>
      </w:pPr>
      <w:r>
        <w:rPr/>
        <w:t>十八、语言能力或咀嚼吞咽能力完全丧失</w:t>
      </w:r>
    </w:p>
    <w:p>
      <w:pPr>
        <w:pStyle w:val="BodyText"/>
        <w:spacing w:line="259" w:lineRule="auto" w:before="24"/>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十九、六项基本日常生活活动</w:t>
      </w:r>
    </w:p>
    <w:p>
      <w:pPr>
        <w:pStyle w:val="BodyText"/>
        <w:spacing w:line="259" w:lineRule="auto" w:before="24"/>
        <w:ind w:left="108" w:right="212" w:firstLine="441"/>
        <w:jc w:val="both"/>
      </w:pPr>
      <w:r>
        <w:rPr>
          <w:spacing w:val="-2"/>
        </w:rPr>
        <w:t>六项基本日常生活活动是指：</w:t>
      </w:r>
      <w:r>
        <w:rPr>
          <w:spacing w:val="-5"/>
        </w:rPr>
        <w:t>1、穿衣：自己能够穿衣及脱衣；2、移动：自己从一个房间到另一个房间；3</w:t>
      </w:r>
      <w:r>
        <w:rPr>
          <w:spacing w:val="-4"/>
        </w:rPr>
        <w:t>、行动：自己上下床或上下轮椅；</w:t>
      </w:r>
      <w:r>
        <w:rPr/>
        <w:t>4、如厕：自己控制进行大小便；5、进食：自己从</w:t>
      </w:r>
      <w:r>
        <w:rPr>
          <w:spacing w:val="-2"/>
        </w:rPr>
        <w:t>已准备好的碗或碟中取食物放入口中；</w:t>
      </w:r>
      <w:r>
        <w:rPr/>
        <w:t>6</w:t>
      </w:r>
      <w:r>
        <w:rPr>
          <w:spacing w:val="-4"/>
        </w:rPr>
        <w:t>、洗澡：自己进行淋浴或盆浴。</w:t>
      </w:r>
    </w:p>
    <w:p>
      <w:pPr>
        <w:pStyle w:val="BodyText"/>
      </w:pPr>
      <w:r>
        <w:rPr/>
        <w:t>二十、永久不可逆</w:t>
      </w:r>
    </w:p>
    <w:p>
      <w:pPr>
        <w:pStyle w:val="BodyText"/>
        <w:spacing w:line="261" w:lineRule="auto" w:before="24"/>
        <w:ind w:right="103"/>
      </w:pPr>
      <w:r>
        <w:rPr>
          <w:spacing w:val="-9"/>
        </w:rPr>
        <w:t>指自疾病确诊或意外伤害发生之日起，经过积极治疗 </w:t>
      </w:r>
      <w:r>
        <w:rPr/>
        <w:t>180</w:t>
      </w:r>
      <w:r>
        <w:rPr>
          <w:spacing w:val="-12"/>
        </w:rPr>
        <w:t> 天后，仍无法通过现有医疗手段恢复。二十一、专科医生</w:t>
      </w:r>
    </w:p>
    <w:p>
      <w:pPr>
        <w:pStyle w:val="BodyText"/>
        <w:spacing w:before="4"/>
      </w:pPr>
      <w:r>
        <w:rPr/>
        <w:t>专科医生应当同时满足以下四项资格条件：1、具有有效的中华人民共和国《医师资格证书》；</w:t>
      </w:r>
    </w:p>
    <w:p>
      <w:pPr>
        <w:pStyle w:val="BodyText"/>
        <w:spacing w:line="259" w:lineRule="auto" w:before="23"/>
        <w:ind w:left="108" w:right="213"/>
        <w:jc w:val="both"/>
      </w:pPr>
      <w:r>
        <w:rPr/>
        <w:t>2</w:t>
      </w:r>
      <w:r>
        <w:rPr>
          <w:spacing w:val="-6"/>
        </w:rPr>
        <w:t>、具有有效的中华人民共和国《医师执业证书》，并按期到相关部门登记注册；</w:t>
      </w:r>
      <w:r>
        <w:rPr/>
        <w:t>3、具有有效的中</w:t>
      </w:r>
      <w:r>
        <w:rPr>
          <w:spacing w:val="-9"/>
        </w:rPr>
        <w:t>华人民共和国主治医师或主治医师以上职称的《医师职称证书》；4</w:t>
      </w:r>
      <w:r>
        <w:rPr>
          <w:spacing w:val="-5"/>
        </w:rPr>
        <w:t>、在二级或二级以上医院的相应科室从事临床工作三年以上。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10" w:right="101"/>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2018-10-20T04:13:21Z</dcterms:created>
  <dcterms:modified xsi:type="dcterms:W3CDTF">2018-10-20T04:13:21Z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2018-10-19T00:00:00Z</vt:filetime>
  </property>
</Properties>
</file>