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250363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191 号</w:t>
      </w:r>
    </w:p>
    <w:p>
      <w:pPr>
        <w:pStyle w:val="BodyText"/>
        <w:rPr>
          <w:sz w:val="20"/>
        </w:rPr>
      </w:pPr>
    </w:p>
    <w:p>
      <w:pPr>
        <w:pStyle w:val="BodyText"/>
        <w:spacing w:before="5"/>
        <w:rPr>
          <w:sz w:val="18"/>
        </w:rPr>
      </w:pPr>
    </w:p>
    <w:p>
      <w:pPr>
        <w:pStyle w:val="Heading1"/>
        <w:ind w:left="2008"/>
      </w:pPr>
      <w:r>
        <w:rPr/>
        <w:t>泰康附加吉祥成人多次给付重大疾病保险条款</w:t>
      </w:r>
    </w:p>
    <w:p>
      <w:pPr>
        <w:pStyle w:val="BodyText"/>
        <w:spacing w:before="15"/>
        <w:rPr>
          <w:rFonts w:ascii="微软雅黑"/>
          <w:b/>
          <w:sz w:val="6"/>
        </w:rPr>
      </w:pPr>
    </w:p>
    <w:p>
      <w:pPr>
        <w:spacing w:after="0"/>
        <w:rPr>
          <w:rFonts w:ascii="微软雅黑"/>
          <w:sz w:val="6"/>
        </w:rPr>
        <w:sectPr>
          <w:type w:val="continuous"/>
          <w:pgSz w:w="11910" w:h="16840"/>
          <w:pgMar w:top="900" w:bottom="280" w:left="740" w:right="260"/>
        </w:sectPr>
      </w:pPr>
    </w:p>
    <w:p>
      <w:pPr>
        <w:spacing w:line="505"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0"/>
        <w:ind w:left="2043"/>
      </w:pPr>
      <w:r>
        <w:rPr/>
        <w:br w:type="column"/>
      </w:r>
      <w:r>
        <w:rPr/>
        <w:t>请扫描以查询验证条款</w:t>
      </w:r>
    </w:p>
    <w:p>
      <w:pPr>
        <w:spacing w:after="0"/>
        <w:sectPr>
          <w:type w:val="continuous"/>
          <w:pgSz w:w="11910" w:h="16840"/>
          <w:pgMar w:top="900" w:bottom="280" w:left="740" w:right="260"/>
          <w:cols w:num="2" w:equalWidth="0">
            <w:col w:w="6094" w:space="40"/>
            <w:col w:w="4776"/>
          </w:cols>
        </w:sectPr>
      </w:pPr>
    </w:p>
    <w:p>
      <w:pPr>
        <w:pStyle w:val="BodyText"/>
        <w:spacing w:before="110"/>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228" w:val="left" w:leader="none"/>
        </w:tabs>
        <w:spacing w:before="33"/>
        <w:ind w:left="217" w:right="0" w:firstLine="0"/>
        <w:jc w:val="left"/>
        <w:rPr>
          <w:b/>
          <w:sz w:val="21"/>
        </w:rPr>
      </w:pPr>
      <w:r>
        <w:rPr/>
        <w:pict>
          <v:group style="position:absolute;margin-left:42.240002pt;margin-top:1.797712pt;width:510.85pt;height:591.6pt;mso-position-horizontal-relative:page;mso-position-vertical-relative:paragraph;z-index:-32272"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28" w:val="left" w:leader="none"/>
        </w:tabs>
        <w:spacing w:before="22"/>
        <w:ind w:left="21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1"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1"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1"/>
        <w:ind w:left="21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8" w:val="left" w:leader="none"/>
        </w:tabs>
        <w:spacing w:before="25"/>
        <w:ind w:left="21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4"/>
        <w:gridCol w:w="4177"/>
      </w:tblGrid>
      <w:tr>
        <w:trPr>
          <w:trHeight w:val="4570" w:hRule="atLeast"/>
        </w:trPr>
        <w:tc>
          <w:tcPr>
            <w:tcW w:w="2564"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9" w:val="left" w:leader="none"/>
              </w:tabs>
              <w:spacing w:line="273"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投保年龄</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保险金额</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责任免除</w:t>
            </w:r>
          </w:p>
          <w:p>
            <w:pPr>
              <w:pStyle w:val="TableParagraph"/>
              <w:spacing w:line="272"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2"/>
                <w:sz w:val="21"/>
              </w:rPr>
              <w:t>受益人</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诉讼时效</w:t>
            </w:r>
          </w:p>
          <w:p>
            <w:pPr>
              <w:pStyle w:val="TableParagraph"/>
              <w:spacing w:line="254" w:lineRule="exact"/>
              <w:ind w:left="200"/>
              <w:rPr>
                <w:b/>
                <w:sz w:val="21"/>
              </w:rPr>
            </w:pPr>
            <w:r>
              <w:rPr>
                <w:b/>
                <w:sz w:val="21"/>
              </w:rPr>
              <w:t>4.保险费的交纳</w:t>
            </w:r>
          </w:p>
        </w:tc>
        <w:tc>
          <w:tcPr>
            <w:tcW w:w="3284" w:type="dxa"/>
          </w:tcPr>
          <w:p>
            <w:pPr>
              <w:pStyle w:val="TableParagraph"/>
              <w:numPr>
                <w:ilvl w:val="1"/>
                <w:numId w:val="5"/>
              </w:numPr>
              <w:tabs>
                <w:tab w:pos="779" w:val="left" w:leader="none"/>
              </w:tabs>
              <w:spacing w:line="209" w:lineRule="exact" w:before="0" w:after="0"/>
              <w:ind w:left="778" w:right="0" w:hanging="418"/>
              <w:jc w:val="left"/>
              <w:rPr>
                <w:sz w:val="21"/>
              </w:rPr>
            </w:pPr>
            <w:r>
              <w:rPr>
                <w:spacing w:val="-3"/>
                <w:sz w:val="21"/>
              </w:rPr>
              <w:t>保险费的交纳</w:t>
            </w:r>
          </w:p>
          <w:p>
            <w:pPr>
              <w:pStyle w:val="TableParagraph"/>
              <w:numPr>
                <w:ilvl w:val="1"/>
                <w:numId w:val="5"/>
              </w:numPr>
              <w:tabs>
                <w:tab w:pos="779" w:val="left" w:leader="none"/>
              </w:tabs>
              <w:spacing w:line="273" w:lineRule="exact" w:before="0" w:after="0"/>
              <w:ind w:left="778" w:right="0" w:hanging="418"/>
              <w:jc w:val="left"/>
              <w:rPr>
                <w:sz w:val="21"/>
              </w:rPr>
            </w:pPr>
            <w:r>
              <w:rPr>
                <w:spacing w:val="-2"/>
                <w:sz w:val="21"/>
              </w:rPr>
              <w:t>宽限期</w:t>
            </w:r>
          </w:p>
          <w:p>
            <w:pPr>
              <w:pStyle w:val="TableParagraph"/>
              <w:spacing w:line="272" w:lineRule="exact"/>
              <w:ind w:left="252"/>
              <w:rPr>
                <w:b/>
                <w:sz w:val="21"/>
              </w:rPr>
            </w:pPr>
            <w:r>
              <w:rPr>
                <w:b/>
                <w:sz w:val="21"/>
              </w:rPr>
              <w:t>5.现金价值权益</w:t>
            </w:r>
          </w:p>
          <w:p>
            <w:pPr>
              <w:pStyle w:val="TableParagraph"/>
              <w:spacing w:line="272" w:lineRule="exact"/>
              <w:ind w:left="358"/>
              <w:rPr>
                <w:sz w:val="21"/>
              </w:rPr>
            </w:pPr>
            <w:r>
              <w:rPr>
                <w:sz w:val="21"/>
              </w:rPr>
              <w:t>5.1 现金价值</w:t>
            </w:r>
          </w:p>
          <w:p>
            <w:pPr>
              <w:pStyle w:val="TableParagraph"/>
              <w:spacing w:line="272" w:lineRule="exact"/>
              <w:ind w:left="252"/>
              <w:rPr>
                <w:b/>
                <w:sz w:val="21"/>
              </w:rPr>
            </w:pPr>
            <w:r>
              <w:rPr>
                <w:b/>
                <w:sz w:val="21"/>
              </w:rPr>
              <w:t>6.合同效力的中止及恢复</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效力中止</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效力恢复</w:t>
            </w:r>
          </w:p>
          <w:p>
            <w:pPr>
              <w:pStyle w:val="TableParagraph"/>
              <w:spacing w:line="272" w:lineRule="exact"/>
              <w:ind w:left="252"/>
              <w:rPr>
                <w:b/>
                <w:sz w:val="21"/>
              </w:rPr>
            </w:pPr>
            <w:r>
              <w:rPr>
                <w:b/>
                <w:sz w:val="21"/>
              </w:rPr>
              <w:t>7.合同解除</w:t>
            </w:r>
          </w:p>
          <w:p>
            <w:pPr>
              <w:pStyle w:val="TableParagraph"/>
              <w:spacing w:line="272" w:lineRule="exact"/>
              <w:ind w:left="358"/>
              <w:rPr>
                <w:sz w:val="21"/>
              </w:rPr>
            </w:pPr>
            <w:r>
              <w:rPr>
                <w:sz w:val="21"/>
              </w:rPr>
              <w:t>7.1 您解除合同的手续及风险</w:t>
            </w:r>
          </w:p>
          <w:p>
            <w:pPr>
              <w:pStyle w:val="TableParagraph"/>
              <w:spacing w:line="272" w:lineRule="exact"/>
              <w:ind w:left="252"/>
              <w:rPr>
                <w:b/>
                <w:sz w:val="21"/>
              </w:rPr>
            </w:pPr>
            <w:r>
              <w:rPr>
                <w:b/>
                <w:sz w:val="21"/>
              </w:rPr>
              <w:t>8.其他需要关注的事项</w:t>
            </w:r>
          </w:p>
          <w:p>
            <w:pPr>
              <w:pStyle w:val="TableParagraph"/>
              <w:numPr>
                <w:ilvl w:val="1"/>
                <w:numId w:val="7"/>
              </w:numPr>
              <w:tabs>
                <w:tab w:pos="781" w:val="left" w:leader="none"/>
              </w:tabs>
              <w:spacing w:line="272" w:lineRule="exact" w:before="0" w:after="0"/>
              <w:ind w:left="781" w:right="0" w:hanging="423"/>
              <w:jc w:val="left"/>
              <w:rPr>
                <w:sz w:val="21"/>
              </w:rPr>
            </w:pPr>
            <w:r>
              <w:rPr>
                <w:spacing w:val="-3"/>
                <w:sz w:val="21"/>
              </w:rPr>
              <w:t>效力终止</w:t>
            </w:r>
          </w:p>
          <w:p>
            <w:pPr>
              <w:pStyle w:val="TableParagraph"/>
              <w:numPr>
                <w:ilvl w:val="1"/>
                <w:numId w:val="7"/>
              </w:numPr>
              <w:tabs>
                <w:tab w:pos="781" w:val="left" w:leader="none"/>
              </w:tabs>
              <w:spacing w:line="272" w:lineRule="exact" w:before="0" w:after="0"/>
              <w:ind w:left="781" w:right="0" w:hanging="423"/>
              <w:jc w:val="left"/>
              <w:rPr>
                <w:sz w:val="21"/>
              </w:rPr>
            </w:pPr>
            <w:r>
              <w:rPr>
                <w:spacing w:val="-3"/>
                <w:sz w:val="21"/>
              </w:rPr>
              <w:t>适用主合同条款</w:t>
            </w:r>
          </w:p>
          <w:p>
            <w:pPr>
              <w:pStyle w:val="TableParagraph"/>
              <w:spacing w:line="272" w:lineRule="exact"/>
              <w:ind w:left="252"/>
              <w:rPr>
                <w:b/>
                <w:sz w:val="21"/>
              </w:rPr>
            </w:pPr>
            <w:r>
              <w:rPr>
                <w:b/>
                <w:sz w:val="21"/>
              </w:rPr>
              <w:t>9.重大疾病定义</w:t>
            </w:r>
          </w:p>
          <w:p>
            <w:pPr>
              <w:pStyle w:val="TableParagraph"/>
              <w:spacing w:line="272" w:lineRule="exact"/>
              <w:ind w:left="252"/>
              <w:rPr>
                <w:b/>
                <w:sz w:val="21"/>
              </w:rPr>
            </w:pPr>
            <w:r>
              <w:rPr>
                <w:b/>
                <w:sz w:val="21"/>
              </w:rPr>
              <w:t>10.释义</w:t>
            </w:r>
          </w:p>
          <w:p>
            <w:pPr>
              <w:pStyle w:val="TableParagraph"/>
              <w:numPr>
                <w:ilvl w:val="1"/>
                <w:numId w:val="8"/>
              </w:numPr>
              <w:tabs>
                <w:tab w:pos="885" w:val="left" w:leader="none"/>
              </w:tabs>
              <w:spacing w:line="273" w:lineRule="exact" w:before="0" w:after="0"/>
              <w:ind w:left="884" w:right="0" w:hanging="526"/>
              <w:jc w:val="left"/>
              <w:rPr>
                <w:sz w:val="21"/>
              </w:rPr>
            </w:pPr>
            <w:r>
              <w:rPr>
                <w:spacing w:val="-2"/>
                <w:sz w:val="21"/>
              </w:rPr>
              <w:t>保单年度</w:t>
            </w:r>
          </w:p>
          <w:p>
            <w:pPr>
              <w:pStyle w:val="TableParagraph"/>
              <w:numPr>
                <w:ilvl w:val="1"/>
                <w:numId w:val="8"/>
              </w:numPr>
              <w:tabs>
                <w:tab w:pos="885" w:val="left" w:leader="none"/>
              </w:tabs>
              <w:spacing w:line="273" w:lineRule="exact" w:before="0" w:after="0"/>
              <w:ind w:left="884" w:right="0" w:hanging="526"/>
              <w:jc w:val="left"/>
              <w:rPr>
                <w:sz w:val="21"/>
              </w:rPr>
            </w:pPr>
            <w:r>
              <w:rPr>
                <w:spacing w:val="-3"/>
                <w:sz w:val="21"/>
              </w:rPr>
              <w:t>保险费约定交纳日</w:t>
            </w:r>
          </w:p>
          <w:p>
            <w:pPr>
              <w:pStyle w:val="TableParagraph"/>
              <w:numPr>
                <w:ilvl w:val="1"/>
                <w:numId w:val="8"/>
              </w:numPr>
              <w:tabs>
                <w:tab w:pos="885" w:val="left" w:leader="none"/>
              </w:tabs>
              <w:spacing w:line="254" w:lineRule="exact" w:before="0" w:after="0"/>
              <w:ind w:left="884" w:right="0" w:hanging="526"/>
              <w:jc w:val="left"/>
              <w:rPr>
                <w:sz w:val="21"/>
              </w:rPr>
            </w:pPr>
            <w:r>
              <w:rPr>
                <w:sz w:val="21"/>
              </w:rPr>
              <w:t>周岁</w:t>
            </w:r>
          </w:p>
        </w:tc>
        <w:tc>
          <w:tcPr>
            <w:tcW w:w="4177" w:type="dxa"/>
          </w:tcPr>
          <w:p>
            <w:pPr>
              <w:pStyle w:val="TableParagraph"/>
              <w:numPr>
                <w:ilvl w:val="1"/>
                <w:numId w:val="9"/>
              </w:numPr>
              <w:tabs>
                <w:tab w:pos="719" w:val="left" w:leader="none"/>
              </w:tabs>
              <w:spacing w:line="209" w:lineRule="exact" w:before="0" w:after="0"/>
              <w:ind w:left="718" w:right="0" w:hanging="526"/>
              <w:jc w:val="left"/>
              <w:rPr>
                <w:sz w:val="21"/>
              </w:rPr>
            </w:pPr>
            <w:r>
              <w:rPr>
                <w:spacing w:val="-3"/>
                <w:sz w:val="21"/>
              </w:rPr>
              <w:t>有效身份证件</w:t>
            </w:r>
          </w:p>
          <w:p>
            <w:pPr>
              <w:pStyle w:val="TableParagraph"/>
              <w:numPr>
                <w:ilvl w:val="1"/>
                <w:numId w:val="9"/>
              </w:numPr>
              <w:tabs>
                <w:tab w:pos="719" w:val="left" w:leader="none"/>
              </w:tabs>
              <w:spacing w:line="273" w:lineRule="exact" w:before="0" w:after="0"/>
              <w:ind w:left="718" w:right="0" w:hanging="526"/>
              <w:jc w:val="left"/>
              <w:rPr>
                <w:sz w:val="21"/>
              </w:rPr>
            </w:pPr>
            <w:r>
              <w:rPr>
                <w:sz w:val="21"/>
              </w:rPr>
              <w:t>医院</w:t>
            </w:r>
          </w:p>
          <w:p>
            <w:pPr>
              <w:pStyle w:val="TableParagraph"/>
              <w:numPr>
                <w:ilvl w:val="1"/>
                <w:numId w:val="9"/>
              </w:numPr>
              <w:tabs>
                <w:tab w:pos="719" w:val="left" w:leader="none"/>
              </w:tabs>
              <w:spacing w:line="272" w:lineRule="exact" w:before="0" w:after="0"/>
              <w:ind w:left="718" w:right="0" w:hanging="526"/>
              <w:jc w:val="left"/>
              <w:rPr>
                <w:sz w:val="21"/>
              </w:rPr>
            </w:pPr>
            <w:r>
              <w:rPr>
                <w:spacing w:val="-2"/>
                <w:sz w:val="21"/>
              </w:rPr>
              <w:t>意外伤害</w:t>
            </w:r>
          </w:p>
          <w:p>
            <w:pPr>
              <w:pStyle w:val="TableParagraph"/>
              <w:numPr>
                <w:ilvl w:val="1"/>
                <w:numId w:val="9"/>
              </w:numPr>
              <w:tabs>
                <w:tab w:pos="719" w:val="left" w:leader="none"/>
              </w:tabs>
              <w:spacing w:line="272" w:lineRule="exact" w:before="0" w:after="0"/>
              <w:ind w:left="718" w:right="0" w:hanging="526"/>
              <w:jc w:val="left"/>
              <w:rPr>
                <w:sz w:val="21"/>
              </w:rPr>
            </w:pPr>
            <w:r>
              <w:rPr>
                <w:spacing w:val="-2"/>
                <w:sz w:val="21"/>
              </w:rPr>
              <w:t>现金价值</w:t>
            </w:r>
          </w:p>
          <w:p>
            <w:pPr>
              <w:pStyle w:val="TableParagraph"/>
              <w:numPr>
                <w:ilvl w:val="1"/>
                <w:numId w:val="9"/>
              </w:numPr>
              <w:tabs>
                <w:tab w:pos="719" w:val="left" w:leader="none"/>
              </w:tabs>
              <w:spacing w:line="272" w:lineRule="exact" w:before="0" w:after="0"/>
              <w:ind w:left="718" w:right="0" w:hanging="526"/>
              <w:jc w:val="left"/>
              <w:rPr>
                <w:sz w:val="21"/>
              </w:rPr>
            </w:pPr>
            <w:r>
              <w:rPr>
                <w:sz w:val="21"/>
              </w:rPr>
              <w:t>毒品</w:t>
            </w:r>
          </w:p>
          <w:p>
            <w:pPr>
              <w:pStyle w:val="TableParagraph"/>
              <w:numPr>
                <w:ilvl w:val="1"/>
                <w:numId w:val="9"/>
              </w:numPr>
              <w:tabs>
                <w:tab w:pos="719" w:val="left" w:leader="none"/>
              </w:tabs>
              <w:spacing w:line="272" w:lineRule="exact" w:before="0" w:after="0"/>
              <w:ind w:left="718" w:right="0" w:hanging="526"/>
              <w:jc w:val="left"/>
              <w:rPr>
                <w:sz w:val="21"/>
              </w:rPr>
            </w:pPr>
            <w:r>
              <w:rPr>
                <w:spacing w:val="-2"/>
                <w:sz w:val="21"/>
              </w:rPr>
              <w:t>酒后驾驶</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无合法有效驾驶证驾驶</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无有效行驶证</w:t>
            </w:r>
          </w:p>
          <w:p>
            <w:pPr>
              <w:pStyle w:val="TableParagraph"/>
              <w:numPr>
                <w:ilvl w:val="1"/>
                <w:numId w:val="9"/>
              </w:numPr>
              <w:tabs>
                <w:tab w:pos="824" w:val="left" w:leader="none"/>
              </w:tabs>
              <w:spacing w:line="272" w:lineRule="exact" w:before="0" w:after="0"/>
              <w:ind w:left="823" w:right="0" w:hanging="631"/>
              <w:jc w:val="left"/>
              <w:rPr>
                <w:sz w:val="21"/>
              </w:rPr>
            </w:pPr>
            <w:r>
              <w:rPr>
                <w:spacing w:val="-2"/>
                <w:sz w:val="21"/>
              </w:rPr>
              <w:t>机动车</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感染艾滋病病毒或患艾滋病</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遗传性疾病</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先天性畸形、变形或染色体异常</w:t>
            </w:r>
          </w:p>
          <w:p>
            <w:pPr>
              <w:pStyle w:val="TableParagraph"/>
              <w:numPr>
                <w:ilvl w:val="1"/>
                <w:numId w:val="9"/>
              </w:numPr>
              <w:tabs>
                <w:tab w:pos="824" w:val="left" w:leader="none"/>
              </w:tabs>
              <w:spacing w:line="272" w:lineRule="exact" w:before="0" w:after="0"/>
              <w:ind w:left="823" w:right="0" w:hanging="631"/>
              <w:jc w:val="left"/>
              <w:rPr>
                <w:sz w:val="21"/>
              </w:rPr>
            </w:pPr>
            <w:r>
              <w:rPr>
                <w:spacing w:val="-2"/>
                <w:sz w:val="21"/>
              </w:rPr>
              <w:t>专科医生</w:t>
            </w:r>
          </w:p>
          <w:p>
            <w:pPr>
              <w:pStyle w:val="TableParagraph"/>
              <w:numPr>
                <w:ilvl w:val="1"/>
                <w:numId w:val="9"/>
              </w:numPr>
              <w:tabs>
                <w:tab w:pos="824" w:val="left" w:leader="none"/>
              </w:tabs>
              <w:spacing w:line="272" w:lineRule="exact" w:before="0" w:after="0"/>
              <w:ind w:left="823" w:right="0" w:hanging="631"/>
              <w:jc w:val="left"/>
              <w:rPr>
                <w:sz w:val="21"/>
              </w:rPr>
            </w:pPr>
            <w:r>
              <w:rPr>
                <w:spacing w:val="-3"/>
                <w:sz w:val="21"/>
              </w:rPr>
              <w:t>肢体机能完全丧失</w:t>
            </w:r>
          </w:p>
          <w:p>
            <w:pPr>
              <w:pStyle w:val="TableParagraph"/>
              <w:numPr>
                <w:ilvl w:val="1"/>
                <w:numId w:val="9"/>
              </w:numPr>
              <w:tabs>
                <w:tab w:pos="824" w:val="left" w:leader="none"/>
              </w:tabs>
              <w:spacing w:line="273" w:lineRule="exact" w:before="0" w:after="0"/>
              <w:ind w:left="823" w:right="0" w:hanging="631"/>
              <w:jc w:val="left"/>
              <w:rPr>
                <w:sz w:val="21"/>
              </w:rPr>
            </w:pPr>
            <w:r>
              <w:rPr>
                <w:spacing w:val="-3"/>
                <w:sz w:val="21"/>
              </w:rPr>
              <w:t>语言能力或咀嚼吞咽能力完全丧失</w:t>
            </w:r>
          </w:p>
          <w:p>
            <w:pPr>
              <w:pStyle w:val="TableParagraph"/>
              <w:numPr>
                <w:ilvl w:val="1"/>
                <w:numId w:val="9"/>
              </w:numPr>
              <w:tabs>
                <w:tab w:pos="824" w:val="left" w:leader="none"/>
              </w:tabs>
              <w:spacing w:line="273" w:lineRule="exact" w:before="0" w:after="0"/>
              <w:ind w:left="823" w:right="0" w:hanging="631"/>
              <w:jc w:val="left"/>
              <w:rPr>
                <w:sz w:val="21"/>
              </w:rPr>
            </w:pPr>
            <w:r>
              <w:rPr>
                <w:spacing w:val="-3"/>
                <w:sz w:val="21"/>
              </w:rPr>
              <w:t>六项基本日常生活活动</w:t>
            </w:r>
          </w:p>
          <w:p>
            <w:pPr>
              <w:pStyle w:val="TableParagraph"/>
              <w:numPr>
                <w:ilvl w:val="1"/>
                <w:numId w:val="9"/>
              </w:numPr>
              <w:tabs>
                <w:tab w:pos="824" w:val="left" w:leader="none"/>
              </w:tabs>
              <w:spacing w:line="254" w:lineRule="exact" w:before="0" w:after="0"/>
              <w:ind w:left="823" w:right="0" w:hanging="631"/>
              <w:jc w:val="left"/>
              <w:rPr>
                <w:sz w:val="21"/>
              </w:rPr>
            </w:pPr>
            <w:r>
              <w:rPr>
                <w:spacing w:val="-3"/>
                <w:sz w:val="21"/>
              </w:rPr>
              <w:t>永久不可逆</w:t>
            </w:r>
          </w:p>
        </w:tc>
      </w:tr>
    </w:tbl>
    <w:p>
      <w:pPr>
        <w:spacing w:after="0" w:line="254" w:lineRule="exact"/>
        <w:jc w:val="left"/>
        <w:rPr>
          <w:sz w:val="21"/>
        </w:rPr>
        <w:sectPr>
          <w:type w:val="continuous"/>
          <w:pgSz w:w="11910" w:h="16840"/>
          <w:pgMar w:top="900" w:bottom="280" w:left="740" w:right="26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泰康附加吉祥成人多次给付重大疾病保险条款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分公司，“本附加合同”指您与我们之间订立的“泰康附加吉祥成人多次给付重大疾病保险合同”，“被保险</w:t>
      </w:r>
      <w:r>
        <w:rPr>
          <w:spacing w:val="-3"/>
        </w:rPr>
        <w:t>人”指本附加合同的被保险人，投保人、被保险人的姓名在保险单上载明。</w:t>
      </w:r>
    </w:p>
    <w:p>
      <w:pPr>
        <w:pStyle w:val="BodyText"/>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40" w:lineRule="exact"/>
              <w:rPr>
                <w:b/>
                <w:sz w:val="24"/>
              </w:rPr>
            </w:pPr>
            <w:r>
              <w:rPr>
                <w:b/>
                <w:sz w:val="24"/>
              </w:rPr>
              <w:t>1.</w:t>
            </w:r>
          </w:p>
        </w:tc>
        <w:tc>
          <w:tcPr>
            <w:tcW w:w="9472"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1"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1.1</w:t>
            </w:r>
          </w:p>
        </w:tc>
        <w:tc>
          <w:tcPr>
            <w:tcW w:w="1949"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合同构成</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left="148" w:right="106"/>
              <w:jc w:val="both"/>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89"/>
              <w:ind w:left="148" w:right="101"/>
              <w:jc w:val="both"/>
              <w:rPr>
                <w:sz w:val="21"/>
              </w:rPr>
            </w:pPr>
            <w:r>
              <w:rPr>
                <w:spacing w:val="-7"/>
                <w:sz w:val="21"/>
              </w:rPr>
              <w:t>本附加合同是您与我们约定保险权利义务关系的协议，包括本保险条款、保险单</w:t>
            </w:r>
            <w:r>
              <w:rPr>
                <w:spacing w:val="-12"/>
                <w:sz w:val="21"/>
              </w:rPr>
              <w:t>或其他保险凭证、投保单、与本附加合同有关的投保文件、合法有效的声明、批</w:t>
            </w:r>
            <w:r>
              <w:rPr>
                <w:spacing w:val="-6"/>
                <w:sz w:val="21"/>
              </w:rPr>
              <w:t>注、批单及其他您与我们共同认可的书面协议。</w:t>
            </w:r>
          </w:p>
        </w:tc>
      </w:tr>
      <w:tr>
        <w:trPr>
          <w:trHeight w:val="1573" w:hRule="atLeast"/>
        </w:trPr>
        <w:tc>
          <w:tcPr>
            <w:tcW w:w="747" w:type="dxa"/>
          </w:tcPr>
          <w:p>
            <w:pPr>
              <w:pStyle w:val="TableParagraph"/>
              <w:spacing w:before="110"/>
              <w:rPr>
                <w:b/>
                <w:sz w:val="21"/>
              </w:rPr>
            </w:pPr>
            <w:r>
              <w:rPr>
                <w:b/>
                <w:sz w:val="21"/>
              </w:rPr>
              <w:t>1.2</w:t>
            </w:r>
          </w:p>
        </w:tc>
        <w:tc>
          <w:tcPr>
            <w:tcW w:w="1949" w:type="dxa"/>
          </w:tcPr>
          <w:p>
            <w:pPr>
              <w:pStyle w:val="TableParagraph"/>
              <w:spacing w:before="110"/>
              <w:ind w:left="321"/>
              <w:rPr>
                <w:b/>
                <w:sz w:val="21"/>
              </w:rPr>
            </w:pPr>
            <w:r>
              <w:rPr>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71" w:lineRule="auto" w:before="86"/>
              <w:ind w:left="148" w:right="104"/>
              <w:rPr>
                <w:sz w:val="21"/>
              </w:rPr>
            </w:pPr>
            <w:r>
              <w:rPr>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tc>
      </w:tr>
      <w:tr>
        <w:trPr>
          <w:trHeight w:val="561" w:hRule="atLeast"/>
        </w:trPr>
        <w:tc>
          <w:tcPr>
            <w:tcW w:w="747" w:type="dxa"/>
          </w:tcPr>
          <w:p>
            <w:pPr>
              <w:pStyle w:val="TableParagraph"/>
              <w:spacing w:before="111"/>
              <w:rPr>
                <w:b/>
                <w:sz w:val="21"/>
              </w:rPr>
            </w:pPr>
            <w:r>
              <w:rPr>
                <w:b/>
                <w:sz w:val="21"/>
              </w:rPr>
              <w:t>1.3</w:t>
            </w:r>
          </w:p>
        </w:tc>
        <w:tc>
          <w:tcPr>
            <w:tcW w:w="1949" w:type="dxa"/>
          </w:tcPr>
          <w:p>
            <w:pPr>
              <w:pStyle w:val="TableParagraph"/>
              <w:spacing w:before="111"/>
              <w:ind w:left="321"/>
              <w:rPr>
                <w:b/>
                <w:sz w:val="21"/>
              </w:rPr>
            </w:pPr>
            <w:r>
              <w:rPr>
                <w:b/>
                <w:sz w:val="21"/>
              </w:rPr>
              <w:t>投保年龄</w:t>
            </w:r>
          </w:p>
        </w:tc>
        <w:tc>
          <w:tcPr>
            <w:tcW w:w="7523" w:type="dxa"/>
          </w:tcPr>
          <w:p>
            <w:pPr>
              <w:pStyle w:val="TableParagraph"/>
              <w:spacing w:before="111"/>
              <w:ind w:left="148"/>
              <w:rPr>
                <w:sz w:val="21"/>
              </w:rPr>
            </w:pPr>
            <w:r>
              <w:rPr>
                <w:sz w:val="21"/>
              </w:rPr>
              <w:t>投保年龄指您投保时被保险人的年龄，以</w:t>
            </w:r>
            <w:r>
              <w:rPr>
                <w:b/>
                <w:sz w:val="21"/>
              </w:rPr>
              <w:t>周岁</w:t>
            </w:r>
            <w:r>
              <w:rPr>
                <w:sz w:val="21"/>
              </w:rPr>
              <w:t>（见 10.3）计算。</w:t>
            </w:r>
          </w:p>
        </w:tc>
      </w:tr>
      <w:tr>
        <w:trPr>
          <w:trHeight w:val="2526" w:hRule="atLeast"/>
        </w:trPr>
        <w:tc>
          <w:tcPr>
            <w:tcW w:w="747" w:type="dxa"/>
          </w:tcPr>
          <w:p>
            <w:pPr>
              <w:pStyle w:val="TableParagraph"/>
              <w:spacing w:before="111"/>
              <w:rPr>
                <w:b/>
                <w:sz w:val="21"/>
              </w:rPr>
            </w:pPr>
            <w:r>
              <w:rPr>
                <w:b/>
                <w:sz w:val="21"/>
              </w:rPr>
              <w:t>1.4</w:t>
            </w:r>
          </w:p>
        </w:tc>
        <w:tc>
          <w:tcPr>
            <w:tcW w:w="1949" w:type="dxa"/>
          </w:tcPr>
          <w:p>
            <w:pPr>
              <w:pStyle w:val="TableParagraph"/>
              <w:spacing w:before="111"/>
              <w:ind w:left="321"/>
              <w:rPr>
                <w:b/>
                <w:sz w:val="21"/>
              </w:rPr>
            </w:pPr>
            <w:r>
              <w:rPr>
                <w:b/>
                <w:sz w:val="21"/>
              </w:rPr>
              <w:t>犹豫期</w:t>
            </w:r>
          </w:p>
        </w:tc>
        <w:tc>
          <w:tcPr>
            <w:tcW w:w="7523" w:type="dxa"/>
          </w:tcPr>
          <w:p>
            <w:pPr>
              <w:pStyle w:val="TableParagraph"/>
              <w:spacing w:line="271" w:lineRule="auto" w:before="111"/>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附加合同，我们将向您无息退还所交纳的保险费。</w:t>
            </w:r>
          </w:p>
          <w:p>
            <w:pPr>
              <w:pStyle w:val="TableParagraph"/>
              <w:spacing w:line="273" w:lineRule="auto" w:before="88"/>
              <w:ind w:left="148" w:right="101"/>
              <w:jc w:val="both"/>
              <w:rPr>
                <w:rFonts w:ascii="黑体" w:eastAsia="黑体" w:hint="eastAsia"/>
                <w:sz w:val="21"/>
              </w:rPr>
            </w:pPr>
            <w:r>
              <w:rPr>
                <w:spacing w:val="-9"/>
                <w:sz w:val="21"/>
              </w:rPr>
              <w:t>解除本附加合同时，您须填写解除合同申请书，并提供本附加合同、您的</w:t>
            </w:r>
            <w:r>
              <w:rPr>
                <w:b/>
                <w:sz w:val="21"/>
              </w:rPr>
              <w:t>有效身份证件</w:t>
            </w:r>
            <w:r>
              <w:rPr>
                <w:spacing w:val="-3"/>
                <w:sz w:val="21"/>
              </w:rPr>
              <w:t>（</w:t>
            </w:r>
            <w:r>
              <w:rPr>
                <w:spacing w:val="15"/>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r>
              <w:rPr>
                <w:rFonts w:ascii="黑体" w:eastAsia="黑体" w:hint="eastAsia"/>
                <w:spacing w:val="-5"/>
                <w:sz w:val="21"/>
              </w:rPr>
              <w:t>给付保险金的责任。</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2.</w:t>
            </w:r>
          </w:p>
        </w:tc>
        <w:tc>
          <w:tcPr>
            <w:tcW w:w="9472" w:type="dxa"/>
            <w:gridSpan w:val="2"/>
            <w:tcBorders>
              <w:bottom w:val="single" w:sz="8" w:space="0" w:color="000000"/>
            </w:tcBorders>
          </w:tcPr>
          <w:p>
            <w:pPr>
              <w:pStyle w:val="TableParagraph"/>
              <w:spacing w:before="116"/>
              <w:ind w:left="321"/>
              <w:rPr>
                <w:b/>
                <w:sz w:val="24"/>
              </w:rPr>
            </w:pPr>
            <w:r>
              <w:rPr>
                <w:b/>
                <w:w w:val="95"/>
                <w:sz w:val="24"/>
              </w:rPr>
              <w:t>我们提供的保障</w:t>
            </w:r>
          </w:p>
        </w:tc>
      </w:tr>
      <w:tr>
        <w:trPr>
          <w:trHeight w:val="665"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2.1</w:t>
            </w:r>
          </w:p>
        </w:tc>
        <w:tc>
          <w:tcPr>
            <w:tcW w:w="1949"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保险金额</w:t>
            </w:r>
          </w:p>
        </w:tc>
        <w:tc>
          <w:tcPr>
            <w:tcW w:w="7523" w:type="dxa"/>
            <w:tcBorders>
              <w:top w:val="single" w:sz="8" w:space="0" w:color="000000"/>
            </w:tcBorders>
          </w:tcPr>
          <w:p>
            <w:pPr>
              <w:pStyle w:val="TableParagraph"/>
              <w:spacing w:before="5"/>
              <w:ind w:left="0"/>
              <w:rPr>
                <w:sz w:val="16"/>
              </w:rPr>
            </w:pPr>
          </w:p>
          <w:p>
            <w:pPr>
              <w:pStyle w:val="TableParagraph"/>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111"/>
              <w:rPr>
                <w:b/>
                <w:sz w:val="21"/>
              </w:rPr>
            </w:pPr>
            <w:r>
              <w:rPr>
                <w:b/>
                <w:sz w:val="21"/>
              </w:rPr>
              <w:t>2.2</w:t>
            </w:r>
          </w:p>
        </w:tc>
        <w:tc>
          <w:tcPr>
            <w:tcW w:w="1949" w:type="dxa"/>
          </w:tcPr>
          <w:p>
            <w:pPr>
              <w:pStyle w:val="TableParagraph"/>
              <w:spacing w:before="111"/>
              <w:ind w:left="321"/>
              <w:rPr>
                <w:b/>
                <w:sz w:val="21"/>
              </w:rPr>
            </w:pPr>
            <w:r>
              <w:rPr>
                <w:b/>
                <w:sz w:val="21"/>
              </w:rPr>
              <w:t>保险期间</w:t>
            </w:r>
          </w:p>
        </w:tc>
        <w:tc>
          <w:tcPr>
            <w:tcW w:w="7523" w:type="dxa"/>
          </w:tcPr>
          <w:p>
            <w:pPr>
              <w:pStyle w:val="TableParagraph"/>
              <w:spacing w:before="111"/>
              <w:ind w:left="148"/>
              <w:rPr>
                <w:sz w:val="21"/>
              </w:rPr>
            </w:pPr>
            <w:r>
              <w:rPr>
                <w:sz w:val="21"/>
              </w:rPr>
              <w:t>本附加合同的保险期间与主合同的保险期间相同，并在保险单上载明。</w:t>
            </w:r>
          </w:p>
        </w:tc>
      </w:tr>
      <w:tr>
        <w:trPr>
          <w:trHeight w:val="559" w:hRule="atLeast"/>
        </w:trPr>
        <w:tc>
          <w:tcPr>
            <w:tcW w:w="747" w:type="dxa"/>
          </w:tcPr>
          <w:p>
            <w:pPr>
              <w:pStyle w:val="TableParagraph"/>
              <w:spacing w:before="110"/>
              <w:rPr>
                <w:b/>
                <w:sz w:val="21"/>
              </w:rPr>
            </w:pPr>
            <w:r>
              <w:rPr>
                <w:b/>
                <w:sz w:val="21"/>
              </w:rPr>
              <w:t>2.3</w:t>
            </w:r>
          </w:p>
        </w:tc>
        <w:tc>
          <w:tcPr>
            <w:tcW w:w="1949" w:type="dxa"/>
          </w:tcPr>
          <w:p>
            <w:pPr>
              <w:pStyle w:val="TableParagraph"/>
              <w:spacing w:before="110"/>
              <w:ind w:left="321"/>
              <w:rPr>
                <w:b/>
                <w:sz w:val="21"/>
              </w:rPr>
            </w:pPr>
            <w:r>
              <w:rPr>
                <w:b/>
                <w:sz w:val="21"/>
              </w:rPr>
              <w:t>保险责任</w:t>
            </w:r>
          </w:p>
        </w:tc>
        <w:tc>
          <w:tcPr>
            <w:tcW w:w="7523" w:type="dxa"/>
          </w:tcPr>
          <w:p>
            <w:pPr>
              <w:pStyle w:val="TableParagraph"/>
              <w:spacing w:before="110"/>
              <w:ind w:left="148"/>
              <w:rPr>
                <w:sz w:val="21"/>
              </w:rPr>
            </w:pPr>
            <w:r>
              <w:rPr>
                <w:sz w:val="21"/>
              </w:rPr>
              <w:t>在本附加合同保险期间内，我们承担下列保险责任：</w:t>
            </w:r>
          </w:p>
        </w:tc>
      </w:tr>
      <w:tr>
        <w:trPr>
          <w:trHeight w:val="1712" w:hRule="atLeast"/>
        </w:trPr>
        <w:tc>
          <w:tcPr>
            <w:tcW w:w="747" w:type="dxa"/>
          </w:tcPr>
          <w:p>
            <w:pPr>
              <w:pStyle w:val="TableParagraph"/>
              <w:ind w:left="0"/>
              <w:rPr>
                <w:rFonts w:ascii="Times New Roman"/>
                <w:sz w:val="20"/>
              </w:rPr>
            </w:pPr>
          </w:p>
        </w:tc>
        <w:tc>
          <w:tcPr>
            <w:tcW w:w="1949" w:type="dxa"/>
          </w:tcPr>
          <w:p>
            <w:pPr>
              <w:pStyle w:val="TableParagraph"/>
              <w:spacing w:line="211" w:lineRule="auto" w:before="109"/>
              <w:ind w:left="321" w:right="147"/>
              <w:rPr>
                <w:rFonts w:ascii="Microsoft JhengHei" w:eastAsia="Microsoft JhengHei" w:hint="eastAsia"/>
                <w:b/>
                <w:sz w:val="21"/>
              </w:rPr>
            </w:pPr>
            <w:r>
              <w:rPr>
                <w:rFonts w:ascii="Microsoft JhengHei" w:eastAsia="Microsoft JhengHei" w:hint="eastAsia"/>
                <w:b/>
                <w:sz w:val="21"/>
              </w:rPr>
              <w:t>首次重大疾病保险金</w:t>
            </w:r>
          </w:p>
        </w:tc>
        <w:tc>
          <w:tcPr>
            <w:tcW w:w="7523" w:type="dxa"/>
          </w:tcPr>
          <w:p>
            <w:pPr>
              <w:pStyle w:val="TableParagraph"/>
              <w:spacing w:line="273" w:lineRule="auto" w:before="110"/>
              <w:ind w:left="148" w:right="103"/>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日内经</w:t>
            </w:r>
            <w:r>
              <w:rPr>
                <w:b/>
                <w:sz w:val="21"/>
              </w:rPr>
              <w:t>医院</w:t>
            </w:r>
            <w:r>
              <w:rPr>
                <w:spacing w:val="-12"/>
                <w:sz w:val="21"/>
              </w:rPr>
              <w:t>(见 </w:t>
            </w:r>
            <w:r>
              <w:rPr>
                <w:sz w:val="21"/>
              </w:rPr>
              <w:t>10.5</w:t>
            </w:r>
            <w:r>
              <w:rPr>
                <w:spacing w:val="-3"/>
                <w:sz w:val="21"/>
              </w:rPr>
              <w:t>)初次确诊非因</w:t>
            </w:r>
            <w:r>
              <w:rPr>
                <w:b/>
                <w:sz w:val="21"/>
              </w:rPr>
              <w:t>意外伤害</w:t>
            </w:r>
            <w:r>
              <w:rPr>
                <w:spacing w:val="-12"/>
                <w:sz w:val="21"/>
              </w:rPr>
              <w:t>(见 </w:t>
            </w:r>
            <w:r>
              <w:rPr>
                <w:sz w:val="21"/>
              </w:rPr>
              <w:t>10.6)</w:t>
            </w:r>
            <w:r>
              <w:rPr>
                <w:spacing w:val="-3"/>
                <w:sz w:val="21"/>
              </w:rPr>
              <w:t>导致罹患本附加合同所定</w:t>
            </w:r>
            <w:r>
              <w:rPr>
                <w:spacing w:val="-11"/>
                <w:sz w:val="21"/>
              </w:rPr>
              <w:t>义的任何一种重大疾病，我们按您已交纳的本附加合同的保险费数额向重大疾病</w:t>
            </w:r>
            <w:r>
              <w:rPr>
                <w:spacing w:val="-6"/>
                <w:sz w:val="21"/>
              </w:rPr>
              <w:t>保险金受益人给付首次重大疾病保险金，本附加合同终止。</w:t>
            </w:r>
          </w:p>
          <w:p>
            <w:pPr>
              <w:pStyle w:val="TableParagraph"/>
              <w:spacing w:line="255" w:lineRule="exact" w:before="86"/>
              <w:ind w:left="148"/>
              <w:jc w:val="both"/>
              <w:rPr>
                <w:sz w:val="21"/>
              </w:rPr>
            </w:pPr>
            <w:r>
              <w:rPr>
                <w:sz w:val="21"/>
              </w:rPr>
              <w:t>被保险人经医院初次确诊因意外伤害或于本附加合同生效（若曾复效，则自本附</w:t>
            </w:r>
          </w:p>
        </w:tc>
      </w:tr>
    </w:tbl>
    <w:p>
      <w:pPr>
        <w:spacing w:after="0" w:line="255" w:lineRule="exact"/>
        <w:jc w:val="both"/>
        <w:rPr>
          <w:sz w:val="21"/>
        </w:rPr>
        <w:sectPr>
          <w:pgSz w:w="11910" w:h="16840"/>
          <w:pgMar w:top="11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1"/>
      </w:tblGrid>
      <w:tr>
        <w:trPr>
          <w:trHeight w:val="1634"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1" w:type="dxa"/>
          </w:tcPr>
          <w:p>
            <w:pPr>
              <w:pStyle w:val="TableParagraph"/>
              <w:spacing w:line="211" w:lineRule="exact"/>
              <w:ind w:left="148"/>
              <w:rPr>
                <w:sz w:val="21"/>
              </w:rPr>
            </w:pPr>
            <w:r>
              <w:rPr>
                <w:sz w:val="21"/>
              </w:rPr>
              <w:t>加合同最后复效）之日起 90 日后经医院初次确诊非因意外伤害导致罹患本附加</w:t>
            </w:r>
          </w:p>
          <w:p>
            <w:pPr>
              <w:pStyle w:val="TableParagraph"/>
              <w:spacing w:line="273" w:lineRule="auto" w:before="37"/>
              <w:ind w:left="148" w:right="279"/>
              <w:jc w:val="both"/>
              <w:rPr>
                <w:sz w:val="21"/>
              </w:rPr>
            </w:pPr>
            <w:r>
              <w:rPr>
                <w:spacing w:val="-9"/>
                <w:sz w:val="21"/>
              </w:rPr>
              <w:t>合同所定义的任何一种重大疾病，我们按保险金额向重大疾病保险金受益人给付</w:t>
            </w:r>
            <w:r>
              <w:rPr>
                <w:spacing w:val="-10"/>
                <w:sz w:val="21"/>
              </w:rPr>
              <w:t>首次重大疾病保险金，同时该次理赔的重大疾病所属组别的保险责任终止</w:t>
            </w:r>
            <w:r>
              <w:rPr>
                <w:spacing w:val="-3"/>
                <w:sz w:val="21"/>
              </w:rPr>
              <w:t>（</w:t>
            </w:r>
            <w:r>
              <w:rPr>
                <w:sz w:val="21"/>
              </w:rPr>
              <w:t>重大</w:t>
            </w:r>
            <w:r>
              <w:rPr>
                <w:spacing w:val="-12"/>
                <w:sz w:val="21"/>
              </w:rPr>
              <w:t>疾病的分组详见附表一《重大疾病分组表》</w:t>
            </w:r>
            <w:r>
              <w:rPr>
                <w:spacing w:val="-106"/>
                <w:sz w:val="21"/>
              </w:rPr>
              <w:t>）</w:t>
            </w:r>
            <w:r>
              <w:rPr>
                <w:spacing w:val="-9"/>
                <w:sz w:val="21"/>
              </w:rPr>
              <w:t>。本附加合同继续有效，同时本附加合同的</w:t>
            </w:r>
            <w:r>
              <w:rPr>
                <w:b/>
                <w:spacing w:val="-9"/>
                <w:sz w:val="21"/>
              </w:rPr>
              <w:t>现金价值</w:t>
            </w:r>
            <w:r>
              <w:rPr>
                <w:spacing w:val="-3"/>
                <w:sz w:val="21"/>
              </w:rPr>
              <w:t>（</w:t>
            </w:r>
            <w:r>
              <w:rPr>
                <w:spacing w:val="-23"/>
                <w:sz w:val="21"/>
              </w:rPr>
              <w:t>见 </w:t>
            </w:r>
            <w:r>
              <w:rPr>
                <w:sz w:val="21"/>
              </w:rPr>
              <w:t>10.7）</w:t>
            </w:r>
            <w:r>
              <w:rPr>
                <w:spacing w:val="-1"/>
                <w:sz w:val="21"/>
              </w:rPr>
              <w:t>减少至零。</w:t>
            </w:r>
          </w:p>
        </w:tc>
      </w:tr>
      <w:tr>
        <w:trPr>
          <w:trHeight w:val="2121" w:hRule="atLeast"/>
        </w:trPr>
        <w:tc>
          <w:tcPr>
            <w:tcW w:w="839" w:type="dxa"/>
          </w:tcPr>
          <w:p>
            <w:pPr>
              <w:pStyle w:val="TableParagraph"/>
              <w:ind w:left="0"/>
              <w:rPr>
                <w:rFonts w:ascii="Times New Roman"/>
                <w:sz w:val="20"/>
              </w:rPr>
            </w:pPr>
          </w:p>
        </w:tc>
        <w:tc>
          <w:tcPr>
            <w:tcW w:w="1949" w:type="dxa"/>
          </w:tcPr>
          <w:p>
            <w:pPr>
              <w:pStyle w:val="TableParagraph"/>
              <w:spacing w:line="204" w:lineRule="auto" w:before="99"/>
              <w:ind w:left="321" w:right="147"/>
              <w:rPr>
                <w:rFonts w:ascii="Microsoft JhengHei" w:eastAsia="Microsoft JhengHei" w:hint="eastAsia"/>
                <w:b/>
                <w:sz w:val="21"/>
              </w:rPr>
            </w:pPr>
            <w:r>
              <w:rPr>
                <w:rFonts w:ascii="Microsoft JhengHei" w:eastAsia="Microsoft JhengHei" w:hint="eastAsia"/>
                <w:b/>
                <w:sz w:val="21"/>
              </w:rPr>
              <w:t>第二次重大疾病保险金</w:t>
            </w:r>
          </w:p>
        </w:tc>
        <w:tc>
          <w:tcPr>
            <w:tcW w:w="7701" w:type="dxa"/>
          </w:tcPr>
          <w:p>
            <w:pPr>
              <w:pStyle w:val="TableParagraph"/>
              <w:spacing w:line="273" w:lineRule="auto" w:before="111"/>
              <w:ind w:left="148" w:right="279"/>
              <w:jc w:val="both"/>
              <w:rPr>
                <w:sz w:val="21"/>
              </w:rPr>
            </w:pPr>
            <w:r>
              <w:rPr>
                <w:spacing w:val="-9"/>
                <w:sz w:val="21"/>
              </w:rPr>
              <w:t>若被保险人自首次重大疾病确诊之日</w:t>
            </w:r>
            <w:r>
              <w:rPr>
                <w:spacing w:val="-3"/>
                <w:sz w:val="21"/>
              </w:rPr>
              <w:t>（若曾复效且最后复效日大于首次重大疾病确诊日，则自本附加合同最后复效日</w:t>
            </w:r>
            <w:r>
              <w:rPr>
                <w:sz w:val="21"/>
              </w:rPr>
              <w:t>）</w:t>
            </w:r>
            <w:r>
              <w:rPr>
                <w:spacing w:val="-11"/>
                <w:sz w:val="21"/>
              </w:rPr>
              <w:t>起满 </w:t>
            </w:r>
            <w:r>
              <w:rPr>
                <w:sz w:val="21"/>
              </w:rPr>
              <w:t>90</w:t>
            </w:r>
            <w:r>
              <w:rPr>
                <w:spacing w:val="-7"/>
                <w:sz w:val="21"/>
              </w:rPr>
              <w:t> 日后经医院初次确诊罹患首次重大疾病所属组别以外其他三组中的任何一种重大疾病</w:t>
            </w:r>
            <w:r>
              <w:rPr>
                <w:spacing w:val="-3"/>
                <w:sz w:val="21"/>
              </w:rPr>
              <w:t>（重大疾病的分组详见附表</w:t>
            </w:r>
            <w:r>
              <w:rPr>
                <w:spacing w:val="-14"/>
                <w:sz w:val="21"/>
              </w:rPr>
              <w:t>一《重大疾病分组表》</w:t>
            </w:r>
            <w:r>
              <w:rPr>
                <w:spacing w:val="-3"/>
                <w:sz w:val="21"/>
              </w:rPr>
              <w:t>），我们将按保险金额向重大疾病保险金受益人给付第二</w:t>
            </w:r>
            <w:r>
              <w:rPr>
                <w:spacing w:val="-10"/>
                <w:sz w:val="21"/>
              </w:rPr>
              <w:t>次重大疾病保险金，同时该次理赔的重大疾病所属组别的保险责任终止。本附加</w:t>
            </w:r>
            <w:r>
              <w:rPr>
                <w:spacing w:val="-5"/>
                <w:sz w:val="21"/>
              </w:rPr>
              <w:t>合同继续有效。</w:t>
            </w:r>
          </w:p>
        </w:tc>
      </w:tr>
      <w:tr>
        <w:trPr>
          <w:trHeight w:val="2119" w:hRule="atLeast"/>
        </w:trPr>
        <w:tc>
          <w:tcPr>
            <w:tcW w:w="839" w:type="dxa"/>
          </w:tcPr>
          <w:p>
            <w:pPr>
              <w:pStyle w:val="TableParagraph"/>
              <w:ind w:left="0"/>
              <w:rPr>
                <w:rFonts w:ascii="Times New Roman"/>
                <w:sz w:val="20"/>
              </w:rPr>
            </w:pPr>
          </w:p>
        </w:tc>
        <w:tc>
          <w:tcPr>
            <w:tcW w:w="1949" w:type="dxa"/>
          </w:tcPr>
          <w:p>
            <w:pPr>
              <w:pStyle w:val="TableParagraph"/>
              <w:spacing w:line="208" w:lineRule="auto" w:before="113"/>
              <w:ind w:left="321" w:right="147"/>
              <w:rPr>
                <w:rFonts w:ascii="Microsoft JhengHei" w:eastAsia="Microsoft JhengHei" w:hint="eastAsia"/>
                <w:b/>
                <w:sz w:val="21"/>
              </w:rPr>
            </w:pPr>
            <w:r>
              <w:rPr>
                <w:rFonts w:ascii="Microsoft JhengHei" w:eastAsia="Microsoft JhengHei" w:hint="eastAsia"/>
                <w:b/>
                <w:sz w:val="21"/>
              </w:rPr>
              <w:t>第三次重大疾病保险金</w:t>
            </w:r>
          </w:p>
        </w:tc>
        <w:tc>
          <w:tcPr>
            <w:tcW w:w="7701" w:type="dxa"/>
          </w:tcPr>
          <w:p>
            <w:pPr>
              <w:pStyle w:val="TableParagraph"/>
              <w:spacing w:line="271" w:lineRule="auto" w:before="111"/>
              <w:ind w:left="148" w:right="279"/>
              <w:jc w:val="both"/>
              <w:rPr>
                <w:sz w:val="21"/>
              </w:rPr>
            </w:pPr>
            <w:r>
              <w:rPr>
                <w:spacing w:val="-8"/>
                <w:sz w:val="21"/>
              </w:rPr>
              <w:t>若被保险人自第二次重大疾病确诊之日</w:t>
            </w:r>
            <w:r>
              <w:rPr>
                <w:sz w:val="21"/>
              </w:rPr>
              <w:t>（</w:t>
            </w:r>
            <w:r>
              <w:rPr>
                <w:spacing w:val="-3"/>
                <w:sz w:val="21"/>
              </w:rPr>
              <w:t>若曾复效且最后复效日大于第二次重大疾病确诊日，则自本附加合同最后复效日</w:t>
            </w:r>
            <w:r>
              <w:rPr>
                <w:sz w:val="21"/>
              </w:rPr>
              <w:t>）</w:t>
            </w:r>
            <w:r>
              <w:rPr>
                <w:spacing w:val="-11"/>
                <w:sz w:val="21"/>
              </w:rPr>
              <w:t>起满 </w:t>
            </w:r>
            <w:r>
              <w:rPr>
                <w:sz w:val="21"/>
              </w:rPr>
              <w:t>90</w:t>
            </w:r>
            <w:r>
              <w:rPr>
                <w:spacing w:val="-6"/>
                <w:sz w:val="21"/>
              </w:rPr>
              <w:t> 日后经医院初次确诊罹患前</w:t>
            </w:r>
            <w:r>
              <w:rPr>
                <w:spacing w:val="-8"/>
                <w:sz w:val="21"/>
              </w:rPr>
              <w:t>两次重大疾病所属组别以外其他两组中的任何一种重大疾病</w:t>
            </w:r>
            <w:r>
              <w:rPr>
                <w:sz w:val="21"/>
              </w:rPr>
              <w:t>（</w:t>
            </w:r>
            <w:r>
              <w:rPr>
                <w:spacing w:val="-3"/>
                <w:sz w:val="21"/>
              </w:rPr>
              <w:t>重大疾病的分组详</w:t>
            </w:r>
            <w:r>
              <w:rPr>
                <w:spacing w:val="-11"/>
                <w:sz w:val="21"/>
              </w:rPr>
              <w:t>见附表一《重大疾病分组表》</w:t>
            </w:r>
            <w:r>
              <w:rPr>
                <w:sz w:val="21"/>
              </w:rPr>
              <w:t>）</w:t>
            </w:r>
            <w:r>
              <w:rPr>
                <w:spacing w:val="-3"/>
                <w:sz w:val="21"/>
              </w:rPr>
              <w:t>，我们按保险金额向重大疾病保险金受益人给付</w:t>
            </w:r>
            <w:r>
              <w:rPr>
                <w:spacing w:val="-9"/>
                <w:sz w:val="21"/>
              </w:rPr>
              <w:t>第三次重大疾病保险金，同时该次理赔的重大疾病所属组别的保险责任终止。本</w:t>
            </w:r>
            <w:r>
              <w:rPr>
                <w:spacing w:val="-5"/>
                <w:sz w:val="21"/>
              </w:rPr>
              <w:t>附加合同继续有效。</w:t>
            </w:r>
          </w:p>
        </w:tc>
      </w:tr>
      <w:tr>
        <w:trPr>
          <w:trHeight w:val="1807" w:hRule="atLeast"/>
        </w:trPr>
        <w:tc>
          <w:tcPr>
            <w:tcW w:w="839" w:type="dxa"/>
          </w:tcPr>
          <w:p>
            <w:pPr>
              <w:pStyle w:val="TableParagraph"/>
              <w:ind w:left="0"/>
              <w:rPr>
                <w:rFonts w:ascii="Times New Roman"/>
                <w:sz w:val="20"/>
              </w:rPr>
            </w:pPr>
          </w:p>
        </w:tc>
        <w:tc>
          <w:tcPr>
            <w:tcW w:w="1949" w:type="dxa"/>
          </w:tcPr>
          <w:p>
            <w:pPr>
              <w:pStyle w:val="TableParagraph"/>
              <w:spacing w:line="211" w:lineRule="auto" w:before="110"/>
              <w:ind w:left="321" w:right="147"/>
              <w:rPr>
                <w:rFonts w:ascii="Microsoft JhengHei" w:eastAsia="Microsoft JhengHei" w:hint="eastAsia"/>
                <w:b/>
                <w:sz w:val="21"/>
              </w:rPr>
            </w:pPr>
            <w:r>
              <w:rPr>
                <w:rFonts w:ascii="Microsoft JhengHei" w:eastAsia="Microsoft JhengHei" w:hint="eastAsia"/>
                <w:b/>
                <w:sz w:val="21"/>
              </w:rPr>
              <w:t>第四次重大疾病保险金</w:t>
            </w:r>
          </w:p>
        </w:tc>
        <w:tc>
          <w:tcPr>
            <w:tcW w:w="7701" w:type="dxa"/>
          </w:tcPr>
          <w:p>
            <w:pPr>
              <w:pStyle w:val="TableParagraph"/>
              <w:spacing w:line="271" w:lineRule="auto" w:before="111"/>
              <w:ind w:left="148" w:right="281"/>
              <w:jc w:val="both"/>
              <w:rPr>
                <w:sz w:val="21"/>
              </w:rPr>
            </w:pPr>
            <w:r>
              <w:rPr>
                <w:spacing w:val="-8"/>
                <w:sz w:val="21"/>
              </w:rPr>
              <w:t>若被保险人自第三次重大疾病确诊之日</w:t>
            </w:r>
            <w:r>
              <w:rPr>
                <w:sz w:val="21"/>
              </w:rPr>
              <w:t>（</w:t>
            </w:r>
            <w:r>
              <w:rPr>
                <w:spacing w:val="-3"/>
                <w:sz w:val="21"/>
              </w:rPr>
              <w:t>若曾复效且最后复效日大于第三次重大疾病确诊日，则自本附加合同最后复效日</w:t>
            </w:r>
            <w:r>
              <w:rPr>
                <w:sz w:val="21"/>
              </w:rPr>
              <w:t>）</w:t>
            </w:r>
            <w:r>
              <w:rPr>
                <w:spacing w:val="-10"/>
                <w:sz w:val="21"/>
              </w:rPr>
              <w:t>起满 </w:t>
            </w:r>
            <w:r>
              <w:rPr>
                <w:sz w:val="21"/>
              </w:rPr>
              <w:t>90</w:t>
            </w:r>
            <w:r>
              <w:rPr>
                <w:spacing w:val="-6"/>
                <w:sz w:val="21"/>
              </w:rPr>
              <w:t> 日后经医院初次确诊罹患前</w:t>
            </w:r>
            <w:r>
              <w:rPr>
                <w:spacing w:val="-5"/>
                <w:sz w:val="21"/>
              </w:rPr>
              <w:t>三次重大疾病所属组别以外的任何一种重大疾病</w:t>
            </w:r>
            <w:r>
              <w:rPr>
                <w:sz w:val="21"/>
              </w:rPr>
              <w:t>（重大疾病的分组详见附表一</w:t>
            </w:r>
          </w:p>
          <w:p>
            <w:pPr>
              <w:pStyle w:val="TableParagraph"/>
              <w:spacing w:line="273" w:lineRule="auto" w:before="9"/>
              <w:ind w:left="148" w:right="286"/>
              <w:jc w:val="both"/>
              <w:rPr>
                <w:sz w:val="21"/>
              </w:rPr>
            </w:pPr>
            <w:r>
              <w:rPr>
                <w:spacing w:val="-14"/>
                <w:sz w:val="21"/>
              </w:rPr>
              <w:t>《重大疾病分组表》</w:t>
            </w:r>
            <w:r>
              <w:rPr>
                <w:sz w:val="21"/>
              </w:rPr>
              <w:t>）</w:t>
            </w:r>
            <w:r>
              <w:rPr>
                <w:spacing w:val="-3"/>
                <w:sz w:val="21"/>
              </w:rPr>
              <w:t>，我们按保险金额向重大疾病保险金受益人给付第四次重大疾病保险金，本附加合同终止。</w:t>
            </w:r>
          </w:p>
        </w:tc>
      </w:tr>
      <w:tr>
        <w:trPr>
          <w:trHeight w:val="1886"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1" w:type="dxa"/>
          </w:tcPr>
          <w:p>
            <w:pPr>
              <w:pStyle w:val="TableParagraph"/>
              <w:spacing w:before="111"/>
              <w:ind w:left="148"/>
              <w:rPr>
                <w:rFonts w:ascii="黑体" w:hAnsi="黑体" w:eastAsia="黑体" w:hint="eastAsia"/>
                <w:sz w:val="21"/>
              </w:rPr>
            </w:pPr>
            <w:r>
              <w:rPr>
                <w:rFonts w:ascii="黑体" w:hAnsi="黑体" w:eastAsia="黑体" w:hint="eastAsia"/>
                <w:sz w:val="21"/>
              </w:rPr>
              <w:t>本附加合同所定义的重大疾病载明于本附加合同“9.重大疾病定义”。</w:t>
            </w:r>
          </w:p>
          <w:p>
            <w:pPr>
              <w:pStyle w:val="TableParagraph"/>
              <w:spacing w:line="271" w:lineRule="auto" w:before="116"/>
              <w:ind w:left="148" w:right="281"/>
              <w:jc w:val="both"/>
              <w:rPr>
                <w:sz w:val="21"/>
              </w:rPr>
            </w:pPr>
            <w:r>
              <w:rPr>
                <w:spacing w:val="-7"/>
                <w:sz w:val="21"/>
              </w:rPr>
              <w:t>若被保险人经医院初次确诊罹患两种或两种以上重大疾病</w:t>
            </w:r>
            <w:r>
              <w:rPr>
                <w:spacing w:val="-3"/>
                <w:sz w:val="21"/>
              </w:rPr>
              <w:t>（该两种或两种以上重大疾病所属组别的保险责任尚未终止</w:t>
            </w:r>
            <w:r>
              <w:rPr>
                <w:spacing w:val="-44"/>
                <w:sz w:val="21"/>
              </w:rPr>
              <w:t>），</w:t>
            </w:r>
            <w:r>
              <w:rPr>
                <w:spacing w:val="-3"/>
                <w:sz w:val="21"/>
              </w:rPr>
              <w:t>且该两种或两种以上重大疾病的初次确</w:t>
            </w:r>
            <w:r>
              <w:rPr>
                <w:spacing w:val="-7"/>
                <w:sz w:val="21"/>
              </w:rPr>
              <w:t>诊日间隔小于 </w:t>
            </w:r>
            <w:r>
              <w:rPr>
                <w:sz w:val="21"/>
              </w:rPr>
              <w:t>90</w:t>
            </w:r>
            <w:r>
              <w:rPr>
                <w:spacing w:val="-6"/>
                <w:sz w:val="21"/>
              </w:rPr>
              <w:t> 日，我们仅按保险金额向重大疾病保险金受益人给付单次重大</w:t>
            </w:r>
            <w:r>
              <w:rPr>
                <w:spacing w:val="-4"/>
                <w:sz w:val="21"/>
              </w:rPr>
              <w:t>疾病保险金。</w:t>
            </w:r>
          </w:p>
        </w:tc>
      </w:tr>
      <w:tr>
        <w:trPr>
          <w:trHeight w:val="4786" w:hRule="atLeast"/>
        </w:trPr>
        <w:tc>
          <w:tcPr>
            <w:tcW w:w="839" w:type="dxa"/>
          </w:tcPr>
          <w:p>
            <w:pPr>
              <w:pStyle w:val="TableParagraph"/>
              <w:spacing w:before="111"/>
              <w:ind w:left="200"/>
              <w:rPr>
                <w:b/>
                <w:sz w:val="21"/>
              </w:rPr>
            </w:pPr>
            <w:r>
              <w:rPr>
                <w:rFonts w:ascii="黑体"/>
                <w:b/>
                <w:sz w:val="21"/>
              </w:rPr>
              <w:t>2</w:t>
            </w:r>
            <w:r>
              <w:rPr>
                <w:b/>
                <w:sz w:val="21"/>
              </w:rPr>
              <w:t>.4</w:t>
            </w:r>
          </w:p>
        </w:tc>
        <w:tc>
          <w:tcPr>
            <w:tcW w:w="1949" w:type="dxa"/>
          </w:tcPr>
          <w:p>
            <w:pPr>
              <w:pStyle w:val="TableParagraph"/>
              <w:spacing w:before="111"/>
              <w:ind w:left="321"/>
              <w:rPr>
                <w:rFonts w:ascii="黑体" w:eastAsia="黑体" w:hint="eastAsia"/>
                <w:b/>
                <w:sz w:val="21"/>
              </w:rPr>
            </w:pPr>
            <w:r>
              <w:rPr>
                <w:rFonts w:ascii="黑体" w:eastAsia="黑体" w:hint="eastAsia"/>
                <w:b/>
                <w:sz w:val="21"/>
              </w:rPr>
              <w:t>责任免除</w:t>
            </w:r>
          </w:p>
        </w:tc>
        <w:tc>
          <w:tcPr>
            <w:tcW w:w="7701" w:type="dxa"/>
          </w:tcPr>
          <w:p>
            <w:pPr>
              <w:pStyle w:val="TableParagraph"/>
              <w:spacing w:line="273" w:lineRule="auto" w:before="111"/>
              <w:ind w:left="148" w:right="281"/>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869" w:val="left" w:leader="none"/>
              </w:tabs>
              <w:spacing w:line="240" w:lineRule="auto" w:before="86" w:after="0"/>
              <w:ind w:left="869"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869" w:val="left" w:leader="none"/>
              </w:tabs>
              <w:spacing w:line="240" w:lineRule="auto" w:before="89" w:after="0"/>
              <w:ind w:left="869"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314"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869" w:val="left" w:leader="none"/>
              </w:tabs>
              <w:spacing w:line="240" w:lineRule="auto" w:before="73" w:after="0"/>
              <w:ind w:left="869"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869" w:val="left" w:leader="none"/>
              </w:tabs>
              <w:spacing w:line="240" w:lineRule="auto" w:before="75" w:after="0"/>
              <w:ind w:left="869" w:right="207" w:hanging="721"/>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w:t>
            </w:r>
            <w:r>
              <w:rPr>
                <w:rFonts w:ascii="黑体" w:eastAsia="黑体" w:hint="eastAsia"/>
                <w:spacing w:val="-5"/>
                <w:w w:val="100"/>
                <w:sz w:val="21"/>
              </w:rPr>
              <w:t>、</w:t>
            </w:r>
            <w:r>
              <w:rPr>
                <w:rFonts w:ascii="黑体" w:eastAsia="黑体" w:hint="eastAsia"/>
                <w:b/>
                <w:spacing w:val="-2"/>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310" w:lineRule="atLeast" w:before="64"/>
              <w:ind w:left="148" w:right="198"/>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因上述第（1）项情形导致被保险人发Th本附加合同定义的重大疾病的，本附加合同终止，我们向重大疾病保险金受益人给付本附加合同终止之日的现金价值。</w:t>
            </w:r>
          </w:p>
        </w:tc>
      </w:tr>
    </w:tbl>
    <w:p>
      <w:pPr>
        <w:spacing w:after="0" w:line="310" w:lineRule="atLeast"/>
        <w:rPr>
          <w:rFonts w:ascii="黑体" w:eastAsia="黑体" w:hint="eastAsia"/>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713"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rFonts w:ascii="黑体" w:eastAsia="黑体" w:hint="eastAsia"/>
                <w:sz w:val="21"/>
              </w:rPr>
            </w:pPr>
            <w:r>
              <w:rPr>
                <w:rFonts w:ascii="黑体" w:eastAsia="黑体" w:hint="eastAsia"/>
                <w:sz w:val="21"/>
              </w:rPr>
              <w:t>因上述其他情形导致被保险人发Th本附加合同定义的重大疾病的，本附加合同终</w:t>
            </w:r>
          </w:p>
          <w:p>
            <w:pPr>
              <w:pStyle w:val="TableParagraph"/>
              <w:spacing w:before="37"/>
              <w:ind w:left="253"/>
              <w:rPr>
                <w:rFonts w:ascii="黑体" w:eastAsia="黑体" w:hint="eastAsia"/>
                <w:sz w:val="21"/>
              </w:rPr>
            </w:pPr>
            <w:r>
              <w:rPr>
                <w:rFonts w:ascii="黑体" w:eastAsia="黑体" w:hint="eastAsia"/>
                <w:sz w:val="21"/>
              </w:rPr>
              <w:t>止，我们将向您退还本附加合同终止之日的现金价值。</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3.</w:t>
            </w:r>
          </w:p>
        </w:tc>
        <w:tc>
          <w:tcPr>
            <w:tcW w:w="1844" w:type="dxa"/>
            <w:tcBorders>
              <w:bottom w:val="single" w:sz="8" w:space="0" w:color="000000"/>
            </w:tcBorders>
          </w:tcPr>
          <w:p>
            <w:pPr>
              <w:pStyle w:val="TableParagraph"/>
              <w:spacing w:before="116"/>
              <w:ind w:left="321"/>
              <w:rPr>
                <w:b/>
                <w:sz w:val="24"/>
              </w:rPr>
            </w:pPr>
            <w:r>
              <w:rPr>
                <w:b/>
                <w:w w:val="95"/>
                <w:sz w:val="24"/>
              </w:rPr>
              <w:t>保险金的申请</w:t>
            </w:r>
          </w:p>
        </w:tc>
        <w:tc>
          <w:tcPr>
            <w:tcW w:w="7629" w:type="dxa"/>
            <w:tcBorders>
              <w:bottom w:val="single" w:sz="8" w:space="0" w:color="000000"/>
            </w:tcBorders>
          </w:tcPr>
          <w:p>
            <w:pPr>
              <w:pStyle w:val="TableParagraph"/>
              <w:ind w:left="0"/>
              <w:rPr>
                <w:rFonts w:ascii="Times New Roman"/>
                <w:sz w:val="20"/>
              </w:rPr>
            </w:pPr>
          </w:p>
        </w:tc>
      </w:tr>
      <w:tr>
        <w:trPr>
          <w:trHeight w:val="661"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3.1</w:t>
            </w:r>
          </w:p>
        </w:tc>
        <w:tc>
          <w:tcPr>
            <w:tcW w:w="184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受益人</w:t>
            </w:r>
          </w:p>
        </w:tc>
        <w:tc>
          <w:tcPr>
            <w:tcW w:w="7629" w:type="dxa"/>
            <w:tcBorders>
              <w:top w:val="single" w:sz="8" w:space="0" w:color="000000"/>
            </w:tcBorders>
          </w:tcPr>
          <w:p>
            <w:pPr>
              <w:pStyle w:val="TableParagraph"/>
              <w:spacing w:before="8"/>
              <w:ind w:left="0"/>
              <w:rPr>
                <w:sz w:val="16"/>
              </w:rPr>
            </w:pPr>
          </w:p>
          <w:p>
            <w:pPr>
              <w:pStyle w:val="TableParagraph"/>
              <w:ind w:left="253"/>
              <w:rPr>
                <w:sz w:val="21"/>
              </w:rPr>
            </w:pPr>
            <w:r>
              <w:rPr>
                <w:sz w:val="21"/>
              </w:rPr>
              <w:t>除另有指定外，重大疾病保险金的受益人为被保险人本人。</w:t>
            </w:r>
          </w:p>
        </w:tc>
      </w:tr>
      <w:tr>
        <w:trPr>
          <w:trHeight w:val="1813" w:hRule="atLeast"/>
        </w:trPr>
        <w:tc>
          <w:tcPr>
            <w:tcW w:w="747" w:type="dxa"/>
          </w:tcPr>
          <w:p>
            <w:pPr>
              <w:pStyle w:val="TableParagraph"/>
              <w:spacing w:before="115"/>
              <w:rPr>
                <w:b/>
                <w:sz w:val="21"/>
              </w:rPr>
            </w:pPr>
            <w:r>
              <w:rPr>
                <w:b/>
                <w:sz w:val="21"/>
              </w:rPr>
              <w:t>3.2</w:t>
            </w:r>
          </w:p>
        </w:tc>
        <w:tc>
          <w:tcPr>
            <w:tcW w:w="1844" w:type="dxa"/>
          </w:tcPr>
          <w:p>
            <w:pPr>
              <w:pStyle w:val="TableParagraph"/>
              <w:spacing w:before="115"/>
              <w:ind w:left="321"/>
              <w:rPr>
                <w:b/>
                <w:sz w:val="21"/>
              </w:rPr>
            </w:pPr>
            <w:r>
              <w:rPr>
                <w:b/>
                <w:sz w:val="21"/>
              </w:rPr>
              <w:t>保险事故通知</w:t>
            </w:r>
          </w:p>
        </w:tc>
        <w:tc>
          <w:tcPr>
            <w:tcW w:w="7629" w:type="dxa"/>
          </w:tcPr>
          <w:p>
            <w:pPr>
              <w:pStyle w:val="TableParagraph"/>
              <w:spacing w:line="271" w:lineRule="auto" w:before="103"/>
              <w:ind w:left="253" w:right="102"/>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6"/>
                <w:sz w:val="21"/>
              </w:rPr>
              <w:t> 日内通知我们</w:t>
            </w:r>
            <w:r>
              <w:rPr>
                <w:rFonts w:ascii="黑体" w:eastAsia="黑体" w:hint="eastAsia"/>
                <w:i/>
                <w:spacing w:val="-3"/>
                <w:sz w:val="22"/>
              </w:rPr>
              <w:t>。</w:t>
            </w:r>
            <w:r>
              <w:rPr>
                <w:rFonts w:ascii="黑体" w:eastAsia="黑体" w:hint="eastAsia"/>
                <w:spacing w:val="-3"/>
                <w:sz w:val="21"/>
              </w:rPr>
              <w:t>故意或者因重大过失</w:t>
            </w:r>
            <w:r>
              <w:rPr>
                <w:rFonts w:ascii="黑体" w:eastAsia="黑体" w:hint="eastAsia"/>
                <w:spacing w:val="-11"/>
                <w:sz w:val="21"/>
              </w:rPr>
              <w:t>未及时通知，致使保险事故的性质、原因、损失程度等难以确定的，我们对无法</w:t>
            </w:r>
            <w:r>
              <w:rPr>
                <w:rFonts w:ascii="黑体" w:eastAsia="黑体" w:hint="eastAsia"/>
                <w:spacing w:val="-12"/>
                <w:sz w:val="21"/>
              </w:rPr>
              <w:t>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7190" w:hRule="atLeast"/>
        </w:trPr>
        <w:tc>
          <w:tcPr>
            <w:tcW w:w="747" w:type="dxa"/>
          </w:tcPr>
          <w:p>
            <w:pPr>
              <w:pStyle w:val="TableParagraph"/>
              <w:spacing w:before="111"/>
              <w:rPr>
                <w:b/>
                <w:sz w:val="21"/>
              </w:rPr>
            </w:pPr>
            <w:r>
              <w:rPr>
                <w:b/>
                <w:sz w:val="21"/>
              </w:rPr>
              <w:t>3.3</w:t>
            </w:r>
          </w:p>
        </w:tc>
        <w:tc>
          <w:tcPr>
            <w:tcW w:w="1844" w:type="dxa"/>
          </w:tcPr>
          <w:p>
            <w:pPr>
              <w:pStyle w:val="TableParagraph"/>
              <w:spacing w:before="111"/>
              <w:ind w:left="321"/>
              <w:rPr>
                <w:b/>
                <w:sz w:val="21"/>
              </w:rPr>
            </w:pPr>
            <w:r>
              <w:rPr>
                <w:b/>
                <w:sz w:val="21"/>
              </w:rPr>
              <w:t>保险金申请</w:t>
            </w:r>
          </w:p>
        </w:tc>
        <w:tc>
          <w:tcPr>
            <w:tcW w:w="7629" w:type="dxa"/>
          </w:tcPr>
          <w:p>
            <w:pPr>
              <w:pStyle w:val="TableParagraph"/>
              <w:spacing w:line="271" w:lineRule="auto" w:before="111"/>
              <w:ind w:left="253" w:right="1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11"/>
              </w:numPr>
              <w:tabs>
                <w:tab w:pos="974" w:val="left" w:leader="none"/>
              </w:tabs>
              <w:spacing w:line="240" w:lineRule="auto" w:before="88" w:after="0"/>
              <w:ind w:left="974" w:right="0" w:hanging="721"/>
              <w:jc w:val="left"/>
              <w:rPr>
                <w:sz w:val="21"/>
              </w:rPr>
            </w:pPr>
            <w:r>
              <w:rPr>
                <w:spacing w:val="-2"/>
                <w:sz w:val="21"/>
              </w:rPr>
              <w:t>本附加合同；</w:t>
            </w:r>
          </w:p>
          <w:p>
            <w:pPr>
              <w:pStyle w:val="TableParagraph"/>
              <w:numPr>
                <w:ilvl w:val="0"/>
                <w:numId w:val="11"/>
              </w:numPr>
              <w:tabs>
                <w:tab w:pos="974" w:val="left" w:leader="none"/>
              </w:tabs>
              <w:spacing w:line="240" w:lineRule="auto" w:before="115" w:after="0"/>
              <w:ind w:left="974" w:right="0" w:hanging="721"/>
              <w:jc w:val="left"/>
              <w:rPr>
                <w:sz w:val="21"/>
              </w:rPr>
            </w:pPr>
            <w:r>
              <w:rPr>
                <w:spacing w:val="-3"/>
                <w:sz w:val="21"/>
              </w:rPr>
              <w:t>重大疾病保险金受益人的有效身份证件；</w:t>
            </w:r>
          </w:p>
          <w:p>
            <w:pPr>
              <w:pStyle w:val="TableParagraph"/>
              <w:numPr>
                <w:ilvl w:val="0"/>
                <w:numId w:val="11"/>
              </w:numPr>
              <w:tabs>
                <w:tab w:pos="974" w:val="left" w:leader="none"/>
              </w:tabs>
              <w:spacing w:line="273" w:lineRule="auto" w:before="113" w:after="0"/>
              <w:ind w:left="974" w:right="105" w:hanging="721"/>
              <w:jc w:val="both"/>
              <w:rPr>
                <w:sz w:val="21"/>
              </w:rPr>
            </w:pPr>
            <w:r>
              <w:rPr>
                <w:sz w:val="21"/>
              </w:rPr>
              <w:t>由医院</w:t>
            </w:r>
            <w:r>
              <w:rPr>
                <w:b/>
                <w:sz w:val="21"/>
              </w:rPr>
              <w:t>专科医生</w:t>
            </w:r>
            <w:r>
              <w:rPr>
                <w:sz w:val="21"/>
              </w:rPr>
              <w:t>（</w:t>
            </w:r>
            <w:r>
              <w:rPr>
                <w:spacing w:val="13"/>
                <w:sz w:val="21"/>
              </w:rPr>
              <w:t>见 </w:t>
            </w:r>
            <w:r>
              <w:rPr>
                <w:sz w:val="21"/>
              </w:rPr>
              <w:t>10.16）出具的疾病诊断证明书以及由医院出具的与该疾病诊断证明书相关的病理显微镜检查、血液检验及其他科学方法</w:t>
            </w:r>
            <w:r>
              <w:rPr>
                <w:spacing w:val="-1"/>
                <w:sz w:val="21"/>
              </w:rPr>
              <w:t>检验报告；</w:t>
            </w:r>
          </w:p>
          <w:p>
            <w:pPr>
              <w:pStyle w:val="TableParagraph"/>
              <w:numPr>
                <w:ilvl w:val="0"/>
                <w:numId w:val="11"/>
              </w:numPr>
              <w:tabs>
                <w:tab w:pos="974" w:val="left" w:leader="none"/>
              </w:tabs>
              <w:spacing w:line="240" w:lineRule="auto" w:before="86" w:after="0"/>
              <w:ind w:left="974"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8"/>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6"/>
              <w:ind w:left="253" w:right="104"/>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73" w:lineRule="auto" w:before="89"/>
              <w:ind w:left="253" w:right="103"/>
              <w:jc w:val="both"/>
              <w:rPr>
                <w:sz w:val="21"/>
              </w:rPr>
            </w:pPr>
            <w:r>
              <w:rPr>
                <w:spacing w:val="-7"/>
                <w:sz w:val="21"/>
              </w:rPr>
              <w:t>如果被保险人已向我们书面申领重大疾病保险金，但在实际领取重大疾病保险金</w:t>
            </w:r>
            <w:r>
              <w:rPr>
                <w:spacing w:val="-11"/>
                <w:sz w:val="21"/>
              </w:rPr>
              <w:t>前身故，重大疾病保险金将作为被保险人的遗产，由我们向被保险人的合法继承</w:t>
            </w:r>
            <w:r>
              <w:rPr>
                <w:spacing w:val="-7"/>
                <w:sz w:val="21"/>
              </w:rPr>
              <w:t>人给付。</w:t>
            </w:r>
          </w:p>
        </w:tc>
      </w:tr>
      <w:tr>
        <w:trPr>
          <w:trHeight w:val="3116" w:hRule="atLeast"/>
        </w:trPr>
        <w:tc>
          <w:tcPr>
            <w:tcW w:w="747" w:type="dxa"/>
          </w:tcPr>
          <w:p>
            <w:pPr>
              <w:pStyle w:val="TableParagraph"/>
              <w:spacing w:before="110"/>
              <w:rPr>
                <w:b/>
                <w:sz w:val="21"/>
              </w:rPr>
            </w:pPr>
            <w:r>
              <w:rPr>
                <w:b/>
                <w:sz w:val="21"/>
              </w:rPr>
              <w:t>3.4</w:t>
            </w:r>
          </w:p>
        </w:tc>
        <w:tc>
          <w:tcPr>
            <w:tcW w:w="1844" w:type="dxa"/>
          </w:tcPr>
          <w:p>
            <w:pPr>
              <w:pStyle w:val="TableParagraph"/>
              <w:spacing w:before="110"/>
              <w:ind w:left="321"/>
              <w:rPr>
                <w:b/>
                <w:sz w:val="21"/>
              </w:rPr>
            </w:pPr>
            <w:r>
              <w:rPr>
                <w:b/>
                <w:sz w:val="21"/>
              </w:rPr>
              <w:t>保险金给付</w:t>
            </w:r>
          </w:p>
        </w:tc>
        <w:tc>
          <w:tcPr>
            <w:tcW w:w="7629" w:type="dxa"/>
          </w:tcPr>
          <w:p>
            <w:pPr>
              <w:pStyle w:val="TableParagraph"/>
              <w:spacing w:before="110"/>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7"/>
              <w:ind w:left="253"/>
              <w:rPr>
                <w:sz w:val="21"/>
              </w:rPr>
            </w:pPr>
            <w:r>
              <w:rPr>
                <w:sz w:val="21"/>
              </w:rPr>
              <w:t>出核定；情形复杂的，在 30 日内作出核定。对属于保险责任的，我们在与受益</w:t>
            </w:r>
          </w:p>
          <w:p>
            <w:pPr>
              <w:pStyle w:val="TableParagraph"/>
              <w:spacing w:before="38"/>
              <w:ind w:left="253"/>
              <w:rPr>
                <w:sz w:val="21"/>
              </w:rPr>
            </w:pPr>
            <w:r>
              <w:rPr>
                <w:sz w:val="21"/>
              </w:rPr>
              <w:t>人达成给付保险金的协议后 10 日内，履行给付保险金义务。</w:t>
            </w:r>
          </w:p>
          <w:p>
            <w:pPr>
              <w:pStyle w:val="TableParagraph"/>
              <w:spacing w:line="271"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8"/>
              <w:ind w:left="253" w:right="104"/>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55" w:lineRule="exact" w:before="86"/>
              <w:ind w:left="253"/>
              <w:rPr>
                <w:sz w:val="21"/>
              </w:rPr>
            </w:pPr>
            <w:r>
              <w:rPr>
                <w:sz w:val="21"/>
              </w:rPr>
              <w:t>我们在收到领取保险金申请书及有关证明和资料之日起 60 日内，对给付保险金</w:t>
            </w:r>
          </w:p>
        </w:tc>
      </w:tr>
    </w:tbl>
    <w:p>
      <w:pPr>
        <w:spacing w:after="0" w:line="255" w:lineRule="exact"/>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97"/>
        <w:gridCol w:w="7577"/>
      </w:tblGrid>
      <w:tr>
        <w:trPr>
          <w:trHeight w:val="698" w:hRule="atLeast"/>
        </w:trPr>
        <w:tc>
          <w:tcPr>
            <w:tcW w:w="747" w:type="dxa"/>
          </w:tcPr>
          <w:p>
            <w:pPr>
              <w:pStyle w:val="TableParagraph"/>
              <w:ind w:left="0"/>
              <w:rPr>
                <w:rFonts w:ascii="Times New Roman"/>
                <w:sz w:val="20"/>
              </w:rPr>
            </w:pPr>
          </w:p>
        </w:tc>
        <w:tc>
          <w:tcPr>
            <w:tcW w:w="1897" w:type="dxa"/>
          </w:tcPr>
          <w:p>
            <w:pPr>
              <w:pStyle w:val="TableParagraph"/>
              <w:ind w:left="0"/>
              <w:rPr>
                <w:rFonts w:ascii="Times New Roman"/>
                <w:sz w:val="20"/>
              </w:rPr>
            </w:pPr>
          </w:p>
        </w:tc>
        <w:tc>
          <w:tcPr>
            <w:tcW w:w="7577" w:type="dxa"/>
          </w:tcPr>
          <w:p>
            <w:pPr>
              <w:pStyle w:val="TableParagraph"/>
              <w:spacing w:line="211" w:lineRule="exact"/>
              <w:ind w:left="200"/>
              <w:rPr>
                <w:sz w:val="21"/>
              </w:rPr>
            </w:pPr>
            <w:r>
              <w:rPr>
                <w:sz w:val="21"/>
              </w:rPr>
              <w:t>的数额不能确定的，根据已有证明和资料可以确定的数额先予支付；我们最终确</w:t>
            </w:r>
          </w:p>
          <w:p>
            <w:pPr>
              <w:pStyle w:val="TableParagraph"/>
              <w:spacing w:before="37"/>
              <w:ind w:left="200"/>
              <w:rPr>
                <w:sz w:val="21"/>
              </w:rPr>
            </w:pPr>
            <w:r>
              <w:rPr>
                <w:sz w:val="21"/>
              </w:rPr>
              <w:t>定给付保险金的数额后，将支付相应的差额。</w:t>
            </w:r>
          </w:p>
        </w:tc>
      </w:tr>
      <w:tr>
        <w:trPr>
          <w:trHeight w:val="889" w:hRule="atLeast"/>
        </w:trPr>
        <w:tc>
          <w:tcPr>
            <w:tcW w:w="747" w:type="dxa"/>
          </w:tcPr>
          <w:p>
            <w:pPr>
              <w:pStyle w:val="TableParagraph"/>
              <w:spacing w:before="111"/>
              <w:rPr>
                <w:b/>
                <w:sz w:val="21"/>
              </w:rPr>
            </w:pPr>
            <w:r>
              <w:rPr>
                <w:b/>
                <w:sz w:val="21"/>
              </w:rPr>
              <w:t>3.5</w:t>
            </w:r>
          </w:p>
        </w:tc>
        <w:tc>
          <w:tcPr>
            <w:tcW w:w="1897" w:type="dxa"/>
          </w:tcPr>
          <w:p>
            <w:pPr>
              <w:pStyle w:val="TableParagraph"/>
              <w:spacing w:before="111"/>
              <w:ind w:left="321"/>
              <w:rPr>
                <w:b/>
                <w:sz w:val="21"/>
              </w:rPr>
            </w:pPr>
            <w:r>
              <w:rPr>
                <w:b/>
                <w:sz w:val="21"/>
              </w:rPr>
              <w:t>诉讼时效</w:t>
            </w:r>
          </w:p>
        </w:tc>
        <w:tc>
          <w:tcPr>
            <w:tcW w:w="7577" w:type="dxa"/>
          </w:tcPr>
          <w:p>
            <w:pPr>
              <w:pStyle w:val="TableParagraph"/>
              <w:spacing w:line="273" w:lineRule="auto" w:before="111"/>
              <w:ind w:left="200" w:right="105"/>
              <w:rPr>
                <w:sz w:val="21"/>
              </w:rPr>
            </w:pPr>
            <w:r>
              <w:rPr>
                <w:spacing w:val="-5"/>
                <w:sz w:val="21"/>
              </w:rPr>
              <w:t>受益人向我们申请给付保险金的诉讼时效期间为 </w:t>
            </w:r>
            <w:r>
              <w:rPr>
                <w:sz w:val="21"/>
              </w:rPr>
              <w:t>2</w:t>
            </w:r>
            <w:r>
              <w:rPr>
                <w:spacing w:val="-14"/>
                <w:sz w:val="21"/>
              </w:rPr>
              <w:t> 年，自其知道或者应当知道保</w:t>
            </w:r>
            <w:r>
              <w:rPr>
                <w:spacing w:val="-7"/>
                <w:sz w:val="21"/>
              </w:rPr>
              <w:t>险事故发生之日起计算。</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4.</w:t>
            </w:r>
          </w:p>
        </w:tc>
        <w:tc>
          <w:tcPr>
            <w:tcW w:w="1897" w:type="dxa"/>
            <w:tcBorders>
              <w:bottom w:val="single" w:sz="8" w:space="0" w:color="000000"/>
            </w:tcBorders>
          </w:tcPr>
          <w:p>
            <w:pPr>
              <w:pStyle w:val="TableParagraph"/>
              <w:spacing w:before="116"/>
              <w:ind w:left="321"/>
              <w:rPr>
                <w:b/>
                <w:sz w:val="24"/>
              </w:rPr>
            </w:pPr>
            <w:r>
              <w:rPr>
                <w:b/>
                <w:w w:val="95"/>
                <w:sz w:val="24"/>
              </w:rPr>
              <w:t>保险费的交纳</w:t>
            </w:r>
          </w:p>
        </w:tc>
        <w:tc>
          <w:tcPr>
            <w:tcW w:w="7577" w:type="dxa"/>
            <w:tcBorders>
              <w:bottom w:val="single" w:sz="8" w:space="0" w:color="000000"/>
            </w:tcBorders>
          </w:tcPr>
          <w:p>
            <w:pPr>
              <w:pStyle w:val="TableParagraph"/>
              <w:ind w:left="0"/>
              <w:rPr>
                <w:rFonts w:ascii="Times New Roman"/>
                <w:sz w:val="20"/>
              </w:rPr>
            </w:pPr>
          </w:p>
        </w:tc>
      </w:tr>
      <w:tr>
        <w:trPr>
          <w:trHeight w:val="1680"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4.1</w:t>
            </w:r>
          </w:p>
        </w:tc>
        <w:tc>
          <w:tcPr>
            <w:tcW w:w="1897"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保险费的交纳</w:t>
            </w:r>
          </w:p>
        </w:tc>
        <w:tc>
          <w:tcPr>
            <w:tcW w:w="7577" w:type="dxa"/>
            <w:tcBorders>
              <w:top w:val="single" w:sz="8" w:space="0" w:color="000000"/>
            </w:tcBorders>
          </w:tcPr>
          <w:p>
            <w:pPr>
              <w:pStyle w:val="TableParagraph"/>
              <w:spacing w:before="8"/>
              <w:ind w:left="0"/>
              <w:rPr>
                <w:sz w:val="16"/>
              </w:rPr>
            </w:pPr>
          </w:p>
          <w:p>
            <w:pPr>
              <w:pStyle w:val="TableParagraph"/>
              <w:spacing w:line="271" w:lineRule="auto"/>
              <w:ind w:left="200" w:right="103"/>
              <w:rPr>
                <w:sz w:val="21"/>
              </w:rPr>
            </w:pPr>
            <w:r>
              <w:rPr>
                <w:sz w:val="21"/>
              </w:rPr>
              <w:t>本附加合同的交费方式和交费期间由您在投保时与我们约定，并在保险单上载明。</w:t>
            </w:r>
          </w:p>
          <w:p>
            <w:pPr>
              <w:pStyle w:val="TableParagraph"/>
              <w:spacing w:line="273" w:lineRule="auto" w:before="89"/>
              <w:ind w:left="200" w:right="103"/>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902" w:hRule="atLeast"/>
        </w:trPr>
        <w:tc>
          <w:tcPr>
            <w:tcW w:w="747" w:type="dxa"/>
          </w:tcPr>
          <w:p>
            <w:pPr>
              <w:pStyle w:val="TableParagraph"/>
              <w:spacing w:before="111"/>
              <w:rPr>
                <w:b/>
                <w:sz w:val="21"/>
              </w:rPr>
            </w:pPr>
            <w:r>
              <w:rPr>
                <w:b/>
                <w:sz w:val="21"/>
              </w:rPr>
              <w:t>4.2</w:t>
            </w:r>
          </w:p>
        </w:tc>
        <w:tc>
          <w:tcPr>
            <w:tcW w:w="1897" w:type="dxa"/>
          </w:tcPr>
          <w:p>
            <w:pPr>
              <w:pStyle w:val="TableParagraph"/>
              <w:spacing w:before="111"/>
              <w:ind w:left="321"/>
              <w:rPr>
                <w:b/>
                <w:sz w:val="21"/>
              </w:rPr>
            </w:pPr>
            <w:r>
              <w:rPr>
                <w:b/>
                <w:sz w:val="21"/>
              </w:rPr>
              <w:t>宽限期</w:t>
            </w:r>
          </w:p>
        </w:tc>
        <w:tc>
          <w:tcPr>
            <w:tcW w:w="7577" w:type="dxa"/>
          </w:tcPr>
          <w:p>
            <w:pPr>
              <w:pStyle w:val="TableParagraph"/>
              <w:spacing w:line="271" w:lineRule="auto" w:before="111"/>
              <w:ind w:left="200" w:right="105"/>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273" w:lineRule="auto" w:before="88"/>
              <w:ind w:left="200" w:right="106"/>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5.</w:t>
            </w:r>
          </w:p>
        </w:tc>
        <w:tc>
          <w:tcPr>
            <w:tcW w:w="1897" w:type="dxa"/>
            <w:tcBorders>
              <w:bottom w:val="single" w:sz="8" w:space="0" w:color="000000"/>
            </w:tcBorders>
          </w:tcPr>
          <w:p>
            <w:pPr>
              <w:pStyle w:val="TableParagraph"/>
              <w:spacing w:before="116"/>
              <w:ind w:left="321"/>
              <w:rPr>
                <w:b/>
                <w:sz w:val="24"/>
              </w:rPr>
            </w:pPr>
            <w:r>
              <w:rPr>
                <w:b/>
                <w:w w:val="95"/>
                <w:sz w:val="24"/>
              </w:rPr>
              <w:t>现金价值权益</w:t>
            </w:r>
          </w:p>
        </w:tc>
        <w:tc>
          <w:tcPr>
            <w:tcW w:w="7577" w:type="dxa"/>
            <w:tcBorders>
              <w:bottom w:val="single" w:sz="8" w:space="0" w:color="000000"/>
            </w:tcBorders>
          </w:tcPr>
          <w:p>
            <w:pPr>
              <w:pStyle w:val="TableParagraph"/>
              <w:ind w:left="0"/>
              <w:rPr>
                <w:rFonts w:ascii="Times New Roman"/>
                <w:sz w:val="20"/>
              </w:rPr>
            </w:pPr>
          </w:p>
        </w:tc>
      </w:tr>
      <w:tr>
        <w:trPr>
          <w:trHeight w:val="1713"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5.1</w:t>
            </w:r>
          </w:p>
        </w:tc>
        <w:tc>
          <w:tcPr>
            <w:tcW w:w="1897"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现金价值</w:t>
            </w:r>
          </w:p>
        </w:tc>
        <w:tc>
          <w:tcPr>
            <w:tcW w:w="7577" w:type="dxa"/>
            <w:tcBorders>
              <w:top w:val="single" w:sz="8" w:space="0" w:color="000000"/>
            </w:tcBorders>
          </w:tcPr>
          <w:p>
            <w:pPr>
              <w:pStyle w:val="TableParagraph"/>
              <w:spacing w:before="5"/>
              <w:ind w:left="0"/>
              <w:rPr>
                <w:sz w:val="16"/>
              </w:rPr>
            </w:pPr>
          </w:p>
          <w:p>
            <w:pPr>
              <w:pStyle w:val="TableParagraph"/>
              <w:ind w:left="94"/>
              <w:rPr>
                <w:sz w:val="21"/>
              </w:rPr>
            </w:pPr>
            <w:r>
              <w:rPr>
                <w:sz w:val="21"/>
              </w:rPr>
              <w:t>本附加合同的现金价值在保险单上载明。</w:t>
            </w:r>
          </w:p>
          <w:p>
            <w:pPr>
              <w:pStyle w:val="TableParagraph"/>
              <w:spacing w:line="271" w:lineRule="auto" w:before="115"/>
              <w:ind w:left="94" w:right="103"/>
              <w:jc w:val="both"/>
              <w:rPr>
                <w:sz w:val="21"/>
              </w:rPr>
            </w:pPr>
            <w:r>
              <w:rPr>
                <w:spacing w:val="-6"/>
                <w:sz w:val="21"/>
              </w:rPr>
              <w:t>若我们已按本附加合同 </w:t>
            </w:r>
            <w:r>
              <w:rPr>
                <w:sz w:val="21"/>
              </w:rPr>
              <w:t>2.3</w:t>
            </w:r>
            <w:r>
              <w:rPr>
                <w:spacing w:val="-7"/>
                <w:sz w:val="21"/>
              </w:rPr>
              <w:t> 条第一款的约定向重大疾病保险金受益人给付首次重大疾病保险金，则自给付首次重大疾病保险金开始至本附加合同效力终止，本附</w:t>
            </w:r>
            <w:r>
              <w:rPr>
                <w:spacing w:val="-3"/>
                <w:sz w:val="21"/>
              </w:rPr>
              <w:t>加合同的现金价值均为零。</w:t>
            </w:r>
          </w:p>
        </w:tc>
      </w:tr>
      <w:tr>
        <w:trPr>
          <w:trHeight w:val="577" w:hRule="atLeast"/>
        </w:trPr>
        <w:tc>
          <w:tcPr>
            <w:tcW w:w="747" w:type="dxa"/>
            <w:tcBorders>
              <w:bottom w:val="single" w:sz="8" w:space="0" w:color="000000"/>
            </w:tcBorders>
          </w:tcPr>
          <w:p>
            <w:pPr>
              <w:pStyle w:val="TableParagraph"/>
              <w:spacing w:before="137"/>
              <w:rPr>
                <w:b/>
                <w:sz w:val="24"/>
              </w:rPr>
            </w:pPr>
            <w:r>
              <w:rPr>
                <w:b/>
                <w:sz w:val="24"/>
              </w:rPr>
              <w:t>6.</w:t>
            </w:r>
          </w:p>
        </w:tc>
        <w:tc>
          <w:tcPr>
            <w:tcW w:w="9474" w:type="dxa"/>
            <w:gridSpan w:val="2"/>
            <w:tcBorders>
              <w:bottom w:val="single" w:sz="8" w:space="0" w:color="000000"/>
            </w:tcBorders>
          </w:tcPr>
          <w:p>
            <w:pPr>
              <w:pStyle w:val="TableParagraph"/>
              <w:spacing w:before="137"/>
              <w:ind w:left="321"/>
              <w:rPr>
                <w:b/>
                <w:sz w:val="24"/>
              </w:rPr>
            </w:pPr>
            <w:r>
              <w:rPr>
                <w:b/>
                <w:w w:val="95"/>
                <w:sz w:val="24"/>
              </w:rPr>
              <w:t>合同效力的中止及恢复</w:t>
            </w:r>
          </w:p>
        </w:tc>
      </w:tr>
      <w:tr>
        <w:trPr>
          <w:trHeight w:val="665" w:hRule="atLeast"/>
        </w:trPr>
        <w:tc>
          <w:tcPr>
            <w:tcW w:w="747" w:type="dxa"/>
            <w:tcBorders>
              <w:top w:val="single" w:sz="8" w:space="0" w:color="000000"/>
            </w:tcBorders>
          </w:tcPr>
          <w:p>
            <w:pPr>
              <w:pStyle w:val="TableParagraph"/>
              <w:spacing w:before="5"/>
              <w:ind w:left="0"/>
              <w:rPr>
                <w:sz w:val="16"/>
              </w:rPr>
            </w:pPr>
          </w:p>
          <w:p>
            <w:pPr>
              <w:pStyle w:val="TableParagraph"/>
              <w:rPr>
                <w:b/>
                <w:sz w:val="21"/>
              </w:rPr>
            </w:pPr>
            <w:r>
              <w:rPr>
                <w:b/>
                <w:sz w:val="21"/>
              </w:rPr>
              <w:t>6.1</w:t>
            </w:r>
          </w:p>
        </w:tc>
        <w:tc>
          <w:tcPr>
            <w:tcW w:w="1897"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效力中止</w:t>
            </w:r>
          </w:p>
        </w:tc>
        <w:tc>
          <w:tcPr>
            <w:tcW w:w="7577" w:type="dxa"/>
            <w:tcBorders>
              <w:top w:val="single" w:sz="8" w:space="0" w:color="000000"/>
            </w:tcBorders>
          </w:tcPr>
          <w:p>
            <w:pPr>
              <w:pStyle w:val="TableParagraph"/>
              <w:spacing w:before="5"/>
              <w:ind w:left="0"/>
              <w:rPr>
                <w:sz w:val="16"/>
              </w:rPr>
            </w:pPr>
          </w:p>
          <w:p>
            <w:pPr>
              <w:pStyle w:val="TableParagraph"/>
              <w:ind w:left="200"/>
              <w:rPr>
                <w:rFonts w:ascii="黑体" w:eastAsia="黑体" w:hint="eastAsia"/>
                <w:sz w:val="21"/>
              </w:rPr>
            </w:pPr>
            <w:r>
              <w:rPr>
                <w:rFonts w:ascii="黑体" w:eastAsia="黑体" w:hint="eastAsia"/>
                <w:sz w:val="21"/>
              </w:rPr>
              <w:t>在本附加合同效力中止期间，我们不承担保险责任。</w:t>
            </w:r>
          </w:p>
        </w:tc>
      </w:tr>
      <w:tr>
        <w:trPr>
          <w:trHeight w:val="1901" w:hRule="atLeast"/>
        </w:trPr>
        <w:tc>
          <w:tcPr>
            <w:tcW w:w="747" w:type="dxa"/>
          </w:tcPr>
          <w:p>
            <w:pPr>
              <w:pStyle w:val="TableParagraph"/>
              <w:spacing w:before="111"/>
              <w:rPr>
                <w:b/>
                <w:sz w:val="21"/>
              </w:rPr>
            </w:pPr>
            <w:r>
              <w:rPr>
                <w:b/>
                <w:sz w:val="21"/>
              </w:rPr>
              <w:t>6.2</w:t>
            </w:r>
          </w:p>
        </w:tc>
        <w:tc>
          <w:tcPr>
            <w:tcW w:w="1897" w:type="dxa"/>
          </w:tcPr>
          <w:p>
            <w:pPr>
              <w:pStyle w:val="TableParagraph"/>
              <w:spacing w:before="111"/>
              <w:ind w:left="321"/>
              <w:rPr>
                <w:b/>
                <w:sz w:val="21"/>
              </w:rPr>
            </w:pPr>
            <w:r>
              <w:rPr>
                <w:b/>
                <w:sz w:val="21"/>
              </w:rPr>
              <w:t>效力恢复</w:t>
            </w:r>
          </w:p>
        </w:tc>
        <w:tc>
          <w:tcPr>
            <w:tcW w:w="7577" w:type="dxa"/>
          </w:tcPr>
          <w:p>
            <w:pPr>
              <w:pStyle w:val="TableParagraph"/>
              <w:spacing w:line="271" w:lineRule="auto" w:before="111"/>
              <w:ind w:left="200" w:right="103"/>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273" w:lineRule="auto" w:before="88"/>
              <w:ind w:left="200" w:right="103"/>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5" w:hRule="atLeast"/>
        </w:trPr>
        <w:tc>
          <w:tcPr>
            <w:tcW w:w="747" w:type="dxa"/>
            <w:tcBorders>
              <w:bottom w:val="single" w:sz="8" w:space="0" w:color="000000"/>
            </w:tcBorders>
          </w:tcPr>
          <w:p>
            <w:pPr>
              <w:pStyle w:val="TableParagraph"/>
              <w:spacing w:before="116"/>
              <w:rPr>
                <w:b/>
                <w:sz w:val="24"/>
              </w:rPr>
            </w:pPr>
            <w:r>
              <w:rPr>
                <w:b/>
                <w:sz w:val="24"/>
              </w:rPr>
              <w:t>7.</w:t>
            </w:r>
          </w:p>
        </w:tc>
        <w:tc>
          <w:tcPr>
            <w:tcW w:w="1897" w:type="dxa"/>
            <w:tcBorders>
              <w:bottom w:val="single" w:sz="8" w:space="0" w:color="000000"/>
            </w:tcBorders>
          </w:tcPr>
          <w:p>
            <w:pPr>
              <w:pStyle w:val="TableParagraph"/>
              <w:spacing w:before="116"/>
              <w:ind w:left="321"/>
              <w:rPr>
                <w:b/>
                <w:sz w:val="24"/>
              </w:rPr>
            </w:pPr>
            <w:r>
              <w:rPr>
                <w:b/>
                <w:sz w:val="24"/>
              </w:rPr>
              <w:t>合同解除</w:t>
            </w:r>
          </w:p>
        </w:tc>
        <w:tc>
          <w:tcPr>
            <w:tcW w:w="7577" w:type="dxa"/>
            <w:tcBorders>
              <w:bottom w:val="single" w:sz="8" w:space="0" w:color="000000"/>
            </w:tcBorders>
          </w:tcPr>
          <w:p>
            <w:pPr>
              <w:pStyle w:val="TableParagraph"/>
              <w:ind w:left="0"/>
              <w:rPr>
                <w:rFonts w:ascii="Times New Roman"/>
                <w:sz w:val="20"/>
              </w:rPr>
            </w:pPr>
          </w:p>
        </w:tc>
      </w:tr>
      <w:tr>
        <w:trPr>
          <w:trHeight w:val="2345" w:hRule="atLeast"/>
        </w:trPr>
        <w:tc>
          <w:tcPr>
            <w:tcW w:w="747" w:type="dxa"/>
            <w:tcBorders>
              <w:top w:val="single" w:sz="8" w:space="0" w:color="000000"/>
            </w:tcBorders>
          </w:tcPr>
          <w:p>
            <w:pPr>
              <w:pStyle w:val="TableParagraph"/>
              <w:spacing w:before="8"/>
              <w:ind w:left="0"/>
              <w:rPr>
                <w:sz w:val="16"/>
              </w:rPr>
            </w:pPr>
          </w:p>
          <w:p>
            <w:pPr>
              <w:pStyle w:val="TableParagraph"/>
              <w:rPr>
                <w:b/>
                <w:sz w:val="21"/>
              </w:rPr>
            </w:pPr>
            <w:r>
              <w:rPr>
                <w:b/>
                <w:sz w:val="21"/>
              </w:rPr>
              <w:t>7.1</w:t>
            </w:r>
          </w:p>
        </w:tc>
        <w:tc>
          <w:tcPr>
            <w:tcW w:w="1897" w:type="dxa"/>
            <w:tcBorders>
              <w:top w:val="single" w:sz="8" w:space="0" w:color="000000"/>
            </w:tcBorders>
          </w:tcPr>
          <w:p>
            <w:pPr>
              <w:pStyle w:val="TableParagraph"/>
              <w:spacing w:before="8"/>
              <w:ind w:left="0"/>
              <w:rPr>
                <w:sz w:val="16"/>
              </w:rPr>
            </w:pPr>
          </w:p>
          <w:p>
            <w:pPr>
              <w:pStyle w:val="TableParagraph"/>
              <w:spacing w:line="271" w:lineRule="auto"/>
              <w:ind w:left="321" w:right="95"/>
              <w:rPr>
                <w:b/>
                <w:sz w:val="21"/>
              </w:rPr>
            </w:pPr>
            <w:r>
              <w:rPr>
                <w:b/>
                <w:sz w:val="21"/>
              </w:rPr>
              <w:t>您解除合同的手续及风险</w:t>
            </w:r>
          </w:p>
        </w:tc>
        <w:tc>
          <w:tcPr>
            <w:tcW w:w="7577" w:type="dxa"/>
            <w:tcBorders>
              <w:top w:val="single" w:sz="8" w:space="0" w:color="000000"/>
            </w:tcBorders>
          </w:tcPr>
          <w:p>
            <w:pPr>
              <w:pStyle w:val="TableParagraph"/>
              <w:spacing w:before="10"/>
              <w:ind w:left="0"/>
              <w:rPr>
                <w:sz w:val="17"/>
              </w:rPr>
            </w:pPr>
          </w:p>
          <w:p>
            <w:pPr>
              <w:pStyle w:val="TableParagraph"/>
              <w:spacing w:line="271" w:lineRule="auto"/>
              <w:ind w:left="200" w:right="103"/>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2"/>
              </w:numPr>
              <w:tabs>
                <w:tab w:pos="921" w:val="left" w:leader="none"/>
              </w:tabs>
              <w:spacing w:line="240" w:lineRule="auto" w:before="103" w:after="0"/>
              <w:ind w:left="921" w:right="0" w:hanging="721"/>
              <w:jc w:val="left"/>
              <w:rPr>
                <w:sz w:val="21"/>
              </w:rPr>
            </w:pPr>
            <w:r>
              <w:rPr>
                <w:spacing w:val="-2"/>
                <w:sz w:val="21"/>
              </w:rPr>
              <w:t>本附加合同；</w:t>
            </w:r>
          </w:p>
          <w:p>
            <w:pPr>
              <w:pStyle w:val="TableParagraph"/>
              <w:numPr>
                <w:ilvl w:val="0"/>
                <w:numId w:val="12"/>
              </w:numPr>
              <w:tabs>
                <w:tab w:pos="921" w:val="left" w:leader="none"/>
              </w:tabs>
              <w:spacing w:line="240" w:lineRule="auto" w:before="130" w:after="0"/>
              <w:ind w:left="921" w:right="0" w:hanging="721"/>
              <w:jc w:val="left"/>
              <w:rPr>
                <w:sz w:val="21"/>
              </w:rPr>
            </w:pPr>
            <w:r>
              <w:rPr>
                <w:spacing w:val="-3"/>
                <w:sz w:val="21"/>
              </w:rPr>
              <w:t>您的有效身份证件。</w:t>
            </w:r>
          </w:p>
          <w:p>
            <w:pPr>
              <w:pStyle w:val="TableParagraph"/>
              <w:spacing w:line="310" w:lineRule="atLeast" w:before="95"/>
              <w:ind w:left="200" w:right="106"/>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tc>
      </w:tr>
    </w:tbl>
    <w:p>
      <w:pPr>
        <w:spacing w:after="0" w:line="310" w:lineRule="atLeast"/>
        <w:rPr>
          <w:sz w:val="21"/>
        </w:rPr>
        <w:sectPr>
          <w:pgSz w:w="11910" w:h="16840"/>
          <w:pgMar w:top="116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1"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211" w:lineRule="exact"/>
              <w:ind w:left="148"/>
              <w:rPr>
                <w:sz w:val="21"/>
              </w:rPr>
            </w:pPr>
            <w:r>
              <w:rPr>
                <w:sz w:val="21"/>
              </w:rPr>
              <w:t>您在犹豫期后解除合同会遭受一定损失。</w:t>
            </w:r>
          </w:p>
        </w:tc>
      </w:tr>
      <w:tr>
        <w:trPr>
          <w:trHeight w:val="595" w:hRule="atLeast"/>
        </w:trPr>
        <w:tc>
          <w:tcPr>
            <w:tcW w:w="747" w:type="dxa"/>
            <w:tcBorders>
              <w:bottom w:val="single" w:sz="4" w:space="0" w:color="000000"/>
            </w:tcBorders>
          </w:tcPr>
          <w:p>
            <w:pPr>
              <w:pStyle w:val="TableParagraph"/>
              <w:spacing w:before="116"/>
              <w:rPr>
                <w:b/>
                <w:sz w:val="24"/>
              </w:rPr>
            </w:pPr>
            <w:r>
              <w:rPr>
                <w:b/>
                <w:sz w:val="24"/>
              </w:rPr>
              <w:t>8.</w:t>
            </w:r>
          </w:p>
        </w:tc>
        <w:tc>
          <w:tcPr>
            <w:tcW w:w="9472" w:type="dxa"/>
            <w:gridSpan w:val="2"/>
            <w:tcBorders>
              <w:bottom w:val="single" w:sz="4" w:space="0" w:color="000000"/>
            </w:tcBorders>
          </w:tcPr>
          <w:p>
            <w:pPr>
              <w:pStyle w:val="TableParagraph"/>
              <w:spacing w:before="116"/>
              <w:ind w:left="321"/>
              <w:rPr>
                <w:b/>
                <w:sz w:val="24"/>
              </w:rPr>
            </w:pPr>
            <w:r>
              <w:rPr>
                <w:b/>
                <w:w w:val="95"/>
                <w:sz w:val="24"/>
              </w:rPr>
              <w:t>其他需要关注的事项</w:t>
            </w:r>
          </w:p>
        </w:tc>
      </w:tr>
      <w:tr>
        <w:trPr>
          <w:trHeight w:val="1501" w:hRule="atLeast"/>
        </w:trPr>
        <w:tc>
          <w:tcPr>
            <w:tcW w:w="747" w:type="dxa"/>
            <w:tcBorders>
              <w:top w:val="single" w:sz="4" w:space="0" w:color="000000"/>
            </w:tcBorders>
          </w:tcPr>
          <w:p>
            <w:pPr>
              <w:pStyle w:val="TableParagraph"/>
              <w:spacing w:before="6"/>
              <w:ind w:left="0"/>
              <w:rPr>
                <w:sz w:val="18"/>
              </w:rPr>
            </w:pPr>
          </w:p>
          <w:p>
            <w:pPr>
              <w:pStyle w:val="TableParagraph"/>
              <w:rPr>
                <w:b/>
                <w:sz w:val="21"/>
              </w:rPr>
            </w:pPr>
            <w:r>
              <w:rPr>
                <w:b/>
                <w:sz w:val="21"/>
              </w:rPr>
              <w:t>8.1</w:t>
            </w:r>
          </w:p>
        </w:tc>
        <w:tc>
          <w:tcPr>
            <w:tcW w:w="1949" w:type="dxa"/>
            <w:tcBorders>
              <w:top w:val="single" w:sz="4" w:space="0" w:color="000000"/>
            </w:tcBorders>
          </w:tcPr>
          <w:p>
            <w:pPr>
              <w:pStyle w:val="TableParagraph"/>
              <w:spacing w:before="4"/>
              <w:ind w:left="0"/>
              <w:rPr>
                <w:sz w:val="17"/>
              </w:rPr>
            </w:pPr>
          </w:p>
          <w:p>
            <w:pPr>
              <w:pStyle w:val="TableParagraph"/>
              <w:spacing w:before="1"/>
              <w:ind w:left="321"/>
              <w:rPr>
                <w:b/>
                <w:sz w:val="21"/>
              </w:rPr>
            </w:pPr>
            <w:r>
              <w:rPr>
                <w:b/>
                <w:sz w:val="21"/>
              </w:rPr>
              <w:t>效力终止</w:t>
            </w:r>
          </w:p>
        </w:tc>
        <w:tc>
          <w:tcPr>
            <w:tcW w:w="7523" w:type="dxa"/>
            <w:tcBorders>
              <w:top w:val="single" w:sz="4" w:space="0" w:color="000000"/>
            </w:tcBorders>
          </w:tcPr>
          <w:p>
            <w:pPr>
              <w:pStyle w:val="TableParagraph"/>
              <w:spacing w:before="6"/>
              <w:ind w:left="0"/>
              <w:rPr>
                <w:sz w:val="18"/>
              </w:rPr>
            </w:pPr>
          </w:p>
          <w:p>
            <w:pPr>
              <w:pStyle w:val="TableParagraph"/>
              <w:ind w:left="148"/>
              <w:rPr>
                <w:sz w:val="21"/>
              </w:rPr>
            </w:pPr>
            <w:r>
              <w:rPr>
                <w:sz w:val="21"/>
              </w:rPr>
              <w:t>发生下列情况之一时，本附加合同效力终止：</w:t>
            </w:r>
          </w:p>
          <w:p>
            <w:pPr>
              <w:pStyle w:val="TableParagraph"/>
              <w:numPr>
                <w:ilvl w:val="0"/>
                <w:numId w:val="13"/>
              </w:numPr>
              <w:tabs>
                <w:tab w:pos="869" w:val="left" w:leader="none"/>
              </w:tabs>
              <w:spacing w:line="240" w:lineRule="auto" w:before="130" w:after="0"/>
              <w:ind w:left="869" w:right="0" w:hanging="721"/>
              <w:jc w:val="left"/>
              <w:rPr>
                <w:sz w:val="21"/>
              </w:rPr>
            </w:pPr>
            <w:r>
              <w:rPr>
                <w:spacing w:val="-3"/>
                <w:sz w:val="21"/>
              </w:rPr>
              <w:t>主合同效力终止；</w:t>
            </w:r>
          </w:p>
          <w:p>
            <w:pPr>
              <w:pStyle w:val="TableParagraph"/>
              <w:numPr>
                <w:ilvl w:val="0"/>
                <w:numId w:val="13"/>
              </w:numPr>
              <w:tabs>
                <w:tab w:pos="869" w:val="left" w:leader="none"/>
              </w:tabs>
              <w:spacing w:line="240" w:lineRule="auto" w:before="130" w:after="0"/>
              <w:ind w:left="869" w:right="0" w:hanging="721"/>
              <w:jc w:val="left"/>
              <w:rPr>
                <w:sz w:val="21"/>
              </w:rPr>
            </w:pPr>
            <w:r>
              <w:rPr>
                <w:spacing w:val="-3"/>
                <w:sz w:val="21"/>
              </w:rPr>
              <w:t>本附加合同约定的合同效力终止情况。</w:t>
            </w:r>
          </w:p>
        </w:tc>
      </w:tr>
      <w:tr>
        <w:trPr>
          <w:trHeight w:val="3830" w:hRule="atLeast"/>
        </w:trPr>
        <w:tc>
          <w:tcPr>
            <w:tcW w:w="747" w:type="dxa"/>
          </w:tcPr>
          <w:p>
            <w:pPr>
              <w:pStyle w:val="TableParagraph"/>
              <w:spacing w:before="124"/>
              <w:rPr>
                <w:b/>
                <w:sz w:val="21"/>
              </w:rPr>
            </w:pPr>
            <w:r>
              <w:rPr>
                <w:b/>
                <w:sz w:val="21"/>
              </w:rPr>
              <w:t>8.2</w:t>
            </w:r>
          </w:p>
        </w:tc>
        <w:tc>
          <w:tcPr>
            <w:tcW w:w="1949" w:type="dxa"/>
          </w:tcPr>
          <w:p>
            <w:pPr>
              <w:pStyle w:val="TableParagraph"/>
              <w:spacing w:before="110"/>
              <w:ind w:left="321"/>
              <w:rPr>
                <w:b/>
                <w:sz w:val="21"/>
              </w:rPr>
            </w:pPr>
            <w:r>
              <w:rPr>
                <w:b/>
                <w:sz w:val="21"/>
              </w:rPr>
              <w:t>适用主合同条款</w:t>
            </w:r>
          </w:p>
        </w:tc>
        <w:tc>
          <w:tcPr>
            <w:tcW w:w="7523" w:type="dxa"/>
          </w:tcPr>
          <w:p>
            <w:pPr>
              <w:pStyle w:val="TableParagraph"/>
              <w:spacing w:before="124"/>
              <w:ind w:left="148"/>
              <w:rPr>
                <w:sz w:val="21"/>
              </w:rPr>
            </w:pPr>
            <w:r>
              <w:rPr>
                <w:sz w:val="21"/>
              </w:rPr>
              <w:t>主合同订立的下列各项条款适用于本附加合同：</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明确说明与如实告知；</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我们合同解除权的限制；</w:t>
            </w:r>
          </w:p>
          <w:p>
            <w:pPr>
              <w:pStyle w:val="TableParagraph"/>
              <w:numPr>
                <w:ilvl w:val="0"/>
                <w:numId w:val="14"/>
              </w:numPr>
              <w:tabs>
                <w:tab w:pos="869" w:val="left" w:leader="none"/>
              </w:tabs>
              <w:spacing w:line="240" w:lineRule="auto" w:before="127" w:after="0"/>
              <w:ind w:left="869" w:right="0" w:hanging="721"/>
              <w:jc w:val="left"/>
              <w:rPr>
                <w:sz w:val="21"/>
              </w:rPr>
            </w:pPr>
            <w:r>
              <w:rPr>
                <w:spacing w:val="-2"/>
                <w:sz w:val="21"/>
              </w:rPr>
              <w:t>年龄性别错误；</w:t>
            </w:r>
          </w:p>
          <w:p>
            <w:pPr>
              <w:pStyle w:val="TableParagraph"/>
              <w:numPr>
                <w:ilvl w:val="0"/>
                <w:numId w:val="14"/>
              </w:numPr>
              <w:tabs>
                <w:tab w:pos="869" w:val="left" w:leader="none"/>
              </w:tabs>
              <w:spacing w:line="240" w:lineRule="auto" w:before="130" w:after="0"/>
              <w:ind w:left="869" w:right="0" w:hanging="721"/>
              <w:jc w:val="left"/>
              <w:rPr>
                <w:sz w:val="21"/>
              </w:rPr>
            </w:pPr>
            <w:r>
              <w:rPr>
                <w:spacing w:val="-1"/>
                <w:sz w:val="21"/>
              </w:rPr>
              <w:t>未还款项；</w:t>
            </w:r>
          </w:p>
          <w:p>
            <w:pPr>
              <w:pStyle w:val="TableParagraph"/>
              <w:numPr>
                <w:ilvl w:val="0"/>
                <w:numId w:val="14"/>
              </w:numPr>
              <w:tabs>
                <w:tab w:pos="869" w:val="left" w:leader="none"/>
              </w:tabs>
              <w:spacing w:line="240" w:lineRule="auto" w:before="130" w:after="0"/>
              <w:ind w:left="869" w:right="0" w:hanging="721"/>
              <w:jc w:val="left"/>
              <w:rPr>
                <w:sz w:val="21"/>
              </w:rPr>
            </w:pPr>
            <w:r>
              <w:rPr>
                <w:spacing w:val="-2"/>
                <w:sz w:val="21"/>
              </w:rPr>
              <w:t>合同内容变更；</w:t>
            </w:r>
          </w:p>
          <w:p>
            <w:pPr>
              <w:pStyle w:val="TableParagraph"/>
              <w:numPr>
                <w:ilvl w:val="0"/>
                <w:numId w:val="14"/>
              </w:numPr>
              <w:tabs>
                <w:tab w:pos="869" w:val="left" w:leader="none"/>
              </w:tabs>
              <w:spacing w:line="240" w:lineRule="auto" w:before="130" w:after="0"/>
              <w:ind w:left="869" w:right="0" w:hanging="721"/>
              <w:jc w:val="left"/>
              <w:rPr>
                <w:sz w:val="21"/>
              </w:rPr>
            </w:pPr>
            <w:r>
              <w:rPr>
                <w:spacing w:val="-2"/>
                <w:sz w:val="21"/>
              </w:rPr>
              <w:t>联系方式变更；</w:t>
            </w:r>
          </w:p>
          <w:p>
            <w:pPr>
              <w:pStyle w:val="TableParagraph"/>
              <w:numPr>
                <w:ilvl w:val="0"/>
                <w:numId w:val="14"/>
              </w:numPr>
              <w:tabs>
                <w:tab w:pos="869" w:val="left" w:leader="none"/>
              </w:tabs>
              <w:spacing w:line="240" w:lineRule="auto" w:before="127" w:after="0"/>
              <w:ind w:left="869" w:right="0" w:hanging="721"/>
              <w:jc w:val="left"/>
              <w:rPr>
                <w:sz w:val="21"/>
              </w:rPr>
            </w:pPr>
            <w:r>
              <w:rPr>
                <w:spacing w:val="-2"/>
                <w:sz w:val="21"/>
              </w:rPr>
              <w:t>争议处理；</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保险事故鉴定。</w:t>
            </w:r>
          </w:p>
        </w:tc>
      </w:tr>
      <w:tr>
        <w:trPr>
          <w:trHeight w:val="595" w:hRule="atLeast"/>
        </w:trPr>
        <w:tc>
          <w:tcPr>
            <w:tcW w:w="747" w:type="dxa"/>
            <w:tcBorders>
              <w:bottom w:val="single" w:sz="4" w:space="0" w:color="000000"/>
            </w:tcBorders>
          </w:tcPr>
          <w:p>
            <w:pPr>
              <w:pStyle w:val="TableParagraph"/>
              <w:spacing w:before="116"/>
              <w:rPr>
                <w:b/>
                <w:sz w:val="24"/>
              </w:rPr>
            </w:pPr>
            <w:r>
              <w:rPr>
                <w:b/>
                <w:sz w:val="24"/>
              </w:rPr>
              <w:t>9.</w:t>
            </w:r>
          </w:p>
        </w:tc>
        <w:tc>
          <w:tcPr>
            <w:tcW w:w="1949" w:type="dxa"/>
            <w:tcBorders>
              <w:bottom w:val="single" w:sz="4" w:space="0" w:color="000000"/>
            </w:tcBorders>
          </w:tcPr>
          <w:p>
            <w:pPr>
              <w:pStyle w:val="TableParagraph"/>
              <w:spacing w:before="116"/>
              <w:ind w:left="321"/>
              <w:rPr>
                <w:b/>
                <w:sz w:val="24"/>
              </w:rPr>
            </w:pPr>
            <w:r>
              <w:rPr>
                <w:b/>
                <w:w w:val="95"/>
                <w:sz w:val="24"/>
              </w:rPr>
              <w:t>重大疾病定义</w:t>
            </w:r>
          </w:p>
        </w:tc>
        <w:tc>
          <w:tcPr>
            <w:tcW w:w="752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3"/>
              <w:jc w:val="both"/>
              <w:rPr>
                <w:sz w:val="21"/>
              </w:rPr>
            </w:pPr>
            <w:r>
              <w:rPr>
                <w:spacing w:val="-6"/>
                <w:sz w:val="21"/>
              </w:rPr>
              <w:t>本附加合同所定义的重大疾病共有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z w:val="21"/>
              </w:rPr>
              <w:t>（以下简称“规范</w:t>
            </w:r>
            <w:r>
              <w:rPr>
                <w:spacing w:val="-3"/>
                <w:sz w:val="21"/>
              </w:rPr>
              <w:t>”）规</w:t>
            </w:r>
            <w:r>
              <w:rPr>
                <w:spacing w:val="-16"/>
                <w:sz w:val="21"/>
              </w:rPr>
              <w:t>定的疾病，且疾病名称和疾病定义与“规范”一致，第</w:t>
            </w:r>
            <w:r>
              <w:rPr>
                <w:sz w:val="21"/>
              </w:rPr>
              <w:t>26</w:t>
            </w:r>
            <w:r>
              <w:rPr>
                <w:spacing w:val="-13"/>
                <w:sz w:val="21"/>
              </w:rPr>
              <w:t> 至</w:t>
            </w:r>
            <w:r>
              <w:rPr>
                <w:sz w:val="21"/>
              </w:rPr>
              <w:t>32</w:t>
            </w:r>
            <w:r>
              <w:rPr>
                <w:spacing w:val="-10"/>
                <w:sz w:val="21"/>
              </w:rPr>
              <w:t> 种重大疾病为“规</w:t>
            </w:r>
            <w:r>
              <w:rPr>
                <w:spacing w:val="-5"/>
                <w:sz w:val="21"/>
              </w:rPr>
              <w:t>范”规定范围之外的疾病。</w:t>
            </w:r>
          </w:p>
        </w:tc>
      </w:tr>
      <w:tr>
        <w:trPr>
          <w:trHeight w:val="4228" w:hRule="atLeast"/>
        </w:trPr>
        <w:tc>
          <w:tcPr>
            <w:tcW w:w="747" w:type="dxa"/>
          </w:tcPr>
          <w:p>
            <w:pPr>
              <w:pStyle w:val="TableParagraph"/>
              <w:spacing w:before="111"/>
              <w:rPr>
                <w:b/>
                <w:sz w:val="21"/>
              </w:rPr>
            </w:pPr>
            <w:r>
              <w:rPr>
                <w:b/>
                <w:sz w:val="21"/>
              </w:rPr>
              <w:t>9.1</w:t>
            </w:r>
          </w:p>
        </w:tc>
        <w:tc>
          <w:tcPr>
            <w:tcW w:w="1949" w:type="dxa"/>
          </w:tcPr>
          <w:p>
            <w:pPr>
              <w:pStyle w:val="TableParagraph"/>
              <w:spacing w:before="111"/>
              <w:ind w:left="321"/>
              <w:rPr>
                <w:b/>
                <w:sz w:val="21"/>
              </w:rPr>
            </w:pPr>
            <w:r>
              <w:rPr>
                <w:b/>
                <w:sz w:val="21"/>
              </w:rPr>
              <w:t>恶性肿瘤</w:t>
            </w:r>
          </w:p>
        </w:tc>
        <w:tc>
          <w:tcPr>
            <w:tcW w:w="7523" w:type="dxa"/>
          </w:tcPr>
          <w:p>
            <w:pPr>
              <w:pStyle w:val="TableParagraph"/>
              <w:spacing w:line="273" w:lineRule="auto" w:before="111"/>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86"/>
              <w:ind w:left="14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85" w:val="left" w:leader="none"/>
                <w:tab w:pos="886" w:val="left" w:leader="none"/>
              </w:tabs>
              <w:spacing w:line="240" w:lineRule="auto" w:before="113"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85" w:val="left" w:leader="none"/>
                <w:tab w:pos="886" w:val="left" w:leader="none"/>
              </w:tabs>
              <w:spacing w:line="240" w:lineRule="auto" w:before="114"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85" w:val="left" w:leader="none"/>
                <w:tab w:pos="886" w:val="left" w:leader="none"/>
              </w:tabs>
              <w:spacing w:line="240" w:lineRule="auto" w:before="114"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85" w:val="left" w:leader="none"/>
                <w:tab w:pos="886" w:val="left" w:leader="none"/>
              </w:tabs>
              <w:spacing w:line="240" w:lineRule="auto" w:before="117"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477" w:hRule="atLeast"/>
        </w:trPr>
        <w:tc>
          <w:tcPr>
            <w:tcW w:w="747" w:type="dxa"/>
          </w:tcPr>
          <w:p>
            <w:pPr>
              <w:pStyle w:val="TableParagraph"/>
              <w:spacing w:before="110"/>
              <w:rPr>
                <w:b/>
                <w:sz w:val="21"/>
              </w:rPr>
            </w:pPr>
            <w:r>
              <w:rPr>
                <w:b/>
                <w:sz w:val="21"/>
              </w:rPr>
              <w:t>9.2</w:t>
            </w:r>
          </w:p>
        </w:tc>
        <w:tc>
          <w:tcPr>
            <w:tcW w:w="1949" w:type="dxa"/>
          </w:tcPr>
          <w:p>
            <w:pPr>
              <w:pStyle w:val="TableParagraph"/>
              <w:spacing w:before="110"/>
              <w:ind w:left="321"/>
              <w:rPr>
                <w:b/>
                <w:sz w:val="21"/>
              </w:rPr>
            </w:pPr>
            <w:r>
              <w:rPr>
                <w:b/>
                <w:sz w:val="21"/>
              </w:rPr>
              <w:t>急性心肌梗塞</w:t>
            </w:r>
          </w:p>
        </w:tc>
        <w:tc>
          <w:tcPr>
            <w:tcW w:w="7523" w:type="dxa"/>
          </w:tcPr>
          <w:p>
            <w:pPr>
              <w:pStyle w:val="TableParagraph"/>
              <w:spacing w:line="273" w:lineRule="auto" w:before="110"/>
              <w:ind w:left="148" w:right="104"/>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6"/>
              </w:numPr>
              <w:tabs>
                <w:tab w:pos="885" w:val="left" w:leader="none"/>
                <w:tab w:pos="886" w:val="left" w:leader="none"/>
              </w:tabs>
              <w:spacing w:line="240" w:lineRule="auto" w:before="86" w:after="0"/>
              <w:ind w:left="885" w:right="0" w:hanging="737"/>
              <w:jc w:val="left"/>
              <w:rPr>
                <w:sz w:val="21"/>
              </w:rPr>
            </w:pPr>
            <w:r>
              <w:rPr>
                <w:spacing w:val="-3"/>
                <w:sz w:val="21"/>
              </w:rPr>
              <w:t>典型临床表现，例如急性胸痛等；</w:t>
            </w:r>
          </w:p>
          <w:p>
            <w:pPr>
              <w:pStyle w:val="TableParagraph"/>
              <w:numPr>
                <w:ilvl w:val="0"/>
                <w:numId w:val="16"/>
              </w:numPr>
              <w:tabs>
                <w:tab w:pos="885" w:val="left" w:leader="none"/>
                <w:tab w:pos="886" w:val="left" w:leader="none"/>
              </w:tabs>
              <w:spacing w:line="255" w:lineRule="exact" w:before="113" w:after="0"/>
              <w:ind w:left="885" w:right="0" w:hanging="737"/>
              <w:jc w:val="left"/>
              <w:rPr>
                <w:sz w:val="21"/>
              </w:rPr>
            </w:pPr>
            <w:r>
              <w:rPr>
                <w:spacing w:val="-3"/>
                <w:sz w:val="21"/>
              </w:rPr>
              <w:t>新近的心电图改变提示急性心肌梗塞；</w:t>
            </w:r>
          </w:p>
        </w:tc>
      </w:tr>
    </w:tbl>
    <w:p>
      <w:pPr>
        <w:spacing w:after="0" w:line="255" w:lineRule="exact"/>
        <w:jc w:val="left"/>
        <w:rPr>
          <w:sz w:val="21"/>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23"/>
      </w:tblGrid>
      <w:tr>
        <w:trPr>
          <w:trHeight w:val="1088"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23" w:type="dxa"/>
          </w:tcPr>
          <w:p>
            <w:pPr>
              <w:pStyle w:val="TableParagraph"/>
              <w:numPr>
                <w:ilvl w:val="0"/>
                <w:numId w:val="17"/>
              </w:numPr>
              <w:tabs>
                <w:tab w:pos="868" w:val="left" w:leader="none"/>
                <w:tab w:pos="869" w:val="left" w:leader="none"/>
              </w:tabs>
              <w:spacing w:line="211" w:lineRule="exact" w:before="0" w:after="0"/>
              <w:ind w:left="869" w:right="0" w:hanging="740"/>
              <w:jc w:val="left"/>
              <w:rPr>
                <w:sz w:val="21"/>
              </w:rPr>
            </w:pPr>
            <w:r>
              <w:rPr>
                <w:sz w:val="21"/>
              </w:rPr>
              <w:t>心肌酶或肌钙蛋白有诊断意义的升高，或呈符合急性心肌梗塞的动态性</w:t>
            </w:r>
          </w:p>
          <w:p>
            <w:pPr>
              <w:pStyle w:val="TableParagraph"/>
              <w:spacing w:before="37"/>
              <w:ind w:left="849"/>
              <w:rPr>
                <w:sz w:val="21"/>
              </w:rPr>
            </w:pPr>
            <w:r>
              <w:rPr>
                <w:sz w:val="21"/>
              </w:rPr>
              <w:t>变化；</w:t>
            </w:r>
          </w:p>
          <w:p>
            <w:pPr>
              <w:pStyle w:val="TableParagraph"/>
              <w:numPr>
                <w:ilvl w:val="0"/>
                <w:numId w:val="17"/>
              </w:numPr>
              <w:tabs>
                <w:tab w:pos="841" w:val="left" w:leader="none"/>
              </w:tabs>
              <w:spacing w:line="240" w:lineRule="auto" w:before="116" w:after="0"/>
              <w:ind w:left="840" w:right="0" w:hanging="69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tc>
      </w:tr>
      <w:tr>
        <w:trPr>
          <w:trHeight w:val="2665" w:hRule="atLeast"/>
        </w:trPr>
        <w:tc>
          <w:tcPr>
            <w:tcW w:w="839" w:type="dxa"/>
          </w:tcPr>
          <w:p>
            <w:pPr>
              <w:pStyle w:val="TableParagraph"/>
              <w:spacing w:before="110"/>
              <w:ind w:left="200"/>
              <w:rPr>
                <w:b/>
                <w:sz w:val="21"/>
              </w:rPr>
            </w:pPr>
            <w:r>
              <w:rPr>
                <w:b/>
                <w:sz w:val="21"/>
              </w:rPr>
              <w:t>9.3</w:t>
            </w:r>
          </w:p>
        </w:tc>
        <w:tc>
          <w:tcPr>
            <w:tcW w:w="1949" w:type="dxa"/>
          </w:tcPr>
          <w:p>
            <w:pPr>
              <w:pStyle w:val="TableParagraph"/>
              <w:spacing w:before="110"/>
              <w:ind w:left="321"/>
              <w:rPr>
                <w:b/>
                <w:sz w:val="21"/>
              </w:rPr>
            </w:pPr>
            <w:r>
              <w:rPr>
                <w:b/>
                <w:sz w:val="21"/>
              </w:rPr>
              <w:t>脑中风后遗症</w:t>
            </w:r>
          </w:p>
        </w:tc>
        <w:tc>
          <w:tcPr>
            <w:tcW w:w="7723" w:type="dxa"/>
          </w:tcPr>
          <w:p>
            <w:pPr>
              <w:pStyle w:val="TableParagraph"/>
              <w:spacing w:line="273" w:lineRule="auto" w:before="110"/>
              <w:ind w:left="148" w:right="301"/>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8"/>
              </w:numPr>
              <w:tabs>
                <w:tab w:pos="885" w:val="left" w:leader="none"/>
                <w:tab w:pos="886" w:val="left" w:leader="none"/>
              </w:tabs>
              <w:spacing w:line="240" w:lineRule="auto" w:before="86" w:after="0"/>
              <w:ind w:left="883" w:right="0" w:hanging="735"/>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8"/>
              </w:numPr>
              <w:tabs>
                <w:tab w:pos="883" w:val="left" w:leader="none"/>
                <w:tab w:pos="884" w:val="left" w:leader="none"/>
              </w:tabs>
              <w:spacing w:line="240" w:lineRule="auto" w:before="113" w:after="0"/>
              <w:ind w:left="883"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8"/>
              </w:numPr>
              <w:tabs>
                <w:tab w:pos="812" w:val="left" w:leader="none"/>
              </w:tabs>
              <w:spacing w:line="271" w:lineRule="auto" w:before="116" w:after="0"/>
              <w:ind w:left="883" w:right="303" w:hanging="735"/>
              <w:jc w:val="left"/>
              <w:rPr>
                <w:sz w:val="21"/>
              </w:rPr>
            </w:pPr>
            <w:r>
              <w:rPr>
                <w:spacing w:val="-10"/>
                <w:sz w:val="21"/>
              </w:rPr>
              <w:t>自主生活能力完全丧失，无法独立完成</w:t>
            </w:r>
            <w:r>
              <w:rPr>
                <w:b/>
                <w:sz w:val="21"/>
              </w:rPr>
              <w:t>六项基本日常生活活动</w:t>
            </w:r>
            <w:r>
              <w:rPr>
                <w:spacing w:val="-13"/>
                <w:sz w:val="21"/>
              </w:rPr>
              <w:t>(见 </w:t>
            </w:r>
            <w:r>
              <w:rPr>
                <w:sz w:val="21"/>
              </w:rPr>
              <w:t>10.19) </w:t>
            </w:r>
            <w:r>
              <w:rPr>
                <w:spacing w:val="-3"/>
                <w:sz w:val="21"/>
              </w:rPr>
              <w:t>中的三项或三项以上。</w:t>
            </w:r>
          </w:p>
        </w:tc>
      </w:tr>
      <w:tr>
        <w:trPr>
          <w:trHeight w:val="1887" w:hRule="atLeast"/>
        </w:trPr>
        <w:tc>
          <w:tcPr>
            <w:tcW w:w="839" w:type="dxa"/>
          </w:tcPr>
          <w:p>
            <w:pPr>
              <w:pStyle w:val="TableParagraph"/>
              <w:spacing w:before="111"/>
              <w:ind w:left="200"/>
              <w:rPr>
                <w:b/>
                <w:sz w:val="21"/>
              </w:rPr>
            </w:pPr>
            <w:r>
              <w:rPr>
                <w:b/>
                <w:sz w:val="21"/>
              </w:rPr>
              <w:t>9.4</w:t>
            </w:r>
          </w:p>
        </w:tc>
        <w:tc>
          <w:tcPr>
            <w:tcW w:w="1949" w:type="dxa"/>
          </w:tcPr>
          <w:p>
            <w:pPr>
              <w:pStyle w:val="TableParagraph"/>
              <w:spacing w:line="273" w:lineRule="auto" w:before="111"/>
              <w:ind w:left="321" w:right="147"/>
              <w:jc w:val="both"/>
              <w:rPr>
                <w:b/>
                <w:sz w:val="21"/>
              </w:rPr>
            </w:pPr>
            <w:r>
              <w:rPr>
                <w:b/>
                <w:sz w:val="21"/>
              </w:rPr>
              <w:t>重大器官移植术或造血干细胞移植术</w:t>
            </w:r>
          </w:p>
        </w:tc>
        <w:tc>
          <w:tcPr>
            <w:tcW w:w="7723" w:type="dxa"/>
          </w:tcPr>
          <w:p>
            <w:pPr>
              <w:pStyle w:val="TableParagraph"/>
              <w:spacing w:line="273" w:lineRule="auto" w:before="111"/>
              <w:ind w:left="148" w:right="301"/>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1" w:lineRule="auto" w:before="86"/>
              <w:ind w:left="148" w:right="30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262" w:hRule="atLeast"/>
        </w:trPr>
        <w:tc>
          <w:tcPr>
            <w:tcW w:w="839" w:type="dxa"/>
          </w:tcPr>
          <w:p>
            <w:pPr>
              <w:pStyle w:val="TableParagraph"/>
              <w:spacing w:before="111"/>
              <w:ind w:left="200"/>
              <w:rPr>
                <w:b/>
                <w:sz w:val="21"/>
              </w:rPr>
            </w:pPr>
            <w:r>
              <w:rPr>
                <w:b/>
                <w:sz w:val="21"/>
              </w:rPr>
              <w:t>9.5</w:t>
            </w:r>
          </w:p>
        </w:tc>
        <w:tc>
          <w:tcPr>
            <w:tcW w:w="1949" w:type="dxa"/>
          </w:tcPr>
          <w:p>
            <w:pPr>
              <w:pStyle w:val="TableParagraph"/>
              <w:spacing w:before="111"/>
              <w:ind w:left="321"/>
              <w:rPr>
                <w:b/>
                <w:sz w:val="21"/>
              </w:rPr>
            </w:pPr>
            <w:r>
              <w:rPr>
                <w:b/>
                <w:sz w:val="21"/>
              </w:rPr>
              <w:t>冠状动脉搭桥术</w:t>
            </w:r>
          </w:p>
          <w:p>
            <w:pPr>
              <w:pStyle w:val="TableParagraph"/>
              <w:spacing w:line="273" w:lineRule="auto" w:before="34"/>
              <w:ind w:left="321" w:right="147"/>
              <w:rPr>
                <w:b/>
                <w:sz w:val="21"/>
              </w:rPr>
            </w:pPr>
            <w:r>
              <w:rPr>
                <w:b/>
                <w:sz w:val="21"/>
              </w:rPr>
              <w:t>（或称冠状动脉旁路移植术）</w:t>
            </w:r>
          </w:p>
        </w:tc>
        <w:tc>
          <w:tcPr>
            <w:tcW w:w="7723" w:type="dxa"/>
          </w:tcPr>
          <w:p>
            <w:pPr>
              <w:pStyle w:val="TableParagraph"/>
              <w:spacing w:before="111"/>
              <w:ind w:left="148"/>
              <w:rPr>
                <w:sz w:val="21"/>
              </w:rPr>
            </w:pPr>
            <w:r>
              <w:rPr>
                <w:sz w:val="21"/>
              </w:rPr>
              <w:t>指为治疗严重的冠心病，实际实施了开胸进行的冠状动脉血管旁路移植的手术。</w:t>
            </w:r>
          </w:p>
          <w:p>
            <w:pPr>
              <w:pStyle w:val="TableParagraph"/>
              <w:spacing w:line="273" w:lineRule="auto" w:before="113"/>
              <w:ind w:left="148" w:right="301"/>
              <w:rPr>
                <w:rFonts w:ascii="黑体" w:eastAsia="黑体" w:hint="eastAsia"/>
                <w:sz w:val="21"/>
              </w:rPr>
            </w:pPr>
            <w:r>
              <w:rPr>
                <w:rFonts w:ascii="黑体" w:eastAsia="黑体" w:hint="eastAsia"/>
                <w:spacing w:val="-10"/>
                <w:sz w:val="21"/>
              </w:rPr>
              <w:t>冠状动脉支架植入术、心导管球囊扩张术、激光射频技术及其它非开胸的介入手</w:t>
            </w:r>
            <w:r>
              <w:rPr>
                <w:rFonts w:ascii="黑体" w:eastAsia="黑体" w:hint="eastAsia"/>
                <w:spacing w:val="-5"/>
                <w:sz w:val="21"/>
              </w:rPr>
              <w:t>术、腔镜手术不在保障范围内。</w:t>
            </w:r>
          </w:p>
        </w:tc>
      </w:tr>
      <w:tr>
        <w:trPr>
          <w:trHeight w:val="1183" w:hRule="atLeast"/>
        </w:trPr>
        <w:tc>
          <w:tcPr>
            <w:tcW w:w="839" w:type="dxa"/>
          </w:tcPr>
          <w:p>
            <w:pPr>
              <w:pStyle w:val="TableParagraph"/>
              <w:spacing w:before="111"/>
              <w:ind w:left="200"/>
              <w:rPr>
                <w:b/>
                <w:sz w:val="21"/>
              </w:rPr>
            </w:pPr>
            <w:r>
              <w:rPr>
                <w:b/>
                <w:sz w:val="21"/>
              </w:rPr>
              <w:t>9.6</w:t>
            </w:r>
          </w:p>
        </w:tc>
        <w:tc>
          <w:tcPr>
            <w:tcW w:w="1949" w:type="dxa"/>
          </w:tcPr>
          <w:p>
            <w:pPr>
              <w:pStyle w:val="TableParagraph"/>
              <w:spacing w:line="271" w:lineRule="auto" w:before="111"/>
              <w:ind w:left="321" w:right="147"/>
              <w:jc w:val="both"/>
              <w:rPr>
                <w:b/>
                <w:sz w:val="21"/>
              </w:rPr>
            </w:pPr>
            <w:r>
              <w:rPr>
                <w:b/>
                <w:sz w:val="21"/>
              </w:rPr>
              <w:t>终末期肾病（或称慢性肾功能衰竭尿毒症期）</w:t>
            </w:r>
          </w:p>
        </w:tc>
        <w:tc>
          <w:tcPr>
            <w:tcW w:w="7723" w:type="dxa"/>
          </w:tcPr>
          <w:p>
            <w:pPr>
              <w:pStyle w:val="TableParagraph"/>
              <w:spacing w:line="271" w:lineRule="auto" w:before="111"/>
              <w:ind w:left="148" w:right="223"/>
              <w:rPr>
                <w:sz w:val="21"/>
              </w:rPr>
            </w:pPr>
            <w:r>
              <w:rPr>
                <w:sz w:val="21"/>
              </w:rPr>
              <w:t>指双肾功能慢性不可逆性衰竭，达到尿毒症期，经诊断后已经进行了至少 90 天的规律性透析治疗或实施了肾脏移植手术。</w:t>
            </w:r>
          </w:p>
        </w:tc>
      </w:tr>
      <w:tr>
        <w:trPr>
          <w:trHeight w:val="872" w:hRule="atLeast"/>
        </w:trPr>
        <w:tc>
          <w:tcPr>
            <w:tcW w:w="839" w:type="dxa"/>
          </w:tcPr>
          <w:p>
            <w:pPr>
              <w:pStyle w:val="TableParagraph"/>
              <w:spacing w:before="111"/>
              <w:ind w:left="200"/>
              <w:rPr>
                <w:b/>
                <w:sz w:val="21"/>
              </w:rPr>
            </w:pPr>
            <w:r>
              <w:rPr>
                <w:b/>
                <w:sz w:val="21"/>
              </w:rPr>
              <w:t>9.7</w:t>
            </w:r>
          </w:p>
        </w:tc>
        <w:tc>
          <w:tcPr>
            <w:tcW w:w="1949" w:type="dxa"/>
          </w:tcPr>
          <w:p>
            <w:pPr>
              <w:pStyle w:val="TableParagraph"/>
              <w:spacing w:before="111"/>
              <w:ind w:left="321"/>
              <w:rPr>
                <w:b/>
                <w:sz w:val="21"/>
              </w:rPr>
            </w:pPr>
            <w:r>
              <w:rPr>
                <w:b/>
                <w:sz w:val="21"/>
              </w:rPr>
              <w:t>多个肢体缺失</w:t>
            </w:r>
          </w:p>
        </w:tc>
        <w:tc>
          <w:tcPr>
            <w:tcW w:w="7723" w:type="dxa"/>
          </w:tcPr>
          <w:p>
            <w:pPr>
              <w:pStyle w:val="TableParagraph"/>
              <w:spacing w:line="273" w:lineRule="auto" w:before="111"/>
              <w:ind w:left="148" w:right="224"/>
              <w:rPr>
                <w:sz w:val="21"/>
              </w:rPr>
            </w:pPr>
            <w:r>
              <w:rPr>
                <w:sz w:val="21"/>
              </w:rPr>
              <w:t>指因疾病或意外伤害导致两个或两个以上肢体自腕关节或踝关节近端（靠近躯干端）以上完全性断离。</w:t>
            </w:r>
          </w:p>
        </w:tc>
      </w:tr>
      <w:tr>
        <w:trPr>
          <w:trHeight w:val="2432" w:hRule="atLeast"/>
        </w:trPr>
        <w:tc>
          <w:tcPr>
            <w:tcW w:w="839" w:type="dxa"/>
          </w:tcPr>
          <w:p>
            <w:pPr>
              <w:pStyle w:val="TableParagraph"/>
              <w:spacing w:before="110"/>
              <w:ind w:left="200"/>
              <w:rPr>
                <w:b/>
                <w:sz w:val="21"/>
              </w:rPr>
            </w:pPr>
            <w:r>
              <w:rPr>
                <w:b/>
                <w:sz w:val="21"/>
              </w:rPr>
              <w:t>9.8</w:t>
            </w:r>
          </w:p>
        </w:tc>
        <w:tc>
          <w:tcPr>
            <w:tcW w:w="1949" w:type="dxa"/>
          </w:tcPr>
          <w:p>
            <w:pPr>
              <w:pStyle w:val="TableParagraph"/>
              <w:spacing w:line="273" w:lineRule="auto" w:before="110"/>
              <w:ind w:left="321" w:right="147"/>
              <w:rPr>
                <w:b/>
                <w:sz w:val="21"/>
              </w:rPr>
            </w:pPr>
            <w:r>
              <w:rPr>
                <w:b/>
                <w:sz w:val="21"/>
              </w:rPr>
              <w:t>急性或亚急性重症肝炎</w:t>
            </w:r>
          </w:p>
        </w:tc>
        <w:tc>
          <w:tcPr>
            <w:tcW w:w="7723" w:type="dxa"/>
          </w:tcPr>
          <w:p>
            <w:pPr>
              <w:pStyle w:val="TableParagraph"/>
              <w:spacing w:line="273" w:lineRule="auto" w:before="110"/>
              <w:ind w:left="148" w:right="3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9"/>
              </w:numPr>
              <w:tabs>
                <w:tab w:pos="885" w:val="left" w:leader="none"/>
                <w:tab w:pos="886" w:val="left" w:leader="none"/>
              </w:tabs>
              <w:spacing w:line="240" w:lineRule="auto" w:before="86" w:after="0"/>
              <w:ind w:left="885" w:right="0" w:hanging="737"/>
              <w:jc w:val="left"/>
              <w:rPr>
                <w:sz w:val="21"/>
              </w:rPr>
            </w:pPr>
            <w:r>
              <w:rPr>
                <w:spacing w:val="-3"/>
                <w:sz w:val="21"/>
              </w:rPr>
              <w:t>重度黄疸或黄疸迅速加重；</w:t>
            </w:r>
          </w:p>
          <w:p>
            <w:pPr>
              <w:pStyle w:val="TableParagraph"/>
              <w:numPr>
                <w:ilvl w:val="0"/>
                <w:numId w:val="19"/>
              </w:numPr>
              <w:tabs>
                <w:tab w:pos="885" w:val="left" w:leader="none"/>
                <w:tab w:pos="886" w:val="left" w:leader="none"/>
              </w:tabs>
              <w:spacing w:line="240" w:lineRule="auto" w:before="113" w:after="0"/>
              <w:ind w:left="885" w:right="0" w:hanging="737"/>
              <w:jc w:val="left"/>
              <w:rPr>
                <w:sz w:val="21"/>
              </w:rPr>
            </w:pPr>
            <w:r>
              <w:rPr>
                <w:spacing w:val="-3"/>
                <w:sz w:val="21"/>
              </w:rPr>
              <w:t>肝性脑病；</w:t>
            </w:r>
          </w:p>
          <w:p>
            <w:pPr>
              <w:pStyle w:val="TableParagraph"/>
              <w:numPr>
                <w:ilvl w:val="0"/>
                <w:numId w:val="19"/>
              </w:numPr>
              <w:tabs>
                <w:tab w:pos="885" w:val="left" w:leader="none"/>
                <w:tab w:pos="886" w:val="left" w:leader="none"/>
              </w:tabs>
              <w:spacing w:line="240" w:lineRule="auto" w:before="116" w:after="0"/>
              <w:ind w:left="885" w:right="0" w:hanging="737"/>
              <w:jc w:val="left"/>
              <w:rPr>
                <w:sz w:val="21"/>
              </w:rPr>
            </w:pPr>
            <w:r>
              <w:rPr>
                <w:sz w:val="21"/>
              </w:rPr>
              <w:t>B</w:t>
            </w:r>
            <w:r>
              <w:rPr>
                <w:spacing w:val="-7"/>
                <w:sz w:val="21"/>
              </w:rPr>
              <w:t> 超或其它影像学检查显示肝脏体积急速萎缩；</w:t>
            </w:r>
          </w:p>
          <w:p>
            <w:pPr>
              <w:pStyle w:val="TableParagraph"/>
              <w:numPr>
                <w:ilvl w:val="0"/>
                <w:numId w:val="19"/>
              </w:numPr>
              <w:tabs>
                <w:tab w:pos="885" w:val="left" w:leader="none"/>
                <w:tab w:pos="886" w:val="left" w:leader="none"/>
              </w:tabs>
              <w:spacing w:line="240" w:lineRule="auto" w:before="114" w:after="0"/>
              <w:ind w:left="885" w:right="0" w:hanging="737"/>
              <w:jc w:val="left"/>
              <w:rPr>
                <w:sz w:val="21"/>
              </w:rPr>
            </w:pPr>
            <w:r>
              <w:rPr>
                <w:spacing w:val="-3"/>
                <w:sz w:val="21"/>
              </w:rPr>
              <w:t>肝功能指标进行性恶化。</w:t>
            </w:r>
          </w:p>
        </w:tc>
      </w:tr>
      <w:tr>
        <w:trPr>
          <w:trHeight w:val="2491" w:hRule="atLeast"/>
        </w:trPr>
        <w:tc>
          <w:tcPr>
            <w:tcW w:w="839" w:type="dxa"/>
          </w:tcPr>
          <w:p>
            <w:pPr>
              <w:pStyle w:val="TableParagraph"/>
              <w:spacing w:before="111"/>
              <w:ind w:left="200"/>
              <w:rPr>
                <w:b/>
                <w:sz w:val="21"/>
              </w:rPr>
            </w:pPr>
            <w:r>
              <w:rPr>
                <w:b/>
                <w:sz w:val="21"/>
              </w:rPr>
              <w:t>9.9</w:t>
            </w:r>
          </w:p>
        </w:tc>
        <w:tc>
          <w:tcPr>
            <w:tcW w:w="1949" w:type="dxa"/>
          </w:tcPr>
          <w:p>
            <w:pPr>
              <w:pStyle w:val="TableParagraph"/>
              <w:spacing w:before="111"/>
              <w:ind w:left="321"/>
              <w:rPr>
                <w:b/>
                <w:sz w:val="21"/>
              </w:rPr>
            </w:pPr>
            <w:r>
              <w:rPr>
                <w:b/>
                <w:sz w:val="21"/>
              </w:rPr>
              <w:t>良性脑肿瘤</w:t>
            </w:r>
          </w:p>
        </w:tc>
        <w:tc>
          <w:tcPr>
            <w:tcW w:w="7723" w:type="dxa"/>
          </w:tcPr>
          <w:p>
            <w:pPr>
              <w:pStyle w:val="TableParagraph"/>
              <w:spacing w:line="271" w:lineRule="auto" w:before="111"/>
              <w:ind w:left="148" w:right="198"/>
              <w:rPr>
                <w:sz w:val="21"/>
              </w:rPr>
            </w:pPr>
            <w:r>
              <w:rPr>
                <w:spacing w:val="-15"/>
                <w:sz w:val="21"/>
              </w:rPr>
              <w:t>指脑的良性肿瘤，已经引起颅内压增高，临床表现为视神经乳头水肿、精神症状、</w:t>
            </w:r>
            <w:r>
              <w:rPr>
                <w:spacing w:val="-10"/>
                <w:w w:val="100"/>
                <w:sz w:val="21"/>
              </w:rPr>
              <w:t>癫痫及运动感觉障碍等，并危及生命。须由头颅断层扫描</w:t>
            </w:r>
            <w:r>
              <w:rPr>
                <w:w w:val="100"/>
                <w:sz w:val="21"/>
              </w:rPr>
              <w:t>（CT</w:t>
            </w:r>
            <w:r>
              <w:rPr>
                <w:spacing w:val="-106"/>
                <w:w w:val="100"/>
                <w:sz w:val="21"/>
              </w:rPr>
              <w:t>）</w:t>
            </w:r>
            <w:r>
              <w:rPr>
                <w:spacing w:val="-3"/>
                <w:w w:val="100"/>
                <w:sz w:val="21"/>
              </w:rPr>
              <w:t>、核磁共振检查</w:t>
            </w:r>
          </w:p>
          <w:p>
            <w:pPr>
              <w:pStyle w:val="TableParagraph"/>
              <w:spacing w:line="273" w:lineRule="auto" w:before="9"/>
              <w:ind w:left="148" w:right="304"/>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20"/>
              </w:numPr>
              <w:tabs>
                <w:tab w:pos="885" w:val="left" w:leader="none"/>
                <w:tab w:pos="886" w:val="left" w:leader="none"/>
              </w:tabs>
              <w:spacing w:line="240" w:lineRule="auto" w:before="86" w:after="0"/>
              <w:ind w:left="885" w:right="0" w:hanging="737"/>
              <w:jc w:val="left"/>
              <w:rPr>
                <w:sz w:val="21"/>
              </w:rPr>
            </w:pPr>
            <w:r>
              <w:rPr>
                <w:spacing w:val="-3"/>
                <w:sz w:val="21"/>
              </w:rPr>
              <w:t>实际实施了开颅进行的脑肿瘤完全切除或部分切除的手术；</w:t>
            </w:r>
          </w:p>
          <w:p>
            <w:pPr>
              <w:pStyle w:val="TableParagraph"/>
              <w:numPr>
                <w:ilvl w:val="0"/>
                <w:numId w:val="20"/>
              </w:numPr>
              <w:tabs>
                <w:tab w:pos="885" w:val="left" w:leader="none"/>
                <w:tab w:pos="886" w:val="left" w:leader="none"/>
              </w:tabs>
              <w:spacing w:line="240" w:lineRule="auto" w:before="116" w:after="0"/>
              <w:ind w:left="885" w:right="0" w:hanging="737"/>
              <w:jc w:val="left"/>
              <w:rPr>
                <w:sz w:val="21"/>
              </w:rPr>
            </w:pPr>
            <w:r>
              <w:rPr>
                <w:spacing w:val="-3"/>
                <w:sz w:val="21"/>
              </w:rPr>
              <w:t>实际实施了对脑肿瘤进行的放射治疗。</w:t>
            </w:r>
          </w:p>
          <w:p>
            <w:pPr>
              <w:pStyle w:val="TableParagraph"/>
              <w:spacing w:line="255" w:lineRule="exact" w:before="114"/>
              <w:ind w:left="148"/>
              <w:rPr>
                <w:rFonts w:ascii="黑体" w:eastAsia="黑体" w:hint="eastAsia"/>
                <w:sz w:val="21"/>
              </w:rPr>
            </w:pPr>
            <w:r>
              <w:rPr>
                <w:rFonts w:ascii="黑体" w:eastAsia="黑体" w:hint="eastAsia"/>
                <w:sz w:val="21"/>
              </w:rPr>
              <w:t>脑垂体瘤、脑囊肿、脑血管性疾病不在保障范围内。</w:t>
            </w:r>
          </w:p>
        </w:tc>
      </w:tr>
    </w:tbl>
    <w:p>
      <w:pPr>
        <w:spacing w:after="0" w:line="255" w:lineRule="exact"/>
        <w:rPr>
          <w:rFonts w:ascii="黑体" w:eastAsia="黑体" w:hint="eastAsia"/>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0"/>
      </w:tblGrid>
      <w:tr>
        <w:trPr>
          <w:trHeight w:val="2336" w:hRule="atLeast"/>
        </w:trPr>
        <w:tc>
          <w:tcPr>
            <w:tcW w:w="891" w:type="dxa"/>
          </w:tcPr>
          <w:p>
            <w:pPr>
              <w:pStyle w:val="TableParagraph"/>
              <w:spacing w:line="211" w:lineRule="exact"/>
              <w:ind w:left="180" w:right="246"/>
              <w:jc w:val="center"/>
              <w:rPr>
                <w:b/>
                <w:sz w:val="21"/>
              </w:rPr>
            </w:pPr>
            <w:r>
              <w:rPr>
                <w:b/>
                <w:sz w:val="21"/>
              </w:rPr>
              <w:t>9.10</w:t>
            </w:r>
          </w:p>
        </w:tc>
        <w:tc>
          <w:tcPr>
            <w:tcW w:w="1896" w:type="dxa"/>
          </w:tcPr>
          <w:p>
            <w:pPr>
              <w:pStyle w:val="TableParagraph"/>
              <w:spacing w:line="211" w:lineRule="exact"/>
              <w:ind w:left="269"/>
              <w:rPr>
                <w:b/>
                <w:sz w:val="21"/>
              </w:rPr>
            </w:pPr>
            <w:r>
              <w:rPr>
                <w:b/>
                <w:sz w:val="21"/>
              </w:rPr>
              <w:t>慢性肝功能衰竭</w:t>
            </w:r>
          </w:p>
          <w:p>
            <w:pPr>
              <w:pStyle w:val="TableParagraph"/>
              <w:spacing w:before="37"/>
              <w:ind w:left="269"/>
              <w:rPr>
                <w:b/>
                <w:sz w:val="21"/>
              </w:rPr>
            </w:pPr>
            <w:r>
              <w:rPr>
                <w:b/>
                <w:sz w:val="21"/>
              </w:rPr>
              <w:t>失代偿期</w:t>
            </w:r>
          </w:p>
        </w:tc>
        <w:tc>
          <w:tcPr>
            <w:tcW w:w="7720" w:type="dxa"/>
          </w:tcPr>
          <w:p>
            <w:pPr>
              <w:pStyle w:val="TableParagraph"/>
              <w:spacing w:line="211" w:lineRule="exact"/>
              <w:ind w:left="149"/>
              <w:rPr>
                <w:sz w:val="21"/>
              </w:rPr>
            </w:pPr>
            <w:r>
              <w:rPr>
                <w:sz w:val="21"/>
              </w:rPr>
              <w:t>指因慢性肝脏疾病导致肝功能衰竭。须满足下列全部条件：</w:t>
            </w:r>
          </w:p>
          <w:p>
            <w:pPr>
              <w:pStyle w:val="TableParagraph"/>
              <w:numPr>
                <w:ilvl w:val="0"/>
                <w:numId w:val="21"/>
              </w:numPr>
              <w:tabs>
                <w:tab w:pos="886" w:val="left" w:leader="none"/>
                <w:tab w:pos="887" w:val="left" w:leader="none"/>
              </w:tabs>
              <w:spacing w:line="240" w:lineRule="auto" w:before="116" w:after="0"/>
              <w:ind w:left="886" w:right="0" w:hanging="737"/>
              <w:jc w:val="left"/>
              <w:rPr>
                <w:sz w:val="21"/>
              </w:rPr>
            </w:pPr>
            <w:r>
              <w:rPr>
                <w:spacing w:val="-3"/>
                <w:sz w:val="21"/>
              </w:rPr>
              <w:t>持续性黄疸；</w:t>
            </w:r>
          </w:p>
          <w:p>
            <w:pPr>
              <w:pStyle w:val="TableParagraph"/>
              <w:numPr>
                <w:ilvl w:val="0"/>
                <w:numId w:val="21"/>
              </w:numPr>
              <w:tabs>
                <w:tab w:pos="886" w:val="left" w:leader="none"/>
                <w:tab w:pos="887" w:val="left" w:leader="none"/>
              </w:tabs>
              <w:spacing w:line="240" w:lineRule="auto" w:before="114" w:after="0"/>
              <w:ind w:left="886" w:right="0" w:hanging="737"/>
              <w:jc w:val="left"/>
              <w:rPr>
                <w:sz w:val="21"/>
              </w:rPr>
            </w:pPr>
            <w:r>
              <w:rPr>
                <w:spacing w:val="-2"/>
                <w:sz w:val="21"/>
              </w:rPr>
              <w:t>腹水；</w:t>
            </w:r>
          </w:p>
          <w:p>
            <w:pPr>
              <w:pStyle w:val="TableParagraph"/>
              <w:numPr>
                <w:ilvl w:val="0"/>
                <w:numId w:val="21"/>
              </w:numPr>
              <w:tabs>
                <w:tab w:pos="886" w:val="left" w:leader="none"/>
                <w:tab w:pos="887" w:val="left" w:leader="none"/>
              </w:tabs>
              <w:spacing w:line="240" w:lineRule="auto" w:before="116" w:after="0"/>
              <w:ind w:left="886" w:right="0" w:hanging="737"/>
              <w:jc w:val="left"/>
              <w:rPr>
                <w:sz w:val="21"/>
              </w:rPr>
            </w:pPr>
            <w:r>
              <w:rPr>
                <w:spacing w:val="-3"/>
                <w:sz w:val="21"/>
              </w:rPr>
              <w:t>肝性脑病；</w:t>
            </w:r>
          </w:p>
          <w:p>
            <w:pPr>
              <w:pStyle w:val="TableParagraph"/>
              <w:numPr>
                <w:ilvl w:val="0"/>
                <w:numId w:val="21"/>
              </w:numPr>
              <w:tabs>
                <w:tab w:pos="886" w:val="left" w:leader="none"/>
                <w:tab w:pos="887" w:val="left" w:leader="none"/>
              </w:tabs>
              <w:spacing w:line="240" w:lineRule="auto" w:before="113" w:after="0"/>
              <w:ind w:left="886" w:right="0" w:hanging="737"/>
              <w:jc w:val="left"/>
              <w:rPr>
                <w:sz w:val="21"/>
              </w:rPr>
            </w:pPr>
            <w:r>
              <w:rPr>
                <w:spacing w:val="-3"/>
                <w:sz w:val="21"/>
              </w:rPr>
              <w:t>充血性脾肿大伴脾功能亢进或食管胃底静脉曲张。</w:t>
            </w:r>
          </w:p>
          <w:p>
            <w:pPr>
              <w:pStyle w:val="TableParagraph"/>
              <w:spacing w:before="115"/>
              <w:ind w:left="149"/>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91" w:type="dxa"/>
          </w:tcPr>
          <w:p>
            <w:pPr>
              <w:pStyle w:val="TableParagraph"/>
              <w:spacing w:before="110"/>
              <w:ind w:left="180" w:right="246"/>
              <w:jc w:val="center"/>
              <w:rPr>
                <w:b/>
                <w:sz w:val="21"/>
              </w:rPr>
            </w:pPr>
            <w:r>
              <w:rPr>
                <w:b/>
                <w:sz w:val="21"/>
              </w:rPr>
              <w:t>9.11</w:t>
            </w:r>
          </w:p>
        </w:tc>
        <w:tc>
          <w:tcPr>
            <w:tcW w:w="1896" w:type="dxa"/>
          </w:tcPr>
          <w:p>
            <w:pPr>
              <w:pStyle w:val="TableParagraph"/>
              <w:spacing w:line="273" w:lineRule="auto" w:before="110"/>
              <w:ind w:left="269" w:right="146"/>
              <w:rPr>
                <w:b/>
                <w:sz w:val="21"/>
              </w:rPr>
            </w:pPr>
            <w:r>
              <w:rPr>
                <w:b/>
                <w:sz w:val="21"/>
              </w:rPr>
              <w:t>脑炎后遗症或脑膜炎后遗症</w:t>
            </w:r>
          </w:p>
        </w:tc>
        <w:tc>
          <w:tcPr>
            <w:tcW w:w="7720" w:type="dxa"/>
          </w:tcPr>
          <w:p>
            <w:pPr>
              <w:pStyle w:val="TableParagraph"/>
              <w:spacing w:line="273" w:lineRule="auto" w:before="110"/>
              <w:ind w:left="149" w:right="300"/>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2"/>
              </w:numPr>
              <w:tabs>
                <w:tab w:pos="886" w:val="left" w:leader="none"/>
                <w:tab w:pos="887" w:val="left" w:leader="none"/>
              </w:tabs>
              <w:spacing w:line="240" w:lineRule="auto" w:before="86" w:after="0"/>
              <w:ind w:left="884" w:right="0" w:hanging="735"/>
              <w:jc w:val="left"/>
              <w:rPr>
                <w:sz w:val="21"/>
              </w:rPr>
            </w:pPr>
            <w:r>
              <w:rPr>
                <w:spacing w:val="-3"/>
                <w:sz w:val="21"/>
              </w:rPr>
              <w:t>一肢或一肢以上肢体机能完全丧失；</w:t>
            </w:r>
          </w:p>
          <w:p>
            <w:pPr>
              <w:pStyle w:val="TableParagraph"/>
              <w:numPr>
                <w:ilvl w:val="0"/>
                <w:numId w:val="22"/>
              </w:numPr>
              <w:tabs>
                <w:tab w:pos="886" w:val="left" w:leader="none"/>
                <w:tab w:pos="887" w:val="left" w:leader="none"/>
              </w:tabs>
              <w:spacing w:line="240" w:lineRule="auto" w:before="113" w:after="0"/>
              <w:ind w:left="884" w:right="0" w:hanging="735"/>
              <w:jc w:val="left"/>
              <w:rPr>
                <w:sz w:val="21"/>
              </w:rPr>
            </w:pPr>
            <w:r>
              <w:rPr>
                <w:spacing w:val="-3"/>
                <w:sz w:val="21"/>
              </w:rPr>
              <w:t>语言能力或咀嚼吞咽能力完全丧失；</w:t>
            </w:r>
          </w:p>
          <w:p>
            <w:pPr>
              <w:pStyle w:val="TableParagraph"/>
              <w:numPr>
                <w:ilvl w:val="0"/>
                <w:numId w:val="22"/>
              </w:numPr>
              <w:tabs>
                <w:tab w:pos="889" w:val="left" w:leader="none"/>
                <w:tab w:pos="890" w:val="left" w:leader="none"/>
              </w:tabs>
              <w:spacing w:line="271" w:lineRule="auto" w:before="116" w:after="0"/>
              <w:ind w:left="884" w:right="302" w:hanging="735"/>
              <w:jc w:val="left"/>
              <w:rPr>
                <w:sz w:val="21"/>
              </w:rPr>
            </w:pPr>
            <w:r>
              <w:rPr>
                <w:spacing w:val="-3"/>
                <w:sz w:val="21"/>
              </w:rPr>
              <w:t>自主生活能力完全丧失，无法独立完成六项基本日常生活活动中的三项或三项以上。</w:t>
            </w:r>
          </w:p>
        </w:tc>
      </w:tr>
      <w:tr>
        <w:trPr>
          <w:trHeight w:val="1575" w:hRule="atLeast"/>
        </w:trPr>
        <w:tc>
          <w:tcPr>
            <w:tcW w:w="891" w:type="dxa"/>
          </w:tcPr>
          <w:p>
            <w:pPr>
              <w:pStyle w:val="TableParagraph"/>
              <w:spacing w:before="111"/>
              <w:ind w:left="180" w:right="246"/>
              <w:jc w:val="center"/>
              <w:rPr>
                <w:b/>
                <w:sz w:val="21"/>
              </w:rPr>
            </w:pPr>
            <w:r>
              <w:rPr>
                <w:b/>
                <w:sz w:val="21"/>
              </w:rPr>
              <w:t>9.12</w:t>
            </w:r>
          </w:p>
        </w:tc>
        <w:tc>
          <w:tcPr>
            <w:tcW w:w="1896" w:type="dxa"/>
          </w:tcPr>
          <w:p>
            <w:pPr>
              <w:pStyle w:val="TableParagraph"/>
              <w:spacing w:before="111"/>
              <w:ind w:left="269"/>
              <w:rPr>
                <w:b/>
                <w:sz w:val="21"/>
              </w:rPr>
            </w:pPr>
            <w:r>
              <w:rPr>
                <w:b/>
                <w:sz w:val="21"/>
              </w:rPr>
              <w:t>深度昏迷</w:t>
            </w:r>
          </w:p>
        </w:tc>
        <w:tc>
          <w:tcPr>
            <w:tcW w:w="7720" w:type="dxa"/>
          </w:tcPr>
          <w:p>
            <w:pPr>
              <w:pStyle w:val="TableParagraph"/>
              <w:spacing w:line="273" w:lineRule="auto" w:before="111"/>
              <w:ind w:left="149" w:right="298"/>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w:t>
            </w:r>
            <w:r>
              <w:rPr>
                <w:spacing w:val="-42"/>
                <w:sz w:val="21"/>
              </w:rPr>
              <w:t> </w:t>
            </w:r>
            <w:r>
              <w:rPr>
                <w:sz w:val="21"/>
              </w:rPr>
              <w:t>coma</w:t>
            </w:r>
            <w:r>
              <w:rPr>
                <w:spacing w:val="-4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6"/>
              <w:ind w:left="149"/>
              <w:jc w:val="both"/>
              <w:rPr>
                <w:rFonts w:ascii="黑体" w:eastAsia="黑体" w:hint="eastAsia"/>
                <w:sz w:val="21"/>
              </w:rPr>
            </w:pPr>
            <w:r>
              <w:rPr>
                <w:rFonts w:ascii="黑体" w:eastAsia="黑体" w:hint="eastAsia"/>
                <w:sz w:val="21"/>
              </w:rPr>
              <w:t>因酗酒或药物滥用导致的深度昏迷不在保障范围内。</w:t>
            </w:r>
          </w:p>
        </w:tc>
      </w:tr>
      <w:tr>
        <w:trPr>
          <w:trHeight w:val="1182" w:hRule="atLeast"/>
        </w:trPr>
        <w:tc>
          <w:tcPr>
            <w:tcW w:w="891" w:type="dxa"/>
          </w:tcPr>
          <w:p>
            <w:pPr>
              <w:pStyle w:val="TableParagraph"/>
              <w:spacing w:before="110"/>
              <w:ind w:left="180" w:right="246"/>
              <w:jc w:val="center"/>
              <w:rPr>
                <w:b/>
                <w:sz w:val="21"/>
              </w:rPr>
            </w:pPr>
            <w:r>
              <w:rPr>
                <w:b/>
                <w:sz w:val="21"/>
              </w:rPr>
              <w:t>9.13</w:t>
            </w:r>
          </w:p>
        </w:tc>
        <w:tc>
          <w:tcPr>
            <w:tcW w:w="1896" w:type="dxa"/>
          </w:tcPr>
          <w:p>
            <w:pPr>
              <w:pStyle w:val="TableParagraph"/>
              <w:spacing w:before="110"/>
              <w:ind w:left="269"/>
              <w:rPr>
                <w:b/>
                <w:sz w:val="21"/>
              </w:rPr>
            </w:pPr>
            <w:r>
              <w:rPr>
                <w:b/>
                <w:sz w:val="21"/>
              </w:rPr>
              <w:t>双耳失聪</w:t>
            </w:r>
          </w:p>
        </w:tc>
        <w:tc>
          <w:tcPr>
            <w:tcW w:w="7720" w:type="dxa"/>
          </w:tcPr>
          <w:p>
            <w:pPr>
              <w:pStyle w:val="TableParagraph"/>
              <w:spacing w:before="110"/>
              <w:ind w:left="149"/>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4"/>
              <w:ind w:left="149" w:right="196"/>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356" w:hRule="atLeast"/>
        </w:trPr>
        <w:tc>
          <w:tcPr>
            <w:tcW w:w="891" w:type="dxa"/>
          </w:tcPr>
          <w:p>
            <w:pPr>
              <w:pStyle w:val="TableParagraph"/>
              <w:spacing w:before="111"/>
              <w:ind w:left="180" w:right="246"/>
              <w:jc w:val="center"/>
              <w:rPr>
                <w:b/>
                <w:sz w:val="21"/>
              </w:rPr>
            </w:pPr>
            <w:r>
              <w:rPr>
                <w:b/>
                <w:sz w:val="21"/>
              </w:rPr>
              <w:t>9.14</w:t>
            </w:r>
          </w:p>
        </w:tc>
        <w:tc>
          <w:tcPr>
            <w:tcW w:w="1896" w:type="dxa"/>
          </w:tcPr>
          <w:p>
            <w:pPr>
              <w:pStyle w:val="TableParagraph"/>
              <w:spacing w:before="111"/>
              <w:ind w:left="269"/>
              <w:rPr>
                <w:b/>
                <w:sz w:val="21"/>
              </w:rPr>
            </w:pPr>
            <w:r>
              <w:rPr>
                <w:b/>
                <w:sz w:val="21"/>
              </w:rPr>
              <w:t>双目失明</w:t>
            </w:r>
          </w:p>
        </w:tc>
        <w:tc>
          <w:tcPr>
            <w:tcW w:w="7720" w:type="dxa"/>
          </w:tcPr>
          <w:p>
            <w:pPr>
              <w:pStyle w:val="TableParagraph"/>
              <w:spacing w:line="273" w:lineRule="auto" w:before="111"/>
              <w:ind w:left="149" w:right="300"/>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3"/>
              </w:numPr>
              <w:tabs>
                <w:tab w:pos="886" w:val="left" w:leader="none"/>
                <w:tab w:pos="887" w:val="left" w:leader="none"/>
              </w:tabs>
              <w:spacing w:line="240" w:lineRule="auto" w:before="87" w:after="0"/>
              <w:ind w:left="870" w:right="0" w:hanging="721"/>
              <w:jc w:val="left"/>
              <w:rPr>
                <w:sz w:val="21"/>
              </w:rPr>
            </w:pPr>
            <w:r>
              <w:rPr>
                <w:spacing w:val="-3"/>
                <w:sz w:val="21"/>
              </w:rPr>
              <w:t>眼球缺失或摘除；</w:t>
            </w:r>
          </w:p>
          <w:p>
            <w:pPr>
              <w:pStyle w:val="TableParagraph"/>
              <w:numPr>
                <w:ilvl w:val="0"/>
                <w:numId w:val="23"/>
              </w:numPr>
              <w:tabs>
                <w:tab w:pos="875" w:val="left" w:leader="none"/>
              </w:tabs>
              <w:spacing w:line="273" w:lineRule="auto" w:before="114" w:after="0"/>
              <w:ind w:left="870" w:right="300"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23"/>
              </w:numPr>
              <w:tabs>
                <w:tab w:pos="886" w:val="left" w:leader="none"/>
                <w:tab w:pos="887" w:val="left" w:leader="none"/>
              </w:tabs>
              <w:spacing w:line="240" w:lineRule="auto" w:before="87" w:after="0"/>
              <w:ind w:left="870" w:right="0" w:hanging="721"/>
              <w:jc w:val="left"/>
              <w:rPr>
                <w:sz w:val="21"/>
              </w:rPr>
            </w:pPr>
            <w:r>
              <w:rPr>
                <w:spacing w:val="-10"/>
                <w:sz w:val="21"/>
              </w:rPr>
              <w:t>视野半径小于 </w:t>
            </w:r>
            <w:r>
              <w:rPr>
                <w:sz w:val="21"/>
              </w:rPr>
              <w:t>5</w:t>
            </w:r>
            <w:r>
              <w:rPr>
                <w:spacing w:val="-19"/>
                <w:sz w:val="21"/>
              </w:rPr>
              <w:t> 度。</w:t>
            </w:r>
          </w:p>
        </w:tc>
      </w:tr>
      <w:tr>
        <w:trPr>
          <w:trHeight w:val="1183" w:hRule="atLeast"/>
        </w:trPr>
        <w:tc>
          <w:tcPr>
            <w:tcW w:w="891" w:type="dxa"/>
          </w:tcPr>
          <w:p>
            <w:pPr>
              <w:pStyle w:val="TableParagraph"/>
              <w:spacing w:before="110"/>
              <w:ind w:left="180" w:right="246"/>
              <w:jc w:val="center"/>
              <w:rPr>
                <w:b/>
                <w:sz w:val="21"/>
              </w:rPr>
            </w:pPr>
            <w:r>
              <w:rPr>
                <w:b/>
                <w:sz w:val="21"/>
              </w:rPr>
              <w:t>9.15</w:t>
            </w:r>
          </w:p>
        </w:tc>
        <w:tc>
          <w:tcPr>
            <w:tcW w:w="1896" w:type="dxa"/>
          </w:tcPr>
          <w:p>
            <w:pPr>
              <w:pStyle w:val="TableParagraph"/>
              <w:spacing w:before="110"/>
              <w:ind w:left="269"/>
              <w:rPr>
                <w:b/>
                <w:sz w:val="21"/>
              </w:rPr>
            </w:pPr>
            <w:r>
              <w:rPr>
                <w:b/>
                <w:sz w:val="21"/>
              </w:rPr>
              <w:t>瘫痪</w:t>
            </w:r>
          </w:p>
        </w:tc>
        <w:tc>
          <w:tcPr>
            <w:tcW w:w="7720" w:type="dxa"/>
          </w:tcPr>
          <w:p>
            <w:pPr>
              <w:pStyle w:val="TableParagraph"/>
              <w:spacing w:line="273" w:lineRule="auto" w:before="110"/>
              <w:ind w:left="149" w:right="300"/>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60" w:hRule="atLeast"/>
        </w:trPr>
        <w:tc>
          <w:tcPr>
            <w:tcW w:w="891" w:type="dxa"/>
          </w:tcPr>
          <w:p>
            <w:pPr>
              <w:pStyle w:val="TableParagraph"/>
              <w:spacing w:before="110"/>
              <w:ind w:left="180" w:right="246"/>
              <w:jc w:val="center"/>
              <w:rPr>
                <w:b/>
                <w:sz w:val="21"/>
              </w:rPr>
            </w:pPr>
            <w:r>
              <w:rPr>
                <w:b/>
                <w:sz w:val="21"/>
              </w:rPr>
              <w:t>9.16</w:t>
            </w:r>
          </w:p>
        </w:tc>
        <w:tc>
          <w:tcPr>
            <w:tcW w:w="1896" w:type="dxa"/>
          </w:tcPr>
          <w:p>
            <w:pPr>
              <w:pStyle w:val="TableParagraph"/>
              <w:spacing w:before="110"/>
              <w:ind w:left="269"/>
              <w:rPr>
                <w:b/>
                <w:sz w:val="21"/>
              </w:rPr>
            </w:pPr>
            <w:r>
              <w:rPr>
                <w:b/>
                <w:sz w:val="21"/>
              </w:rPr>
              <w:t>心脏瓣膜手术</w:t>
            </w:r>
          </w:p>
        </w:tc>
        <w:tc>
          <w:tcPr>
            <w:tcW w:w="7720" w:type="dxa"/>
          </w:tcPr>
          <w:p>
            <w:pPr>
              <w:pStyle w:val="TableParagraph"/>
              <w:spacing w:before="110"/>
              <w:ind w:left="149"/>
              <w:rPr>
                <w:sz w:val="21"/>
              </w:rPr>
            </w:pPr>
            <w:r>
              <w:rPr>
                <w:sz w:val="21"/>
              </w:rPr>
              <w:t>指为治疗心脏瓣膜疾病，实际实施了开胸进行的心脏瓣膜置换或修复的手术。</w:t>
            </w:r>
          </w:p>
        </w:tc>
      </w:tr>
      <w:tr>
        <w:trPr>
          <w:trHeight w:val="2414" w:hRule="atLeast"/>
        </w:trPr>
        <w:tc>
          <w:tcPr>
            <w:tcW w:w="891" w:type="dxa"/>
          </w:tcPr>
          <w:p>
            <w:pPr>
              <w:pStyle w:val="TableParagraph"/>
              <w:spacing w:before="111"/>
              <w:ind w:left="180" w:right="246"/>
              <w:jc w:val="center"/>
              <w:rPr>
                <w:b/>
                <w:sz w:val="21"/>
              </w:rPr>
            </w:pPr>
            <w:r>
              <w:rPr>
                <w:b/>
                <w:sz w:val="21"/>
              </w:rPr>
              <w:t>9.17</w:t>
            </w:r>
          </w:p>
        </w:tc>
        <w:tc>
          <w:tcPr>
            <w:tcW w:w="1896" w:type="dxa"/>
          </w:tcPr>
          <w:p>
            <w:pPr>
              <w:pStyle w:val="TableParagraph"/>
              <w:spacing w:line="271" w:lineRule="auto" w:before="111"/>
              <w:ind w:left="269" w:right="146"/>
              <w:rPr>
                <w:b/>
                <w:sz w:val="21"/>
              </w:rPr>
            </w:pPr>
            <w:r>
              <w:rPr>
                <w:b/>
                <w:sz w:val="21"/>
              </w:rPr>
              <w:t>严重阿尔茨海默病</w:t>
            </w:r>
          </w:p>
        </w:tc>
        <w:tc>
          <w:tcPr>
            <w:tcW w:w="7720" w:type="dxa"/>
          </w:tcPr>
          <w:p>
            <w:pPr>
              <w:pStyle w:val="TableParagraph"/>
              <w:spacing w:line="271" w:lineRule="auto" w:before="111"/>
              <w:ind w:left="149" w:right="297"/>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10"/>
                <w:w w:val="100"/>
                <w:sz w:val="21"/>
              </w:rPr>
              <w:t>由头颅断层扫描</w:t>
            </w:r>
            <w:r>
              <w:rPr>
                <w:w w:val="100"/>
                <w:sz w:val="21"/>
              </w:rPr>
              <w:t>（CT</w:t>
            </w:r>
            <w:r>
              <w:rPr>
                <w:spacing w:val="-106"/>
                <w:w w:val="100"/>
                <w:sz w:val="21"/>
              </w:rPr>
              <w:t>）</w:t>
            </w:r>
            <w:r>
              <w:rPr>
                <w:spacing w:val="-2"/>
                <w:w w:val="100"/>
                <w:sz w:val="21"/>
              </w:rPr>
              <w:t>、核磁共振检查</w:t>
            </w:r>
            <w:r>
              <w:rPr>
                <w:spacing w:val="-3"/>
                <w:w w:val="100"/>
                <w:sz w:val="21"/>
              </w:rPr>
              <w:t>（</w:t>
            </w:r>
            <w:r>
              <w:rPr>
                <w:w w:val="100"/>
                <w:sz w:val="21"/>
              </w:rPr>
              <w:t>MRI）</w:t>
            </w:r>
            <w:r>
              <w:rPr>
                <w:spacing w:val="-3"/>
                <w:w w:val="100"/>
                <w:sz w:val="21"/>
              </w:rPr>
              <w:t>或正电子发射断层扫描</w:t>
            </w:r>
            <w:r>
              <w:rPr>
                <w:w w:val="100"/>
                <w:sz w:val="21"/>
              </w:rPr>
              <w:t>（PE</w:t>
            </w:r>
            <w:r>
              <w:rPr>
                <w:spacing w:val="-3"/>
                <w:w w:val="100"/>
                <w:sz w:val="21"/>
              </w:rPr>
              <w:t>T</w:t>
            </w:r>
            <w:r>
              <w:rPr>
                <w:w w:val="100"/>
                <w:sz w:val="21"/>
              </w:rPr>
              <w:t>）等</w:t>
            </w:r>
            <w:r>
              <w:rPr>
                <w:spacing w:val="-11"/>
                <w:sz w:val="21"/>
              </w:rPr>
              <w:t>影像学检查证实，且自主生活能力完全丧失，无法独立完成六项基本日常生活活</w:t>
            </w:r>
            <w:r>
              <w:rPr>
                <w:spacing w:val="-6"/>
                <w:sz w:val="21"/>
              </w:rPr>
              <w:t>动中的三项或三项以上。</w:t>
            </w:r>
          </w:p>
          <w:p>
            <w:pPr>
              <w:pStyle w:val="TableParagraph"/>
              <w:spacing w:before="88"/>
              <w:ind w:left="149"/>
              <w:jc w:val="both"/>
              <w:rPr>
                <w:rFonts w:ascii="黑体" w:eastAsia="黑体" w:hint="eastAsia"/>
                <w:sz w:val="21"/>
              </w:rPr>
            </w:pPr>
            <w:r>
              <w:rPr>
                <w:rFonts w:ascii="黑体" w:eastAsia="黑体" w:hint="eastAsia"/>
                <w:sz w:val="21"/>
              </w:rPr>
              <w:t>神经官能症和精神疾病不在保障范围内。</w:t>
            </w:r>
          </w:p>
          <w:p>
            <w:pPr>
              <w:pStyle w:val="TableParagraph"/>
              <w:spacing w:line="255" w:lineRule="exact" w:before="115"/>
              <w:ind w:left="149"/>
              <w:jc w:val="both"/>
              <w:rPr>
                <w:rFonts w:ascii="黑体" w:eastAsia="黑体" w:hint="eastAsia"/>
                <w:sz w:val="21"/>
              </w:rPr>
            </w:pPr>
            <w:r>
              <w:rPr>
                <w:rFonts w:ascii="黑体" w:eastAsia="黑体" w:hint="eastAsia"/>
                <w:sz w:val="21"/>
              </w:rPr>
              <w:t>我们只对被保险人在 65 周岁前被确诊患有本病承担保险责任。</w:t>
            </w:r>
          </w:p>
        </w:tc>
      </w:tr>
    </w:tbl>
    <w:p>
      <w:pPr>
        <w:spacing w:after="0" w:line="255" w:lineRule="exact"/>
        <w:jc w:val="both"/>
        <w:rPr>
          <w:rFonts w:ascii="黑体" w:eastAsia="黑体" w:hint="eastAsia"/>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2803" w:hRule="atLeast"/>
        </w:trPr>
        <w:tc>
          <w:tcPr>
            <w:tcW w:w="891" w:type="dxa"/>
          </w:tcPr>
          <w:p>
            <w:pPr>
              <w:pStyle w:val="TableParagraph"/>
              <w:spacing w:line="211" w:lineRule="exact"/>
              <w:ind w:left="180" w:right="246"/>
              <w:jc w:val="center"/>
              <w:rPr>
                <w:b/>
                <w:sz w:val="21"/>
              </w:rPr>
            </w:pPr>
            <w:r>
              <w:rPr>
                <w:b/>
                <w:sz w:val="21"/>
              </w:rPr>
              <w:t>9.18</w:t>
            </w:r>
          </w:p>
        </w:tc>
        <w:tc>
          <w:tcPr>
            <w:tcW w:w="1896" w:type="dxa"/>
          </w:tcPr>
          <w:p>
            <w:pPr>
              <w:pStyle w:val="TableParagraph"/>
              <w:spacing w:line="211" w:lineRule="exact"/>
              <w:ind w:left="269"/>
              <w:rPr>
                <w:b/>
                <w:sz w:val="21"/>
              </w:rPr>
            </w:pPr>
            <w:r>
              <w:rPr>
                <w:b/>
                <w:sz w:val="21"/>
              </w:rPr>
              <w:t>严重脑损伤</w:t>
            </w:r>
          </w:p>
        </w:tc>
        <w:tc>
          <w:tcPr>
            <w:tcW w:w="7723" w:type="dxa"/>
          </w:tcPr>
          <w:p>
            <w:pPr>
              <w:pStyle w:val="TableParagraph"/>
              <w:spacing w:line="211" w:lineRule="exact"/>
              <w:ind w:left="149"/>
              <w:rPr>
                <w:sz w:val="21"/>
              </w:rPr>
            </w:pPr>
            <w:r>
              <w:rPr>
                <w:sz w:val="21"/>
              </w:rPr>
              <w:t>指因头部遭受机械性外力，引起脑重要部位损伤，导致神经系统永久性的功能障</w:t>
            </w:r>
          </w:p>
          <w:p>
            <w:pPr>
              <w:pStyle w:val="TableParagraph"/>
              <w:spacing w:line="273" w:lineRule="auto" w:before="37"/>
              <w:ind w:left="149" w:right="197"/>
              <w:rPr>
                <w:sz w:val="21"/>
              </w:rPr>
            </w:pPr>
            <w:r>
              <w:rPr>
                <w:spacing w:val="-14"/>
                <w:w w:val="100"/>
                <w:sz w:val="21"/>
              </w:rPr>
              <w:t>碍。须由头颅断层扫描</w:t>
            </w:r>
            <w:r>
              <w:rPr>
                <w:spacing w:val="-2"/>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48"/>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11"/>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numPr>
                <w:ilvl w:val="0"/>
                <w:numId w:val="24"/>
              </w:numPr>
              <w:tabs>
                <w:tab w:pos="886" w:val="left" w:leader="none"/>
                <w:tab w:pos="887" w:val="left" w:leader="none"/>
              </w:tabs>
              <w:spacing w:line="240" w:lineRule="auto" w:before="87" w:after="0"/>
              <w:ind w:left="884" w:right="0" w:hanging="735"/>
              <w:jc w:val="left"/>
              <w:rPr>
                <w:sz w:val="21"/>
              </w:rPr>
            </w:pPr>
            <w:r>
              <w:rPr>
                <w:spacing w:val="-3"/>
                <w:sz w:val="21"/>
              </w:rPr>
              <w:t>一肢或一肢以上肢体机能完全丧失；</w:t>
            </w:r>
          </w:p>
          <w:p>
            <w:pPr>
              <w:pStyle w:val="TableParagraph"/>
              <w:numPr>
                <w:ilvl w:val="0"/>
                <w:numId w:val="24"/>
              </w:numPr>
              <w:tabs>
                <w:tab w:pos="886" w:val="left" w:leader="none"/>
                <w:tab w:pos="887" w:val="left" w:leader="none"/>
              </w:tabs>
              <w:spacing w:line="240" w:lineRule="auto" w:before="114" w:after="0"/>
              <w:ind w:left="884" w:right="0" w:hanging="735"/>
              <w:jc w:val="left"/>
              <w:rPr>
                <w:sz w:val="21"/>
              </w:rPr>
            </w:pPr>
            <w:r>
              <w:rPr>
                <w:spacing w:val="-3"/>
                <w:sz w:val="21"/>
              </w:rPr>
              <w:t>语言能力或咀嚼吞咽能力完全丧失；</w:t>
            </w:r>
          </w:p>
          <w:p>
            <w:pPr>
              <w:pStyle w:val="TableParagraph"/>
              <w:numPr>
                <w:ilvl w:val="0"/>
                <w:numId w:val="24"/>
              </w:numPr>
              <w:tabs>
                <w:tab w:pos="889" w:val="left" w:leader="none"/>
                <w:tab w:pos="890" w:val="left" w:leader="none"/>
              </w:tabs>
              <w:spacing w:line="271" w:lineRule="auto" w:before="116" w:after="0"/>
              <w:ind w:left="884" w:right="305" w:hanging="735"/>
              <w:jc w:val="left"/>
              <w:rPr>
                <w:sz w:val="21"/>
              </w:rPr>
            </w:pPr>
            <w:r>
              <w:rPr>
                <w:spacing w:val="-3"/>
                <w:sz w:val="21"/>
              </w:rPr>
              <w:t>自主生活能力完全丧失，无法独立完成六项基本日常生活活动中的三项或三项以上。</w:t>
            </w:r>
          </w:p>
        </w:tc>
      </w:tr>
      <w:tr>
        <w:trPr>
          <w:trHeight w:val="2746" w:hRule="atLeast"/>
        </w:trPr>
        <w:tc>
          <w:tcPr>
            <w:tcW w:w="891" w:type="dxa"/>
          </w:tcPr>
          <w:p>
            <w:pPr>
              <w:pStyle w:val="TableParagraph"/>
              <w:spacing w:before="111"/>
              <w:ind w:left="180" w:right="246"/>
              <w:jc w:val="center"/>
              <w:rPr>
                <w:b/>
                <w:sz w:val="21"/>
              </w:rPr>
            </w:pPr>
            <w:r>
              <w:rPr>
                <w:b/>
                <w:sz w:val="21"/>
              </w:rPr>
              <w:t>9.19</w:t>
            </w:r>
          </w:p>
        </w:tc>
        <w:tc>
          <w:tcPr>
            <w:tcW w:w="1896" w:type="dxa"/>
          </w:tcPr>
          <w:p>
            <w:pPr>
              <w:pStyle w:val="TableParagraph"/>
              <w:spacing w:before="111"/>
              <w:ind w:left="269"/>
              <w:rPr>
                <w:b/>
                <w:sz w:val="21"/>
              </w:rPr>
            </w:pPr>
            <w:r>
              <w:rPr>
                <w:b/>
                <w:sz w:val="21"/>
              </w:rPr>
              <w:t>严重帕金森病</w:t>
            </w:r>
          </w:p>
        </w:tc>
        <w:tc>
          <w:tcPr>
            <w:tcW w:w="7723" w:type="dxa"/>
          </w:tcPr>
          <w:p>
            <w:pPr>
              <w:pStyle w:val="TableParagraph"/>
              <w:spacing w:line="273" w:lineRule="auto" w:before="111"/>
              <w:ind w:left="149" w:right="300"/>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5"/>
              </w:numPr>
              <w:tabs>
                <w:tab w:pos="886" w:val="left" w:leader="none"/>
                <w:tab w:pos="887" w:val="left" w:leader="none"/>
              </w:tabs>
              <w:spacing w:line="240" w:lineRule="auto" w:before="86" w:after="0"/>
              <w:ind w:left="870" w:right="0" w:hanging="721"/>
              <w:jc w:val="left"/>
              <w:rPr>
                <w:sz w:val="21"/>
              </w:rPr>
            </w:pPr>
            <w:r>
              <w:rPr>
                <w:spacing w:val="-3"/>
                <w:sz w:val="21"/>
              </w:rPr>
              <w:t>药物治疗无法控制病情；</w:t>
            </w:r>
          </w:p>
          <w:p>
            <w:pPr>
              <w:pStyle w:val="TableParagraph"/>
              <w:numPr>
                <w:ilvl w:val="0"/>
                <w:numId w:val="25"/>
              </w:numPr>
              <w:tabs>
                <w:tab w:pos="889" w:val="left" w:leader="none"/>
                <w:tab w:pos="890" w:val="left" w:leader="none"/>
              </w:tabs>
              <w:spacing w:line="273" w:lineRule="auto" w:before="113" w:after="0"/>
              <w:ind w:left="870" w:right="305" w:hanging="721"/>
              <w:jc w:val="left"/>
              <w:rPr>
                <w:sz w:val="21"/>
              </w:rPr>
            </w:pPr>
            <w:r>
              <w:rPr>
                <w:spacing w:val="-3"/>
                <w:sz w:val="21"/>
              </w:rPr>
              <w:t>自主生活能力完全丧失，无法独立完成六项基本日常生活活动中的三项或三项以上。</w:t>
            </w:r>
          </w:p>
          <w:p>
            <w:pPr>
              <w:pStyle w:val="TableParagraph"/>
              <w:spacing w:before="86"/>
              <w:ind w:left="149"/>
              <w:rPr>
                <w:rFonts w:ascii="黑体" w:eastAsia="黑体" w:hint="eastAsia"/>
                <w:sz w:val="21"/>
              </w:rPr>
            </w:pPr>
            <w:r>
              <w:rPr>
                <w:rFonts w:ascii="黑体" w:eastAsia="黑体" w:hint="eastAsia"/>
                <w:sz w:val="21"/>
              </w:rPr>
              <w:t>继发性帕金森综合征不在保障范围内。</w:t>
            </w:r>
          </w:p>
          <w:p>
            <w:pPr>
              <w:pStyle w:val="TableParagraph"/>
              <w:spacing w:before="113"/>
              <w:ind w:left="149"/>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91" w:type="dxa"/>
          </w:tcPr>
          <w:p>
            <w:pPr>
              <w:pStyle w:val="TableParagraph"/>
              <w:spacing w:before="111"/>
              <w:ind w:left="180" w:right="246"/>
              <w:jc w:val="center"/>
              <w:rPr>
                <w:b/>
                <w:sz w:val="21"/>
              </w:rPr>
            </w:pPr>
            <w:r>
              <w:rPr>
                <w:b/>
                <w:sz w:val="21"/>
              </w:rPr>
              <w:t>9.20</w:t>
            </w:r>
          </w:p>
        </w:tc>
        <w:tc>
          <w:tcPr>
            <w:tcW w:w="1896" w:type="dxa"/>
          </w:tcPr>
          <w:p>
            <w:pPr>
              <w:pStyle w:val="TableParagraph"/>
              <w:spacing w:before="111"/>
              <w:ind w:left="269"/>
              <w:rPr>
                <w:b/>
                <w:sz w:val="21"/>
              </w:rPr>
            </w:pPr>
            <w:r>
              <w:rPr>
                <w:b/>
                <w:sz w:val="21"/>
              </w:rPr>
              <w:t>严重Ⅲ度烧伤</w:t>
            </w:r>
          </w:p>
        </w:tc>
        <w:tc>
          <w:tcPr>
            <w:tcW w:w="7723" w:type="dxa"/>
          </w:tcPr>
          <w:p>
            <w:pPr>
              <w:pStyle w:val="TableParagraph"/>
              <w:spacing w:line="271" w:lineRule="auto" w:before="111"/>
              <w:ind w:left="149" w:right="305"/>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1183" w:hRule="atLeast"/>
        </w:trPr>
        <w:tc>
          <w:tcPr>
            <w:tcW w:w="891" w:type="dxa"/>
          </w:tcPr>
          <w:p>
            <w:pPr>
              <w:pStyle w:val="TableParagraph"/>
              <w:spacing w:before="111"/>
              <w:ind w:left="180" w:right="246"/>
              <w:jc w:val="center"/>
              <w:rPr>
                <w:b/>
                <w:sz w:val="21"/>
              </w:rPr>
            </w:pPr>
            <w:r>
              <w:rPr>
                <w:b/>
                <w:sz w:val="21"/>
              </w:rPr>
              <w:t>9.21</w:t>
            </w:r>
          </w:p>
        </w:tc>
        <w:tc>
          <w:tcPr>
            <w:tcW w:w="1896" w:type="dxa"/>
          </w:tcPr>
          <w:p>
            <w:pPr>
              <w:pStyle w:val="TableParagraph"/>
              <w:spacing w:line="271" w:lineRule="auto" w:before="111"/>
              <w:ind w:left="269" w:right="146"/>
              <w:rPr>
                <w:b/>
                <w:sz w:val="21"/>
              </w:rPr>
            </w:pPr>
            <w:r>
              <w:rPr>
                <w:b/>
                <w:sz w:val="21"/>
              </w:rPr>
              <w:t>严重原发性肺动脉高压</w:t>
            </w:r>
          </w:p>
        </w:tc>
        <w:tc>
          <w:tcPr>
            <w:tcW w:w="7723" w:type="dxa"/>
          </w:tcPr>
          <w:p>
            <w:pPr>
              <w:pStyle w:val="TableParagraph"/>
              <w:spacing w:line="271" w:lineRule="auto" w:before="111"/>
              <w:ind w:left="149" w:right="3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9"/>
              <w:ind w:left="149"/>
              <w:rPr>
                <w:sz w:val="21"/>
              </w:rPr>
            </w:pPr>
            <w:r>
              <w:rPr>
                <w:sz w:val="21"/>
              </w:rPr>
              <w:t>IV 级，且静息状态下肺动脉平均压超过 30mmHg。</w:t>
            </w:r>
          </w:p>
        </w:tc>
      </w:tr>
      <w:tr>
        <w:trPr>
          <w:trHeight w:val="1185" w:hRule="atLeast"/>
        </w:trPr>
        <w:tc>
          <w:tcPr>
            <w:tcW w:w="891" w:type="dxa"/>
          </w:tcPr>
          <w:p>
            <w:pPr>
              <w:pStyle w:val="TableParagraph"/>
              <w:spacing w:before="111"/>
              <w:ind w:left="180" w:right="246"/>
              <w:jc w:val="center"/>
              <w:rPr>
                <w:b/>
                <w:sz w:val="21"/>
              </w:rPr>
            </w:pPr>
            <w:r>
              <w:rPr>
                <w:b/>
                <w:sz w:val="21"/>
              </w:rPr>
              <w:t>9.22</w:t>
            </w:r>
          </w:p>
        </w:tc>
        <w:tc>
          <w:tcPr>
            <w:tcW w:w="1896" w:type="dxa"/>
          </w:tcPr>
          <w:p>
            <w:pPr>
              <w:pStyle w:val="TableParagraph"/>
              <w:spacing w:line="273" w:lineRule="auto" w:before="111"/>
              <w:ind w:left="269" w:right="146"/>
              <w:rPr>
                <w:b/>
                <w:sz w:val="21"/>
              </w:rPr>
            </w:pPr>
            <w:r>
              <w:rPr>
                <w:b/>
                <w:sz w:val="21"/>
              </w:rPr>
              <w:t>严重运动神经元病</w:t>
            </w:r>
          </w:p>
        </w:tc>
        <w:tc>
          <w:tcPr>
            <w:tcW w:w="7723" w:type="dxa"/>
          </w:tcPr>
          <w:p>
            <w:pPr>
              <w:pStyle w:val="TableParagraph"/>
              <w:spacing w:line="273" w:lineRule="auto" w:before="111"/>
              <w:ind w:left="149" w:right="219"/>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61" w:hRule="atLeast"/>
        </w:trPr>
        <w:tc>
          <w:tcPr>
            <w:tcW w:w="891" w:type="dxa"/>
          </w:tcPr>
          <w:p>
            <w:pPr>
              <w:pStyle w:val="TableParagraph"/>
              <w:spacing w:before="111"/>
              <w:ind w:left="180" w:right="246"/>
              <w:jc w:val="center"/>
              <w:rPr>
                <w:b/>
                <w:sz w:val="21"/>
              </w:rPr>
            </w:pPr>
            <w:r>
              <w:rPr>
                <w:b/>
                <w:sz w:val="21"/>
              </w:rPr>
              <w:t>9.23</w:t>
            </w:r>
          </w:p>
        </w:tc>
        <w:tc>
          <w:tcPr>
            <w:tcW w:w="1896" w:type="dxa"/>
          </w:tcPr>
          <w:p>
            <w:pPr>
              <w:pStyle w:val="TableParagraph"/>
              <w:spacing w:before="111"/>
              <w:ind w:left="269"/>
              <w:rPr>
                <w:b/>
                <w:sz w:val="21"/>
              </w:rPr>
            </w:pPr>
            <w:r>
              <w:rPr>
                <w:b/>
                <w:sz w:val="21"/>
              </w:rPr>
              <w:t>语言能力丧失</w:t>
            </w:r>
          </w:p>
        </w:tc>
        <w:tc>
          <w:tcPr>
            <w:tcW w:w="7723" w:type="dxa"/>
          </w:tcPr>
          <w:p>
            <w:pPr>
              <w:pStyle w:val="TableParagraph"/>
              <w:spacing w:line="271" w:lineRule="auto" w:before="111"/>
              <w:ind w:left="149" w:right="302"/>
              <w:rPr>
                <w:sz w:val="21"/>
              </w:rPr>
            </w:pPr>
            <w:r>
              <w:rPr>
                <w:spacing w:val="-4"/>
                <w:sz w:val="21"/>
              </w:rPr>
              <w:t>指因疾病或意外伤害导致完全丧失语言能力，经过积极治疗至少 </w:t>
            </w:r>
            <w:r>
              <w:rPr>
                <w:sz w:val="21"/>
              </w:rPr>
              <w:t>12</w:t>
            </w:r>
            <w:r>
              <w:rPr>
                <w:spacing w:val="-11"/>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8"/>
              <w:ind w:left="149"/>
              <w:rPr>
                <w:rFonts w:ascii="黑体" w:eastAsia="黑体" w:hint="eastAsia"/>
                <w:sz w:val="21"/>
              </w:rPr>
            </w:pPr>
            <w:r>
              <w:rPr>
                <w:rFonts w:ascii="黑体" w:eastAsia="黑体" w:hint="eastAsia"/>
                <w:sz w:val="21"/>
              </w:rPr>
              <w:t>精神心理因素所致的语言能力丧失不在保障范围内。</w:t>
            </w:r>
          </w:p>
        </w:tc>
      </w:tr>
      <w:tr>
        <w:trPr>
          <w:trHeight w:val="2823" w:hRule="atLeast"/>
        </w:trPr>
        <w:tc>
          <w:tcPr>
            <w:tcW w:w="891" w:type="dxa"/>
          </w:tcPr>
          <w:p>
            <w:pPr>
              <w:pStyle w:val="TableParagraph"/>
              <w:spacing w:before="110"/>
              <w:ind w:left="180" w:right="246"/>
              <w:jc w:val="center"/>
              <w:rPr>
                <w:b/>
                <w:sz w:val="21"/>
              </w:rPr>
            </w:pPr>
            <w:r>
              <w:rPr>
                <w:b/>
                <w:sz w:val="21"/>
              </w:rPr>
              <w:t>9.24</w:t>
            </w:r>
          </w:p>
        </w:tc>
        <w:tc>
          <w:tcPr>
            <w:tcW w:w="1896" w:type="dxa"/>
          </w:tcPr>
          <w:p>
            <w:pPr>
              <w:pStyle w:val="TableParagraph"/>
              <w:spacing w:line="273" w:lineRule="auto" w:before="110"/>
              <w:ind w:left="269" w:right="146"/>
              <w:rPr>
                <w:b/>
                <w:sz w:val="21"/>
              </w:rPr>
            </w:pPr>
            <w:r>
              <w:rPr>
                <w:b/>
                <w:sz w:val="21"/>
              </w:rPr>
              <w:t>重型再生障碍性贫血</w:t>
            </w:r>
          </w:p>
        </w:tc>
        <w:tc>
          <w:tcPr>
            <w:tcW w:w="7723" w:type="dxa"/>
          </w:tcPr>
          <w:p>
            <w:pPr>
              <w:pStyle w:val="TableParagraph"/>
              <w:spacing w:line="273" w:lineRule="auto" w:before="110"/>
              <w:ind w:left="149" w:right="216"/>
              <w:rPr>
                <w:sz w:val="21"/>
              </w:rPr>
            </w:pPr>
            <w:r>
              <w:rPr>
                <w:sz w:val="21"/>
              </w:rPr>
              <w:t>指因骨髓造血功能慢性持续性衰竭导致的贫血、中性粒细胞减少及血小板减少。须满足下列全部条件：</w:t>
            </w:r>
          </w:p>
          <w:p>
            <w:pPr>
              <w:pStyle w:val="TableParagraph"/>
              <w:numPr>
                <w:ilvl w:val="0"/>
                <w:numId w:val="26"/>
              </w:numPr>
              <w:tabs>
                <w:tab w:pos="886" w:val="left" w:leader="none"/>
                <w:tab w:pos="887" w:val="left" w:leader="none"/>
              </w:tabs>
              <w:spacing w:line="240" w:lineRule="auto" w:before="86" w:after="0"/>
              <w:ind w:left="886" w:right="0" w:hanging="737"/>
              <w:jc w:val="left"/>
              <w:rPr>
                <w:sz w:val="21"/>
              </w:rPr>
            </w:pPr>
            <w:r>
              <w:rPr>
                <w:spacing w:val="-3"/>
                <w:sz w:val="21"/>
              </w:rPr>
              <w:t>骨髓穿刺检查或骨髓活检结果支持诊断；</w:t>
            </w:r>
          </w:p>
          <w:p>
            <w:pPr>
              <w:pStyle w:val="TableParagraph"/>
              <w:numPr>
                <w:ilvl w:val="0"/>
                <w:numId w:val="26"/>
              </w:numPr>
              <w:tabs>
                <w:tab w:pos="886" w:val="left" w:leader="none"/>
                <w:tab w:pos="887" w:val="left" w:leader="none"/>
              </w:tabs>
              <w:spacing w:line="240" w:lineRule="auto" w:before="113" w:after="0"/>
              <w:ind w:left="886" w:right="0" w:hanging="737"/>
              <w:jc w:val="left"/>
              <w:rPr>
                <w:sz w:val="21"/>
              </w:rPr>
            </w:pPr>
            <w:r>
              <w:rPr>
                <w:spacing w:val="-3"/>
                <w:sz w:val="21"/>
              </w:rPr>
              <w:t>外周血象须具备以下三项条件：</w:t>
            </w:r>
          </w:p>
          <w:p>
            <w:pPr>
              <w:pStyle w:val="TableParagraph"/>
              <w:spacing w:before="116"/>
              <w:ind w:left="990"/>
              <w:rPr>
                <w:sz w:val="21"/>
              </w:rPr>
            </w:pPr>
            <w:r>
              <w:rPr>
                <w:sz w:val="21"/>
              </w:rPr>
              <w:t>① 中性粒细胞绝对值≤0.5×10</w:t>
            </w:r>
            <w:r>
              <w:rPr>
                <w:position w:val="11"/>
                <w:sz w:val="11"/>
              </w:rPr>
              <w:t>9</w:t>
            </w:r>
            <w:r>
              <w:rPr>
                <w:sz w:val="21"/>
              </w:rPr>
              <w:t>/L ；</w:t>
            </w:r>
          </w:p>
          <w:p>
            <w:pPr>
              <w:pStyle w:val="TableParagraph"/>
              <w:spacing w:before="114"/>
              <w:ind w:left="990"/>
              <w:rPr>
                <w:sz w:val="21"/>
              </w:rPr>
            </w:pPr>
            <w:r>
              <w:rPr>
                <w:sz w:val="21"/>
              </w:rPr>
              <w:t>② 网织红细胞＜1%；</w:t>
            </w:r>
          </w:p>
          <w:p>
            <w:pPr>
              <w:pStyle w:val="TableParagraph"/>
              <w:spacing w:before="116"/>
              <w:ind w:left="990"/>
              <w:rPr>
                <w:sz w:val="21"/>
              </w:rPr>
            </w:pPr>
            <w:r>
              <w:rPr>
                <w:sz w:val="21"/>
              </w:rPr>
              <w:t>③ 血小板绝对值≤20×10</w:t>
            </w:r>
            <w:r>
              <w:rPr>
                <w:position w:val="11"/>
                <w:sz w:val="11"/>
              </w:rPr>
              <w:t>9</w:t>
            </w:r>
            <w:r>
              <w:rPr>
                <w:sz w:val="21"/>
              </w:rPr>
              <w:t>/L。</w:t>
            </w:r>
          </w:p>
        </w:tc>
      </w:tr>
      <w:tr>
        <w:trPr>
          <w:trHeight w:val="1400" w:hRule="atLeast"/>
        </w:trPr>
        <w:tc>
          <w:tcPr>
            <w:tcW w:w="891" w:type="dxa"/>
          </w:tcPr>
          <w:p>
            <w:pPr>
              <w:pStyle w:val="TableParagraph"/>
              <w:spacing w:before="110"/>
              <w:ind w:left="180" w:right="246"/>
              <w:jc w:val="center"/>
              <w:rPr>
                <w:b/>
                <w:sz w:val="21"/>
              </w:rPr>
            </w:pPr>
            <w:r>
              <w:rPr>
                <w:b/>
                <w:sz w:val="21"/>
              </w:rPr>
              <w:t>9.25</w:t>
            </w:r>
          </w:p>
        </w:tc>
        <w:tc>
          <w:tcPr>
            <w:tcW w:w="1896" w:type="dxa"/>
          </w:tcPr>
          <w:p>
            <w:pPr>
              <w:pStyle w:val="TableParagraph"/>
              <w:spacing w:before="110"/>
              <w:ind w:left="269"/>
              <w:rPr>
                <w:b/>
                <w:sz w:val="21"/>
              </w:rPr>
            </w:pPr>
            <w:r>
              <w:rPr>
                <w:b/>
                <w:sz w:val="21"/>
              </w:rPr>
              <w:t>主动脉手术</w:t>
            </w:r>
          </w:p>
        </w:tc>
        <w:tc>
          <w:tcPr>
            <w:tcW w:w="7723" w:type="dxa"/>
          </w:tcPr>
          <w:p>
            <w:pPr>
              <w:pStyle w:val="TableParagraph"/>
              <w:spacing w:line="273" w:lineRule="auto" w:before="110"/>
              <w:ind w:left="149" w:right="300"/>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line="255" w:lineRule="exact" w:before="86"/>
              <w:ind w:left="149"/>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24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1642" w:hRule="atLeast"/>
        </w:trPr>
        <w:tc>
          <w:tcPr>
            <w:tcW w:w="800" w:type="dxa"/>
          </w:tcPr>
          <w:p>
            <w:pPr>
              <w:pStyle w:val="TableParagraph"/>
              <w:spacing w:line="206" w:lineRule="exact"/>
              <w:rPr>
                <w:b/>
                <w:sz w:val="21"/>
              </w:rPr>
            </w:pPr>
            <w:r>
              <w:rPr>
                <w:b/>
                <w:sz w:val="21"/>
              </w:rPr>
              <w:t>9.26</w:t>
            </w:r>
          </w:p>
        </w:tc>
        <w:tc>
          <w:tcPr>
            <w:tcW w:w="1896" w:type="dxa"/>
          </w:tcPr>
          <w:p>
            <w:pPr>
              <w:pStyle w:val="TableParagraph"/>
              <w:spacing w:line="206" w:lineRule="exact"/>
              <w:ind w:left="268"/>
              <w:rPr>
                <w:b/>
                <w:sz w:val="21"/>
              </w:rPr>
            </w:pPr>
            <w:r>
              <w:rPr>
                <w:b/>
                <w:sz w:val="21"/>
              </w:rPr>
              <w:t>多发性硬化</w:t>
            </w:r>
          </w:p>
        </w:tc>
        <w:tc>
          <w:tcPr>
            <w:tcW w:w="7523" w:type="dxa"/>
          </w:tcPr>
          <w:p>
            <w:pPr>
              <w:pStyle w:val="TableParagraph"/>
              <w:spacing w:line="206" w:lineRule="exact"/>
              <w:ind w:left="148"/>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p>
          <w:p>
            <w:pPr>
              <w:pStyle w:val="TableParagraph"/>
              <w:spacing w:before="37"/>
              <w:ind w:left="148"/>
              <w:rPr>
                <w:sz w:val="21"/>
              </w:rPr>
            </w:pPr>
            <w:r>
              <w:rPr>
                <w:spacing w:val="-16"/>
                <w:sz w:val="21"/>
              </w:rPr>
              <w:t>少 </w:t>
            </w:r>
            <w:r>
              <w:rPr>
                <w:rFonts w:ascii="Times New Roman" w:eastAsia="Times New Roman"/>
                <w:sz w:val="21"/>
              </w:rPr>
              <w:t>6 </w:t>
            </w:r>
            <w:r>
              <w:rPr>
                <w:spacing w:val="-6"/>
                <w:sz w:val="21"/>
              </w:rPr>
              <w:t>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64" w:lineRule="auto" w:before="20"/>
              <w:ind w:left="148" w:right="101"/>
              <w:jc w:val="both"/>
              <w:rPr>
                <w:sz w:val="21"/>
              </w:rPr>
            </w:pP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w w:val="100"/>
                <w:sz w:val="21"/>
              </w:rPr>
              <w:t>E</w:t>
            </w:r>
            <w:r>
              <w:rPr>
                <w:rFonts w:ascii="Times New Roman" w:eastAsia="Times New Roman"/>
                <w:spacing w:val="0"/>
                <w:w w:val="100"/>
                <w:sz w:val="21"/>
              </w:rPr>
              <w:t>T</w:t>
            </w:r>
            <w:r>
              <w:rPr>
                <w:w w:val="100"/>
                <w:sz w:val="21"/>
              </w:rPr>
              <w:t>）</w:t>
            </w:r>
            <w:r>
              <w:rPr>
                <w:spacing w:val="-3"/>
                <w:w w:val="100"/>
                <w:sz w:val="21"/>
              </w:rPr>
              <w:t>等影像学检查证</w:t>
            </w:r>
            <w:r>
              <w:rPr>
                <w:spacing w:val="-11"/>
                <w:sz w:val="21"/>
              </w:rPr>
              <w:t>实，且已经造成自主生活能力完全丧失，无法独立完成六项基本日常生活活动中</w:t>
            </w:r>
            <w:r>
              <w:rPr>
                <w:spacing w:val="-9"/>
                <w:sz w:val="21"/>
              </w:rPr>
              <w:t>的三项或三项以上，持续至少 </w:t>
            </w:r>
            <w:r>
              <w:rPr>
                <w:rFonts w:ascii="Times New Roman" w:eastAsia="Times New Roman"/>
                <w:sz w:val="21"/>
              </w:rPr>
              <w:t>180 </w:t>
            </w:r>
            <w:r>
              <w:rPr>
                <w:spacing w:val="-3"/>
                <w:sz w:val="21"/>
              </w:rPr>
              <w:t>天。</w:t>
            </w:r>
          </w:p>
        </w:tc>
      </w:tr>
      <w:tr>
        <w:trPr>
          <w:trHeight w:val="2112" w:hRule="atLeast"/>
        </w:trPr>
        <w:tc>
          <w:tcPr>
            <w:tcW w:w="800" w:type="dxa"/>
          </w:tcPr>
          <w:p>
            <w:pPr>
              <w:pStyle w:val="TableParagraph"/>
              <w:spacing w:before="98"/>
              <w:rPr>
                <w:b/>
                <w:sz w:val="21"/>
              </w:rPr>
            </w:pPr>
            <w:r>
              <w:rPr>
                <w:b/>
                <w:sz w:val="21"/>
              </w:rPr>
              <w:t>9.27</w:t>
            </w:r>
          </w:p>
        </w:tc>
        <w:tc>
          <w:tcPr>
            <w:tcW w:w="1896" w:type="dxa"/>
          </w:tcPr>
          <w:p>
            <w:pPr>
              <w:pStyle w:val="TableParagraph"/>
              <w:spacing w:before="98"/>
              <w:ind w:left="268"/>
              <w:rPr>
                <w:b/>
                <w:sz w:val="21"/>
              </w:rPr>
            </w:pPr>
            <w:r>
              <w:rPr>
                <w:b/>
                <w:sz w:val="21"/>
              </w:rPr>
              <w:t>终末期肺病</w:t>
            </w:r>
          </w:p>
        </w:tc>
        <w:tc>
          <w:tcPr>
            <w:tcW w:w="7523" w:type="dxa"/>
          </w:tcPr>
          <w:p>
            <w:pPr>
              <w:pStyle w:val="TableParagraph"/>
              <w:spacing w:before="98"/>
              <w:ind w:left="148"/>
              <w:rPr>
                <w:sz w:val="21"/>
              </w:rPr>
            </w:pPr>
            <w:r>
              <w:rPr>
                <w:sz w:val="21"/>
              </w:rPr>
              <w:t>被保险人患有终末期肺病而出现慢性呼吸功能衰竭，须满足下列全部条件：</w:t>
            </w:r>
          </w:p>
          <w:p>
            <w:pPr>
              <w:pStyle w:val="TableParagraph"/>
              <w:numPr>
                <w:ilvl w:val="0"/>
                <w:numId w:val="27"/>
              </w:numPr>
              <w:tabs>
                <w:tab w:pos="885" w:val="left" w:leader="none"/>
                <w:tab w:pos="886" w:val="left" w:leader="none"/>
              </w:tabs>
              <w:spacing w:line="240" w:lineRule="auto" w:before="113" w:after="0"/>
              <w:ind w:left="885"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7"/>
              </w:numPr>
              <w:tabs>
                <w:tab w:pos="885" w:val="left" w:leader="none"/>
                <w:tab w:pos="886" w:val="left" w:leader="none"/>
              </w:tabs>
              <w:spacing w:line="240" w:lineRule="auto" w:before="116" w:after="0"/>
              <w:ind w:left="885" w:right="0" w:hanging="737"/>
              <w:jc w:val="left"/>
              <w:rPr>
                <w:sz w:val="21"/>
              </w:rPr>
            </w:pPr>
            <w:r>
              <w:rPr>
                <w:spacing w:val="-3"/>
                <w:sz w:val="21"/>
              </w:rPr>
              <w:t>病人缺氧必须广泛而持续地进行输氧治疗；</w:t>
            </w:r>
          </w:p>
          <w:p>
            <w:pPr>
              <w:pStyle w:val="TableParagraph"/>
              <w:numPr>
                <w:ilvl w:val="0"/>
                <w:numId w:val="27"/>
              </w:numPr>
              <w:tabs>
                <w:tab w:pos="885" w:val="left" w:leader="none"/>
                <w:tab w:pos="886" w:val="left" w:leader="none"/>
              </w:tabs>
              <w:spacing w:line="240" w:lineRule="auto" w:before="114" w:after="0"/>
              <w:ind w:left="885" w:right="0" w:hanging="737"/>
              <w:jc w:val="left"/>
              <w:rPr>
                <w:sz w:val="21"/>
              </w:rPr>
            </w:pPr>
            <w:r>
              <w:rPr>
                <w:spacing w:val="-7"/>
                <w:sz w:val="21"/>
              </w:rPr>
              <w:t>动脉血气分析氧分压低于 </w:t>
            </w:r>
            <w:r>
              <w:rPr>
                <w:sz w:val="21"/>
              </w:rPr>
              <w:t>55mmHg。</w:t>
            </w:r>
          </w:p>
          <w:p>
            <w:pPr>
              <w:pStyle w:val="TableParagraph"/>
              <w:spacing w:before="116"/>
              <w:ind w:left="148"/>
              <w:rPr>
                <w:sz w:val="21"/>
              </w:rPr>
            </w:pPr>
            <w:r>
              <w:rPr>
                <w:sz w:val="21"/>
              </w:rPr>
              <w:t>理赔时必须提供以上三项相应的证明文件或检查报告。</w:t>
            </w:r>
          </w:p>
        </w:tc>
      </w:tr>
      <w:tr>
        <w:trPr>
          <w:trHeight w:val="1651" w:hRule="atLeast"/>
        </w:trPr>
        <w:tc>
          <w:tcPr>
            <w:tcW w:w="800" w:type="dxa"/>
          </w:tcPr>
          <w:p>
            <w:pPr>
              <w:pStyle w:val="TableParagraph"/>
              <w:spacing w:before="105"/>
              <w:rPr>
                <w:b/>
                <w:sz w:val="21"/>
              </w:rPr>
            </w:pPr>
            <w:r>
              <w:rPr>
                <w:b/>
                <w:sz w:val="21"/>
              </w:rPr>
              <w:t>9.28</w:t>
            </w:r>
          </w:p>
        </w:tc>
        <w:tc>
          <w:tcPr>
            <w:tcW w:w="1896" w:type="dxa"/>
          </w:tcPr>
          <w:p>
            <w:pPr>
              <w:pStyle w:val="TableParagraph"/>
              <w:spacing w:before="105"/>
              <w:ind w:left="268"/>
              <w:rPr>
                <w:b/>
                <w:sz w:val="21"/>
              </w:rPr>
            </w:pPr>
            <w:r>
              <w:rPr>
                <w:b/>
                <w:sz w:val="21"/>
              </w:rPr>
              <w:t>颅脑手术</w:t>
            </w:r>
          </w:p>
        </w:tc>
        <w:tc>
          <w:tcPr>
            <w:tcW w:w="7523" w:type="dxa"/>
          </w:tcPr>
          <w:p>
            <w:pPr>
              <w:pStyle w:val="TableParagraph"/>
              <w:spacing w:line="271" w:lineRule="auto" w:before="105"/>
              <w:ind w:left="148" w:right="114"/>
              <w:rPr>
                <w:sz w:val="21"/>
              </w:rPr>
            </w:pPr>
            <w:r>
              <w:rPr>
                <w:sz w:val="21"/>
              </w:rPr>
              <w:t>被保险人确已实施全麻下的开颅手术（不包括颅骨钻孔手术和经鼻蝶窦入颅手术</w:t>
            </w:r>
            <w:r>
              <w:rPr>
                <w:spacing w:val="-106"/>
                <w:sz w:val="21"/>
              </w:rPr>
              <w:t>）</w:t>
            </w:r>
            <w:r>
              <w:rPr>
                <w:sz w:val="21"/>
              </w:rPr>
              <w:t>。</w:t>
            </w:r>
          </w:p>
          <w:p>
            <w:pPr>
              <w:pStyle w:val="TableParagraph"/>
              <w:spacing w:before="88"/>
              <w:ind w:left="148"/>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ind w:left="148"/>
              <w:rPr>
                <w:sz w:val="21"/>
              </w:rPr>
            </w:pPr>
            <w:r>
              <w:rPr>
                <w:sz w:val="21"/>
              </w:rPr>
              <w:t>理赔时必须提供由神经外科医生出具的诊断书及手术报告。</w:t>
            </w:r>
          </w:p>
        </w:tc>
      </w:tr>
      <w:tr>
        <w:trPr>
          <w:trHeight w:val="1573" w:hRule="atLeast"/>
        </w:trPr>
        <w:tc>
          <w:tcPr>
            <w:tcW w:w="800" w:type="dxa"/>
          </w:tcPr>
          <w:p>
            <w:pPr>
              <w:pStyle w:val="TableParagraph"/>
              <w:spacing w:before="105"/>
              <w:rPr>
                <w:b/>
                <w:sz w:val="21"/>
              </w:rPr>
            </w:pPr>
            <w:r>
              <w:rPr>
                <w:b/>
                <w:sz w:val="21"/>
              </w:rPr>
              <w:t>9.29</w:t>
            </w:r>
          </w:p>
        </w:tc>
        <w:tc>
          <w:tcPr>
            <w:tcW w:w="1896" w:type="dxa"/>
          </w:tcPr>
          <w:p>
            <w:pPr>
              <w:pStyle w:val="TableParagraph"/>
              <w:spacing w:before="105"/>
              <w:ind w:left="268"/>
              <w:rPr>
                <w:b/>
                <w:sz w:val="21"/>
              </w:rPr>
            </w:pPr>
            <w:r>
              <w:rPr>
                <w:b/>
                <w:sz w:val="21"/>
              </w:rPr>
              <w:t>脊髓灰质炎</w:t>
            </w:r>
          </w:p>
        </w:tc>
        <w:tc>
          <w:tcPr>
            <w:tcW w:w="7523" w:type="dxa"/>
          </w:tcPr>
          <w:p>
            <w:pPr>
              <w:pStyle w:val="TableParagraph"/>
              <w:spacing w:line="273" w:lineRule="auto" w:before="105"/>
              <w:ind w:left="148" w:right="114"/>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left="148" w:right="102"/>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r>
        <w:trPr>
          <w:trHeight w:val="1964" w:hRule="atLeast"/>
        </w:trPr>
        <w:tc>
          <w:tcPr>
            <w:tcW w:w="800" w:type="dxa"/>
          </w:tcPr>
          <w:p>
            <w:pPr>
              <w:pStyle w:val="TableParagraph"/>
              <w:spacing w:before="106"/>
              <w:rPr>
                <w:b/>
                <w:sz w:val="21"/>
              </w:rPr>
            </w:pPr>
            <w:r>
              <w:rPr>
                <w:b/>
                <w:sz w:val="21"/>
              </w:rPr>
              <w:t>9.30</w:t>
            </w:r>
          </w:p>
        </w:tc>
        <w:tc>
          <w:tcPr>
            <w:tcW w:w="1896" w:type="dxa"/>
          </w:tcPr>
          <w:p>
            <w:pPr>
              <w:pStyle w:val="TableParagraph"/>
              <w:spacing w:line="273" w:lineRule="auto" w:before="106"/>
              <w:ind w:left="268" w:right="147"/>
              <w:rPr>
                <w:b/>
                <w:sz w:val="21"/>
              </w:rPr>
            </w:pPr>
            <w:r>
              <w:rPr>
                <w:b/>
                <w:sz w:val="21"/>
              </w:rPr>
              <w:t>严重肌营养不良症</w:t>
            </w:r>
          </w:p>
        </w:tc>
        <w:tc>
          <w:tcPr>
            <w:tcW w:w="7523" w:type="dxa"/>
          </w:tcPr>
          <w:p>
            <w:pPr>
              <w:pStyle w:val="TableParagraph"/>
              <w:spacing w:line="273" w:lineRule="auto" w:before="106"/>
              <w:ind w:left="148" w:right="104"/>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28"/>
              </w:numPr>
              <w:tabs>
                <w:tab w:pos="843" w:val="left" w:leader="none"/>
              </w:tabs>
              <w:spacing w:line="240" w:lineRule="auto" w:before="86" w:after="0"/>
              <w:ind w:left="883" w:right="0" w:hanging="735"/>
              <w:jc w:val="left"/>
              <w:rPr>
                <w:sz w:val="21"/>
              </w:rPr>
            </w:pPr>
            <w:r>
              <w:rPr>
                <w:spacing w:val="-5"/>
                <w:sz w:val="21"/>
              </w:rPr>
              <w:t>肌肉组织活检结果满足肌营养不良症的肌肉细胞变性、坏死等阳性改变；</w:t>
            </w:r>
          </w:p>
          <w:p>
            <w:pPr>
              <w:pStyle w:val="TableParagraph"/>
              <w:numPr>
                <w:ilvl w:val="0"/>
                <w:numId w:val="28"/>
              </w:numPr>
              <w:tabs>
                <w:tab w:pos="888" w:val="left" w:leader="none"/>
                <w:tab w:pos="889" w:val="left" w:leader="none"/>
              </w:tabs>
              <w:spacing w:line="273" w:lineRule="auto" w:before="113" w:after="0"/>
              <w:ind w:left="883" w:right="106" w:hanging="735"/>
              <w:jc w:val="left"/>
              <w:rPr>
                <w:sz w:val="21"/>
              </w:rPr>
            </w:pPr>
            <w:r>
              <w:rPr>
                <w:spacing w:val="-3"/>
                <w:sz w:val="21"/>
              </w:rPr>
              <w:t>自主生活能力完全丧失，无法独立完成六项基本日常生活活动中的三项或三项以上。</w:t>
            </w:r>
          </w:p>
        </w:tc>
      </w:tr>
      <w:tr>
        <w:trPr>
          <w:trHeight w:val="1184" w:hRule="atLeast"/>
        </w:trPr>
        <w:tc>
          <w:tcPr>
            <w:tcW w:w="800" w:type="dxa"/>
          </w:tcPr>
          <w:p>
            <w:pPr>
              <w:pStyle w:val="TableParagraph"/>
              <w:spacing w:before="105"/>
              <w:rPr>
                <w:b/>
                <w:sz w:val="21"/>
              </w:rPr>
            </w:pPr>
            <w:r>
              <w:rPr>
                <w:b/>
                <w:sz w:val="21"/>
              </w:rPr>
              <w:t>9.31</w:t>
            </w:r>
          </w:p>
        </w:tc>
        <w:tc>
          <w:tcPr>
            <w:tcW w:w="1896" w:type="dxa"/>
          </w:tcPr>
          <w:p>
            <w:pPr>
              <w:pStyle w:val="TableParagraph"/>
              <w:spacing w:line="273" w:lineRule="auto" w:before="105"/>
              <w:ind w:left="268" w:right="147"/>
              <w:rPr>
                <w:b/>
                <w:sz w:val="21"/>
              </w:rPr>
            </w:pPr>
            <w:r>
              <w:rPr>
                <w:b/>
                <w:sz w:val="21"/>
              </w:rPr>
              <w:t>急性出血坏死性胰腺炎</w:t>
            </w:r>
          </w:p>
        </w:tc>
        <w:tc>
          <w:tcPr>
            <w:tcW w:w="7523" w:type="dxa"/>
          </w:tcPr>
          <w:p>
            <w:pPr>
              <w:pStyle w:val="TableParagraph"/>
              <w:spacing w:line="273" w:lineRule="auto" w:before="105"/>
              <w:ind w:left="148" w:right="101"/>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198" w:hRule="atLeast"/>
        </w:trPr>
        <w:tc>
          <w:tcPr>
            <w:tcW w:w="800" w:type="dxa"/>
          </w:tcPr>
          <w:p>
            <w:pPr>
              <w:pStyle w:val="TableParagraph"/>
              <w:spacing w:before="106"/>
              <w:rPr>
                <w:b/>
                <w:sz w:val="21"/>
              </w:rPr>
            </w:pPr>
            <w:r>
              <w:rPr>
                <w:b/>
                <w:sz w:val="21"/>
              </w:rPr>
              <w:t>9.32</w:t>
            </w:r>
          </w:p>
        </w:tc>
        <w:tc>
          <w:tcPr>
            <w:tcW w:w="1896" w:type="dxa"/>
          </w:tcPr>
          <w:p>
            <w:pPr>
              <w:pStyle w:val="TableParagraph"/>
              <w:spacing w:before="106"/>
              <w:ind w:left="268"/>
              <w:rPr>
                <w:b/>
                <w:sz w:val="21"/>
              </w:rPr>
            </w:pPr>
            <w:r>
              <w:rPr>
                <w:b/>
                <w:sz w:val="21"/>
              </w:rPr>
              <w:t>侵蚀性葡萄胎</w:t>
            </w:r>
          </w:p>
          <w:p>
            <w:pPr>
              <w:pStyle w:val="TableParagraph"/>
              <w:spacing w:line="273" w:lineRule="auto" w:before="34"/>
              <w:ind w:left="268" w:right="147"/>
              <w:rPr>
                <w:b/>
                <w:sz w:val="21"/>
              </w:rPr>
            </w:pPr>
            <w:r>
              <w:rPr>
                <w:b/>
                <w:sz w:val="21"/>
              </w:rPr>
              <w:t>（或称恶性葡萄胎）</w:t>
            </w:r>
          </w:p>
        </w:tc>
        <w:tc>
          <w:tcPr>
            <w:tcW w:w="7523" w:type="dxa"/>
          </w:tcPr>
          <w:p>
            <w:pPr>
              <w:pStyle w:val="TableParagraph"/>
              <w:spacing w:line="271" w:lineRule="auto" w:before="106"/>
              <w:ind w:left="148" w:right="114"/>
              <w:rPr>
                <w:sz w:val="21"/>
              </w:rPr>
            </w:pPr>
            <w:r>
              <w:rPr>
                <w:sz w:val="21"/>
              </w:rPr>
              <w:t>指异常增生的绒毛组织浸润性生长浸入子宫肌层或转移至其他器官或组织的葡萄胎，并已经进行化疗或手术治疗的。</w:t>
            </w:r>
          </w:p>
        </w:tc>
      </w:tr>
      <w:tr>
        <w:trPr>
          <w:trHeight w:val="596" w:hRule="atLeast"/>
        </w:trPr>
        <w:tc>
          <w:tcPr>
            <w:tcW w:w="800" w:type="dxa"/>
            <w:tcBorders>
              <w:bottom w:val="single" w:sz="4" w:space="0" w:color="000000"/>
            </w:tcBorders>
          </w:tcPr>
          <w:p>
            <w:pPr>
              <w:pStyle w:val="TableParagraph"/>
              <w:spacing w:before="111"/>
              <w:rPr>
                <w:b/>
                <w:sz w:val="24"/>
              </w:rPr>
            </w:pPr>
            <w:r>
              <w:rPr>
                <w:b/>
                <w:sz w:val="24"/>
              </w:rPr>
              <w:t>10.</w:t>
            </w:r>
          </w:p>
        </w:tc>
        <w:tc>
          <w:tcPr>
            <w:tcW w:w="1896" w:type="dxa"/>
            <w:tcBorders>
              <w:bottom w:val="single" w:sz="4" w:space="0" w:color="000000"/>
            </w:tcBorders>
          </w:tcPr>
          <w:p>
            <w:pPr>
              <w:pStyle w:val="TableParagraph"/>
              <w:spacing w:before="111"/>
              <w:ind w:left="268"/>
              <w:rPr>
                <w:b/>
                <w:sz w:val="24"/>
              </w:rPr>
            </w:pPr>
            <w:r>
              <w:rPr>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870" w:hRule="atLeast"/>
        </w:trPr>
        <w:tc>
          <w:tcPr>
            <w:tcW w:w="800" w:type="dxa"/>
            <w:tcBorders>
              <w:top w:val="single" w:sz="4" w:space="0" w:color="000000"/>
            </w:tcBorders>
          </w:tcPr>
          <w:p>
            <w:pPr>
              <w:pStyle w:val="TableParagraph"/>
              <w:spacing w:before="143"/>
              <w:rPr>
                <w:b/>
                <w:sz w:val="21"/>
              </w:rPr>
            </w:pPr>
            <w:r>
              <w:rPr>
                <w:b/>
                <w:sz w:val="21"/>
              </w:rPr>
              <w:t>10.1</w:t>
            </w:r>
          </w:p>
        </w:tc>
        <w:tc>
          <w:tcPr>
            <w:tcW w:w="1896" w:type="dxa"/>
            <w:tcBorders>
              <w:top w:val="single" w:sz="4" w:space="0" w:color="000000"/>
            </w:tcBorders>
          </w:tcPr>
          <w:p>
            <w:pPr>
              <w:pStyle w:val="TableParagraph"/>
              <w:spacing w:before="143"/>
              <w:ind w:left="268"/>
              <w:rPr>
                <w:b/>
                <w:sz w:val="21"/>
              </w:rPr>
            </w:pPr>
            <w:r>
              <w:rPr>
                <w:b/>
                <w:sz w:val="21"/>
              </w:rPr>
              <w:t>保单年度</w:t>
            </w:r>
          </w:p>
        </w:tc>
        <w:tc>
          <w:tcPr>
            <w:tcW w:w="7523" w:type="dxa"/>
            <w:tcBorders>
              <w:top w:val="single" w:sz="4" w:space="0" w:color="000000"/>
            </w:tcBorders>
          </w:tcPr>
          <w:p>
            <w:pPr>
              <w:pStyle w:val="TableParagraph"/>
              <w:spacing w:line="273" w:lineRule="auto" w:before="143"/>
              <w:ind w:left="148" w:right="114"/>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94" w:hRule="atLeast"/>
        </w:trPr>
        <w:tc>
          <w:tcPr>
            <w:tcW w:w="800" w:type="dxa"/>
          </w:tcPr>
          <w:p>
            <w:pPr>
              <w:pStyle w:val="TableParagraph"/>
              <w:spacing w:before="67"/>
              <w:rPr>
                <w:b/>
                <w:sz w:val="21"/>
              </w:rPr>
            </w:pPr>
            <w:r>
              <w:rPr>
                <w:b/>
                <w:sz w:val="21"/>
              </w:rPr>
              <w:t>10.2</w:t>
            </w:r>
          </w:p>
        </w:tc>
        <w:tc>
          <w:tcPr>
            <w:tcW w:w="1896" w:type="dxa"/>
          </w:tcPr>
          <w:p>
            <w:pPr>
              <w:pStyle w:val="TableParagraph"/>
              <w:spacing w:line="273" w:lineRule="auto" w:before="67"/>
              <w:ind w:left="268" w:right="147"/>
              <w:rPr>
                <w:b/>
                <w:sz w:val="21"/>
              </w:rPr>
            </w:pPr>
            <w:r>
              <w:rPr>
                <w:b/>
                <w:sz w:val="21"/>
              </w:rPr>
              <w:t>保险费约定交纳日</w:t>
            </w:r>
          </w:p>
        </w:tc>
        <w:tc>
          <w:tcPr>
            <w:tcW w:w="7523" w:type="dxa"/>
          </w:tcPr>
          <w:p>
            <w:pPr>
              <w:pStyle w:val="TableParagraph"/>
              <w:spacing w:line="273" w:lineRule="auto" w:before="67"/>
              <w:ind w:left="148" w:right="17"/>
              <w:rPr>
                <w:sz w:val="21"/>
              </w:rPr>
            </w:pPr>
            <w:r>
              <w:rPr>
                <w:sz w:val="21"/>
              </w:rPr>
              <w:t>保险合同生效日在每月、每季、每半年或每年（根据交费方式确定）的对应日。如果当月无对应的同一日，则以该月最后一日为对应日。</w:t>
            </w:r>
          </w:p>
        </w:tc>
      </w:tr>
      <w:tr>
        <w:trPr>
          <w:trHeight w:val="346" w:hRule="atLeast"/>
        </w:trPr>
        <w:tc>
          <w:tcPr>
            <w:tcW w:w="800" w:type="dxa"/>
          </w:tcPr>
          <w:p>
            <w:pPr>
              <w:pStyle w:val="TableParagraph"/>
              <w:spacing w:line="260" w:lineRule="exact" w:before="67"/>
              <w:rPr>
                <w:b/>
                <w:sz w:val="21"/>
              </w:rPr>
            </w:pPr>
            <w:r>
              <w:rPr>
                <w:b/>
                <w:sz w:val="21"/>
              </w:rPr>
              <w:t>10.3</w:t>
            </w:r>
          </w:p>
        </w:tc>
        <w:tc>
          <w:tcPr>
            <w:tcW w:w="1896" w:type="dxa"/>
          </w:tcPr>
          <w:p>
            <w:pPr>
              <w:pStyle w:val="TableParagraph"/>
              <w:spacing w:line="260" w:lineRule="exact" w:before="67"/>
              <w:ind w:left="268"/>
              <w:rPr>
                <w:b/>
                <w:sz w:val="21"/>
              </w:rPr>
            </w:pPr>
            <w:r>
              <w:rPr>
                <w:b/>
                <w:sz w:val="21"/>
              </w:rPr>
              <w:t>周岁</w:t>
            </w:r>
          </w:p>
        </w:tc>
        <w:tc>
          <w:tcPr>
            <w:tcW w:w="7523" w:type="dxa"/>
          </w:tcPr>
          <w:p>
            <w:pPr>
              <w:pStyle w:val="TableParagraph"/>
              <w:spacing w:line="260" w:lineRule="exact" w:before="67"/>
              <w:ind w:left="148"/>
              <w:rPr>
                <w:sz w:val="21"/>
              </w:rPr>
            </w:pPr>
            <w:r>
              <w:rPr>
                <w:sz w:val="21"/>
              </w:rPr>
              <w:t>指按有效身份证件中记载的出生日期计算的年龄，自出生之日起为零周岁，每经</w:t>
            </w:r>
          </w:p>
        </w:tc>
      </w:tr>
    </w:tbl>
    <w:p>
      <w:pPr>
        <w:spacing w:after="0" w:line="260" w:lineRule="exact"/>
        <w:rPr>
          <w:sz w:val="21"/>
        </w:rPr>
        <w:sectPr>
          <w:pgSz w:w="11910" w:h="16840"/>
          <w:pgMar w:top="142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39"/>
        <w:gridCol w:w="7729"/>
      </w:tblGrid>
      <w:tr>
        <w:trPr>
          <w:trHeight w:val="971" w:hRule="atLeast"/>
        </w:trPr>
        <w:tc>
          <w:tcPr>
            <w:tcW w:w="944" w:type="dxa"/>
          </w:tcPr>
          <w:p>
            <w:pPr>
              <w:pStyle w:val="TableParagraph"/>
              <w:ind w:left="0"/>
              <w:rPr>
                <w:rFonts w:ascii="Times New Roman"/>
                <w:sz w:val="20"/>
              </w:rPr>
            </w:pPr>
          </w:p>
        </w:tc>
        <w:tc>
          <w:tcPr>
            <w:tcW w:w="1839" w:type="dxa"/>
          </w:tcPr>
          <w:p>
            <w:pPr>
              <w:pStyle w:val="TableParagraph"/>
              <w:ind w:left="0"/>
              <w:rPr>
                <w:rFonts w:ascii="Times New Roman"/>
                <w:sz w:val="20"/>
              </w:rPr>
            </w:pPr>
          </w:p>
        </w:tc>
        <w:tc>
          <w:tcPr>
            <w:tcW w:w="7729" w:type="dxa"/>
          </w:tcPr>
          <w:p>
            <w:pPr>
              <w:pStyle w:val="TableParagraph"/>
              <w:spacing w:line="211" w:lineRule="exact"/>
              <w:ind w:left="153"/>
              <w:rPr>
                <w:sz w:val="21"/>
              </w:rPr>
            </w:pPr>
            <w:r>
              <w:rPr>
                <w:sz w:val="21"/>
              </w:rPr>
              <w:t>过一年增加一岁，不足一年的不计。例如，出生日期为 2000 年 9 月 1 日，2000</w:t>
            </w:r>
          </w:p>
          <w:p>
            <w:pPr>
              <w:pStyle w:val="TableParagraph"/>
              <w:spacing w:before="37"/>
              <w:ind w:left="153"/>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53"/>
              <w:rPr>
                <w:sz w:val="21"/>
              </w:rPr>
            </w:pPr>
            <w:r>
              <w:rPr>
                <w:sz w:val="21"/>
              </w:rPr>
              <w:t>31 日期间为 1 周岁，依此类推。</w:t>
            </w:r>
          </w:p>
        </w:tc>
      </w:tr>
      <w:tr>
        <w:trPr>
          <w:trHeight w:val="794" w:hRule="atLeast"/>
        </w:trPr>
        <w:tc>
          <w:tcPr>
            <w:tcW w:w="944" w:type="dxa"/>
          </w:tcPr>
          <w:p>
            <w:pPr>
              <w:pStyle w:val="TableParagraph"/>
              <w:spacing w:before="72"/>
              <w:ind w:left="200"/>
              <w:rPr>
                <w:b/>
                <w:sz w:val="21"/>
              </w:rPr>
            </w:pPr>
            <w:r>
              <w:rPr>
                <w:b/>
                <w:sz w:val="21"/>
              </w:rPr>
              <w:t>10.4</w:t>
            </w:r>
          </w:p>
        </w:tc>
        <w:tc>
          <w:tcPr>
            <w:tcW w:w="1839" w:type="dxa"/>
          </w:tcPr>
          <w:p>
            <w:pPr>
              <w:pStyle w:val="TableParagraph"/>
              <w:spacing w:before="72"/>
              <w:ind w:left="216"/>
              <w:rPr>
                <w:b/>
                <w:sz w:val="21"/>
              </w:rPr>
            </w:pPr>
            <w:r>
              <w:rPr>
                <w:b/>
                <w:sz w:val="21"/>
              </w:rPr>
              <w:t>有效身份证件</w:t>
            </w:r>
          </w:p>
        </w:tc>
        <w:tc>
          <w:tcPr>
            <w:tcW w:w="7729" w:type="dxa"/>
          </w:tcPr>
          <w:p>
            <w:pPr>
              <w:pStyle w:val="TableParagraph"/>
              <w:spacing w:line="273" w:lineRule="auto" w:before="72"/>
              <w:ind w:left="153" w:right="303"/>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794" w:hRule="atLeast"/>
        </w:trPr>
        <w:tc>
          <w:tcPr>
            <w:tcW w:w="944" w:type="dxa"/>
          </w:tcPr>
          <w:p>
            <w:pPr>
              <w:pStyle w:val="TableParagraph"/>
              <w:spacing w:before="72"/>
              <w:ind w:left="200"/>
              <w:rPr>
                <w:b/>
                <w:sz w:val="21"/>
              </w:rPr>
            </w:pPr>
            <w:r>
              <w:rPr>
                <w:b/>
                <w:sz w:val="21"/>
              </w:rPr>
              <w:t>10.5</w:t>
            </w:r>
          </w:p>
        </w:tc>
        <w:tc>
          <w:tcPr>
            <w:tcW w:w="1839" w:type="dxa"/>
          </w:tcPr>
          <w:p>
            <w:pPr>
              <w:pStyle w:val="TableParagraph"/>
              <w:spacing w:before="72"/>
              <w:ind w:left="216"/>
              <w:rPr>
                <w:b/>
                <w:sz w:val="21"/>
              </w:rPr>
            </w:pPr>
            <w:r>
              <w:rPr>
                <w:b/>
                <w:sz w:val="21"/>
              </w:rPr>
              <w:t>医院</w:t>
            </w:r>
          </w:p>
        </w:tc>
        <w:tc>
          <w:tcPr>
            <w:tcW w:w="7729" w:type="dxa"/>
          </w:tcPr>
          <w:p>
            <w:pPr>
              <w:pStyle w:val="TableParagraph"/>
              <w:spacing w:line="273" w:lineRule="auto" w:before="72"/>
              <w:ind w:left="153" w:right="224"/>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06" w:hRule="atLeast"/>
        </w:trPr>
        <w:tc>
          <w:tcPr>
            <w:tcW w:w="944" w:type="dxa"/>
          </w:tcPr>
          <w:p>
            <w:pPr>
              <w:pStyle w:val="TableParagraph"/>
              <w:spacing w:before="72"/>
              <w:ind w:left="200"/>
              <w:rPr>
                <w:b/>
                <w:sz w:val="21"/>
              </w:rPr>
            </w:pPr>
            <w:r>
              <w:rPr>
                <w:b/>
                <w:sz w:val="21"/>
              </w:rPr>
              <w:t>10.6</w:t>
            </w:r>
          </w:p>
        </w:tc>
        <w:tc>
          <w:tcPr>
            <w:tcW w:w="1839" w:type="dxa"/>
          </w:tcPr>
          <w:p>
            <w:pPr>
              <w:pStyle w:val="TableParagraph"/>
              <w:spacing w:before="72"/>
              <w:ind w:left="216"/>
              <w:rPr>
                <w:b/>
                <w:sz w:val="21"/>
              </w:rPr>
            </w:pPr>
            <w:r>
              <w:rPr>
                <w:b/>
                <w:sz w:val="21"/>
              </w:rPr>
              <w:t>意外伤害</w:t>
            </w:r>
          </w:p>
        </w:tc>
        <w:tc>
          <w:tcPr>
            <w:tcW w:w="7729" w:type="dxa"/>
          </w:tcPr>
          <w:p>
            <w:pPr>
              <w:pStyle w:val="TableParagraph"/>
              <w:spacing w:line="273" w:lineRule="auto" w:before="72"/>
              <w:ind w:left="153" w:right="218"/>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794" w:hRule="atLeast"/>
        </w:trPr>
        <w:tc>
          <w:tcPr>
            <w:tcW w:w="944" w:type="dxa"/>
          </w:tcPr>
          <w:p>
            <w:pPr>
              <w:pStyle w:val="TableParagraph"/>
              <w:spacing w:before="72"/>
              <w:ind w:left="200"/>
              <w:rPr>
                <w:b/>
                <w:sz w:val="21"/>
              </w:rPr>
            </w:pPr>
            <w:r>
              <w:rPr>
                <w:b/>
                <w:sz w:val="21"/>
              </w:rPr>
              <w:t>10.7</w:t>
            </w:r>
          </w:p>
        </w:tc>
        <w:tc>
          <w:tcPr>
            <w:tcW w:w="1839" w:type="dxa"/>
          </w:tcPr>
          <w:p>
            <w:pPr>
              <w:pStyle w:val="TableParagraph"/>
              <w:spacing w:before="72"/>
              <w:ind w:left="216"/>
              <w:rPr>
                <w:b/>
                <w:sz w:val="21"/>
              </w:rPr>
            </w:pPr>
            <w:r>
              <w:rPr>
                <w:b/>
                <w:sz w:val="21"/>
              </w:rPr>
              <w:t>现金价值</w:t>
            </w:r>
          </w:p>
        </w:tc>
        <w:tc>
          <w:tcPr>
            <w:tcW w:w="7729" w:type="dxa"/>
          </w:tcPr>
          <w:p>
            <w:pPr>
              <w:pStyle w:val="TableParagraph"/>
              <w:spacing w:line="273" w:lineRule="auto" w:before="72"/>
              <w:ind w:left="153" w:right="302"/>
              <w:rPr>
                <w:sz w:val="21"/>
              </w:rPr>
            </w:pPr>
            <w:r>
              <w:rPr>
                <w:spacing w:val="-8"/>
                <w:sz w:val="21"/>
              </w:rPr>
              <w:t>指保险合同所具有的价值，通常体现为解除合同时，根据精算原理计算的，由我</w:t>
            </w:r>
            <w:r>
              <w:rPr>
                <w:spacing w:val="-5"/>
                <w:sz w:val="21"/>
              </w:rPr>
              <w:t>们退还的那部分金额。</w:t>
            </w:r>
          </w:p>
        </w:tc>
      </w:tr>
      <w:tr>
        <w:trPr>
          <w:trHeight w:val="1105" w:hRule="atLeast"/>
        </w:trPr>
        <w:tc>
          <w:tcPr>
            <w:tcW w:w="944" w:type="dxa"/>
          </w:tcPr>
          <w:p>
            <w:pPr>
              <w:pStyle w:val="TableParagraph"/>
              <w:spacing w:before="72"/>
              <w:ind w:left="200"/>
              <w:rPr>
                <w:b/>
                <w:sz w:val="21"/>
              </w:rPr>
            </w:pPr>
            <w:r>
              <w:rPr>
                <w:b/>
                <w:sz w:val="21"/>
              </w:rPr>
              <w:t>10.8</w:t>
            </w:r>
          </w:p>
        </w:tc>
        <w:tc>
          <w:tcPr>
            <w:tcW w:w="1839" w:type="dxa"/>
          </w:tcPr>
          <w:p>
            <w:pPr>
              <w:pStyle w:val="TableParagraph"/>
              <w:spacing w:before="72"/>
              <w:ind w:left="216"/>
              <w:rPr>
                <w:b/>
                <w:sz w:val="21"/>
              </w:rPr>
            </w:pPr>
            <w:r>
              <w:rPr>
                <w:b/>
                <w:sz w:val="21"/>
              </w:rPr>
              <w:t>毒品</w:t>
            </w:r>
          </w:p>
        </w:tc>
        <w:tc>
          <w:tcPr>
            <w:tcW w:w="7729" w:type="dxa"/>
          </w:tcPr>
          <w:p>
            <w:pPr>
              <w:pStyle w:val="TableParagraph"/>
              <w:spacing w:line="273" w:lineRule="auto" w:before="72"/>
              <w:ind w:left="153" w:right="199"/>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05" w:hRule="atLeast"/>
        </w:trPr>
        <w:tc>
          <w:tcPr>
            <w:tcW w:w="944" w:type="dxa"/>
          </w:tcPr>
          <w:p>
            <w:pPr>
              <w:pStyle w:val="TableParagraph"/>
              <w:spacing w:before="70"/>
              <w:ind w:left="200"/>
              <w:rPr>
                <w:b/>
                <w:sz w:val="21"/>
              </w:rPr>
            </w:pPr>
            <w:r>
              <w:rPr>
                <w:b/>
                <w:sz w:val="21"/>
              </w:rPr>
              <w:t>10.9</w:t>
            </w:r>
          </w:p>
        </w:tc>
        <w:tc>
          <w:tcPr>
            <w:tcW w:w="1839" w:type="dxa"/>
          </w:tcPr>
          <w:p>
            <w:pPr>
              <w:pStyle w:val="TableParagraph"/>
              <w:spacing w:before="70"/>
              <w:ind w:left="216"/>
              <w:rPr>
                <w:b/>
                <w:sz w:val="21"/>
              </w:rPr>
            </w:pPr>
            <w:r>
              <w:rPr>
                <w:b/>
                <w:sz w:val="21"/>
              </w:rPr>
              <w:t>酒后驾驶</w:t>
            </w:r>
          </w:p>
        </w:tc>
        <w:tc>
          <w:tcPr>
            <w:tcW w:w="7729" w:type="dxa"/>
          </w:tcPr>
          <w:p>
            <w:pPr>
              <w:pStyle w:val="TableParagraph"/>
              <w:spacing w:line="273" w:lineRule="auto" w:before="70"/>
              <w:ind w:left="153" w:right="302"/>
              <w:jc w:val="both"/>
              <w:rPr>
                <w:sz w:val="21"/>
              </w:rPr>
            </w:pPr>
            <w:r>
              <w:rPr>
                <w:spacing w:val="-11"/>
                <w:sz w:val="21"/>
              </w:rPr>
              <w:t>指经检测或鉴定，发生事故时车辆驾驶人员每百毫升血液中的酒精含量达到或超</w:t>
            </w:r>
            <w:r>
              <w:rPr>
                <w:spacing w:val="-12"/>
                <w:sz w:val="21"/>
              </w:rPr>
              <w:t>过一定的标准，公安机关交通管理部门依据《道路交通安全法》的规定认定为饮</w:t>
            </w:r>
            <w:r>
              <w:rPr>
                <w:spacing w:val="-3"/>
                <w:sz w:val="21"/>
              </w:rPr>
              <w:t>酒后驾驶或醉酒后驾驶。</w:t>
            </w:r>
          </w:p>
        </w:tc>
      </w:tr>
      <w:tr>
        <w:trPr>
          <w:trHeight w:val="2042" w:hRule="atLeast"/>
        </w:trPr>
        <w:tc>
          <w:tcPr>
            <w:tcW w:w="944" w:type="dxa"/>
          </w:tcPr>
          <w:p>
            <w:pPr>
              <w:pStyle w:val="TableParagraph"/>
              <w:spacing w:before="72"/>
              <w:ind w:left="200"/>
              <w:rPr>
                <w:b/>
                <w:sz w:val="21"/>
              </w:rPr>
            </w:pPr>
            <w:r>
              <w:rPr>
                <w:b/>
                <w:sz w:val="21"/>
              </w:rPr>
              <w:t>10.10</w:t>
            </w:r>
          </w:p>
        </w:tc>
        <w:tc>
          <w:tcPr>
            <w:tcW w:w="1839" w:type="dxa"/>
          </w:tcPr>
          <w:p>
            <w:pPr>
              <w:pStyle w:val="TableParagraph"/>
              <w:spacing w:line="273" w:lineRule="auto" w:before="72"/>
              <w:ind w:left="216" w:right="142"/>
              <w:rPr>
                <w:b/>
                <w:sz w:val="21"/>
              </w:rPr>
            </w:pPr>
            <w:r>
              <w:rPr>
                <w:b/>
                <w:sz w:val="21"/>
              </w:rPr>
              <w:t>无合法有效驾驶证驾驶</w:t>
            </w:r>
          </w:p>
        </w:tc>
        <w:tc>
          <w:tcPr>
            <w:tcW w:w="7729" w:type="dxa"/>
          </w:tcPr>
          <w:p>
            <w:pPr>
              <w:pStyle w:val="TableParagraph"/>
              <w:spacing w:before="72"/>
              <w:ind w:left="153"/>
              <w:rPr>
                <w:sz w:val="21"/>
              </w:rPr>
            </w:pPr>
            <w:r>
              <w:rPr>
                <w:sz w:val="21"/>
              </w:rPr>
              <w:t>指下列情形之一：</w:t>
            </w:r>
          </w:p>
          <w:p>
            <w:pPr>
              <w:pStyle w:val="TableParagraph"/>
              <w:numPr>
                <w:ilvl w:val="0"/>
                <w:numId w:val="29"/>
              </w:numPr>
              <w:tabs>
                <w:tab w:pos="890" w:val="left" w:leader="none"/>
                <w:tab w:pos="891" w:val="left" w:leader="none"/>
              </w:tabs>
              <w:spacing w:line="240" w:lineRule="auto" w:before="37" w:after="0"/>
              <w:ind w:left="883" w:right="0" w:hanging="730"/>
              <w:jc w:val="left"/>
              <w:rPr>
                <w:sz w:val="21"/>
              </w:rPr>
            </w:pPr>
            <w:r>
              <w:rPr>
                <w:spacing w:val="-3"/>
                <w:sz w:val="21"/>
              </w:rPr>
              <w:t>没有取得驾驶资格；</w:t>
            </w:r>
          </w:p>
          <w:p>
            <w:pPr>
              <w:pStyle w:val="TableParagraph"/>
              <w:numPr>
                <w:ilvl w:val="0"/>
                <w:numId w:val="29"/>
              </w:numPr>
              <w:tabs>
                <w:tab w:pos="890" w:val="left" w:leader="none"/>
                <w:tab w:pos="891" w:val="left" w:leader="none"/>
              </w:tabs>
              <w:spacing w:line="240" w:lineRule="auto" w:before="37" w:after="0"/>
              <w:ind w:left="883" w:right="0" w:hanging="730"/>
              <w:jc w:val="left"/>
              <w:rPr>
                <w:sz w:val="21"/>
              </w:rPr>
            </w:pPr>
            <w:r>
              <w:rPr>
                <w:spacing w:val="-3"/>
                <w:sz w:val="21"/>
              </w:rPr>
              <w:t>驾驶与驾驶证准驾车型不相符合的车辆；</w:t>
            </w:r>
          </w:p>
          <w:p>
            <w:pPr>
              <w:pStyle w:val="TableParagraph"/>
              <w:numPr>
                <w:ilvl w:val="0"/>
                <w:numId w:val="29"/>
              </w:numPr>
              <w:tabs>
                <w:tab w:pos="890" w:val="left" w:leader="none"/>
                <w:tab w:pos="891" w:val="left" w:leader="none"/>
              </w:tabs>
              <w:spacing w:line="240" w:lineRule="auto" w:before="37" w:after="0"/>
              <w:ind w:left="883" w:right="0" w:hanging="730"/>
              <w:jc w:val="left"/>
              <w:rPr>
                <w:sz w:val="21"/>
              </w:rPr>
            </w:pPr>
            <w:r>
              <w:rPr>
                <w:spacing w:val="-3"/>
                <w:sz w:val="21"/>
              </w:rPr>
              <w:t>持审验不合格的驾驶证驾驶；</w:t>
            </w:r>
          </w:p>
          <w:p>
            <w:pPr>
              <w:pStyle w:val="TableParagraph"/>
              <w:numPr>
                <w:ilvl w:val="0"/>
                <w:numId w:val="29"/>
              </w:numPr>
              <w:tabs>
                <w:tab w:pos="885" w:val="left" w:leader="none"/>
                <w:tab w:pos="886" w:val="left" w:leader="none"/>
              </w:tabs>
              <w:spacing w:line="273" w:lineRule="auto" w:before="37" w:after="0"/>
              <w:ind w:left="883" w:right="307" w:hanging="737"/>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944" w:type="dxa"/>
          </w:tcPr>
          <w:p>
            <w:pPr>
              <w:pStyle w:val="TableParagraph"/>
              <w:spacing w:before="72"/>
              <w:ind w:left="200"/>
              <w:rPr>
                <w:b/>
                <w:sz w:val="21"/>
              </w:rPr>
            </w:pPr>
            <w:r>
              <w:rPr>
                <w:b/>
                <w:sz w:val="21"/>
              </w:rPr>
              <w:t>10.11</w:t>
            </w:r>
          </w:p>
        </w:tc>
        <w:tc>
          <w:tcPr>
            <w:tcW w:w="1839" w:type="dxa"/>
          </w:tcPr>
          <w:p>
            <w:pPr>
              <w:pStyle w:val="TableParagraph"/>
              <w:spacing w:before="72"/>
              <w:ind w:left="216"/>
              <w:rPr>
                <w:b/>
                <w:sz w:val="21"/>
              </w:rPr>
            </w:pPr>
            <w:r>
              <w:rPr>
                <w:b/>
                <w:sz w:val="21"/>
              </w:rPr>
              <w:t>无有效行驶证</w:t>
            </w:r>
          </w:p>
        </w:tc>
        <w:tc>
          <w:tcPr>
            <w:tcW w:w="7729" w:type="dxa"/>
          </w:tcPr>
          <w:p>
            <w:pPr>
              <w:pStyle w:val="TableParagraph"/>
              <w:spacing w:before="72"/>
              <w:ind w:left="153"/>
              <w:rPr>
                <w:sz w:val="21"/>
              </w:rPr>
            </w:pPr>
            <w:r>
              <w:rPr>
                <w:sz w:val="21"/>
              </w:rPr>
              <w:t>指下列情形之一：</w:t>
            </w:r>
          </w:p>
          <w:p>
            <w:pPr>
              <w:pStyle w:val="TableParagraph"/>
              <w:numPr>
                <w:ilvl w:val="0"/>
                <w:numId w:val="30"/>
              </w:numPr>
              <w:tabs>
                <w:tab w:pos="890" w:val="left" w:leader="none"/>
                <w:tab w:pos="891" w:val="left" w:leader="none"/>
              </w:tabs>
              <w:spacing w:line="240" w:lineRule="auto" w:before="37" w:after="0"/>
              <w:ind w:left="890" w:right="0" w:hanging="737"/>
              <w:jc w:val="left"/>
              <w:rPr>
                <w:sz w:val="21"/>
              </w:rPr>
            </w:pPr>
            <w:r>
              <w:rPr>
                <w:spacing w:val="-3"/>
                <w:sz w:val="21"/>
              </w:rPr>
              <w:t>机动车被依法注销登记的；</w:t>
            </w:r>
          </w:p>
          <w:p>
            <w:pPr>
              <w:pStyle w:val="TableParagraph"/>
              <w:numPr>
                <w:ilvl w:val="0"/>
                <w:numId w:val="30"/>
              </w:numPr>
              <w:tabs>
                <w:tab w:pos="890" w:val="left" w:leader="none"/>
                <w:tab w:pos="891" w:val="left" w:leader="none"/>
              </w:tabs>
              <w:spacing w:line="240" w:lineRule="auto" w:before="37" w:after="0"/>
              <w:ind w:left="890" w:right="0" w:hanging="737"/>
              <w:jc w:val="left"/>
              <w:rPr>
                <w:sz w:val="21"/>
              </w:rPr>
            </w:pPr>
            <w:r>
              <w:rPr>
                <w:spacing w:val="-3"/>
                <w:sz w:val="21"/>
              </w:rPr>
              <w:t>未依法按时进行或通过机动车安全技术检验。</w:t>
            </w:r>
          </w:p>
        </w:tc>
      </w:tr>
      <w:tr>
        <w:trPr>
          <w:trHeight w:val="794" w:hRule="atLeast"/>
        </w:trPr>
        <w:tc>
          <w:tcPr>
            <w:tcW w:w="944" w:type="dxa"/>
          </w:tcPr>
          <w:p>
            <w:pPr>
              <w:pStyle w:val="TableParagraph"/>
              <w:spacing w:before="72"/>
              <w:ind w:left="200"/>
              <w:rPr>
                <w:b/>
                <w:sz w:val="21"/>
              </w:rPr>
            </w:pPr>
            <w:r>
              <w:rPr>
                <w:b/>
                <w:sz w:val="21"/>
              </w:rPr>
              <w:t>10.12</w:t>
            </w:r>
          </w:p>
        </w:tc>
        <w:tc>
          <w:tcPr>
            <w:tcW w:w="1839" w:type="dxa"/>
          </w:tcPr>
          <w:p>
            <w:pPr>
              <w:pStyle w:val="TableParagraph"/>
              <w:spacing w:before="72"/>
              <w:ind w:left="216"/>
              <w:rPr>
                <w:b/>
                <w:sz w:val="21"/>
              </w:rPr>
            </w:pPr>
            <w:r>
              <w:rPr>
                <w:b/>
                <w:sz w:val="21"/>
              </w:rPr>
              <w:t>机动车</w:t>
            </w:r>
          </w:p>
        </w:tc>
        <w:tc>
          <w:tcPr>
            <w:tcW w:w="7729" w:type="dxa"/>
          </w:tcPr>
          <w:p>
            <w:pPr>
              <w:pStyle w:val="TableParagraph"/>
              <w:spacing w:line="273" w:lineRule="auto" w:before="72"/>
              <w:ind w:left="153" w:right="305"/>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1731" w:hRule="atLeast"/>
        </w:trPr>
        <w:tc>
          <w:tcPr>
            <w:tcW w:w="944" w:type="dxa"/>
          </w:tcPr>
          <w:p>
            <w:pPr>
              <w:pStyle w:val="TableParagraph"/>
              <w:spacing w:before="72"/>
              <w:ind w:left="200"/>
              <w:rPr>
                <w:b/>
                <w:sz w:val="21"/>
              </w:rPr>
            </w:pPr>
            <w:r>
              <w:rPr>
                <w:b/>
                <w:sz w:val="21"/>
              </w:rPr>
              <w:t>10.13</w:t>
            </w:r>
          </w:p>
        </w:tc>
        <w:tc>
          <w:tcPr>
            <w:tcW w:w="1839" w:type="dxa"/>
          </w:tcPr>
          <w:p>
            <w:pPr>
              <w:pStyle w:val="TableParagraph"/>
              <w:spacing w:line="273" w:lineRule="auto" w:before="72"/>
              <w:ind w:left="216" w:right="142"/>
              <w:rPr>
                <w:b/>
                <w:sz w:val="21"/>
              </w:rPr>
            </w:pPr>
            <w:r>
              <w:rPr>
                <w:b/>
                <w:sz w:val="21"/>
              </w:rPr>
              <w:t>感染艾滋病病毒或患艾滋病</w:t>
            </w:r>
          </w:p>
        </w:tc>
        <w:tc>
          <w:tcPr>
            <w:tcW w:w="7729" w:type="dxa"/>
          </w:tcPr>
          <w:p>
            <w:pPr>
              <w:pStyle w:val="TableParagraph"/>
              <w:spacing w:line="273" w:lineRule="auto" w:before="72"/>
              <w:ind w:left="153" w:right="304"/>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引起的获得性免疫缺陷综合征，英文缩写为 </w:t>
            </w:r>
            <w:r>
              <w:rPr>
                <w:sz w:val="21"/>
              </w:rPr>
              <w:t>AIDS。</w:t>
            </w:r>
          </w:p>
          <w:p>
            <w:pPr>
              <w:pStyle w:val="TableParagraph"/>
              <w:spacing w:line="273" w:lineRule="auto" w:before="8"/>
              <w:ind w:left="153" w:right="3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793" w:hRule="atLeast"/>
        </w:trPr>
        <w:tc>
          <w:tcPr>
            <w:tcW w:w="944" w:type="dxa"/>
          </w:tcPr>
          <w:p>
            <w:pPr>
              <w:pStyle w:val="TableParagraph"/>
              <w:spacing w:before="72"/>
              <w:ind w:left="200"/>
              <w:rPr>
                <w:b/>
                <w:sz w:val="21"/>
              </w:rPr>
            </w:pPr>
            <w:r>
              <w:rPr>
                <w:b/>
                <w:sz w:val="21"/>
              </w:rPr>
              <w:t>10.14</w:t>
            </w:r>
          </w:p>
        </w:tc>
        <w:tc>
          <w:tcPr>
            <w:tcW w:w="1839" w:type="dxa"/>
          </w:tcPr>
          <w:p>
            <w:pPr>
              <w:pStyle w:val="TableParagraph"/>
              <w:spacing w:before="72"/>
              <w:ind w:left="216"/>
              <w:rPr>
                <w:b/>
                <w:sz w:val="21"/>
              </w:rPr>
            </w:pPr>
            <w:r>
              <w:rPr>
                <w:b/>
                <w:sz w:val="21"/>
              </w:rPr>
              <w:t>遗传性疾病</w:t>
            </w:r>
          </w:p>
        </w:tc>
        <w:tc>
          <w:tcPr>
            <w:tcW w:w="7729" w:type="dxa"/>
          </w:tcPr>
          <w:p>
            <w:pPr>
              <w:pStyle w:val="TableParagraph"/>
              <w:spacing w:line="273" w:lineRule="auto" w:before="72"/>
              <w:ind w:left="153" w:right="196"/>
              <w:rPr>
                <w:sz w:val="21"/>
              </w:rPr>
            </w:pPr>
            <w:r>
              <w:rPr>
                <w:spacing w:val="-10"/>
                <w:sz w:val="21"/>
              </w:rPr>
              <w:t>指生殖细胞或受精卵的遗传物质</w:t>
            </w:r>
            <w:r>
              <w:rPr>
                <w:sz w:val="21"/>
              </w:rPr>
              <w:t>（</w:t>
            </w:r>
            <w:r>
              <w:rPr>
                <w:spacing w:val="-2"/>
                <w:sz w:val="21"/>
              </w:rPr>
              <w:t>染色体和基因</w:t>
            </w:r>
            <w:r>
              <w:rPr>
                <w:spacing w:val="-97"/>
                <w:sz w:val="21"/>
              </w:rPr>
              <w:t>）</w:t>
            </w:r>
            <w:r>
              <w:rPr>
                <w:spacing w:val="-3"/>
                <w:sz w:val="21"/>
              </w:rPr>
              <w:t>发生突变或畸变所引起的疾病， 通常具有由亲代传至后代的垂直传递的特征。</w:t>
            </w:r>
          </w:p>
        </w:tc>
      </w:tr>
      <w:tr>
        <w:trPr>
          <w:trHeight w:val="969" w:hRule="atLeast"/>
        </w:trPr>
        <w:tc>
          <w:tcPr>
            <w:tcW w:w="944" w:type="dxa"/>
          </w:tcPr>
          <w:p>
            <w:pPr>
              <w:pStyle w:val="TableParagraph"/>
              <w:spacing w:before="70"/>
              <w:ind w:left="200"/>
              <w:rPr>
                <w:b/>
                <w:sz w:val="21"/>
              </w:rPr>
            </w:pPr>
            <w:r>
              <w:rPr>
                <w:b/>
                <w:sz w:val="21"/>
              </w:rPr>
              <w:t>10.15</w:t>
            </w:r>
          </w:p>
        </w:tc>
        <w:tc>
          <w:tcPr>
            <w:tcW w:w="1839" w:type="dxa"/>
          </w:tcPr>
          <w:p>
            <w:pPr>
              <w:pStyle w:val="TableParagraph"/>
              <w:spacing w:line="273" w:lineRule="auto" w:before="70"/>
              <w:ind w:left="216" w:right="142"/>
              <w:rPr>
                <w:b/>
                <w:sz w:val="21"/>
              </w:rPr>
            </w:pPr>
            <w:r>
              <w:rPr>
                <w:b/>
                <w:sz w:val="21"/>
              </w:rPr>
              <w:t>先天性畸形、变形或染色体异常</w:t>
            </w:r>
          </w:p>
        </w:tc>
        <w:tc>
          <w:tcPr>
            <w:tcW w:w="7729" w:type="dxa"/>
          </w:tcPr>
          <w:p>
            <w:pPr>
              <w:pStyle w:val="TableParagraph"/>
              <w:spacing w:line="310" w:lineRule="atLeast" w:before="35"/>
              <w:ind w:left="153" w:right="302"/>
              <w:jc w:val="both"/>
              <w:rPr>
                <w:sz w:val="21"/>
              </w:rPr>
            </w:pPr>
            <w:r>
              <w:rPr>
                <w:spacing w:val="-7"/>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w:t>
            </w:r>
            <w:r>
              <w:rPr>
                <w:spacing w:val="-3"/>
                <w:sz w:val="21"/>
              </w:rPr>
              <w:t>确</w:t>
            </w:r>
            <w:r>
              <w:rPr>
                <w:sz w:val="21"/>
              </w:rPr>
              <w:t>定。</w:t>
            </w:r>
          </w:p>
        </w:tc>
      </w:tr>
    </w:tbl>
    <w:p>
      <w:pPr>
        <w:spacing w:after="0" w:line="310" w:lineRule="atLeast"/>
        <w:jc w:val="both"/>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620"/>
      </w:tblGrid>
      <w:tr>
        <w:trPr>
          <w:trHeight w:val="2219" w:hRule="atLeast"/>
        </w:trPr>
        <w:tc>
          <w:tcPr>
            <w:tcW w:w="944" w:type="dxa"/>
          </w:tcPr>
          <w:p>
            <w:pPr>
              <w:pStyle w:val="TableParagraph"/>
              <w:spacing w:line="211" w:lineRule="exact"/>
              <w:ind w:left="180" w:right="193"/>
              <w:jc w:val="center"/>
              <w:rPr>
                <w:b/>
                <w:sz w:val="21"/>
              </w:rPr>
            </w:pPr>
            <w:r>
              <w:rPr>
                <w:b/>
                <w:sz w:val="21"/>
              </w:rPr>
              <w:t>10.16</w:t>
            </w:r>
          </w:p>
        </w:tc>
        <w:tc>
          <w:tcPr>
            <w:tcW w:w="1843" w:type="dxa"/>
          </w:tcPr>
          <w:p>
            <w:pPr>
              <w:pStyle w:val="TableParagraph"/>
              <w:spacing w:line="211" w:lineRule="exact"/>
              <w:ind w:left="216"/>
              <w:rPr>
                <w:b/>
                <w:sz w:val="21"/>
              </w:rPr>
            </w:pPr>
            <w:r>
              <w:rPr>
                <w:b/>
                <w:sz w:val="21"/>
              </w:rPr>
              <w:t>专科医生</w:t>
            </w:r>
          </w:p>
        </w:tc>
        <w:tc>
          <w:tcPr>
            <w:tcW w:w="7620" w:type="dxa"/>
          </w:tcPr>
          <w:p>
            <w:pPr>
              <w:pStyle w:val="TableParagraph"/>
              <w:spacing w:line="211" w:lineRule="exact"/>
              <w:ind w:left="149"/>
              <w:rPr>
                <w:sz w:val="21"/>
              </w:rPr>
            </w:pPr>
            <w:r>
              <w:rPr>
                <w:sz w:val="21"/>
              </w:rPr>
              <w:t>专科医生应当同时满足以下四项资格条件：</w:t>
            </w:r>
          </w:p>
          <w:p>
            <w:pPr>
              <w:pStyle w:val="TableParagraph"/>
              <w:numPr>
                <w:ilvl w:val="0"/>
                <w:numId w:val="31"/>
              </w:numPr>
              <w:tabs>
                <w:tab w:pos="886" w:val="left" w:leader="none"/>
                <w:tab w:pos="887" w:val="left" w:leader="none"/>
              </w:tabs>
              <w:spacing w:line="240" w:lineRule="auto" w:before="37" w:after="0"/>
              <w:ind w:left="870" w:right="0" w:hanging="721"/>
              <w:jc w:val="left"/>
              <w:rPr>
                <w:sz w:val="21"/>
              </w:rPr>
            </w:pPr>
            <w:r>
              <w:rPr>
                <w:spacing w:val="-9"/>
                <w:sz w:val="21"/>
              </w:rPr>
              <w:t>具有有效的中华人民共和国《医师资格证书》；</w:t>
            </w:r>
          </w:p>
          <w:p>
            <w:pPr>
              <w:pStyle w:val="TableParagraph"/>
              <w:numPr>
                <w:ilvl w:val="0"/>
                <w:numId w:val="31"/>
              </w:numPr>
              <w:tabs>
                <w:tab w:pos="858" w:val="left" w:leader="none"/>
              </w:tabs>
              <w:spacing w:line="273" w:lineRule="auto" w:before="37" w:after="0"/>
              <w:ind w:left="870" w:right="199" w:hanging="721"/>
              <w:jc w:val="left"/>
              <w:rPr>
                <w:sz w:val="21"/>
              </w:rPr>
            </w:pPr>
            <w:r>
              <w:rPr>
                <w:spacing w:val="-13"/>
                <w:sz w:val="21"/>
              </w:rPr>
              <w:t>具有有效的中华人民共和国《医师执业证书》，并按期到相关部门登记注册；</w:t>
            </w:r>
          </w:p>
          <w:p>
            <w:pPr>
              <w:pStyle w:val="TableParagraph"/>
              <w:numPr>
                <w:ilvl w:val="0"/>
                <w:numId w:val="31"/>
              </w:numPr>
              <w:tabs>
                <w:tab w:pos="889" w:val="left" w:leader="none"/>
                <w:tab w:pos="890" w:val="left" w:leader="none"/>
              </w:tabs>
              <w:spacing w:line="273" w:lineRule="auto" w:before="7" w:after="0"/>
              <w:ind w:left="870" w:right="202"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31"/>
              </w:numPr>
              <w:tabs>
                <w:tab w:pos="886" w:val="left" w:leader="none"/>
                <w:tab w:pos="887" w:val="left" w:leader="none"/>
              </w:tabs>
              <w:spacing w:line="240" w:lineRule="auto" w:before="7" w:after="0"/>
              <w:ind w:left="870" w:right="0" w:hanging="721"/>
              <w:jc w:val="left"/>
              <w:rPr>
                <w:sz w:val="21"/>
              </w:rPr>
            </w:pPr>
            <w:r>
              <w:rPr>
                <w:spacing w:val="-3"/>
                <w:sz w:val="21"/>
              </w:rPr>
              <w:t>在二级或二级以上医院的相应科室从事临床工作三年以上。</w:t>
            </w:r>
          </w:p>
        </w:tc>
      </w:tr>
      <w:tr>
        <w:trPr>
          <w:trHeight w:val="794" w:hRule="atLeast"/>
        </w:trPr>
        <w:tc>
          <w:tcPr>
            <w:tcW w:w="944" w:type="dxa"/>
          </w:tcPr>
          <w:p>
            <w:pPr>
              <w:pStyle w:val="TableParagraph"/>
              <w:spacing w:before="72"/>
              <w:ind w:left="180" w:right="193"/>
              <w:jc w:val="center"/>
              <w:rPr>
                <w:b/>
                <w:sz w:val="21"/>
              </w:rPr>
            </w:pPr>
            <w:r>
              <w:rPr>
                <w:b/>
                <w:sz w:val="21"/>
              </w:rPr>
              <w:t>10.17</w:t>
            </w:r>
          </w:p>
        </w:tc>
        <w:tc>
          <w:tcPr>
            <w:tcW w:w="1843" w:type="dxa"/>
          </w:tcPr>
          <w:p>
            <w:pPr>
              <w:pStyle w:val="TableParagraph"/>
              <w:spacing w:line="273" w:lineRule="auto" w:before="72"/>
              <w:ind w:left="216" w:right="146"/>
              <w:rPr>
                <w:b/>
                <w:sz w:val="21"/>
              </w:rPr>
            </w:pPr>
            <w:r>
              <w:rPr>
                <w:b/>
                <w:sz w:val="21"/>
              </w:rPr>
              <w:t>肢体机能完全丧失</w:t>
            </w:r>
          </w:p>
        </w:tc>
        <w:tc>
          <w:tcPr>
            <w:tcW w:w="7620" w:type="dxa"/>
          </w:tcPr>
          <w:p>
            <w:pPr>
              <w:pStyle w:val="TableParagraph"/>
              <w:spacing w:line="273" w:lineRule="auto" w:before="72"/>
              <w:ind w:left="149" w:right="198"/>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18" w:hRule="atLeast"/>
        </w:trPr>
        <w:tc>
          <w:tcPr>
            <w:tcW w:w="944" w:type="dxa"/>
          </w:tcPr>
          <w:p>
            <w:pPr>
              <w:pStyle w:val="TableParagraph"/>
              <w:spacing w:before="72"/>
              <w:ind w:left="180" w:right="193"/>
              <w:jc w:val="center"/>
              <w:rPr>
                <w:b/>
                <w:sz w:val="21"/>
              </w:rPr>
            </w:pPr>
            <w:r>
              <w:rPr>
                <w:b/>
                <w:sz w:val="21"/>
              </w:rPr>
              <w:t>10.18</w:t>
            </w:r>
          </w:p>
        </w:tc>
        <w:tc>
          <w:tcPr>
            <w:tcW w:w="1843" w:type="dxa"/>
          </w:tcPr>
          <w:p>
            <w:pPr>
              <w:pStyle w:val="TableParagraph"/>
              <w:spacing w:line="273" w:lineRule="auto" w:before="72"/>
              <w:ind w:left="216" w:right="146"/>
              <w:jc w:val="both"/>
              <w:rPr>
                <w:b/>
                <w:sz w:val="21"/>
              </w:rPr>
            </w:pPr>
            <w:r>
              <w:rPr>
                <w:b/>
                <w:sz w:val="21"/>
              </w:rPr>
              <w:t>语言能力或咀嚼吞咽能力完全丧失</w:t>
            </w:r>
          </w:p>
        </w:tc>
        <w:tc>
          <w:tcPr>
            <w:tcW w:w="7620" w:type="dxa"/>
          </w:tcPr>
          <w:p>
            <w:pPr>
              <w:pStyle w:val="TableParagraph"/>
              <w:spacing w:line="273" w:lineRule="auto" w:before="72"/>
              <w:ind w:left="149" w:right="197"/>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1"/>
                <w:sz w:val="21"/>
              </w:rPr>
              <w:t>嚼吞咽能力完全丧失，指因牙齿以外的原因导致器质障碍或机能障碍，以致不能</w:t>
            </w:r>
            <w:r>
              <w:rPr>
                <w:spacing w:val="-6"/>
                <w:sz w:val="21"/>
              </w:rPr>
              <w:t>作咀嚼吞咽运动，除流质食物外不能摄取或吞咽的状态。</w:t>
            </w:r>
          </w:p>
        </w:tc>
      </w:tr>
      <w:tr>
        <w:trPr>
          <w:trHeight w:val="2354" w:hRule="atLeast"/>
        </w:trPr>
        <w:tc>
          <w:tcPr>
            <w:tcW w:w="944" w:type="dxa"/>
          </w:tcPr>
          <w:p>
            <w:pPr>
              <w:pStyle w:val="TableParagraph"/>
              <w:spacing w:before="72"/>
              <w:ind w:left="180" w:right="193"/>
              <w:jc w:val="center"/>
              <w:rPr>
                <w:b/>
                <w:sz w:val="21"/>
              </w:rPr>
            </w:pPr>
            <w:r>
              <w:rPr>
                <w:b/>
                <w:sz w:val="21"/>
              </w:rPr>
              <w:t>10.19</w:t>
            </w:r>
          </w:p>
        </w:tc>
        <w:tc>
          <w:tcPr>
            <w:tcW w:w="1843" w:type="dxa"/>
          </w:tcPr>
          <w:p>
            <w:pPr>
              <w:pStyle w:val="TableParagraph"/>
              <w:spacing w:line="273" w:lineRule="auto" w:before="72"/>
              <w:ind w:left="216" w:right="146"/>
              <w:rPr>
                <w:b/>
                <w:sz w:val="21"/>
              </w:rPr>
            </w:pPr>
            <w:r>
              <w:rPr>
                <w:b/>
                <w:sz w:val="21"/>
              </w:rPr>
              <w:t>六项基本日常生活活动</w:t>
            </w:r>
          </w:p>
        </w:tc>
        <w:tc>
          <w:tcPr>
            <w:tcW w:w="7620" w:type="dxa"/>
          </w:tcPr>
          <w:p>
            <w:pPr>
              <w:pStyle w:val="TableParagraph"/>
              <w:spacing w:before="72"/>
              <w:ind w:left="149"/>
              <w:rPr>
                <w:sz w:val="21"/>
              </w:rPr>
            </w:pPr>
            <w:r>
              <w:rPr>
                <w:sz w:val="21"/>
              </w:rPr>
              <w:t>六项基本日常生活活动是指：</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穿衣：自己能够穿衣及脱衣；</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移动：自己从一个房间到另一个房间；</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行动：自己上下床或上下轮椅；</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如厕：自己控制进行大小便；</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进食：自己从已准备好的碗或碟中取食物放入口中；</w:t>
            </w:r>
          </w:p>
          <w:p>
            <w:pPr>
              <w:pStyle w:val="TableParagraph"/>
              <w:numPr>
                <w:ilvl w:val="0"/>
                <w:numId w:val="32"/>
              </w:numPr>
              <w:tabs>
                <w:tab w:pos="886" w:val="left" w:leader="none"/>
                <w:tab w:pos="887" w:val="left" w:leader="none"/>
              </w:tabs>
              <w:spacing w:line="240" w:lineRule="auto" w:before="37" w:after="0"/>
              <w:ind w:left="886" w:right="0" w:hanging="737"/>
              <w:jc w:val="left"/>
              <w:rPr>
                <w:sz w:val="21"/>
              </w:rPr>
            </w:pPr>
            <w:r>
              <w:rPr>
                <w:spacing w:val="-3"/>
                <w:sz w:val="21"/>
              </w:rPr>
              <w:t>洗澡：自己进行淋浴或盆浴。</w:t>
            </w:r>
          </w:p>
        </w:tc>
      </w:tr>
      <w:tr>
        <w:trPr>
          <w:trHeight w:val="658" w:hRule="atLeast"/>
        </w:trPr>
        <w:tc>
          <w:tcPr>
            <w:tcW w:w="944" w:type="dxa"/>
          </w:tcPr>
          <w:p>
            <w:pPr>
              <w:pStyle w:val="TableParagraph"/>
              <w:spacing w:before="72"/>
              <w:ind w:left="180" w:right="193"/>
              <w:jc w:val="center"/>
              <w:rPr>
                <w:b/>
                <w:sz w:val="21"/>
              </w:rPr>
            </w:pPr>
            <w:r>
              <w:rPr>
                <w:b/>
                <w:sz w:val="21"/>
              </w:rPr>
              <w:t>10.20</w:t>
            </w:r>
          </w:p>
        </w:tc>
        <w:tc>
          <w:tcPr>
            <w:tcW w:w="1843" w:type="dxa"/>
          </w:tcPr>
          <w:p>
            <w:pPr>
              <w:pStyle w:val="TableParagraph"/>
              <w:spacing w:before="72"/>
              <w:ind w:left="216"/>
              <w:rPr>
                <w:b/>
                <w:sz w:val="21"/>
              </w:rPr>
            </w:pPr>
            <w:r>
              <w:rPr>
                <w:b/>
                <w:sz w:val="21"/>
              </w:rPr>
              <w:t>永久不可逆</w:t>
            </w:r>
          </w:p>
        </w:tc>
        <w:tc>
          <w:tcPr>
            <w:tcW w:w="7620" w:type="dxa"/>
          </w:tcPr>
          <w:p>
            <w:pPr>
              <w:pStyle w:val="TableParagraph"/>
              <w:spacing w:line="310" w:lineRule="atLeast" w:before="36"/>
              <w:ind w:left="149" w:right="197"/>
              <w:rPr>
                <w:sz w:val="21"/>
              </w:rPr>
            </w:pPr>
            <w:r>
              <w:rPr>
                <w:spacing w:val="-8"/>
                <w:sz w:val="21"/>
              </w:rPr>
              <w:t>指自疾病确诊或意外伤害发生之日起，经过积极治疗 </w:t>
            </w:r>
            <w:r>
              <w:rPr>
                <w:sz w:val="21"/>
              </w:rPr>
              <w:t>180</w:t>
            </w:r>
            <w:r>
              <w:rPr>
                <w:spacing w:val="-11"/>
                <w:sz w:val="21"/>
              </w:rPr>
              <w:t> 天后，仍无法通过现有</w:t>
            </w:r>
            <w:r>
              <w:rPr>
                <w:spacing w:val="-6"/>
                <w:sz w:val="21"/>
              </w:rPr>
              <w:t>医疗手段恢复。</w:t>
            </w:r>
          </w:p>
        </w:tc>
      </w:tr>
    </w:tbl>
    <w:p>
      <w:pPr>
        <w:spacing w:after="0" w:line="310" w:lineRule="atLeast"/>
        <w:rPr>
          <w:sz w:val="21"/>
        </w:rPr>
        <w:sectPr>
          <w:pgSz w:w="11910" w:h="16840"/>
          <w:pgMar w:top="1160" w:bottom="280" w:left="720" w:right="560"/>
        </w:sectPr>
      </w:pPr>
    </w:p>
    <w:p>
      <w:pPr>
        <w:pStyle w:val="BodyText"/>
        <w:tabs>
          <w:tab w:pos="842" w:val="left" w:leader="none"/>
        </w:tabs>
        <w:spacing w:before="22"/>
        <w:jc w:val="center"/>
      </w:pPr>
      <w:r>
        <w:rPr/>
        <w:t>附表一</w:t>
        <w:tab/>
      </w:r>
      <w:r>
        <w:rPr>
          <w:spacing w:val="-3"/>
        </w:rPr>
        <w:t>重</w:t>
      </w:r>
      <w:r>
        <w:rPr/>
        <w:t>大</w:t>
      </w:r>
      <w:r>
        <w:rPr>
          <w:spacing w:val="-3"/>
        </w:rPr>
        <w:t>疾</w:t>
      </w:r>
      <w:r>
        <w:rPr/>
        <w:t>病</w:t>
      </w:r>
      <w:r>
        <w:rPr>
          <w:spacing w:val="-3"/>
        </w:rPr>
        <w:t>分</w:t>
      </w:r>
      <w:r>
        <w:rPr/>
        <w:t>组表</w:t>
      </w:r>
    </w:p>
    <w:p>
      <w:pPr>
        <w:pStyle w:val="BodyText"/>
        <w:spacing w:before="8"/>
        <w:rPr>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2408"/>
        <w:gridCol w:w="2554"/>
        <w:gridCol w:w="2175"/>
      </w:tblGrid>
      <w:tr>
        <w:trPr>
          <w:trHeight w:val="314" w:hRule="atLeast"/>
        </w:trPr>
        <w:tc>
          <w:tcPr>
            <w:tcW w:w="2945" w:type="dxa"/>
          </w:tcPr>
          <w:p>
            <w:pPr>
              <w:pStyle w:val="TableParagraph"/>
              <w:spacing w:line="265" w:lineRule="exact"/>
              <w:ind w:left="1243" w:right="1231"/>
              <w:jc w:val="center"/>
              <w:rPr>
                <w:sz w:val="21"/>
              </w:rPr>
            </w:pPr>
            <w:r>
              <w:rPr>
                <w:sz w:val="21"/>
              </w:rPr>
              <w:t>A 组</w:t>
            </w:r>
          </w:p>
        </w:tc>
        <w:tc>
          <w:tcPr>
            <w:tcW w:w="2408" w:type="dxa"/>
          </w:tcPr>
          <w:p>
            <w:pPr>
              <w:pStyle w:val="TableParagraph"/>
              <w:spacing w:line="265" w:lineRule="exact"/>
              <w:ind w:left="975" w:right="963"/>
              <w:jc w:val="center"/>
              <w:rPr>
                <w:sz w:val="21"/>
              </w:rPr>
            </w:pPr>
            <w:r>
              <w:rPr>
                <w:sz w:val="21"/>
              </w:rPr>
              <w:t>B 组</w:t>
            </w:r>
          </w:p>
        </w:tc>
        <w:tc>
          <w:tcPr>
            <w:tcW w:w="2554" w:type="dxa"/>
          </w:tcPr>
          <w:p>
            <w:pPr>
              <w:pStyle w:val="TableParagraph"/>
              <w:spacing w:line="265" w:lineRule="exact"/>
              <w:ind w:left="1049" w:right="1035"/>
              <w:jc w:val="center"/>
              <w:rPr>
                <w:sz w:val="21"/>
              </w:rPr>
            </w:pPr>
            <w:r>
              <w:rPr>
                <w:sz w:val="21"/>
              </w:rPr>
              <w:t>C 组</w:t>
            </w:r>
          </w:p>
        </w:tc>
        <w:tc>
          <w:tcPr>
            <w:tcW w:w="2175" w:type="dxa"/>
          </w:tcPr>
          <w:p>
            <w:pPr>
              <w:pStyle w:val="TableParagraph"/>
              <w:spacing w:line="265" w:lineRule="exact"/>
              <w:ind w:left="857" w:right="847"/>
              <w:jc w:val="center"/>
              <w:rPr>
                <w:sz w:val="21"/>
              </w:rPr>
            </w:pPr>
            <w:r>
              <w:rPr>
                <w:sz w:val="21"/>
              </w:rPr>
              <w:t>D 组</w:t>
            </w:r>
          </w:p>
        </w:tc>
      </w:tr>
      <w:tr>
        <w:trPr>
          <w:trHeight w:val="4368" w:hRule="atLeast"/>
        </w:trPr>
        <w:tc>
          <w:tcPr>
            <w:tcW w:w="2945" w:type="dxa"/>
          </w:tcPr>
          <w:p>
            <w:pPr>
              <w:pStyle w:val="TableParagraph"/>
              <w:spacing w:line="262" w:lineRule="exact"/>
              <w:rPr>
                <w:sz w:val="21"/>
              </w:rPr>
            </w:pPr>
            <w:r>
              <w:rPr>
                <w:sz w:val="21"/>
              </w:rPr>
              <w:t>1、恶性肿瘤；</w:t>
            </w:r>
          </w:p>
          <w:p>
            <w:pPr>
              <w:pStyle w:val="TableParagraph"/>
              <w:spacing w:line="273" w:lineRule="auto" w:before="37"/>
              <w:ind w:right="96"/>
              <w:rPr>
                <w:sz w:val="21"/>
              </w:rPr>
            </w:pPr>
            <w:r>
              <w:rPr>
                <w:sz w:val="21"/>
              </w:rPr>
              <w:t>2、重大器官移植术或造血干细胞移植术；</w:t>
            </w:r>
          </w:p>
          <w:p>
            <w:pPr>
              <w:pStyle w:val="TableParagraph"/>
              <w:spacing w:line="273" w:lineRule="auto" w:before="7"/>
              <w:ind w:right="96"/>
              <w:rPr>
                <w:sz w:val="21"/>
              </w:rPr>
            </w:pPr>
            <w:r>
              <w:rPr>
                <w:spacing w:val="5"/>
                <w:sz w:val="21"/>
              </w:rPr>
              <w:t>3</w:t>
            </w:r>
            <w:r>
              <w:rPr>
                <w:spacing w:val="5"/>
                <w:sz w:val="21"/>
              </w:rPr>
              <w:t>、终末期肾病（</w:t>
            </w:r>
            <w:r>
              <w:rPr>
                <w:spacing w:val="3"/>
                <w:sz w:val="21"/>
              </w:rPr>
              <w:t>或称慢性肾</w:t>
            </w:r>
            <w:r>
              <w:rPr>
                <w:spacing w:val="-2"/>
                <w:w w:val="100"/>
                <w:sz w:val="21"/>
              </w:rPr>
              <w:t>功能衰竭尿毒症期</w:t>
            </w:r>
            <w:r>
              <w:rPr>
                <w:spacing w:val="-108"/>
                <w:w w:val="100"/>
                <w:sz w:val="21"/>
              </w:rPr>
              <w:t>）</w:t>
            </w:r>
            <w:r>
              <w:rPr>
                <w:w w:val="100"/>
                <w:sz w:val="21"/>
              </w:rPr>
              <w:t>；</w:t>
            </w:r>
          </w:p>
          <w:p>
            <w:pPr>
              <w:pStyle w:val="TableParagraph"/>
              <w:spacing w:before="7"/>
              <w:ind w:right="-15"/>
              <w:rPr>
                <w:sz w:val="21"/>
              </w:rPr>
            </w:pPr>
            <w:r>
              <w:rPr>
                <w:sz w:val="21"/>
              </w:rPr>
              <w:t>4</w:t>
            </w:r>
            <w:r>
              <w:rPr>
                <w:spacing w:val="-3"/>
                <w:sz w:val="21"/>
              </w:rPr>
              <w:t>、慢性肝功能衰竭失代偿期；</w:t>
            </w:r>
          </w:p>
          <w:p>
            <w:pPr>
              <w:pStyle w:val="TableParagraph"/>
              <w:spacing w:before="37"/>
              <w:rPr>
                <w:sz w:val="21"/>
              </w:rPr>
            </w:pPr>
            <w:r>
              <w:rPr>
                <w:sz w:val="21"/>
              </w:rPr>
              <w:t>5、终末期肺病；</w:t>
            </w:r>
          </w:p>
          <w:p>
            <w:pPr>
              <w:pStyle w:val="TableParagraph"/>
              <w:spacing w:line="273" w:lineRule="auto" w:before="37"/>
              <w:ind w:right="94"/>
              <w:rPr>
                <w:sz w:val="21"/>
              </w:rPr>
            </w:pPr>
            <w:r>
              <w:rPr>
                <w:spacing w:val="5"/>
                <w:sz w:val="21"/>
              </w:rPr>
              <w:t>6</w:t>
            </w:r>
            <w:r>
              <w:rPr>
                <w:spacing w:val="5"/>
                <w:sz w:val="21"/>
              </w:rPr>
              <w:t>、侵蚀性葡萄胎（</w:t>
            </w:r>
            <w:r>
              <w:rPr>
                <w:spacing w:val="2"/>
                <w:sz w:val="21"/>
              </w:rPr>
              <w:t>或称恶性</w:t>
            </w:r>
            <w:r>
              <w:rPr>
                <w:sz w:val="21"/>
              </w:rPr>
              <w:t>葡萄胎</w:t>
            </w:r>
            <w:r>
              <w:rPr>
                <w:spacing w:val="-106"/>
                <w:sz w:val="21"/>
              </w:rPr>
              <w:t>）</w:t>
            </w:r>
            <w:r>
              <w:rPr>
                <w:sz w:val="21"/>
              </w:rPr>
              <w:t>。</w:t>
            </w:r>
          </w:p>
        </w:tc>
        <w:tc>
          <w:tcPr>
            <w:tcW w:w="2408" w:type="dxa"/>
          </w:tcPr>
          <w:p>
            <w:pPr>
              <w:pStyle w:val="TableParagraph"/>
              <w:spacing w:line="262" w:lineRule="exact"/>
              <w:rPr>
                <w:sz w:val="21"/>
              </w:rPr>
            </w:pPr>
            <w:r>
              <w:rPr>
                <w:sz w:val="21"/>
              </w:rPr>
              <w:t>1、良性脑肿瘤；</w:t>
            </w:r>
          </w:p>
          <w:p>
            <w:pPr>
              <w:pStyle w:val="TableParagraph"/>
              <w:spacing w:line="273" w:lineRule="auto" w:before="37"/>
              <w:ind w:right="48"/>
              <w:rPr>
                <w:sz w:val="21"/>
              </w:rPr>
            </w:pPr>
            <w:r>
              <w:rPr>
                <w:sz w:val="21"/>
              </w:rPr>
              <w:t>2、脑炎后遗症或脑膜炎后遗症；</w:t>
            </w:r>
          </w:p>
          <w:p>
            <w:pPr>
              <w:pStyle w:val="TableParagraph"/>
              <w:spacing w:before="7"/>
              <w:rPr>
                <w:sz w:val="21"/>
              </w:rPr>
            </w:pPr>
            <w:r>
              <w:rPr>
                <w:sz w:val="21"/>
              </w:rPr>
              <w:t>3、瘫痪；</w:t>
            </w:r>
          </w:p>
          <w:p>
            <w:pPr>
              <w:pStyle w:val="TableParagraph"/>
              <w:spacing w:before="36"/>
              <w:rPr>
                <w:sz w:val="21"/>
              </w:rPr>
            </w:pPr>
            <w:r>
              <w:rPr>
                <w:sz w:val="21"/>
              </w:rPr>
              <w:t>4、严重帕金森病；</w:t>
            </w:r>
          </w:p>
          <w:p>
            <w:pPr>
              <w:pStyle w:val="TableParagraph"/>
              <w:spacing w:before="36"/>
              <w:rPr>
                <w:sz w:val="21"/>
              </w:rPr>
            </w:pPr>
            <w:r>
              <w:rPr>
                <w:sz w:val="21"/>
              </w:rPr>
              <w:t>5、严重运动神经元病；</w:t>
            </w:r>
          </w:p>
          <w:p>
            <w:pPr>
              <w:pStyle w:val="TableParagraph"/>
              <w:spacing w:before="36"/>
              <w:rPr>
                <w:sz w:val="21"/>
              </w:rPr>
            </w:pPr>
            <w:r>
              <w:rPr>
                <w:sz w:val="21"/>
              </w:rPr>
              <w:t>6、语言能力丧失；</w:t>
            </w:r>
          </w:p>
          <w:p>
            <w:pPr>
              <w:pStyle w:val="TableParagraph"/>
              <w:spacing w:before="36"/>
              <w:rPr>
                <w:sz w:val="21"/>
              </w:rPr>
            </w:pPr>
            <w:r>
              <w:rPr>
                <w:sz w:val="21"/>
              </w:rPr>
              <w:t>7、多发性硬化；</w:t>
            </w:r>
          </w:p>
          <w:p>
            <w:pPr>
              <w:pStyle w:val="TableParagraph"/>
              <w:spacing w:before="36"/>
              <w:rPr>
                <w:sz w:val="21"/>
              </w:rPr>
            </w:pPr>
            <w:r>
              <w:rPr>
                <w:sz w:val="21"/>
              </w:rPr>
              <w:t>8、脊髓灰质炎；</w:t>
            </w:r>
          </w:p>
          <w:p>
            <w:pPr>
              <w:pStyle w:val="TableParagraph"/>
              <w:spacing w:before="36"/>
              <w:rPr>
                <w:sz w:val="21"/>
              </w:rPr>
            </w:pPr>
            <w:r>
              <w:rPr>
                <w:sz w:val="21"/>
              </w:rPr>
              <w:t>9、严重肌营养不良症；</w:t>
            </w:r>
          </w:p>
          <w:p>
            <w:pPr>
              <w:pStyle w:val="TableParagraph"/>
              <w:spacing w:before="36"/>
              <w:rPr>
                <w:sz w:val="21"/>
              </w:rPr>
            </w:pPr>
            <w:r>
              <w:rPr>
                <w:sz w:val="21"/>
              </w:rPr>
              <w:t>10、深度昏迷；</w:t>
            </w:r>
          </w:p>
          <w:p>
            <w:pPr>
              <w:pStyle w:val="TableParagraph"/>
              <w:spacing w:before="37"/>
              <w:rPr>
                <w:sz w:val="21"/>
              </w:rPr>
            </w:pPr>
            <w:r>
              <w:rPr>
                <w:sz w:val="21"/>
              </w:rPr>
              <w:t>11、颅脑手术；</w:t>
            </w:r>
          </w:p>
          <w:p>
            <w:pPr>
              <w:pStyle w:val="TableParagraph"/>
              <w:spacing w:before="37"/>
              <w:rPr>
                <w:sz w:val="21"/>
              </w:rPr>
            </w:pPr>
            <w:r>
              <w:rPr>
                <w:sz w:val="21"/>
              </w:rPr>
              <w:t>12、严重脑损伤。</w:t>
            </w:r>
          </w:p>
        </w:tc>
        <w:tc>
          <w:tcPr>
            <w:tcW w:w="2554" w:type="dxa"/>
          </w:tcPr>
          <w:p>
            <w:pPr>
              <w:pStyle w:val="TableParagraph"/>
              <w:spacing w:line="262" w:lineRule="exact"/>
              <w:ind w:left="110"/>
              <w:rPr>
                <w:sz w:val="21"/>
              </w:rPr>
            </w:pPr>
            <w:r>
              <w:rPr>
                <w:sz w:val="21"/>
              </w:rPr>
              <w:t>1、脑中风后遗症；</w:t>
            </w:r>
          </w:p>
          <w:p>
            <w:pPr>
              <w:pStyle w:val="TableParagraph"/>
              <w:spacing w:before="37"/>
              <w:ind w:left="110"/>
              <w:rPr>
                <w:sz w:val="21"/>
              </w:rPr>
            </w:pPr>
            <w:r>
              <w:rPr>
                <w:sz w:val="21"/>
              </w:rPr>
              <w:t>2、急性心肌梗塞；</w:t>
            </w:r>
          </w:p>
          <w:p>
            <w:pPr>
              <w:pStyle w:val="TableParagraph"/>
              <w:spacing w:line="273" w:lineRule="auto" w:before="37"/>
              <w:ind w:left="110" w:right="93"/>
              <w:rPr>
                <w:sz w:val="21"/>
              </w:rPr>
            </w:pPr>
            <w:r>
              <w:rPr>
                <w:sz w:val="21"/>
              </w:rPr>
              <w:t>3</w:t>
            </w:r>
            <w:r>
              <w:rPr>
                <w:spacing w:val="-13"/>
                <w:sz w:val="21"/>
              </w:rPr>
              <w:t>、冠状动脉搭桥术</w:t>
            </w:r>
            <w:r>
              <w:rPr>
                <w:sz w:val="21"/>
              </w:rPr>
              <w:t>（</w:t>
            </w:r>
            <w:r>
              <w:rPr>
                <w:spacing w:val="-2"/>
                <w:sz w:val="21"/>
              </w:rPr>
              <w:t>或称</w:t>
            </w:r>
            <w:r>
              <w:rPr>
                <w:spacing w:val="-3"/>
                <w:w w:val="100"/>
                <w:sz w:val="21"/>
              </w:rPr>
              <w:t>冠状动脉旁路移植术</w:t>
            </w:r>
            <w:r>
              <w:rPr>
                <w:spacing w:val="-106"/>
                <w:w w:val="100"/>
                <w:sz w:val="21"/>
              </w:rPr>
              <w:t>）</w:t>
            </w:r>
            <w:r>
              <w:rPr>
                <w:w w:val="100"/>
                <w:sz w:val="21"/>
              </w:rPr>
              <w:t>；</w:t>
            </w:r>
          </w:p>
          <w:p>
            <w:pPr>
              <w:pStyle w:val="TableParagraph"/>
              <w:spacing w:before="7"/>
              <w:ind w:left="110"/>
              <w:rPr>
                <w:sz w:val="21"/>
              </w:rPr>
            </w:pPr>
            <w:r>
              <w:rPr>
                <w:sz w:val="21"/>
              </w:rPr>
              <w:t>4、心脏瓣膜手术；</w:t>
            </w:r>
          </w:p>
          <w:p>
            <w:pPr>
              <w:pStyle w:val="TableParagraph"/>
              <w:spacing w:before="36"/>
              <w:ind w:left="110"/>
              <w:rPr>
                <w:sz w:val="21"/>
              </w:rPr>
            </w:pPr>
            <w:r>
              <w:rPr>
                <w:sz w:val="21"/>
              </w:rPr>
              <w:t>5、主动脉手术；</w:t>
            </w:r>
          </w:p>
          <w:p>
            <w:pPr>
              <w:pStyle w:val="TableParagraph"/>
              <w:spacing w:line="273" w:lineRule="auto" w:before="36"/>
              <w:ind w:left="110" w:right="82"/>
              <w:rPr>
                <w:sz w:val="21"/>
              </w:rPr>
            </w:pPr>
            <w:r>
              <w:rPr>
                <w:sz w:val="21"/>
              </w:rPr>
              <w:t>6、严重原发性肺动脉高压。</w:t>
            </w:r>
          </w:p>
        </w:tc>
        <w:tc>
          <w:tcPr>
            <w:tcW w:w="2175" w:type="dxa"/>
          </w:tcPr>
          <w:p>
            <w:pPr>
              <w:pStyle w:val="TableParagraph"/>
              <w:spacing w:line="273" w:lineRule="auto"/>
              <w:ind w:right="37"/>
              <w:rPr>
                <w:sz w:val="21"/>
              </w:rPr>
            </w:pPr>
            <w:r>
              <w:rPr>
                <w:sz w:val="21"/>
              </w:rPr>
              <w:t>1、急性或亚急性重症肝炎；</w:t>
            </w:r>
          </w:p>
          <w:p>
            <w:pPr>
              <w:pStyle w:val="TableParagraph"/>
              <w:spacing w:line="273" w:lineRule="auto" w:before="20"/>
              <w:ind w:right="37"/>
              <w:rPr>
                <w:sz w:val="21"/>
              </w:rPr>
            </w:pPr>
            <w:r>
              <w:rPr>
                <w:sz w:val="21"/>
              </w:rPr>
              <w:t>2、重型再生障碍性贫血；</w:t>
            </w:r>
          </w:p>
          <w:p>
            <w:pPr>
              <w:pStyle w:val="TableParagraph"/>
              <w:spacing w:line="273" w:lineRule="auto" w:before="7"/>
              <w:ind w:right="37"/>
              <w:rPr>
                <w:sz w:val="21"/>
              </w:rPr>
            </w:pPr>
            <w:r>
              <w:rPr>
                <w:sz w:val="21"/>
              </w:rPr>
              <w:t>3、急性出血坏死性胰腺炎；</w:t>
            </w:r>
          </w:p>
          <w:p>
            <w:pPr>
              <w:pStyle w:val="TableParagraph"/>
              <w:spacing w:before="7"/>
              <w:rPr>
                <w:sz w:val="21"/>
              </w:rPr>
            </w:pPr>
            <w:r>
              <w:rPr>
                <w:sz w:val="21"/>
              </w:rPr>
              <w:t>4</w:t>
            </w:r>
            <w:r>
              <w:rPr>
                <w:spacing w:val="-14"/>
                <w:sz w:val="21"/>
              </w:rPr>
              <w:t>、严重 </w:t>
            </w:r>
            <w:r>
              <w:rPr>
                <w:sz w:val="21"/>
              </w:rPr>
              <w:t>III</w:t>
            </w:r>
            <w:r>
              <w:rPr>
                <w:spacing w:val="-12"/>
                <w:sz w:val="21"/>
              </w:rPr>
              <w:t> 度烧伤；</w:t>
            </w:r>
          </w:p>
          <w:p>
            <w:pPr>
              <w:pStyle w:val="TableParagraph"/>
              <w:spacing w:before="36"/>
              <w:rPr>
                <w:sz w:val="21"/>
              </w:rPr>
            </w:pPr>
            <w:r>
              <w:rPr>
                <w:sz w:val="21"/>
              </w:rPr>
              <w:t>5、双耳失聪；</w:t>
            </w:r>
          </w:p>
          <w:p>
            <w:pPr>
              <w:pStyle w:val="TableParagraph"/>
              <w:spacing w:before="36"/>
              <w:rPr>
                <w:sz w:val="21"/>
              </w:rPr>
            </w:pPr>
            <w:r>
              <w:rPr>
                <w:sz w:val="21"/>
              </w:rPr>
              <w:t>6、双目失明；</w:t>
            </w:r>
          </w:p>
          <w:p>
            <w:pPr>
              <w:pStyle w:val="TableParagraph"/>
              <w:spacing w:before="36"/>
              <w:rPr>
                <w:sz w:val="21"/>
              </w:rPr>
            </w:pPr>
            <w:r>
              <w:rPr>
                <w:sz w:val="21"/>
              </w:rPr>
              <w:t>7、多个肢体缺失；</w:t>
            </w:r>
          </w:p>
          <w:p>
            <w:pPr>
              <w:pStyle w:val="TableParagraph"/>
              <w:spacing w:line="273" w:lineRule="auto" w:before="36"/>
              <w:ind w:right="74"/>
              <w:rPr>
                <w:sz w:val="21"/>
              </w:rPr>
            </w:pPr>
            <w:r>
              <w:rPr>
                <w:sz w:val="21"/>
              </w:rPr>
              <w:t>8 、严重阿尔茨海默症。</w:t>
            </w:r>
          </w:p>
        </w:tc>
      </w:tr>
    </w:tbl>
    <w:sectPr>
      <w:pgSz w:w="11910" w:h="16840"/>
      <w:pgMar w:top="10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5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02" w:hanging="738"/>
      </w:pPr>
      <w:rPr>
        <w:rFonts w:hint="default"/>
      </w:rPr>
    </w:lvl>
    <w:lvl w:ilvl="4">
      <w:start w:val="0"/>
      <w:numFmt w:val="bullet"/>
      <w:lvlText w:val="•"/>
      <w:lvlJc w:val="left"/>
      <w:pPr>
        <w:ind w:left="3576" w:hanging="738"/>
      </w:pPr>
      <w:rPr>
        <w:rFonts w:hint="default"/>
      </w:rPr>
    </w:lvl>
    <w:lvl w:ilvl="5">
      <w:start w:val="0"/>
      <w:numFmt w:val="bullet"/>
      <w:lvlText w:val="•"/>
      <w:lvlJc w:val="left"/>
      <w:pPr>
        <w:ind w:left="4250" w:hanging="738"/>
      </w:pPr>
      <w:rPr>
        <w:rFonts w:hint="default"/>
      </w:rPr>
    </w:lvl>
    <w:lvl w:ilvl="6">
      <w:start w:val="0"/>
      <w:numFmt w:val="bullet"/>
      <w:lvlText w:val="•"/>
      <w:lvlJc w:val="left"/>
      <w:pPr>
        <w:ind w:left="4924" w:hanging="738"/>
      </w:pPr>
      <w:rPr>
        <w:rFonts w:hint="default"/>
      </w:rPr>
    </w:lvl>
    <w:lvl w:ilvl="7">
      <w:start w:val="0"/>
      <w:numFmt w:val="bullet"/>
      <w:lvlText w:val="•"/>
      <w:lvlJc w:val="left"/>
      <w:pPr>
        <w:ind w:left="5598" w:hanging="738"/>
      </w:pPr>
      <w:rPr>
        <w:rFonts w:hint="default"/>
      </w:rPr>
    </w:lvl>
    <w:lvl w:ilvl="8">
      <w:start w:val="0"/>
      <w:numFmt w:val="bullet"/>
      <w:lvlText w:val="•"/>
      <w:lvlJc w:val="left"/>
      <w:pPr>
        <w:ind w:left="6272" w:hanging="738"/>
      </w:pPr>
      <w:rPr>
        <w:rFonts w:hint="default"/>
      </w:rPr>
    </w:lvl>
  </w:abstractNum>
  <w:abstractNum w:abstractNumId="30">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8" w:hanging="738"/>
      </w:pPr>
      <w:rPr>
        <w:rFonts w:hint="default"/>
      </w:rPr>
    </w:lvl>
    <w:lvl w:ilvl="4">
      <w:start w:val="0"/>
      <w:numFmt w:val="bullet"/>
      <w:lvlText w:val="•"/>
      <w:lvlJc w:val="left"/>
      <w:pPr>
        <w:ind w:left="3564" w:hanging="738"/>
      </w:pPr>
      <w:rPr>
        <w:rFonts w:hint="default"/>
      </w:rPr>
    </w:lvl>
    <w:lvl w:ilvl="5">
      <w:start w:val="0"/>
      <w:numFmt w:val="bullet"/>
      <w:lvlText w:val="•"/>
      <w:lvlJc w:val="left"/>
      <w:pPr>
        <w:ind w:left="4240" w:hanging="738"/>
      </w:pPr>
      <w:rPr>
        <w:rFonts w:hint="default"/>
      </w:rPr>
    </w:lvl>
    <w:lvl w:ilvl="6">
      <w:start w:val="0"/>
      <w:numFmt w:val="bullet"/>
      <w:lvlText w:val="•"/>
      <w:lvlJc w:val="left"/>
      <w:pPr>
        <w:ind w:left="4916" w:hanging="738"/>
      </w:pPr>
      <w:rPr>
        <w:rFonts w:hint="default"/>
      </w:rPr>
    </w:lvl>
    <w:lvl w:ilvl="7">
      <w:start w:val="0"/>
      <w:numFmt w:val="bullet"/>
      <w:lvlText w:val="•"/>
      <w:lvlJc w:val="left"/>
      <w:pPr>
        <w:ind w:left="5592" w:hanging="738"/>
      </w:pPr>
      <w:rPr>
        <w:rFonts w:hint="default"/>
      </w:rPr>
    </w:lvl>
    <w:lvl w:ilvl="8">
      <w:start w:val="0"/>
      <w:numFmt w:val="bullet"/>
      <w:lvlText w:val="•"/>
      <w:lvlJc w:val="left"/>
      <w:pPr>
        <w:ind w:left="6268" w:hanging="738"/>
      </w:pPr>
      <w:rPr>
        <w:rFonts w:hint="default"/>
      </w:rPr>
    </w:lvl>
  </w:abstractNum>
  <w:abstractNum w:abstractNumId="29">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14" w:hanging="738"/>
      </w:pPr>
      <w:rPr>
        <w:rFonts w:hint="default"/>
      </w:rPr>
    </w:lvl>
    <w:lvl w:ilvl="6">
      <w:start w:val="0"/>
      <w:numFmt w:val="bullet"/>
      <w:lvlText w:val="•"/>
      <w:lvlJc w:val="left"/>
      <w:pPr>
        <w:ind w:left="4997" w:hanging="738"/>
      </w:pPr>
      <w:rPr>
        <w:rFonts w:hint="default"/>
      </w:rPr>
    </w:lvl>
    <w:lvl w:ilvl="7">
      <w:start w:val="0"/>
      <w:numFmt w:val="bullet"/>
      <w:lvlText w:val="•"/>
      <w:lvlJc w:val="left"/>
      <w:pPr>
        <w:ind w:left="5680" w:hanging="738"/>
      </w:pPr>
      <w:rPr>
        <w:rFonts w:hint="default"/>
      </w:rPr>
    </w:lvl>
    <w:lvl w:ilvl="8">
      <w:start w:val="0"/>
      <w:numFmt w:val="bullet"/>
      <w:lvlText w:val="•"/>
      <w:lvlJc w:val="left"/>
      <w:pPr>
        <w:ind w:left="6363" w:hanging="738"/>
      </w:pPr>
      <w:rPr>
        <w:rFonts w:hint="default"/>
      </w:rPr>
    </w:lvl>
  </w:abstractNum>
  <w:abstractNum w:abstractNumId="28">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9" w:hanging="738"/>
      </w:pPr>
      <w:rPr>
        <w:rFonts w:hint="default"/>
      </w:rPr>
    </w:lvl>
    <w:lvl w:ilvl="5">
      <w:start w:val="0"/>
      <w:numFmt w:val="bullet"/>
      <w:lvlText w:val="•"/>
      <w:lvlJc w:val="left"/>
      <w:pPr>
        <w:ind w:left="4304" w:hanging="738"/>
      </w:pPr>
      <w:rPr>
        <w:rFonts w:hint="default"/>
      </w:rPr>
    </w:lvl>
    <w:lvl w:ilvl="6">
      <w:start w:val="0"/>
      <w:numFmt w:val="bullet"/>
      <w:lvlText w:val="•"/>
      <w:lvlJc w:val="left"/>
      <w:pPr>
        <w:ind w:left="4989"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59" w:hanging="738"/>
      </w:pPr>
      <w:rPr>
        <w:rFonts w:hint="default"/>
      </w:rPr>
    </w:lvl>
  </w:abstractNum>
  <w:abstractNum w:abstractNumId="27">
    <w:multiLevelType w:val="hybridMultilevel"/>
    <w:lvl w:ilvl="0">
      <w:start w:val="1"/>
      <w:numFmt w:val="decimal"/>
      <w:lvlText w:val="（%1）"/>
      <w:lvlJc w:val="left"/>
      <w:pPr>
        <w:ind w:left="883" w:hanging="695"/>
        <w:jc w:val="left"/>
      </w:pPr>
      <w:rPr>
        <w:rFonts w:hint="default" w:ascii="宋体" w:hAnsi="宋体" w:eastAsia="宋体" w:cs="宋体"/>
        <w:w w:val="100"/>
        <w:sz w:val="21"/>
        <w:szCs w:val="21"/>
      </w:rPr>
    </w:lvl>
    <w:lvl w:ilvl="1">
      <w:start w:val="0"/>
      <w:numFmt w:val="bullet"/>
      <w:lvlText w:val="•"/>
      <w:lvlJc w:val="left"/>
      <w:pPr>
        <w:ind w:left="1544" w:hanging="695"/>
      </w:pPr>
      <w:rPr>
        <w:rFonts w:hint="default"/>
      </w:rPr>
    </w:lvl>
    <w:lvl w:ilvl="2">
      <w:start w:val="0"/>
      <w:numFmt w:val="bullet"/>
      <w:lvlText w:val="•"/>
      <w:lvlJc w:val="left"/>
      <w:pPr>
        <w:ind w:left="2208" w:hanging="695"/>
      </w:pPr>
      <w:rPr>
        <w:rFonts w:hint="default"/>
      </w:rPr>
    </w:lvl>
    <w:lvl w:ilvl="3">
      <w:start w:val="0"/>
      <w:numFmt w:val="bullet"/>
      <w:lvlText w:val="•"/>
      <w:lvlJc w:val="left"/>
      <w:pPr>
        <w:ind w:left="2872" w:hanging="695"/>
      </w:pPr>
      <w:rPr>
        <w:rFonts w:hint="default"/>
      </w:rPr>
    </w:lvl>
    <w:lvl w:ilvl="4">
      <w:start w:val="0"/>
      <w:numFmt w:val="bullet"/>
      <w:lvlText w:val="•"/>
      <w:lvlJc w:val="left"/>
      <w:pPr>
        <w:ind w:left="3537" w:hanging="695"/>
      </w:pPr>
      <w:rPr>
        <w:rFonts w:hint="default"/>
      </w:rPr>
    </w:lvl>
    <w:lvl w:ilvl="5">
      <w:start w:val="0"/>
      <w:numFmt w:val="bullet"/>
      <w:lvlText w:val="•"/>
      <w:lvlJc w:val="left"/>
      <w:pPr>
        <w:ind w:left="4201" w:hanging="695"/>
      </w:pPr>
      <w:rPr>
        <w:rFonts w:hint="default"/>
      </w:rPr>
    </w:lvl>
    <w:lvl w:ilvl="6">
      <w:start w:val="0"/>
      <w:numFmt w:val="bullet"/>
      <w:lvlText w:val="•"/>
      <w:lvlJc w:val="left"/>
      <w:pPr>
        <w:ind w:left="4865" w:hanging="695"/>
      </w:pPr>
      <w:rPr>
        <w:rFonts w:hint="default"/>
      </w:rPr>
    </w:lvl>
    <w:lvl w:ilvl="7">
      <w:start w:val="0"/>
      <w:numFmt w:val="bullet"/>
      <w:lvlText w:val="•"/>
      <w:lvlJc w:val="left"/>
      <w:pPr>
        <w:ind w:left="5530" w:hanging="695"/>
      </w:pPr>
      <w:rPr>
        <w:rFonts w:hint="default"/>
      </w:rPr>
    </w:lvl>
    <w:lvl w:ilvl="8">
      <w:start w:val="0"/>
      <w:numFmt w:val="bullet"/>
      <w:lvlText w:val="•"/>
      <w:lvlJc w:val="left"/>
      <w:pPr>
        <w:ind w:left="6194" w:hanging="695"/>
      </w:pPr>
      <w:rPr>
        <w:rFonts w:hint="default"/>
      </w:rPr>
    </w:lvl>
  </w:abstractNum>
  <w:abstractNum w:abstractNumId="26">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25">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4">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3">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1">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0">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19">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8">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7">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6">
    <w:multiLevelType w:val="hybridMultilevel"/>
    <w:lvl w:ilvl="0">
      <w:start w:val="3"/>
      <w:numFmt w:val="decimal"/>
      <w:lvlText w:val="（%1）"/>
      <w:lvlJc w:val="left"/>
      <w:pPr>
        <w:ind w:left="869" w:hanging="740"/>
        <w:jc w:val="left"/>
      </w:pPr>
      <w:rPr>
        <w:rFonts w:hint="default" w:ascii="宋体" w:hAnsi="宋体" w:eastAsia="宋体" w:cs="宋体"/>
        <w:w w:val="100"/>
        <w:sz w:val="21"/>
        <w:szCs w:val="21"/>
      </w:rPr>
    </w:lvl>
    <w:lvl w:ilvl="1">
      <w:start w:val="0"/>
      <w:numFmt w:val="bullet"/>
      <w:lvlText w:val="•"/>
      <w:lvlJc w:val="left"/>
      <w:pPr>
        <w:ind w:left="1546" w:hanging="740"/>
      </w:pPr>
      <w:rPr>
        <w:rFonts w:hint="default"/>
      </w:rPr>
    </w:lvl>
    <w:lvl w:ilvl="2">
      <w:start w:val="0"/>
      <w:numFmt w:val="bullet"/>
      <w:lvlText w:val="•"/>
      <w:lvlJc w:val="left"/>
      <w:pPr>
        <w:ind w:left="2232" w:hanging="740"/>
      </w:pPr>
      <w:rPr>
        <w:rFonts w:hint="default"/>
      </w:rPr>
    </w:lvl>
    <w:lvl w:ilvl="3">
      <w:start w:val="0"/>
      <w:numFmt w:val="bullet"/>
      <w:lvlText w:val="•"/>
      <w:lvlJc w:val="left"/>
      <w:pPr>
        <w:ind w:left="2918" w:hanging="740"/>
      </w:pPr>
      <w:rPr>
        <w:rFonts w:hint="default"/>
      </w:rPr>
    </w:lvl>
    <w:lvl w:ilvl="4">
      <w:start w:val="0"/>
      <w:numFmt w:val="bullet"/>
      <w:lvlText w:val="•"/>
      <w:lvlJc w:val="left"/>
      <w:pPr>
        <w:ind w:left="3605" w:hanging="740"/>
      </w:pPr>
      <w:rPr>
        <w:rFonts w:hint="default"/>
      </w:rPr>
    </w:lvl>
    <w:lvl w:ilvl="5">
      <w:start w:val="0"/>
      <w:numFmt w:val="bullet"/>
      <w:lvlText w:val="•"/>
      <w:lvlJc w:val="left"/>
      <w:pPr>
        <w:ind w:left="4291" w:hanging="740"/>
      </w:pPr>
      <w:rPr>
        <w:rFonts w:hint="default"/>
      </w:rPr>
    </w:lvl>
    <w:lvl w:ilvl="6">
      <w:start w:val="0"/>
      <w:numFmt w:val="bullet"/>
      <w:lvlText w:val="•"/>
      <w:lvlJc w:val="left"/>
      <w:pPr>
        <w:ind w:left="4977" w:hanging="740"/>
      </w:pPr>
      <w:rPr>
        <w:rFonts w:hint="default"/>
      </w:rPr>
    </w:lvl>
    <w:lvl w:ilvl="7">
      <w:start w:val="0"/>
      <w:numFmt w:val="bullet"/>
      <w:lvlText w:val="•"/>
      <w:lvlJc w:val="left"/>
      <w:pPr>
        <w:ind w:left="5664" w:hanging="740"/>
      </w:pPr>
      <w:rPr>
        <w:rFonts w:hint="default"/>
      </w:rPr>
    </w:lvl>
    <w:lvl w:ilvl="8">
      <w:start w:val="0"/>
      <w:numFmt w:val="bullet"/>
      <w:lvlText w:val="•"/>
      <w:lvlJc w:val="left"/>
      <w:pPr>
        <w:ind w:left="6350" w:hanging="740"/>
      </w:pPr>
      <w:rPr>
        <w:rFonts w:hint="default"/>
      </w:rPr>
    </w:lvl>
  </w:abstractNum>
  <w:abstractNum w:abstractNumId="15">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4">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921"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5" w:hanging="721"/>
      </w:pPr>
      <w:rPr>
        <w:rFonts w:hint="default"/>
      </w:rPr>
    </w:lvl>
  </w:abstractNum>
  <w:abstractNum w:abstractNumId="10">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869" w:hanging="721"/>
        <w:jc w:val="left"/>
      </w:pPr>
      <w:rPr>
        <w:rFonts w:hint="default" w:ascii="黑体" w:hAnsi="黑体" w:eastAsia="黑体" w:cs="黑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6" w:hanging="721"/>
      </w:pPr>
      <w:rPr>
        <w:rFonts w:hint="default"/>
      </w:rPr>
    </w:lvl>
    <w:lvl w:ilvl="5">
      <w:start w:val="0"/>
      <w:numFmt w:val="bullet"/>
      <w:lvlText w:val="•"/>
      <w:lvlJc w:val="left"/>
      <w:pPr>
        <w:ind w:left="4280" w:hanging="721"/>
      </w:pPr>
      <w:rPr>
        <w:rFonts w:hint="default"/>
      </w:rPr>
    </w:lvl>
    <w:lvl w:ilvl="6">
      <w:start w:val="0"/>
      <w:numFmt w:val="bullet"/>
      <w:lvlText w:val="•"/>
      <w:lvlJc w:val="left"/>
      <w:pPr>
        <w:ind w:left="4964" w:hanging="721"/>
      </w:pPr>
      <w:rPr>
        <w:rFonts w:hint="default"/>
      </w:rPr>
    </w:lvl>
    <w:lvl w:ilvl="7">
      <w:start w:val="0"/>
      <w:numFmt w:val="bullet"/>
      <w:lvlText w:val="•"/>
      <w:lvlJc w:val="left"/>
      <w:pPr>
        <w:ind w:left="5648" w:hanging="721"/>
      </w:pPr>
      <w:rPr>
        <w:rFonts w:hint="default"/>
      </w:rPr>
    </w:lvl>
    <w:lvl w:ilvl="8">
      <w:start w:val="0"/>
      <w:numFmt w:val="bullet"/>
      <w:lvlText w:val="•"/>
      <w:lvlJc w:val="left"/>
      <w:pPr>
        <w:ind w:left="6332" w:hanging="721"/>
      </w:pPr>
      <w:rPr>
        <w:rFonts w:hint="default"/>
      </w:rPr>
    </w:lvl>
  </w:abstractNum>
  <w:abstractNum w:abstractNumId="8">
    <w:multiLevelType w:val="hybridMultilevel"/>
    <w:lvl w:ilvl="0">
      <w:start w:val="10"/>
      <w:numFmt w:val="decimal"/>
      <w:lvlText w:val="%1"/>
      <w:lvlJc w:val="left"/>
      <w:pPr>
        <w:ind w:left="718" w:hanging="526"/>
        <w:jc w:val="left"/>
      </w:pPr>
      <w:rPr>
        <w:rFonts w:hint="default"/>
      </w:rPr>
    </w:lvl>
    <w:lvl w:ilvl="1">
      <w:start w:val="4"/>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411" w:hanging="526"/>
      </w:pPr>
      <w:rPr>
        <w:rFonts w:hint="default"/>
      </w:rPr>
    </w:lvl>
    <w:lvl w:ilvl="3">
      <w:start w:val="0"/>
      <w:numFmt w:val="bullet"/>
      <w:lvlText w:val="•"/>
      <w:lvlJc w:val="left"/>
      <w:pPr>
        <w:ind w:left="1757"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448" w:hanging="526"/>
      </w:pPr>
      <w:rPr>
        <w:rFonts w:hint="default"/>
      </w:rPr>
    </w:lvl>
    <w:lvl w:ilvl="6">
      <w:start w:val="0"/>
      <w:numFmt w:val="bullet"/>
      <w:lvlText w:val="•"/>
      <w:lvlJc w:val="left"/>
      <w:pPr>
        <w:ind w:left="2794" w:hanging="526"/>
      </w:pPr>
      <w:rPr>
        <w:rFonts w:hint="default"/>
      </w:rPr>
    </w:lvl>
    <w:lvl w:ilvl="7">
      <w:start w:val="0"/>
      <w:numFmt w:val="bullet"/>
      <w:lvlText w:val="•"/>
      <w:lvlJc w:val="left"/>
      <w:pPr>
        <w:ind w:left="3139" w:hanging="526"/>
      </w:pPr>
      <w:rPr>
        <w:rFonts w:hint="default"/>
      </w:rPr>
    </w:lvl>
    <w:lvl w:ilvl="8">
      <w:start w:val="0"/>
      <w:numFmt w:val="bullet"/>
      <w:lvlText w:val="•"/>
      <w:lvlJc w:val="left"/>
      <w:pPr>
        <w:ind w:left="3485" w:hanging="526"/>
      </w:pPr>
      <w:rPr>
        <w:rFonts w:hint="default"/>
      </w:rPr>
    </w:lvl>
  </w:abstractNum>
  <w:abstractNum w:abstractNumId="7">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1" w:hanging="527"/>
      </w:pPr>
      <w:rPr>
        <w:rFonts w:hint="default"/>
      </w:rPr>
    </w:lvl>
    <w:lvl w:ilvl="4">
      <w:start w:val="0"/>
      <w:numFmt w:val="bullet"/>
      <w:lvlText w:val="•"/>
      <w:lvlJc w:val="left"/>
      <w:pPr>
        <w:ind w:left="1841" w:hanging="527"/>
      </w:pPr>
      <w:rPr>
        <w:rFonts w:hint="default"/>
      </w:rPr>
    </w:lvl>
    <w:lvl w:ilvl="5">
      <w:start w:val="0"/>
      <w:numFmt w:val="bullet"/>
      <w:lvlText w:val="•"/>
      <w:lvlJc w:val="left"/>
      <w:pPr>
        <w:ind w:left="2082" w:hanging="527"/>
      </w:pPr>
      <w:rPr>
        <w:rFonts w:hint="default"/>
      </w:rPr>
    </w:lvl>
    <w:lvl w:ilvl="6">
      <w:start w:val="0"/>
      <w:numFmt w:val="bullet"/>
      <w:lvlText w:val="•"/>
      <w:lvlJc w:val="left"/>
      <w:pPr>
        <w:ind w:left="2322" w:hanging="527"/>
      </w:pPr>
      <w:rPr>
        <w:rFonts w:hint="default"/>
      </w:rPr>
    </w:lvl>
    <w:lvl w:ilvl="7">
      <w:start w:val="0"/>
      <w:numFmt w:val="bullet"/>
      <w:lvlText w:val="•"/>
      <w:lvlJc w:val="left"/>
      <w:pPr>
        <w:ind w:left="2562" w:hanging="527"/>
      </w:pPr>
      <w:rPr>
        <w:rFonts w:hint="default"/>
      </w:rPr>
    </w:lvl>
    <w:lvl w:ilvl="8">
      <w:start w:val="0"/>
      <w:numFmt w:val="bullet"/>
      <w:lvlText w:val="•"/>
      <w:lvlJc w:val="left"/>
      <w:pPr>
        <w:ind w:left="2803" w:hanging="527"/>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4">
    <w:multiLevelType w:val="hybridMultilevel"/>
    <w:lvl w:ilvl="0">
      <w:start w:val="4"/>
      <w:numFmt w:val="decimal"/>
      <w:lvlText w:val="%1"/>
      <w:lvlJc w:val="left"/>
      <w:pPr>
        <w:ind w:left="778" w:hanging="419"/>
        <w:jc w:val="left"/>
      </w:pPr>
      <w:rPr>
        <w:rFonts w:hint="default"/>
      </w:rPr>
    </w:lvl>
    <w:lvl w:ilvl="1">
      <w:start w:val="1"/>
      <w:numFmt w:val="decimal"/>
      <w:lvlText w:val="%1.%2"/>
      <w:lvlJc w:val="left"/>
      <w:pPr>
        <w:ind w:left="778" w:hanging="419"/>
        <w:jc w:val="left"/>
      </w:pPr>
      <w:rPr>
        <w:rFonts w:hint="default" w:ascii="宋体" w:hAnsi="宋体" w:eastAsia="宋体" w:cs="宋体"/>
        <w:spacing w:val="-3"/>
        <w:w w:val="100"/>
        <w:sz w:val="21"/>
        <w:szCs w:val="21"/>
      </w:rPr>
    </w:lvl>
    <w:lvl w:ilvl="2">
      <w:start w:val="0"/>
      <w:numFmt w:val="bullet"/>
      <w:lvlText w:val="•"/>
      <w:lvlJc w:val="left"/>
      <w:pPr>
        <w:ind w:left="1280" w:hanging="419"/>
      </w:pPr>
      <w:rPr>
        <w:rFonts w:hint="default"/>
      </w:rPr>
    </w:lvl>
    <w:lvl w:ilvl="3">
      <w:start w:val="0"/>
      <w:numFmt w:val="bullet"/>
      <w:lvlText w:val="•"/>
      <w:lvlJc w:val="left"/>
      <w:pPr>
        <w:ind w:left="1531" w:hanging="419"/>
      </w:pPr>
      <w:rPr>
        <w:rFonts w:hint="default"/>
      </w:rPr>
    </w:lvl>
    <w:lvl w:ilvl="4">
      <w:start w:val="0"/>
      <w:numFmt w:val="bullet"/>
      <w:lvlText w:val="•"/>
      <w:lvlJc w:val="left"/>
      <w:pPr>
        <w:ind w:left="1781" w:hanging="419"/>
      </w:pPr>
      <w:rPr>
        <w:rFonts w:hint="default"/>
      </w:rPr>
    </w:lvl>
    <w:lvl w:ilvl="5">
      <w:start w:val="0"/>
      <w:numFmt w:val="bullet"/>
      <w:lvlText w:val="•"/>
      <w:lvlJc w:val="left"/>
      <w:pPr>
        <w:ind w:left="2032" w:hanging="419"/>
      </w:pPr>
      <w:rPr>
        <w:rFonts w:hint="default"/>
      </w:rPr>
    </w:lvl>
    <w:lvl w:ilvl="6">
      <w:start w:val="0"/>
      <w:numFmt w:val="bullet"/>
      <w:lvlText w:val="•"/>
      <w:lvlJc w:val="left"/>
      <w:pPr>
        <w:ind w:left="2282" w:hanging="419"/>
      </w:pPr>
      <w:rPr>
        <w:rFonts w:hint="default"/>
      </w:rPr>
    </w:lvl>
    <w:lvl w:ilvl="7">
      <w:start w:val="0"/>
      <w:numFmt w:val="bullet"/>
      <w:lvlText w:val="•"/>
      <w:lvlJc w:val="left"/>
      <w:pPr>
        <w:ind w:left="2532" w:hanging="419"/>
      </w:pPr>
      <w:rPr>
        <w:rFonts w:hint="default"/>
      </w:rPr>
    </w:lvl>
    <w:lvl w:ilvl="8">
      <w:start w:val="0"/>
      <w:numFmt w:val="bullet"/>
      <w:lvlText w:val="•"/>
      <w:lvlJc w:val="left"/>
      <w:pPr>
        <w:ind w:left="2783" w:hanging="419"/>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2018-10-20T04:27:26Z</dcterms:created>
  <dcterms:modified xsi:type="dcterms:W3CDTF">2018-10-20T04:27:26Z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