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300" w:lineRule="auto" w:before="32"/>
        <w:ind w:left="8015" w:right="503" w:firstLine="31"/>
        <w:jc w:val="right"/>
        <w:rPr>
          <w:b/>
          <w:sz w:val="18"/>
        </w:rPr>
      </w:pPr>
      <w:r>
        <w:rPr/>
        <w:drawing>
          <wp:anchor distT="0" distB="0" distL="0" distR="0" allowOverlap="1" layoutInCell="1" locked="0" behindDoc="0" simplePos="0" relativeHeight="1072">
            <wp:simplePos x="0" y="0"/>
            <wp:positionH relativeFrom="page">
              <wp:posOffset>5929121</wp:posOffset>
            </wp:positionH>
            <wp:positionV relativeFrom="paragraph">
              <wp:posOffset>444142</wp:posOffset>
            </wp:positionV>
            <wp:extent cx="723900" cy="723899"/>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900" cy="723899"/>
                    </a:xfrm>
                    <a:prstGeom prst="rect">
                      <a:avLst/>
                    </a:prstGeom>
                  </pic:spPr>
                </pic:pic>
              </a:graphicData>
            </a:graphic>
          </wp:anchor>
        </w:drawing>
      </w:r>
      <w:r>
        <w:rPr>
          <w:b/>
          <w:sz w:val="18"/>
        </w:rPr>
        <w:t>中荷人寿</w:t>
      </w:r>
      <w:r>
        <w:rPr>
          <w:rFonts w:ascii="Times New Roman" w:eastAsia="Times New Roman"/>
          <w:b/>
          <w:sz w:val="18"/>
        </w:rPr>
        <w:t>[2010]</w:t>
      </w:r>
      <w:r>
        <w:rPr>
          <w:b/>
          <w:sz w:val="18"/>
        </w:rPr>
        <w:t>疾病保险 </w:t>
      </w:r>
      <w:r>
        <w:rPr>
          <w:rFonts w:ascii="Times New Roman" w:eastAsia="Times New Roman"/>
          <w:b/>
          <w:sz w:val="18"/>
        </w:rPr>
        <w:t>063 </w:t>
      </w:r>
      <w:r>
        <w:rPr>
          <w:b/>
          <w:sz w:val="18"/>
        </w:rPr>
        <w:t>号</w:t>
      </w:r>
    </w:p>
    <w:p>
      <w:pPr>
        <w:pStyle w:val="BodyText"/>
        <w:spacing w:before="5"/>
        <w:rPr>
          <w:b/>
          <w:sz w:val="22"/>
        </w:rPr>
      </w:pPr>
    </w:p>
    <w:p>
      <w:pPr>
        <w:spacing w:after="0"/>
        <w:rPr>
          <w:sz w:val="22"/>
        </w:rPr>
        <w:sectPr>
          <w:type w:val="continuous"/>
          <w:pgSz w:w="11910" w:h="16840"/>
          <w:pgMar w:top="560" w:bottom="280" w:left="1200" w:right="860"/>
        </w:sectPr>
      </w:pPr>
    </w:p>
    <w:p>
      <w:pPr>
        <w:pStyle w:val="Heading1"/>
        <w:spacing w:line="507" w:lineRule="exact"/>
        <w:ind w:left="2624"/>
        <w:jc w:val="center"/>
      </w:pPr>
      <w:r>
        <w:rPr/>
        <w:t>中荷人寿保险有限公司</w:t>
      </w:r>
    </w:p>
    <w:p>
      <w:pPr>
        <w:spacing w:before="67"/>
        <w:ind w:left="2625" w:right="0" w:firstLine="0"/>
        <w:jc w:val="center"/>
        <w:rPr>
          <w:rFonts w:ascii="Malgun Gothic" w:eastAsia="Malgun Gothic" w:hint="eastAsia"/>
          <w:b/>
          <w:sz w:val="18"/>
        </w:rPr>
      </w:pPr>
      <w:r>
        <w:rPr>
          <w:rFonts w:ascii="Malgun Gothic" w:eastAsia="Malgun Gothic" w:hint="eastAsia"/>
          <w:b/>
          <w:w w:val="85"/>
          <w:sz w:val="18"/>
        </w:rPr>
        <w:t>ING－BOB LIFE INSURANCE COMPANY LIMITED</w:t>
      </w:r>
    </w:p>
    <w:p>
      <w:pPr>
        <w:pStyle w:val="BodyText"/>
        <w:spacing w:before="16"/>
        <w:rPr>
          <w:rFonts w:ascii="Malgun Gothic"/>
          <w:b/>
          <w:sz w:val="17"/>
        </w:rPr>
      </w:pPr>
    </w:p>
    <w:p>
      <w:pPr>
        <w:pStyle w:val="Heading1"/>
        <w:ind w:left="2624"/>
        <w:jc w:val="center"/>
      </w:pPr>
      <w:r>
        <w:rPr/>
        <w:t>中荷珍爱一生重大疾病保障计划</w:t>
      </w:r>
    </w:p>
    <w:p>
      <w:pPr>
        <w:pStyle w:val="BodyText"/>
        <w:rPr>
          <w:rFonts w:ascii="微软雅黑"/>
          <w:b/>
          <w:sz w:val="18"/>
        </w:rPr>
      </w:pPr>
      <w:r>
        <w:rPr/>
        <w:br w:type="column"/>
      </w:r>
      <w:r>
        <w:rPr>
          <w:rFonts w:ascii="微软雅黑"/>
          <w:b/>
          <w:sz w:val="18"/>
        </w:rPr>
      </w:r>
    </w:p>
    <w:p>
      <w:pPr>
        <w:pStyle w:val="BodyText"/>
        <w:rPr>
          <w:rFonts w:ascii="微软雅黑"/>
          <w:b/>
          <w:sz w:val="18"/>
        </w:rPr>
      </w:pPr>
    </w:p>
    <w:p>
      <w:pPr>
        <w:pStyle w:val="BodyText"/>
        <w:rPr>
          <w:rFonts w:ascii="微软雅黑"/>
          <w:b/>
          <w:sz w:val="20"/>
        </w:rPr>
      </w:pPr>
    </w:p>
    <w:p>
      <w:pPr>
        <w:spacing w:before="0"/>
        <w:ind w:left="654" w:right="0" w:firstLine="0"/>
        <w:jc w:val="left"/>
        <w:rPr>
          <w:b/>
          <w:sz w:val="18"/>
        </w:rPr>
      </w:pPr>
      <w:r>
        <w:rPr>
          <w:b/>
          <w:w w:val="95"/>
          <w:sz w:val="18"/>
        </w:rPr>
        <w:t>请扫描以查询验证条款</w:t>
      </w:r>
    </w:p>
    <w:p>
      <w:pPr>
        <w:spacing w:after="0"/>
        <w:jc w:val="left"/>
        <w:rPr>
          <w:sz w:val="18"/>
        </w:rPr>
        <w:sectPr>
          <w:type w:val="continuous"/>
          <w:pgSz w:w="11910" w:h="16840"/>
          <w:pgMar w:top="560" w:bottom="280" w:left="1200" w:right="860"/>
          <w:cols w:num="2" w:equalWidth="0">
            <w:col w:w="7111" w:space="40"/>
            <w:col w:w="2699"/>
          </w:cols>
        </w:sectPr>
      </w:pPr>
    </w:p>
    <w:p>
      <w:pPr>
        <w:pStyle w:val="BodyText"/>
        <w:spacing w:before="11"/>
        <w:rPr>
          <w:b/>
          <w:sz w:val="25"/>
        </w:rPr>
      </w:pPr>
    </w:p>
    <w:p>
      <w:pPr>
        <w:pStyle w:val="BodyText"/>
        <w:spacing w:line="20" w:lineRule="exact"/>
        <w:ind w:left="306"/>
        <w:rPr>
          <w:sz w:val="2"/>
        </w:rPr>
      </w:pPr>
      <w:r>
        <w:rPr>
          <w:rFonts w:ascii="Times New Roman"/>
          <w:spacing w:val="5"/>
          <w:sz w:val="2"/>
        </w:rPr>
        <w:t> </w:t>
      </w:r>
      <w:r>
        <w:rPr>
          <w:spacing w:val="5"/>
          <w:sz w:val="2"/>
        </w:rPr>
        <w:pict>
          <v:group style="width:462pt;height:.75pt;mso-position-horizontal-relative:char;mso-position-vertical-relative:line" coordorigin="0,0" coordsize="9240,15">
            <v:line style="position:absolute" from="0,8" to="9240,8" stroked="true" strokeweight=".75pt" strokecolor="#000000">
              <v:stroke dashstyle="solid"/>
            </v:line>
          </v:group>
        </w:pict>
      </w:r>
      <w:r>
        <w:rPr>
          <w:spacing w:val="5"/>
          <w:sz w:val="2"/>
        </w:rPr>
      </w:r>
    </w:p>
    <w:p>
      <w:pPr>
        <w:pStyle w:val="BodyText"/>
        <w:rPr>
          <w:b/>
          <w:sz w:val="20"/>
        </w:rPr>
      </w:pPr>
    </w:p>
    <w:p>
      <w:pPr>
        <w:pStyle w:val="BodyText"/>
        <w:spacing w:before="1"/>
        <w:rPr>
          <w:b/>
          <w:sz w:val="28"/>
        </w:rPr>
      </w:pPr>
    </w:p>
    <w:p>
      <w:pPr>
        <w:pStyle w:val="Heading3"/>
        <w:spacing w:line="237" w:lineRule="auto" w:before="29"/>
        <w:ind w:left="104" w:right="210"/>
      </w:pPr>
      <w:r>
        <w:rPr/>
        <w:t>中荷珍爱一生重大疾病保障计划（</w:t>
      </w:r>
      <w:r>
        <w:rPr>
          <w:spacing w:val="-20"/>
        </w:rPr>
        <w:t>代码 </w:t>
      </w:r>
      <w:r>
        <w:rPr/>
        <w:t>BFCI）由中荷珍爱一生两全保险（</w:t>
      </w:r>
      <w:r>
        <w:rPr>
          <w:spacing w:val="-20"/>
        </w:rPr>
        <w:t>代码 </w:t>
      </w:r>
      <w:r>
        <w:rPr/>
        <w:t>BFEA）和中荷附加珍爱一生定期重大疾病保险（</w:t>
      </w:r>
      <w:r>
        <w:rPr>
          <w:spacing w:val="-26"/>
        </w:rPr>
        <w:t>代码 </w:t>
      </w:r>
      <w:r>
        <w:rPr/>
        <w:t>BFDD）构成，两者同时投保。</w:t>
      </w:r>
    </w:p>
    <w:p>
      <w:pPr>
        <w:pStyle w:val="BodyText"/>
        <w:rPr>
          <w:b/>
          <w:sz w:val="24"/>
        </w:rPr>
      </w:pPr>
    </w:p>
    <w:p>
      <w:pPr>
        <w:pStyle w:val="BodyText"/>
        <w:spacing w:before="11"/>
        <w:rPr>
          <w:b/>
          <w:sz w:val="22"/>
        </w:rPr>
      </w:pPr>
    </w:p>
    <w:p>
      <w:pPr>
        <w:spacing w:before="1"/>
        <w:ind w:left="2611" w:right="2718" w:firstLine="0"/>
        <w:jc w:val="center"/>
        <w:rPr>
          <w:rFonts w:ascii="微软雅黑" w:eastAsia="微软雅黑" w:hint="eastAsia"/>
          <w:b/>
          <w:sz w:val="32"/>
        </w:rPr>
      </w:pPr>
      <w:r>
        <w:rPr>
          <w:rFonts w:ascii="微软雅黑" w:eastAsia="微软雅黑" w:hint="eastAsia"/>
          <w:b/>
          <w:sz w:val="32"/>
        </w:rPr>
        <w:t>中荷珍爱一生两全保险合同条款</w:t>
      </w:r>
    </w:p>
    <w:p>
      <w:pPr>
        <w:pStyle w:val="BodyText"/>
        <w:rPr>
          <w:rFonts w:ascii="微软雅黑"/>
          <w:b/>
          <w:sz w:val="20"/>
        </w:rPr>
      </w:pPr>
    </w:p>
    <w:p>
      <w:pPr>
        <w:pStyle w:val="BodyText"/>
        <w:spacing w:before="5"/>
        <w:rPr>
          <w:rFonts w:ascii="微软雅黑"/>
          <w:b/>
          <w:sz w:val="15"/>
        </w:rPr>
      </w:pPr>
      <w:r>
        <w:rPr/>
        <w:pict>
          <v:shapetype id="_x0000_t202" o:spt="202" coordsize="21600,21600" path="m,l,21600r21600,l21600,xe">
            <v:stroke joinstyle="miter"/>
            <v:path gradientshapeok="t" o:connecttype="rect"/>
          </v:shapetype>
          <v:shape style="position:absolute;margin-left:233.220001pt;margin-top:15.70695pt;width:131.25pt;height:39pt;mso-position-horizontal-relative:page;mso-position-vertical-relative:paragraph;z-index:1048;mso-wrap-distance-left:0;mso-wrap-distance-right:0" type="#_x0000_t202" filled="false" stroked="true" strokeweight="1.02pt" strokecolor="#000000">
            <v:textbox inset="0,0,0,0">
              <w:txbxContent>
                <w:p>
                  <w:pPr>
                    <w:spacing w:before="45"/>
                    <w:ind w:left="421" w:right="0" w:firstLine="0"/>
                    <w:jc w:val="left"/>
                    <w:rPr>
                      <w:rFonts w:ascii="微软雅黑" w:eastAsia="微软雅黑" w:hint="eastAsia"/>
                      <w:b/>
                      <w:sz w:val="32"/>
                    </w:rPr>
                  </w:pPr>
                  <w:r>
                    <w:rPr>
                      <w:rFonts w:ascii="微软雅黑" w:eastAsia="微软雅黑" w:hint="eastAsia"/>
                      <w:b/>
                      <w:sz w:val="32"/>
                    </w:rPr>
                    <w:t>阅  读  提 示</w:t>
                  </w:r>
                </w:p>
              </w:txbxContent>
            </v:textbox>
            <v:stroke linestyle="thinThin" dashstyle="solid"/>
            <w10:wrap type="topAndBottom"/>
          </v:shape>
        </w:pict>
      </w:r>
    </w:p>
    <w:p>
      <w:pPr>
        <w:pStyle w:val="BodyText"/>
        <w:spacing w:before="11"/>
        <w:rPr>
          <w:rFonts w:ascii="微软雅黑"/>
          <w:b/>
          <w:sz w:val="28"/>
        </w:rPr>
      </w:pPr>
    </w:p>
    <w:p>
      <w:pPr>
        <w:pStyle w:val="Heading5"/>
        <w:spacing w:before="1"/>
        <w:ind w:left="104" w:firstLine="0"/>
      </w:pPr>
      <w:r>
        <w:rPr>
          <w:w w:val="95"/>
        </w:rPr>
        <w:t>本阅读提示是为了帮助投保人、被保险人和受益人更好理解条款，对本合同内容的解释以条款正文为准。</w:t>
      </w:r>
    </w:p>
    <w:p>
      <w:pPr>
        <w:pStyle w:val="BodyText"/>
        <w:spacing w:before="11"/>
        <w:rPr>
          <w:b/>
          <w:sz w:val="24"/>
        </w:rPr>
      </w:pPr>
    </w:p>
    <w:p>
      <w:pPr>
        <w:spacing w:before="0"/>
        <w:ind w:left="2611" w:right="2639" w:firstLine="0"/>
        <w:jc w:val="center"/>
        <w:rPr>
          <w:b/>
          <w:sz w:val="24"/>
        </w:rPr>
      </w:pPr>
      <w:r>
        <w:rPr>
          <w:b/>
          <w:sz w:val="24"/>
        </w:rPr>
        <w:t>投保人应当特别注意的事项</w:t>
      </w:r>
    </w:p>
    <w:p>
      <w:pPr>
        <w:pStyle w:val="BodyText"/>
        <w:spacing w:before="22"/>
        <w:ind w:left="1994"/>
      </w:pPr>
      <w:r>
        <w:rPr/>
        <w:t>(投保人是指与我们签订保险合同并按照保险合同规定缴付保险费的人。)</w:t>
      </w:r>
    </w:p>
    <w:p>
      <w:pPr>
        <w:pStyle w:val="BodyText"/>
        <w:tabs>
          <w:tab w:pos="9237" w:val="right" w:leader="dot"/>
        </w:tabs>
        <w:spacing w:before="349"/>
        <w:ind w:left="104"/>
      </w:pPr>
      <w:r>
        <w:rPr/>
        <w:t>投保人在收到保险合同后</w:t>
      </w:r>
      <w:r>
        <w:rPr>
          <w:spacing w:val="-54"/>
        </w:rPr>
        <w:t> </w:t>
      </w:r>
      <w:r>
        <w:rPr/>
        <w:t>10</w:t>
      </w:r>
      <w:r>
        <w:rPr>
          <w:spacing w:val="-53"/>
        </w:rPr>
        <w:t> </w:t>
      </w:r>
      <w:r>
        <w:rPr/>
        <w:t>日内有全额退保的权利.</w:t>
        <w:tab/>
        <w:t>1.4</w:t>
      </w:r>
    </w:p>
    <w:p>
      <w:pPr>
        <w:pStyle w:val="BodyText"/>
        <w:tabs>
          <w:tab w:pos="9235" w:val="right" w:leader="dot"/>
        </w:tabs>
        <w:spacing w:before="37"/>
        <w:ind w:left="104"/>
      </w:pPr>
      <w:r>
        <w:rPr/>
        <w:t>投保人有保单借款的权利.</w:t>
        <w:tab/>
        <w:t>5.1</w:t>
      </w:r>
    </w:p>
    <w:p>
      <w:pPr>
        <w:pStyle w:val="BodyText"/>
        <w:tabs>
          <w:tab w:pos="9234" w:val="right" w:leader="dot"/>
        </w:tabs>
        <w:spacing w:before="37"/>
        <w:ind w:left="104"/>
      </w:pPr>
      <w:r>
        <w:rPr/>
        <w:t>投保人有退保的权利.</w:t>
        <w:tab/>
        <w:t>5.3</w:t>
      </w:r>
    </w:p>
    <w:p>
      <w:pPr>
        <w:pStyle w:val="BodyText"/>
        <w:tabs>
          <w:tab w:pos="9236" w:val="right" w:leader="dot"/>
        </w:tabs>
        <w:spacing w:before="37"/>
        <w:ind w:left="104"/>
      </w:pPr>
      <w:r>
        <w:rPr/>
        <w:t>在某些情况下，我们不承担保险责任.</w:t>
        <w:tab/>
        <w:t>2.4</w:t>
      </w:r>
    </w:p>
    <w:p>
      <w:pPr>
        <w:pStyle w:val="BodyText"/>
        <w:tabs>
          <w:tab w:pos="9236" w:val="right" w:leader="dot"/>
        </w:tabs>
        <w:spacing w:before="37"/>
        <w:ind w:left="104"/>
      </w:pPr>
      <w:r>
        <w:rPr/>
        <w:t>退保会给投保人造成一定的损失，请投保人慎重决策.</w:t>
        <w:tab/>
        <w:t>5.3</w:t>
      </w:r>
    </w:p>
    <w:p>
      <w:pPr>
        <w:pStyle w:val="BodyText"/>
        <w:tabs>
          <w:tab w:pos="9234" w:val="right" w:leader="dot"/>
        </w:tabs>
        <w:spacing w:before="37"/>
        <w:ind w:left="104"/>
      </w:pPr>
      <w:r>
        <w:rPr/>
        <w:t>投保人有如实告知的义务.</w:t>
        <w:tab/>
        <w:t>1.2</w:t>
      </w:r>
    </w:p>
    <w:p>
      <w:pPr>
        <w:pStyle w:val="BodyText"/>
        <w:tabs>
          <w:tab w:pos="9234" w:val="right" w:leader="dot"/>
        </w:tabs>
        <w:spacing w:before="37"/>
        <w:ind w:left="104"/>
      </w:pPr>
      <w:r>
        <w:rPr/>
        <w:t>投保人应当按时缴纳保险费.</w:t>
        <w:tab/>
        <w:t>4.1</w:t>
      </w:r>
    </w:p>
    <w:p>
      <w:pPr>
        <w:pStyle w:val="BodyText"/>
        <w:tabs>
          <w:tab w:pos="9236" w:val="right" w:leader="dot"/>
        </w:tabs>
        <w:spacing w:before="37"/>
        <w:ind w:left="104"/>
      </w:pPr>
      <w:r>
        <w:rPr/>
        <w:t>投保人有及时向我们通知保险事故的义务.</w:t>
        <w:tab/>
        <w:t>3.2</w:t>
      </w:r>
    </w:p>
    <w:p>
      <w:pPr>
        <w:pStyle w:val="BodyText"/>
        <w:tabs>
          <w:tab w:pos="9133" w:val="right" w:leader="dot"/>
        </w:tabs>
        <w:spacing w:before="37"/>
        <w:ind w:left="104"/>
      </w:pPr>
      <w:r>
        <w:rPr/>
        <w:t>我们对一些重要术语进行了解释，并作了</w:t>
      </w:r>
      <w:r>
        <w:rPr>
          <w:b/>
        </w:rPr>
        <w:t>显著标识</w:t>
      </w:r>
      <w:r>
        <w:rPr/>
        <w:t>，请投保人注意.</w:t>
        <w:tab/>
        <w:t>7</w:t>
      </w:r>
    </w:p>
    <w:p>
      <w:pPr>
        <w:pStyle w:val="Heading3"/>
        <w:spacing w:before="325"/>
        <w:ind w:right="2512"/>
        <w:jc w:val="center"/>
      </w:pPr>
      <w:r>
        <w:rPr>
          <w:w w:val="95"/>
        </w:rPr>
        <w:t>被保险人、受益人应当特别注意的事项</w:t>
      </w:r>
    </w:p>
    <w:p>
      <w:pPr>
        <w:pStyle w:val="BodyText"/>
        <w:spacing w:line="273" w:lineRule="auto" w:before="22"/>
        <w:ind w:left="2084" w:right="250" w:hanging="1943"/>
      </w:pPr>
      <w:r>
        <w:rPr/>
        <w:t>（被保险人是指其人身受保险合同保障，并有权申请保险金的人。受益人是指由投保人指定并经被保险人书面同意，或由被保险人指定的享有保险金申请权的人。）</w:t>
      </w:r>
    </w:p>
    <w:p>
      <w:pPr>
        <w:pStyle w:val="BodyText"/>
        <w:tabs>
          <w:tab w:pos="9342" w:val="right" w:leader="dot"/>
        </w:tabs>
        <w:spacing w:before="319"/>
        <w:ind w:left="104"/>
      </w:pPr>
      <w:r>
        <w:rPr/>
        <w:t>被保险人、受益人可以享受本保险提供的保障利益.</w:t>
        <w:tab/>
        <w:t>2.3</w:t>
      </w:r>
    </w:p>
    <w:p>
      <w:pPr>
        <w:pStyle w:val="BodyText"/>
        <w:tabs>
          <w:tab w:pos="9342" w:val="right" w:leader="dot"/>
        </w:tabs>
        <w:spacing w:before="36"/>
        <w:ind w:left="104"/>
      </w:pPr>
      <w:r>
        <w:rPr/>
        <w:t>以被保险人死亡为给付保险金条件的，必须经被保险人书面同意并认可保险金额.</w:t>
        <w:tab/>
        <w:t>2.3</w:t>
      </w:r>
    </w:p>
    <w:p>
      <w:pPr>
        <w:pStyle w:val="BodyText"/>
        <w:tabs>
          <w:tab w:pos="9340" w:val="right" w:leader="dot"/>
        </w:tabs>
        <w:spacing w:before="36"/>
        <w:ind w:left="104"/>
      </w:pPr>
      <w:r>
        <w:rPr/>
        <w:t>在某些情况下，我们不承担保险责任.</w:t>
        <w:tab/>
        <w:t>2.4</w:t>
      </w:r>
    </w:p>
    <w:p>
      <w:pPr>
        <w:pStyle w:val="BodyText"/>
        <w:tabs>
          <w:tab w:pos="9341" w:val="right" w:leader="dot"/>
        </w:tabs>
        <w:spacing w:before="36"/>
        <w:ind w:left="104"/>
      </w:pPr>
      <w:r>
        <w:rPr/>
        <w:t>被保险人有如实告知的义务.</w:t>
        <w:tab/>
        <w:t>1.2</w:t>
      </w:r>
    </w:p>
    <w:p>
      <w:pPr>
        <w:spacing w:after="0"/>
        <w:sectPr>
          <w:type w:val="continuous"/>
          <w:pgSz w:w="11910" w:h="16840"/>
          <w:pgMar w:top="560" w:bottom="280" w:left="1200" w:right="860"/>
        </w:sectPr>
      </w:pPr>
    </w:p>
    <w:p>
      <w:pPr>
        <w:pStyle w:val="BodyText"/>
        <w:tabs>
          <w:tab w:pos="9503" w:val="right" w:leader="dot"/>
        </w:tabs>
        <w:spacing w:before="22"/>
        <w:ind w:left="264"/>
      </w:pPr>
      <w:r>
        <w:rPr/>
        <w:t>被保险人、受益人有及时向我们通知保险事故的义务.</w:t>
        <w:tab/>
        <w:t>3.2</w:t>
      </w:r>
    </w:p>
    <w:p>
      <w:pPr>
        <w:pStyle w:val="BodyText"/>
        <w:tabs>
          <w:tab w:pos="9186" w:val="left" w:leader="dot"/>
        </w:tabs>
        <w:spacing w:before="35"/>
        <w:ind w:left="264"/>
      </w:pPr>
      <w:r>
        <w:rPr/>
        <w:t>受益人须经指定后才有权申请保险金.</w:t>
        <w:tab/>
        <w:t>3.1</w:t>
      </w:r>
    </w:p>
    <w:p>
      <w:pPr>
        <w:pStyle w:val="BodyText"/>
        <w:tabs>
          <w:tab w:pos="9187" w:val="left" w:leader="dot"/>
        </w:tabs>
        <w:spacing w:before="37"/>
        <w:ind w:left="264"/>
      </w:pPr>
      <w:r>
        <w:rPr/>
        <w:t>投保人指定或变更受益人应征得被保险人书面同意.</w:t>
        <w:tab/>
        <w:t>3.1</w:t>
      </w:r>
    </w:p>
    <w:p>
      <w:pPr>
        <w:pStyle w:val="BodyText"/>
        <w:tabs>
          <w:tab w:pos="9503" w:val="right" w:leader="dot"/>
        </w:tabs>
        <w:spacing w:before="37"/>
        <w:ind w:left="264"/>
      </w:pPr>
      <w:r>
        <w:rPr/>
        <w:t>受益人申请保险金的权利应当在一定期间内行使.</w:t>
        <w:tab/>
        <w:t>3.3</w:t>
      </w:r>
    </w:p>
    <w:p>
      <w:pPr>
        <w:pStyle w:val="BodyText"/>
        <w:tabs>
          <w:tab w:pos="9500" w:val="right" w:leader="dot"/>
        </w:tabs>
        <w:spacing w:before="37"/>
        <w:ind w:left="264"/>
      </w:pPr>
      <w:r>
        <w:rPr/>
        <w:t>受益人申请保险金应提供证明文件和资料.</w:t>
        <w:tab/>
        <w:t>3.4</w:t>
      </w:r>
    </w:p>
    <w:p>
      <w:pPr>
        <w:pStyle w:val="BodyText"/>
        <w:tabs>
          <w:tab w:pos="9294" w:val="left" w:leader="dot"/>
        </w:tabs>
        <w:spacing w:before="37"/>
        <w:ind w:left="264"/>
      </w:pPr>
      <w:r>
        <w:rPr/>
        <w:t>我们对一些重要术语进行了解释，并作了</w:t>
      </w:r>
      <w:r>
        <w:rPr>
          <w:b/>
        </w:rPr>
        <w:t>显著标识</w:t>
      </w:r>
      <w:r>
        <w:rPr/>
        <w:t>，请被保险人、受益人注意.</w:t>
        <w:tab/>
        <w:t>7</w:t>
      </w:r>
    </w:p>
    <w:p>
      <w:pPr>
        <w:pStyle w:val="BodyText"/>
        <w:rPr>
          <w:sz w:val="20"/>
        </w:rPr>
      </w:pPr>
    </w:p>
    <w:p>
      <w:pPr>
        <w:pStyle w:val="BodyText"/>
        <w:rPr>
          <w:sz w:val="20"/>
        </w:rPr>
      </w:pPr>
    </w:p>
    <w:p>
      <w:pPr>
        <w:pStyle w:val="BodyText"/>
        <w:spacing w:before="9"/>
        <w:rPr>
          <w:sz w:val="19"/>
        </w:rPr>
      </w:pPr>
      <w:r>
        <w:rPr/>
        <w:pict>
          <v:shape style="position:absolute;margin-left:238.440002pt;margin-top:15.398755pt;width:120.8pt;height:39pt;mso-position-horizontal-relative:page;mso-position-vertical-relative:paragraph;z-index:1096;mso-wrap-distance-left:0;mso-wrap-distance-right:0" type="#_x0000_t202" filled="false" stroked="true" strokeweight="1.02pt" strokecolor="#000000">
            <v:textbox inset="0,0,0,0">
              <w:txbxContent>
                <w:p>
                  <w:pPr>
                    <w:spacing w:before="47"/>
                    <w:ind w:left="316" w:right="0" w:firstLine="0"/>
                    <w:jc w:val="left"/>
                    <w:rPr>
                      <w:rFonts w:ascii="微软雅黑" w:eastAsia="微软雅黑" w:hint="eastAsia"/>
                      <w:b/>
                      <w:sz w:val="32"/>
                    </w:rPr>
                  </w:pPr>
                  <w:r>
                    <w:rPr>
                      <w:rFonts w:ascii="微软雅黑" w:eastAsia="微软雅黑" w:hint="eastAsia"/>
                      <w:b/>
                      <w:sz w:val="32"/>
                    </w:rPr>
                    <w:t>条  款  目 录</w:t>
                  </w:r>
                </w:p>
              </w:txbxContent>
            </v:textbox>
            <v:stroke linestyle="thinThin" dashstyle="solid"/>
            <w10:wrap type="topAndBottom"/>
          </v:shape>
        </w:pict>
      </w:r>
    </w:p>
    <w:p>
      <w:pPr>
        <w:pStyle w:val="BodyText"/>
        <w:spacing w:before="11"/>
        <w:rPr>
          <w:sz w:val="24"/>
        </w:rPr>
      </w:pPr>
    </w:p>
    <w:p>
      <w:pPr>
        <w:pStyle w:val="Heading5"/>
        <w:spacing w:before="1"/>
        <w:ind w:left="1655" w:firstLine="0"/>
      </w:pPr>
      <w:r>
        <w:rPr>
          <w:w w:val="95"/>
        </w:rPr>
        <w:t>在阅读条款正文之前，浏览一下目录有助于对条款结构有一个大致了解。</w:t>
      </w:r>
    </w:p>
    <w:p>
      <w:pPr>
        <w:pStyle w:val="BodyText"/>
        <w:rPr>
          <w:b/>
          <w:sz w:val="20"/>
        </w:rPr>
      </w:pPr>
    </w:p>
    <w:p>
      <w:pPr>
        <w:pStyle w:val="BodyText"/>
        <w:spacing w:before="11"/>
        <w:rPr>
          <w:b/>
          <w:sz w:val="27"/>
        </w:rPr>
      </w:pPr>
    </w:p>
    <w:p>
      <w:pPr>
        <w:tabs>
          <w:tab w:pos="6672" w:val="left" w:leader="none"/>
        </w:tabs>
        <w:spacing w:before="35"/>
        <w:ind w:left="162" w:right="0" w:firstLine="0"/>
        <w:jc w:val="left"/>
        <w:rPr>
          <w:b/>
          <w:sz w:val="21"/>
        </w:rPr>
      </w:pPr>
      <w:r>
        <w:rPr/>
        <w:pict>
          <v:group style="position:absolute;margin-left:214.679977pt;margin-top:1.534302pt;width:166.9pt;height:411.25pt;mso-position-horizontal-relative:page;mso-position-vertical-relative:paragraph;z-index:-68560" coordorigin="4294,31" coordsize="3338,8225">
            <v:shape style="position:absolute;left:4293;top:30;width:3338;height:8225" type="#_x0000_t75" stroked="false">
              <v:imagedata r:id="rId6" o:title=""/>
            </v:shape>
            <v:shape style="position:absolute;left:4423;top:99;width:1285;height:210" type="#_x0000_t202" filled="false" stroked="false">
              <v:textbox inset="0,0,0,0">
                <w:txbxContent>
                  <w:p>
                    <w:pPr>
                      <w:spacing w:line="210" w:lineRule="exact" w:before="0"/>
                      <w:ind w:left="0" w:right="0" w:firstLine="0"/>
                      <w:jc w:val="left"/>
                      <w:rPr>
                        <w:b/>
                        <w:sz w:val="21"/>
                      </w:rPr>
                    </w:pPr>
                    <w:r>
                      <w:rPr>
                        <w:b/>
                        <w:sz w:val="21"/>
                      </w:rPr>
                      <w:t>4 缴付保险费</w:t>
                    </w:r>
                  </w:p>
                </w:txbxContent>
              </v:textbox>
              <w10:wrap type="none"/>
            </v:shape>
            <v:shape style="position:absolute;left:4632;top:6944;width:2698;height:210" type="#_x0000_t202" filled="false" stroked="false">
              <v:textbox inset="0,0,0,0">
                <w:txbxContent>
                  <w:p>
                    <w:pPr>
                      <w:spacing w:line="210" w:lineRule="exact" w:before="0"/>
                      <w:ind w:left="0" w:right="0" w:firstLine="0"/>
                      <w:jc w:val="left"/>
                      <w:rPr>
                        <w:sz w:val="21"/>
                      </w:rPr>
                    </w:pPr>
                    <w:r>
                      <w:rPr>
                        <w:sz w:val="21"/>
                      </w:rPr>
                      <w:t>6.6</w:t>
                    </w:r>
                    <w:r>
                      <w:rPr>
                        <w:spacing w:val="-8"/>
                        <w:sz w:val="21"/>
                      </w:rPr>
                      <w:t> 未成年人身故保险金限制</w:t>
                    </w:r>
                  </w:p>
                </w:txbxContent>
              </v:textbox>
              <w10:wrap type="none"/>
            </v:shape>
            <w10:wrap type="none"/>
          </v:group>
        </w:pict>
      </w:r>
      <w:r>
        <w:rPr>
          <w:b/>
          <w:sz w:val="21"/>
        </w:rPr>
        <w:t>1</w:t>
      </w:r>
      <w:r>
        <w:rPr>
          <w:b/>
          <w:spacing w:val="12"/>
          <w:sz w:val="21"/>
        </w:rPr>
        <w:t> </w:t>
      </w:r>
      <w:r>
        <w:rPr>
          <w:b/>
          <w:sz w:val="21"/>
        </w:rPr>
        <w:t>投保人与我们的合同</w:t>
        <w:tab/>
        <w:t>7</w:t>
      </w:r>
      <w:r>
        <w:rPr>
          <w:b/>
          <w:spacing w:val="-2"/>
          <w:sz w:val="21"/>
        </w:rPr>
        <w:t> </w:t>
      </w:r>
      <w:r>
        <w:rPr>
          <w:b/>
          <w:sz w:val="21"/>
        </w:rPr>
        <w:t>释义</w:t>
      </w:r>
    </w:p>
    <w:p>
      <w:pPr>
        <w:pStyle w:val="BodyText"/>
        <w:spacing w:before="10"/>
        <w:rPr>
          <w:b/>
          <w:sz w:val="19"/>
        </w:r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8"/>
        <w:gridCol w:w="2923"/>
        <w:gridCol w:w="298"/>
        <w:gridCol w:w="3068"/>
        <w:gridCol w:w="695"/>
        <w:gridCol w:w="2150"/>
      </w:tblGrid>
      <w:tr>
        <w:trPr>
          <w:trHeight w:val="274" w:hRule="atLeast"/>
        </w:trPr>
        <w:tc>
          <w:tcPr>
            <w:tcW w:w="208" w:type="dxa"/>
            <w:vMerge w:val="restart"/>
          </w:tcPr>
          <w:p>
            <w:pPr>
              <w:pStyle w:val="TableParagraph"/>
              <w:rPr>
                <w:rFonts w:ascii="Times New Roman"/>
                <w:sz w:val="20"/>
              </w:rPr>
            </w:pPr>
          </w:p>
        </w:tc>
        <w:tc>
          <w:tcPr>
            <w:tcW w:w="2923" w:type="dxa"/>
          </w:tcPr>
          <w:p>
            <w:pPr>
              <w:pStyle w:val="TableParagraph"/>
              <w:spacing w:line="210" w:lineRule="exact"/>
              <w:ind w:left="52"/>
              <w:rPr>
                <w:sz w:val="21"/>
              </w:rPr>
            </w:pPr>
            <w:r>
              <w:rPr>
                <w:sz w:val="21"/>
              </w:rPr>
              <w:t>1.1 合同构成</w:t>
            </w:r>
          </w:p>
        </w:tc>
        <w:tc>
          <w:tcPr>
            <w:tcW w:w="298" w:type="dxa"/>
          </w:tcPr>
          <w:p>
            <w:pPr>
              <w:pStyle w:val="TableParagraph"/>
              <w:rPr>
                <w:rFonts w:ascii="Times New Roman"/>
                <w:sz w:val="20"/>
              </w:rPr>
            </w:pPr>
          </w:p>
        </w:tc>
        <w:tc>
          <w:tcPr>
            <w:tcW w:w="3068" w:type="dxa"/>
          </w:tcPr>
          <w:p>
            <w:pPr>
              <w:pStyle w:val="TableParagraph"/>
              <w:spacing w:line="210" w:lineRule="exact"/>
              <w:ind w:left="51"/>
              <w:rPr>
                <w:sz w:val="21"/>
              </w:rPr>
            </w:pPr>
            <w:r>
              <w:rPr>
                <w:sz w:val="21"/>
              </w:rPr>
              <w:t>4.1 保险费的缴付</w:t>
            </w:r>
          </w:p>
        </w:tc>
        <w:tc>
          <w:tcPr>
            <w:tcW w:w="695" w:type="dxa"/>
          </w:tcPr>
          <w:p>
            <w:pPr>
              <w:pStyle w:val="TableParagraph"/>
              <w:spacing w:line="210" w:lineRule="exact"/>
              <w:ind w:left="272"/>
              <w:rPr>
                <w:sz w:val="21"/>
              </w:rPr>
            </w:pPr>
            <w:r>
              <w:rPr>
                <w:sz w:val="21"/>
              </w:rPr>
              <w:t>7.1</w:t>
            </w:r>
          </w:p>
        </w:tc>
        <w:tc>
          <w:tcPr>
            <w:tcW w:w="2150" w:type="dxa"/>
          </w:tcPr>
          <w:p>
            <w:pPr>
              <w:pStyle w:val="TableParagraph"/>
              <w:spacing w:line="210" w:lineRule="exact"/>
              <w:ind w:left="102"/>
              <w:rPr>
                <w:sz w:val="21"/>
              </w:rPr>
            </w:pPr>
            <w:r>
              <w:rPr>
                <w:sz w:val="21"/>
              </w:rPr>
              <w:t>保单周年日</w:t>
            </w:r>
          </w:p>
        </w:tc>
      </w:tr>
      <w:tr>
        <w:trPr>
          <w:trHeight w:val="340" w:hRule="atLeast"/>
        </w:trPr>
        <w:tc>
          <w:tcPr>
            <w:tcW w:w="208" w:type="dxa"/>
            <w:vMerge/>
            <w:tcBorders>
              <w:top w:val="nil"/>
            </w:tcBorders>
          </w:tcPr>
          <w:p>
            <w:pPr>
              <w:rPr>
                <w:sz w:val="2"/>
                <w:szCs w:val="2"/>
              </w:rPr>
            </w:pPr>
          </w:p>
        </w:tc>
        <w:tc>
          <w:tcPr>
            <w:tcW w:w="2923" w:type="dxa"/>
          </w:tcPr>
          <w:p>
            <w:pPr>
              <w:pStyle w:val="TableParagraph"/>
              <w:ind w:left="52"/>
              <w:rPr>
                <w:sz w:val="21"/>
              </w:rPr>
            </w:pPr>
            <w:r>
              <w:rPr>
                <w:sz w:val="21"/>
              </w:rPr>
              <w:t>1.2 如实告知</w:t>
            </w:r>
          </w:p>
        </w:tc>
        <w:tc>
          <w:tcPr>
            <w:tcW w:w="298" w:type="dxa"/>
          </w:tcPr>
          <w:p>
            <w:pPr>
              <w:pStyle w:val="TableParagraph"/>
              <w:rPr>
                <w:rFonts w:ascii="Times New Roman"/>
                <w:sz w:val="20"/>
              </w:rPr>
            </w:pPr>
          </w:p>
        </w:tc>
        <w:tc>
          <w:tcPr>
            <w:tcW w:w="3068" w:type="dxa"/>
          </w:tcPr>
          <w:p>
            <w:pPr>
              <w:pStyle w:val="TableParagraph"/>
              <w:ind w:left="51"/>
              <w:rPr>
                <w:sz w:val="21"/>
              </w:rPr>
            </w:pPr>
            <w:r>
              <w:rPr>
                <w:sz w:val="21"/>
              </w:rPr>
              <w:t>4.2 宽限期</w:t>
            </w:r>
          </w:p>
        </w:tc>
        <w:tc>
          <w:tcPr>
            <w:tcW w:w="695" w:type="dxa"/>
          </w:tcPr>
          <w:p>
            <w:pPr>
              <w:pStyle w:val="TableParagraph"/>
              <w:ind w:left="272"/>
              <w:rPr>
                <w:sz w:val="21"/>
              </w:rPr>
            </w:pPr>
            <w:r>
              <w:rPr>
                <w:sz w:val="21"/>
              </w:rPr>
              <w:t>7.2</w:t>
            </w:r>
          </w:p>
        </w:tc>
        <w:tc>
          <w:tcPr>
            <w:tcW w:w="2150" w:type="dxa"/>
          </w:tcPr>
          <w:p>
            <w:pPr>
              <w:pStyle w:val="TableParagraph"/>
              <w:ind w:left="102"/>
              <w:rPr>
                <w:sz w:val="21"/>
              </w:rPr>
            </w:pPr>
            <w:r>
              <w:rPr>
                <w:sz w:val="21"/>
              </w:rPr>
              <w:t>保单年度</w:t>
            </w:r>
          </w:p>
        </w:tc>
      </w:tr>
      <w:tr>
        <w:trPr>
          <w:trHeight w:val="340" w:hRule="atLeast"/>
        </w:trPr>
        <w:tc>
          <w:tcPr>
            <w:tcW w:w="208" w:type="dxa"/>
            <w:vMerge/>
            <w:tcBorders>
              <w:top w:val="nil"/>
            </w:tcBorders>
          </w:tcPr>
          <w:p>
            <w:pPr>
              <w:rPr>
                <w:sz w:val="2"/>
                <w:szCs w:val="2"/>
              </w:rPr>
            </w:pPr>
          </w:p>
        </w:tc>
        <w:tc>
          <w:tcPr>
            <w:tcW w:w="2923" w:type="dxa"/>
          </w:tcPr>
          <w:p>
            <w:pPr>
              <w:pStyle w:val="TableParagraph"/>
              <w:ind w:left="52"/>
              <w:rPr>
                <w:sz w:val="21"/>
              </w:rPr>
            </w:pPr>
            <w:r>
              <w:rPr>
                <w:sz w:val="21"/>
              </w:rPr>
              <w:t>1.3 合同成立及保险责任开始</w:t>
            </w:r>
          </w:p>
        </w:tc>
        <w:tc>
          <w:tcPr>
            <w:tcW w:w="298" w:type="dxa"/>
          </w:tcPr>
          <w:p>
            <w:pPr>
              <w:pStyle w:val="TableParagraph"/>
              <w:rPr>
                <w:rFonts w:ascii="Times New Roman"/>
                <w:sz w:val="20"/>
              </w:rPr>
            </w:pPr>
          </w:p>
        </w:tc>
        <w:tc>
          <w:tcPr>
            <w:tcW w:w="3068" w:type="dxa"/>
          </w:tcPr>
          <w:p>
            <w:pPr>
              <w:pStyle w:val="TableParagraph"/>
              <w:ind w:left="51"/>
              <w:rPr>
                <w:sz w:val="21"/>
              </w:rPr>
            </w:pPr>
            <w:r>
              <w:rPr>
                <w:sz w:val="21"/>
              </w:rPr>
              <w:t>4.3 变更为减额付清保险</w:t>
            </w:r>
          </w:p>
        </w:tc>
        <w:tc>
          <w:tcPr>
            <w:tcW w:w="695" w:type="dxa"/>
          </w:tcPr>
          <w:p>
            <w:pPr>
              <w:pStyle w:val="TableParagraph"/>
              <w:ind w:left="272"/>
              <w:rPr>
                <w:sz w:val="21"/>
              </w:rPr>
            </w:pPr>
            <w:r>
              <w:rPr>
                <w:sz w:val="21"/>
              </w:rPr>
              <w:t>7.3</w:t>
            </w:r>
          </w:p>
        </w:tc>
        <w:tc>
          <w:tcPr>
            <w:tcW w:w="2150" w:type="dxa"/>
          </w:tcPr>
          <w:p>
            <w:pPr>
              <w:pStyle w:val="TableParagraph"/>
              <w:ind w:left="103"/>
              <w:rPr>
                <w:sz w:val="21"/>
              </w:rPr>
            </w:pPr>
            <w:r>
              <w:rPr>
                <w:sz w:val="21"/>
              </w:rPr>
              <w:t>现金价值</w:t>
            </w:r>
          </w:p>
        </w:tc>
      </w:tr>
      <w:tr>
        <w:trPr>
          <w:trHeight w:val="339" w:hRule="atLeast"/>
        </w:trPr>
        <w:tc>
          <w:tcPr>
            <w:tcW w:w="208" w:type="dxa"/>
            <w:vMerge/>
            <w:tcBorders>
              <w:top w:val="nil"/>
            </w:tcBorders>
          </w:tcPr>
          <w:p>
            <w:pPr>
              <w:rPr>
                <w:sz w:val="2"/>
                <w:szCs w:val="2"/>
              </w:rPr>
            </w:pPr>
          </w:p>
        </w:tc>
        <w:tc>
          <w:tcPr>
            <w:tcW w:w="2923" w:type="dxa"/>
          </w:tcPr>
          <w:p>
            <w:pPr>
              <w:pStyle w:val="TableParagraph"/>
              <w:ind w:left="52"/>
              <w:rPr>
                <w:sz w:val="21"/>
              </w:rPr>
            </w:pPr>
            <w:r>
              <w:rPr>
                <w:sz w:val="21"/>
              </w:rPr>
              <w:t>1.4 犹豫期</w:t>
            </w:r>
          </w:p>
        </w:tc>
        <w:tc>
          <w:tcPr>
            <w:tcW w:w="298" w:type="dxa"/>
          </w:tcPr>
          <w:p>
            <w:pPr>
              <w:pStyle w:val="TableParagraph"/>
              <w:rPr>
                <w:rFonts w:ascii="Times New Roman"/>
                <w:sz w:val="20"/>
              </w:rPr>
            </w:pPr>
          </w:p>
        </w:tc>
        <w:tc>
          <w:tcPr>
            <w:tcW w:w="3068" w:type="dxa"/>
          </w:tcPr>
          <w:p>
            <w:pPr>
              <w:pStyle w:val="TableParagraph"/>
              <w:rPr>
                <w:rFonts w:ascii="Times New Roman"/>
                <w:sz w:val="20"/>
              </w:rPr>
            </w:pPr>
          </w:p>
        </w:tc>
        <w:tc>
          <w:tcPr>
            <w:tcW w:w="695" w:type="dxa"/>
          </w:tcPr>
          <w:p>
            <w:pPr>
              <w:pStyle w:val="TableParagraph"/>
              <w:ind w:left="272"/>
              <w:rPr>
                <w:sz w:val="21"/>
              </w:rPr>
            </w:pPr>
            <w:r>
              <w:rPr>
                <w:sz w:val="21"/>
              </w:rPr>
              <w:t>7.4</w:t>
            </w:r>
          </w:p>
        </w:tc>
        <w:tc>
          <w:tcPr>
            <w:tcW w:w="2150" w:type="dxa"/>
          </w:tcPr>
          <w:p>
            <w:pPr>
              <w:pStyle w:val="TableParagraph"/>
              <w:ind w:left="103"/>
              <w:rPr>
                <w:sz w:val="21"/>
              </w:rPr>
            </w:pPr>
            <w:r>
              <w:rPr>
                <w:sz w:val="21"/>
              </w:rPr>
              <w:t>周岁</w:t>
            </w:r>
          </w:p>
        </w:tc>
      </w:tr>
      <w:tr>
        <w:trPr>
          <w:trHeight w:val="340" w:hRule="atLeast"/>
        </w:trPr>
        <w:tc>
          <w:tcPr>
            <w:tcW w:w="208" w:type="dxa"/>
            <w:vMerge/>
            <w:tcBorders>
              <w:top w:val="nil"/>
            </w:tcBorders>
          </w:tcPr>
          <w:p>
            <w:pPr>
              <w:rPr>
                <w:sz w:val="2"/>
                <w:szCs w:val="2"/>
              </w:rPr>
            </w:pPr>
          </w:p>
        </w:tc>
        <w:tc>
          <w:tcPr>
            <w:tcW w:w="2923" w:type="dxa"/>
          </w:tcPr>
          <w:p>
            <w:pPr>
              <w:pStyle w:val="TableParagraph"/>
              <w:rPr>
                <w:rFonts w:ascii="Times New Roman"/>
                <w:sz w:val="20"/>
              </w:rPr>
            </w:pPr>
          </w:p>
        </w:tc>
        <w:tc>
          <w:tcPr>
            <w:tcW w:w="298" w:type="dxa"/>
          </w:tcPr>
          <w:p>
            <w:pPr>
              <w:pStyle w:val="TableParagraph"/>
              <w:rPr>
                <w:rFonts w:ascii="Times New Roman"/>
                <w:sz w:val="20"/>
              </w:rPr>
            </w:pPr>
          </w:p>
        </w:tc>
        <w:tc>
          <w:tcPr>
            <w:tcW w:w="3068" w:type="dxa"/>
          </w:tcPr>
          <w:p>
            <w:pPr>
              <w:pStyle w:val="TableParagraph"/>
              <w:rPr>
                <w:rFonts w:ascii="Times New Roman"/>
                <w:sz w:val="20"/>
              </w:rPr>
            </w:pPr>
          </w:p>
        </w:tc>
        <w:tc>
          <w:tcPr>
            <w:tcW w:w="695" w:type="dxa"/>
          </w:tcPr>
          <w:p>
            <w:pPr>
              <w:pStyle w:val="TableParagraph"/>
              <w:ind w:left="273"/>
              <w:rPr>
                <w:sz w:val="21"/>
              </w:rPr>
            </w:pPr>
            <w:r>
              <w:rPr>
                <w:sz w:val="21"/>
              </w:rPr>
              <w:t>7.5</w:t>
            </w:r>
          </w:p>
        </w:tc>
        <w:tc>
          <w:tcPr>
            <w:tcW w:w="2150" w:type="dxa"/>
          </w:tcPr>
          <w:p>
            <w:pPr>
              <w:pStyle w:val="TableParagraph"/>
              <w:ind w:left="104"/>
              <w:rPr>
                <w:sz w:val="21"/>
              </w:rPr>
            </w:pPr>
            <w:r>
              <w:rPr>
                <w:sz w:val="21"/>
              </w:rPr>
              <w:t>生命末期</w:t>
            </w:r>
          </w:p>
        </w:tc>
      </w:tr>
      <w:tr>
        <w:trPr>
          <w:trHeight w:val="340" w:hRule="atLeast"/>
        </w:trPr>
        <w:tc>
          <w:tcPr>
            <w:tcW w:w="208" w:type="dxa"/>
            <w:vMerge/>
            <w:tcBorders>
              <w:top w:val="nil"/>
            </w:tcBorders>
          </w:tcPr>
          <w:p>
            <w:pPr>
              <w:rPr>
                <w:sz w:val="2"/>
                <w:szCs w:val="2"/>
              </w:rPr>
            </w:pPr>
          </w:p>
        </w:tc>
        <w:tc>
          <w:tcPr>
            <w:tcW w:w="2923" w:type="dxa"/>
          </w:tcPr>
          <w:p>
            <w:pPr>
              <w:pStyle w:val="TableParagraph"/>
              <w:rPr>
                <w:rFonts w:ascii="Times New Roman"/>
                <w:sz w:val="20"/>
              </w:rPr>
            </w:pPr>
          </w:p>
        </w:tc>
        <w:tc>
          <w:tcPr>
            <w:tcW w:w="298" w:type="dxa"/>
          </w:tcPr>
          <w:p>
            <w:pPr>
              <w:pStyle w:val="TableParagraph"/>
              <w:rPr>
                <w:rFonts w:ascii="Times New Roman"/>
                <w:sz w:val="20"/>
              </w:rPr>
            </w:pPr>
          </w:p>
        </w:tc>
        <w:tc>
          <w:tcPr>
            <w:tcW w:w="3068" w:type="dxa"/>
          </w:tcPr>
          <w:p>
            <w:pPr>
              <w:pStyle w:val="TableParagraph"/>
              <w:rPr>
                <w:rFonts w:ascii="Times New Roman"/>
                <w:sz w:val="20"/>
              </w:rPr>
            </w:pPr>
          </w:p>
        </w:tc>
        <w:tc>
          <w:tcPr>
            <w:tcW w:w="695" w:type="dxa"/>
          </w:tcPr>
          <w:p>
            <w:pPr>
              <w:pStyle w:val="TableParagraph"/>
              <w:ind w:left="273"/>
              <w:rPr>
                <w:sz w:val="21"/>
              </w:rPr>
            </w:pPr>
            <w:r>
              <w:rPr>
                <w:sz w:val="21"/>
              </w:rPr>
              <w:t>7.6</w:t>
            </w:r>
          </w:p>
        </w:tc>
        <w:tc>
          <w:tcPr>
            <w:tcW w:w="2150" w:type="dxa"/>
          </w:tcPr>
          <w:p>
            <w:pPr>
              <w:pStyle w:val="TableParagraph"/>
              <w:ind w:left="103"/>
              <w:rPr>
                <w:sz w:val="21"/>
              </w:rPr>
            </w:pPr>
            <w:r>
              <w:rPr>
                <w:sz w:val="21"/>
              </w:rPr>
              <w:t>意外伤害事故</w:t>
            </w:r>
          </w:p>
        </w:tc>
      </w:tr>
      <w:tr>
        <w:trPr>
          <w:trHeight w:val="339" w:hRule="atLeast"/>
        </w:trPr>
        <w:tc>
          <w:tcPr>
            <w:tcW w:w="208" w:type="dxa"/>
          </w:tcPr>
          <w:p>
            <w:pPr>
              <w:pStyle w:val="TableParagraph"/>
              <w:ind w:right="2"/>
              <w:jc w:val="center"/>
              <w:rPr>
                <w:b/>
                <w:sz w:val="21"/>
              </w:rPr>
            </w:pPr>
            <w:r>
              <w:rPr>
                <w:b/>
                <w:w w:val="99"/>
                <w:sz w:val="21"/>
              </w:rPr>
              <w:t>2</w:t>
            </w:r>
          </w:p>
        </w:tc>
        <w:tc>
          <w:tcPr>
            <w:tcW w:w="2923" w:type="dxa"/>
          </w:tcPr>
          <w:p>
            <w:pPr>
              <w:pStyle w:val="TableParagraph"/>
              <w:ind w:left="54"/>
              <w:rPr>
                <w:b/>
                <w:sz w:val="21"/>
              </w:rPr>
            </w:pPr>
            <w:r>
              <w:rPr>
                <w:b/>
                <w:w w:val="95"/>
                <w:sz w:val="21"/>
              </w:rPr>
              <w:t>我们提供的保障</w:t>
            </w:r>
          </w:p>
        </w:tc>
        <w:tc>
          <w:tcPr>
            <w:tcW w:w="298" w:type="dxa"/>
          </w:tcPr>
          <w:p>
            <w:pPr>
              <w:pStyle w:val="TableParagraph"/>
              <w:ind w:right="51"/>
              <w:jc w:val="right"/>
              <w:rPr>
                <w:b/>
                <w:sz w:val="21"/>
              </w:rPr>
            </w:pPr>
            <w:r>
              <w:rPr>
                <w:b/>
                <w:w w:val="99"/>
                <w:sz w:val="21"/>
              </w:rPr>
              <w:t>5</w:t>
            </w:r>
          </w:p>
        </w:tc>
        <w:tc>
          <w:tcPr>
            <w:tcW w:w="3068" w:type="dxa"/>
          </w:tcPr>
          <w:p>
            <w:pPr>
              <w:pStyle w:val="TableParagraph"/>
              <w:ind w:left="54"/>
              <w:rPr>
                <w:b/>
                <w:sz w:val="21"/>
              </w:rPr>
            </w:pPr>
            <w:r>
              <w:rPr>
                <w:b/>
                <w:w w:val="95"/>
                <w:sz w:val="21"/>
              </w:rPr>
              <w:t>投保人的特别权利及相应义务</w:t>
            </w:r>
          </w:p>
        </w:tc>
        <w:tc>
          <w:tcPr>
            <w:tcW w:w="695" w:type="dxa"/>
          </w:tcPr>
          <w:p>
            <w:pPr>
              <w:pStyle w:val="TableParagraph"/>
              <w:ind w:left="273"/>
              <w:rPr>
                <w:sz w:val="21"/>
              </w:rPr>
            </w:pPr>
            <w:r>
              <w:rPr>
                <w:sz w:val="21"/>
              </w:rPr>
              <w:t>7.7</w:t>
            </w:r>
          </w:p>
        </w:tc>
        <w:tc>
          <w:tcPr>
            <w:tcW w:w="2150" w:type="dxa"/>
          </w:tcPr>
          <w:p>
            <w:pPr>
              <w:pStyle w:val="TableParagraph"/>
              <w:ind w:left="103"/>
              <w:rPr>
                <w:sz w:val="21"/>
              </w:rPr>
            </w:pPr>
            <w:r>
              <w:rPr>
                <w:sz w:val="21"/>
              </w:rPr>
              <w:t>毒品</w:t>
            </w:r>
          </w:p>
        </w:tc>
      </w:tr>
      <w:tr>
        <w:trPr>
          <w:trHeight w:val="340" w:hRule="atLeast"/>
        </w:trPr>
        <w:tc>
          <w:tcPr>
            <w:tcW w:w="208" w:type="dxa"/>
          </w:tcPr>
          <w:p>
            <w:pPr>
              <w:pStyle w:val="TableParagraph"/>
              <w:rPr>
                <w:rFonts w:ascii="Times New Roman"/>
                <w:sz w:val="20"/>
              </w:rPr>
            </w:pPr>
          </w:p>
        </w:tc>
        <w:tc>
          <w:tcPr>
            <w:tcW w:w="2923" w:type="dxa"/>
          </w:tcPr>
          <w:p>
            <w:pPr>
              <w:pStyle w:val="TableParagraph"/>
              <w:ind w:left="52"/>
              <w:rPr>
                <w:sz w:val="21"/>
              </w:rPr>
            </w:pPr>
            <w:r>
              <w:rPr>
                <w:sz w:val="21"/>
              </w:rPr>
              <w:t>2.1 基本保额</w:t>
            </w:r>
          </w:p>
        </w:tc>
        <w:tc>
          <w:tcPr>
            <w:tcW w:w="298" w:type="dxa"/>
          </w:tcPr>
          <w:p>
            <w:pPr>
              <w:pStyle w:val="TableParagraph"/>
              <w:rPr>
                <w:rFonts w:ascii="Times New Roman"/>
                <w:sz w:val="20"/>
              </w:rPr>
            </w:pPr>
          </w:p>
        </w:tc>
        <w:tc>
          <w:tcPr>
            <w:tcW w:w="3068" w:type="dxa"/>
          </w:tcPr>
          <w:p>
            <w:pPr>
              <w:pStyle w:val="TableParagraph"/>
              <w:ind w:left="51"/>
              <w:rPr>
                <w:sz w:val="21"/>
              </w:rPr>
            </w:pPr>
            <w:r>
              <w:rPr>
                <w:sz w:val="21"/>
              </w:rPr>
              <w:t>5.1 保单借款</w:t>
            </w:r>
          </w:p>
        </w:tc>
        <w:tc>
          <w:tcPr>
            <w:tcW w:w="695" w:type="dxa"/>
          </w:tcPr>
          <w:p>
            <w:pPr>
              <w:pStyle w:val="TableParagraph"/>
              <w:ind w:left="272"/>
              <w:rPr>
                <w:sz w:val="21"/>
              </w:rPr>
            </w:pPr>
            <w:r>
              <w:rPr>
                <w:sz w:val="21"/>
              </w:rPr>
              <w:t>7.8</w:t>
            </w:r>
          </w:p>
        </w:tc>
        <w:tc>
          <w:tcPr>
            <w:tcW w:w="2150" w:type="dxa"/>
          </w:tcPr>
          <w:p>
            <w:pPr>
              <w:pStyle w:val="TableParagraph"/>
              <w:ind w:left="102"/>
              <w:rPr>
                <w:sz w:val="21"/>
              </w:rPr>
            </w:pPr>
            <w:r>
              <w:rPr>
                <w:sz w:val="21"/>
              </w:rPr>
              <w:t>酒后驾驶</w:t>
            </w:r>
          </w:p>
        </w:tc>
      </w:tr>
      <w:tr>
        <w:trPr>
          <w:trHeight w:val="346" w:hRule="atLeast"/>
        </w:trPr>
        <w:tc>
          <w:tcPr>
            <w:tcW w:w="208" w:type="dxa"/>
          </w:tcPr>
          <w:p>
            <w:pPr>
              <w:pStyle w:val="TableParagraph"/>
              <w:rPr>
                <w:rFonts w:ascii="Times New Roman"/>
                <w:sz w:val="20"/>
              </w:rPr>
            </w:pPr>
          </w:p>
        </w:tc>
        <w:tc>
          <w:tcPr>
            <w:tcW w:w="2923" w:type="dxa"/>
          </w:tcPr>
          <w:p>
            <w:pPr>
              <w:pStyle w:val="TableParagraph"/>
              <w:ind w:left="52"/>
              <w:rPr>
                <w:sz w:val="21"/>
              </w:rPr>
            </w:pPr>
            <w:r>
              <w:rPr>
                <w:sz w:val="21"/>
              </w:rPr>
              <w:t>2.2 保险金额</w:t>
            </w:r>
          </w:p>
        </w:tc>
        <w:tc>
          <w:tcPr>
            <w:tcW w:w="298" w:type="dxa"/>
          </w:tcPr>
          <w:p>
            <w:pPr>
              <w:pStyle w:val="TableParagraph"/>
              <w:rPr>
                <w:rFonts w:ascii="Times New Roman"/>
                <w:sz w:val="20"/>
              </w:rPr>
            </w:pPr>
          </w:p>
        </w:tc>
        <w:tc>
          <w:tcPr>
            <w:tcW w:w="3068" w:type="dxa"/>
          </w:tcPr>
          <w:p>
            <w:pPr>
              <w:pStyle w:val="TableParagraph"/>
              <w:spacing w:before="14"/>
              <w:ind w:left="51"/>
              <w:rPr>
                <w:sz w:val="21"/>
              </w:rPr>
            </w:pPr>
            <w:r>
              <w:rPr>
                <w:sz w:val="21"/>
              </w:rPr>
              <w:t>5.2 恢复合同效力（复效）</w:t>
            </w:r>
          </w:p>
        </w:tc>
        <w:tc>
          <w:tcPr>
            <w:tcW w:w="695" w:type="dxa"/>
          </w:tcPr>
          <w:p>
            <w:pPr>
              <w:pStyle w:val="TableParagraph"/>
              <w:ind w:left="272"/>
              <w:rPr>
                <w:sz w:val="21"/>
              </w:rPr>
            </w:pPr>
            <w:r>
              <w:rPr>
                <w:sz w:val="21"/>
              </w:rPr>
              <w:t>7.9</w:t>
            </w:r>
          </w:p>
        </w:tc>
        <w:tc>
          <w:tcPr>
            <w:tcW w:w="2150" w:type="dxa"/>
          </w:tcPr>
          <w:p>
            <w:pPr>
              <w:pStyle w:val="TableParagraph"/>
              <w:ind w:left="-2"/>
              <w:rPr>
                <w:sz w:val="21"/>
              </w:rPr>
            </w:pPr>
            <w:r>
              <w:rPr>
                <w:sz w:val="21"/>
              </w:rPr>
              <w:t>无合法有效驾驶证驾驶</w:t>
            </w:r>
          </w:p>
        </w:tc>
      </w:tr>
      <w:tr>
        <w:trPr>
          <w:trHeight w:val="332" w:hRule="atLeast"/>
        </w:trPr>
        <w:tc>
          <w:tcPr>
            <w:tcW w:w="208" w:type="dxa"/>
          </w:tcPr>
          <w:p>
            <w:pPr>
              <w:pStyle w:val="TableParagraph"/>
              <w:rPr>
                <w:rFonts w:ascii="Times New Roman"/>
                <w:sz w:val="20"/>
              </w:rPr>
            </w:pPr>
          </w:p>
        </w:tc>
        <w:tc>
          <w:tcPr>
            <w:tcW w:w="2923" w:type="dxa"/>
          </w:tcPr>
          <w:p>
            <w:pPr>
              <w:pStyle w:val="TableParagraph"/>
              <w:spacing w:line="268" w:lineRule="exact"/>
              <w:ind w:left="52"/>
              <w:rPr>
                <w:sz w:val="21"/>
              </w:rPr>
            </w:pPr>
            <w:r>
              <w:rPr>
                <w:sz w:val="21"/>
              </w:rPr>
              <w:t>2.3 保险责任</w:t>
            </w:r>
          </w:p>
        </w:tc>
        <w:tc>
          <w:tcPr>
            <w:tcW w:w="298" w:type="dxa"/>
          </w:tcPr>
          <w:p>
            <w:pPr>
              <w:pStyle w:val="TableParagraph"/>
              <w:rPr>
                <w:rFonts w:ascii="Times New Roman"/>
                <w:sz w:val="20"/>
              </w:rPr>
            </w:pPr>
          </w:p>
        </w:tc>
        <w:tc>
          <w:tcPr>
            <w:tcW w:w="3068" w:type="dxa"/>
          </w:tcPr>
          <w:p>
            <w:pPr>
              <w:pStyle w:val="TableParagraph"/>
              <w:spacing w:line="268" w:lineRule="exact"/>
              <w:ind w:left="51"/>
              <w:rPr>
                <w:sz w:val="21"/>
              </w:rPr>
            </w:pPr>
            <w:r>
              <w:rPr>
                <w:sz w:val="21"/>
              </w:rPr>
              <w:t>5.3 解除合同（退保）</w:t>
            </w:r>
          </w:p>
        </w:tc>
        <w:tc>
          <w:tcPr>
            <w:tcW w:w="695" w:type="dxa"/>
          </w:tcPr>
          <w:p>
            <w:pPr>
              <w:pStyle w:val="TableParagraph"/>
              <w:spacing w:line="268" w:lineRule="exact"/>
              <w:ind w:left="270"/>
              <w:rPr>
                <w:sz w:val="21"/>
              </w:rPr>
            </w:pPr>
            <w:r>
              <w:rPr>
                <w:sz w:val="21"/>
              </w:rPr>
              <w:t>7.10</w:t>
            </w:r>
          </w:p>
        </w:tc>
        <w:tc>
          <w:tcPr>
            <w:tcW w:w="2150" w:type="dxa"/>
          </w:tcPr>
          <w:p>
            <w:pPr>
              <w:pStyle w:val="TableParagraph"/>
              <w:spacing w:line="268" w:lineRule="exact"/>
              <w:ind w:left="100"/>
              <w:rPr>
                <w:sz w:val="21"/>
              </w:rPr>
            </w:pPr>
            <w:r>
              <w:rPr>
                <w:sz w:val="21"/>
              </w:rPr>
              <w:t>无有效行驶证</w:t>
            </w:r>
          </w:p>
        </w:tc>
      </w:tr>
      <w:tr>
        <w:trPr>
          <w:trHeight w:val="340" w:hRule="atLeast"/>
        </w:trPr>
        <w:tc>
          <w:tcPr>
            <w:tcW w:w="208" w:type="dxa"/>
          </w:tcPr>
          <w:p>
            <w:pPr>
              <w:pStyle w:val="TableParagraph"/>
              <w:rPr>
                <w:rFonts w:ascii="Times New Roman"/>
                <w:sz w:val="20"/>
              </w:rPr>
            </w:pPr>
          </w:p>
        </w:tc>
        <w:tc>
          <w:tcPr>
            <w:tcW w:w="2923" w:type="dxa"/>
          </w:tcPr>
          <w:p>
            <w:pPr>
              <w:pStyle w:val="TableParagraph"/>
              <w:ind w:left="52"/>
              <w:rPr>
                <w:sz w:val="21"/>
              </w:rPr>
            </w:pPr>
            <w:r>
              <w:rPr>
                <w:sz w:val="21"/>
              </w:rPr>
              <w:t>2.4 责任免除</w:t>
            </w:r>
          </w:p>
        </w:tc>
        <w:tc>
          <w:tcPr>
            <w:tcW w:w="298" w:type="dxa"/>
          </w:tcPr>
          <w:p>
            <w:pPr>
              <w:pStyle w:val="TableParagraph"/>
              <w:rPr>
                <w:rFonts w:ascii="Times New Roman"/>
                <w:sz w:val="20"/>
              </w:rPr>
            </w:pPr>
          </w:p>
        </w:tc>
        <w:tc>
          <w:tcPr>
            <w:tcW w:w="3068" w:type="dxa"/>
          </w:tcPr>
          <w:p>
            <w:pPr>
              <w:pStyle w:val="TableParagraph"/>
              <w:rPr>
                <w:rFonts w:ascii="Times New Roman"/>
                <w:sz w:val="20"/>
              </w:rPr>
            </w:pPr>
          </w:p>
        </w:tc>
        <w:tc>
          <w:tcPr>
            <w:tcW w:w="695" w:type="dxa"/>
          </w:tcPr>
          <w:p>
            <w:pPr>
              <w:pStyle w:val="TableParagraph"/>
              <w:ind w:left="272"/>
              <w:rPr>
                <w:sz w:val="21"/>
              </w:rPr>
            </w:pPr>
            <w:r>
              <w:rPr>
                <w:sz w:val="21"/>
              </w:rPr>
              <w:t>7.11</w:t>
            </w:r>
          </w:p>
        </w:tc>
        <w:tc>
          <w:tcPr>
            <w:tcW w:w="2150" w:type="dxa"/>
          </w:tcPr>
          <w:p>
            <w:pPr>
              <w:pStyle w:val="TableParagraph"/>
              <w:ind w:left="103"/>
              <w:rPr>
                <w:sz w:val="21"/>
              </w:rPr>
            </w:pPr>
            <w:r>
              <w:rPr>
                <w:sz w:val="21"/>
              </w:rPr>
              <w:t>恐怖活动</w:t>
            </w:r>
          </w:p>
        </w:tc>
      </w:tr>
      <w:tr>
        <w:trPr>
          <w:trHeight w:val="340" w:hRule="atLeast"/>
        </w:trPr>
        <w:tc>
          <w:tcPr>
            <w:tcW w:w="208" w:type="dxa"/>
          </w:tcPr>
          <w:p>
            <w:pPr>
              <w:pStyle w:val="TableParagraph"/>
              <w:rPr>
                <w:rFonts w:ascii="Times New Roman"/>
                <w:sz w:val="20"/>
              </w:rPr>
            </w:pPr>
          </w:p>
        </w:tc>
        <w:tc>
          <w:tcPr>
            <w:tcW w:w="2923" w:type="dxa"/>
          </w:tcPr>
          <w:p>
            <w:pPr>
              <w:pStyle w:val="TableParagraph"/>
              <w:rPr>
                <w:rFonts w:ascii="Times New Roman"/>
                <w:sz w:val="20"/>
              </w:rPr>
            </w:pPr>
          </w:p>
        </w:tc>
        <w:tc>
          <w:tcPr>
            <w:tcW w:w="298" w:type="dxa"/>
          </w:tcPr>
          <w:p>
            <w:pPr>
              <w:pStyle w:val="TableParagraph"/>
              <w:rPr>
                <w:rFonts w:ascii="Times New Roman"/>
                <w:sz w:val="20"/>
              </w:rPr>
            </w:pPr>
          </w:p>
        </w:tc>
        <w:tc>
          <w:tcPr>
            <w:tcW w:w="3068" w:type="dxa"/>
          </w:tcPr>
          <w:p>
            <w:pPr>
              <w:pStyle w:val="TableParagraph"/>
              <w:rPr>
                <w:rFonts w:ascii="Times New Roman"/>
                <w:sz w:val="20"/>
              </w:rPr>
            </w:pPr>
          </w:p>
        </w:tc>
        <w:tc>
          <w:tcPr>
            <w:tcW w:w="695" w:type="dxa"/>
          </w:tcPr>
          <w:p>
            <w:pPr>
              <w:pStyle w:val="TableParagraph"/>
              <w:ind w:left="273"/>
              <w:rPr>
                <w:sz w:val="21"/>
              </w:rPr>
            </w:pPr>
            <w:r>
              <w:rPr>
                <w:sz w:val="21"/>
              </w:rPr>
              <w:t>7.12</w:t>
            </w:r>
          </w:p>
        </w:tc>
        <w:tc>
          <w:tcPr>
            <w:tcW w:w="2150" w:type="dxa"/>
          </w:tcPr>
          <w:p>
            <w:pPr>
              <w:pStyle w:val="TableParagraph"/>
              <w:ind w:left="103"/>
              <w:rPr>
                <w:sz w:val="21"/>
              </w:rPr>
            </w:pPr>
            <w:r>
              <w:rPr>
                <w:sz w:val="21"/>
              </w:rPr>
              <w:t>利率</w:t>
            </w:r>
          </w:p>
        </w:tc>
      </w:tr>
      <w:tr>
        <w:trPr>
          <w:trHeight w:val="651" w:hRule="atLeast"/>
        </w:trPr>
        <w:tc>
          <w:tcPr>
            <w:tcW w:w="208" w:type="dxa"/>
          </w:tcPr>
          <w:p>
            <w:pPr>
              <w:pStyle w:val="TableParagraph"/>
              <w:spacing w:before="11"/>
              <w:rPr>
                <w:b/>
                <w:sz w:val="23"/>
              </w:rPr>
            </w:pPr>
          </w:p>
          <w:p>
            <w:pPr>
              <w:pStyle w:val="TableParagraph"/>
              <w:ind w:right="2"/>
              <w:jc w:val="center"/>
              <w:rPr>
                <w:b/>
                <w:sz w:val="21"/>
              </w:rPr>
            </w:pPr>
            <w:r>
              <w:rPr>
                <w:b/>
                <w:w w:val="99"/>
                <w:sz w:val="21"/>
              </w:rPr>
              <w:t>3</w:t>
            </w:r>
          </w:p>
        </w:tc>
        <w:tc>
          <w:tcPr>
            <w:tcW w:w="2923" w:type="dxa"/>
          </w:tcPr>
          <w:p>
            <w:pPr>
              <w:pStyle w:val="TableParagraph"/>
              <w:spacing w:before="11"/>
              <w:rPr>
                <w:b/>
                <w:sz w:val="23"/>
              </w:rPr>
            </w:pPr>
          </w:p>
          <w:p>
            <w:pPr>
              <w:pStyle w:val="TableParagraph"/>
              <w:ind w:left="54"/>
              <w:rPr>
                <w:b/>
                <w:sz w:val="21"/>
              </w:rPr>
            </w:pPr>
            <w:r>
              <w:rPr>
                <w:b/>
                <w:w w:val="95"/>
                <w:sz w:val="21"/>
              </w:rPr>
              <w:t>申请与给付保险金</w:t>
            </w:r>
          </w:p>
        </w:tc>
        <w:tc>
          <w:tcPr>
            <w:tcW w:w="298" w:type="dxa"/>
          </w:tcPr>
          <w:p>
            <w:pPr>
              <w:pStyle w:val="TableParagraph"/>
              <w:spacing w:before="11"/>
              <w:rPr>
                <w:b/>
                <w:sz w:val="23"/>
              </w:rPr>
            </w:pPr>
          </w:p>
          <w:p>
            <w:pPr>
              <w:pStyle w:val="TableParagraph"/>
              <w:ind w:right="51"/>
              <w:jc w:val="right"/>
              <w:rPr>
                <w:b/>
                <w:sz w:val="21"/>
              </w:rPr>
            </w:pPr>
            <w:r>
              <w:rPr>
                <w:b/>
                <w:w w:val="99"/>
                <w:sz w:val="21"/>
              </w:rPr>
              <w:t>6</w:t>
            </w:r>
          </w:p>
        </w:tc>
        <w:tc>
          <w:tcPr>
            <w:tcW w:w="3068" w:type="dxa"/>
          </w:tcPr>
          <w:p>
            <w:pPr>
              <w:pStyle w:val="TableParagraph"/>
              <w:spacing w:before="11"/>
              <w:rPr>
                <w:b/>
                <w:sz w:val="23"/>
              </w:rPr>
            </w:pPr>
          </w:p>
          <w:p>
            <w:pPr>
              <w:pStyle w:val="TableParagraph"/>
              <w:ind w:left="54"/>
              <w:rPr>
                <w:b/>
                <w:sz w:val="21"/>
              </w:rPr>
            </w:pPr>
            <w:r>
              <w:rPr>
                <w:b/>
                <w:w w:val="95"/>
                <w:sz w:val="21"/>
              </w:rPr>
              <w:t>投保人需要关注的其他事项</w:t>
            </w:r>
          </w:p>
        </w:tc>
        <w:tc>
          <w:tcPr>
            <w:tcW w:w="695" w:type="dxa"/>
          </w:tcPr>
          <w:p>
            <w:pPr>
              <w:pStyle w:val="TableParagraph"/>
              <w:ind w:left="272"/>
              <w:rPr>
                <w:sz w:val="21"/>
              </w:rPr>
            </w:pPr>
            <w:r>
              <w:rPr>
                <w:sz w:val="21"/>
              </w:rPr>
              <w:t>7.13</w:t>
            </w:r>
          </w:p>
        </w:tc>
        <w:tc>
          <w:tcPr>
            <w:tcW w:w="2150" w:type="dxa"/>
          </w:tcPr>
          <w:p>
            <w:pPr>
              <w:pStyle w:val="TableParagraph"/>
              <w:ind w:left="102"/>
              <w:rPr>
                <w:sz w:val="21"/>
              </w:rPr>
            </w:pPr>
            <w:r>
              <w:rPr>
                <w:sz w:val="21"/>
              </w:rPr>
              <w:t>危险保费</w:t>
            </w:r>
          </w:p>
        </w:tc>
      </w:tr>
      <w:tr>
        <w:trPr>
          <w:trHeight w:val="340" w:hRule="atLeast"/>
        </w:trPr>
        <w:tc>
          <w:tcPr>
            <w:tcW w:w="208" w:type="dxa"/>
          </w:tcPr>
          <w:p>
            <w:pPr>
              <w:pStyle w:val="TableParagraph"/>
              <w:rPr>
                <w:rFonts w:ascii="Times New Roman"/>
                <w:sz w:val="20"/>
              </w:rPr>
            </w:pPr>
          </w:p>
        </w:tc>
        <w:tc>
          <w:tcPr>
            <w:tcW w:w="2923" w:type="dxa"/>
          </w:tcPr>
          <w:p>
            <w:pPr>
              <w:pStyle w:val="TableParagraph"/>
              <w:ind w:left="52"/>
              <w:rPr>
                <w:sz w:val="21"/>
              </w:rPr>
            </w:pPr>
            <w:r>
              <w:rPr>
                <w:sz w:val="21"/>
              </w:rPr>
              <w:t>3.1 受益人的指定与变更</w:t>
            </w:r>
          </w:p>
        </w:tc>
        <w:tc>
          <w:tcPr>
            <w:tcW w:w="298" w:type="dxa"/>
          </w:tcPr>
          <w:p>
            <w:pPr>
              <w:pStyle w:val="TableParagraph"/>
              <w:rPr>
                <w:rFonts w:ascii="Times New Roman"/>
                <w:sz w:val="20"/>
              </w:rPr>
            </w:pPr>
          </w:p>
        </w:tc>
        <w:tc>
          <w:tcPr>
            <w:tcW w:w="3068" w:type="dxa"/>
          </w:tcPr>
          <w:p>
            <w:pPr>
              <w:pStyle w:val="TableParagraph"/>
              <w:ind w:left="51"/>
              <w:rPr>
                <w:sz w:val="21"/>
              </w:rPr>
            </w:pPr>
            <w:r>
              <w:rPr>
                <w:sz w:val="21"/>
              </w:rPr>
              <w:t>6.1 欠款扣除</w:t>
            </w:r>
          </w:p>
        </w:tc>
        <w:tc>
          <w:tcPr>
            <w:tcW w:w="695" w:type="dxa"/>
          </w:tcPr>
          <w:p>
            <w:pPr>
              <w:pStyle w:val="TableParagraph"/>
              <w:rPr>
                <w:rFonts w:ascii="Times New Roman"/>
                <w:sz w:val="20"/>
              </w:rPr>
            </w:pPr>
          </w:p>
        </w:tc>
        <w:tc>
          <w:tcPr>
            <w:tcW w:w="2150" w:type="dxa"/>
          </w:tcPr>
          <w:p>
            <w:pPr>
              <w:pStyle w:val="TableParagraph"/>
              <w:rPr>
                <w:rFonts w:ascii="Times New Roman"/>
                <w:sz w:val="20"/>
              </w:rPr>
            </w:pPr>
          </w:p>
        </w:tc>
      </w:tr>
      <w:tr>
        <w:trPr>
          <w:trHeight w:val="340" w:hRule="atLeast"/>
        </w:trPr>
        <w:tc>
          <w:tcPr>
            <w:tcW w:w="208" w:type="dxa"/>
          </w:tcPr>
          <w:p>
            <w:pPr>
              <w:pStyle w:val="TableParagraph"/>
              <w:rPr>
                <w:rFonts w:ascii="Times New Roman"/>
                <w:sz w:val="20"/>
              </w:rPr>
            </w:pPr>
          </w:p>
        </w:tc>
        <w:tc>
          <w:tcPr>
            <w:tcW w:w="2923" w:type="dxa"/>
          </w:tcPr>
          <w:p>
            <w:pPr>
              <w:pStyle w:val="TableParagraph"/>
              <w:ind w:left="52"/>
              <w:rPr>
                <w:sz w:val="21"/>
              </w:rPr>
            </w:pPr>
            <w:r>
              <w:rPr>
                <w:sz w:val="21"/>
              </w:rPr>
              <w:t>3.2 保险事故的通知</w:t>
            </w:r>
          </w:p>
        </w:tc>
        <w:tc>
          <w:tcPr>
            <w:tcW w:w="298" w:type="dxa"/>
          </w:tcPr>
          <w:p>
            <w:pPr>
              <w:pStyle w:val="TableParagraph"/>
              <w:rPr>
                <w:rFonts w:ascii="Times New Roman"/>
                <w:sz w:val="20"/>
              </w:rPr>
            </w:pPr>
          </w:p>
        </w:tc>
        <w:tc>
          <w:tcPr>
            <w:tcW w:w="3068" w:type="dxa"/>
          </w:tcPr>
          <w:p>
            <w:pPr>
              <w:pStyle w:val="TableParagraph"/>
              <w:ind w:left="51"/>
              <w:rPr>
                <w:sz w:val="21"/>
              </w:rPr>
            </w:pPr>
            <w:r>
              <w:rPr>
                <w:sz w:val="21"/>
              </w:rPr>
              <w:t>6.2 合同效力的终止</w:t>
            </w:r>
          </w:p>
        </w:tc>
        <w:tc>
          <w:tcPr>
            <w:tcW w:w="695" w:type="dxa"/>
          </w:tcPr>
          <w:p>
            <w:pPr>
              <w:pStyle w:val="TableParagraph"/>
              <w:rPr>
                <w:rFonts w:ascii="Times New Roman"/>
                <w:sz w:val="20"/>
              </w:rPr>
            </w:pPr>
          </w:p>
        </w:tc>
        <w:tc>
          <w:tcPr>
            <w:tcW w:w="2150" w:type="dxa"/>
          </w:tcPr>
          <w:p>
            <w:pPr>
              <w:pStyle w:val="TableParagraph"/>
              <w:rPr>
                <w:rFonts w:ascii="Times New Roman"/>
                <w:sz w:val="20"/>
              </w:rPr>
            </w:pPr>
          </w:p>
        </w:tc>
      </w:tr>
      <w:tr>
        <w:trPr>
          <w:trHeight w:val="325" w:hRule="atLeast"/>
        </w:trPr>
        <w:tc>
          <w:tcPr>
            <w:tcW w:w="208" w:type="dxa"/>
          </w:tcPr>
          <w:p>
            <w:pPr>
              <w:pStyle w:val="TableParagraph"/>
              <w:rPr>
                <w:rFonts w:ascii="Times New Roman"/>
                <w:sz w:val="20"/>
              </w:rPr>
            </w:pPr>
          </w:p>
        </w:tc>
        <w:tc>
          <w:tcPr>
            <w:tcW w:w="2923" w:type="dxa"/>
          </w:tcPr>
          <w:p>
            <w:pPr>
              <w:pStyle w:val="TableParagraph"/>
              <w:ind w:left="52"/>
              <w:rPr>
                <w:sz w:val="21"/>
              </w:rPr>
            </w:pPr>
            <w:r>
              <w:rPr>
                <w:sz w:val="21"/>
              </w:rPr>
              <w:t>3.3 诉讼时效</w:t>
            </w:r>
          </w:p>
        </w:tc>
        <w:tc>
          <w:tcPr>
            <w:tcW w:w="298" w:type="dxa"/>
          </w:tcPr>
          <w:p>
            <w:pPr>
              <w:pStyle w:val="TableParagraph"/>
              <w:rPr>
                <w:rFonts w:ascii="Times New Roman"/>
                <w:sz w:val="20"/>
              </w:rPr>
            </w:pPr>
          </w:p>
        </w:tc>
        <w:tc>
          <w:tcPr>
            <w:tcW w:w="3068" w:type="dxa"/>
          </w:tcPr>
          <w:p>
            <w:pPr>
              <w:pStyle w:val="TableParagraph"/>
              <w:ind w:left="51"/>
              <w:rPr>
                <w:sz w:val="21"/>
              </w:rPr>
            </w:pPr>
            <w:r>
              <w:rPr>
                <w:sz w:val="21"/>
              </w:rPr>
              <w:t>6.3 年龄计算与错误处理</w:t>
            </w:r>
          </w:p>
        </w:tc>
        <w:tc>
          <w:tcPr>
            <w:tcW w:w="695" w:type="dxa"/>
          </w:tcPr>
          <w:p>
            <w:pPr>
              <w:pStyle w:val="TableParagraph"/>
              <w:rPr>
                <w:rFonts w:ascii="Times New Roman"/>
                <w:sz w:val="20"/>
              </w:rPr>
            </w:pPr>
          </w:p>
        </w:tc>
        <w:tc>
          <w:tcPr>
            <w:tcW w:w="2150" w:type="dxa"/>
          </w:tcPr>
          <w:p>
            <w:pPr>
              <w:pStyle w:val="TableParagraph"/>
              <w:rPr>
                <w:rFonts w:ascii="Times New Roman"/>
                <w:sz w:val="20"/>
              </w:rPr>
            </w:pPr>
          </w:p>
        </w:tc>
      </w:tr>
      <w:tr>
        <w:trPr>
          <w:trHeight w:val="311" w:hRule="atLeast"/>
        </w:trPr>
        <w:tc>
          <w:tcPr>
            <w:tcW w:w="208" w:type="dxa"/>
          </w:tcPr>
          <w:p>
            <w:pPr>
              <w:pStyle w:val="TableParagraph"/>
              <w:rPr>
                <w:rFonts w:ascii="Times New Roman"/>
                <w:sz w:val="20"/>
              </w:rPr>
            </w:pPr>
          </w:p>
        </w:tc>
        <w:tc>
          <w:tcPr>
            <w:tcW w:w="2923" w:type="dxa"/>
          </w:tcPr>
          <w:p>
            <w:pPr>
              <w:pStyle w:val="TableParagraph"/>
              <w:spacing w:line="261" w:lineRule="exact"/>
              <w:ind w:left="52"/>
              <w:rPr>
                <w:sz w:val="21"/>
              </w:rPr>
            </w:pPr>
            <w:r>
              <w:rPr>
                <w:sz w:val="21"/>
              </w:rPr>
              <w:t>3.4 申请保险金应提供的材料</w:t>
            </w:r>
          </w:p>
        </w:tc>
        <w:tc>
          <w:tcPr>
            <w:tcW w:w="298" w:type="dxa"/>
          </w:tcPr>
          <w:p>
            <w:pPr>
              <w:pStyle w:val="TableParagraph"/>
              <w:rPr>
                <w:rFonts w:ascii="Times New Roman"/>
                <w:sz w:val="20"/>
              </w:rPr>
            </w:pPr>
          </w:p>
        </w:tc>
        <w:tc>
          <w:tcPr>
            <w:tcW w:w="3068" w:type="dxa"/>
          </w:tcPr>
          <w:p>
            <w:pPr>
              <w:pStyle w:val="TableParagraph"/>
              <w:spacing w:line="261" w:lineRule="exact"/>
              <w:ind w:left="51"/>
              <w:rPr>
                <w:sz w:val="21"/>
              </w:rPr>
            </w:pPr>
            <w:r>
              <w:rPr>
                <w:sz w:val="21"/>
              </w:rPr>
              <w:t>6.4 通知</w:t>
            </w:r>
          </w:p>
        </w:tc>
        <w:tc>
          <w:tcPr>
            <w:tcW w:w="695" w:type="dxa"/>
          </w:tcPr>
          <w:p>
            <w:pPr>
              <w:pStyle w:val="TableParagraph"/>
              <w:rPr>
                <w:rFonts w:ascii="Times New Roman"/>
                <w:sz w:val="20"/>
              </w:rPr>
            </w:pPr>
          </w:p>
        </w:tc>
        <w:tc>
          <w:tcPr>
            <w:tcW w:w="2150" w:type="dxa"/>
          </w:tcPr>
          <w:p>
            <w:pPr>
              <w:pStyle w:val="TableParagraph"/>
              <w:rPr>
                <w:rFonts w:ascii="Times New Roman"/>
                <w:sz w:val="20"/>
              </w:rPr>
            </w:pPr>
          </w:p>
        </w:tc>
      </w:tr>
      <w:tr>
        <w:trPr>
          <w:trHeight w:val="261" w:hRule="atLeast"/>
        </w:trPr>
        <w:tc>
          <w:tcPr>
            <w:tcW w:w="208" w:type="dxa"/>
          </w:tcPr>
          <w:p>
            <w:pPr>
              <w:pStyle w:val="TableParagraph"/>
              <w:rPr>
                <w:rFonts w:ascii="Times New Roman"/>
                <w:sz w:val="18"/>
              </w:rPr>
            </w:pPr>
          </w:p>
        </w:tc>
        <w:tc>
          <w:tcPr>
            <w:tcW w:w="2923" w:type="dxa"/>
          </w:tcPr>
          <w:p>
            <w:pPr>
              <w:pStyle w:val="TableParagraph"/>
              <w:spacing w:line="241" w:lineRule="exact"/>
              <w:ind w:left="52"/>
              <w:rPr>
                <w:sz w:val="21"/>
              </w:rPr>
            </w:pPr>
            <w:r>
              <w:rPr>
                <w:sz w:val="21"/>
              </w:rPr>
              <w:t>3.5 保险金的给付</w:t>
            </w:r>
          </w:p>
        </w:tc>
        <w:tc>
          <w:tcPr>
            <w:tcW w:w="298" w:type="dxa"/>
          </w:tcPr>
          <w:p>
            <w:pPr>
              <w:pStyle w:val="TableParagraph"/>
              <w:rPr>
                <w:rFonts w:ascii="Times New Roman"/>
                <w:sz w:val="18"/>
              </w:rPr>
            </w:pPr>
          </w:p>
        </w:tc>
        <w:tc>
          <w:tcPr>
            <w:tcW w:w="3068" w:type="dxa"/>
          </w:tcPr>
          <w:p>
            <w:pPr>
              <w:pStyle w:val="TableParagraph"/>
              <w:spacing w:line="241" w:lineRule="exact"/>
              <w:ind w:left="51"/>
              <w:rPr>
                <w:sz w:val="21"/>
              </w:rPr>
            </w:pPr>
            <w:r>
              <w:rPr>
                <w:sz w:val="21"/>
              </w:rPr>
              <w:t>6.5 争议处理</w:t>
            </w:r>
          </w:p>
        </w:tc>
        <w:tc>
          <w:tcPr>
            <w:tcW w:w="695" w:type="dxa"/>
          </w:tcPr>
          <w:p>
            <w:pPr>
              <w:pStyle w:val="TableParagraph"/>
              <w:rPr>
                <w:rFonts w:ascii="Times New Roman"/>
                <w:sz w:val="18"/>
              </w:rPr>
            </w:pPr>
          </w:p>
        </w:tc>
        <w:tc>
          <w:tcPr>
            <w:tcW w:w="2150" w:type="dxa"/>
          </w:tcPr>
          <w:p>
            <w:pPr>
              <w:pStyle w:val="TableParagraph"/>
              <w:rPr>
                <w:rFonts w:ascii="Times New Roman"/>
                <w:sz w:val="18"/>
              </w:rPr>
            </w:pPr>
          </w:p>
        </w:tc>
      </w:tr>
    </w:tbl>
    <w:p>
      <w:pPr>
        <w:pStyle w:val="ListParagraph"/>
        <w:numPr>
          <w:ilvl w:val="1"/>
          <w:numId w:val="1"/>
        </w:numPr>
        <w:tabs>
          <w:tab w:pos="793" w:val="left" w:leader="none"/>
        </w:tabs>
        <w:spacing w:line="240" w:lineRule="auto" w:before="64" w:after="0"/>
        <w:ind w:left="792" w:right="0" w:hanging="420"/>
        <w:jc w:val="left"/>
        <w:rPr>
          <w:sz w:val="21"/>
        </w:rPr>
      </w:pPr>
      <w:r>
        <w:rPr>
          <w:spacing w:val="-1"/>
          <w:sz w:val="21"/>
        </w:rPr>
        <w:t>被保险人失踪的处理</w:t>
      </w:r>
    </w:p>
    <w:p>
      <w:pPr>
        <w:pStyle w:val="ListParagraph"/>
        <w:numPr>
          <w:ilvl w:val="1"/>
          <w:numId w:val="1"/>
        </w:numPr>
        <w:tabs>
          <w:tab w:pos="793" w:val="left" w:leader="none"/>
        </w:tabs>
        <w:spacing w:line="240" w:lineRule="auto" w:before="65" w:after="0"/>
        <w:ind w:left="792" w:right="0" w:hanging="420"/>
        <w:jc w:val="left"/>
        <w:rPr>
          <w:sz w:val="21"/>
        </w:rPr>
      </w:pPr>
      <w:r>
        <w:rPr>
          <w:spacing w:val="-1"/>
          <w:sz w:val="21"/>
        </w:rPr>
        <w:t>身体检查</w:t>
      </w:r>
    </w:p>
    <w:p>
      <w:pPr>
        <w:spacing w:after="0" w:line="240" w:lineRule="auto"/>
        <w:jc w:val="left"/>
        <w:rPr>
          <w:sz w:val="21"/>
        </w:rPr>
        <w:sectPr>
          <w:pgSz w:w="11910" w:h="16840"/>
          <w:pgMar w:top="1460" w:bottom="280" w:left="1040" w:right="1260"/>
        </w:sectPr>
      </w:pPr>
    </w:p>
    <w:p>
      <w:pPr>
        <w:spacing w:line="240" w:lineRule="auto"/>
        <w:ind w:left="3677" w:right="0" w:firstLine="0"/>
        <w:rPr>
          <w:sz w:val="20"/>
        </w:rPr>
      </w:pPr>
      <w:r>
        <w:rPr>
          <w:rFonts w:ascii="Times New Roman"/>
          <w:spacing w:val="-49"/>
          <w:sz w:val="20"/>
        </w:rPr>
        <w:t> </w:t>
      </w:r>
      <w:r>
        <w:rPr>
          <w:spacing w:val="-49"/>
          <w:sz w:val="20"/>
        </w:rPr>
        <w:pict>
          <v:shape style="width:131.3pt;height:39pt;mso-position-horizontal-relative:char;mso-position-vertical-relative:line" type="#_x0000_t202" filled="false" stroked="true" strokeweight="1.02pt" strokecolor="#000000">
            <w10:anchorlock/>
            <v:textbox inset="0,0,0,0">
              <w:txbxContent>
                <w:p>
                  <w:pPr>
                    <w:spacing w:before="45"/>
                    <w:ind w:left="421" w:right="0" w:firstLine="0"/>
                    <w:jc w:val="left"/>
                    <w:rPr>
                      <w:rFonts w:ascii="微软雅黑" w:eastAsia="微软雅黑" w:hint="eastAsia"/>
                      <w:b/>
                      <w:sz w:val="32"/>
                    </w:rPr>
                  </w:pPr>
                  <w:r>
                    <w:rPr>
                      <w:rFonts w:ascii="微软雅黑" w:eastAsia="微软雅黑" w:hint="eastAsia"/>
                      <w:b/>
                      <w:sz w:val="32"/>
                    </w:rPr>
                    <w:t>条  款  正 文</w:t>
                  </w:r>
                </w:p>
              </w:txbxContent>
            </v:textbox>
            <v:stroke linestyle="thinThin" dashstyle="solid"/>
          </v:shape>
        </w:pict>
      </w:r>
      <w:r>
        <w:rPr>
          <w:spacing w:val="-49"/>
          <w:sz w:val="20"/>
        </w:rPr>
      </w:r>
    </w:p>
    <w:p>
      <w:pPr>
        <w:pStyle w:val="BodyText"/>
        <w:spacing w:before="2"/>
        <w:rPr>
          <w:sz w:val="28"/>
        </w:rPr>
      </w:pPr>
    </w:p>
    <w:p>
      <w:pPr>
        <w:spacing w:line="544" w:lineRule="auto" w:before="36"/>
        <w:ind w:left="224" w:right="1126" w:firstLine="1277"/>
        <w:jc w:val="left"/>
        <w:rPr>
          <w:sz w:val="21"/>
        </w:rPr>
      </w:pPr>
      <w:r>
        <w:rPr>
          <w:b/>
          <w:sz w:val="21"/>
        </w:rPr>
        <w:t>条款是保险合同的重要组成部分，请投保人、被保险人、受益人仔细阅读。</w:t>
      </w:r>
      <w:r>
        <w:rPr>
          <w:sz w:val="21"/>
        </w:rPr>
        <w:t>在本条款中，“我们”、“本公司”均指中荷人寿保险有限公司。</w:t>
      </w:r>
    </w:p>
    <w:p>
      <w:pPr>
        <w:pStyle w:val="Heading2"/>
        <w:numPr>
          <w:ilvl w:val="0"/>
          <w:numId w:val="2"/>
        </w:numPr>
        <w:tabs>
          <w:tab w:pos="1075" w:val="left" w:leader="none"/>
          <w:tab w:pos="1076" w:val="left" w:leader="none"/>
        </w:tabs>
        <w:spacing w:line="240" w:lineRule="auto" w:before="12" w:after="0"/>
        <w:ind w:left="1075" w:right="0" w:hanging="851"/>
        <w:jc w:val="left"/>
      </w:pPr>
      <w:r>
        <w:rPr>
          <w:w w:val="95"/>
        </w:rPr>
        <w:t>投保人与我们的合同</w:t>
      </w:r>
    </w:p>
    <w:p>
      <w:pPr>
        <w:pStyle w:val="BodyText"/>
        <w:spacing w:before="2"/>
        <w:rPr>
          <w:b/>
          <w:sz w:val="10"/>
        </w:rPr>
      </w:pPr>
      <w:r>
        <w:rPr/>
        <w:pict>
          <v:group style="position:absolute;margin-left:59.82pt;margin-top:8.620058pt;width:467.4pt;height:1.45pt;mso-position-horizontal-relative:page;mso-position-vertical-relative:paragraph;z-index:1216;mso-wrap-distance-left:0;mso-wrap-distance-right:0" coordorigin="1196,172" coordsize="9348,29">
            <v:line style="position:absolute" from="1196,177" to="2047,177" stroked="true" strokeweight=".48004pt" strokecolor="#000000">
              <v:stroke dashstyle="solid"/>
            </v:line>
            <v:line style="position:absolute" from="1196,196" to="2047,196" stroked="true" strokeweight=".47998pt" strokecolor="#000000">
              <v:stroke dashstyle="solid"/>
            </v:line>
            <v:rect style="position:absolute;left:2047;top:172;width:29;height:10" filled="true" fillcolor="#000000" stroked="false">
              <v:fill type="solid"/>
            </v:rect>
            <v:rect style="position:absolute;left:2047;top:191;width:29;height:10" filled="true" fillcolor="#000000" stroked="false">
              <v:fill type="solid"/>
            </v:rect>
            <v:line style="position:absolute" from="2076,177" to="3749,177" stroked="true" strokeweight=".48004pt" strokecolor="#000000">
              <v:stroke dashstyle="solid"/>
            </v:line>
            <v:line style="position:absolute" from="2076,196" to="3749,196" stroked="true" strokeweight=".47998pt" strokecolor="#000000">
              <v:stroke dashstyle="solid"/>
            </v:line>
            <v:rect style="position:absolute;left:3748;top:172;width:29;height:10" filled="true" fillcolor="#000000" stroked="false">
              <v:fill type="solid"/>
            </v:rect>
            <v:rect style="position:absolute;left:3748;top:191;width:29;height:10" filled="true" fillcolor="#000000" stroked="false">
              <v:fill type="solid"/>
            </v:rect>
            <v:line style="position:absolute" from="3778,177" to="10544,177" stroked="true" strokeweight=".48004pt" strokecolor="#000000">
              <v:stroke dashstyle="solid"/>
            </v:line>
            <v:line style="position:absolute" from="3778,196" to="10544,196" stroked="true" strokeweight=".47998pt" strokecolor="#000000">
              <v:stroke dashstyle="solid"/>
            </v:line>
            <w10:wrap type="topAndBottom"/>
          </v:group>
        </w:pict>
      </w:r>
    </w:p>
    <w:p>
      <w:pPr>
        <w:pStyle w:val="BodyText"/>
        <w:rPr>
          <w:b/>
          <w:sz w:val="9"/>
        </w:rPr>
      </w:pPr>
    </w:p>
    <w:p>
      <w:pPr>
        <w:pStyle w:val="ListParagraph"/>
        <w:numPr>
          <w:ilvl w:val="1"/>
          <w:numId w:val="2"/>
        </w:numPr>
        <w:tabs>
          <w:tab w:pos="1075" w:val="left" w:leader="none"/>
        </w:tabs>
        <w:spacing w:line="280" w:lineRule="auto" w:before="31" w:after="0"/>
        <w:ind w:left="2775" w:right="226" w:hanging="2551"/>
        <w:jc w:val="both"/>
        <w:rPr>
          <w:sz w:val="21"/>
        </w:rPr>
      </w:pPr>
      <w:r>
        <w:rPr>
          <w:b/>
          <w:spacing w:val="5"/>
          <w:position w:val="3"/>
          <w:sz w:val="21"/>
        </w:rPr>
        <w:t>合同构成       </w:t>
      </w:r>
      <w:r>
        <w:rPr>
          <w:sz w:val="21"/>
        </w:rPr>
        <w:t>中荷珍爱一生两全保险合同（以下简称本合同）由保险单及其所载的条款、投保单以及有关的声明、批注及其他约定书构成。</w:t>
      </w:r>
    </w:p>
    <w:p>
      <w:pPr>
        <w:pStyle w:val="BodyText"/>
        <w:spacing w:line="280" w:lineRule="auto" w:before="8"/>
        <w:ind w:left="2775" w:right="226"/>
        <w:jc w:val="both"/>
      </w:pPr>
      <w:r>
        <w:rPr/>
        <w:t>若上述构成本合同的文件正本需留本公司存档，则其复印件或电子影像印刷件亦视为本合同的构成部分，其效力与正本相同；若复印件或电子影像印刷件的内容与正本不同时，则以正本为准。</w:t>
      </w:r>
    </w:p>
    <w:p>
      <w:pPr>
        <w:pStyle w:val="BodyText"/>
        <w:spacing w:line="237" w:lineRule="exact"/>
        <w:ind w:left="2775"/>
      </w:pPr>
      <w:r>
        <w:rPr/>
        <w:t>本合同条款依法按照通常理解予以解释，如合同条款有两种以上解释的，</w:t>
      </w:r>
    </w:p>
    <w:p>
      <w:pPr>
        <w:pStyle w:val="BodyText"/>
        <w:spacing w:line="278" w:lineRule="auto"/>
        <w:ind w:left="2775" w:right="3446"/>
      </w:pPr>
      <w:r>
        <w:rPr/>
        <w:t>作有利于被保险人或受益人的解释。本合同的代码为 BFEA。</w:t>
      </w:r>
    </w:p>
    <w:p>
      <w:pPr>
        <w:pStyle w:val="BodyText"/>
        <w:spacing w:line="280" w:lineRule="auto" w:before="13"/>
        <w:ind w:left="2775" w:right="224"/>
        <w:jc w:val="both"/>
      </w:pPr>
      <w:r>
        <w:rPr>
          <w:spacing w:val="-2"/>
        </w:rPr>
        <w:t>本合同须附加中荷附加珍爱一生定期重大疾病保险</w:t>
      </w:r>
      <w:r>
        <w:rPr/>
        <w:t>（</w:t>
      </w:r>
      <w:r>
        <w:rPr>
          <w:spacing w:val="-18"/>
        </w:rPr>
        <w:t>代码 </w:t>
      </w:r>
      <w:r>
        <w:rPr/>
        <w:t>BFDD</w:t>
      </w:r>
      <w:r>
        <w:rPr>
          <w:spacing w:val="-105"/>
        </w:rPr>
        <w:t>）</w:t>
      </w:r>
      <w:r>
        <w:rPr>
          <w:spacing w:val="-12"/>
        </w:rPr>
        <w:t>，两者须同时投保。</w:t>
      </w:r>
    </w:p>
    <w:p>
      <w:pPr>
        <w:pStyle w:val="BodyText"/>
        <w:spacing w:before="1"/>
        <w:rPr>
          <w:sz w:val="16"/>
        </w:rPr>
      </w:pPr>
    </w:p>
    <w:p>
      <w:pPr>
        <w:pStyle w:val="ListParagraph"/>
        <w:numPr>
          <w:ilvl w:val="1"/>
          <w:numId w:val="2"/>
        </w:numPr>
        <w:tabs>
          <w:tab w:pos="1075" w:val="left" w:leader="none"/>
        </w:tabs>
        <w:spacing w:line="273" w:lineRule="auto" w:before="0" w:after="0"/>
        <w:ind w:left="2775" w:right="296" w:hanging="2551"/>
        <w:jc w:val="both"/>
        <w:rPr>
          <w:sz w:val="21"/>
        </w:rPr>
      </w:pPr>
      <w:r>
        <w:rPr>
          <w:b/>
          <w:sz w:val="21"/>
        </w:rPr>
        <w:t>如实告知       </w:t>
      </w:r>
      <w:r>
        <w:rPr>
          <w:sz w:val="21"/>
        </w:rPr>
        <w:t>订立本合同，我们应当向投保人说明本合同的内容。对本合同中免除我们责任的条款，在订立合同时我们应当在投保单、保险单或者其他保险凭证上作出足以引起投保人注意的提示，并对该条款的内容以书面或者口头形式向投保人作出明确说明。未作提示或者明确说明的，该条款不产生效力。</w:t>
      </w:r>
    </w:p>
    <w:p>
      <w:pPr>
        <w:pStyle w:val="BodyText"/>
        <w:spacing w:line="273" w:lineRule="auto" w:before="7"/>
        <w:ind w:left="2775" w:right="296"/>
        <w:jc w:val="both"/>
      </w:pPr>
      <w:r>
        <w:rPr/>
        <w:t>订立本合同，我们可以就投保人和被保险人的有关情况提出书面询问， 投保人应当如实告知。</w:t>
      </w:r>
    </w:p>
    <w:p>
      <w:pPr>
        <w:pStyle w:val="BodyText"/>
        <w:spacing w:line="273" w:lineRule="auto" w:before="7"/>
        <w:ind w:left="2775" w:right="121"/>
      </w:pPr>
      <w:r>
        <w:rPr/>
        <w:t>如果投保人故意隐瞒事实，不履行如实告知义务，或者因重大过失未履</w:t>
      </w:r>
      <w:r>
        <w:rPr>
          <w:spacing w:val="-5"/>
        </w:rPr>
        <w:t>行如实告知义务，足以影响我们决定是否同意承保或者提高保险费率的， 我们有权解除本合同。但若被保险人自本合同成立日（若本合同中止后复效，则以最后复效日为准）起持续有效两年后才发生保险事故的，我们将不再依据本条规定行使对本合同的解除权。</w:t>
      </w:r>
    </w:p>
    <w:p>
      <w:pPr>
        <w:pStyle w:val="BodyText"/>
        <w:spacing w:line="237" w:lineRule="auto"/>
        <w:ind w:left="2775" w:right="226"/>
        <w:jc w:val="both"/>
      </w:pPr>
      <w:r>
        <w:rPr/>
        <w:t>如果我们在合同订立时已经知道投保人未如实告知的或自我们知道有解除事由之日起超过三十日没有解除本合同，则我们不再依据前款约定行使解除权。</w:t>
      </w:r>
    </w:p>
    <w:p>
      <w:pPr>
        <w:pStyle w:val="BodyText"/>
        <w:spacing w:line="273" w:lineRule="auto" w:before="28"/>
        <w:ind w:left="2775" w:right="226"/>
        <w:jc w:val="both"/>
      </w:pPr>
      <w:r>
        <w:rPr/>
        <w:t>如果投保人故意不履行如实告知义务，我们对于本合同解除前发生的保险事故，不承担给付保险金的责任，并不退还保险费。</w:t>
      </w:r>
    </w:p>
    <w:p>
      <w:pPr>
        <w:pStyle w:val="BodyText"/>
        <w:spacing w:line="273" w:lineRule="auto" w:before="8"/>
        <w:ind w:left="2775" w:right="296"/>
        <w:jc w:val="both"/>
      </w:pPr>
      <w:r>
        <w:rPr/>
        <w:t>如果投保人因重大过失未履行如实告知义务，对保险事故的发生有严重影响的，我们对于本合同解除前发生的保险事故，不承担给付保险金的责任，但退还本合同的保险费。</w:t>
      </w:r>
    </w:p>
    <w:p>
      <w:pPr>
        <w:pStyle w:val="BodyText"/>
        <w:spacing w:before="8"/>
        <w:rPr>
          <w:sz w:val="13"/>
        </w:rPr>
      </w:pPr>
    </w:p>
    <w:p>
      <w:pPr>
        <w:spacing w:after="0"/>
        <w:rPr>
          <w:sz w:val="13"/>
        </w:rPr>
        <w:sectPr>
          <w:footerReference w:type="default" r:id="rId7"/>
          <w:pgSz w:w="11910" w:h="16840"/>
          <w:pgMar w:footer="998" w:header="0" w:top="1500" w:bottom="1180" w:left="1080" w:right="1240"/>
          <w:pgNumType w:start="1"/>
        </w:sectPr>
      </w:pPr>
    </w:p>
    <w:p>
      <w:pPr>
        <w:pStyle w:val="Heading5"/>
        <w:numPr>
          <w:ilvl w:val="1"/>
          <w:numId w:val="2"/>
        </w:numPr>
        <w:tabs>
          <w:tab w:pos="1075" w:val="left" w:leader="none"/>
          <w:tab w:pos="1076" w:val="left" w:leader="none"/>
        </w:tabs>
        <w:spacing w:line="273" w:lineRule="auto" w:before="56" w:after="0"/>
        <w:ind w:left="1075" w:right="0" w:hanging="851"/>
        <w:jc w:val="left"/>
      </w:pPr>
      <w:r>
        <w:rPr>
          <w:w w:val="95"/>
        </w:rPr>
        <w:t>合同成立及保险责任的开始</w:t>
      </w:r>
    </w:p>
    <w:p>
      <w:pPr>
        <w:pStyle w:val="BodyText"/>
        <w:spacing w:line="237" w:lineRule="auto" w:before="39"/>
        <w:ind w:left="185" w:right="226"/>
        <w:jc w:val="both"/>
      </w:pPr>
      <w:r>
        <w:rPr/>
        <w:br w:type="column"/>
      </w:r>
      <w:r>
        <w:rPr/>
        <w:t>投保人提出保险申请、本公司同意承保，本合同成立。若本合同成立， </w:t>
      </w:r>
      <w:r>
        <w:rPr>
          <w:spacing w:val="-3"/>
        </w:rPr>
        <w:t>我们对本合同承担的保险责任自投保人缴付保险费当日 </w:t>
      </w:r>
      <w:r>
        <w:rPr/>
        <w:t>24</w:t>
      </w:r>
      <w:r>
        <w:rPr>
          <w:spacing w:val="-16"/>
        </w:rPr>
        <w:t> 时起生效。我们将签发保险单作为承保的凭证。具体生效日以保险单上载明的日期为</w:t>
      </w:r>
    </w:p>
    <w:p>
      <w:pPr>
        <w:spacing w:after="0" w:line="237" w:lineRule="auto"/>
        <w:jc w:val="both"/>
        <w:sectPr>
          <w:type w:val="continuous"/>
          <w:pgSz w:w="11910" w:h="16840"/>
          <w:pgMar w:top="560" w:bottom="280" w:left="1080" w:right="1240"/>
          <w:cols w:num="2" w:equalWidth="0">
            <w:col w:w="2551" w:space="40"/>
            <w:col w:w="6999"/>
          </w:cols>
        </w:sectPr>
      </w:pPr>
    </w:p>
    <w:p>
      <w:pPr>
        <w:pStyle w:val="BodyText"/>
        <w:spacing w:before="22"/>
        <w:ind w:left="2775"/>
      </w:pPr>
      <w:r>
        <w:rPr/>
        <w:t>准。</w:t>
      </w:r>
    </w:p>
    <w:p>
      <w:pPr>
        <w:spacing w:line="280" w:lineRule="auto" w:before="41"/>
        <w:ind w:left="2775" w:right="227" w:firstLine="0"/>
        <w:jc w:val="left"/>
        <w:rPr>
          <w:sz w:val="21"/>
        </w:rPr>
      </w:pPr>
      <w:r>
        <w:rPr>
          <w:sz w:val="21"/>
        </w:rPr>
        <w:t>本合同的</w:t>
      </w:r>
      <w:r>
        <w:rPr>
          <w:b/>
          <w:sz w:val="21"/>
        </w:rPr>
        <w:t>保单周年日</w:t>
      </w:r>
      <w:r>
        <w:rPr>
          <w:sz w:val="21"/>
        </w:rPr>
        <w:t>、</w:t>
      </w:r>
      <w:r>
        <w:rPr>
          <w:b/>
          <w:sz w:val="21"/>
        </w:rPr>
        <w:t>保单年度</w:t>
      </w:r>
      <w:r>
        <w:rPr>
          <w:sz w:val="21"/>
        </w:rPr>
        <w:t>、缴费期、有效期、合同期满日均以生效日起算。</w:t>
      </w:r>
    </w:p>
    <w:p>
      <w:pPr>
        <w:pStyle w:val="BodyText"/>
        <w:spacing w:before="7"/>
        <w:rPr>
          <w:sz w:val="14"/>
        </w:rPr>
      </w:pPr>
    </w:p>
    <w:p>
      <w:pPr>
        <w:pStyle w:val="ListParagraph"/>
        <w:numPr>
          <w:ilvl w:val="1"/>
          <w:numId w:val="2"/>
        </w:numPr>
        <w:tabs>
          <w:tab w:pos="1075" w:val="left" w:leader="none"/>
          <w:tab w:pos="1076" w:val="left" w:leader="none"/>
          <w:tab w:pos="2775" w:val="left" w:leader="none"/>
        </w:tabs>
        <w:spacing w:line="284" w:lineRule="exact" w:before="0" w:after="0"/>
        <w:ind w:left="1075" w:right="0" w:hanging="851"/>
        <w:jc w:val="left"/>
        <w:rPr>
          <w:sz w:val="21"/>
        </w:rPr>
      </w:pPr>
      <w:r>
        <w:rPr>
          <w:b/>
          <w:position w:val="-1"/>
          <w:sz w:val="21"/>
        </w:rPr>
        <w:t>犹豫期</w:t>
        <w:tab/>
      </w:r>
      <w:r>
        <w:rPr>
          <w:sz w:val="21"/>
        </w:rPr>
        <w:t>投保人自收到本合同之日起有十日的犹豫期，以便阅读本合同。</w:t>
      </w:r>
    </w:p>
    <w:p>
      <w:pPr>
        <w:pStyle w:val="BodyText"/>
        <w:spacing w:line="237" w:lineRule="auto"/>
        <w:ind w:left="2775" w:right="226"/>
      </w:pPr>
      <w:r>
        <w:rPr/>
        <w:t>投保人在犹豫期内可向我们书面提出撤销合同的申请，并亲自或挂号邮寄将本合同退还。</w:t>
      </w:r>
    </w:p>
    <w:p>
      <w:pPr>
        <w:pStyle w:val="BodyText"/>
        <w:spacing w:line="237" w:lineRule="auto" w:before="9"/>
        <w:ind w:left="2775" w:right="226"/>
        <w:jc w:val="both"/>
      </w:pPr>
      <w:r>
        <w:rPr/>
        <w:t>投保人依前项规定行使合同撤销权时，撤销的效力自我们收到书面申请</w:t>
      </w:r>
      <w:r>
        <w:rPr>
          <w:spacing w:val="-3"/>
        </w:rPr>
        <w:t>及合同</w:t>
      </w:r>
      <w:r>
        <w:rPr/>
        <w:t>（</w:t>
      </w:r>
      <w:r>
        <w:rPr>
          <w:spacing w:val="-2"/>
        </w:rPr>
        <w:t>若为邮寄，则以寄出邮戳为准</w:t>
      </w:r>
      <w:r>
        <w:rPr>
          <w:spacing w:val="-9"/>
        </w:rPr>
        <w:t>）</w:t>
      </w:r>
      <w:r>
        <w:rPr>
          <w:spacing w:val="-16"/>
        </w:rPr>
        <w:t>的当日 </w:t>
      </w:r>
      <w:r>
        <w:rPr/>
        <w:t>24</w:t>
      </w:r>
      <w:r>
        <w:rPr>
          <w:spacing w:val="-9"/>
        </w:rPr>
        <w:t> 时起生效，本合同自始无效，我们将向投保人退还所有已缴的保险费。</w:t>
      </w:r>
    </w:p>
    <w:p>
      <w:pPr>
        <w:pStyle w:val="BodyText"/>
        <w:spacing w:line="278" w:lineRule="auto" w:before="43"/>
        <w:ind w:left="2775" w:right="226"/>
      </w:pPr>
      <w:r>
        <w:rPr/>
        <w:t>若投保人、被保险人或受益人在犹豫期内向我们提出理赔申请或本合同是由其它险种变更而来的，则不得再行使本条款规定的合同撤销权。 投保人犹豫期后解除合同会承担一定的损失。</w:t>
      </w:r>
    </w:p>
    <w:p>
      <w:pPr>
        <w:pStyle w:val="BodyText"/>
        <w:rPr>
          <w:sz w:val="20"/>
        </w:rPr>
      </w:pPr>
    </w:p>
    <w:p>
      <w:pPr>
        <w:pStyle w:val="BodyText"/>
        <w:spacing w:before="3"/>
      </w:pPr>
    </w:p>
    <w:p>
      <w:pPr>
        <w:pStyle w:val="Heading2"/>
        <w:numPr>
          <w:ilvl w:val="0"/>
          <w:numId w:val="2"/>
        </w:numPr>
        <w:tabs>
          <w:tab w:pos="1075" w:val="left" w:leader="none"/>
          <w:tab w:pos="1076" w:val="left" w:leader="none"/>
        </w:tabs>
        <w:spacing w:line="240" w:lineRule="auto" w:before="0" w:after="0"/>
        <w:ind w:left="1075" w:right="0" w:hanging="851"/>
        <w:jc w:val="left"/>
      </w:pPr>
      <w:r>
        <w:rPr>
          <w:w w:val="95"/>
        </w:rPr>
        <w:t>我们提供的保障</w:t>
      </w:r>
    </w:p>
    <w:p>
      <w:pPr>
        <w:pStyle w:val="BodyText"/>
        <w:spacing w:before="2"/>
        <w:rPr>
          <w:b/>
          <w:sz w:val="10"/>
        </w:rPr>
      </w:pPr>
      <w:r>
        <w:rPr/>
        <w:pict>
          <v:group style="position:absolute;margin-left:59.82pt;margin-top:8.644047pt;width:467.4pt;height:1.45pt;mso-position-horizontal-relative:page;mso-position-vertical-relative:paragraph;z-index:1240;mso-wrap-distance-left:0;mso-wrap-distance-right:0" coordorigin="1196,173" coordsize="9348,29">
            <v:line style="position:absolute" from="1196,178" to="2047,178" stroked="true" strokeweight=".47998pt" strokecolor="#000000">
              <v:stroke dashstyle="solid"/>
            </v:line>
            <v:line style="position:absolute" from="1196,197" to="2047,197" stroked="true" strokeweight=".47998pt" strokecolor="#000000">
              <v:stroke dashstyle="solid"/>
            </v:line>
            <v:rect style="position:absolute;left:2047;top:172;width:29;height:10" filled="true" fillcolor="#000000" stroked="false">
              <v:fill type="solid"/>
            </v:rect>
            <v:rect style="position:absolute;left:2047;top:192;width:29;height:10" filled="true" fillcolor="#000000" stroked="false">
              <v:fill type="solid"/>
            </v:rect>
            <v:line style="position:absolute" from="2076,178" to="3749,178" stroked="true" strokeweight=".47998pt" strokecolor="#000000">
              <v:stroke dashstyle="solid"/>
            </v:line>
            <v:line style="position:absolute" from="2076,197" to="3749,197" stroked="true" strokeweight=".47998pt" strokecolor="#000000">
              <v:stroke dashstyle="solid"/>
            </v:line>
            <v:rect style="position:absolute;left:3748;top:172;width:29;height:10" filled="true" fillcolor="#000000" stroked="false">
              <v:fill type="solid"/>
            </v:rect>
            <v:rect style="position:absolute;left:3748;top:192;width:29;height:10" filled="true" fillcolor="#000000" stroked="false">
              <v:fill type="solid"/>
            </v:rect>
            <v:line style="position:absolute" from="3778,178" to="10544,178" stroked="true" strokeweight=".47998pt" strokecolor="#000000">
              <v:stroke dashstyle="solid"/>
            </v:line>
            <v:line style="position:absolute" from="3778,197" to="10544,197" stroked="true" strokeweight=".47998pt" strokecolor="#000000">
              <v:stroke dashstyle="solid"/>
            </v:line>
            <w10:wrap type="topAndBottom"/>
          </v:group>
        </w:pict>
      </w:r>
    </w:p>
    <w:p>
      <w:pPr>
        <w:pStyle w:val="BodyText"/>
        <w:rPr>
          <w:b/>
          <w:sz w:val="9"/>
        </w:rPr>
      </w:pPr>
    </w:p>
    <w:p>
      <w:pPr>
        <w:pStyle w:val="ListParagraph"/>
        <w:numPr>
          <w:ilvl w:val="1"/>
          <w:numId w:val="2"/>
        </w:numPr>
        <w:tabs>
          <w:tab w:pos="1074" w:val="left" w:leader="none"/>
          <w:tab w:pos="1075" w:val="left" w:leader="none"/>
          <w:tab w:pos="2775" w:val="left" w:leader="none"/>
        </w:tabs>
        <w:spacing w:line="280" w:lineRule="auto" w:before="31" w:after="0"/>
        <w:ind w:left="2775" w:right="226" w:hanging="2551"/>
        <w:jc w:val="left"/>
        <w:rPr>
          <w:sz w:val="21"/>
        </w:rPr>
      </w:pPr>
      <w:r>
        <w:rPr>
          <w:b/>
          <w:position w:val="3"/>
          <w:sz w:val="21"/>
        </w:rPr>
        <w:t>基本保额</w:t>
        <w:tab/>
      </w:r>
      <w:r>
        <w:rPr>
          <w:sz w:val="21"/>
        </w:rPr>
        <w:t>本合同所称的基本保额是指保险单上所载的寿险主合同金额。若该金额 按本合同其它条款的约定而发生变更，则以变更后的金额为基本保额。</w:t>
      </w:r>
    </w:p>
    <w:p>
      <w:pPr>
        <w:pStyle w:val="BodyText"/>
        <w:spacing w:before="10"/>
        <w:rPr>
          <w:sz w:val="15"/>
        </w:rPr>
      </w:pPr>
    </w:p>
    <w:p>
      <w:pPr>
        <w:pStyle w:val="ListParagraph"/>
        <w:numPr>
          <w:ilvl w:val="1"/>
          <w:numId w:val="2"/>
        </w:numPr>
        <w:tabs>
          <w:tab w:pos="1074" w:val="left" w:leader="none"/>
          <w:tab w:pos="1075" w:val="left" w:leader="none"/>
          <w:tab w:pos="2775" w:val="left" w:leader="none"/>
        </w:tabs>
        <w:spacing w:line="240" w:lineRule="auto" w:before="0" w:after="0"/>
        <w:ind w:left="2775" w:right="0" w:hanging="2551"/>
        <w:jc w:val="left"/>
        <w:rPr>
          <w:sz w:val="21"/>
        </w:rPr>
      </w:pPr>
      <w:r>
        <w:rPr>
          <w:b/>
          <w:position w:val="3"/>
          <w:sz w:val="21"/>
        </w:rPr>
        <w:t>保险金额</w:t>
        <w:tab/>
      </w:r>
      <w:r>
        <w:rPr>
          <w:sz w:val="21"/>
        </w:rPr>
        <w:t>本合同各保单年度的保险金额与基本保额相同。</w:t>
      </w:r>
    </w:p>
    <w:p>
      <w:pPr>
        <w:pStyle w:val="BodyText"/>
        <w:spacing w:before="6"/>
        <w:rPr>
          <w:sz w:val="18"/>
        </w:rPr>
      </w:pPr>
    </w:p>
    <w:p>
      <w:pPr>
        <w:pStyle w:val="ListParagraph"/>
        <w:numPr>
          <w:ilvl w:val="1"/>
          <w:numId w:val="2"/>
        </w:numPr>
        <w:tabs>
          <w:tab w:pos="1074" w:val="left" w:leader="none"/>
          <w:tab w:pos="1075" w:val="left" w:leader="none"/>
          <w:tab w:pos="2775" w:val="left" w:leader="none"/>
        </w:tabs>
        <w:spacing w:line="240" w:lineRule="auto" w:before="0" w:after="0"/>
        <w:ind w:left="2775" w:right="0" w:hanging="2551"/>
        <w:jc w:val="left"/>
        <w:rPr>
          <w:sz w:val="21"/>
        </w:rPr>
      </w:pPr>
      <w:r>
        <w:rPr>
          <w:b/>
          <w:position w:val="3"/>
          <w:sz w:val="21"/>
        </w:rPr>
        <w:t>保险责任</w:t>
        <w:tab/>
      </w:r>
      <w:r>
        <w:rPr>
          <w:sz w:val="21"/>
        </w:rPr>
        <w:t>在本合同有效期间内，我们承担下列保险责任：</w:t>
      </w:r>
    </w:p>
    <w:p>
      <w:pPr>
        <w:pStyle w:val="BodyText"/>
        <w:spacing w:before="6"/>
        <w:rPr>
          <w:sz w:val="17"/>
        </w:rPr>
      </w:pPr>
    </w:p>
    <w:p>
      <w:pPr>
        <w:pStyle w:val="ListParagraph"/>
        <w:numPr>
          <w:ilvl w:val="2"/>
          <w:numId w:val="2"/>
        </w:numPr>
        <w:tabs>
          <w:tab w:pos="1075" w:val="left" w:leader="none"/>
          <w:tab w:pos="1076" w:val="left" w:leader="none"/>
          <w:tab w:pos="2775" w:val="left" w:leader="none"/>
        </w:tabs>
        <w:spacing w:line="278" w:lineRule="auto" w:before="0" w:after="0"/>
        <w:ind w:left="2775" w:right="226" w:hanging="2551"/>
        <w:jc w:val="left"/>
        <w:rPr>
          <w:sz w:val="21"/>
        </w:rPr>
      </w:pPr>
      <w:r>
        <w:rPr>
          <w:i/>
          <w:position w:val="3"/>
          <w:sz w:val="22"/>
        </w:rPr>
        <w:t>身故给付</w:t>
        <w:tab/>
      </w:r>
      <w:r>
        <w:rPr>
          <w:sz w:val="21"/>
        </w:rPr>
        <w:t>若被保险人身故，则我们给付等值于保险金额的身故保险金，本合同效 力终止。</w:t>
      </w:r>
    </w:p>
    <w:p>
      <w:pPr>
        <w:pStyle w:val="ListParagraph"/>
        <w:numPr>
          <w:ilvl w:val="2"/>
          <w:numId w:val="2"/>
        </w:numPr>
        <w:tabs>
          <w:tab w:pos="1075" w:val="left" w:leader="none"/>
          <w:tab w:pos="1076" w:val="left" w:leader="none"/>
          <w:tab w:pos="2775" w:val="left" w:leader="none"/>
        </w:tabs>
        <w:spacing w:line="320" w:lineRule="exact" w:before="1" w:after="0"/>
        <w:ind w:left="2775" w:right="226" w:hanging="2551"/>
        <w:jc w:val="left"/>
        <w:rPr>
          <w:sz w:val="21"/>
        </w:rPr>
      </w:pPr>
      <w:r>
        <w:rPr>
          <w:b/>
          <w:i/>
          <w:position w:val="3"/>
          <w:sz w:val="22"/>
        </w:rPr>
        <w:t>生命末期</w:t>
      </w:r>
      <w:r>
        <w:rPr>
          <w:i/>
          <w:position w:val="3"/>
          <w:sz w:val="22"/>
        </w:rPr>
        <w:t>给付</w:t>
        <w:tab/>
      </w:r>
      <w:r>
        <w:rPr>
          <w:sz w:val="21"/>
        </w:rPr>
        <w:t>若被保险人处于生命末期，则我们给付等值于保险金额的生命末期保险 金，本合同效力终止。</w:t>
      </w:r>
    </w:p>
    <w:p>
      <w:pPr>
        <w:pStyle w:val="ListParagraph"/>
        <w:numPr>
          <w:ilvl w:val="2"/>
          <w:numId w:val="2"/>
        </w:numPr>
        <w:tabs>
          <w:tab w:pos="1075" w:val="left" w:leader="none"/>
          <w:tab w:pos="1076" w:val="left" w:leader="none"/>
          <w:tab w:pos="2775" w:val="left" w:leader="none"/>
        </w:tabs>
        <w:spacing w:line="286" w:lineRule="exact" w:before="0" w:after="0"/>
        <w:ind w:left="2775" w:right="0" w:hanging="2551"/>
        <w:jc w:val="left"/>
        <w:rPr>
          <w:sz w:val="21"/>
        </w:rPr>
      </w:pPr>
      <w:r>
        <w:rPr>
          <w:i/>
          <w:position w:val="3"/>
          <w:sz w:val="22"/>
        </w:rPr>
        <w:t>满期给付</w:t>
        <w:tab/>
      </w:r>
      <w:r>
        <w:rPr>
          <w:sz w:val="21"/>
        </w:rPr>
        <w:t>若被保险人于七十</w:t>
      </w:r>
      <w:r>
        <w:rPr>
          <w:b/>
          <w:sz w:val="21"/>
        </w:rPr>
        <w:t>周岁</w:t>
      </w:r>
      <w:r>
        <w:rPr>
          <w:sz w:val="21"/>
        </w:rPr>
        <w:t>后首个保单周年日的当日</w:t>
      </w:r>
      <w:r>
        <w:rPr>
          <w:spacing w:val="-64"/>
          <w:sz w:val="21"/>
        </w:rPr>
        <w:t> </w:t>
      </w:r>
      <w:r>
        <w:rPr>
          <w:sz w:val="21"/>
        </w:rPr>
        <w:t>24</w:t>
      </w:r>
      <w:r>
        <w:rPr>
          <w:spacing w:val="-63"/>
          <w:sz w:val="21"/>
        </w:rPr>
        <w:t> </w:t>
      </w:r>
      <w:r>
        <w:rPr>
          <w:sz w:val="21"/>
        </w:rPr>
        <w:t>时仍生存</w:t>
      </w:r>
      <w:r>
        <w:rPr>
          <w:spacing w:val="-38"/>
          <w:sz w:val="21"/>
        </w:rPr>
        <w:t>，</w:t>
      </w:r>
      <w:r>
        <w:rPr>
          <w:sz w:val="21"/>
        </w:rPr>
        <w:t>且我们没</w:t>
      </w:r>
    </w:p>
    <w:p>
      <w:pPr>
        <w:pStyle w:val="BodyText"/>
        <w:spacing w:line="278" w:lineRule="auto" w:before="45"/>
        <w:ind w:left="2775" w:right="226"/>
        <w:jc w:val="both"/>
      </w:pPr>
      <w:r>
        <w:rPr/>
        <w:t>有给付生命末期保险金，我们将给付等值于保险金额的满期保险金，本合同效力终止。</w:t>
      </w:r>
    </w:p>
    <w:p>
      <w:pPr>
        <w:pStyle w:val="ListParagraph"/>
        <w:numPr>
          <w:ilvl w:val="2"/>
          <w:numId w:val="2"/>
        </w:numPr>
        <w:tabs>
          <w:tab w:pos="1075" w:val="left" w:leader="none"/>
          <w:tab w:pos="1076" w:val="left" w:leader="none"/>
          <w:tab w:pos="2775" w:val="left" w:leader="none"/>
        </w:tabs>
        <w:spacing w:line="287" w:lineRule="exact" w:before="0" w:after="0"/>
        <w:ind w:left="2775" w:right="0" w:hanging="2551"/>
        <w:jc w:val="left"/>
        <w:rPr>
          <w:sz w:val="21"/>
        </w:rPr>
      </w:pPr>
      <w:r>
        <w:rPr>
          <w:i/>
          <w:position w:val="3"/>
          <w:sz w:val="22"/>
        </w:rPr>
        <w:t>保险金给付限制</w:t>
        <w:tab/>
      </w:r>
      <w:r>
        <w:rPr>
          <w:sz w:val="21"/>
        </w:rPr>
        <w:t>在本合同有效期内，若被保险人于本合同生效之日起持续有效一百八十</w:t>
      </w:r>
    </w:p>
    <w:p>
      <w:pPr>
        <w:pStyle w:val="BodyText"/>
        <w:spacing w:line="278" w:lineRule="auto" w:before="46"/>
        <w:ind w:left="2775" w:right="122"/>
      </w:pPr>
      <w:r>
        <w:rPr>
          <w:spacing w:val="-18"/>
        </w:rPr>
        <w:t>日</w:t>
      </w:r>
      <w:r>
        <w:rPr/>
        <w:t>（</w:t>
      </w:r>
      <w:r>
        <w:rPr>
          <w:spacing w:val="-2"/>
        </w:rPr>
        <w:t>若本合同中止后复效，则以最后复效日起持续生效一百八十日为准</w:t>
      </w:r>
      <w:r>
        <w:rPr/>
        <w:t>） 以内(含当日)身故或处于生命末期，则我们不承担给付身故、生命末期</w:t>
      </w:r>
      <w:r>
        <w:rPr>
          <w:spacing w:val="-7"/>
        </w:rPr>
        <w:t>保险金的责任，本合同及附加合同 </w:t>
      </w:r>
      <w:r>
        <w:rPr/>
        <w:t>BFDD</w:t>
      </w:r>
      <w:r>
        <w:rPr>
          <w:spacing w:val="-9"/>
        </w:rPr>
        <w:t> 效力终止，我们将无息全额退还</w:t>
      </w:r>
      <w:r>
        <w:rPr>
          <w:spacing w:val="-15"/>
        </w:rPr>
        <w:t>本合同及附加合同 </w:t>
      </w:r>
      <w:r>
        <w:rPr/>
        <w:t>BFDD</w:t>
      </w:r>
      <w:r>
        <w:rPr>
          <w:spacing w:val="-9"/>
        </w:rPr>
        <w:t> 已缴的保险费。</w:t>
      </w:r>
    </w:p>
    <w:p>
      <w:pPr>
        <w:pStyle w:val="BodyText"/>
        <w:spacing w:line="278" w:lineRule="auto" w:before="10"/>
        <w:ind w:left="2775" w:right="226"/>
        <w:jc w:val="both"/>
      </w:pPr>
      <w:r>
        <w:rPr/>
        <w:t>若被保险人于本合同生效之日起持续有效一百八十日（若本合同中止后</w:t>
      </w:r>
      <w:r>
        <w:rPr>
          <w:spacing w:val="-7"/>
        </w:rPr>
        <w:t>复效，则以最后复效日起持续生效一百八十日为准</w:t>
      </w:r>
      <w:r>
        <w:rPr>
          <w:spacing w:val="-47"/>
        </w:rPr>
        <w:t>）</w:t>
      </w:r>
      <w:r>
        <w:rPr>
          <w:spacing w:val="-7"/>
        </w:rPr>
        <w:t>后至满两年以内</w:t>
      </w:r>
      <w:r>
        <w:rPr/>
        <w:t>（含两年期满当日</w:t>
      </w:r>
      <w:r>
        <w:rPr>
          <w:spacing w:val="-44"/>
        </w:rPr>
        <w:t>）</w:t>
      </w:r>
      <w:r>
        <w:rPr>
          <w:spacing w:val="-9"/>
        </w:rPr>
        <w:t>身故或处于生命末期，则我们按保险金额的 </w:t>
      </w:r>
      <w:r>
        <w:rPr/>
        <w:t>50%给付身故或生命末期保险金，本合同效力终止。</w:t>
      </w:r>
    </w:p>
    <w:p>
      <w:pPr>
        <w:spacing w:line="273" w:lineRule="auto" w:before="11"/>
        <w:ind w:left="2775" w:right="227" w:firstLine="0"/>
        <w:jc w:val="both"/>
        <w:rPr>
          <w:sz w:val="21"/>
        </w:rPr>
      </w:pPr>
      <w:r>
        <w:rPr>
          <w:sz w:val="21"/>
        </w:rPr>
        <w:t>被保险人因于本合同有效期内发生的</w:t>
      </w:r>
      <w:r>
        <w:rPr>
          <w:b/>
          <w:sz w:val="21"/>
        </w:rPr>
        <w:t>意外伤害事故</w:t>
      </w:r>
      <w:r>
        <w:rPr>
          <w:sz w:val="21"/>
        </w:rPr>
        <w:t>所致的身故或生命末</w:t>
      </w:r>
      <w:r>
        <w:rPr>
          <w:spacing w:val="-8"/>
          <w:sz w:val="21"/>
        </w:rPr>
        <w:t>期，不受上述一百八十日及两年时间的限制，我们将按 </w:t>
      </w:r>
      <w:r>
        <w:rPr>
          <w:i/>
          <w:sz w:val="22"/>
        </w:rPr>
        <w:t>2.3.1</w:t>
      </w:r>
      <w:r>
        <w:rPr>
          <w:i/>
          <w:spacing w:val="-12"/>
          <w:sz w:val="22"/>
        </w:rPr>
        <w:t>、</w:t>
      </w:r>
      <w:r>
        <w:rPr>
          <w:i/>
          <w:sz w:val="22"/>
        </w:rPr>
        <w:t>2.3.2</w:t>
      </w:r>
      <w:r>
        <w:rPr>
          <w:i/>
          <w:spacing w:val="-86"/>
          <w:sz w:val="22"/>
        </w:rPr>
        <w:t> </w:t>
      </w:r>
      <w:r>
        <w:rPr>
          <w:sz w:val="21"/>
        </w:rPr>
        <w:t>的约定承担保险责任。</w:t>
      </w:r>
    </w:p>
    <w:p>
      <w:pPr>
        <w:pStyle w:val="BodyText"/>
        <w:spacing w:before="10"/>
        <w:rPr>
          <w:sz w:val="23"/>
        </w:rPr>
      </w:pPr>
    </w:p>
    <w:p>
      <w:pPr>
        <w:pStyle w:val="BodyText"/>
        <w:ind w:left="2775"/>
        <w:jc w:val="both"/>
      </w:pPr>
      <w:r>
        <w:rPr/>
        <w:t>若我们已给付 BFDD 的重大疾病保险金，则不再给付本合同各项保险金，</w:t>
      </w:r>
    </w:p>
    <w:p>
      <w:pPr>
        <w:spacing w:after="0"/>
        <w:jc w:val="both"/>
        <w:sectPr>
          <w:pgSz w:w="11910" w:h="16840"/>
          <w:pgMar w:header="0" w:footer="998" w:top="1440" w:bottom="1180" w:left="1080" w:right="1240"/>
        </w:sectPr>
      </w:pPr>
    </w:p>
    <w:p>
      <w:pPr>
        <w:pStyle w:val="BodyText"/>
        <w:spacing w:before="22"/>
        <w:ind w:left="2775"/>
      </w:pPr>
      <w:r>
        <w:rPr/>
        <w:t>本合同效力终止。</w:t>
      </w:r>
    </w:p>
    <w:p>
      <w:pPr>
        <w:pStyle w:val="BodyText"/>
        <w:spacing w:before="9"/>
        <w:rPr>
          <w:sz w:val="19"/>
        </w:rPr>
      </w:pPr>
    </w:p>
    <w:p>
      <w:pPr>
        <w:pStyle w:val="ListParagraph"/>
        <w:numPr>
          <w:ilvl w:val="1"/>
          <w:numId w:val="2"/>
        </w:numPr>
        <w:tabs>
          <w:tab w:pos="1074" w:val="left" w:leader="none"/>
          <w:tab w:pos="1075" w:val="left" w:leader="none"/>
          <w:tab w:pos="2775" w:val="left" w:leader="none"/>
        </w:tabs>
        <w:spacing w:line="278" w:lineRule="auto" w:before="1" w:after="0"/>
        <w:ind w:left="2775" w:right="226" w:hanging="2551"/>
        <w:jc w:val="left"/>
        <w:rPr>
          <w:sz w:val="21"/>
        </w:rPr>
      </w:pPr>
      <w:r>
        <w:rPr>
          <w:b/>
          <w:position w:val="3"/>
          <w:sz w:val="21"/>
        </w:rPr>
        <w:t>责任免除</w:t>
        <w:tab/>
      </w:r>
      <w:r>
        <w:rPr>
          <w:sz w:val="21"/>
        </w:rPr>
        <w:t>若被保险人的身故、生命末期由下列原因之一所致，我们不承担给付身 故或生命末期保险金的责任：</w:t>
      </w:r>
    </w:p>
    <w:p>
      <w:pPr>
        <w:pStyle w:val="BodyText"/>
        <w:spacing w:line="240" w:lineRule="exact"/>
        <w:ind w:left="2775"/>
      </w:pPr>
      <w:r>
        <w:rPr/>
        <w:t>1、投保人对被保险人的故意杀害、故意伤害；</w:t>
      </w:r>
    </w:p>
    <w:p>
      <w:pPr>
        <w:pStyle w:val="BodyText"/>
        <w:spacing w:line="272" w:lineRule="exact"/>
        <w:ind w:left="2775"/>
      </w:pPr>
      <w:r>
        <w:rPr/>
        <w:t>2、被保险人故意自伤、故意犯罪或者抗拒依法采取的刑事强制措施；</w:t>
      </w:r>
    </w:p>
    <w:p>
      <w:pPr>
        <w:pStyle w:val="BodyText"/>
        <w:spacing w:line="272" w:lineRule="exact"/>
        <w:ind w:left="2775"/>
      </w:pPr>
      <w:r>
        <w:rPr>
          <w:w w:val="95"/>
        </w:rPr>
        <w:t>3、被保险人主动服用、吸食或注射</w:t>
      </w:r>
      <w:r>
        <w:rPr>
          <w:b/>
          <w:w w:val="95"/>
        </w:rPr>
        <w:t>毒品</w:t>
      </w:r>
      <w:r>
        <w:rPr>
          <w:w w:val="95"/>
        </w:rPr>
        <w:t>；</w:t>
      </w:r>
    </w:p>
    <w:p>
      <w:pPr>
        <w:pStyle w:val="BodyText"/>
        <w:spacing w:line="237" w:lineRule="auto" w:before="1"/>
        <w:ind w:left="2775" w:right="172"/>
      </w:pPr>
      <w:r>
        <w:rPr/>
        <w:t>4、被保险人自本合同成立（或复效）之日起两年内自杀，但被保险人自杀时为无民事行为能力人的除外；</w:t>
      </w:r>
    </w:p>
    <w:p>
      <w:pPr>
        <w:spacing w:line="237" w:lineRule="auto" w:before="0"/>
        <w:ind w:left="2775" w:right="165" w:firstLine="0"/>
        <w:jc w:val="left"/>
        <w:rPr>
          <w:sz w:val="21"/>
        </w:rPr>
      </w:pPr>
      <w:r>
        <w:rPr>
          <w:sz w:val="21"/>
        </w:rPr>
        <w:t>5、被保险人</w:t>
      </w:r>
      <w:r>
        <w:rPr>
          <w:b/>
          <w:sz w:val="21"/>
        </w:rPr>
        <w:t>酒后驾驶</w:t>
      </w:r>
      <w:r>
        <w:rPr>
          <w:sz w:val="21"/>
        </w:rPr>
        <w:t>，</w:t>
      </w:r>
      <w:r>
        <w:rPr>
          <w:b/>
          <w:sz w:val="21"/>
        </w:rPr>
        <w:t>无合法有效驾驶证驾驶</w:t>
      </w:r>
      <w:r>
        <w:rPr>
          <w:sz w:val="21"/>
        </w:rPr>
        <w:t>，或驾驶</w:t>
      </w:r>
      <w:r>
        <w:rPr>
          <w:b/>
          <w:sz w:val="21"/>
        </w:rPr>
        <w:t>无有效行驶证</w:t>
      </w:r>
      <w:r>
        <w:rPr>
          <w:sz w:val="21"/>
        </w:rPr>
        <w:t>的机动车；</w:t>
      </w:r>
    </w:p>
    <w:p>
      <w:pPr>
        <w:pStyle w:val="BodyText"/>
        <w:spacing w:line="272" w:lineRule="exact"/>
        <w:ind w:left="2775"/>
      </w:pPr>
      <w:r>
        <w:rPr>
          <w:w w:val="95"/>
        </w:rPr>
        <w:t>6、战争、军事冲突、暴乱、武装叛乱或</w:t>
      </w:r>
      <w:r>
        <w:rPr>
          <w:b/>
          <w:w w:val="95"/>
        </w:rPr>
        <w:t>恐怖活动</w:t>
      </w:r>
      <w:r>
        <w:rPr>
          <w:w w:val="95"/>
        </w:rPr>
        <w:t>；</w:t>
      </w:r>
    </w:p>
    <w:p>
      <w:pPr>
        <w:pStyle w:val="BodyText"/>
        <w:spacing w:before="43"/>
        <w:ind w:left="2775"/>
      </w:pPr>
      <w:r>
        <w:rPr/>
        <w:t>7、核爆炸、核辐射或核污染。</w:t>
      </w:r>
    </w:p>
    <w:p>
      <w:pPr>
        <w:pStyle w:val="BodyText"/>
        <w:spacing w:line="273" w:lineRule="auto" w:before="19"/>
        <w:ind w:left="2775" w:right="296"/>
      </w:pPr>
      <w:r>
        <w:rPr>
          <w:spacing w:val="-3"/>
        </w:rPr>
        <w:t>本合同因上述第１项情形而终止，投保人已交足 </w:t>
      </w:r>
      <w:r>
        <w:rPr/>
        <w:t>2</w:t>
      </w:r>
      <w:r>
        <w:rPr>
          <w:spacing w:val="-8"/>
        </w:rPr>
        <w:t> 年以上保险费的，本</w:t>
      </w:r>
      <w:r>
        <w:rPr>
          <w:spacing w:val="-8"/>
          <w:w w:val="95"/>
        </w:rPr>
        <w:t>公司按合同约定向其他权利人退还本合同当时的</w:t>
      </w:r>
      <w:r>
        <w:rPr>
          <w:b/>
          <w:spacing w:val="-8"/>
          <w:w w:val="95"/>
        </w:rPr>
        <w:t>现金价值</w:t>
      </w:r>
      <w:r>
        <w:rPr>
          <w:spacing w:val="-8"/>
          <w:w w:val="95"/>
        </w:rPr>
        <w:t>。</w:t>
      </w:r>
    </w:p>
    <w:p>
      <w:pPr>
        <w:pStyle w:val="BodyText"/>
        <w:spacing w:line="280" w:lineRule="auto" w:before="33"/>
        <w:ind w:left="2775" w:right="226"/>
      </w:pPr>
      <w:r>
        <w:rPr/>
        <w:t>本合同因上述其他情形而终止，本公司向投保人退还本合同当时的现金价值。</w:t>
      </w:r>
    </w:p>
    <w:p>
      <w:pPr>
        <w:pStyle w:val="BodyText"/>
        <w:rPr>
          <w:sz w:val="20"/>
        </w:rPr>
      </w:pPr>
    </w:p>
    <w:p>
      <w:pPr>
        <w:pStyle w:val="BodyText"/>
        <w:spacing w:before="1"/>
      </w:pPr>
    </w:p>
    <w:p>
      <w:pPr>
        <w:pStyle w:val="Heading2"/>
        <w:numPr>
          <w:ilvl w:val="0"/>
          <w:numId w:val="2"/>
        </w:numPr>
        <w:tabs>
          <w:tab w:pos="1075" w:val="left" w:leader="none"/>
          <w:tab w:pos="1076" w:val="left" w:leader="none"/>
        </w:tabs>
        <w:spacing w:line="240" w:lineRule="auto" w:before="0" w:after="0"/>
        <w:ind w:left="1075" w:right="0" w:hanging="851"/>
        <w:jc w:val="left"/>
      </w:pPr>
      <w:r>
        <w:rPr>
          <w:w w:val="95"/>
        </w:rPr>
        <w:t>申请与给付保险金</w:t>
      </w:r>
    </w:p>
    <w:p>
      <w:pPr>
        <w:pStyle w:val="BodyText"/>
        <w:spacing w:before="2"/>
        <w:rPr>
          <w:b/>
          <w:sz w:val="10"/>
        </w:rPr>
      </w:pPr>
      <w:r>
        <w:rPr/>
        <w:pict>
          <v:group style="position:absolute;margin-left:59.82pt;margin-top:8.634976pt;width:467.4pt;height:1.45pt;mso-position-horizontal-relative:page;mso-position-vertical-relative:paragraph;z-index:1264;mso-wrap-distance-left:0;mso-wrap-distance-right:0" coordorigin="1196,173" coordsize="9348,29">
            <v:line style="position:absolute" from="1196,177" to="2047,177" stroked="true" strokeweight=".48001pt" strokecolor="#000000">
              <v:stroke dashstyle="solid"/>
            </v:line>
            <v:line style="position:absolute" from="1196,197" to="2047,197" stroked="true" strokeweight=".47998pt" strokecolor="#000000">
              <v:stroke dashstyle="solid"/>
            </v:line>
            <v:rect style="position:absolute;left:2047;top:172;width:29;height:10" filled="true" fillcolor="#000000" stroked="false">
              <v:fill type="solid"/>
            </v:rect>
            <v:rect style="position:absolute;left:2047;top:191;width:29;height:10" filled="true" fillcolor="#000000" stroked="false">
              <v:fill type="solid"/>
            </v:rect>
            <v:line style="position:absolute" from="2076,177" to="3749,177" stroked="true" strokeweight=".48001pt" strokecolor="#000000">
              <v:stroke dashstyle="solid"/>
            </v:line>
            <v:line style="position:absolute" from="2076,197" to="3749,197" stroked="true" strokeweight=".47998pt" strokecolor="#000000">
              <v:stroke dashstyle="solid"/>
            </v:line>
            <v:rect style="position:absolute;left:3748;top:172;width:29;height:10" filled="true" fillcolor="#000000" stroked="false">
              <v:fill type="solid"/>
            </v:rect>
            <v:rect style="position:absolute;left:3748;top:191;width:29;height:10" filled="true" fillcolor="#000000" stroked="false">
              <v:fill type="solid"/>
            </v:rect>
            <v:line style="position:absolute" from="3778,177" to="10544,177" stroked="true" strokeweight=".48001pt" strokecolor="#000000">
              <v:stroke dashstyle="solid"/>
            </v:line>
            <v:line style="position:absolute" from="3778,197" to="10544,197" stroked="true" strokeweight=".47998pt" strokecolor="#000000">
              <v:stroke dashstyle="solid"/>
            </v:line>
            <w10:wrap type="topAndBottom"/>
          </v:group>
        </w:pict>
      </w:r>
    </w:p>
    <w:p>
      <w:pPr>
        <w:pStyle w:val="BodyText"/>
        <w:spacing w:before="6"/>
        <w:rPr>
          <w:b/>
          <w:sz w:val="7"/>
        </w:rPr>
      </w:pPr>
    </w:p>
    <w:p>
      <w:pPr>
        <w:spacing w:after="0"/>
        <w:rPr>
          <w:sz w:val="7"/>
        </w:rPr>
        <w:sectPr>
          <w:pgSz w:w="11910" w:h="16840"/>
          <w:pgMar w:header="0" w:footer="998" w:top="1460" w:bottom="1180" w:left="1080" w:right="1240"/>
        </w:sectPr>
      </w:pPr>
    </w:p>
    <w:p>
      <w:pPr>
        <w:pStyle w:val="Heading5"/>
        <w:numPr>
          <w:ilvl w:val="1"/>
          <w:numId w:val="2"/>
        </w:numPr>
        <w:tabs>
          <w:tab w:pos="1075" w:val="left" w:leader="none"/>
          <w:tab w:pos="1076" w:val="left" w:leader="none"/>
        </w:tabs>
        <w:spacing w:line="273" w:lineRule="auto" w:before="56" w:after="0"/>
        <w:ind w:left="1075" w:right="0" w:hanging="851"/>
        <w:jc w:val="left"/>
      </w:pPr>
      <w:r>
        <w:rPr>
          <w:w w:val="95"/>
        </w:rPr>
        <w:t>受益人的指定与变更</w:t>
      </w:r>
    </w:p>
    <w:p>
      <w:pPr>
        <w:pStyle w:val="BodyText"/>
        <w:spacing w:line="237" w:lineRule="auto" w:before="38"/>
        <w:ind w:left="185" w:right="226"/>
        <w:jc w:val="both"/>
      </w:pPr>
      <w:r>
        <w:rPr/>
        <w:br w:type="column"/>
      </w:r>
      <w:r>
        <w:rPr/>
        <w:t>本合同订立时，投保人或被保险人应当指定一人或数人为保险金的受益人。受益人为数人时，应确定其受益顺序和受益份额。未确定份额的， 各受益人按照相等的份额享有受益权。</w:t>
      </w:r>
    </w:p>
    <w:p>
      <w:pPr>
        <w:pStyle w:val="BodyText"/>
        <w:spacing w:line="237" w:lineRule="auto"/>
        <w:ind w:left="185" w:right="122"/>
      </w:pPr>
      <w:r>
        <w:rPr/>
        <w:t>本合同订立后，投保人或被保险人可以向我们提出变更受益人的书面申</w:t>
      </w:r>
      <w:r>
        <w:rPr>
          <w:spacing w:val="-5"/>
        </w:rPr>
        <w:t>请，经我们记录及对本合同批注后生效。前项变更若发生法律上的纠纷， 我们不承担任何责任。</w:t>
      </w:r>
    </w:p>
    <w:p>
      <w:pPr>
        <w:pStyle w:val="BodyText"/>
        <w:spacing w:line="237" w:lineRule="auto"/>
        <w:ind w:left="185" w:right="226"/>
      </w:pPr>
      <w:r>
        <w:rPr/>
        <w:t>被保险人为无民事行为能力人或限制民事行为能力人的，可以由其监护人指定受益人。</w:t>
      </w:r>
    </w:p>
    <w:p>
      <w:pPr>
        <w:pStyle w:val="BodyText"/>
        <w:spacing w:line="237" w:lineRule="auto"/>
        <w:ind w:left="185" w:right="218"/>
      </w:pPr>
      <w:r>
        <w:rPr/>
        <w:t>投保人指定或变更受益人时须经被保险人或被保险人的监护人书面同意。</w:t>
      </w:r>
    </w:p>
    <w:p>
      <w:pPr>
        <w:pStyle w:val="BodyText"/>
        <w:spacing w:line="278" w:lineRule="auto" w:before="43"/>
        <w:ind w:left="185" w:right="226"/>
      </w:pPr>
      <w:r>
        <w:rPr/>
        <w:t>除另有约定外，本合同生命末期保险金、满期保险金的受益人为被保险人本人。</w:t>
      </w:r>
    </w:p>
    <w:p>
      <w:pPr>
        <w:pStyle w:val="BodyText"/>
        <w:spacing w:line="240" w:lineRule="exact"/>
        <w:ind w:left="185"/>
      </w:pPr>
      <w:r>
        <w:rPr/>
        <w:t>被保险人身故后，有下列情形之一的，保险金作为被保险人的遗产，我</w:t>
      </w:r>
    </w:p>
    <w:p>
      <w:pPr>
        <w:pStyle w:val="BodyText"/>
        <w:spacing w:line="272" w:lineRule="exact"/>
        <w:ind w:left="185"/>
      </w:pPr>
      <w:r>
        <w:rPr/>
        <w:t>们依照《中华人民共和国继承法》的规定履行给付保险金的义务：</w:t>
      </w:r>
    </w:p>
    <w:p>
      <w:pPr>
        <w:pStyle w:val="BodyText"/>
        <w:spacing w:line="272" w:lineRule="exact"/>
        <w:ind w:left="185"/>
      </w:pPr>
      <w:r>
        <w:rPr/>
        <w:t>（1）没有指定受益人，或者受益人指定不明无法确定的；</w:t>
      </w:r>
    </w:p>
    <w:p>
      <w:pPr>
        <w:pStyle w:val="BodyText"/>
        <w:spacing w:line="272" w:lineRule="exact"/>
        <w:ind w:left="185"/>
      </w:pPr>
      <w:r>
        <w:rPr/>
        <w:t>（2）受益人先于被保险人身故，没有其他受益人的；</w:t>
      </w:r>
    </w:p>
    <w:p>
      <w:pPr>
        <w:pStyle w:val="BodyText"/>
        <w:spacing w:line="272" w:lineRule="exact"/>
        <w:ind w:left="185"/>
      </w:pPr>
      <w:r>
        <w:rPr/>
        <w:t>（3）受益人依法丧失受益权或者放弃受益权，没有其他受益人的。</w:t>
      </w:r>
    </w:p>
    <w:p>
      <w:pPr>
        <w:pStyle w:val="BodyText"/>
        <w:spacing w:line="237" w:lineRule="auto" w:before="2"/>
        <w:ind w:left="185" w:right="226"/>
      </w:pPr>
      <w:r>
        <w:rPr/>
        <w:t>受益人与被保险人在同一事件中身故，且不能确定身故先后顺序的，推定受益人身故在先。</w:t>
      </w:r>
    </w:p>
    <w:p>
      <w:pPr>
        <w:pStyle w:val="BodyText"/>
        <w:spacing w:line="278" w:lineRule="auto" w:before="43"/>
        <w:ind w:left="185" w:right="67"/>
      </w:pPr>
      <w:r>
        <w:rPr/>
        <w:t>受益人故意造成被保险人身故，生命末期或者故意杀害被保险人未遂的， 该受益人丧失受益权。</w:t>
      </w:r>
    </w:p>
    <w:p>
      <w:pPr>
        <w:spacing w:after="0" w:line="278" w:lineRule="auto"/>
        <w:sectPr>
          <w:type w:val="continuous"/>
          <w:pgSz w:w="11910" w:h="16840"/>
          <w:pgMar w:top="560" w:bottom="280" w:left="1080" w:right="1240"/>
          <w:cols w:num="2" w:equalWidth="0">
            <w:col w:w="2551" w:space="40"/>
            <w:col w:w="6999"/>
          </w:cols>
        </w:sectPr>
      </w:pPr>
    </w:p>
    <w:p>
      <w:pPr>
        <w:pStyle w:val="BodyText"/>
        <w:rPr>
          <w:sz w:val="12"/>
        </w:rPr>
      </w:pPr>
    </w:p>
    <w:p>
      <w:pPr>
        <w:pStyle w:val="ListParagraph"/>
        <w:numPr>
          <w:ilvl w:val="1"/>
          <w:numId w:val="2"/>
        </w:numPr>
        <w:tabs>
          <w:tab w:pos="1075" w:val="left" w:leader="none"/>
          <w:tab w:pos="1076" w:val="left" w:leader="none"/>
          <w:tab w:pos="2775" w:val="left" w:leader="none"/>
        </w:tabs>
        <w:spacing w:line="220" w:lineRule="auto" w:before="56" w:after="0"/>
        <w:ind w:left="2775" w:right="226" w:hanging="2551"/>
        <w:jc w:val="left"/>
        <w:rPr>
          <w:sz w:val="21"/>
        </w:rPr>
      </w:pPr>
      <w:r>
        <w:rPr>
          <w:b/>
          <w:position w:val="-1"/>
          <w:sz w:val="21"/>
        </w:rPr>
        <w:t>保险事故的通知</w:t>
        <w:tab/>
      </w:r>
      <w:r>
        <w:rPr>
          <w:sz w:val="21"/>
        </w:rPr>
        <w:t>本合同的投保人，被保险人或受益人知道保险事故后应当在十日内通知 我们。</w:t>
      </w:r>
    </w:p>
    <w:p>
      <w:pPr>
        <w:pStyle w:val="BodyText"/>
        <w:spacing w:line="278" w:lineRule="auto" w:before="42"/>
        <w:ind w:left="2775" w:right="226"/>
        <w:jc w:val="both"/>
      </w:pPr>
      <w:r>
        <w:rPr/>
        <w:t>如果投保人，被保险人或受益人故意或者因重大过失未及时通知我们， 致使保险事故的性质、原因、损失程度等难以确定的，我们对无法确定的部分，不承担给付保险金的责任，但我们通过其他途径已经及时知道</w:t>
      </w:r>
    </w:p>
    <w:p>
      <w:pPr>
        <w:spacing w:after="0" w:line="278" w:lineRule="auto"/>
        <w:jc w:val="both"/>
        <w:sectPr>
          <w:type w:val="continuous"/>
          <w:pgSz w:w="11910" w:h="16840"/>
          <w:pgMar w:top="560" w:bottom="280" w:left="1080" w:right="1240"/>
        </w:sectPr>
      </w:pPr>
    </w:p>
    <w:tbl>
      <w:tblPr>
        <w:tblW w:w="0" w:type="auto"/>
        <w:jc w:val="left"/>
        <w:tblInd w:w="1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38"/>
        <w:gridCol w:w="1752"/>
        <w:gridCol w:w="6849"/>
      </w:tblGrid>
      <w:tr>
        <w:trPr>
          <w:trHeight w:val="264" w:hRule="atLeast"/>
        </w:trPr>
        <w:tc>
          <w:tcPr>
            <w:tcW w:w="2490" w:type="dxa"/>
            <w:gridSpan w:val="2"/>
            <w:vMerge w:val="restart"/>
          </w:tcPr>
          <w:p>
            <w:pPr>
              <w:pStyle w:val="TableParagraph"/>
              <w:rPr>
                <w:rFonts w:ascii="Times New Roman"/>
                <w:sz w:val="20"/>
              </w:rPr>
            </w:pPr>
          </w:p>
        </w:tc>
        <w:tc>
          <w:tcPr>
            <w:tcW w:w="6849" w:type="dxa"/>
          </w:tcPr>
          <w:p>
            <w:pPr>
              <w:pStyle w:val="TableParagraph"/>
              <w:spacing w:line="203" w:lineRule="exact"/>
              <w:ind w:left="111"/>
              <w:rPr>
                <w:sz w:val="21"/>
              </w:rPr>
            </w:pPr>
            <w:r>
              <w:rPr>
                <w:sz w:val="21"/>
              </w:rPr>
              <w:t>或者应当及时知道保险事故发生或者虽未及时通知但不影响我们确定保</w:t>
            </w:r>
          </w:p>
        </w:tc>
      </w:tr>
      <w:tr>
        <w:trPr>
          <w:trHeight w:val="420" w:hRule="atLeast"/>
        </w:trPr>
        <w:tc>
          <w:tcPr>
            <w:tcW w:w="2490" w:type="dxa"/>
            <w:gridSpan w:val="2"/>
            <w:vMerge/>
            <w:tcBorders>
              <w:top w:val="nil"/>
            </w:tcBorders>
          </w:tcPr>
          <w:p>
            <w:pPr>
              <w:rPr>
                <w:sz w:val="2"/>
                <w:szCs w:val="2"/>
              </w:rPr>
            </w:pPr>
          </w:p>
        </w:tc>
        <w:tc>
          <w:tcPr>
            <w:tcW w:w="6849" w:type="dxa"/>
          </w:tcPr>
          <w:p>
            <w:pPr>
              <w:pStyle w:val="TableParagraph"/>
              <w:spacing w:line="257" w:lineRule="exact"/>
              <w:ind w:left="111"/>
              <w:rPr>
                <w:sz w:val="21"/>
              </w:rPr>
            </w:pPr>
            <w:r>
              <w:rPr>
                <w:sz w:val="21"/>
              </w:rPr>
              <w:t>险事故的性质、原因、损失程度的除外。</w:t>
            </w:r>
          </w:p>
        </w:tc>
      </w:tr>
      <w:tr>
        <w:trPr>
          <w:trHeight w:val="446" w:hRule="atLeast"/>
        </w:trPr>
        <w:tc>
          <w:tcPr>
            <w:tcW w:w="738" w:type="dxa"/>
          </w:tcPr>
          <w:p>
            <w:pPr>
              <w:pStyle w:val="TableParagraph"/>
              <w:spacing w:before="84"/>
              <w:ind w:left="50"/>
              <w:rPr>
                <w:b/>
                <w:sz w:val="21"/>
              </w:rPr>
            </w:pPr>
            <w:r>
              <w:rPr>
                <w:b/>
                <w:sz w:val="21"/>
              </w:rPr>
              <w:t>3.3</w:t>
            </w:r>
          </w:p>
        </w:tc>
        <w:tc>
          <w:tcPr>
            <w:tcW w:w="1752" w:type="dxa"/>
          </w:tcPr>
          <w:p>
            <w:pPr>
              <w:pStyle w:val="TableParagraph"/>
              <w:spacing w:before="84"/>
              <w:ind w:left="162"/>
              <w:rPr>
                <w:b/>
                <w:sz w:val="21"/>
              </w:rPr>
            </w:pPr>
            <w:r>
              <w:rPr>
                <w:b/>
                <w:w w:val="95"/>
                <w:sz w:val="21"/>
              </w:rPr>
              <w:t>诉讼时效</w:t>
            </w:r>
          </w:p>
        </w:tc>
        <w:tc>
          <w:tcPr>
            <w:tcW w:w="6849" w:type="dxa"/>
          </w:tcPr>
          <w:p>
            <w:pPr>
              <w:pStyle w:val="TableParagraph"/>
              <w:spacing w:before="109"/>
              <w:ind w:left="111"/>
              <w:rPr>
                <w:sz w:val="21"/>
              </w:rPr>
            </w:pPr>
            <w:r>
              <w:rPr>
                <w:sz w:val="21"/>
              </w:rPr>
              <w:t>被保险人或者受益人对本合同请求给付保险金的诉讼时效期间为五年，</w:t>
            </w:r>
          </w:p>
        </w:tc>
      </w:tr>
      <w:tr>
        <w:trPr>
          <w:trHeight w:val="421" w:hRule="atLeast"/>
        </w:trPr>
        <w:tc>
          <w:tcPr>
            <w:tcW w:w="738" w:type="dxa"/>
          </w:tcPr>
          <w:p>
            <w:pPr>
              <w:pStyle w:val="TableParagraph"/>
              <w:rPr>
                <w:rFonts w:ascii="Times New Roman"/>
                <w:sz w:val="20"/>
              </w:rPr>
            </w:pPr>
          </w:p>
        </w:tc>
        <w:tc>
          <w:tcPr>
            <w:tcW w:w="1752" w:type="dxa"/>
          </w:tcPr>
          <w:p>
            <w:pPr>
              <w:pStyle w:val="TableParagraph"/>
              <w:rPr>
                <w:rFonts w:ascii="Times New Roman"/>
                <w:sz w:val="20"/>
              </w:rPr>
            </w:pPr>
          </w:p>
        </w:tc>
        <w:tc>
          <w:tcPr>
            <w:tcW w:w="6849" w:type="dxa"/>
          </w:tcPr>
          <w:p>
            <w:pPr>
              <w:pStyle w:val="TableParagraph"/>
              <w:spacing w:line="258" w:lineRule="exact"/>
              <w:ind w:left="111"/>
              <w:rPr>
                <w:sz w:val="21"/>
              </w:rPr>
            </w:pPr>
            <w:r>
              <w:rPr>
                <w:sz w:val="21"/>
              </w:rPr>
              <w:t>自其知道或者应当知道保险事故发生之日起计算。</w:t>
            </w:r>
          </w:p>
        </w:tc>
      </w:tr>
      <w:tr>
        <w:trPr>
          <w:trHeight w:val="416" w:hRule="atLeast"/>
        </w:trPr>
        <w:tc>
          <w:tcPr>
            <w:tcW w:w="738" w:type="dxa"/>
          </w:tcPr>
          <w:p>
            <w:pPr>
              <w:pStyle w:val="TableParagraph"/>
              <w:spacing w:before="84"/>
              <w:ind w:left="50"/>
              <w:rPr>
                <w:b/>
                <w:sz w:val="21"/>
              </w:rPr>
            </w:pPr>
            <w:r>
              <w:rPr>
                <w:b/>
                <w:sz w:val="21"/>
              </w:rPr>
              <w:t>3.4</w:t>
            </w:r>
          </w:p>
        </w:tc>
        <w:tc>
          <w:tcPr>
            <w:tcW w:w="1752" w:type="dxa"/>
          </w:tcPr>
          <w:p>
            <w:pPr>
              <w:pStyle w:val="TableParagraph"/>
              <w:spacing w:before="84"/>
              <w:ind w:left="163"/>
              <w:rPr>
                <w:b/>
                <w:sz w:val="21"/>
              </w:rPr>
            </w:pPr>
            <w:r>
              <w:rPr>
                <w:b/>
                <w:w w:val="95"/>
                <w:sz w:val="21"/>
              </w:rPr>
              <w:t>申请保险金应提</w:t>
            </w:r>
          </w:p>
        </w:tc>
        <w:tc>
          <w:tcPr>
            <w:tcW w:w="6849" w:type="dxa"/>
          </w:tcPr>
          <w:p>
            <w:pPr>
              <w:pStyle w:val="TableParagraph"/>
              <w:spacing w:before="84"/>
              <w:ind w:left="111"/>
              <w:rPr>
                <w:sz w:val="21"/>
              </w:rPr>
            </w:pPr>
            <w:r>
              <w:rPr>
                <w:sz w:val="21"/>
              </w:rPr>
              <w:t>申请各项保险金时，申请人应提供相关证明文件和资料。如果有关证明</w:t>
            </w:r>
          </w:p>
        </w:tc>
      </w:tr>
      <w:tr>
        <w:trPr>
          <w:trHeight w:val="420" w:hRule="atLeast"/>
        </w:trPr>
        <w:tc>
          <w:tcPr>
            <w:tcW w:w="738" w:type="dxa"/>
          </w:tcPr>
          <w:p>
            <w:pPr>
              <w:pStyle w:val="TableParagraph"/>
              <w:rPr>
                <w:rFonts w:ascii="Times New Roman"/>
                <w:sz w:val="20"/>
              </w:rPr>
            </w:pPr>
          </w:p>
        </w:tc>
        <w:tc>
          <w:tcPr>
            <w:tcW w:w="1752" w:type="dxa"/>
          </w:tcPr>
          <w:p>
            <w:pPr>
              <w:pStyle w:val="TableParagraph"/>
              <w:spacing w:line="254" w:lineRule="exact"/>
              <w:ind w:left="162"/>
              <w:rPr>
                <w:b/>
                <w:sz w:val="21"/>
              </w:rPr>
            </w:pPr>
            <w:r>
              <w:rPr>
                <w:b/>
                <w:w w:val="95"/>
                <w:sz w:val="21"/>
              </w:rPr>
              <w:t>供的资料</w:t>
            </w:r>
          </w:p>
        </w:tc>
        <w:tc>
          <w:tcPr>
            <w:tcW w:w="6849" w:type="dxa"/>
          </w:tcPr>
          <w:p>
            <w:pPr>
              <w:pStyle w:val="TableParagraph"/>
              <w:spacing w:line="254" w:lineRule="exact"/>
              <w:ind w:left="111"/>
              <w:rPr>
                <w:sz w:val="21"/>
              </w:rPr>
            </w:pPr>
            <w:r>
              <w:rPr>
                <w:sz w:val="21"/>
              </w:rPr>
              <w:t>资料不完整，我们将及时一次性通知申请人补充提供。</w:t>
            </w:r>
          </w:p>
        </w:tc>
      </w:tr>
      <w:tr>
        <w:trPr>
          <w:trHeight w:val="436" w:hRule="atLeast"/>
        </w:trPr>
        <w:tc>
          <w:tcPr>
            <w:tcW w:w="738" w:type="dxa"/>
          </w:tcPr>
          <w:p>
            <w:pPr>
              <w:pStyle w:val="TableParagraph"/>
              <w:spacing w:before="85"/>
              <w:ind w:left="50"/>
              <w:rPr>
                <w:i/>
                <w:sz w:val="22"/>
              </w:rPr>
            </w:pPr>
            <w:r>
              <w:rPr>
                <w:i/>
                <w:sz w:val="22"/>
              </w:rPr>
              <w:t>3.4.1</w:t>
            </w:r>
          </w:p>
        </w:tc>
        <w:tc>
          <w:tcPr>
            <w:tcW w:w="1752" w:type="dxa"/>
          </w:tcPr>
          <w:p>
            <w:pPr>
              <w:pStyle w:val="TableParagraph"/>
              <w:spacing w:before="85"/>
              <w:ind w:left="162"/>
              <w:rPr>
                <w:i/>
                <w:sz w:val="22"/>
              </w:rPr>
            </w:pPr>
            <w:r>
              <w:rPr>
                <w:i/>
                <w:w w:val="95"/>
                <w:sz w:val="22"/>
              </w:rPr>
              <w:t>身故保险金的申</w:t>
            </w:r>
          </w:p>
        </w:tc>
        <w:tc>
          <w:tcPr>
            <w:tcW w:w="6849" w:type="dxa"/>
          </w:tcPr>
          <w:p>
            <w:pPr>
              <w:pStyle w:val="TableParagraph"/>
              <w:spacing w:before="122"/>
              <w:ind w:left="111"/>
              <w:rPr>
                <w:sz w:val="21"/>
              </w:rPr>
            </w:pPr>
            <w:r>
              <w:rPr>
                <w:sz w:val="21"/>
              </w:rPr>
              <w:t>受益人申请身故保险金时，应提供下列证明文件和资料：</w:t>
            </w:r>
          </w:p>
        </w:tc>
      </w:tr>
      <w:tr>
        <w:trPr>
          <w:trHeight w:val="280" w:hRule="atLeast"/>
        </w:trPr>
        <w:tc>
          <w:tcPr>
            <w:tcW w:w="738" w:type="dxa"/>
          </w:tcPr>
          <w:p>
            <w:pPr>
              <w:pStyle w:val="TableParagraph"/>
              <w:rPr>
                <w:rFonts w:ascii="Times New Roman"/>
                <w:sz w:val="20"/>
              </w:rPr>
            </w:pPr>
          </w:p>
        </w:tc>
        <w:tc>
          <w:tcPr>
            <w:tcW w:w="1752" w:type="dxa"/>
          </w:tcPr>
          <w:p>
            <w:pPr>
              <w:pStyle w:val="TableParagraph"/>
              <w:spacing w:line="249" w:lineRule="exact"/>
              <w:ind w:left="162"/>
              <w:rPr>
                <w:i/>
                <w:sz w:val="22"/>
              </w:rPr>
            </w:pPr>
            <w:r>
              <w:rPr>
                <w:i/>
                <w:w w:val="95"/>
                <w:sz w:val="22"/>
              </w:rPr>
              <w:t>请</w:t>
            </w:r>
          </w:p>
        </w:tc>
        <w:tc>
          <w:tcPr>
            <w:tcW w:w="6849" w:type="dxa"/>
          </w:tcPr>
          <w:p>
            <w:pPr>
              <w:pStyle w:val="TableParagraph"/>
              <w:spacing w:line="235" w:lineRule="exact"/>
              <w:ind w:left="111"/>
              <w:rPr>
                <w:sz w:val="21"/>
              </w:rPr>
            </w:pPr>
            <w:r>
              <w:rPr>
                <w:sz w:val="21"/>
              </w:rPr>
              <w:t>（1）给付申请书；</w:t>
            </w:r>
          </w:p>
        </w:tc>
      </w:tr>
      <w:tr>
        <w:trPr>
          <w:trHeight w:val="264" w:hRule="atLeast"/>
        </w:trPr>
        <w:tc>
          <w:tcPr>
            <w:tcW w:w="738" w:type="dxa"/>
          </w:tcPr>
          <w:p>
            <w:pPr>
              <w:pStyle w:val="TableParagraph"/>
              <w:rPr>
                <w:rFonts w:ascii="Times New Roman"/>
                <w:sz w:val="18"/>
              </w:rPr>
            </w:pPr>
          </w:p>
        </w:tc>
        <w:tc>
          <w:tcPr>
            <w:tcW w:w="1752" w:type="dxa"/>
          </w:tcPr>
          <w:p>
            <w:pPr>
              <w:pStyle w:val="TableParagraph"/>
              <w:rPr>
                <w:rFonts w:ascii="Times New Roman"/>
                <w:sz w:val="18"/>
              </w:rPr>
            </w:pPr>
          </w:p>
        </w:tc>
        <w:tc>
          <w:tcPr>
            <w:tcW w:w="6849" w:type="dxa"/>
          </w:tcPr>
          <w:p>
            <w:pPr>
              <w:pStyle w:val="TableParagraph"/>
              <w:spacing w:line="226" w:lineRule="exact"/>
              <w:ind w:left="111"/>
              <w:rPr>
                <w:sz w:val="21"/>
              </w:rPr>
            </w:pPr>
            <w:r>
              <w:rPr>
                <w:sz w:val="21"/>
              </w:rPr>
              <w:t>（2）保险合同；</w:t>
            </w:r>
          </w:p>
        </w:tc>
      </w:tr>
      <w:tr>
        <w:trPr>
          <w:trHeight w:val="272" w:hRule="atLeast"/>
        </w:trPr>
        <w:tc>
          <w:tcPr>
            <w:tcW w:w="738" w:type="dxa"/>
          </w:tcPr>
          <w:p>
            <w:pPr>
              <w:pStyle w:val="TableParagraph"/>
              <w:rPr>
                <w:rFonts w:ascii="Times New Roman"/>
                <w:sz w:val="20"/>
              </w:rPr>
            </w:pPr>
          </w:p>
        </w:tc>
        <w:tc>
          <w:tcPr>
            <w:tcW w:w="1752" w:type="dxa"/>
          </w:tcPr>
          <w:p>
            <w:pPr>
              <w:pStyle w:val="TableParagraph"/>
              <w:rPr>
                <w:rFonts w:ascii="Times New Roman"/>
                <w:sz w:val="20"/>
              </w:rPr>
            </w:pPr>
          </w:p>
        </w:tc>
        <w:tc>
          <w:tcPr>
            <w:tcW w:w="6849" w:type="dxa"/>
          </w:tcPr>
          <w:p>
            <w:pPr>
              <w:pStyle w:val="TableParagraph"/>
              <w:spacing w:line="234" w:lineRule="exact"/>
              <w:ind w:left="111"/>
              <w:rPr>
                <w:sz w:val="21"/>
              </w:rPr>
            </w:pPr>
            <w:r>
              <w:rPr>
                <w:sz w:val="21"/>
              </w:rPr>
              <w:t>（3）受益人的户籍证明及身份证明；</w:t>
            </w:r>
          </w:p>
        </w:tc>
      </w:tr>
      <w:tr>
        <w:trPr>
          <w:trHeight w:val="272" w:hRule="atLeast"/>
        </w:trPr>
        <w:tc>
          <w:tcPr>
            <w:tcW w:w="738" w:type="dxa"/>
          </w:tcPr>
          <w:p>
            <w:pPr>
              <w:pStyle w:val="TableParagraph"/>
              <w:rPr>
                <w:rFonts w:ascii="Times New Roman"/>
                <w:sz w:val="20"/>
              </w:rPr>
            </w:pPr>
          </w:p>
        </w:tc>
        <w:tc>
          <w:tcPr>
            <w:tcW w:w="1752" w:type="dxa"/>
          </w:tcPr>
          <w:p>
            <w:pPr>
              <w:pStyle w:val="TableParagraph"/>
              <w:rPr>
                <w:rFonts w:ascii="Times New Roman"/>
                <w:sz w:val="20"/>
              </w:rPr>
            </w:pPr>
          </w:p>
        </w:tc>
        <w:tc>
          <w:tcPr>
            <w:tcW w:w="6849" w:type="dxa"/>
          </w:tcPr>
          <w:p>
            <w:pPr>
              <w:pStyle w:val="TableParagraph"/>
              <w:spacing w:line="234" w:lineRule="exact"/>
              <w:ind w:left="112"/>
              <w:rPr>
                <w:sz w:val="21"/>
              </w:rPr>
            </w:pPr>
            <w:r>
              <w:rPr>
                <w:sz w:val="21"/>
              </w:rPr>
              <w:t>（4）公安部门或国家卫生行政部门认定的医疗机构出具的被保险人死亡</w:t>
            </w:r>
          </w:p>
        </w:tc>
      </w:tr>
      <w:tr>
        <w:trPr>
          <w:trHeight w:val="272" w:hRule="atLeast"/>
        </w:trPr>
        <w:tc>
          <w:tcPr>
            <w:tcW w:w="738" w:type="dxa"/>
          </w:tcPr>
          <w:p>
            <w:pPr>
              <w:pStyle w:val="TableParagraph"/>
              <w:rPr>
                <w:rFonts w:ascii="Times New Roman"/>
                <w:sz w:val="20"/>
              </w:rPr>
            </w:pPr>
          </w:p>
        </w:tc>
        <w:tc>
          <w:tcPr>
            <w:tcW w:w="1752" w:type="dxa"/>
          </w:tcPr>
          <w:p>
            <w:pPr>
              <w:pStyle w:val="TableParagraph"/>
              <w:rPr>
                <w:rFonts w:ascii="Times New Roman"/>
                <w:sz w:val="20"/>
              </w:rPr>
            </w:pPr>
          </w:p>
        </w:tc>
        <w:tc>
          <w:tcPr>
            <w:tcW w:w="6849" w:type="dxa"/>
          </w:tcPr>
          <w:p>
            <w:pPr>
              <w:pStyle w:val="TableParagraph"/>
              <w:spacing w:line="234" w:lineRule="exact"/>
              <w:ind w:left="112"/>
              <w:rPr>
                <w:sz w:val="21"/>
              </w:rPr>
            </w:pPr>
            <w:r>
              <w:rPr>
                <w:sz w:val="21"/>
              </w:rPr>
              <w:t>诊断书或验尸证明书。若被保险人为宣告死亡，受益人须提供人民法院</w:t>
            </w:r>
          </w:p>
        </w:tc>
      </w:tr>
      <w:tr>
        <w:trPr>
          <w:trHeight w:val="272" w:hRule="atLeast"/>
        </w:trPr>
        <w:tc>
          <w:tcPr>
            <w:tcW w:w="738" w:type="dxa"/>
          </w:tcPr>
          <w:p>
            <w:pPr>
              <w:pStyle w:val="TableParagraph"/>
              <w:rPr>
                <w:rFonts w:ascii="Times New Roman"/>
                <w:sz w:val="20"/>
              </w:rPr>
            </w:pPr>
          </w:p>
        </w:tc>
        <w:tc>
          <w:tcPr>
            <w:tcW w:w="1752" w:type="dxa"/>
          </w:tcPr>
          <w:p>
            <w:pPr>
              <w:pStyle w:val="TableParagraph"/>
              <w:rPr>
                <w:rFonts w:ascii="Times New Roman"/>
                <w:sz w:val="20"/>
              </w:rPr>
            </w:pPr>
          </w:p>
        </w:tc>
        <w:tc>
          <w:tcPr>
            <w:tcW w:w="6849" w:type="dxa"/>
          </w:tcPr>
          <w:p>
            <w:pPr>
              <w:pStyle w:val="TableParagraph"/>
              <w:spacing w:line="234" w:lineRule="exact"/>
              <w:ind w:left="112"/>
              <w:rPr>
                <w:sz w:val="21"/>
              </w:rPr>
            </w:pPr>
            <w:r>
              <w:rPr>
                <w:sz w:val="21"/>
              </w:rPr>
              <w:t>出具的宣告死亡判决书；</w:t>
            </w:r>
          </w:p>
        </w:tc>
      </w:tr>
      <w:tr>
        <w:trPr>
          <w:trHeight w:val="272" w:hRule="atLeast"/>
        </w:trPr>
        <w:tc>
          <w:tcPr>
            <w:tcW w:w="738" w:type="dxa"/>
          </w:tcPr>
          <w:p>
            <w:pPr>
              <w:pStyle w:val="TableParagraph"/>
              <w:rPr>
                <w:rFonts w:ascii="Times New Roman"/>
                <w:sz w:val="20"/>
              </w:rPr>
            </w:pPr>
          </w:p>
        </w:tc>
        <w:tc>
          <w:tcPr>
            <w:tcW w:w="1752" w:type="dxa"/>
          </w:tcPr>
          <w:p>
            <w:pPr>
              <w:pStyle w:val="TableParagraph"/>
              <w:rPr>
                <w:rFonts w:ascii="Times New Roman"/>
                <w:sz w:val="20"/>
              </w:rPr>
            </w:pPr>
          </w:p>
        </w:tc>
        <w:tc>
          <w:tcPr>
            <w:tcW w:w="6849" w:type="dxa"/>
          </w:tcPr>
          <w:p>
            <w:pPr>
              <w:pStyle w:val="TableParagraph"/>
              <w:spacing w:line="234" w:lineRule="exact"/>
              <w:ind w:left="111"/>
              <w:rPr>
                <w:sz w:val="21"/>
              </w:rPr>
            </w:pPr>
            <w:r>
              <w:rPr>
                <w:sz w:val="21"/>
              </w:rPr>
              <w:t>（5）被保险人的户籍注销证明和火化证明；</w:t>
            </w:r>
          </w:p>
        </w:tc>
      </w:tr>
      <w:tr>
        <w:trPr>
          <w:trHeight w:val="272" w:hRule="atLeast"/>
        </w:trPr>
        <w:tc>
          <w:tcPr>
            <w:tcW w:w="738" w:type="dxa"/>
          </w:tcPr>
          <w:p>
            <w:pPr>
              <w:pStyle w:val="TableParagraph"/>
              <w:rPr>
                <w:rFonts w:ascii="Times New Roman"/>
                <w:sz w:val="20"/>
              </w:rPr>
            </w:pPr>
          </w:p>
        </w:tc>
        <w:tc>
          <w:tcPr>
            <w:tcW w:w="1752" w:type="dxa"/>
          </w:tcPr>
          <w:p>
            <w:pPr>
              <w:pStyle w:val="TableParagraph"/>
              <w:rPr>
                <w:rFonts w:ascii="Times New Roman"/>
                <w:sz w:val="20"/>
              </w:rPr>
            </w:pPr>
          </w:p>
        </w:tc>
        <w:tc>
          <w:tcPr>
            <w:tcW w:w="6849" w:type="dxa"/>
          </w:tcPr>
          <w:p>
            <w:pPr>
              <w:pStyle w:val="TableParagraph"/>
              <w:spacing w:line="234" w:lineRule="exact"/>
              <w:ind w:left="111"/>
              <w:rPr>
                <w:sz w:val="21"/>
              </w:rPr>
            </w:pPr>
            <w:r>
              <w:rPr>
                <w:sz w:val="21"/>
              </w:rPr>
              <w:t>（6）投保人、被保险人或者受益人所能提供的与确认保险事故的性质、</w:t>
            </w:r>
          </w:p>
        </w:tc>
      </w:tr>
      <w:tr>
        <w:trPr>
          <w:trHeight w:val="272" w:hRule="atLeast"/>
        </w:trPr>
        <w:tc>
          <w:tcPr>
            <w:tcW w:w="738" w:type="dxa"/>
          </w:tcPr>
          <w:p>
            <w:pPr>
              <w:pStyle w:val="TableParagraph"/>
              <w:rPr>
                <w:rFonts w:ascii="Times New Roman"/>
                <w:sz w:val="20"/>
              </w:rPr>
            </w:pPr>
          </w:p>
        </w:tc>
        <w:tc>
          <w:tcPr>
            <w:tcW w:w="1752" w:type="dxa"/>
          </w:tcPr>
          <w:p>
            <w:pPr>
              <w:pStyle w:val="TableParagraph"/>
              <w:rPr>
                <w:rFonts w:ascii="Times New Roman"/>
                <w:sz w:val="20"/>
              </w:rPr>
            </w:pPr>
          </w:p>
        </w:tc>
        <w:tc>
          <w:tcPr>
            <w:tcW w:w="6849" w:type="dxa"/>
          </w:tcPr>
          <w:p>
            <w:pPr>
              <w:pStyle w:val="TableParagraph"/>
              <w:spacing w:line="234" w:lineRule="exact"/>
              <w:ind w:left="111"/>
              <w:rPr>
                <w:sz w:val="21"/>
              </w:rPr>
            </w:pPr>
            <w:r>
              <w:rPr>
                <w:sz w:val="21"/>
              </w:rPr>
              <w:t>原因、伤害程度等有关的证明文件和资料；</w:t>
            </w:r>
          </w:p>
        </w:tc>
      </w:tr>
      <w:tr>
        <w:trPr>
          <w:trHeight w:val="272" w:hRule="atLeast"/>
        </w:trPr>
        <w:tc>
          <w:tcPr>
            <w:tcW w:w="738" w:type="dxa"/>
          </w:tcPr>
          <w:p>
            <w:pPr>
              <w:pStyle w:val="TableParagraph"/>
              <w:rPr>
                <w:rFonts w:ascii="Times New Roman"/>
                <w:sz w:val="20"/>
              </w:rPr>
            </w:pPr>
          </w:p>
        </w:tc>
        <w:tc>
          <w:tcPr>
            <w:tcW w:w="1752" w:type="dxa"/>
          </w:tcPr>
          <w:p>
            <w:pPr>
              <w:pStyle w:val="TableParagraph"/>
              <w:rPr>
                <w:rFonts w:ascii="Times New Roman"/>
                <w:sz w:val="20"/>
              </w:rPr>
            </w:pPr>
          </w:p>
        </w:tc>
        <w:tc>
          <w:tcPr>
            <w:tcW w:w="6849" w:type="dxa"/>
          </w:tcPr>
          <w:p>
            <w:pPr>
              <w:pStyle w:val="TableParagraph"/>
              <w:spacing w:line="234" w:lineRule="exact"/>
              <w:ind w:left="111"/>
              <w:rPr>
                <w:sz w:val="21"/>
              </w:rPr>
            </w:pPr>
            <w:r>
              <w:rPr>
                <w:sz w:val="21"/>
              </w:rPr>
              <w:t>（7）保险金作为被保险人遗产时，必须提供可证明合法继承权及继承份</w:t>
            </w:r>
          </w:p>
        </w:tc>
      </w:tr>
      <w:tr>
        <w:trPr>
          <w:trHeight w:val="277" w:hRule="atLeast"/>
        </w:trPr>
        <w:tc>
          <w:tcPr>
            <w:tcW w:w="738" w:type="dxa"/>
          </w:tcPr>
          <w:p>
            <w:pPr>
              <w:pStyle w:val="TableParagraph"/>
              <w:rPr>
                <w:rFonts w:ascii="Times New Roman"/>
                <w:sz w:val="20"/>
              </w:rPr>
            </w:pPr>
          </w:p>
        </w:tc>
        <w:tc>
          <w:tcPr>
            <w:tcW w:w="1752" w:type="dxa"/>
          </w:tcPr>
          <w:p>
            <w:pPr>
              <w:pStyle w:val="TableParagraph"/>
              <w:rPr>
                <w:rFonts w:ascii="Times New Roman"/>
                <w:sz w:val="20"/>
              </w:rPr>
            </w:pPr>
          </w:p>
        </w:tc>
        <w:tc>
          <w:tcPr>
            <w:tcW w:w="6849" w:type="dxa"/>
          </w:tcPr>
          <w:p>
            <w:pPr>
              <w:pStyle w:val="TableParagraph"/>
              <w:spacing w:line="234" w:lineRule="exact"/>
              <w:ind w:left="111"/>
              <w:rPr>
                <w:sz w:val="21"/>
              </w:rPr>
            </w:pPr>
            <w:r>
              <w:rPr>
                <w:sz w:val="21"/>
              </w:rPr>
              <w:t>额的相关权利文件。</w:t>
            </w:r>
          </w:p>
        </w:tc>
      </w:tr>
      <w:tr>
        <w:trPr>
          <w:trHeight w:val="313" w:hRule="atLeast"/>
        </w:trPr>
        <w:tc>
          <w:tcPr>
            <w:tcW w:w="738" w:type="dxa"/>
          </w:tcPr>
          <w:p>
            <w:pPr>
              <w:pStyle w:val="TableParagraph"/>
              <w:spacing w:line="251" w:lineRule="exact"/>
              <w:ind w:left="50"/>
              <w:rPr>
                <w:i/>
                <w:sz w:val="22"/>
              </w:rPr>
            </w:pPr>
            <w:r>
              <w:rPr>
                <w:i/>
                <w:sz w:val="22"/>
              </w:rPr>
              <w:t>3.4.2</w:t>
            </w:r>
          </w:p>
        </w:tc>
        <w:tc>
          <w:tcPr>
            <w:tcW w:w="1752" w:type="dxa"/>
          </w:tcPr>
          <w:p>
            <w:pPr>
              <w:pStyle w:val="TableParagraph"/>
              <w:spacing w:line="251" w:lineRule="exact"/>
              <w:ind w:left="162"/>
              <w:rPr>
                <w:i/>
                <w:sz w:val="22"/>
              </w:rPr>
            </w:pPr>
            <w:r>
              <w:rPr>
                <w:i/>
                <w:w w:val="95"/>
                <w:sz w:val="22"/>
              </w:rPr>
              <w:t>生命末期保险金</w:t>
            </w:r>
          </w:p>
        </w:tc>
        <w:tc>
          <w:tcPr>
            <w:tcW w:w="6849" w:type="dxa"/>
          </w:tcPr>
          <w:p>
            <w:pPr>
              <w:pStyle w:val="TableParagraph"/>
              <w:spacing w:line="274" w:lineRule="exact"/>
              <w:ind w:left="111"/>
              <w:rPr>
                <w:sz w:val="21"/>
              </w:rPr>
            </w:pPr>
            <w:r>
              <w:rPr>
                <w:sz w:val="21"/>
              </w:rPr>
              <w:t>受益人申请生命末期保险金时，应提供下列证明文件和资料：</w:t>
            </w:r>
          </w:p>
        </w:tc>
      </w:tr>
      <w:tr>
        <w:trPr>
          <w:trHeight w:val="280" w:hRule="atLeast"/>
        </w:trPr>
        <w:tc>
          <w:tcPr>
            <w:tcW w:w="738" w:type="dxa"/>
          </w:tcPr>
          <w:p>
            <w:pPr>
              <w:pStyle w:val="TableParagraph"/>
              <w:rPr>
                <w:rFonts w:ascii="Times New Roman"/>
                <w:sz w:val="20"/>
              </w:rPr>
            </w:pPr>
          </w:p>
        </w:tc>
        <w:tc>
          <w:tcPr>
            <w:tcW w:w="1752" w:type="dxa"/>
          </w:tcPr>
          <w:p>
            <w:pPr>
              <w:pStyle w:val="TableParagraph"/>
              <w:spacing w:line="249" w:lineRule="exact"/>
              <w:ind w:left="162"/>
              <w:rPr>
                <w:i/>
                <w:sz w:val="22"/>
              </w:rPr>
            </w:pPr>
            <w:r>
              <w:rPr>
                <w:i/>
                <w:w w:val="95"/>
                <w:sz w:val="22"/>
              </w:rPr>
              <w:t>的申请</w:t>
            </w:r>
          </w:p>
        </w:tc>
        <w:tc>
          <w:tcPr>
            <w:tcW w:w="6849" w:type="dxa"/>
          </w:tcPr>
          <w:p>
            <w:pPr>
              <w:pStyle w:val="TableParagraph"/>
              <w:spacing w:line="235" w:lineRule="exact"/>
              <w:ind w:left="111"/>
              <w:rPr>
                <w:sz w:val="21"/>
              </w:rPr>
            </w:pPr>
            <w:r>
              <w:rPr>
                <w:sz w:val="21"/>
              </w:rPr>
              <w:t>（1）给付申请书；</w:t>
            </w:r>
          </w:p>
        </w:tc>
      </w:tr>
      <w:tr>
        <w:trPr>
          <w:trHeight w:val="264" w:hRule="atLeast"/>
        </w:trPr>
        <w:tc>
          <w:tcPr>
            <w:tcW w:w="738" w:type="dxa"/>
          </w:tcPr>
          <w:p>
            <w:pPr>
              <w:pStyle w:val="TableParagraph"/>
              <w:rPr>
                <w:rFonts w:ascii="Times New Roman"/>
                <w:sz w:val="18"/>
              </w:rPr>
            </w:pPr>
          </w:p>
        </w:tc>
        <w:tc>
          <w:tcPr>
            <w:tcW w:w="1752" w:type="dxa"/>
          </w:tcPr>
          <w:p>
            <w:pPr>
              <w:pStyle w:val="TableParagraph"/>
              <w:rPr>
                <w:rFonts w:ascii="Times New Roman"/>
                <w:sz w:val="18"/>
              </w:rPr>
            </w:pPr>
          </w:p>
        </w:tc>
        <w:tc>
          <w:tcPr>
            <w:tcW w:w="6849" w:type="dxa"/>
          </w:tcPr>
          <w:p>
            <w:pPr>
              <w:pStyle w:val="TableParagraph"/>
              <w:spacing w:line="226" w:lineRule="exact"/>
              <w:ind w:left="111"/>
              <w:rPr>
                <w:sz w:val="21"/>
              </w:rPr>
            </w:pPr>
            <w:r>
              <w:rPr>
                <w:sz w:val="21"/>
              </w:rPr>
              <w:t>（2）保险合同；</w:t>
            </w:r>
          </w:p>
        </w:tc>
      </w:tr>
      <w:tr>
        <w:trPr>
          <w:trHeight w:val="295" w:hRule="atLeast"/>
        </w:trPr>
        <w:tc>
          <w:tcPr>
            <w:tcW w:w="738" w:type="dxa"/>
          </w:tcPr>
          <w:p>
            <w:pPr>
              <w:pStyle w:val="TableParagraph"/>
              <w:rPr>
                <w:rFonts w:ascii="Times New Roman"/>
                <w:sz w:val="20"/>
              </w:rPr>
            </w:pPr>
          </w:p>
        </w:tc>
        <w:tc>
          <w:tcPr>
            <w:tcW w:w="1752" w:type="dxa"/>
          </w:tcPr>
          <w:p>
            <w:pPr>
              <w:pStyle w:val="TableParagraph"/>
              <w:rPr>
                <w:rFonts w:ascii="Times New Roman"/>
                <w:sz w:val="20"/>
              </w:rPr>
            </w:pPr>
          </w:p>
        </w:tc>
        <w:tc>
          <w:tcPr>
            <w:tcW w:w="6849" w:type="dxa"/>
          </w:tcPr>
          <w:p>
            <w:pPr>
              <w:pStyle w:val="TableParagraph"/>
              <w:spacing w:line="234" w:lineRule="exact"/>
              <w:ind w:left="111"/>
              <w:rPr>
                <w:sz w:val="21"/>
              </w:rPr>
            </w:pPr>
            <w:r>
              <w:rPr>
                <w:sz w:val="21"/>
              </w:rPr>
              <w:t>（3）受益人的户籍证明及身份证明；</w:t>
            </w:r>
          </w:p>
        </w:tc>
      </w:tr>
      <w:tr>
        <w:trPr>
          <w:trHeight w:val="319" w:hRule="atLeast"/>
        </w:trPr>
        <w:tc>
          <w:tcPr>
            <w:tcW w:w="738" w:type="dxa"/>
          </w:tcPr>
          <w:p>
            <w:pPr>
              <w:pStyle w:val="TableParagraph"/>
              <w:rPr>
                <w:rFonts w:ascii="Times New Roman"/>
                <w:sz w:val="20"/>
              </w:rPr>
            </w:pPr>
          </w:p>
        </w:tc>
        <w:tc>
          <w:tcPr>
            <w:tcW w:w="1752" w:type="dxa"/>
          </w:tcPr>
          <w:p>
            <w:pPr>
              <w:pStyle w:val="TableParagraph"/>
              <w:rPr>
                <w:rFonts w:ascii="Times New Roman"/>
                <w:sz w:val="20"/>
              </w:rPr>
            </w:pPr>
          </w:p>
        </w:tc>
        <w:tc>
          <w:tcPr>
            <w:tcW w:w="6849" w:type="dxa"/>
          </w:tcPr>
          <w:p>
            <w:pPr>
              <w:pStyle w:val="TableParagraph"/>
              <w:spacing w:line="257" w:lineRule="exact"/>
              <w:ind w:left="111"/>
              <w:rPr>
                <w:sz w:val="21"/>
              </w:rPr>
            </w:pPr>
            <w:r>
              <w:rPr>
                <w:sz w:val="21"/>
              </w:rPr>
              <w:t>（4）由我们指定或认可的医疗机构出具的认定被保险人处于生命末期的</w:t>
            </w:r>
          </w:p>
        </w:tc>
      </w:tr>
      <w:tr>
        <w:trPr>
          <w:trHeight w:val="320" w:hRule="atLeast"/>
        </w:trPr>
        <w:tc>
          <w:tcPr>
            <w:tcW w:w="738" w:type="dxa"/>
          </w:tcPr>
          <w:p>
            <w:pPr>
              <w:pStyle w:val="TableParagraph"/>
              <w:rPr>
                <w:rFonts w:ascii="Times New Roman"/>
                <w:sz w:val="20"/>
              </w:rPr>
            </w:pPr>
          </w:p>
        </w:tc>
        <w:tc>
          <w:tcPr>
            <w:tcW w:w="1752" w:type="dxa"/>
          </w:tcPr>
          <w:p>
            <w:pPr>
              <w:pStyle w:val="TableParagraph"/>
              <w:rPr>
                <w:rFonts w:ascii="Times New Roman"/>
                <w:sz w:val="20"/>
              </w:rPr>
            </w:pPr>
          </w:p>
        </w:tc>
        <w:tc>
          <w:tcPr>
            <w:tcW w:w="6849" w:type="dxa"/>
          </w:tcPr>
          <w:p>
            <w:pPr>
              <w:pStyle w:val="TableParagraph"/>
              <w:spacing w:line="258" w:lineRule="exact"/>
              <w:ind w:left="111"/>
              <w:rPr>
                <w:sz w:val="21"/>
              </w:rPr>
            </w:pPr>
            <w:r>
              <w:rPr>
                <w:sz w:val="21"/>
              </w:rPr>
              <w:t>医疗诊断书及相关的病历资料；</w:t>
            </w:r>
          </w:p>
        </w:tc>
      </w:tr>
      <w:tr>
        <w:trPr>
          <w:trHeight w:val="319" w:hRule="atLeast"/>
        </w:trPr>
        <w:tc>
          <w:tcPr>
            <w:tcW w:w="738" w:type="dxa"/>
          </w:tcPr>
          <w:p>
            <w:pPr>
              <w:pStyle w:val="TableParagraph"/>
              <w:rPr>
                <w:rFonts w:ascii="Times New Roman"/>
                <w:sz w:val="20"/>
              </w:rPr>
            </w:pPr>
          </w:p>
        </w:tc>
        <w:tc>
          <w:tcPr>
            <w:tcW w:w="1752" w:type="dxa"/>
          </w:tcPr>
          <w:p>
            <w:pPr>
              <w:pStyle w:val="TableParagraph"/>
              <w:rPr>
                <w:rFonts w:ascii="Times New Roman"/>
                <w:sz w:val="20"/>
              </w:rPr>
            </w:pPr>
          </w:p>
        </w:tc>
        <w:tc>
          <w:tcPr>
            <w:tcW w:w="6849" w:type="dxa"/>
          </w:tcPr>
          <w:p>
            <w:pPr>
              <w:pStyle w:val="TableParagraph"/>
              <w:spacing w:line="258" w:lineRule="exact"/>
              <w:ind w:left="111"/>
              <w:rPr>
                <w:sz w:val="21"/>
              </w:rPr>
            </w:pPr>
            <w:r>
              <w:rPr>
                <w:sz w:val="21"/>
              </w:rPr>
              <w:t>（5）投保人、被保险人或者受益人所能提供的与确认保险事故的性质、</w:t>
            </w:r>
          </w:p>
        </w:tc>
      </w:tr>
      <w:tr>
        <w:trPr>
          <w:trHeight w:val="297" w:hRule="atLeast"/>
        </w:trPr>
        <w:tc>
          <w:tcPr>
            <w:tcW w:w="738" w:type="dxa"/>
          </w:tcPr>
          <w:p>
            <w:pPr>
              <w:pStyle w:val="TableParagraph"/>
              <w:rPr>
                <w:rFonts w:ascii="Times New Roman"/>
                <w:sz w:val="20"/>
              </w:rPr>
            </w:pPr>
          </w:p>
        </w:tc>
        <w:tc>
          <w:tcPr>
            <w:tcW w:w="1752" w:type="dxa"/>
          </w:tcPr>
          <w:p>
            <w:pPr>
              <w:pStyle w:val="TableParagraph"/>
              <w:rPr>
                <w:rFonts w:ascii="Times New Roman"/>
                <w:sz w:val="20"/>
              </w:rPr>
            </w:pPr>
          </w:p>
        </w:tc>
        <w:tc>
          <w:tcPr>
            <w:tcW w:w="6849" w:type="dxa"/>
          </w:tcPr>
          <w:p>
            <w:pPr>
              <w:pStyle w:val="TableParagraph"/>
              <w:spacing w:line="257" w:lineRule="exact"/>
              <w:ind w:left="111"/>
              <w:rPr>
                <w:sz w:val="21"/>
              </w:rPr>
            </w:pPr>
            <w:r>
              <w:rPr>
                <w:sz w:val="21"/>
              </w:rPr>
              <w:t>原因、伤害程度等有关的证明文件和资料。</w:t>
            </w:r>
          </w:p>
        </w:tc>
      </w:tr>
      <w:tr>
        <w:trPr>
          <w:trHeight w:val="264" w:hRule="atLeast"/>
        </w:trPr>
        <w:tc>
          <w:tcPr>
            <w:tcW w:w="738" w:type="dxa"/>
          </w:tcPr>
          <w:p>
            <w:pPr>
              <w:pStyle w:val="TableParagraph"/>
              <w:spacing w:line="244" w:lineRule="exact"/>
              <w:ind w:left="50"/>
              <w:rPr>
                <w:i/>
                <w:sz w:val="22"/>
              </w:rPr>
            </w:pPr>
            <w:r>
              <w:rPr>
                <w:i/>
                <w:sz w:val="22"/>
              </w:rPr>
              <w:t>3.4.3</w:t>
            </w:r>
          </w:p>
        </w:tc>
        <w:tc>
          <w:tcPr>
            <w:tcW w:w="1752" w:type="dxa"/>
          </w:tcPr>
          <w:p>
            <w:pPr>
              <w:pStyle w:val="TableParagraph"/>
              <w:spacing w:line="244" w:lineRule="exact"/>
              <w:ind w:left="162"/>
              <w:rPr>
                <w:i/>
                <w:sz w:val="22"/>
              </w:rPr>
            </w:pPr>
            <w:r>
              <w:rPr>
                <w:i/>
                <w:w w:val="95"/>
                <w:sz w:val="22"/>
              </w:rPr>
              <w:t>满期保险金的申</w:t>
            </w:r>
          </w:p>
        </w:tc>
        <w:tc>
          <w:tcPr>
            <w:tcW w:w="6849" w:type="dxa"/>
          </w:tcPr>
          <w:p>
            <w:pPr>
              <w:pStyle w:val="TableParagraph"/>
              <w:spacing w:line="235" w:lineRule="exact"/>
              <w:ind w:left="111"/>
              <w:rPr>
                <w:sz w:val="21"/>
              </w:rPr>
            </w:pPr>
            <w:r>
              <w:rPr>
                <w:sz w:val="21"/>
              </w:rPr>
              <w:t>受益人申请满期保险金时，应提供下列证明文件和资料：</w:t>
            </w:r>
          </w:p>
        </w:tc>
      </w:tr>
      <w:tr>
        <w:trPr>
          <w:trHeight w:val="553" w:hRule="atLeast"/>
        </w:trPr>
        <w:tc>
          <w:tcPr>
            <w:tcW w:w="738" w:type="dxa"/>
          </w:tcPr>
          <w:p>
            <w:pPr>
              <w:pStyle w:val="TableParagraph"/>
              <w:rPr>
                <w:rFonts w:ascii="Times New Roman"/>
                <w:sz w:val="20"/>
              </w:rPr>
            </w:pPr>
          </w:p>
        </w:tc>
        <w:tc>
          <w:tcPr>
            <w:tcW w:w="1752" w:type="dxa"/>
          </w:tcPr>
          <w:p>
            <w:pPr>
              <w:pStyle w:val="TableParagraph"/>
              <w:spacing w:before="16"/>
              <w:ind w:left="162"/>
              <w:rPr>
                <w:i/>
                <w:sz w:val="22"/>
              </w:rPr>
            </w:pPr>
            <w:r>
              <w:rPr>
                <w:i/>
                <w:w w:val="95"/>
                <w:sz w:val="22"/>
              </w:rPr>
              <w:t>请</w:t>
            </w:r>
          </w:p>
        </w:tc>
        <w:tc>
          <w:tcPr>
            <w:tcW w:w="6849" w:type="dxa"/>
          </w:tcPr>
          <w:p>
            <w:pPr>
              <w:pStyle w:val="TableParagraph"/>
              <w:spacing w:line="242" w:lineRule="exact"/>
              <w:ind w:left="111"/>
              <w:rPr>
                <w:sz w:val="21"/>
              </w:rPr>
            </w:pPr>
            <w:r>
              <w:rPr>
                <w:sz w:val="21"/>
              </w:rPr>
              <w:t>（1）给付申请书；</w:t>
            </w:r>
          </w:p>
          <w:p>
            <w:pPr>
              <w:pStyle w:val="TableParagraph"/>
              <w:spacing w:line="274" w:lineRule="exact"/>
              <w:ind w:left="111"/>
              <w:rPr>
                <w:sz w:val="21"/>
              </w:rPr>
            </w:pPr>
            <w:r>
              <w:rPr>
                <w:sz w:val="21"/>
              </w:rPr>
              <w:t>（2）保险合同；</w:t>
            </w:r>
          </w:p>
        </w:tc>
      </w:tr>
      <w:tr>
        <w:trPr>
          <w:trHeight w:val="295" w:hRule="atLeast"/>
        </w:trPr>
        <w:tc>
          <w:tcPr>
            <w:tcW w:w="738" w:type="dxa"/>
          </w:tcPr>
          <w:p>
            <w:pPr>
              <w:pStyle w:val="TableParagraph"/>
              <w:rPr>
                <w:rFonts w:ascii="Times New Roman"/>
                <w:sz w:val="20"/>
              </w:rPr>
            </w:pPr>
          </w:p>
        </w:tc>
        <w:tc>
          <w:tcPr>
            <w:tcW w:w="1752" w:type="dxa"/>
          </w:tcPr>
          <w:p>
            <w:pPr>
              <w:pStyle w:val="TableParagraph"/>
              <w:rPr>
                <w:rFonts w:ascii="Times New Roman"/>
                <w:sz w:val="20"/>
              </w:rPr>
            </w:pPr>
          </w:p>
        </w:tc>
        <w:tc>
          <w:tcPr>
            <w:tcW w:w="6849" w:type="dxa"/>
          </w:tcPr>
          <w:p>
            <w:pPr>
              <w:pStyle w:val="TableParagraph"/>
              <w:spacing w:line="234" w:lineRule="exact"/>
              <w:ind w:left="111"/>
              <w:rPr>
                <w:sz w:val="21"/>
              </w:rPr>
            </w:pPr>
            <w:r>
              <w:rPr>
                <w:sz w:val="21"/>
              </w:rPr>
              <w:t>（3）受益人的户籍证明及身份证明；</w:t>
            </w:r>
          </w:p>
        </w:tc>
      </w:tr>
      <w:tr>
        <w:trPr>
          <w:trHeight w:val="300" w:hRule="atLeast"/>
        </w:trPr>
        <w:tc>
          <w:tcPr>
            <w:tcW w:w="738" w:type="dxa"/>
          </w:tcPr>
          <w:p>
            <w:pPr>
              <w:pStyle w:val="TableParagraph"/>
              <w:rPr>
                <w:rFonts w:ascii="Times New Roman"/>
                <w:sz w:val="20"/>
              </w:rPr>
            </w:pPr>
          </w:p>
        </w:tc>
        <w:tc>
          <w:tcPr>
            <w:tcW w:w="1752" w:type="dxa"/>
          </w:tcPr>
          <w:p>
            <w:pPr>
              <w:pStyle w:val="TableParagraph"/>
              <w:rPr>
                <w:rFonts w:ascii="Times New Roman"/>
                <w:sz w:val="20"/>
              </w:rPr>
            </w:pPr>
          </w:p>
        </w:tc>
        <w:tc>
          <w:tcPr>
            <w:tcW w:w="6849" w:type="dxa"/>
          </w:tcPr>
          <w:p>
            <w:pPr>
              <w:pStyle w:val="TableParagraph"/>
              <w:spacing w:line="257" w:lineRule="exact"/>
              <w:ind w:left="111"/>
              <w:rPr>
                <w:sz w:val="21"/>
              </w:rPr>
            </w:pPr>
            <w:r>
              <w:rPr>
                <w:sz w:val="21"/>
              </w:rPr>
              <w:t>（4）被保险人必要的生存证明。</w:t>
            </w:r>
          </w:p>
        </w:tc>
      </w:tr>
      <w:tr>
        <w:trPr>
          <w:trHeight w:val="303" w:hRule="atLeast"/>
        </w:trPr>
        <w:tc>
          <w:tcPr>
            <w:tcW w:w="738" w:type="dxa"/>
          </w:tcPr>
          <w:p>
            <w:pPr>
              <w:pStyle w:val="TableParagraph"/>
              <w:spacing w:line="251" w:lineRule="exact"/>
              <w:ind w:left="50"/>
              <w:rPr>
                <w:i/>
                <w:sz w:val="22"/>
              </w:rPr>
            </w:pPr>
            <w:r>
              <w:rPr>
                <w:i/>
                <w:sz w:val="22"/>
              </w:rPr>
              <w:t>3.4.4</w:t>
            </w:r>
          </w:p>
        </w:tc>
        <w:tc>
          <w:tcPr>
            <w:tcW w:w="1752" w:type="dxa"/>
          </w:tcPr>
          <w:p>
            <w:pPr>
              <w:pStyle w:val="TableParagraph"/>
              <w:spacing w:line="251" w:lineRule="exact"/>
              <w:ind w:left="162"/>
              <w:rPr>
                <w:i/>
                <w:sz w:val="22"/>
              </w:rPr>
            </w:pPr>
            <w:r>
              <w:rPr>
                <w:i/>
                <w:w w:val="95"/>
                <w:sz w:val="22"/>
              </w:rPr>
              <w:t>委托他人代为申</w:t>
            </w:r>
          </w:p>
        </w:tc>
        <w:tc>
          <w:tcPr>
            <w:tcW w:w="6849" w:type="dxa"/>
          </w:tcPr>
          <w:p>
            <w:pPr>
              <w:pStyle w:val="TableParagraph"/>
              <w:spacing w:line="250" w:lineRule="exact"/>
              <w:ind w:left="111"/>
              <w:rPr>
                <w:sz w:val="21"/>
              </w:rPr>
            </w:pPr>
            <w:r>
              <w:rPr>
                <w:sz w:val="21"/>
              </w:rPr>
              <w:t>若受益人委托他人代为申请保险金，被委托人还应提供受益人签字的授</w:t>
            </w:r>
          </w:p>
        </w:tc>
      </w:tr>
      <w:tr>
        <w:trPr>
          <w:trHeight w:val="431" w:hRule="atLeast"/>
        </w:trPr>
        <w:tc>
          <w:tcPr>
            <w:tcW w:w="738" w:type="dxa"/>
          </w:tcPr>
          <w:p>
            <w:pPr>
              <w:pStyle w:val="TableParagraph"/>
              <w:rPr>
                <w:rFonts w:ascii="Times New Roman"/>
                <w:sz w:val="20"/>
              </w:rPr>
            </w:pPr>
          </w:p>
        </w:tc>
        <w:tc>
          <w:tcPr>
            <w:tcW w:w="1752" w:type="dxa"/>
          </w:tcPr>
          <w:p>
            <w:pPr>
              <w:pStyle w:val="TableParagraph"/>
              <w:spacing w:line="259" w:lineRule="exact"/>
              <w:ind w:left="162"/>
              <w:rPr>
                <w:i/>
                <w:sz w:val="22"/>
              </w:rPr>
            </w:pPr>
            <w:r>
              <w:rPr>
                <w:i/>
                <w:w w:val="95"/>
                <w:sz w:val="22"/>
              </w:rPr>
              <w:t>请保险金</w:t>
            </w:r>
          </w:p>
        </w:tc>
        <w:tc>
          <w:tcPr>
            <w:tcW w:w="6849" w:type="dxa"/>
          </w:tcPr>
          <w:p>
            <w:pPr>
              <w:pStyle w:val="TableParagraph"/>
              <w:spacing w:line="258" w:lineRule="exact"/>
              <w:ind w:left="111"/>
              <w:rPr>
                <w:sz w:val="21"/>
              </w:rPr>
            </w:pPr>
            <w:r>
              <w:rPr>
                <w:sz w:val="21"/>
              </w:rPr>
              <w:t>权委托书、被委托人的身份证明等相关证明文件。</w:t>
            </w:r>
          </w:p>
        </w:tc>
      </w:tr>
      <w:tr>
        <w:trPr>
          <w:trHeight w:val="425" w:hRule="atLeast"/>
        </w:trPr>
        <w:tc>
          <w:tcPr>
            <w:tcW w:w="738" w:type="dxa"/>
          </w:tcPr>
          <w:p>
            <w:pPr>
              <w:pStyle w:val="TableParagraph"/>
              <w:spacing w:before="92"/>
              <w:ind w:left="50"/>
              <w:rPr>
                <w:b/>
                <w:sz w:val="21"/>
              </w:rPr>
            </w:pPr>
            <w:r>
              <w:rPr>
                <w:b/>
                <w:sz w:val="21"/>
              </w:rPr>
              <w:t>3.5</w:t>
            </w:r>
          </w:p>
        </w:tc>
        <w:tc>
          <w:tcPr>
            <w:tcW w:w="1752" w:type="dxa"/>
          </w:tcPr>
          <w:p>
            <w:pPr>
              <w:pStyle w:val="TableParagraph"/>
              <w:spacing w:before="92"/>
              <w:ind w:left="162"/>
              <w:rPr>
                <w:b/>
                <w:sz w:val="21"/>
              </w:rPr>
            </w:pPr>
            <w:r>
              <w:rPr>
                <w:b/>
                <w:w w:val="95"/>
                <w:sz w:val="21"/>
              </w:rPr>
              <w:t>保险金的给付</w:t>
            </w:r>
          </w:p>
        </w:tc>
        <w:tc>
          <w:tcPr>
            <w:tcW w:w="6849" w:type="dxa"/>
          </w:tcPr>
          <w:p>
            <w:pPr>
              <w:pStyle w:val="TableParagraph"/>
              <w:spacing w:before="92"/>
              <w:ind w:left="111"/>
              <w:rPr>
                <w:sz w:val="21"/>
              </w:rPr>
            </w:pPr>
            <w:r>
              <w:rPr>
                <w:sz w:val="21"/>
              </w:rPr>
              <w:t>我们在收到保险金给付申请书及上述有关证明和资料后五日内作出核</w:t>
            </w:r>
          </w:p>
        </w:tc>
      </w:tr>
      <w:tr>
        <w:trPr>
          <w:trHeight w:val="311" w:hRule="atLeast"/>
        </w:trPr>
        <w:tc>
          <w:tcPr>
            <w:tcW w:w="738" w:type="dxa"/>
          </w:tcPr>
          <w:p>
            <w:pPr>
              <w:pStyle w:val="TableParagraph"/>
              <w:rPr>
                <w:rFonts w:ascii="Times New Roman"/>
                <w:sz w:val="20"/>
              </w:rPr>
            </w:pPr>
          </w:p>
        </w:tc>
        <w:tc>
          <w:tcPr>
            <w:tcW w:w="1752" w:type="dxa"/>
          </w:tcPr>
          <w:p>
            <w:pPr>
              <w:pStyle w:val="TableParagraph"/>
              <w:rPr>
                <w:rFonts w:ascii="Times New Roman"/>
                <w:sz w:val="20"/>
              </w:rPr>
            </w:pPr>
          </w:p>
        </w:tc>
        <w:tc>
          <w:tcPr>
            <w:tcW w:w="6849" w:type="dxa"/>
          </w:tcPr>
          <w:p>
            <w:pPr>
              <w:pStyle w:val="TableParagraph"/>
              <w:spacing w:line="254" w:lineRule="exact"/>
              <w:ind w:left="111"/>
              <w:rPr>
                <w:sz w:val="21"/>
              </w:rPr>
            </w:pPr>
            <w:r>
              <w:rPr>
                <w:sz w:val="21"/>
              </w:rPr>
              <w:t>定，情形复杂的，在三十日内作出核定。对确定属于保险责任的，在与</w:t>
            </w:r>
          </w:p>
        </w:tc>
      </w:tr>
      <w:tr>
        <w:trPr>
          <w:trHeight w:val="311" w:hRule="atLeast"/>
        </w:trPr>
        <w:tc>
          <w:tcPr>
            <w:tcW w:w="738" w:type="dxa"/>
          </w:tcPr>
          <w:p>
            <w:pPr>
              <w:pStyle w:val="TableParagraph"/>
              <w:rPr>
                <w:rFonts w:ascii="Times New Roman"/>
                <w:sz w:val="20"/>
              </w:rPr>
            </w:pPr>
          </w:p>
        </w:tc>
        <w:tc>
          <w:tcPr>
            <w:tcW w:w="1752" w:type="dxa"/>
          </w:tcPr>
          <w:p>
            <w:pPr>
              <w:pStyle w:val="TableParagraph"/>
              <w:rPr>
                <w:rFonts w:ascii="Times New Roman"/>
                <w:sz w:val="20"/>
              </w:rPr>
            </w:pPr>
          </w:p>
        </w:tc>
        <w:tc>
          <w:tcPr>
            <w:tcW w:w="6849" w:type="dxa"/>
          </w:tcPr>
          <w:p>
            <w:pPr>
              <w:pStyle w:val="TableParagraph"/>
              <w:spacing w:line="254" w:lineRule="exact"/>
              <w:ind w:left="111"/>
              <w:rPr>
                <w:sz w:val="21"/>
              </w:rPr>
            </w:pPr>
            <w:r>
              <w:rPr>
                <w:sz w:val="21"/>
              </w:rPr>
              <w:t>受益人达成有关给付保险金数额的协议后十日内，履行给付保险金的责</w:t>
            </w:r>
          </w:p>
        </w:tc>
      </w:tr>
      <w:tr>
        <w:trPr>
          <w:trHeight w:val="311" w:hRule="atLeast"/>
        </w:trPr>
        <w:tc>
          <w:tcPr>
            <w:tcW w:w="738" w:type="dxa"/>
          </w:tcPr>
          <w:p>
            <w:pPr>
              <w:pStyle w:val="TableParagraph"/>
              <w:rPr>
                <w:rFonts w:ascii="Times New Roman"/>
                <w:sz w:val="20"/>
              </w:rPr>
            </w:pPr>
          </w:p>
        </w:tc>
        <w:tc>
          <w:tcPr>
            <w:tcW w:w="1752" w:type="dxa"/>
          </w:tcPr>
          <w:p>
            <w:pPr>
              <w:pStyle w:val="TableParagraph"/>
              <w:rPr>
                <w:rFonts w:ascii="Times New Roman"/>
                <w:sz w:val="20"/>
              </w:rPr>
            </w:pPr>
          </w:p>
        </w:tc>
        <w:tc>
          <w:tcPr>
            <w:tcW w:w="6849" w:type="dxa"/>
          </w:tcPr>
          <w:p>
            <w:pPr>
              <w:pStyle w:val="TableParagraph"/>
              <w:spacing w:line="254" w:lineRule="exact"/>
              <w:ind w:left="111"/>
              <w:rPr>
                <w:sz w:val="21"/>
              </w:rPr>
            </w:pPr>
            <w:r>
              <w:rPr>
                <w:sz w:val="21"/>
              </w:rPr>
              <w:t>任。</w:t>
            </w:r>
          </w:p>
        </w:tc>
      </w:tr>
      <w:tr>
        <w:trPr>
          <w:trHeight w:val="311" w:hRule="atLeast"/>
        </w:trPr>
        <w:tc>
          <w:tcPr>
            <w:tcW w:w="738" w:type="dxa"/>
          </w:tcPr>
          <w:p>
            <w:pPr>
              <w:pStyle w:val="TableParagraph"/>
              <w:rPr>
                <w:rFonts w:ascii="Times New Roman"/>
                <w:sz w:val="20"/>
              </w:rPr>
            </w:pPr>
          </w:p>
        </w:tc>
        <w:tc>
          <w:tcPr>
            <w:tcW w:w="1752" w:type="dxa"/>
          </w:tcPr>
          <w:p>
            <w:pPr>
              <w:pStyle w:val="TableParagraph"/>
              <w:rPr>
                <w:rFonts w:ascii="Times New Roman"/>
                <w:sz w:val="20"/>
              </w:rPr>
            </w:pPr>
          </w:p>
        </w:tc>
        <w:tc>
          <w:tcPr>
            <w:tcW w:w="6849" w:type="dxa"/>
          </w:tcPr>
          <w:p>
            <w:pPr>
              <w:pStyle w:val="TableParagraph"/>
              <w:spacing w:line="254" w:lineRule="exact"/>
              <w:ind w:left="111"/>
              <w:rPr>
                <w:sz w:val="21"/>
              </w:rPr>
            </w:pPr>
            <w:r>
              <w:rPr>
                <w:sz w:val="21"/>
              </w:rPr>
              <w:t>本公司未及时履行前款规定义务的，除支付保险金外，应当赔偿受益人</w:t>
            </w:r>
          </w:p>
        </w:tc>
      </w:tr>
      <w:tr>
        <w:trPr>
          <w:trHeight w:val="311" w:hRule="atLeast"/>
        </w:trPr>
        <w:tc>
          <w:tcPr>
            <w:tcW w:w="738" w:type="dxa"/>
          </w:tcPr>
          <w:p>
            <w:pPr>
              <w:pStyle w:val="TableParagraph"/>
              <w:rPr>
                <w:rFonts w:ascii="Times New Roman"/>
                <w:sz w:val="20"/>
              </w:rPr>
            </w:pPr>
          </w:p>
        </w:tc>
        <w:tc>
          <w:tcPr>
            <w:tcW w:w="1752" w:type="dxa"/>
          </w:tcPr>
          <w:p>
            <w:pPr>
              <w:pStyle w:val="TableParagraph"/>
              <w:rPr>
                <w:rFonts w:ascii="Times New Roman"/>
                <w:sz w:val="20"/>
              </w:rPr>
            </w:pPr>
          </w:p>
        </w:tc>
        <w:tc>
          <w:tcPr>
            <w:tcW w:w="6849" w:type="dxa"/>
          </w:tcPr>
          <w:p>
            <w:pPr>
              <w:pStyle w:val="TableParagraph"/>
              <w:spacing w:line="254" w:lineRule="exact"/>
              <w:ind w:left="111"/>
              <w:rPr>
                <w:sz w:val="21"/>
              </w:rPr>
            </w:pPr>
            <w:r>
              <w:rPr>
                <w:sz w:val="21"/>
              </w:rPr>
              <w:t>因此受到的损失。</w:t>
            </w:r>
          </w:p>
        </w:tc>
      </w:tr>
      <w:tr>
        <w:trPr>
          <w:trHeight w:val="311" w:hRule="atLeast"/>
        </w:trPr>
        <w:tc>
          <w:tcPr>
            <w:tcW w:w="738" w:type="dxa"/>
          </w:tcPr>
          <w:p>
            <w:pPr>
              <w:pStyle w:val="TableParagraph"/>
              <w:rPr>
                <w:rFonts w:ascii="Times New Roman"/>
                <w:sz w:val="20"/>
              </w:rPr>
            </w:pPr>
          </w:p>
        </w:tc>
        <w:tc>
          <w:tcPr>
            <w:tcW w:w="1752" w:type="dxa"/>
          </w:tcPr>
          <w:p>
            <w:pPr>
              <w:pStyle w:val="TableParagraph"/>
              <w:rPr>
                <w:rFonts w:ascii="Times New Roman"/>
                <w:sz w:val="20"/>
              </w:rPr>
            </w:pPr>
          </w:p>
        </w:tc>
        <w:tc>
          <w:tcPr>
            <w:tcW w:w="6849" w:type="dxa"/>
          </w:tcPr>
          <w:p>
            <w:pPr>
              <w:pStyle w:val="TableParagraph"/>
              <w:spacing w:line="254" w:lineRule="exact"/>
              <w:ind w:left="111"/>
              <w:rPr>
                <w:sz w:val="21"/>
              </w:rPr>
            </w:pPr>
            <w:r>
              <w:rPr>
                <w:sz w:val="21"/>
              </w:rPr>
              <w:t>对不属于保险责任的，我们将在作出核定后三日内，向申请人发出拒绝</w:t>
            </w:r>
          </w:p>
        </w:tc>
      </w:tr>
      <w:tr>
        <w:trPr>
          <w:trHeight w:val="311" w:hRule="atLeast"/>
        </w:trPr>
        <w:tc>
          <w:tcPr>
            <w:tcW w:w="738" w:type="dxa"/>
          </w:tcPr>
          <w:p>
            <w:pPr>
              <w:pStyle w:val="TableParagraph"/>
              <w:rPr>
                <w:rFonts w:ascii="Times New Roman"/>
                <w:sz w:val="20"/>
              </w:rPr>
            </w:pPr>
          </w:p>
        </w:tc>
        <w:tc>
          <w:tcPr>
            <w:tcW w:w="1752" w:type="dxa"/>
          </w:tcPr>
          <w:p>
            <w:pPr>
              <w:pStyle w:val="TableParagraph"/>
              <w:rPr>
                <w:rFonts w:ascii="Times New Roman"/>
                <w:sz w:val="20"/>
              </w:rPr>
            </w:pPr>
          </w:p>
        </w:tc>
        <w:tc>
          <w:tcPr>
            <w:tcW w:w="6849" w:type="dxa"/>
          </w:tcPr>
          <w:p>
            <w:pPr>
              <w:pStyle w:val="TableParagraph"/>
              <w:spacing w:line="254" w:lineRule="exact"/>
              <w:ind w:left="111"/>
              <w:rPr>
                <w:sz w:val="21"/>
              </w:rPr>
            </w:pPr>
            <w:r>
              <w:rPr>
                <w:sz w:val="21"/>
              </w:rPr>
              <w:t>给付保险金通知书，并说明理由。</w:t>
            </w:r>
          </w:p>
        </w:tc>
      </w:tr>
      <w:tr>
        <w:trPr>
          <w:trHeight w:val="311" w:hRule="atLeast"/>
        </w:trPr>
        <w:tc>
          <w:tcPr>
            <w:tcW w:w="738" w:type="dxa"/>
          </w:tcPr>
          <w:p>
            <w:pPr>
              <w:pStyle w:val="TableParagraph"/>
              <w:rPr>
                <w:rFonts w:ascii="Times New Roman"/>
                <w:sz w:val="20"/>
              </w:rPr>
            </w:pPr>
          </w:p>
        </w:tc>
        <w:tc>
          <w:tcPr>
            <w:tcW w:w="1752" w:type="dxa"/>
          </w:tcPr>
          <w:p>
            <w:pPr>
              <w:pStyle w:val="TableParagraph"/>
              <w:rPr>
                <w:rFonts w:ascii="Times New Roman"/>
                <w:sz w:val="20"/>
              </w:rPr>
            </w:pPr>
          </w:p>
        </w:tc>
        <w:tc>
          <w:tcPr>
            <w:tcW w:w="6849" w:type="dxa"/>
          </w:tcPr>
          <w:p>
            <w:pPr>
              <w:pStyle w:val="TableParagraph"/>
              <w:spacing w:line="254" w:lineRule="exact"/>
              <w:ind w:left="111"/>
              <w:rPr>
                <w:sz w:val="21"/>
              </w:rPr>
            </w:pPr>
            <w:r>
              <w:rPr>
                <w:sz w:val="21"/>
              </w:rPr>
              <w:t>我们在收到保险金给付申请书及上述有关证明和资料之日起六十日内，</w:t>
            </w:r>
          </w:p>
        </w:tc>
      </w:tr>
      <w:tr>
        <w:trPr>
          <w:trHeight w:val="260" w:hRule="atLeast"/>
        </w:trPr>
        <w:tc>
          <w:tcPr>
            <w:tcW w:w="738" w:type="dxa"/>
          </w:tcPr>
          <w:p>
            <w:pPr>
              <w:pStyle w:val="TableParagraph"/>
              <w:rPr>
                <w:rFonts w:ascii="Times New Roman"/>
                <w:sz w:val="18"/>
              </w:rPr>
            </w:pPr>
          </w:p>
        </w:tc>
        <w:tc>
          <w:tcPr>
            <w:tcW w:w="1752" w:type="dxa"/>
          </w:tcPr>
          <w:p>
            <w:pPr>
              <w:pStyle w:val="TableParagraph"/>
              <w:rPr>
                <w:rFonts w:ascii="Times New Roman"/>
                <w:sz w:val="18"/>
              </w:rPr>
            </w:pPr>
          </w:p>
        </w:tc>
        <w:tc>
          <w:tcPr>
            <w:tcW w:w="6849" w:type="dxa"/>
          </w:tcPr>
          <w:p>
            <w:pPr>
              <w:pStyle w:val="TableParagraph"/>
              <w:spacing w:line="241" w:lineRule="exact"/>
              <w:ind w:left="111"/>
              <w:rPr>
                <w:sz w:val="21"/>
              </w:rPr>
            </w:pPr>
            <w:r>
              <w:rPr>
                <w:sz w:val="21"/>
              </w:rPr>
              <w:t>对属于保险责任而给付保险金的数额不能确定的，根据已有证明和资料，</w:t>
            </w:r>
          </w:p>
        </w:tc>
      </w:tr>
    </w:tbl>
    <w:p>
      <w:pPr>
        <w:spacing w:after="0" w:line="241" w:lineRule="exact"/>
        <w:rPr>
          <w:sz w:val="21"/>
        </w:rPr>
        <w:sectPr>
          <w:pgSz w:w="11910" w:h="16840"/>
          <w:pgMar w:header="0" w:footer="998" w:top="1580" w:bottom="1180" w:left="1140" w:right="1200"/>
        </w:sectPr>
      </w:pPr>
    </w:p>
    <w:p>
      <w:pPr>
        <w:pStyle w:val="BodyText"/>
        <w:spacing w:line="271" w:lineRule="auto" w:before="22"/>
        <w:ind w:left="2775" w:right="296"/>
      </w:pPr>
      <w:r>
        <w:rPr/>
        <w:t>按可以确定的数额先予以支付；我们最终确定给付保险金的数额后，给付相应的差额。</w:t>
      </w:r>
    </w:p>
    <w:p>
      <w:pPr>
        <w:pStyle w:val="BodyText"/>
        <w:spacing w:before="5"/>
        <w:rPr>
          <w:sz w:val="15"/>
        </w:rPr>
      </w:pPr>
    </w:p>
    <w:p>
      <w:pPr>
        <w:spacing w:after="0"/>
        <w:rPr>
          <w:sz w:val="15"/>
        </w:rPr>
        <w:sectPr>
          <w:pgSz w:w="11910" w:h="16840"/>
          <w:pgMar w:header="0" w:footer="998" w:top="1460" w:bottom="1180" w:left="1080" w:right="1240"/>
        </w:sectPr>
      </w:pPr>
    </w:p>
    <w:p>
      <w:pPr>
        <w:pStyle w:val="Heading5"/>
        <w:numPr>
          <w:ilvl w:val="1"/>
          <w:numId w:val="3"/>
        </w:numPr>
        <w:tabs>
          <w:tab w:pos="1075" w:val="left" w:leader="none"/>
          <w:tab w:pos="1076" w:val="left" w:leader="none"/>
        </w:tabs>
        <w:spacing w:line="273" w:lineRule="auto" w:before="36" w:after="0"/>
        <w:ind w:left="1075" w:right="0" w:hanging="851"/>
        <w:jc w:val="left"/>
      </w:pPr>
      <w:r>
        <w:rPr>
          <w:w w:val="95"/>
        </w:rPr>
        <w:t>被保险人失踪的处理</w:t>
      </w:r>
    </w:p>
    <w:p>
      <w:pPr>
        <w:pStyle w:val="BodyText"/>
        <w:spacing w:line="273" w:lineRule="auto" w:before="36"/>
        <w:ind w:left="185" w:right="296"/>
        <w:jc w:val="both"/>
      </w:pPr>
      <w:r>
        <w:rPr/>
        <w:br w:type="column"/>
      </w:r>
      <w:r>
        <w:rPr/>
        <w:t>若被保险人在本合同有效期内失踪，则我们以法院宣告死亡日为准给付身故保险金。如果被保险人在宣告死亡后重新出现或者确知其下落，受益人应于知道或应当知道被保险人生还后三十日内向我们退还已领取的保险金。</w:t>
      </w:r>
    </w:p>
    <w:p>
      <w:pPr>
        <w:spacing w:after="0" w:line="273" w:lineRule="auto"/>
        <w:jc w:val="both"/>
        <w:sectPr>
          <w:type w:val="continuous"/>
          <w:pgSz w:w="11910" w:h="16840"/>
          <w:pgMar w:top="560" w:bottom="280" w:left="1080" w:right="1240"/>
          <w:cols w:num="2" w:equalWidth="0">
            <w:col w:w="2551" w:space="40"/>
            <w:col w:w="6999"/>
          </w:cols>
        </w:sectPr>
      </w:pPr>
    </w:p>
    <w:p>
      <w:pPr>
        <w:pStyle w:val="BodyText"/>
        <w:spacing w:before="3"/>
        <w:rPr>
          <w:sz w:val="15"/>
        </w:rPr>
      </w:pPr>
    </w:p>
    <w:p>
      <w:pPr>
        <w:pStyle w:val="ListParagraph"/>
        <w:numPr>
          <w:ilvl w:val="1"/>
          <w:numId w:val="3"/>
        </w:numPr>
        <w:tabs>
          <w:tab w:pos="1076" w:val="left" w:leader="none"/>
        </w:tabs>
        <w:spacing w:line="278" w:lineRule="auto" w:before="30" w:after="0"/>
        <w:ind w:left="2775" w:right="226" w:hanging="2551"/>
        <w:jc w:val="both"/>
        <w:rPr>
          <w:sz w:val="21"/>
        </w:rPr>
      </w:pPr>
      <w:r>
        <w:rPr>
          <w:b/>
          <w:spacing w:val="5"/>
          <w:position w:val="3"/>
          <w:sz w:val="21"/>
        </w:rPr>
        <w:t>身体检查       </w:t>
      </w:r>
      <w:r>
        <w:rPr>
          <w:sz w:val="21"/>
        </w:rPr>
        <w:t>申请本合同保险金时，我们有权根据实际情况要求被保险人到我们指定的医院进行身体检查或其他必要的检验以确认保险事故的发生，费用由我们承担。如果被保险人拒绝检查、检验或检查、检验结果不符合本保险合同关于保险事故的约定，我们有权不给付保险金。</w:t>
      </w:r>
    </w:p>
    <w:p>
      <w:pPr>
        <w:pStyle w:val="BodyText"/>
        <w:rPr>
          <w:sz w:val="20"/>
        </w:rPr>
      </w:pPr>
    </w:p>
    <w:p>
      <w:pPr>
        <w:pStyle w:val="BodyText"/>
        <w:spacing w:before="2"/>
      </w:pPr>
    </w:p>
    <w:p>
      <w:pPr>
        <w:pStyle w:val="Heading2"/>
        <w:numPr>
          <w:ilvl w:val="0"/>
          <w:numId w:val="3"/>
        </w:numPr>
        <w:tabs>
          <w:tab w:pos="1075" w:val="left" w:leader="none"/>
          <w:tab w:pos="1076" w:val="left" w:leader="none"/>
        </w:tabs>
        <w:spacing w:line="240" w:lineRule="auto" w:before="0" w:after="0"/>
        <w:ind w:left="1075" w:right="0" w:hanging="851"/>
        <w:jc w:val="left"/>
      </w:pPr>
      <w:r>
        <w:rPr>
          <w:w w:val="95"/>
        </w:rPr>
        <w:t>缴付保险费</w:t>
      </w:r>
    </w:p>
    <w:p>
      <w:pPr>
        <w:pStyle w:val="BodyText"/>
        <w:spacing w:before="2"/>
        <w:rPr>
          <w:b/>
          <w:sz w:val="10"/>
        </w:rPr>
      </w:pPr>
      <w:r>
        <w:rPr/>
        <w:pict>
          <v:group style="position:absolute;margin-left:59.82pt;margin-top:8.615830pt;width:467.4pt;height:1.45pt;mso-position-horizontal-relative:page;mso-position-vertical-relative:paragraph;z-index:1288;mso-wrap-distance-left:0;mso-wrap-distance-right:0" coordorigin="1196,172" coordsize="9348,29">
            <v:line style="position:absolute" from="1196,177" to="2047,177" stroked="true" strokeweight=".47998pt" strokecolor="#000000">
              <v:stroke dashstyle="solid"/>
            </v:line>
            <v:line style="position:absolute" from="1196,196" to="2047,196" stroked="true" strokeweight=".48004pt" strokecolor="#000000">
              <v:stroke dashstyle="solid"/>
            </v:line>
            <v:rect style="position:absolute;left:2047;top:172;width:29;height:10" filled="true" fillcolor="#000000" stroked="false">
              <v:fill type="solid"/>
            </v:rect>
            <v:rect style="position:absolute;left:2047;top:191;width:29;height:10" filled="true" fillcolor="#000000" stroked="false">
              <v:fill type="solid"/>
            </v:rect>
            <v:line style="position:absolute" from="2076,177" to="3749,177" stroked="true" strokeweight=".47998pt" strokecolor="#000000">
              <v:stroke dashstyle="solid"/>
            </v:line>
            <v:line style="position:absolute" from="2076,196" to="3749,196" stroked="true" strokeweight=".48004pt" strokecolor="#000000">
              <v:stroke dashstyle="solid"/>
            </v:line>
            <v:rect style="position:absolute;left:3748;top:172;width:29;height:10" filled="true" fillcolor="#000000" stroked="false">
              <v:fill type="solid"/>
            </v:rect>
            <v:rect style="position:absolute;left:3748;top:191;width:29;height:10" filled="true" fillcolor="#000000" stroked="false">
              <v:fill type="solid"/>
            </v:rect>
            <v:line style="position:absolute" from="3778,177" to="10544,177" stroked="true" strokeweight=".47998pt" strokecolor="#000000">
              <v:stroke dashstyle="solid"/>
            </v:line>
            <v:line style="position:absolute" from="3778,196" to="10544,196" stroked="true" strokeweight=".48004pt" strokecolor="#000000">
              <v:stroke dashstyle="solid"/>
            </v:line>
            <w10:wrap type="topAndBottom"/>
          </v:group>
        </w:pict>
      </w:r>
    </w:p>
    <w:p>
      <w:pPr>
        <w:pStyle w:val="BodyText"/>
        <w:rPr>
          <w:b/>
          <w:sz w:val="9"/>
        </w:rPr>
      </w:pPr>
    </w:p>
    <w:p>
      <w:pPr>
        <w:pStyle w:val="ListParagraph"/>
        <w:numPr>
          <w:ilvl w:val="1"/>
          <w:numId w:val="4"/>
        </w:numPr>
        <w:tabs>
          <w:tab w:pos="1075" w:val="left" w:leader="none"/>
          <w:tab w:pos="1076" w:val="left" w:leader="none"/>
          <w:tab w:pos="2775" w:val="left" w:leader="none"/>
        </w:tabs>
        <w:spacing w:line="240" w:lineRule="auto" w:before="31" w:after="0"/>
        <w:ind w:left="2775" w:right="0" w:hanging="2551"/>
        <w:jc w:val="left"/>
        <w:rPr>
          <w:sz w:val="21"/>
        </w:rPr>
      </w:pPr>
      <w:r>
        <w:rPr>
          <w:b/>
          <w:position w:val="3"/>
          <w:sz w:val="21"/>
        </w:rPr>
        <w:t>保险费的缴付</w:t>
        <w:tab/>
      </w:r>
      <w:r>
        <w:rPr>
          <w:sz w:val="21"/>
        </w:rPr>
        <w:t>投保人应向我们缴付保险费。</w:t>
      </w:r>
    </w:p>
    <w:p>
      <w:pPr>
        <w:pStyle w:val="BodyText"/>
        <w:spacing w:line="278" w:lineRule="auto" w:before="45"/>
        <w:ind w:left="2775" w:right="226"/>
      </w:pPr>
      <w:r>
        <w:rPr/>
        <w:t>约定分期缴付保险费的，首期后的分期保险费应按保险单上所载的缴付方法及日期向我们缴付。</w:t>
      </w:r>
    </w:p>
    <w:p>
      <w:pPr>
        <w:pStyle w:val="BodyText"/>
        <w:spacing w:before="12"/>
        <w:rPr>
          <w:sz w:val="15"/>
        </w:rPr>
      </w:pPr>
    </w:p>
    <w:p>
      <w:pPr>
        <w:pStyle w:val="ListParagraph"/>
        <w:numPr>
          <w:ilvl w:val="1"/>
          <w:numId w:val="4"/>
        </w:numPr>
        <w:tabs>
          <w:tab w:pos="1076" w:val="left" w:leader="none"/>
        </w:tabs>
        <w:spacing w:line="278" w:lineRule="auto" w:before="0" w:after="0"/>
        <w:ind w:left="2775" w:right="122" w:hanging="2551"/>
        <w:jc w:val="both"/>
        <w:rPr>
          <w:sz w:val="21"/>
        </w:rPr>
      </w:pPr>
      <w:r>
        <w:rPr>
          <w:b/>
          <w:spacing w:val="3"/>
          <w:position w:val="3"/>
          <w:sz w:val="21"/>
        </w:rPr>
        <w:t>宽限期          </w:t>
      </w:r>
      <w:r>
        <w:rPr>
          <w:sz w:val="21"/>
        </w:rPr>
        <w:t>首期后的分期保险费到期未缴付者，自保险费到期日的次日起六十日为宽限期，宽限期内本合同仍然有效。对于被保险人在宽限期内发生的保险事故，我们仍承担保险责任。若超过宽限期仍未缴付保险费，除非本</w:t>
      </w:r>
      <w:r>
        <w:rPr>
          <w:spacing w:val="-9"/>
          <w:sz w:val="21"/>
        </w:rPr>
        <w:t>合同其他条款另有约定，否则本合同自宽限期满的当日</w:t>
      </w:r>
      <w:r>
        <w:rPr>
          <w:sz w:val="21"/>
        </w:rPr>
        <w:t>24</w:t>
      </w:r>
      <w:r>
        <w:rPr>
          <w:spacing w:val="-11"/>
          <w:sz w:val="21"/>
        </w:rPr>
        <w:t> 时起效力中止。</w:t>
      </w:r>
    </w:p>
    <w:p>
      <w:pPr>
        <w:pStyle w:val="BodyText"/>
        <w:spacing w:before="8"/>
        <w:rPr>
          <w:sz w:val="13"/>
        </w:rPr>
      </w:pPr>
    </w:p>
    <w:p>
      <w:pPr>
        <w:spacing w:after="0"/>
        <w:rPr>
          <w:sz w:val="13"/>
        </w:rPr>
        <w:sectPr>
          <w:type w:val="continuous"/>
          <w:pgSz w:w="11910" w:h="16840"/>
          <w:pgMar w:top="560" w:bottom="280" w:left="1080" w:right="1240"/>
        </w:sectPr>
      </w:pPr>
    </w:p>
    <w:p>
      <w:pPr>
        <w:pStyle w:val="Heading5"/>
        <w:numPr>
          <w:ilvl w:val="1"/>
          <w:numId w:val="4"/>
        </w:numPr>
        <w:tabs>
          <w:tab w:pos="1075" w:val="left" w:leader="none"/>
          <w:tab w:pos="1076" w:val="left" w:leader="none"/>
        </w:tabs>
        <w:spacing w:line="273" w:lineRule="auto" w:before="35" w:after="0"/>
        <w:ind w:left="1075" w:right="0" w:hanging="851"/>
        <w:jc w:val="left"/>
      </w:pPr>
      <w:r>
        <w:rPr>
          <w:w w:val="95"/>
        </w:rPr>
        <w:t>变更为减额付清</w:t>
      </w:r>
      <w:r>
        <w:rPr/>
        <w:t>保险</w:t>
      </w:r>
    </w:p>
    <w:p>
      <w:pPr>
        <w:pStyle w:val="BodyText"/>
        <w:spacing w:line="278" w:lineRule="auto" w:before="60"/>
        <w:ind w:left="185" w:right="226"/>
        <w:jc w:val="both"/>
      </w:pPr>
      <w:r>
        <w:rPr/>
        <w:br w:type="column"/>
      </w:r>
      <w:r>
        <w:rPr/>
        <w:t>在本合同生效一周年且累积有现金价值的情况下，投保人可在缴费期限内的每个保险费到期日向我们书面申请将本合同变更为减额付清保险。我们以变更当时本合同的现金价值作为一次性付清的保险费，计算减额付清后的基本保额。</w:t>
      </w:r>
    </w:p>
    <w:p>
      <w:pPr>
        <w:pStyle w:val="BodyText"/>
        <w:spacing w:line="278" w:lineRule="auto" w:before="11"/>
        <w:ind w:left="185" w:right="218"/>
        <w:jc w:val="both"/>
      </w:pPr>
      <w:r>
        <w:rPr/>
        <w:t>各保险合同年度末减额付清保险的基本保额如保险单或合同批注上所示，若现金价值因其他条款的约定而发生变更重新计算时，减额付清保险的基本保额也将重新计算。</w:t>
      </w:r>
    </w:p>
    <w:p>
      <w:pPr>
        <w:pStyle w:val="BodyText"/>
        <w:spacing w:line="278" w:lineRule="auto" w:before="11"/>
        <w:ind w:left="185" w:right="226"/>
        <w:jc w:val="both"/>
      </w:pPr>
      <w:r>
        <w:rPr/>
        <w:t>本合同变更为减额付清保险后，保险责任与变更前相同，但基本保额以变更后的为准。</w:t>
      </w:r>
    </w:p>
    <w:p>
      <w:pPr>
        <w:spacing w:after="0" w:line="278" w:lineRule="auto"/>
        <w:jc w:val="both"/>
        <w:sectPr>
          <w:type w:val="continuous"/>
          <w:pgSz w:w="11910" w:h="16840"/>
          <w:pgMar w:top="560" w:bottom="280" w:left="1080" w:right="1240"/>
          <w:cols w:num="2" w:equalWidth="0">
            <w:col w:w="2551" w:space="40"/>
            <w:col w:w="6999"/>
          </w:cols>
        </w:sectPr>
      </w:pPr>
    </w:p>
    <w:p>
      <w:pPr>
        <w:pStyle w:val="BodyText"/>
        <w:rPr>
          <w:sz w:val="20"/>
        </w:rPr>
      </w:pPr>
    </w:p>
    <w:p>
      <w:pPr>
        <w:pStyle w:val="BodyText"/>
        <w:spacing w:before="2"/>
        <w:rPr>
          <w:sz w:val="20"/>
        </w:rPr>
      </w:pPr>
    </w:p>
    <w:p>
      <w:pPr>
        <w:pStyle w:val="Heading2"/>
        <w:numPr>
          <w:ilvl w:val="0"/>
          <w:numId w:val="4"/>
        </w:numPr>
        <w:tabs>
          <w:tab w:pos="1075" w:val="left" w:leader="none"/>
          <w:tab w:pos="1076" w:val="left" w:leader="none"/>
        </w:tabs>
        <w:spacing w:line="240" w:lineRule="auto" w:before="14" w:after="0"/>
        <w:ind w:left="1075" w:right="0" w:hanging="851"/>
        <w:jc w:val="left"/>
      </w:pPr>
      <w:r>
        <w:rPr>
          <w:w w:val="95"/>
        </w:rPr>
        <w:t>投保人的特别权利及相应义务</w:t>
      </w:r>
    </w:p>
    <w:p>
      <w:pPr>
        <w:pStyle w:val="BodyText"/>
        <w:spacing w:before="2"/>
        <w:rPr>
          <w:b/>
          <w:sz w:val="10"/>
        </w:rPr>
      </w:pPr>
      <w:r>
        <w:rPr/>
        <w:pict>
          <v:group style="position:absolute;margin-left:59.82pt;margin-top:8.651074pt;width:467.4pt;height:1.45pt;mso-position-horizontal-relative:page;mso-position-vertical-relative:paragraph;z-index:1312;mso-wrap-distance-left:0;mso-wrap-distance-right:0" coordorigin="1196,173" coordsize="9348,29">
            <v:line style="position:absolute" from="1196,178" to="2047,178" stroked="true" strokeweight=".48pt" strokecolor="#000000">
              <v:stroke dashstyle="solid"/>
            </v:line>
            <v:line style="position:absolute" from="1196,197" to="2047,197" stroked="true" strokeweight=".48001pt" strokecolor="#000000">
              <v:stroke dashstyle="solid"/>
            </v:line>
            <v:rect style="position:absolute;left:2047;top:173;width:29;height:10" filled="true" fillcolor="#000000" stroked="false">
              <v:fill type="solid"/>
            </v:rect>
            <v:rect style="position:absolute;left:2047;top:192;width:29;height:10" filled="true" fillcolor="#000000" stroked="false">
              <v:fill type="solid"/>
            </v:rect>
            <v:line style="position:absolute" from="2076,178" to="3749,178" stroked="true" strokeweight=".48pt" strokecolor="#000000">
              <v:stroke dashstyle="solid"/>
            </v:line>
            <v:line style="position:absolute" from="2076,197" to="3749,197" stroked="true" strokeweight=".48001pt" strokecolor="#000000">
              <v:stroke dashstyle="solid"/>
            </v:line>
            <v:rect style="position:absolute;left:3748;top:173;width:29;height:10" filled="true" fillcolor="#000000" stroked="false">
              <v:fill type="solid"/>
            </v:rect>
            <v:rect style="position:absolute;left:3748;top:192;width:29;height:10" filled="true" fillcolor="#000000" stroked="false">
              <v:fill type="solid"/>
            </v:rect>
            <v:line style="position:absolute" from="3778,178" to="10544,178" stroked="true" strokeweight=".48pt" strokecolor="#000000">
              <v:stroke dashstyle="solid"/>
            </v:line>
            <v:line style="position:absolute" from="3778,197" to="10544,197" stroked="true" strokeweight=".48001pt" strokecolor="#000000">
              <v:stroke dashstyle="solid"/>
            </v:line>
            <w10:wrap type="topAndBottom"/>
          </v:group>
        </w:pict>
      </w:r>
    </w:p>
    <w:p>
      <w:pPr>
        <w:pStyle w:val="BodyText"/>
        <w:spacing w:before="6"/>
        <w:rPr>
          <w:b/>
          <w:sz w:val="7"/>
        </w:rPr>
      </w:pPr>
    </w:p>
    <w:p>
      <w:pPr>
        <w:pStyle w:val="ListParagraph"/>
        <w:numPr>
          <w:ilvl w:val="1"/>
          <w:numId w:val="4"/>
        </w:numPr>
        <w:tabs>
          <w:tab w:pos="1074" w:val="left" w:leader="none"/>
          <w:tab w:pos="1075" w:val="left" w:leader="none"/>
          <w:tab w:pos="2775" w:val="left" w:leader="none"/>
        </w:tabs>
        <w:spacing w:line="232" w:lineRule="auto" w:before="43" w:after="0"/>
        <w:ind w:left="2775" w:right="121" w:hanging="2551"/>
        <w:jc w:val="left"/>
        <w:rPr>
          <w:sz w:val="21"/>
        </w:rPr>
      </w:pPr>
      <w:r>
        <w:rPr>
          <w:b/>
          <w:position w:val="-1"/>
          <w:sz w:val="21"/>
        </w:rPr>
        <w:t>保单借款</w:t>
        <w:tab/>
      </w:r>
      <w:r>
        <w:rPr>
          <w:sz w:val="21"/>
        </w:rPr>
        <w:t>在本合同有效且累积有现金价值的情况下</w:t>
      </w:r>
      <w:r>
        <w:rPr>
          <w:spacing w:val="-35"/>
          <w:sz w:val="21"/>
        </w:rPr>
        <w:t>，</w:t>
      </w:r>
      <w:r>
        <w:rPr>
          <w:sz w:val="21"/>
        </w:rPr>
        <w:t>投保人可以向我们申请借款。借款金额不得低于本公司规定的最低限额，最高不得超过本合同当时现金价值的百分之九十，每次借款的时间最长为六个月。但若本合同已变更为减额付清保险，则我们不接受借款申请。</w:t>
      </w:r>
    </w:p>
    <w:p>
      <w:pPr>
        <w:pStyle w:val="BodyText"/>
        <w:spacing w:line="237" w:lineRule="auto"/>
        <w:ind w:left="2775" w:right="226"/>
        <w:jc w:val="both"/>
      </w:pPr>
      <w:r>
        <w:rPr/>
        <w:t>借款及利息应在借款期满之日偿还。如果逾期未还，则所有利息将被并入借款金额中，在下一欠款期内按我们最近一次宣布的借款</w:t>
      </w:r>
      <w:r>
        <w:rPr>
          <w:b/>
        </w:rPr>
        <w:t>利率</w:t>
      </w:r>
      <w:r>
        <w:rPr/>
        <w:t>计息。当现金价值不足以偿还借款和利息时，本合同的效力中止。</w:t>
      </w:r>
    </w:p>
    <w:p>
      <w:pPr>
        <w:spacing w:after="0" w:line="237" w:lineRule="auto"/>
        <w:jc w:val="both"/>
        <w:sectPr>
          <w:type w:val="continuous"/>
          <w:pgSz w:w="11910" w:h="16840"/>
          <w:pgMar w:top="560" w:bottom="280" w:left="1080" w:right="1240"/>
        </w:sectPr>
      </w:pPr>
    </w:p>
    <w:p>
      <w:pPr>
        <w:pStyle w:val="Heading5"/>
        <w:numPr>
          <w:ilvl w:val="1"/>
          <w:numId w:val="4"/>
        </w:numPr>
        <w:tabs>
          <w:tab w:pos="1075" w:val="left" w:leader="none"/>
          <w:tab w:pos="1076" w:val="left" w:leader="none"/>
        </w:tabs>
        <w:spacing w:line="240" w:lineRule="auto" w:before="109" w:after="0"/>
        <w:ind w:left="1075" w:right="0" w:hanging="851"/>
        <w:jc w:val="left"/>
      </w:pPr>
      <w:r>
        <w:rPr>
          <w:w w:val="95"/>
        </w:rPr>
        <w:t>恢复合同效力</w:t>
      </w:r>
    </w:p>
    <w:p>
      <w:pPr>
        <w:spacing w:before="36"/>
        <w:ind w:left="1075" w:right="0" w:firstLine="0"/>
        <w:jc w:val="left"/>
        <w:rPr>
          <w:b/>
          <w:sz w:val="21"/>
        </w:rPr>
      </w:pPr>
      <w:r>
        <w:rPr>
          <w:b/>
          <w:w w:val="95"/>
          <w:sz w:val="21"/>
        </w:rPr>
        <w:t>（复效）</w:t>
      </w:r>
    </w:p>
    <w:p>
      <w:pPr>
        <w:pStyle w:val="BodyText"/>
        <w:spacing w:line="274" w:lineRule="exact" w:before="89"/>
        <w:ind w:left="224"/>
      </w:pPr>
      <w:r>
        <w:rPr/>
        <w:br w:type="column"/>
      </w:r>
      <w:r>
        <w:rPr/>
        <w:t>合同效力中止期间，我们不承担保险责任。</w:t>
      </w:r>
    </w:p>
    <w:p>
      <w:pPr>
        <w:pStyle w:val="BodyText"/>
        <w:spacing w:line="237" w:lineRule="auto" w:before="1"/>
        <w:ind w:left="224" w:right="226"/>
        <w:jc w:val="both"/>
      </w:pPr>
      <w:r>
        <w:rPr/>
        <w:t>本合同及附加合同效力中止后的两年内，投保人可向我们提出书面申请</w:t>
      </w:r>
      <w:r>
        <w:rPr>
          <w:spacing w:val="-3"/>
        </w:rPr>
        <w:t>恢复合同效力</w:t>
      </w:r>
      <w:r>
        <w:rPr/>
        <w:t>（简称复效</w:t>
      </w:r>
      <w:r>
        <w:rPr>
          <w:spacing w:val="-105"/>
        </w:rPr>
        <w:t>）</w:t>
      </w:r>
      <w:r>
        <w:rPr>
          <w:spacing w:val="-4"/>
        </w:rPr>
        <w:t>，并提供被保险人的健康声明书或我们指定或认可的医疗机构出具的体检报告书，在经我们审核通过并缴清欠缴的保险费及利息、借款及借款利息（扣除合同效力中止期间的</w:t>
      </w:r>
      <w:r>
        <w:rPr>
          <w:b/>
          <w:spacing w:val="-4"/>
        </w:rPr>
        <w:t>危险保费</w:t>
      </w:r>
      <w:r>
        <w:rPr>
          <w:spacing w:val="-4"/>
        </w:rPr>
        <w:t>）的</w:t>
      </w:r>
      <w:r>
        <w:rPr>
          <w:spacing w:val="-21"/>
        </w:rPr>
        <w:t>当日 </w:t>
      </w:r>
      <w:r>
        <w:rPr>
          <w:rFonts w:ascii="Times New Roman" w:eastAsia="Times New Roman"/>
        </w:rPr>
        <w:t>24 </w:t>
      </w:r>
      <w:r>
        <w:rPr/>
        <w:t>时起，本合同及附加合同的效力恢复。</w:t>
      </w:r>
    </w:p>
    <w:p>
      <w:pPr>
        <w:pStyle w:val="BodyText"/>
        <w:spacing w:line="280" w:lineRule="auto" w:before="27"/>
        <w:ind w:left="224" w:right="193"/>
        <w:jc w:val="both"/>
      </w:pPr>
      <w:r>
        <w:rPr/>
        <w:t>自本合同及附加合同效力中止后的两年内，若投保人未提出复效申请或复效申请未经本公司通过，则本合同及附加合同自中止两年期间届满的</w:t>
      </w:r>
      <w:r>
        <w:rPr>
          <w:spacing w:val="-23"/>
        </w:rPr>
        <w:t>当日 </w:t>
      </w:r>
      <w:r>
        <w:rPr/>
        <w:t>24</w:t>
      </w:r>
      <w:r>
        <w:rPr>
          <w:spacing w:val="-9"/>
        </w:rPr>
        <w:t> 时起效力终止，我们将退还本合同及附加合同当时的现金价值。</w:t>
      </w:r>
    </w:p>
    <w:p>
      <w:pPr>
        <w:spacing w:after="0" w:line="280" w:lineRule="auto"/>
        <w:jc w:val="both"/>
        <w:sectPr>
          <w:pgSz w:w="11910" w:h="16840"/>
          <w:pgMar w:header="0" w:footer="998" w:top="1600" w:bottom="1180" w:left="1080" w:right="1240"/>
          <w:cols w:num="2" w:equalWidth="0">
            <w:col w:w="2339" w:space="212"/>
            <w:col w:w="7039"/>
          </w:cols>
        </w:sectPr>
      </w:pPr>
    </w:p>
    <w:p>
      <w:pPr>
        <w:pStyle w:val="BodyText"/>
        <w:spacing w:before="12"/>
        <w:rPr>
          <w:sz w:val="11"/>
        </w:rPr>
      </w:pPr>
    </w:p>
    <w:p>
      <w:pPr>
        <w:pStyle w:val="ListParagraph"/>
        <w:numPr>
          <w:ilvl w:val="1"/>
          <w:numId w:val="4"/>
        </w:numPr>
        <w:tabs>
          <w:tab w:pos="1075" w:val="left" w:leader="none"/>
          <w:tab w:pos="1076" w:val="left" w:leader="none"/>
        </w:tabs>
        <w:spacing w:line="220" w:lineRule="auto" w:before="55" w:after="0"/>
        <w:ind w:left="2775" w:right="120" w:hanging="2551"/>
        <w:jc w:val="left"/>
        <w:rPr>
          <w:sz w:val="21"/>
        </w:rPr>
      </w:pPr>
      <w:r>
        <w:rPr>
          <w:b/>
          <w:spacing w:val="-24"/>
          <w:position w:val="-1"/>
          <w:sz w:val="21"/>
        </w:rPr>
        <w:t>解除合同</w:t>
      </w:r>
      <w:r>
        <w:rPr>
          <w:b/>
          <w:position w:val="-1"/>
          <w:sz w:val="21"/>
        </w:rPr>
        <w:t>（退保）</w:t>
      </w:r>
      <w:r>
        <w:rPr>
          <w:b/>
          <w:spacing w:val="1"/>
          <w:position w:val="-1"/>
          <w:sz w:val="21"/>
        </w:rPr>
        <w:t> </w:t>
      </w:r>
      <w:r>
        <w:rPr>
          <w:spacing w:val="-11"/>
          <w:sz w:val="21"/>
        </w:rPr>
        <w:t>在本合同有效期内，投保人可书面通知我们要求解除本合同</w:t>
      </w:r>
      <w:r>
        <w:rPr>
          <w:sz w:val="21"/>
        </w:rPr>
        <w:t>（简称退保</w:t>
      </w:r>
      <w:r>
        <w:rPr>
          <w:spacing w:val="-105"/>
          <w:sz w:val="21"/>
        </w:rPr>
        <w:t>）</w:t>
      </w:r>
      <w:r>
        <w:rPr>
          <w:sz w:val="21"/>
        </w:rPr>
        <w:t>。申请退保时，投保人应提供下列证明文件和资料：</w:t>
      </w:r>
    </w:p>
    <w:p>
      <w:pPr>
        <w:pStyle w:val="BodyText"/>
        <w:spacing w:line="270" w:lineRule="exact"/>
        <w:ind w:left="2775"/>
      </w:pPr>
      <w:r>
        <w:rPr/>
        <w:t>1、解除合同申请书；</w:t>
      </w:r>
    </w:p>
    <w:p>
      <w:pPr>
        <w:pStyle w:val="BodyText"/>
        <w:spacing w:line="272" w:lineRule="exact"/>
        <w:ind w:left="2775"/>
      </w:pPr>
      <w:r>
        <w:rPr/>
        <w:t>2、保险合同；</w:t>
      </w:r>
    </w:p>
    <w:p>
      <w:pPr>
        <w:pStyle w:val="BodyText"/>
        <w:spacing w:line="274" w:lineRule="exact"/>
        <w:ind w:left="2775"/>
      </w:pPr>
      <w:r>
        <w:rPr/>
        <w:t>3、投保人户籍证明或身份证明。</w:t>
      </w:r>
    </w:p>
    <w:p>
      <w:pPr>
        <w:pStyle w:val="BodyText"/>
        <w:spacing w:line="273" w:lineRule="auto" w:before="18"/>
        <w:ind w:left="2775" w:right="192"/>
      </w:pPr>
      <w:r>
        <w:rPr/>
        <w:t>自我们收到退保申请（若为邮寄，则以寄出邮戳为准）</w:t>
      </w:r>
      <w:r>
        <w:rPr>
          <w:spacing w:val="-16"/>
        </w:rPr>
        <w:t>的当日 </w:t>
      </w:r>
      <w:r>
        <w:rPr/>
        <w:t>24</w:t>
      </w:r>
      <w:r>
        <w:rPr>
          <w:spacing w:val="-17"/>
        </w:rPr>
        <w:t> 时起， 本合同及附加合同的效力终止。我们将于收到上述证明文件和资料后三十日内退还本合同及附加合同效力终止日的现金价值。</w:t>
      </w:r>
    </w:p>
    <w:p>
      <w:pPr>
        <w:pStyle w:val="BodyText"/>
        <w:rPr>
          <w:sz w:val="20"/>
        </w:rPr>
      </w:pPr>
    </w:p>
    <w:p>
      <w:pPr>
        <w:pStyle w:val="BodyText"/>
        <w:spacing w:before="11"/>
        <w:rPr>
          <w:sz w:val="22"/>
        </w:rPr>
      </w:pPr>
    </w:p>
    <w:p>
      <w:pPr>
        <w:pStyle w:val="Heading2"/>
        <w:numPr>
          <w:ilvl w:val="0"/>
          <w:numId w:val="4"/>
        </w:numPr>
        <w:tabs>
          <w:tab w:pos="1075" w:val="left" w:leader="none"/>
          <w:tab w:pos="1076" w:val="left" w:leader="none"/>
        </w:tabs>
        <w:spacing w:line="240" w:lineRule="auto" w:before="1" w:after="0"/>
        <w:ind w:left="1075" w:right="0" w:hanging="851"/>
        <w:jc w:val="left"/>
      </w:pPr>
      <w:r>
        <w:rPr>
          <w:w w:val="95"/>
        </w:rPr>
        <w:t>投保人需要关注的其他事项</w:t>
      </w:r>
    </w:p>
    <w:p>
      <w:pPr>
        <w:pStyle w:val="BodyText"/>
        <w:spacing w:before="3"/>
        <w:rPr>
          <w:b/>
          <w:sz w:val="10"/>
        </w:rPr>
      </w:pPr>
      <w:r>
        <w:rPr/>
        <w:pict>
          <v:group style="position:absolute;margin-left:59.82pt;margin-top:8.659112pt;width:467.4pt;height:1.45pt;mso-position-horizontal-relative:page;mso-position-vertical-relative:paragraph;z-index:1336;mso-wrap-distance-left:0;mso-wrap-distance-right:0" coordorigin="1196,173" coordsize="9348,29">
            <v:line style="position:absolute" from="1196,178" to="2047,178" stroked="true" strokeweight=".47998pt" strokecolor="#000000">
              <v:stroke dashstyle="solid"/>
            </v:line>
            <v:line style="position:absolute" from="1196,197" to="2047,197" stroked="true" strokeweight=".47998pt" strokecolor="#000000">
              <v:stroke dashstyle="solid"/>
            </v:line>
            <v:rect style="position:absolute;left:2047;top:173;width:29;height:10" filled="true" fillcolor="#000000" stroked="false">
              <v:fill type="solid"/>
            </v:rect>
            <v:rect style="position:absolute;left:2047;top:192;width:29;height:10" filled="true" fillcolor="#000000" stroked="false">
              <v:fill type="solid"/>
            </v:rect>
            <v:line style="position:absolute" from="2076,178" to="3749,178" stroked="true" strokeweight=".47998pt" strokecolor="#000000">
              <v:stroke dashstyle="solid"/>
            </v:line>
            <v:line style="position:absolute" from="2076,197" to="3749,197" stroked="true" strokeweight=".47998pt" strokecolor="#000000">
              <v:stroke dashstyle="solid"/>
            </v:line>
            <v:rect style="position:absolute;left:3748;top:173;width:29;height:10" filled="true" fillcolor="#000000" stroked="false">
              <v:fill type="solid"/>
            </v:rect>
            <v:rect style="position:absolute;left:3748;top:192;width:29;height:10" filled="true" fillcolor="#000000" stroked="false">
              <v:fill type="solid"/>
            </v:rect>
            <v:line style="position:absolute" from="3778,178" to="10544,178" stroked="true" strokeweight=".47998pt" strokecolor="#000000">
              <v:stroke dashstyle="solid"/>
            </v:line>
            <v:line style="position:absolute" from="3778,197" to="10544,197" stroked="true" strokeweight=".47998pt" strokecolor="#000000">
              <v:stroke dashstyle="solid"/>
            </v:line>
            <w10:wrap type="topAndBottom"/>
          </v:group>
        </w:pict>
      </w:r>
    </w:p>
    <w:p>
      <w:pPr>
        <w:pStyle w:val="BodyText"/>
        <w:rPr>
          <w:b/>
          <w:sz w:val="9"/>
        </w:rPr>
      </w:pPr>
    </w:p>
    <w:p>
      <w:pPr>
        <w:pStyle w:val="ListParagraph"/>
        <w:numPr>
          <w:ilvl w:val="1"/>
          <w:numId w:val="4"/>
        </w:numPr>
        <w:tabs>
          <w:tab w:pos="1075" w:val="left" w:leader="none"/>
        </w:tabs>
        <w:spacing w:line="273" w:lineRule="auto" w:before="36" w:after="0"/>
        <w:ind w:left="2775" w:right="296" w:hanging="2551"/>
        <w:jc w:val="both"/>
        <w:rPr>
          <w:sz w:val="21"/>
        </w:rPr>
      </w:pPr>
      <w:r>
        <w:rPr>
          <w:b/>
          <w:sz w:val="21"/>
        </w:rPr>
        <w:t>欠款扣除       </w:t>
      </w:r>
      <w:r>
        <w:rPr>
          <w:sz w:val="21"/>
        </w:rPr>
        <w:t>我们在给付各项保险金、现金价值，办理终止合同、合同复效时，若投保人有欠缴的保险费及利息、尚未还清的借款及借款利息，则所有的欠款和利息均需先归还我们或由我们在给付款中扣除。</w:t>
      </w:r>
    </w:p>
    <w:p>
      <w:pPr>
        <w:pStyle w:val="BodyText"/>
        <w:spacing w:before="4"/>
        <w:rPr>
          <w:sz w:val="16"/>
        </w:rPr>
      </w:pPr>
    </w:p>
    <w:p>
      <w:pPr>
        <w:pStyle w:val="ListParagraph"/>
        <w:numPr>
          <w:ilvl w:val="1"/>
          <w:numId w:val="4"/>
        </w:numPr>
        <w:tabs>
          <w:tab w:pos="1075" w:val="left" w:leader="none"/>
          <w:tab w:pos="1076" w:val="left" w:leader="none"/>
          <w:tab w:pos="2775" w:val="left" w:leader="none"/>
        </w:tabs>
        <w:spacing w:line="240" w:lineRule="auto" w:before="0" w:after="0"/>
        <w:ind w:left="1075" w:right="0" w:hanging="851"/>
        <w:jc w:val="left"/>
        <w:rPr>
          <w:sz w:val="21"/>
        </w:rPr>
      </w:pPr>
      <w:r>
        <w:rPr>
          <w:b/>
          <w:position w:val="-1"/>
          <w:sz w:val="21"/>
        </w:rPr>
        <w:t>合同效力的终止</w:t>
        <w:tab/>
      </w:r>
      <w:r>
        <w:rPr>
          <w:sz w:val="21"/>
        </w:rPr>
        <w:t>有下列情况之一时，本合同的效力终止：</w:t>
      </w:r>
    </w:p>
    <w:p>
      <w:pPr>
        <w:pStyle w:val="BodyText"/>
        <w:spacing w:before="22"/>
        <w:ind w:left="2775"/>
      </w:pPr>
      <w:r>
        <w:rPr/>
        <w:t>1、被保险人身故或处于生命末期；</w:t>
      </w:r>
    </w:p>
    <w:p>
      <w:pPr>
        <w:pStyle w:val="BodyText"/>
        <w:spacing w:line="274" w:lineRule="exact"/>
        <w:ind w:left="2775"/>
      </w:pPr>
      <w:r>
        <w:rPr/>
        <w:t>2、本合同撤销、解除、退保、满期；</w:t>
      </w:r>
    </w:p>
    <w:p>
      <w:pPr>
        <w:pStyle w:val="BodyText"/>
        <w:spacing w:line="272" w:lineRule="exact"/>
        <w:ind w:left="2775"/>
      </w:pPr>
      <w:r>
        <w:rPr/>
        <w:t>3、本合同效力中止后未复效；</w:t>
      </w:r>
    </w:p>
    <w:p>
      <w:pPr>
        <w:pStyle w:val="BodyText"/>
        <w:spacing w:line="272" w:lineRule="exact"/>
        <w:ind w:left="2775"/>
      </w:pPr>
      <w:r>
        <w:rPr/>
        <w:t>4、BFDD（中荷附加珍爱一生定期重大疾病保险合同）效力终止；</w:t>
      </w:r>
    </w:p>
    <w:p>
      <w:pPr>
        <w:pStyle w:val="BodyText"/>
        <w:spacing w:line="272" w:lineRule="exact"/>
        <w:ind w:left="2775"/>
      </w:pPr>
      <w:r>
        <w:rPr/>
        <w:t>5、本合同规定的其它情形。</w:t>
      </w:r>
    </w:p>
    <w:p>
      <w:pPr>
        <w:pStyle w:val="BodyText"/>
        <w:spacing w:line="237" w:lineRule="auto" w:before="1"/>
        <w:ind w:left="2775" w:right="226"/>
      </w:pPr>
      <w:r>
        <w:rPr/>
        <w:t>本合同效力终止后，除另有规定外，我们不退还本合同的现金价值或已缴的保险费。</w:t>
      </w:r>
    </w:p>
    <w:p>
      <w:pPr>
        <w:pStyle w:val="BodyText"/>
        <w:spacing w:before="5"/>
        <w:rPr>
          <w:sz w:val="14"/>
        </w:rPr>
      </w:pPr>
    </w:p>
    <w:p>
      <w:pPr>
        <w:spacing w:after="0"/>
        <w:rPr>
          <w:sz w:val="14"/>
        </w:rPr>
        <w:sectPr>
          <w:type w:val="continuous"/>
          <w:pgSz w:w="11910" w:h="16840"/>
          <w:pgMar w:top="560" w:bottom="280" w:left="1080" w:right="1240"/>
        </w:sectPr>
      </w:pPr>
    </w:p>
    <w:p>
      <w:pPr>
        <w:pStyle w:val="Heading5"/>
        <w:numPr>
          <w:ilvl w:val="1"/>
          <w:numId w:val="4"/>
        </w:numPr>
        <w:tabs>
          <w:tab w:pos="1075" w:val="left" w:leader="none"/>
          <w:tab w:pos="1076" w:val="left" w:leader="none"/>
        </w:tabs>
        <w:spacing w:line="273" w:lineRule="auto" w:before="56" w:after="0"/>
        <w:ind w:left="1075" w:right="0" w:hanging="851"/>
        <w:jc w:val="left"/>
      </w:pPr>
      <w:r>
        <w:rPr>
          <w:w w:val="95"/>
        </w:rPr>
        <w:t>年龄的计算与错误的处理</w:t>
      </w:r>
    </w:p>
    <w:p>
      <w:pPr>
        <w:pStyle w:val="BodyText"/>
        <w:spacing w:line="237" w:lineRule="auto" w:before="39"/>
        <w:ind w:left="224" w:right="226"/>
        <w:jc w:val="both"/>
      </w:pPr>
      <w:r>
        <w:rPr/>
        <w:br w:type="column"/>
      </w:r>
      <w:r>
        <w:rPr/>
        <w:t>被保险人的年龄以周岁计算。投保人在申请投保时，应在投保单上按被保险人的真实年龄及性别填明，若发生错误，则按下列规定办理：</w:t>
      </w:r>
    </w:p>
    <w:p>
      <w:pPr>
        <w:pStyle w:val="BodyText"/>
        <w:spacing w:line="237" w:lineRule="auto"/>
        <w:ind w:left="224" w:right="226"/>
        <w:jc w:val="both"/>
      </w:pPr>
      <w:r>
        <w:rPr/>
        <w:t>1</w:t>
      </w:r>
      <w:r>
        <w:rPr>
          <w:spacing w:val="-5"/>
        </w:rPr>
        <w:t>、若投保人申报的被保险人年龄或性别不真实，并且其真实年龄或性别不符合我们对本险种接受的被保险人的年龄或性别限制的，我们有权解除本合同，我们将向投保人退还本合同解除日的现金价值。但自本合同成立日（若本合同中止后复效，则以最后复效日为准）起超过两年者除外。</w:t>
      </w:r>
    </w:p>
    <w:p>
      <w:pPr>
        <w:pStyle w:val="BodyText"/>
        <w:spacing w:line="237" w:lineRule="auto"/>
        <w:ind w:left="224" w:right="226"/>
        <w:jc w:val="both"/>
      </w:pPr>
      <w:r>
        <w:rPr/>
        <w:t>如果我们在合同订立时已经知道投保人未如实告知的或自我们知道有解除事由之日起超过三十日没有解除本合同，则我们不再依据前款约定行使解除权。</w:t>
      </w:r>
    </w:p>
    <w:p>
      <w:pPr>
        <w:pStyle w:val="BodyText"/>
        <w:spacing w:line="237" w:lineRule="auto"/>
        <w:ind w:left="224" w:right="121"/>
        <w:jc w:val="both"/>
      </w:pPr>
      <w:r>
        <w:rPr/>
        <w:t>2</w:t>
      </w:r>
      <w:r>
        <w:rPr>
          <w:spacing w:val="-5"/>
        </w:rPr>
        <w:t>、若投保人申报的被保险人的年龄或性别不真实，致使投保人实缴保险费少于应缴保险费的，我们有权更正并要求投保人补缴保险费。若已发</w:t>
      </w:r>
      <w:r>
        <w:rPr>
          <w:spacing w:val="-8"/>
        </w:rPr>
        <w:t>生保险事故，我们将按实缴保险费和应缴保险费的比例折算给付保险金。</w:t>
      </w:r>
    </w:p>
    <w:p>
      <w:pPr>
        <w:spacing w:after="0" w:line="237" w:lineRule="auto"/>
        <w:jc w:val="both"/>
        <w:sectPr>
          <w:type w:val="continuous"/>
          <w:pgSz w:w="11910" w:h="16840"/>
          <w:pgMar w:top="560" w:bottom="280" w:left="1080" w:right="1240"/>
          <w:cols w:num="2" w:equalWidth="0">
            <w:col w:w="2340" w:space="211"/>
            <w:col w:w="7039"/>
          </w:cols>
        </w:sectPr>
      </w:pPr>
    </w:p>
    <w:tbl>
      <w:tblPr>
        <w:tblW w:w="0" w:type="auto"/>
        <w:jc w:val="left"/>
        <w:tblInd w:w="17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34"/>
        <w:gridCol w:w="1854"/>
        <w:gridCol w:w="6751"/>
      </w:tblGrid>
      <w:tr>
        <w:trPr>
          <w:trHeight w:val="260" w:hRule="atLeast"/>
        </w:trPr>
        <w:tc>
          <w:tcPr>
            <w:tcW w:w="2488" w:type="dxa"/>
            <w:gridSpan w:val="2"/>
            <w:vMerge w:val="restart"/>
          </w:tcPr>
          <w:p>
            <w:pPr>
              <w:pStyle w:val="TableParagraph"/>
              <w:rPr>
                <w:rFonts w:ascii="Times New Roman"/>
                <w:sz w:val="20"/>
              </w:rPr>
            </w:pPr>
          </w:p>
        </w:tc>
        <w:tc>
          <w:tcPr>
            <w:tcW w:w="6751" w:type="dxa"/>
          </w:tcPr>
          <w:p>
            <w:pPr>
              <w:pStyle w:val="TableParagraph"/>
              <w:spacing w:line="210" w:lineRule="exact"/>
              <w:ind w:left="113"/>
              <w:rPr>
                <w:sz w:val="21"/>
              </w:rPr>
            </w:pPr>
            <w:r>
              <w:rPr>
                <w:sz w:val="21"/>
              </w:rPr>
              <w:t>3、若投保人申报的被保险人的年龄或性别不真实，致使投保人实缴的保</w:t>
            </w:r>
          </w:p>
        </w:tc>
      </w:tr>
      <w:tr>
        <w:trPr>
          <w:trHeight w:val="425" w:hRule="atLeast"/>
        </w:trPr>
        <w:tc>
          <w:tcPr>
            <w:tcW w:w="2488" w:type="dxa"/>
            <w:gridSpan w:val="2"/>
            <w:vMerge/>
            <w:tcBorders>
              <w:top w:val="nil"/>
            </w:tcBorders>
          </w:tcPr>
          <w:p>
            <w:pPr>
              <w:rPr>
                <w:sz w:val="2"/>
                <w:szCs w:val="2"/>
              </w:rPr>
            </w:pPr>
          </w:p>
        </w:tc>
        <w:tc>
          <w:tcPr>
            <w:tcW w:w="6751" w:type="dxa"/>
          </w:tcPr>
          <w:p>
            <w:pPr>
              <w:pStyle w:val="TableParagraph"/>
              <w:spacing w:line="260" w:lineRule="exact"/>
              <w:ind w:left="113"/>
              <w:rPr>
                <w:sz w:val="21"/>
              </w:rPr>
            </w:pPr>
            <w:r>
              <w:rPr>
                <w:sz w:val="21"/>
              </w:rPr>
              <w:t>险费多于应缴的保险费的，我们应将多收的保险费退还给投保人。</w:t>
            </w:r>
          </w:p>
        </w:tc>
      </w:tr>
      <w:tr>
        <w:trPr>
          <w:trHeight w:val="425" w:hRule="atLeast"/>
        </w:trPr>
        <w:tc>
          <w:tcPr>
            <w:tcW w:w="634" w:type="dxa"/>
          </w:tcPr>
          <w:p>
            <w:pPr>
              <w:pStyle w:val="TableParagraph"/>
              <w:spacing w:before="100"/>
              <w:ind w:left="50"/>
              <w:rPr>
                <w:b/>
                <w:sz w:val="21"/>
              </w:rPr>
            </w:pPr>
            <w:r>
              <w:rPr>
                <w:b/>
                <w:sz w:val="21"/>
              </w:rPr>
              <w:t>6.4</w:t>
            </w:r>
          </w:p>
        </w:tc>
        <w:tc>
          <w:tcPr>
            <w:tcW w:w="1854" w:type="dxa"/>
          </w:tcPr>
          <w:p>
            <w:pPr>
              <w:pStyle w:val="TableParagraph"/>
              <w:spacing w:before="100"/>
              <w:ind w:left="266"/>
              <w:rPr>
                <w:b/>
                <w:sz w:val="21"/>
              </w:rPr>
            </w:pPr>
            <w:r>
              <w:rPr>
                <w:b/>
                <w:w w:val="95"/>
                <w:sz w:val="21"/>
              </w:rPr>
              <w:t>通知</w:t>
            </w:r>
          </w:p>
        </w:tc>
        <w:tc>
          <w:tcPr>
            <w:tcW w:w="6751" w:type="dxa"/>
          </w:tcPr>
          <w:p>
            <w:pPr>
              <w:pStyle w:val="TableParagraph"/>
              <w:spacing w:before="100"/>
              <w:ind w:left="113"/>
              <w:rPr>
                <w:sz w:val="21"/>
              </w:rPr>
            </w:pPr>
            <w:r>
              <w:rPr>
                <w:sz w:val="21"/>
              </w:rPr>
              <w:t>我们将按投保人在投保单上填写的通讯地址发送通知。</w:t>
            </w:r>
          </w:p>
        </w:tc>
      </w:tr>
      <w:tr>
        <w:trPr>
          <w:trHeight w:val="311" w:hRule="atLeast"/>
        </w:trPr>
        <w:tc>
          <w:tcPr>
            <w:tcW w:w="634" w:type="dxa"/>
          </w:tcPr>
          <w:p>
            <w:pPr>
              <w:pStyle w:val="TableParagraph"/>
              <w:rPr>
                <w:rFonts w:ascii="Times New Roman"/>
                <w:sz w:val="20"/>
              </w:rPr>
            </w:pPr>
          </w:p>
        </w:tc>
        <w:tc>
          <w:tcPr>
            <w:tcW w:w="1854" w:type="dxa"/>
          </w:tcPr>
          <w:p>
            <w:pPr>
              <w:pStyle w:val="TableParagraph"/>
              <w:rPr>
                <w:rFonts w:ascii="Times New Roman"/>
                <w:sz w:val="20"/>
              </w:rPr>
            </w:pPr>
          </w:p>
        </w:tc>
        <w:tc>
          <w:tcPr>
            <w:tcW w:w="6751" w:type="dxa"/>
          </w:tcPr>
          <w:p>
            <w:pPr>
              <w:pStyle w:val="TableParagraph"/>
              <w:spacing w:line="261" w:lineRule="exact"/>
              <w:ind w:left="113"/>
              <w:rPr>
                <w:sz w:val="21"/>
              </w:rPr>
            </w:pPr>
            <w:r>
              <w:rPr>
                <w:sz w:val="21"/>
              </w:rPr>
              <w:t>投保人的通讯地址变更时，应及时以书面形式或本公司认可的其他形式</w:t>
            </w:r>
          </w:p>
        </w:tc>
      </w:tr>
      <w:tr>
        <w:trPr>
          <w:trHeight w:val="311" w:hRule="atLeast"/>
        </w:trPr>
        <w:tc>
          <w:tcPr>
            <w:tcW w:w="634" w:type="dxa"/>
          </w:tcPr>
          <w:p>
            <w:pPr>
              <w:pStyle w:val="TableParagraph"/>
              <w:rPr>
                <w:rFonts w:ascii="Times New Roman"/>
                <w:sz w:val="20"/>
              </w:rPr>
            </w:pPr>
          </w:p>
        </w:tc>
        <w:tc>
          <w:tcPr>
            <w:tcW w:w="1854" w:type="dxa"/>
          </w:tcPr>
          <w:p>
            <w:pPr>
              <w:pStyle w:val="TableParagraph"/>
              <w:rPr>
                <w:rFonts w:ascii="Times New Roman"/>
                <w:sz w:val="20"/>
              </w:rPr>
            </w:pPr>
          </w:p>
        </w:tc>
        <w:tc>
          <w:tcPr>
            <w:tcW w:w="6751" w:type="dxa"/>
          </w:tcPr>
          <w:p>
            <w:pPr>
              <w:pStyle w:val="TableParagraph"/>
              <w:spacing w:line="261" w:lineRule="exact"/>
              <w:ind w:left="113"/>
              <w:rPr>
                <w:sz w:val="21"/>
              </w:rPr>
            </w:pPr>
            <w:r>
              <w:rPr>
                <w:sz w:val="21"/>
              </w:rPr>
              <w:t>通知我们。投保人不作前述通知时，我们按投保单所载的最后通讯地址</w:t>
            </w:r>
          </w:p>
        </w:tc>
      </w:tr>
      <w:tr>
        <w:trPr>
          <w:trHeight w:val="415" w:hRule="atLeast"/>
        </w:trPr>
        <w:tc>
          <w:tcPr>
            <w:tcW w:w="634" w:type="dxa"/>
          </w:tcPr>
          <w:p>
            <w:pPr>
              <w:pStyle w:val="TableParagraph"/>
              <w:rPr>
                <w:rFonts w:ascii="Times New Roman"/>
                <w:sz w:val="20"/>
              </w:rPr>
            </w:pPr>
          </w:p>
        </w:tc>
        <w:tc>
          <w:tcPr>
            <w:tcW w:w="1854" w:type="dxa"/>
          </w:tcPr>
          <w:p>
            <w:pPr>
              <w:pStyle w:val="TableParagraph"/>
              <w:rPr>
                <w:rFonts w:ascii="Times New Roman"/>
                <w:sz w:val="20"/>
              </w:rPr>
            </w:pPr>
          </w:p>
        </w:tc>
        <w:tc>
          <w:tcPr>
            <w:tcW w:w="6751" w:type="dxa"/>
          </w:tcPr>
          <w:p>
            <w:pPr>
              <w:pStyle w:val="TableParagraph"/>
              <w:spacing w:line="261" w:lineRule="exact"/>
              <w:ind w:left="113"/>
              <w:rPr>
                <w:sz w:val="21"/>
              </w:rPr>
            </w:pPr>
            <w:r>
              <w:rPr>
                <w:sz w:val="21"/>
              </w:rPr>
              <w:t>发送通知，视为已送达给投保人。</w:t>
            </w:r>
          </w:p>
        </w:tc>
      </w:tr>
      <w:tr>
        <w:trPr>
          <w:trHeight w:val="664" w:hRule="atLeast"/>
        </w:trPr>
        <w:tc>
          <w:tcPr>
            <w:tcW w:w="634" w:type="dxa"/>
          </w:tcPr>
          <w:p>
            <w:pPr>
              <w:pStyle w:val="TableParagraph"/>
              <w:spacing w:before="109"/>
              <w:ind w:left="50"/>
              <w:rPr>
                <w:b/>
                <w:sz w:val="21"/>
              </w:rPr>
            </w:pPr>
            <w:r>
              <w:rPr>
                <w:b/>
                <w:sz w:val="21"/>
              </w:rPr>
              <w:t>6.5</w:t>
            </w:r>
          </w:p>
        </w:tc>
        <w:tc>
          <w:tcPr>
            <w:tcW w:w="1854" w:type="dxa"/>
          </w:tcPr>
          <w:p>
            <w:pPr>
              <w:pStyle w:val="TableParagraph"/>
              <w:spacing w:before="109"/>
              <w:ind w:left="266"/>
              <w:rPr>
                <w:b/>
                <w:sz w:val="21"/>
              </w:rPr>
            </w:pPr>
            <w:r>
              <w:rPr>
                <w:b/>
                <w:sz w:val="21"/>
              </w:rPr>
              <w:t>争议处理</w:t>
            </w:r>
          </w:p>
        </w:tc>
        <w:tc>
          <w:tcPr>
            <w:tcW w:w="6751" w:type="dxa"/>
          </w:tcPr>
          <w:p>
            <w:pPr>
              <w:pStyle w:val="TableParagraph"/>
              <w:spacing w:line="237" w:lineRule="auto" w:before="92"/>
              <w:ind w:left="113" w:right="55"/>
              <w:rPr>
                <w:sz w:val="21"/>
              </w:rPr>
            </w:pPr>
            <w:r>
              <w:rPr>
                <w:sz w:val="21"/>
              </w:rPr>
              <w:t>本合同争议解决方式由当事人投保时在投保单上约定从下列两种方式中选择一种：</w:t>
            </w:r>
          </w:p>
        </w:tc>
      </w:tr>
      <w:tr>
        <w:trPr>
          <w:trHeight w:val="283" w:hRule="atLeast"/>
        </w:trPr>
        <w:tc>
          <w:tcPr>
            <w:tcW w:w="634" w:type="dxa"/>
          </w:tcPr>
          <w:p>
            <w:pPr>
              <w:pStyle w:val="TableParagraph"/>
              <w:rPr>
                <w:rFonts w:ascii="Times New Roman"/>
                <w:sz w:val="20"/>
              </w:rPr>
            </w:pPr>
          </w:p>
        </w:tc>
        <w:tc>
          <w:tcPr>
            <w:tcW w:w="1854" w:type="dxa"/>
          </w:tcPr>
          <w:p>
            <w:pPr>
              <w:pStyle w:val="TableParagraph"/>
              <w:rPr>
                <w:rFonts w:ascii="Times New Roman"/>
                <w:sz w:val="20"/>
              </w:rPr>
            </w:pPr>
          </w:p>
        </w:tc>
        <w:tc>
          <w:tcPr>
            <w:tcW w:w="6751" w:type="dxa"/>
          </w:tcPr>
          <w:p>
            <w:pPr>
              <w:pStyle w:val="TableParagraph"/>
              <w:tabs>
                <w:tab w:pos="6483" w:val="left" w:leader="none"/>
              </w:tabs>
              <w:spacing w:line="245" w:lineRule="exact"/>
              <w:ind w:left="113"/>
              <w:rPr>
                <w:sz w:val="21"/>
              </w:rPr>
            </w:pPr>
            <w:r>
              <w:rPr>
                <w:sz w:val="21"/>
              </w:rPr>
              <w:t>1</w:t>
            </w:r>
            <w:r>
              <w:rPr>
                <w:spacing w:val="-88"/>
                <w:sz w:val="21"/>
              </w:rPr>
              <w:t>、</w:t>
            </w:r>
            <w:r>
              <w:rPr>
                <w:sz w:val="21"/>
              </w:rPr>
              <w:t>因履行本合同发生的争议</w:t>
            </w:r>
            <w:r>
              <w:rPr>
                <w:spacing w:val="-88"/>
                <w:sz w:val="21"/>
              </w:rPr>
              <w:t>，</w:t>
            </w:r>
            <w:r>
              <w:rPr>
                <w:sz w:val="21"/>
              </w:rPr>
              <w:t>由当事人协商解决</w:t>
            </w:r>
            <w:r>
              <w:rPr>
                <w:spacing w:val="-88"/>
                <w:sz w:val="21"/>
              </w:rPr>
              <w:t>，</w:t>
            </w:r>
            <w:r>
              <w:rPr>
                <w:sz w:val="21"/>
              </w:rPr>
              <w:t>协商不成的</w:t>
            </w:r>
            <w:r>
              <w:rPr>
                <w:spacing w:val="-88"/>
                <w:sz w:val="21"/>
              </w:rPr>
              <w:t>，</w:t>
            </w:r>
            <w:r>
              <w:rPr>
                <w:sz w:val="21"/>
              </w:rPr>
              <w:t>提交</w:t>
            </w:r>
            <w:r>
              <w:rPr>
                <w:sz w:val="21"/>
                <w:u w:val="single"/>
              </w:rPr>
              <w:t> </w:t>
              <w:tab/>
            </w:r>
            <w:r>
              <w:rPr>
                <w:sz w:val="21"/>
              </w:rPr>
              <w:t>仲</w:t>
            </w:r>
          </w:p>
        </w:tc>
      </w:tr>
      <w:tr>
        <w:trPr>
          <w:trHeight w:val="274" w:hRule="atLeast"/>
        </w:trPr>
        <w:tc>
          <w:tcPr>
            <w:tcW w:w="634" w:type="dxa"/>
          </w:tcPr>
          <w:p>
            <w:pPr>
              <w:pStyle w:val="TableParagraph"/>
              <w:rPr>
                <w:rFonts w:ascii="Times New Roman"/>
                <w:sz w:val="20"/>
              </w:rPr>
            </w:pPr>
          </w:p>
        </w:tc>
        <w:tc>
          <w:tcPr>
            <w:tcW w:w="1854" w:type="dxa"/>
          </w:tcPr>
          <w:p>
            <w:pPr>
              <w:pStyle w:val="TableParagraph"/>
              <w:rPr>
                <w:rFonts w:ascii="Times New Roman"/>
                <w:sz w:val="20"/>
              </w:rPr>
            </w:pPr>
          </w:p>
        </w:tc>
        <w:tc>
          <w:tcPr>
            <w:tcW w:w="6751" w:type="dxa"/>
          </w:tcPr>
          <w:p>
            <w:pPr>
              <w:pStyle w:val="TableParagraph"/>
              <w:spacing w:line="233" w:lineRule="exact"/>
              <w:ind w:left="113"/>
              <w:rPr>
                <w:sz w:val="21"/>
              </w:rPr>
            </w:pPr>
            <w:r>
              <w:rPr>
                <w:sz w:val="21"/>
              </w:rPr>
              <w:t>裁委员会仲裁；</w:t>
            </w:r>
          </w:p>
        </w:tc>
      </w:tr>
      <w:tr>
        <w:trPr>
          <w:trHeight w:val="302" w:hRule="atLeast"/>
        </w:trPr>
        <w:tc>
          <w:tcPr>
            <w:tcW w:w="634" w:type="dxa"/>
          </w:tcPr>
          <w:p>
            <w:pPr>
              <w:pStyle w:val="TableParagraph"/>
              <w:rPr>
                <w:rFonts w:ascii="Times New Roman"/>
                <w:sz w:val="20"/>
              </w:rPr>
            </w:pPr>
          </w:p>
        </w:tc>
        <w:tc>
          <w:tcPr>
            <w:tcW w:w="1854" w:type="dxa"/>
          </w:tcPr>
          <w:p>
            <w:pPr>
              <w:pStyle w:val="TableParagraph"/>
              <w:rPr>
                <w:rFonts w:ascii="Times New Roman"/>
                <w:sz w:val="20"/>
              </w:rPr>
            </w:pPr>
          </w:p>
        </w:tc>
        <w:tc>
          <w:tcPr>
            <w:tcW w:w="6751" w:type="dxa"/>
          </w:tcPr>
          <w:p>
            <w:pPr>
              <w:pStyle w:val="TableParagraph"/>
              <w:spacing w:line="251" w:lineRule="exact"/>
              <w:ind w:left="113"/>
              <w:rPr>
                <w:sz w:val="21"/>
              </w:rPr>
            </w:pPr>
            <w:r>
              <w:rPr>
                <w:sz w:val="21"/>
              </w:rPr>
              <w:t>2、因履行本合同发生的争议，由当事人协商解决，协商不成的，依法向</w:t>
            </w:r>
          </w:p>
        </w:tc>
      </w:tr>
      <w:tr>
        <w:trPr>
          <w:trHeight w:val="528" w:hRule="atLeast"/>
        </w:trPr>
        <w:tc>
          <w:tcPr>
            <w:tcW w:w="634" w:type="dxa"/>
          </w:tcPr>
          <w:p>
            <w:pPr>
              <w:pStyle w:val="TableParagraph"/>
              <w:rPr>
                <w:rFonts w:ascii="Times New Roman"/>
                <w:sz w:val="20"/>
              </w:rPr>
            </w:pPr>
          </w:p>
        </w:tc>
        <w:tc>
          <w:tcPr>
            <w:tcW w:w="1854" w:type="dxa"/>
          </w:tcPr>
          <w:p>
            <w:pPr>
              <w:pStyle w:val="TableParagraph"/>
              <w:rPr>
                <w:rFonts w:ascii="Times New Roman"/>
                <w:sz w:val="20"/>
              </w:rPr>
            </w:pPr>
          </w:p>
        </w:tc>
        <w:tc>
          <w:tcPr>
            <w:tcW w:w="6751" w:type="dxa"/>
          </w:tcPr>
          <w:p>
            <w:pPr>
              <w:pStyle w:val="TableParagraph"/>
              <w:spacing w:line="261" w:lineRule="exact"/>
              <w:ind w:left="113"/>
              <w:rPr>
                <w:sz w:val="21"/>
              </w:rPr>
            </w:pPr>
            <w:r>
              <w:rPr>
                <w:sz w:val="21"/>
              </w:rPr>
              <w:t>有管辖权的人民法院起诉。</w:t>
            </w:r>
          </w:p>
        </w:tc>
      </w:tr>
      <w:tr>
        <w:trPr>
          <w:trHeight w:val="498" w:hRule="atLeast"/>
        </w:trPr>
        <w:tc>
          <w:tcPr>
            <w:tcW w:w="634" w:type="dxa"/>
          </w:tcPr>
          <w:p>
            <w:pPr>
              <w:pStyle w:val="TableParagraph"/>
              <w:rPr>
                <w:sz w:val="17"/>
              </w:rPr>
            </w:pPr>
          </w:p>
          <w:p>
            <w:pPr>
              <w:pStyle w:val="TableParagraph"/>
              <w:spacing w:line="255" w:lineRule="exact"/>
              <w:ind w:left="50"/>
              <w:rPr>
                <w:b/>
                <w:sz w:val="21"/>
              </w:rPr>
            </w:pPr>
            <w:r>
              <w:rPr>
                <w:b/>
                <w:sz w:val="21"/>
              </w:rPr>
              <w:t>6.6</w:t>
            </w:r>
          </w:p>
        </w:tc>
        <w:tc>
          <w:tcPr>
            <w:tcW w:w="1854" w:type="dxa"/>
          </w:tcPr>
          <w:p>
            <w:pPr>
              <w:pStyle w:val="TableParagraph"/>
              <w:rPr>
                <w:sz w:val="17"/>
              </w:rPr>
            </w:pPr>
          </w:p>
          <w:p>
            <w:pPr>
              <w:pStyle w:val="TableParagraph"/>
              <w:spacing w:line="255" w:lineRule="exact"/>
              <w:ind w:left="267"/>
              <w:rPr>
                <w:b/>
                <w:sz w:val="21"/>
              </w:rPr>
            </w:pPr>
            <w:r>
              <w:rPr>
                <w:b/>
                <w:w w:val="95"/>
                <w:sz w:val="21"/>
              </w:rPr>
              <w:t>未成年人身故保</w:t>
            </w:r>
          </w:p>
        </w:tc>
        <w:tc>
          <w:tcPr>
            <w:tcW w:w="6751" w:type="dxa"/>
          </w:tcPr>
          <w:p>
            <w:pPr>
              <w:pStyle w:val="TableParagraph"/>
              <w:spacing w:before="6"/>
              <w:rPr>
                <w:sz w:val="15"/>
              </w:rPr>
            </w:pPr>
          </w:p>
          <w:p>
            <w:pPr>
              <w:pStyle w:val="TableParagraph"/>
              <w:ind w:left="113"/>
              <w:rPr>
                <w:sz w:val="21"/>
              </w:rPr>
            </w:pPr>
            <w:r>
              <w:rPr>
                <w:sz w:val="21"/>
              </w:rPr>
              <w:t>为未成年子女投保的人身保险，因被保险人身故给付的保险金总和不得</w:t>
            </w:r>
          </w:p>
        </w:tc>
      </w:tr>
    </w:tbl>
    <w:p>
      <w:pPr>
        <w:spacing w:after="0"/>
        <w:rPr>
          <w:sz w:val="21"/>
        </w:rPr>
        <w:sectPr>
          <w:pgSz w:w="11910" w:h="16840"/>
          <w:pgMar w:header="0" w:footer="998" w:top="1540" w:bottom="1180" w:left="1080" w:right="1240"/>
        </w:sectPr>
      </w:pPr>
    </w:p>
    <w:p>
      <w:pPr>
        <w:pStyle w:val="Heading5"/>
        <w:spacing w:before="44"/>
        <w:ind w:firstLine="0"/>
      </w:pPr>
      <w:r>
        <w:rPr/>
        <w:t>险金限制</w:t>
      </w:r>
    </w:p>
    <w:p>
      <w:pPr>
        <w:pStyle w:val="BodyText"/>
        <w:spacing w:line="237" w:lineRule="auto"/>
        <w:ind w:left="815" w:right="217"/>
      </w:pPr>
      <w:r>
        <w:rPr/>
        <w:br w:type="column"/>
      </w:r>
      <w:r>
        <w:rPr/>
        <w:t>超过国务院保险监督管理机构规定的限额，身故给付的保险金额总和约定也不得超过前述限额。</w:t>
      </w:r>
    </w:p>
    <w:p>
      <w:pPr>
        <w:spacing w:after="0" w:line="237" w:lineRule="auto"/>
        <w:sectPr>
          <w:type w:val="continuous"/>
          <w:pgSz w:w="11910" w:h="16840"/>
          <w:pgMar w:top="560" w:bottom="280" w:left="1080" w:right="1240"/>
          <w:cols w:num="2" w:equalWidth="0">
            <w:col w:w="1920" w:space="40"/>
            <w:col w:w="7630"/>
          </w:cols>
        </w:sectPr>
      </w:pPr>
    </w:p>
    <w:p>
      <w:pPr>
        <w:pStyle w:val="BodyText"/>
        <w:rPr>
          <w:sz w:val="20"/>
        </w:rPr>
      </w:pPr>
    </w:p>
    <w:p>
      <w:pPr>
        <w:pStyle w:val="BodyText"/>
        <w:rPr>
          <w:sz w:val="20"/>
        </w:rPr>
      </w:pPr>
    </w:p>
    <w:p>
      <w:pPr>
        <w:pStyle w:val="BodyText"/>
        <w:rPr>
          <w:sz w:val="20"/>
        </w:rPr>
      </w:pPr>
    </w:p>
    <w:p>
      <w:pPr>
        <w:pStyle w:val="Heading2"/>
        <w:numPr>
          <w:ilvl w:val="0"/>
          <w:numId w:val="4"/>
        </w:numPr>
        <w:tabs>
          <w:tab w:pos="1356" w:val="left" w:leader="none"/>
          <w:tab w:pos="1357" w:val="left" w:leader="none"/>
        </w:tabs>
        <w:spacing w:line="240" w:lineRule="auto" w:before="13" w:after="0"/>
        <w:ind w:left="1356" w:right="0" w:hanging="1132"/>
        <w:jc w:val="left"/>
      </w:pPr>
      <w:r>
        <w:rPr>
          <w:w w:val="95"/>
        </w:rPr>
        <w:t>释义</w:t>
      </w:r>
    </w:p>
    <w:p>
      <w:pPr>
        <w:pStyle w:val="BodyText"/>
        <w:spacing w:before="2"/>
        <w:rPr>
          <w:b/>
          <w:sz w:val="10"/>
        </w:rPr>
      </w:pPr>
      <w:r>
        <w:rPr/>
        <w:pict>
          <v:group style="position:absolute;margin-left:59.82pt;margin-top:8.637769pt;width:467.4pt;height:1.45pt;mso-position-horizontal-relative:page;mso-position-vertical-relative:paragraph;z-index:1360;mso-wrap-distance-left:0;mso-wrap-distance-right:0" coordorigin="1196,173" coordsize="9348,29">
            <v:line style="position:absolute" from="1196,178" to="2047,178" stroked="true" strokeweight=".48001pt" strokecolor="#000000">
              <v:stroke dashstyle="solid"/>
            </v:line>
            <v:line style="position:absolute" from="1196,197" to="2047,197" stroked="true" strokeweight=".47998pt" strokecolor="#000000">
              <v:stroke dashstyle="solid"/>
            </v:line>
            <v:rect style="position:absolute;left:2047;top:172;width:29;height:10" filled="true" fillcolor="#000000" stroked="false">
              <v:fill type="solid"/>
            </v:rect>
            <v:rect style="position:absolute;left:2047;top:191;width:29;height:10" filled="true" fillcolor="#000000" stroked="false">
              <v:fill type="solid"/>
            </v:rect>
            <v:line style="position:absolute" from="2076,178" to="3749,178" stroked="true" strokeweight=".48001pt" strokecolor="#000000">
              <v:stroke dashstyle="solid"/>
            </v:line>
            <v:line style="position:absolute" from="2076,197" to="3749,197" stroked="true" strokeweight=".47998pt" strokecolor="#000000">
              <v:stroke dashstyle="solid"/>
            </v:line>
            <v:rect style="position:absolute;left:3748;top:172;width:29;height:10" filled="true" fillcolor="#000000" stroked="false">
              <v:fill type="solid"/>
            </v:rect>
            <v:rect style="position:absolute;left:3748;top:191;width:29;height:10" filled="true" fillcolor="#000000" stroked="false">
              <v:fill type="solid"/>
            </v:rect>
            <v:line style="position:absolute" from="3778,178" to="10544,178" stroked="true" strokeweight=".48001pt" strokecolor="#000000">
              <v:stroke dashstyle="solid"/>
            </v:line>
            <v:line style="position:absolute" from="3778,197" to="10544,197" stroked="true" strokeweight=".47998pt" strokecolor="#000000">
              <v:stroke dashstyle="solid"/>
            </v:line>
            <w10:wrap type="topAndBottom"/>
          </v:group>
        </w:pict>
      </w:r>
    </w:p>
    <w:p>
      <w:pPr>
        <w:pStyle w:val="BodyText"/>
        <w:rPr>
          <w:b/>
          <w:sz w:val="9"/>
        </w:rPr>
      </w:pPr>
    </w:p>
    <w:p>
      <w:pPr>
        <w:pStyle w:val="BodyText"/>
        <w:spacing w:before="36"/>
        <w:ind w:left="224"/>
      </w:pPr>
      <w:r>
        <w:rPr/>
        <w:t>本合同及附加合同中具有特定含义的名词，除非附加合同条款另有约定，其释义如下：</w:t>
      </w:r>
    </w:p>
    <w:p>
      <w:pPr>
        <w:pStyle w:val="BodyText"/>
        <w:spacing w:before="3"/>
        <w:rPr>
          <w:sz w:val="20"/>
        </w:rPr>
      </w:pPr>
    </w:p>
    <w:p>
      <w:pPr>
        <w:pStyle w:val="ListParagraph"/>
        <w:numPr>
          <w:ilvl w:val="1"/>
          <w:numId w:val="4"/>
        </w:numPr>
        <w:tabs>
          <w:tab w:pos="1075" w:val="left" w:leader="none"/>
          <w:tab w:pos="1076" w:val="left" w:leader="none"/>
          <w:tab w:pos="2775" w:val="left" w:leader="none"/>
        </w:tabs>
        <w:spacing w:line="273" w:lineRule="auto" w:before="0" w:after="0"/>
        <w:ind w:left="2775" w:right="296" w:hanging="2551"/>
        <w:jc w:val="left"/>
        <w:rPr>
          <w:sz w:val="21"/>
        </w:rPr>
      </w:pPr>
      <w:r>
        <w:rPr>
          <w:b/>
          <w:sz w:val="21"/>
        </w:rPr>
        <w:t>保单周年日</w:t>
        <w:tab/>
      </w:r>
      <w:r>
        <w:rPr>
          <w:sz w:val="21"/>
        </w:rPr>
        <w:t>保险合同生效日以后每年的对应日为保单周年日，如果当月无对应的同一日，则以该月最后一日作为对应日。</w:t>
      </w:r>
    </w:p>
    <w:p>
      <w:pPr>
        <w:pStyle w:val="BodyText"/>
        <w:spacing w:before="11"/>
        <w:rPr>
          <w:sz w:val="17"/>
        </w:rPr>
      </w:pPr>
    </w:p>
    <w:p>
      <w:pPr>
        <w:pStyle w:val="ListParagraph"/>
        <w:numPr>
          <w:ilvl w:val="1"/>
          <w:numId w:val="4"/>
        </w:numPr>
        <w:tabs>
          <w:tab w:pos="1074" w:val="left" w:leader="none"/>
          <w:tab w:pos="1075" w:val="left" w:leader="none"/>
          <w:tab w:pos="2775" w:val="left" w:leader="none"/>
        </w:tabs>
        <w:spacing w:line="273" w:lineRule="auto" w:before="1" w:after="0"/>
        <w:ind w:left="2775" w:right="296" w:hanging="2551"/>
        <w:jc w:val="left"/>
        <w:rPr>
          <w:sz w:val="21"/>
        </w:rPr>
      </w:pPr>
      <w:r>
        <w:rPr>
          <w:b/>
          <w:sz w:val="21"/>
        </w:rPr>
        <w:t>保单年度</w:t>
        <w:tab/>
      </w:r>
      <w:r>
        <w:rPr>
          <w:sz w:val="21"/>
        </w:rPr>
        <w:t>指在本合同有效期内，保险合同生效日起或保单周年日起至下一个保单周年日间的一年期间。</w:t>
      </w:r>
    </w:p>
    <w:p>
      <w:pPr>
        <w:pStyle w:val="BodyText"/>
        <w:spacing w:before="12"/>
        <w:rPr>
          <w:sz w:val="17"/>
        </w:rPr>
      </w:pPr>
    </w:p>
    <w:p>
      <w:pPr>
        <w:pStyle w:val="ListParagraph"/>
        <w:numPr>
          <w:ilvl w:val="1"/>
          <w:numId w:val="4"/>
        </w:numPr>
        <w:tabs>
          <w:tab w:pos="1075" w:val="left" w:leader="none"/>
          <w:tab w:pos="1076" w:val="left" w:leader="none"/>
          <w:tab w:pos="2775" w:val="left" w:leader="none"/>
        </w:tabs>
        <w:spacing w:line="220" w:lineRule="auto" w:before="0" w:after="0"/>
        <w:ind w:left="2775" w:right="122" w:hanging="2551"/>
        <w:jc w:val="left"/>
        <w:rPr>
          <w:sz w:val="21"/>
        </w:rPr>
      </w:pPr>
      <w:r>
        <w:rPr>
          <w:b/>
          <w:position w:val="-1"/>
          <w:sz w:val="21"/>
        </w:rPr>
        <w:t>现金价值</w:t>
        <w:tab/>
      </w:r>
      <w:r>
        <w:rPr>
          <w:sz w:val="21"/>
        </w:rPr>
        <w:t>指保险单所具有的价值</w:t>
      </w:r>
      <w:r>
        <w:rPr>
          <w:spacing w:val="-18"/>
          <w:sz w:val="21"/>
        </w:rPr>
        <w:t>，</w:t>
      </w:r>
      <w:r>
        <w:rPr>
          <w:sz w:val="21"/>
        </w:rPr>
        <w:t>通常体现为解除合同时</w:t>
      </w:r>
      <w:r>
        <w:rPr>
          <w:spacing w:val="-18"/>
          <w:sz w:val="21"/>
        </w:rPr>
        <w:t>，</w:t>
      </w:r>
      <w:r>
        <w:rPr>
          <w:sz w:val="21"/>
        </w:rPr>
        <w:t>根据精算原理计算的，由本公司退还的那部分金额。</w:t>
      </w:r>
    </w:p>
    <w:p>
      <w:pPr>
        <w:pStyle w:val="BodyText"/>
        <w:spacing w:before="8"/>
        <w:rPr>
          <w:sz w:val="18"/>
        </w:rPr>
      </w:pPr>
    </w:p>
    <w:p>
      <w:pPr>
        <w:pStyle w:val="ListParagraph"/>
        <w:numPr>
          <w:ilvl w:val="1"/>
          <w:numId w:val="4"/>
        </w:numPr>
        <w:tabs>
          <w:tab w:pos="1075" w:val="left" w:leader="none"/>
          <w:tab w:pos="1076" w:val="left" w:leader="none"/>
          <w:tab w:pos="2775" w:val="left" w:leader="none"/>
        </w:tabs>
        <w:spacing w:line="240" w:lineRule="auto" w:before="1" w:after="0"/>
        <w:ind w:left="1075" w:right="0" w:hanging="851"/>
        <w:jc w:val="left"/>
        <w:rPr>
          <w:sz w:val="21"/>
        </w:rPr>
      </w:pPr>
      <w:r>
        <w:rPr>
          <w:b/>
          <w:sz w:val="21"/>
        </w:rPr>
        <w:t>周岁</w:t>
        <w:tab/>
      </w:r>
      <w:r>
        <w:rPr>
          <w:sz w:val="21"/>
        </w:rPr>
        <w:t>以法定身份证明文件中记载的出生日期为计算基础。</w:t>
      </w:r>
    </w:p>
    <w:p>
      <w:pPr>
        <w:pStyle w:val="BodyText"/>
        <w:spacing w:before="2"/>
        <w:rPr>
          <w:sz w:val="20"/>
        </w:rPr>
      </w:pPr>
    </w:p>
    <w:p>
      <w:pPr>
        <w:pStyle w:val="ListParagraph"/>
        <w:numPr>
          <w:ilvl w:val="1"/>
          <w:numId w:val="4"/>
        </w:numPr>
        <w:tabs>
          <w:tab w:pos="1076" w:val="left" w:leader="none"/>
        </w:tabs>
        <w:spacing w:line="273" w:lineRule="auto" w:before="0" w:after="0"/>
        <w:ind w:left="2775" w:right="296" w:hanging="2551"/>
        <w:jc w:val="both"/>
        <w:rPr>
          <w:sz w:val="21"/>
        </w:rPr>
      </w:pPr>
      <w:r>
        <w:rPr>
          <w:b/>
          <w:sz w:val="21"/>
        </w:rPr>
        <w:t>生命末期       </w:t>
      </w:r>
      <w:r>
        <w:rPr>
          <w:sz w:val="21"/>
        </w:rPr>
        <w:t>指被保险人经我们指定或认可的医疗机构及医师依据医学及临床经验认定其平均存活期在六个月以下者。但若被保险人之医师与我们指定或认可的医师认定不一致时，我们有权另请具有资质的专科医师认定。</w:t>
      </w:r>
    </w:p>
    <w:p>
      <w:pPr>
        <w:pStyle w:val="BodyText"/>
        <w:spacing w:before="11"/>
        <w:rPr>
          <w:sz w:val="17"/>
        </w:rPr>
      </w:pPr>
    </w:p>
    <w:p>
      <w:pPr>
        <w:pStyle w:val="ListParagraph"/>
        <w:numPr>
          <w:ilvl w:val="1"/>
          <w:numId w:val="4"/>
        </w:numPr>
        <w:tabs>
          <w:tab w:pos="1075" w:val="left" w:leader="none"/>
          <w:tab w:pos="1076" w:val="left" w:leader="none"/>
          <w:tab w:pos="2775" w:val="left" w:leader="none"/>
        </w:tabs>
        <w:spacing w:line="240" w:lineRule="auto" w:before="0" w:after="0"/>
        <w:ind w:left="1075" w:right="0" w:hanging="851"/>
        <w:jc w:val="left"/>
        <w:rPr>
          <w:sz w:val="21"/>
        </w:rPr>
      </w:pPr>
      <w:r>
        <w:rPr>
          <w:b/>
          <w:sz w:val="21"/>
        </w:rPr>
        <w:t>意外伤害事故</w:t>
        <w:tab/>
      </w:r>
      <w:r>
        <w:rPr>
          <w:sz w:val="21"/>
        </w:rPr>
        <w:t>指外来的、突发的、非本意的、非疾病的客观事件。</w:t>
      </w:r>
    </w:p>
    <w:p>
      <w:pPr>
        <w:pStyle w:val="BodyText"/>
        <w:spacing w:before="8"/>
        <w:rPr>
          <w:sz w:val="26"/>
        </w:rPr>
      </w:pPr>
    </w:p>
    <w:p>
      <w:pPr>
        <w:pStyle w:val="ListParagraph"/>
        <w:numPr>
          <w:ilvl w:val="1"/>
          <w:numId w:val="4"/>
        </w:numPr>
        <w:tabs>
          <w:tab w:pos="1075" w:val="left" w:leader="none"/>
          <w:tab w:pos="1076" w:val="left" w:leader="none"/>
          <w:tab w:pos="2746" w:val="left" w:leader="none"/>
        </w:tabs>
        <w:spacing w:line="273" w:lineRule="auto" w:before="0" w:after="0"/>
        <w:ind w:left="2746" w:right="121" w:hanging="2522"/>
        <w:jc w:val="left"/>
        <w:rPr>
          <w:sz w:val="21"/>
        </w:rPr>
      </w:pPr>
      <w:r>
        <w:rPr>
          <w:b/>
          <w:sz w:val="21"/>
        </w:rPr>
        <w:t>毒品</w:t>
        <w:tab/>
      </w:r>
      <w:r>
        <w:rPr>
          <w:spacing w:val="-1"/>
          <w:sz w:val="21"/>
        </w:rPr>
        <w:t>指中</w:t>
      </w:r>
      <w:r>
        <w:rPr>
          <w:sz w:val="21"/>
        </w:rPr>
        <w:t>华人民共和国刑法规定的鸦片</w:t>
      </w:r>
      <w:r>
        <w:rPr>
          <w:spacing w:val="-28"/>
          <w:sz w:val="21"/>
        </w:rPr>
        <w:t>、</w:t>
      </w:r>
      <w:r>
        <w:rPr>
          <w:sz w:val="21"/>
        </w:rPr>
        <w:t>海洛因</w:t>
      </w:r>
      <w:r>
        <w:rPr>
          <w:spacing w:val="-28"/>
          <w:sz w:val="21"/>
        </w:rPr>
        <w:t>、</w:t>
      </w:r>
      <w:r>
        <w:rPr>
          <w:sz w:val="21"/>
        </w:rPr>
        <w:t>甲基苯丙</w:t>
      </w:r>
      <w:r>
        <w:rPr>
          <w:spacing w:val="-28"/>
          <w:sz w:val="21"/>
        </w:rPr>
        <w:t>胺</w:t>
      </w:r>
      <w:r>
        <w:rPr>
          <w:sz w:val="21"/>
        </w:rPr>
        <w:t>（冰毒</w:t>
      </w:r>
      <w:r>
        <w:rPr>
          <w:spacing w:val="-105"/>
          <w:sz w:val="21"/>
        </w:rPr>
        <w:t>）</w:t>
      </w:r>
      <w:r>
        <w:rPr>
          <w:spacing w:val="-28"/>
          <w:sz w:val="21"/>
        </w:rPr>
        <w:t>、</w:t>
      </w:r>
      <w:r>
        <w:rPr>
          <w:sz w:val="21"/>
        </w:rPr>
        <w:t>吗啡、大麻、可卡因以及国家规定管制的其他能够使人形成瘾癖的麻醉药品和精神药品，但不包括由医生开具并遵医嘱使用的用于治疗疾病但含有毒品成分的处方药品。</w:t>
      </w:r>
    </w:p>
    <w:p>
      <w:pPr>
        <w:spacing w:after="0" w:line="273" w:lineRule="auto"/>
        <w:jc w:val="left"/>
        <w:rPr>
          <w:sz w:val="21"/>
        </w:rPr>
        <w:sectPr>
          <w:type w:val="continuous"/>
          <w:pgSz w:w="11910" w:h="16840"/>
          <w:pgMar w:top="560" w:bottom="280" w:left="1080" w:right="1240"/>
        </w:sectPr>
      </w:pPr>
    </w:p>
    <w:p>
      <w:pPr>
        <w:pStyle w:val="ListParagraph"/>
        <w:numPr>
          <w:ilvl w:val="1"/>
          <w:numId w:val="4"/>
        </w:numPr>
        <w:tabs>
          <w:tab w:pos="955" w:val="left" w:leader="none"/>
          <w:tab w:pos="956" w:val="left" w:leader="none"/>
          <w:tab w:pos="2626" w:val="left" w:leader="none"/>
        </w:tabs>
        <w:spacing w:line="271" w:lineRule="auto" w:before="22" w:after="0"/>
        <w:ind w:left="2626" w:right="102" w:hanging="2522"/>
        <w:jc w:val="left"/>
        <w:rPr>
          <w:sz w:val="21"/>
        </w:rPr>
      </w:pPr>
      <w:r>
        <w:rPr>
          <w:b/>
          <w:sz w:val="21"/>
        </w:rPr>
        <w:t>酒后驾驶</w:t>
        <w:tab/>
      </w:r>
      <w:r>
        <w:rPr>
          <w:sz w:val="21"/>
        </w:rPr>
        <w:t>指经检测或鉴定，发生事故时车辆驾驶人员每百毫升血液中的酒精含量达到或超过一定的标准</w:t>
      </w:r>
      <w:r>
        <w:rPr>
          <w:spacing w:val="-4"/>
          <w:sz w:val="21"/>
        </w:rPr>
        <w:t>，</w:t>
      </w:r>
      <w:r>
        <w:rPr>
          <w:sz w:val="21"/>
        </w:rPr>
        <w:t>公安机关交通管理部门依</w:t>
      </w:r>
      <w:r>
        <w:rPr>
          <w:spacing w:val="-3"/>
          <w:sz w:val="21"/>
        </w:rPr>
        <w:t>据</w:t>
      </w:r>
      <w:r>
        <w:rPr>
          <w:sz w:val="21"/>
        </w:rPr>
        <w:t>《道路交通安全法》的规定认定为饮酒后驾驶或醉酒后驾驶。</w:t>
      </w:r>
    </w:p>
    <w:p>
      <w:pPr>
        <w:pStyle w:val="BodyText"/>
        <w:spacing w:before="4"/>
      </w:pPr>
    </w:p>
    <w:p>
      <w:pPr>
        <w:spacing w:after="0"/>
        <w:sectPr>
          <w:pgSz w:w="11910" w:h="16840"/>
          <w:pgMar w:header="0" w:footer="998" w:top="1460" w:bottom="1180" w:left="1200" w:right="1260"/>
        </w:sectPr>
      </w:pPr>
    </w:p>
    <w:p>
      <w:pPr>
        <w:pStyle w:val="Heading5"/>
        <w:numPr>
          <w:ilvl w:val="1"/>
          <w:numId w:val="4"/>
        </w:numPr>
        <w:tabs>
          <w:tab w:pos="955" w:val="left" w:leader="none"/>
          <w:tab w:pos="956" w:val="left" w:leader="none"/>
        </w:tabs>
        <w:spacing w:line="273" w:lineRule="auto" w:before="42" w:after="0"/>
        <w:ind w:left="955" w:right="0" w:hanging="851"/>
        <w:jc w:val="left"/>
      </w:pPr>
      <w:r>
        <w:rPr>
          <w:w w:val="95"/>
        </w:rPr>
        <w:t>无合法有效驾</w:t>
      </w:r>
      <w:r>
        <w:rPr/>
        <w:t>驶证驾驶</w:t>
      </w:r>
    </w:p>
    <w:p>
      <w:pPr>
        <w:pStyle w:val="BodyText"/>
        <w:spacing w:line="256" w:lineRule="auto" w:before="42"/>
        <w:ind w:left="104" w:right="305" w:firstLine="2"/>
        <w:jc w:val="both"/>
      </w:pPr>
      <w:r>
        <w:rPr/>
        <w:br w:type="column"/>
      </w:r>
      <w:r>
        <w:rPr>
          <w:spacing w:val="-14"/>
        </w:rPr>
        <w:t>指下列情形之一：</w:t>
      </w:r>
      <w:r>
        <w:rPr/>
        <w:t>（</w:t>
      </w:r>
      <w:r>
        <w:rPr>
          <w:rFonts w:ascii="Times New Roman" w:eastAsia="Times New Roman"/>
        </w:rPr>
        <w:t>1</w:t>
      </w:r>
      <w:r>
        <w:rPr>
          <w:spacing w:val="-2"/>
        </w:rPr>
        <w:t>）</w:t>
      </w:r>
      <w:r>
        <w:rPr>
          <w:spacing w:val="-12"/>
        </w:rPr>
        <w:t>没有取得驾驶资格；</w:t>
      </w:r>
      <w:r>
        <w:rPr/>
        <w:t>（</w:t>
      </w:r>
      <w:r>
        <w:rPr>
          <w:rFonts w:ascii="Times New Roman" w:eastAsia="Times New Roman"/>
          <w:spacing w:val="-1"/>
        </w:rPr>
        <w:t>2</w:t>
      </w:r>
      <w:r>
        <w:rPr/>
        <w:t>）驾驶与驾驶证准驾车型</w:t>
      </w:r>
      <w:r>
        <w:rPr>
          <w:spacing w:val="-14"/>
        </w:rPr>
        <w:t>不相符合的车辆；</w:t>
      </w:r>
      <w:r>
        <w:rPr/>
        <w:t>（</w:t>
      </w:r>
      <w:r>
        <w:rPr>
          <w:rFonts w:ascii="Times New Roman" w:eastAsia="Times New Roman"/>
        </w:rPr>
        <w:t>3</w:t>
      </w:r>
      <w:r>
        <w:rPr>
          <w:spacing w:val="-2"/>
        </w:rPr>
        <w:t>）</w:t>
      </w:r>
      <w:r>
        <w:rPr>
          <w:spacing w:val="-9"/>
        </w:rPr>
        <w:t>持审验不合格的驾驶证驾驶；</w:t>
      </w:r>
      <w:r>
        <w:rPr/>
        <w:t>（</w:t>
      </w:r>
      <w:r>
        <w:rPr>
          <w:rFonts w:ascii="Times New Roman" w:eastAsia="Times New Roman"/>
        </w:rPr>
        <w:t>4</w:t>
      </w:r>
      <w:r>
        <w:rPr>
          <w:spacing w:val="-2"/>
        </w:rPr>
        <w:t>）</w:t>
      </w:r>
      <w:r>
        <w:rPr/>
        <w:t>持学习驾驶证学习驾车时，无教练员随车指导，或不按指定时间、路线学习驾车。</w:t>
      </w:r>
    </w:p>
    <w:p>
      <w:pPr>
        <w:spacing w:after="0" w:line="256" w:lineRule="auto"/>
        <w:jc w:val="both"/>
        <w:sectPr>
          <w:type w:val="continuous"/>
          <w:pgSz w:w="11910" w:h="16840"/>
          <w:pgMar w:top="560" w:bottom="280" w:left="1200" w:right="1260"/>
          <w:cols w:num="2" w:equalWidth="0">
            <w:col w:w="2219" w:space="301"/>
            <w:col w:w="6930"/>
          </w:cols>
        </w:sectPr>
      </w:pPr>
    </w:p>
    <w:p>
      <w:pPr>
        <w:pStyle w:val="BodyText"/>
        <w:spacing w:before="11"/>
        <w:rPr>
          <w:sz w:val="22"/>
        </w:rPr>
      </w:pPr>
    </w:p>
    <w:p>
      <w:pPr>
        <w:pStyle w:val="ListParagraph"/>
        <w:numPr>
          <w:ilvl w:val="1"/>
          <w:numId w:val="4"/>
        </w:numPr>
        <w:tabs>
          <w:tab w:pos="955" w:val="left" w:leader="none"/>
          <w:tab w:pos="956" w:val="left" w:leader="none"/>
          <w:tab w:pos="2626" w:val="left" w:leader="none"/>
        </w:tabs>
        <w:spacing w:line="273" w:lineRule="auto" w:before="35" w:after="0"/>
        <w:ind w:left="2626" w:right="305" w:hanging="2522"/>
        <w:jc w:val="left"/>
        <w:rPr>
          <w:sz w:val="21"/>
        </w:rPr>
      </w:pPr>
      <w:r>
        <w:rPr>
          <w:b/>
          <w:w w:val="99"/>
          <w:sz w:val="21"/>
        </w:rPr>
        <w:t>无有效行驶证</w:t>
      </w:r>
      <w:r>
        <w:rPr>
          <w:b/>
          <w:sz w:val="21"/>
        </w:rPr>
        <w:tab/>
      </w:r>
      <w:r>
        <w:rPr>
          <w:sz w:val="21"/>
        </w:rPr>
        <w:t>指下列情形之一</w:t>
      </w:r>
      <w:r>
        <w:rPr>
          <w:spacing w:val="-105"/>
          <w:sz w:val="21"/>
        </w:rPr>
        <w:t>：</w:t>
      </w:r>
      <w:r>
        <w:rPr>
          <w:sz w:val="21"/>
        </w:rPr>
        <w:t>（1</w:t>
      </w:r>
      <w:r>
        <w:rPr>
          <w:spacing w:val="-2"/>
          <w:sz w:val="21"/>
        </w:rPr>
        <w:t>）</w:t>
      </w:r>
      <w:r>
        <w:rPr>
          <w:sz w:val="21"/>
        </w:rPr>
        <w:t>机动车被依法注销登记的； （2</w:t>
      </w:r>
      <w:r>
        <w:rPr>
          <w:spacing w:val="-2"/>
          <w:sz w:val="21"/>
        </w:rPr>
        <w:t>）</w:t>
      </w:r>
      <w:r>
        <w:rPr>
          <w:sz w:val="21"/>
        </w:rPr>
        <w:t>未依法按时进行或通过机动车安全技术检验。</w:t>
      </w:r>
    </w:p>
    <w:p>
      <w:pPr>
        <w:pStyle w:val="BodyText"/>
        <w:spacing w:before="5"/>
        <w:rPr>
          <w:sz w:val="24"/>
        </w:rPr>
      </w:pPr>
    </w:p>
    <w:p>
      <w:pPr>
        <w:pStyle w:val="ListParagraph"/>
        <w:numPr>
          <w:ilvl w:val="1"/>
          <w:numId w:val="4"/>
        </w:numPr>
        <w:tabs>
          <w:tab w:pos="955" w:val="left" w:leader="none"/>
          <w:tab w:pos="956" w:val="left" w:leader="none"/>
          <w:tab w:pos="2655" w:val="left" w:leader="none"/>
        </w:tabs>
        <w:spacing w:line="273" w:lineRule="auto" w:before="0" w:after="0"/>
        <w:ind w:left="2655" w:right="102" w:hanging="2551"/>
        <w:jc w:val="left"/>
        <w:rPr>
          <w:sz w:val="21"/>
        </w:rPr>
      </w:pPr>
      <w:r>
        <w:rPr>
          <w:b/>
          <w:sz w:val="21"/>
        </w:rPr>
        <w:t>恐怖活动</w:t>
        <w:tab/>
      </w:r>
      <w:r>
        <w:rPr>
          <w:sz w:val="21"/>
        </w:rPr>
        <w:t>是指任何人或群体单独地或有组织地进行的为达到政治、宗教、意识形态等目的或以影响任何政府或公众、或以恐吓公众为目的的活动，包括但不限于使用武力</w:t>
      </w:r>
      <w:r>
        <w:rPr>
          <w:spacing w:val="-12"/>
          <w:sz w:val="21"/>
        </w:rPr>
        <w:t>、</w:t>
      </w:r>
      <w:r>
        <w:rPr>
          <w:sz w:val="21"/>
        </w:rPr>
        <w:t>暴力</w:t>
      </w:r>
      <w:r>
        <w:rPr>
          <w:spacing w:val="-12"/>
          <w:sz w:val="21"/>
        </w:rPr>
        <w:t>、</w:t>
      </w:r>
      <w:r>
        <w:rPr>
          <w:sz w:val="21"/>
        </w:rPr>
        <w:t>原子能/生物/化学武器</w:t>
      </w:r>
      <w:r>
        <w:rPr>
          <w:spacing w:val="-12"/>
          <w:sz w:val="21"/>
        </w:rPr>
        <w:t>、</w:t>
      </w:r>
      <w:r>
        <w:rPr>
          <w:sz w:val="21"/>
        </w:rPr>
        <w:t>大规模杀伤性武器、对交通和通信系统等的基础设施或内容进行破坏、或其他任何手段造成的或试图造成的任何性质的伤害或威胁。</w:t>
      </w:r>
    </w:p>
    <w:p>
      <w:pPr>
        <w:pStyle w:val="BodyText"/>
        <w:spacing w:before="12"/>
        <w:rPr>
          <w:sz w:val="17"/>
        </w:rPr>
      </w:pPr>
    </w:p>
    <w:p>
      <w:pPr>
        <w:pStyle w:val="ListParagraph"/>
        <w:numPr>
          <w:ilvl w:val="1"/>
          <w:numId w:val="4"/>
        </w:numPr>
        <w:tabs>
          <w:tab w:pos="955" w:val="left" w:leader="none"/>
          <w:tab w:pos="956" w:val="left" w:leader="none"/>
          <w:tab w:pos="2655" w:val="left" w:leader="none"/>
        </w:tabs>
        <w:spacing w:line="220" w:lineRule="auto" w:before="1" w:after="0"/>
        <w:ind w:left="2655" w:right="102" w:hanging="2551"/>
        <w:jc w:val="left"/>
        <w:rPr>
          <w:sz w:val="21"/>
        </w:rPr>
      </w:pPr>
      <w:r>
        <w:rPr>
          <w:b/>
          <w:position w:val="-1"/>
          <w:sz w:val="21"/>
        </w:rPr>
        <w:t>利率</w:t>
        <w:tab/>
      </w:r>
      <w:r>
        <w:rPr>
          <w:sz w:val="21"/>
        </w:rPr>
        <w:t>借款利率、欠缴保险费利率由我们参照人民银行最近一次规定的六个月期人民币贷款利率在每年的</w:t>
      </w:r>
      <w:r>
        <w:rPr>
          <w:spacing w:val="-57"/>
          <w:sz w:val="21"/>
        </w:rPr>
        <w:t> </w:t>
      </w:r>
      <w:r>
        <w:rPr>
          <w:sz w:val="21"/>
        </w:rPr>
        <w:t>1</w:t>
      </w:r>
      <w:r>
        <w:rPr>
          <w:spacing w:val="-57"/>
          <w:sz w:val="21"/>
        </w:rPr>
        <w:t> </w:t>
      </w:r>
      <w:r>
        <w:rPr>
          <w:sz w:val="21"/>
        </w:rPr>
        <w:t>月</w:t>
      </w:r>
      <w:r>
        <w:rPr>
          <w:spacing w:val="-57"/>
          <w:sz w:val="21"/>
        </w:rPr>
        <w:t> </w:t>
      </w:r>
      <w:r>
        <w:rPr>
          <w:sz w:val="21"/>
        </w:rPr>
        <w:t>1</w:t>
      </w:r>
      <w:r>
        <w:rPr>
          <w:spacing w:val="-58"/>
          <w:sz w:val="21"/>
        </w:rPr>
        <w:t> </w:t>
      </w:r>
      <w:r>
        <w:rPr>
          <w:sz w:val="21"/>
        </w:rPr>
        <w:t>日和</w:t>
      </w:r>
      <w:r>
        <w:rPr>
          <w:spacing w:val="-57"/>
          <w:sz w:val="21"/>
        </w:rPr>
        <w:t> </w:t>
      </w:r>
      <w:r>
        <w:rPr>
          <w:sz w:val="21"/>
        </w:rPr>
        <w:t>7</w:t>
      </w:r>
      <w:r>
        <w:rPr>
          <w:spacing w:val="-57"/>
          <w:sz w:val="21"/>
        </w:rPr>
        <w:t> </w:t>
      </w:r>
      <w:r>
        <w:rPr>
          <w:sz w:val="21"/>
        </w:rPr>
        <w:t>月</w:t>
      </w:r>
      <w:r>
        <w:rPr>
          <w:spacing w:val="-57"/>
          <w:sz w:val="21"/>
        </w:rPr>
        <w:t> </w:t>
      </w:r>
      <w:r>
        <w:rPr>
          <w:sz w:val="21"/>
        </w:rPr>
        <w:t>1</w:t>
      </w:r>
      <w:r>
        <w:rPr>
          <w:spacing w:val="-58"/>
          <w:sz w:val="21"/>
        </w:rPr>
        <w:t> </w:t>
      </w:r>
      <w:r>
        <w:rPr>
          <w:sz w:val="21"/>
        </w:rPr>
        <w:t>日确定并以适当方式公布。</w:t>
      </w:r>
    </w:p>
    <w:p>
      <w:pPr>
        <w:pStyle w:val="BodyText"/>
        <w:spacing w:before="9"/>
        <w:rPr>
          <w:sz w:val="18"/>
        </w:rPr>
      </w:pPr>
    </w:p>
    <w:p>
      <w:pPr>
        <w:pStyle w:val="ListParagraph"/>
        <w:numPr>
          <w:ilvl w:val="1"/>
          <w:numId w:val="4"/>
        </w:numPr>
        <w:tabs>
          <w:tab w:pos="955" w:val="left" w:leader="none"/>
          <w:tab w:pos="956" w:val="left" w:leader="none"/>
          <w:tab w:pos="2655" w:val="left" w:leader="none"/>
        </w:tabs>
        <w:spacing w:line="273" w:lineRule="auto" w:before="0" w:after="0"/>
        <w:ind w:left="2655" w:right="276" w:hanging="2551"/>
        <w:jc w:val="left"/>
        <w:rPr>
          <w:sz w:val="21"/>
        </w:rPr>
      </w:pPr>
      <w:r>
        <w:rPr>
          <w:b/>
          <w:sz w:val="21"/>
        </w:rPr>
        <w:t>危险保费</w:t>
        <w:tab/>
      </w:r>
      <w:r>
        <w:rPr>
          <w:sz w:val="21"/>
        </w:rPr>
        <w:t>合同效力中止期间我们因不承担保险责任而应该返还给投保人的部分保险费。</w:t>
      </w:r>
    </w:p>
    <w:p>
      <w:pPr>
        <w:spacing w:after="0" w:line="273" w:lineRule="auto"/>
        <w:jc w:val="left"/>
        <w:rPr>
          <w:sz w:val="21"/>
        </w:rPr>
        <w:sectPr>
          <w:type w:val="continuous"/>
          <w:pgSz w:w="11910" w:h="16840"/>
          <w:pgMar w:top="560" w:bottom="280" w:left="1200" w:right="1260"/>
        </w:sectPr>
      </w:pPr>
    </w:p>
    <w:p>
      <w:pPr>
        <w:pStyle w:val="Heading1"/>
        <w:spacing w:line="484" w:lineRule="exact"/>
        <w:ind w:left="1806"/>
      </w:pPr>
      <w:r>
        <w:rPr/>
        <w:t>中荷附加珍爱一生定期重大疾病保险合同条款</w:t>
      </w:r>
    </w:p>
    <w:p>
      <w:pPr>
        <w:pStyle w:val="BodyText"/>
        <w:rPr>
          <w:rFonts w:ascii="微软雅黑"/>
          <w:b/>
          <w:sz w:val="20"/>
        </w:rPr>
      </w:pPr>
    </w:p>
    <w:p>
      <w:pPr>
        <w:pStyle w:val="BodyText"/>
        <w:spacing w:before="16"/>
        <w:rPr>
          <w:rFonts w:ascii="微软雅黑"/>
          <w:b/>
          <w:sz w:val="19"/>
        </w:rPr>
      </w:pPr>
      <w:r>
        <w:rPr/>
        <w:pict>
          <v:shape style="position:absolute;margin-left:233.220001pt;margin-top:19.741669pt;width:131.25pt;height:39pt;mso-position-horizontal-relative:page;mso-position-vertical-relative:paragraph;z-index:1384;mso-wrap-distance-left:0;mso-wrap-distance-right:0" type="#_x0000_t202" filled="false" stroked="true" strokeweight="1.02pt" strokecolor="#000000">
            <v:textbox inset="0,0,0,0">
              <w:txbxContent>
                <w:p>
                  <w:pPr>
                    <w:spacing w:before="47"/>
                    <w:ind w:left="421" w:right="0" w:firstLine="0"/>
                    <w:jc w:val="left"/>
                    <w:rPr>
                      <w:rFonts w:ascii="微软雅黑" w:eastAsia="微软雅黑" w:hint="eastAsia"/>
                      <w:b/>
                      <w:sz w:val="32"/>
                    </w:rPr>
                  </w:pPr>
                  <w:r>
                    <w:rPr>
                      <w:rFonts w:ascii="微软雅黑" w:eastAsia="微软雅黑" w:hint="eastAsia"/>
                      <w:b/>
                      <w:sz w:val="32"/>
                    </w:rPr>
                    <w:t>阅  读  提 示</w:t>
                  </w:r>
                </w:p>
              </w:txbxContent>
            </v:textbox>
            <v:stroke linestyle="thinThin" dashstyle="solid"/>
            <w10:wrap type="topAndBottom"/>
          </v:shape>
        </w:pict>
      </w:r>
    </w:p>
    <w:p>
      <w:pPr>
        <w:pStyle w:val="BodyText"/>
        <w:spacing w:before="15"/>
        <w:rPr>
          <w:rFonts w:ascii="微软雅黑"/>
          <w:b/>
          <w:sz w:val="27"/>
        </w:rPr>
      </w:pPr>
    </w:p>
    <w:p>
      <w:pPr>
        <w:pStyle w:val="Heading5"/>
        <w:spacing w:before="0"/>
        <w:ind w:left="395" w:right="301" w:firstLine="0"/>
        <w:jc w:val="center"/>
      </w:pPr>
      <w:r>
        <w:rPr>
          <w:w w:val="95"/>
        </w:rPr>
        <w:t>本阅读提示是为了帮助投保人、被保险人和受益人更好理解条款，对本合同内容的解释以条款正文为准。</w:t>
      </w:r>
    </w:p>
    <w:p>
      <w:pPr>
        <w:pStyle w:val="BodyText"/>
        <w:spacing w:before="10"/>
        <w:rPr>
          <w:b/>
          <w:sz w:val="24"/>
        </w:rPr>
      </w:pPr>
    </w:p>
    <w:p>
      <w:pPr>
        <w:spacing w:before="0"/>
        <w:ind w:left="2611" w:right="0" w:firstLine="0"/>
        <w:jc w:val="left"/>
        <w:rPr>
          <w:b/>
          <w:sz w:val="24"/>
        </w:rPr>
      </w:pPr>
      <w:r>
        <w:rPr>
          <w:b/>
          <w:w w:val="95"/>
          <w:sz w:val="24"/>
        </w:rPr>
        <w:t>投保人、被保险人、受益人应当特别注意的事项</w:t>
      </w:r>
    </w:p>
    <w:p>
      <w:pPr>
        <w:pStyle w:val="BodyText"/>
        <w:tabs>
          <w:tab w:pos="9442" w:val="right" w:leader="dot"/>
        </w:tabs>
        <w:spacing w:before="334"/>
        <w:ind w:left="310"/>
      </w:pPr>
      <w:r>
        <w:rPr/>
        <w:t>被保险人可以享受本保险提供的保障利益.</w:t>
        <w:tab/>
        <w:t>2.2</w:t>
      </w:r>
    </w:p>
    <w:p>
      <w:pPr>
        <w:pStyle w:val="BodyText"/>
        <w:tabs>
          <w:tab w:pos="9442" w:val="right" w:leader="dot"/>
        </w:tabs>
        <w:spacing w:before="37"/>
        <w:ind w:left="309"/>
      </w:pPr>
      <w:r>
        <w:rPr/>
        <w:t>在某些情况下，我们不承担保险责任.</w:t>
        <w:tab/>
        <w:t>2.3</w:t>
      </w:r>
    </w:p>
    <w:p>
      <w:pPr>
        <w:pStyle w:val="BodyText"/>
        <w:tabs>
          <w:tab w:pos="9337" w:val="right" w:leader="dot"/>
        </w:tabs>
        <w:spacing w:before="37"/>
        <w:ind w:left="309"/>
      </w:pPr>
      <w:r>
        <w:rPr/>
        <w:t>我们对本附加合同中的疾病有特定的解释和认定标准.</w:t>
        <w:tab/>
        <w:t>3</w:t>
      </w:r>
    </w:p>
    <w:p>
      <w:pPr>
        <w:pStyle w:val="BodyText"/>
        <w:tabs>
          <w:tab w:pos="9440" w:val="right" w:leader="dot"/>
        </w:tabs>
        <w:spacing w:before="37"/>
        <w:ind w:left="309"/>
      </w:pPr>
      <w:r>
        <w:rPr/>
        <w:t>在某些情况下，本合同效力终止.</w:t>
        <w:tab/>
        <w:t>7.3</w:t>
      </w:r>
    </w:p>
    <w:p>
      <w:pPr>
        <w:pStyle w:val="BodyText"/>
        <w:spacing w:before="2"/>
        <w:rPr>
          <w:sz w:val="29"/>
        </w:rPr>
      </w:pPr>
      <w:r>
        <w:rPr/>
        <w:pict>
          <v:group style="position:absolute;margin-left:236.940002pt;margin-top:21.04810pt;width:123.8pt;height:42pt;mso-position-horizontal-relative:page;mso-position-vertical-relative:paragraph;z-index:1432;mso-wrap-distance-left:0;mso-wrap-distance-right:0" coordorigin="4739,421" coordsize="2476,840">
            <v:line style="position:absolute" from="4739,1252" to="7214,1252" stroked="true" strokeweight=".9pt" strokecolor="#000000">
              <v:stroke dashstyle="solid"/>
            </v:line>
            <v:line style="position:absolute" from="4749,441" to="4749,1243" stroked="true" strokeweight="1.02pt" strokecolor="#000000">
              <v:stroke dashstyle="solid"/>
            </v:line>
            <v:line style="position:absolute" from="4739,431" to="7214,431" stroked="true" strokeweight="1pt" strokecolor="#000000">
              <v:stroke dashstyle="solid"/>
            </v:line>
            <v:line style="position:absolute" from="7204,442" to="7204,1242" stroked="true" strokeweight="1.02pt" strokecolor="#000000">
              <v:stroke dashstyle="solid"/>
            </v:line>
            <v:line style="position:absolute" from="4778,1211" to="7174,1211" stroked="true" strokeweight="1pt" strokecolor="#000000">
              <v:stroke dashstyle="solid"/>
            </v:line>
            <v:line style="position:absolute" from="4789,481" to="4789,1201" stroked="true" strokeweight="1.02pt" strokecolor="#000000">
              <v:stroke dashstyle="solid"/>
            </v:line>
            <v:line style="position:absolute" from="4778,472" to="7174,472" stroked="true" strokeweight=".9pt" strokecolor="#000000">
              <v:stroke dashstyle="solid"/>
            </v:line>
            <v:line style="position:absolute" from="7164,481" to="7164,1201" stroked="true" strokeweight=".96pt" strokecolor="#000000">
              <v:stroke dashstyle="solid"/>
            </v:line>
            <v:shape style="position:absolute;left:4779;top:460;width:2396;height:760" type="#_x0000_t202" filled="false" stroked="false">
              <v:textbox inset="0,0,0,0">
                <w:txbxContent>
                  <w:p>
                    <w:pPr>
                      <w:spacing w:before="46"/>
                      <w:ind w:left="316" w:right="0" w:firstLine="0"/>
                      <w:jc w:val="left"/>
                      <w:rPr>
                        <w:rFonts w:ascii="微软雅黑" w:eastAsia="微软雅黑" w:hint="eastAsia"/>
                        <w:b/>
                        <w:sz w:val="32"/>
                      </w:rPr>
                    </w:pPr>
                    <w:r>
                      <w:rPr>
                        <w:rFonts w:ascii="微软雅黑" w:eastAsia="微软雅黑" w:hint="eastAsia"/>
                        <w:b/>
                        <w:sz w:val="32"/>
                      </w:rPr>
                      <w:t>条  款  目 录</w:t>
                    </w:r>
                  </w:p>
                </w:txbxContent>
              </v:textbox>
              <w10:wrap type="none"/>
            </v:shape>
            <w10:wrap type="topAndBottom"/>
          </v:group>
        </w:pict>
      </w:r>
    </w:p>
    <w:p>
      <w:pPr>
        <w:pStyle w:val="BodyText"/>
        <w:spacing w:before="5"/>
        <w:rPr>
          <w:sz w:val="23"/>
        </w:rPr>
      </w:pPr>
    </w:p>
    <w:p>
      <w:pPr>
        <w:spacing w:before="1"/>
        <w:ind w:left="1891" w:right="0" w:firstLine="0"/>
        <w:jc w:val="left"/>
        <w:rPr>
          <w:b/>
          <w:sz w:val="21"/>
        </w:rPr>
      </w:pPr>
      <w:r>
        <w:rPr>
          <w:b/>
          <w:w w:val="95"/>
          <w:sz w:val="21"/>
        </w:rPr>
        <w:t>在阅读条款正文之前，浏览一下目录有助于对条款结构有一个大致了解。</w:t>
      </w:r>
    </w:p>
    <w:p>
      <w:pPr>
        <w:pStyle w:val="BodyText"/>
        <w:spacing w:before="9"/>
        <w:rPr>
          <w:b/>
          <w:sz w:val="26"/>
        </w:rPr>
      </w:pPr>
    </w:p>
    <w:p>
      <w:pPr>
        <w:pStyle w:val="ListParagraph"/>
        <w:numPr>
          <w:ilvl w:val="0"/>
          <w:numId w:val="5"/>
        </w:numPr>
        <w:tabs>
          <w:tab w:pos="330" w:val="left" w:leader="none"/>
          <w:tab w:pos="3323" w:val="left" w:leader="none"/>
          <w:tab w:pos="6612" w:val="left" w:leader="none"/>
        </w:tabs>
        <w:spacing w:line="240" w:lineRule="auto" w:before="0" w:after="0"/>
        <w:ind w:left="329" w:right="0" w:hanging="227"/>
        <w:jc w:val="left"/>
        <w:rPr>
          <w:b/>
          <w:sz w:val="21"/>
        </w:rPr>
      </w:pPr>
      <w:r>
        <w:rPr/>
        <w:drawing>
          <wp:anchor distT="0" distB="0" distL="0" distR="0" allowOverlap="1" layoutInCell="1" locked="0" behindDoc="1" simplePos="0" relativeHeight="268367183">
            <wp:simplePos x="0" y="0"/>
            <wp:positionH relativeFrom="page">
              <wp:posOffset>2738627</wp:posOffset>
            </wp:positionH>
            <wp:positionV relativeFrom="paragraph">
              <wp:posOffset>9448</wp:posOffset>
            </wp:positionV>
            <wp:extent cx="6095" cy="3764279"/>
            <wp:effectExtent l="0" t="0" r="0" b="0"/>
            <wp:wrapNone/>
            <wp:docPr id="3" name="image3.png" descr=""/>
            <wp:cNvGraphicFramePr>
              <a:graphicFrameLocks noChangeAspect="1"/>
            </wp:cNvGraphicFramePr>
            <a:graphic>
              <a:graphicData uri="http://schemas.openxmlformats.org/drawingml/2006/picture">
                <pic:pic>
                  <pic:nvPicPr>
                    <pic:cNvPr id="4" name="image3.png"/>
                    <pic:cNvPicPr/>
                  </pic:nvPicPr>
                  <pic:blipFill>
                    <a:blip r:embed="rId9" cstate="print"/>
                    <a:stretch>
                      <a:fillRect/>
                    </a:stretch>
                  </pic:blipFill>
                  <pic:spPr>
                    <a:xfrm>
                      <a:off x="0" y="0"/>
                      <a:ext cx="6095" cy="3764279"/>
                    </a:xfrm>
                    <a:prstGeom prst="rect">
                      <a:avLst/>
                    </a:prstGeom>
                  </pic:spPr>
                </pic:pic>
              </a:graphicData>
            </a:graphic>
          </wp:anchor>
        </w:drawing>
      </w:r>
      <w:r>
        <w:rPr/>
        <w:drawing>
          <wp:anchor distT="0" distB="0" distL="0" distR="0" allowOverlap="1" layoutInCell="1" locked="0" behindDoc="1" simplePos="0" relativeHeight="268367207">
            <wp:simplePos x="0" y="0"/>
            <wp:positionH relativeFrom="page">
              <wp:posOffset>4827269</wp:posOffset>
            </wp:positionH>
            <wp:positionV relativeFrom="paragraph">
              <wp:posOffset>9448</wp:posOffset>
            </wp:positionV>
            <wp:extent cx="6096" cy="3764279"/>
            <wp:effectExtent l="0" t="0" r="0" b="0"/>
            <wp:wrapNone/>
            <wp:docPr id="5" name="image3.png" descr=""/>
            <wp:cNvGraphicFramePr>
              <a:graphicFrameLocks noChangeAspect="1"/>
            </wp:cNvGraphicFramePr>
            <a:graphic>
              <a:graphicData uri="http://schemas.openxmlformats.org/drawingml/2006/picture">
                <pic:pic>
                  <pic:nvPicPr>
                    <pic:cNvPr id="6" name="image3.png"/>
                    <pic:cNvPicPr/>
                  </pic:nvPicPr>
                  <pic:blipFill>
                    <a:blip r:embed="rId9" cstate="print"/>
                    <a:stretch>
                      <a:fillRect/>
                    </a:stretch>
                  </pic:blipFill>
                  <pic:spPr>
                    <a:xfrm>
                      <a:off x="0" y="0"/>
                      <a:ext cx="6096" cy="3764279"/>
                    </a:xfrm>
                    <a:prstGeom prst="rect">
                      <a:avLst/>
                    </a:prstGeom>
                  </pic:spPr>
                </pic:pic>
              </a:graphicData>
            </a:graphic>
          </wp:anchor>
        </w:drawing>
      </w:r>
      <w:r>
        <w:rPr>
          <w:b/>
          <w:sz w:val="21"/>
        </w:rPr>
        <w:t>投保人与我们的合同</w:t>
        <w:tab/>
        <w:t>4</w:t>
      </w:r>
      <w:r>
        <w:rPr>
          <w:b/>
          <w:spacing w:val="-1"/>
          <w:sz w:val="21"/>
        </w:rPr>
        <w:t> </w:t>
      </w:r>
      <w:r>
        <w:rPr>
          <w:b/>
          <w:sz w:val="21"/>
        </w:rPr>
        <w:t>申请与给付保险金</w:t>
        <w:tab/>
        <w:t>7</w:t>
      </w:r>
      <w:r>
        <w:rPr>
          <w:b/>
          <w:spacing w:val="-2"/>
          <w:sz w:val="21"/>
        </w:rPr>
        <w:t> </w:t>
      </w:r>
      <w:r>
        <w:rPr>
          <w:b/>
          <w:sz w:val="21"/>
        </w:rPr>
        <w:t>投保人需要关注的其他事项</w:t>
      </w:r>
    </w:p>
    <w:p>
      <w:pPr>
        <w:pStyle w:val="ListParagraph"/>
        <w:numPr>
          <w:ilvl w:val="1"/>
          <w:numId w:val="5"/>
        </w:numPr>
        <w:tabs>
          <w:tab w:pos="733" w:val="left" w:leader="none"/>
          <w:tab w:pos="3532" w:val="left" w:leader="none"/>
          <w:tab w:pos="6821" w:val="left" w:leader="none"/>
        </w:tabs>
        <w:spacing w:line="240" w:lineRule="auto" w:before="37" w:after="0"/>
        <w:ind w:left="732" w:right="0" w:hanging="420"/>
        <w:jc w:val="left"/>
        <w:rPr>
          <w:sz w:val="21"/>
        </w:rPr>
      </w:pPr>
      <w:r>
        <w:rPr>
          <w:sz w:val="21"/>
        </w:rPr>
        <w:t>合同构成</w:t>
        <w:tab/>
        <w:t>4.1</w:t>
      </w:r>
      <w:r>
        <w:rPr>
          <w:spacing w:val="-1"/>
          <w:sz w:val="21"/>
        </w:rPr>
        <w:t> </w:t>
      </w:r>
      <w:r>
        <w:rPr>
          <w:sz w:val="21"/>
        </w:rPr>
        <w:t>受益人的指定与变更</w:t>
        <w:tab/>
        <w:t>7.1</w:t>
      </w:r>
      <w:r>
        <w:rPr>
          <w:spacing w:val="-2"/>
          <w:sz w:val="21"/>
        </w:rPr>
        <w:t> </w:t>
      </w:r>
      <w:r>
        <w:rPr>
          <w:sz w:val="21"/>
        </w:rPr>
        <w:t>欠款扣除</w:t>
      </w:r>
    </w:p>
    <w:p>
      <w:pPr>
        <w:pStyle w:val="ListParagraph"/>
        <w:numPr>
          <w:ilvl w:val="1"/>
          <w:numId w:val="5"/>
        </w:numPr>
        <w:tabs>
          <w:tab w:pos="733" w:val="left" w:leader="none"/>
          <w:tab w:pos="3532" w:val="left" w:leader="none"/>
          <w:tab w:pos="6821" w:val="left" w:leader="none"/>
        </w:tabs>
        <w:spacing w:line="240" w:lineRule="auto" w:before="37" w:after="0"/>
        <w:ind w:left="732" w:right="0" w:hanging="420"/>
        <w:jc w:val="left"/>
        <w:rPr>
          <w:sz w:val="21"/>
        </w:rPr>
      </w:pPr>
      <w:r>
        <w:rPr>
          <w:sz w:val="21"/>
        </w:rPr>
        <w:t>如实告知</w:t>
        <w:tab/>
        <w:t>4.2</w:t>
      </w:r>
      <w:r>
        <w:rPr>
          <w:spacing w:val="-1"/>
          <w:sz w:val="21"/>
        </w:rPr>
        <w:t> </w:t>
      </w:r>
      <w:r>
        <w:rPr>
          <w:sz w:val="21"/>
        </w:rPr>
        <w:t>保险事故的通知</w:t>
        <w:tab/>
        <w:t>7.2</w:t>
      </w:r>
      <w:r>
        <w:rPr>
          <w:spacing w:val="-2"/>
          <w:sz w:val="21"/>
        </w:rPr>
        <w:t> </w:t>
      </w:r>
      <w:r>
        <w:rPr>
          <w:sz w:val="21"/>
        </w:rPr>
        <w:t>合同效力的中止</w:t>
      </w:r>
    </w:p>
    <w:p>
      <w:pPr>
        <w:pStyle w:val="ListParagraph"/>
        <w:numPr>
          <w:ilvl w:val="1"/>
          <w:numId w:val="5"/>
        </w:numPr>
        <w:tabs>
          <w:tab w:pos="733" w:val="left" w:leader="none"/>
          <w:tab w:pos="3532" w:val="left" w:leader="none"/>
          <w:tab w:pos="6822" w:val="left" w:leader="none"/>
        </w:tabs>
        <w:spacing w:line="240" w:lineRule="auto" w:before="37" w:after="0"/>
        <w:ind w:left="732" w:right="0" w:hanging="420"/>
        <w:jc w:val="left"/>
        <w:rPr>
          <w:sz w:val="21"/>
        </w:rPr>
      </w:pPr>
      <w:r>
        <w:rPr>
          <w:sz w:val="21"/>
        </w:rPr>
        <w:t>合同成立及保险责任开始</w:t>
        <w:tab/>
        <w:t>4.3</w:t>
      </w:r>
      <w:r>
        <w:rPr>
          <w:spacing w:val="-52"/>
          <w:sz w:val="21"/>
        </w:rPr>
        <w:t> </w:t>
      </w:r>
      <w:r>
        <w:rPr>
          <w:sz w:val="21"/>
        </w:rPr>
        <w:t>诉讼时效</w:t>
        <w:tab/>
        <w:t>7.3</w:t>
      </w:r>
      <w:r>
        <w:rPr>
          <w:spacing w:val="-2"/>
          <w:sz w:val="21"/>
        </w:rPr>
        <w:t> </w:t>
      </w:r>
      <w:r>
        <w:rPr>
          <w:sz w:val="21"/>
        </w:rPr>
        <w:t>合同效力的终止</w:t>
      </w:r>
    </w:p>
    <w:p>
      <w:pPr>
        <w:pStyle w:val="ListParagraph"/>
        <w:numPr>
          <w:ilvl w:val="1"/>
          <w:numId w:val="6"/>
        </w:numPr>
        <w:tabs>
          <w:tab w:pos="3954" w:val="left" w:leader="none"/>
        </w:tabs>
        <w:spacing w:line="240" w:lineRule="auto" w:before="37" w:after="0"/>
        <w:ind w:left="3953" w:right="0" w:hanging="420"/>
        <w:jc w:val="left"/>
        <w:rPr>
          <w:sz w:val="21"/>
        </w:rPr>
      </w:pPr>
      <w:r>
        <w:rPr>
          <w:spacing w:val="-1"/>
          <w:sz w:val="21"/>
        </w:rPr>
        <w:t>申请保险金应提供的材料</w:t>
      </w:r>
    </w:p>
    <w:p>
      <w:pPr>
        <w:pStyle w:val="ListParagraph"/>
        <w:numPr>
          <w:ilvl w:val="1"/>
          <w:numId w:val="6"/>
        </w:numPr>
        <w:tabs>
          <w:tab w:pos="3954" w:val="left" w:leader="none"/>
        </w:tabs>
        <w:spacing w:line="240" w:lineRule="auto" w:before="37" w:after="0"/>
        <w:ind w:left="3953" w:right="0" w:hanging="420"/>
        <w:jc w:val="left"/>
        <w:rPr>
          <w:sz w:val="21"/>
        </w:rPr>
      </w:pPr>
      <w:r>
        <w:rPr>
          <w:spacing w:val="-1"/>
          <w:sz w:val="21"/>
        </w:rPr>
        <w:t>保险金的给付</w:t>
      </w:r>
    </w:p>
    <w:p>
      <w:pPr>
        <w:pStyle w:val="ListParagraph"/>
        <w:numPr>
          <w:ilvl w:val="0"/>
          <w:numId w:val="5"/>
        </w:numPr>
        <w:tabs>
          <w:tab w:pos="315" w:val="left" w:leader="none"/>
          <w:tab w:pos="3533" w:val="left" w:leader="none"/>
        </w:tabs>
        <w:spacing w:line="240" w:lineRule="auto" w:before="37" w:after="0"/>
        <w:ind w:left="314" w:right="0" w:hanging="212"/>
        <w:jc w:val="left"/>
        <w:rPr>
          <w:sz w:val="21"/>
        </w:rPr>
      </w:pPr>
      <w:r>
        <w:rPr>
          <w:b/>
          <w:sz w:val="21"/>
        </w:rPr>
        <w:t>我们提供的保障</w:t>
        <w:tab/>
      </w:r>
      <w:r>
        <w:rPr>
          <w:sz w:val="21"/>
        </w:rPr>
        <w:t>4.6</w:t>
      </w:r>
      <w:r>
        <w:rPr>
          <w:spacing w:val="-2"/>
          <w:sz w:val="21"/>
        </w:rPr>
        <w:t> </w:t>
      </w:r>
      <w:r>
        <w:rPr>
          <w:sz w:val="21"/>
        </w:rPr>
        <w:t>身体检查</w:t>
      </w:r>
    </w:p>
    <w:p>
      <w:pPr>
        <w:pStyle w:val="ListParagraph"/>
        <w:numPr>
          <w:ilvl w:val="1"/>
          <w:numId w:val="5"/>
        </w:numPr>
        <w:tabs>
          <w:tab w:pos="733" w:val="left" w:leader="none"/>
          <w:tab w:pos="6612" w:val="left" w:leader="none"/>
        </w:tabs>
        <w:spacing w:line="240" w:lineRule="auto" w:before="37" w:after="0"/>
        <w:ind w:left="732" w:right="0" w:hanging="420"/>
        <w:jc w:val="left"/>
        <w:rPr>
          <w:b/>
          <w:sz w:val="21"/>
        </w:rPr>
      </w:pPr>
      <w:r>
        <w:rPr>
          <w:sz w:val="21"/>
        </w:rPr>
        <w:t>保险金额</w:t>
        <w:tab/>
      </w:r>
      <w:r>
        <w:rPr>
          <w:b/>
          <w:sz w:val="21"/>
        </w:rPr>
        <w:t>8</w:t>
      </w:r>
      <w:r>
        <w:rPr>
          <w:b/>
          <w:spacing w:val="-2"/>
          <w:sz w:val="21"/>
        </w:rPr>
        <w:t> </w:t>
      </w:r>
      <w:r>
        <w:rPr>
          <w:b/>
          <w:sz w:val="21"/>
        </w:rPr>
        <w:t>释义</w:t>
      </w:r>
    </w:p>
    <w:p>
      <w:pPr>
        <w:pStyle w:val="ListParagraph"/>
        <w:numPr>
          <w:ilvl w:val="1"/>
          <w:numId w:val="5"/>
        </w:numPr>
        <w:tabs>
          <w:tab w:pos="733" w:val="left" w:leader="none"/>
          <w:tab w:pos="6822" w:val="left" w:leader="none"/>
          <w:tab w:pos="7347" w:val="left" w:leader="none"/>
        </w:tabs>
        <w:spacing w:line="240" w:lineRule="auto" w:before="37" w:after="0"/>
        <w:ind w:left="732" w:right="0" w:hanging="420"/>
        <w:jc w:val="left"/>
        <w:rPr>
          <w:sz w:val="21"/>
        </w:rPr>
      </w:pPr>
      <w:r>
        <w:rPr>
          <w:sz w:val="21"/>
        </w:rPr>
        <w:t>保险责任</w:t>
        <w:tab/>
        <w:t>8.1</w:t>
        <w:tab/>
      </w:r>
      <w:r>
        <w:rPr>
          <w:spacing w:val="-1"/>
          <w:sz w:val="21"/>
        </w:rPr>
        <w:t>意外</w:t>
      </w:r>
      <w:r>
        <w:rPr>
          <w:sz w:val="21"/>
        </w:rPr>
        <w:t>伤害事故</w:t>
      </w:r>
    </w:p>
    <w:p>
      <w:pPr>
        <w:pStyle w:val="ListParagraph"/>
        <w:numPr>
          <w:ilvl w:val="1"/>
          <w:numId w:val="5"/>
        </w:numPr>
        <w:tabs>
          <w:tab w:pos="733" w:val="left" w:leader="none"/>
          <w:tab w:pos="3323" w:val="left" w:leader="none"/>
          <w:tab w:pos="6822" w:val="left" w:leader="none"/>
          <w:tab w:pos="7347" w:val="left" w:leader="none"/>
        </w:tabs>
        <w:spacing w:line="240" w:lineRule="auto" w:before="37" w:after="0"/>
        <w:ind w:left="732" w:right="0" w:hanging="420"/>
        <w:jc w:val="left"/>
        <w:rPr>
          <w:sz w:val="21"/>
        </w:rPr>
      </w:pPr>
      <w:r>
        <w:rPr>
          <w:sz w:val="21"/>
        </w:rPr>
        <w:t>责任免除</w:t>
        <w:tab/>
      </w:r>
      <w:r>
        <w:rPr>
          <w:b/>
          <w:sz w:val="21"/>
        </w:rPr>
        <w:t>5</w:t>
      </w:r>
      <w:r>
        <w:rPr>
          <w:b/>
          <w:spacing w:val="-1"/>
          <w:sz w:val="21"/>
        </w:rPr>
        <w:t> </w:t>
      </w:r>
      <w:r>
        <w:rPr>
          <w:b/>
          <w:sz w:val="21"/>
        </w:rPr>
        <w:t>缴付保险费</w:t>
        <w:tab/>
      </w:r>
      <w:r>
        <w:rPr>
          <w:sz w:val="21"/>
        </w:rPr>
        <w:t>8.2</w:t>
        <w:tab/>
      </w:r>
      <w:r>
        <w:rPr>
          <w:spacing w:val="-1"/>
          <w:sz w:val="21"/>
        </w:rPr>
        <w:t>意外</w:t>
      </w:r>
      <w:r>
        <w:rPr>
          <w:sz w:val="21"/>
        </w:rPr>
        <w:t>伤害、伤害</w:t>
      </w:r>
    </w:p>
    <w:p>
      <w:pPr>
        <w:pStyle w:val="ListParagraph"/>
        <w:numPr>
          <w:ilvl w:val="1"/>
          <w:numId w:val="7"/>
        </w:numPr>
        <w:tabs>
          <w:tab w:pos="3955" w:val="left" w:leader="none"/>
          <w:tab w:pos="6822" w:val="left" w:leader="none"/>
          <w:tab w:pos="7347" w:val="left" w:leader="none"/>
        </w:tabs>
        <w:spacing w:line="240" w:lineRule="auto" w:before="37" w:after="0"/>
        <w:ind w:left="3954" w:right="0" w:hanging="421"/>
        <w:jc w:val="left"/>
        <w:rPr>
          <w:sz w:val="21"/>
        </w:rPr>
      </w:pPr>
      <w:r>
        <w:rPr>
          <w:sz w:val="21"/>
        </w:rPr>
        <w:t>保险费的缴付</w:t>
        <w:tab/>
        <w:t>8.3</w:t>
        <w:tab/>
        <w:t>医院</w:t>
      </w:r>
    </w:p>
    <w:p>
      <w:pPr>
        <w:pStyle w:val="ListParagraph"/>
        <w:numPr>
          <w:ilvl w:val="1"/>
          <w:numId w:val="7"/>
        </w:numPr>
        <w:tabs>
          <w:tab w:pos="3954" w:val="left" w:leader="none"/>
          <w:tab w:pos="6822" w:val="left" w:leader="none"/>
          <w:tab w:pos="7347" w:val="left" w:leader="none"/>
        </w:tabs>
        <w:spacing w:line="240" w:lineRule="auto" w:before="37" w:after="0"/>
        <w:ind w:left="3953" w:right="0" w:hanging="420"/>
        <w:jc w:val="left"/>
        <w:rPr>
          <w:sz w:val="21"/>
        </w:rPr>
      </w:pPr>
      <w:r>
        <w:rPr>
          <w:sz w:val="21"/>
        </w:rPr>
        <w:t>变更为减额付清保险</w:t>
        <w:tab/>
        <w:t>8.4</w:t>
        <w:tab/>
      </w:r>
      <w:r>
        <w:rPr>
          <w:spacing w:val="-1"/>
          <w:sz w:val="21"/>
        </w:rPr>
        <w:t>专科</w:t>
      </w:r>
      <w:r>
        <w:rPr>
          <w:sz w:val="21"/>
        </w:rPr>
        <w:t>医生</w:t>
      </w:r>
    </w:p>
    <w:p>
      <w:pPr>
        <w:pStyle w:val="ListParagraph"/>
        <w:numPr>
          <w:ilvl w:val="0"/>
          <w:numId w:val="5"/>
        </w:numPr>
        <w:tabs>
          <w:tab w:pos="315" w:val="left" w:leader="none"/>
          <w:tab w:pos="6822" w:val="left" w:leader="none"/>
          <w:tab w:pos="7347" w:val="left" w:leader="none"/>
        </w:tabs>
        <w:spacing w:line="240" w:lineRule="auto" w:before="37" w:after="0"/>
        <w:ind w:left="314" w:right="0" w:hanging="212"/>
        <w:jc w:val="left"/>
        <w:rPr>
          <w:sz w:val="21"/>
        </w:rPr>
      </w:pPr>
      <w:r>
        <w:rPr>
          <w:b/>
          <w:sz w:val="21"/>
        </w:rPr>
        <w:t>疾病释义</w:t>
        <w:tab/>
      </w:r>
      <w:r>
        <w:rPr>
          <w:sz w:val="21"/>
        </w:rPr>
        <w:t>8.5</w:t>
        <w:tab/>
      </w:r>
      <w:r>
        <w:rPr>
          <w:spacing w:val="-1"/>
          <w:sz w:val="21"/>
        </w:rPr>
        <w:t>遗传</w:t>
      </w:r>
      <w:r>
        <w:rPr>
          <w:sz w:val="21"/>
        </w:rPr>
        <w:t>性疾病</w:t>
      </w:r>
    </w:p>
    <w:p>
      <w:pPr>
        <w:pStyle w:val="ListParagraph"/>
        <w:numPr>
          <w:ilvl w:val="1"/>
          <w:numId w:val="5"/>
        </w:numPr>
        <w:tabs>
          <w:tab w:pos="733" w:val="left" w:leader="none"/>
          <w:tab w:pos="6821" w:val="left" w:leader="none"/>
          <w:tab w:pos="7347" w:val="left" w:leader="none"/>
        </w:tabs>
        <w:spacing w:line="240" w:lineRule="auto" w:before="37" w:after="0"/>
        <w:ind w:left="732" w:right="0" w:hanging="420"/>
        <w:jc w:val="left"/>
        <w:rPr>
          <w:sz w:val="21"/>
        </w:rPr>
      </w:pPr>
      <w:r>
        <w:rPr>
          <w:sz w:val="21"/>
        </w:rPr>
        <w:t>重大疾病</w:t>
        <w:tab/>
        <w:t>8.6</w:t>
        <w:tab/>
      </w:r>
      <w:r>
        <w:rPr>
          <w:spacing w:val="-1"/>
          <w:sz w:val="21"/>
        </w:rPr>
        <w:t>先天</w:t>
      </w:r>
      <w:r>
        <w:rPr>
          <w:sz w:val="21"/>
        </w:rPr>
        <w:t>性畸形</w:t>
      </w:r>
      <w:r>
        <w:rPr>
          <w:spacing w:val="-7"/>
          <w:sz w:val="21"/>
        </w:rPr>
        <w:t>、</w:t>
      </w:r>
      <w:r>
        <w:rPr>
          <w:sz w:val="21"/>
        </w:rPr>
        <w:t>变形或染</w:t>
      </w:r>
    </w:p>
    <w:p>
      <w:pPr>
        <w:pStyle w:val="ListParagraph"/>
        <w:numPr>
          <w:ilvl w:val="1"/>
          <w:numId w:val="5"/>
        </w:numPr>
        <w:tabs>
          <w:tab w:pos="733" w:val="left" w:leader="none"/>
          <w:tab w:pos="3323" w:val="left" w:leader="none"/>
          <w:tab w:pos="6822" w:val="left" w:leader="none"/>
        </w:tabs>
        <w:spacing w:line="240" w:lineRule="auto" w:before="37" w:after="0"/>
        <w:ind w:left="732" w:right="0" w:hanging="420"/>
        <w:jc w:val="left"/>
        <w:rPr>
          <w:sz w:val="21"/>
        </w:rPr>
      </w:pPr>
      <w:r>
        <w:rPr>
          <w:sz w:val="21"/>
        </w:rPr>
        <w:t>女性特定原位癌</w:t>
        <w:tab/>
      </w:r>
      <w:r>
        <w:rPr>
          <w:b/>
          <w:sz w:val="21"/>
        </w:rPr>
        <w:t>6</w:t>
      </w:r>
      <w:r>
        <w:rPr>
          <w:b/>
          <w:spacing w:val="-1"/>
          <w:sz w:val="21"/>
        </w:rPr>
        <w:t> </w:t>
      </w:r>
      <w:r>
        <w:rPr>
          <w:b/>
          <w:sz w:val="21"/>
        </w:rPr>
        <w:t>投保人的特别权利及相应义务</w:t>
        <w:tab/>
      </w:r>
      <w:r>
        <w:rPr>
          <w:sz w:val="21"/>
        </w:rPr>
        <w:t>色体异常</w:t>
      </w:r>
    </w:p>
    <w:p>
      <w:pPr>
        <w:pStyle w:val="ListParagraph"/>
        <w:numPr>
          <w:ilvl w:val="1"/>
          <w:numId w:val="5"/>
        </w:numPr>
        <w:tabs>
          <w:tab w:pos="733" w:val="left" w:leader="none"/>
          <w:tab w:pos="3533" w:val="left" w:leader="none"/>
          <w:tab w:pos="6822" w:val="left" w:leader="none"/>
        </w:tabs>
        <w:spacing w:line="240" w:lineRule="auto" w:before="37" w:after="0"/>
        <w:ind w:left="732" w:right="0" w:hanging="420"/>
        <w:jc w:val="left"/>
        <w:rPr>
          <w:sz w:val="21"/>
        </w:rPr>
      </w:pPr>
      <w:r>
        <w:rPr>
          <w:sz w:val="21"/>
        </w:rPr>
        <w:t>意外伤害面部整形手术</w:t>
        <w:tab/>
        <w:t>6.1</w:t>
      </w:r>
      <w:r>
        <w:rPr>
          <w:spacing w:val="-2"/>
          <w:sz w:val="21"/>
        </w:rPr>
        <w:t> </w:t>
      </w:r>
      <w:r>
        <w:rPr>
          <w:sz w:val="21"/>
        </w:rPr>
        <w:t>保单借款</w:t>
        <w:tab/>
        <w:t>8.7</w:t>
      </w:r>
      <w:r>
        <w:rPr>
          <w:spacing w:val="-54"/>
          <w:sz w:val="21"/>
        </w:rPr>
        <w:t> </w:t>
      </w:r>
      <w:r>
        <w:rPr>
          <w:sz w:val="21"/>
        </w:rPr>
        <w:t>感染艾滋病病毒或患艾</w:t>
      </w:r>
    </w:p>
    <w:p>
      <w:pPr>
        <w:pStyle w:val="ListParagraph"/>
        <w:numPr>
          <w:ilvl w:val="1"/>
          <w:numId w:val="5"/>
        </w:numPr>
        <w:tabs>
          <w:tab w:pos="733" w:val="left" w:leader="none"/>
          <w:tab w:pos="3532" w:val="left" w:leader="none"/>
          <w:tab w:pos="6821" w:val="left" w:leader="none"/>
        </w:tabs>
        <w:spacing w:line="240" w:lineRule="auto" w:before="37" w:after="0"/>
        <w:ind w:left="732" w:right="0" w:hanging="420"/>
        <w:jc w:val="left"/>
        <w:rPr>
          <w:sz w:val="21"/>
        </w:rPr>
      </w:pPr>
      <w:r>
        <w:rPr>
          <w:sz w:val="21"/>
        </w:rPr>
        <w:t>女性特定手术</w:t>
        <w:tab/>
        <w:t>6.2</w:t>
      </w:r>
      <w:r>
        <w:rPr>
          <w:spacing w:val="-1"/>
          <w:sz w:val="21"/>
        </w:rPr>
        <w:t> </w:t>
      </w:r>
      <w:r>
        <w:rPr>
          <w:sz w:val="21"/>
        </w:rPr>
        <w:t>解除合同（退保）</w:t>
        <w:tab/>
        <w:t>滋病</w:t>
      </w:r>
    </w:p>
    <w:p>
      <w:pPr>
        <w:spacing w:after="0" w:line="240" w:lineRule="auto"/>
        <w:jc w:val="left"/>
        <w:rPr>
          <w:sz w:val="21"/>
        </w:rPr>
        <w:sectPr>
          <w:footerReference w:type="default" r:id="rId8"/>
          <w:pgSz w:w="11910" w:h="16840"/>
          <w:pgMar w:footer="0" w:header="0" w:top="1520" w:bottom="280" w:left="1100" w:right="860"/>
        </w:sectPr>
      </w:pPr>
    </w:p>
    <w:p>
      <w:pPr>
        <w:spacing w:line="240" w:lineRule="auto"/>
        <w:ind w:left="3783" w:right="0" w:firstLine="0"/>
        <w:rPr>
          <w:sz w:val="20"/>
        </w:rPr>
      </w:pPr>
      <w:r>
        <w:rPr>
          <w:rFonts w:ascii="Times New Roman"/>
          <w:spacing w:val="-49"/>
          <w:sz w:val="20"/>
        </w:rPr>
        <w:t> </w:t>
      </w:r>
      <w:r>
        <w:rPr>
          <w:spacing w:val="-49"/>
          <w:sz w:val="20"/>
        </w:rPr>
        <w:pict>
          <v:shape style="width:131.25pt;height:39pt;mso-position-horizontal-relative:char;mso-position-vertical-relative:line" type="#_x0000_t202" filled="false" stroked="true" strokeweight="1.02pt" strokecolor="#000000">
            <w10:anchorlock/>
            <v:textbox inset="0,0,0,0">
              <w:txbxContent>
                <w:p>
                  <w:pPr>
                    <w:spacing w:before="45"/>
                    <w:ind w:left="421" w:right="0" w:firstLine="0"/>
                    <w:jc w:val="left"/>
                    <w:rPr>
                      <w:rFonts w:ascii="微软雅黑" w:eastAsia="微软雅黑" w:hint="eastAsia"/>
                      <w:b/>
                      <w:sz w:val="32"/>
                    </w:rPr>
                  </w:pPr>
                  <w:r>
                    <w:rPr>
                      <w:rFonts w:ascii="微软雅黑" w:eastAsia="微软雅黑" w:hint="eastAsia"/>
                      <w:b/>
                      <w:sz w:val="32"/>
                    </w:rPr>
                    <w:t>条  款  正 文</w:t>
                  </w:r>
                </w:p>
              </w:txbxContent>
            </v:textbox>
            <v:stroke linestyle="thinThin" dashstyle="solid"/>
          </v:shape>
        </w:pict>
      </w:r>
      <w:r>
        <w:rPr>
          <w:spacing w:val="-49"/>
          <w:sz w:val="20"/>
        </w:rPr>
      </w:r>
    </w:p>
    <w:p>
      <w:pPr>
        <w:pStyle w:val="BodyText"/>
        <w:spacing w:before="2"/>
        <w:rPr>
          <w:sz w:val="28"/>
        </w:rPr>
      </w:pPr>
    </w:p>
    <w:p>
      <w:pPr>
        <w:spacing w:line="544" w:lineRule="auto" w:before="36"/>
        <w:ind w:left="224" w:right="1011" w:firstLine="1391"/>
        <w:jc w:val="left"/>
        <w:rPr>
          <w:sz w:val="21"/>
        </w:rPr>
      </w:pPr>
      <w:r>
        <w:rPr>
          <w:b/>
          <w:sz w:val="21"/>
        </w:rPr>
        <w:t>条款是保险合同的重要组成部分，请投保人、被保险人、受益人仔细阅读。</w:t>
      </w:r>
      <w:r>
        <w:rPr>
          <w:sz w:val="21"/>
        </w:rPr>
        <w:t>在本条款中，“我们”、“本公司”均指中荷人寿保险有限公司。</w:t>
      </w:r>
    </w:p>
    <w:p>
      <w:pPr>
        <w:pStyle w:val="Heading2"/>
        <w:numPr>
          <w:ilvl w:val="0"/>
          <w:numId w:val="8"/>
        </w:numPr>
        <w:tabs>
          <w:tab w:pos="1075" w:val="left" w:leader="none"/>
          <w:tab w:pos="1076" w:val="left" w:leader="none"/>
        </w:tabs>
        <w:spacing w:line="240" w:lineRule="auto" w:before="12" w:after="0"/>
        <w:ind w:left="1075" w:right="0" w:hanging="851"/>
        <w:jc w:val="left"/>
      </w:pPr>
      <w:r>
        <w:rPr>
          <w:w w:val="95"/>
        </w:rPr>
        <w:t>投保人与我们的合同</w:t>
      </w:r>
    </w:p>
    <w:p>
      <w:pPr>
        <w:pStyle w:val="BodyText"/>
        <w:spacing w:before="2"/>
        <w:rPr>
          <w:b/>
          <w:sz w:val="10"/>
        </w:rPr>
      </w:pPr>
      <w:r>
        <w:rPr/>
        <w:pict>
          <v:group style="position:absolute;margin-left:59.82pt;margin-top:8.619936pt;width:467.85pt;height:1.45pt;mso-position-horizontal-relative:page;mso-position-vertical-relative:paragraph;z-index:1528;mso-wrap-distance-left:0;mso-wrap-distance-right:0" coordorigin="1196,172" coordsize="9357,29">
            <v:line style="position:absolute" from="1196,177" to="2047,177" stroked="true" strokeweight=".48004pt" strokecolor="#000000">
              <v:stroke dashstyle="solid"/>
            </v:line>
            <v:line style="position:absolute" from="1196,196" to="2047,196" stroked="true" strokeweight=".47998pt" strokecolor="#000000">
              <v:stroke dashstyle="solid"/>
            </v:line>
            <v:rect style="position:absolute;left:2047;top:172;width:29;height:10" filled="true" fillcolor="#000000" stroked="false">
              <v:fill type="solid"/>
            </v:rect>
            <v:rect style="position:absolute;left:2047;top:191;width:29;height:10" filled="true" fillcolor="#000000" stroked="false">
              <v:fill type="solid"/>
            </v:rect>
            <v:line style="position:absolute" from="2076,177" to="3749,177" stroked="true" strokeweight=".48004pt" strokecolor="#000000">
              <v:stroke dashstyle="solid"/>
            </v:line>
            <v:line style="position:absolute" from="2076,196" to="3749,196" stroked="true" strokeweight=".47998pt" strokecolor="#000000">
              <v:stroke dashstyle="solid"/>
            </v:line>
            <v:rect style="position:absolute;left:3748;top:172;width:29;height:10" filled="true" fillcolor="#000000" stroked="false">
              <v:fill type="solid"/>
            </v:rect>
            <v:rect style="position:absolute;left:3748;top:191;width:29;height:10" filled="true" fillcolor="#000000" stroked="false">
              <v:fill type="solid"/>
            </v:rect>
            <v:line style="position:absolute" from="3778,177" to="10553,177" stroked="true" strokeweight=".48004pt" strokecolor="#000000">
              <v:stroke dashstyle="solid"/>
            </v:line>
            <v:line style="position:absolute" from="3778,196" to="10553,196" stroked="true" strokeweight=".47998pt" strokecolor="#000000">
              <v:stroke dashstyle="solid"/>
            </v:line>
            <w10:wrap type="topAndBottom"/>
          </v:group>
        </w:pict>
      </w:r>
    </w:p>
    <w:p>
      <w:pPr>
        <w:pStyle w:val="BodyText"/>
        <w:spacing w:before="6"/>
        <w:rPr>
          <w:b/>
          <w:sz w:val="7"/>
        </w:rPr>
      </w:pPr>
    </w:p>
    <w:p>
      <w:pPr>
        <w:pStyle w:val="ListParagraph"/>
        <w:numPr>
          <w:ilvl w:val="1"/>
          <w:numId w:val="8"/>
        </w:numPr>
        <w:tabs>
          <w:tab w:pos="1074" w:val="left" w:leader="none"/>
          <w:tab w:pos="1075" w:val="left" w:leader="none"/>
          <w:tab w:pos="2775" w:val="left" w:leader="none"/>
        </w:tabs>
        <w:spacing w:line="230" w:lineRule="auto" w:before="46" w:after="0"/>
        <w:ind w:left="2775" w:right="112" w:hanging="2551"/>
        <w:jc w:val="left"/>
        <w:rPr>
          <w:sz w:val="21"/>
        </w:rPr>
      </w:pPr>
      <w:r>
        <w:rPr>
          <w:b/>
          <w:position w:val="-1"/>
          <w:sz w:val="21"/>
        </w:rPr>
        <w:t>合同构成</w:t>
        <w:tab/>
      </w:r>
      <w:r>
        <w:rPr>
          <w:sz w:val="21"/>
        </w:rPr>
        <w:t>中荷附加珍爱一生定期重大疾病保险合同（以下简称本附加合同）依中 荷珍爱一生两全保险合</w:t>
      </w:r>
      <w:r>
        <w:rPr>
          <w:spacing w:val="-27"/>
          <w:sz w:val="21"/>
        </w:rPr>
        <w:t>同</w:t>
      </w:r>
      <w:r>
        <w:rPr>
          <w:sz w:val="21"/>
        </w:rPr>
        <w:t>（以下简称主合同</w:t>
      </w:r>
      <w:r>
        <w:rPr>
          <w:spacing w:val="-27"/>
          <w:sz w:val="21"/>
        </w:rPr>
        <w:t>，</w:t>
      </w:r>
      <w:r>
        <w:rPr>
          <w:sz w:val="21"/>
        </w:rPr>
        <w:t>代码</w:t>
      </w:r>
      <w:r>
        <w:rPr>
          <w:spacing w:val="-52"/>
          <w:sz w:val="21"/>
        </w:rPr>
        <w:t> </w:t>
      </w:r>
      <w:r>
        <w:rPr>
          <w:spacing w:val="-6"/>
          <w:sz w:val="21"/>
        </w:rPr>
        <w:t>BFEA）</w:t>
      </w:r>
      <w:r>
        <w:rPr>
          <w:sz w:val="21"/>
        </w:rPr>
        <w:t>投保人的申请， 经本公司同意而订立。</w:t>
      </w:r>
      <w:r>
        <w:rPr>
          <w:spacing w:val="-28"/>
          <w:sz w:val="21"/>
        </w:rPr>
        <w:t> </w:t>
      </w:r>
      <w:r>
        <w:rPr>
          <w:sz w:val="21"/>
        </w:rPr>
        <w:t>本附加合同须附加于主合同后始为有效。</w:t>
      </w:r>
    </w:p>
    <w:p>
      <w:pPr>
        <w:pStyle w:val="BodyText"/>
        <w:spacing w:line="237" w:lineRule="auto"/>
        <w:ind w:left="2775" w:right="217"/>
        <w:jc w:val="both"/>
      </w:pPr>
      <w:r>
        <w:rPr/>
        <w:t>本附加合同由所载的条款、保险单、投保单及有关声明、批注、其它约定书以及主合同中与本附加合同相关的部分构成。凡本附加合同条款未作规定的内容，适用主合同条款。若主合同条款与本附加合同条款有抵触时，则以本附加合同条款为准。</w:t>
      </w:r>
    </w:p>
    <w:p>
      <w:pPr>
        <w:pStyle w:val="BodyText"/>
        <w:spacing w:line="237" w:lineRule="auto"/>
        <w:ind w:left="2775" w:right="121"/>
        <w:jc w:val="both"/>
      </w:pPr>
      <w:r>
        <w:rPr>
          <w:spacing w:val="-2"/>
        </w:rPr>
        <w:t>若上述构成本附加合同的文件正本需留本公司存档，则其复印件或电子影</w:t>
      </w:r>
      <w:r>
        <w:rPr>
          <w:spacing w:val="-4"/>
        </w:rPr>
        <w:t>像印刷件亦视为本附加合同的构成部分，其效力与正本相同；若复印件或电子影像印刷件的内容与正本不同时，则以正本为准。</w:t>
      </w:r>
    </w:p>
    <w:p>
      <w:pPr>
        <w:pStyle w:val="BodyText"/>
        <w:spacing w:line="237" w:lineRule="auto"/>
        <w:ind w:left="2775" w:right="217"/>
        <w:jc w:val="both"/>
      </w:pPr>
      <w:r>
        <w:rPr/>
        <w:t>本附加合同条款依法按照通常理解予以解释，如合同条款有两种以上解释的，作有利于被保险人或受益人的解释。</w:t>
      </w:r>
    </w:p>
    <w:p>
      <w:pPr>
        <w:pStyle w:val="BodyText"/>
        <w:spacing w:line="272" w:lineRule="exact"/>
        <w:ind w:left="2775"/>
      </w:pPr>
      <w:r>
        <w:rPr/>
        <w:t>本附加合同的代码为 BFDD。</w:t>
      </w:r>
    </w:p>
    <w:p>
      <w:pPr>
        <w:pStyle w:val="BodyText"/>
        <w:spacing w:before="10"/>
        <w:rPr>
          <w:sz w:val="18"/>
        </w:rPr>
      </w:pPr>
    </w:p>
    <w:p>
      <w:pPr>
        <w:pStyle w:val="ListParagraph"/>
        <w:numPr>
          <w:ilvl w:val="1"/>
          <w:numId w:val="8"/>
        </w:numPr>
        <w:tabs>
          <w:tab w:pos="1075" w:val="left" w:leader="none"/>
        </w:tabs>
        <w:spacing w:line="273" w:lineRule="auto" w:before="0" w:after="0"/>
        <w:ind w:left="2775" w:right="296" w:hanging="2551"/>
        <w:jc w:val="both"/>
        <w:rPr>
          <w:sz w:val="21"/>
        </w:rPr>
      </w:pPr>
      <w:r>
        <w:rPr>
          <w:b/>
          <w:sz w:val="21"/>
        </w:rPr>
        <w:t>如实告知       </w:t>
      </w:r>
      <w:r>
        <w:rPr>
          <w:sz w:val="21"/>
        </w:rPr>
        <w:t>订立本附加合同，我们应当向投保人说明本附加合同的内容。对本附加合同中免除我们责任的条款，在订立合同时我们应当在投保单、保险单或者其他保险凭证上作出足以引起投保人注意的提示，并对该条款的内容以书面或者口头形式向投保人作出明确说明。未作提示或者明确说明的，该条款不产生效力。</w:t>
      </w:r>
    </w:p>
    <w:p>
      <w:pPr>
        <w:pStyle w:val="BodyText"/>
        <w:spacing w:line="273" w:lineRule="auto" w:before="7"/>
        <w:ind w:left="2775" w:right="296"/>
        <w:jc w:val="both"/>
      </w:pPr>
      <w:r>
        <w:rPr/>
        <w:t>订立本附加合同，我们可以就投保人和被保险人的有关情况提出书面询问，投保人应当如实告知。</w:t>
      </w:r>
    </w:p>
    <w:p>
      <w:pPr>
        <w:pStyle w:val="BodyText"/>
        <w:spacing w:line="273" w:lineRule="auto" w:before="7"/>
        <w:ind w:left="2775" w:right="114"/>
      </w:pPr>
      <w:r>
        <w:rPr/>
        <w:t>如果投保人故意隐瞒事实，不履行如实告知义务，或者因重大过失未履</w:t>
      </w:r>
      <w:r>
        <w:rPr>
          <w:spacing w:val="-4"/>
        </w:rPr>
        <w:t>行如实告知义务，足以影响我们决定是否同意承保或者提高保险费率的， 我们有权解除本附加合同。但若被保险人自本附加合同成立日（若本合同中止后复效，则以最后复效日为准）起持续有效两年后才发生保险事故的，我们将不再依据本条规定行使对本附加合同的解除权。</w:t>
      </w:r>
    </w:p>
    <w:p>
      <w:pPr>
        <w:pStyle w:val="BodyText"/>
        <w:spacing w:line="237" w:lineRule="auto"/>
        <w:ind w:left="2775" w:right="217"/>
        <w:jc w:val="both"/>
      </w:pPr>
      <w:r>
        <w:rPr/>
        <w:t>如果我们在本附加合同订立时已经知道投保人未如实告知的或自我们知道有解除事由之日起超过三十日没有解除本附加合同，则我们不再依据前款约定行使解除权。</w:t>
      </w:r>
    </w:p>
    <w:p>
      <w:pPr>
        <w:pStyle w:val="BodyText"/>
        <w:spacing w:line="273" w:lineRule="auto" w:before="28"/>
        <w:ind w:left="2775" w:right="217"/>
        <w:jc w:val="both"/>
      </w:pPr>
      <w:r>
        <w:rPr/>
        <w:t>如果投保人故意不履行如实告知义务，我们对于本合同解除前发生的保险事故，不承担给付保险金的责任，并不退还保险费。</w:t>
      </w:r>
    </w:p>
    <w:p>
      <w:pPr>
        <w:pStyle w:val="BodyText"/>
        <w:spacing w:line="237" w:lineRule="auto"/>
        <w:ind w:left="2775" w:right="217"/>
        <w:jc w:val="both"/>
      </w:pPr>
      <w:r>
        <w:rPr/>
        <w:t>如果投保人因重大过失未履行如实告知义务，对保险事故的发生有严重影响的，我们对于本附加合同解除前发生的保险事故，不承担给付保险金的责任，但退还本附加合同的保险费。</w:t>
      </w:r>
    </w:p>
    <w:p>
      <w:pPr>
        <w:pStyle w:val="BodyText"/>
        <w:spacing w:before="3"/>
        <w:rPr>
          <w:sz w:val="15"/>
        </w:rPr>
      </w:pPr>
    </w:p>
    <w:p>
      <w:pPr>
        <w:spacing w:after="0"/>
        <w:rPr>
          <w:sz w:val="15"/>
        </w:rPr>
        <w:sectPr>
          <w:footerReference w:type="default" r:id="rId10"/>
          <w:pgSz w:w="11910" w:h="16840"/>
          <w:pgMar w:footer="998" w:header="0" w:top="1500" w:bottom="1180" w:left="1080" w:right="1240"/>
          <w:pgNumType w:start="1"/>
        </w:sectPr>
      </w:pPr>
    </w:p>
    <w:p>
      <w:pPr>
        <w:pStyle w:val="Heading5"/>
        <w:numPr>
          <w:ilvl w:val="1"/>
          <w:numId w:val="8"/>
        </w:numPr>
        <w:tabs>
          <w:tab w:pos="1075" w:val="left" w:leader="none"/>
          <w:tab w:pos="1076" w:val="left" w:leader="none"/>
        </w:tabs>
        <w:spacing w:line="273" w:lineRule="auto" w:before="56" w:after="0"/>
        <w:ind w:left="1075" w:right="0" w:hanging="851"/>
        <w:jc w:val="left"/>
      </w:pPr>
      <w:r>
        <w:rPr>
          <w:w w:val="95"/>
        </w:rPr>
        <w:t>合同成立及保险责任的开始</w:t>
      </w:r>
    </w:p>
    <w:p>
      <w:pPr>
        <w:pStyle w:val="BodyText"/>
        <w:spacing w:before="35"/>
        <w:ind w:left="185"/>
      </w:pPr>
      <w:r>
        <w:rPr/>
        <w:br w:type="column"/>
      </w:r>
      <w:r>
        <w:rPr/>
        <w:t>本附加合同与主合同同时投保、同时生效、保险责任同时开始。</w:t>
      </w:r>
    </w:p>
    <w:p>
      <w:pPr>
        <w:spacing w:after="0"/>
        <w:sectPr>
          <w:type w:val="continuous"/>
          <w:pgSz w:w="11910" w:h="16840"/>
          <w:pgMar w:top="560" w:bottom="280" w:left="1080" w:right="1240"/>
          <w:cols w:num="2" w:equalWidth="0">
            <w:col w:w="2551" w:space="40"/>
            <w:col w:w="6999"/>
          </w:cols>
        </w:sectPr>
      </w:pPr>
    </w:p>
    <w:p>
      <w:pPr>
        <w:pStyle w:val="BodyText"/>
        <w:rPr>
          <w:sz w:val="20"/>
        </w:rPr>
      </w:pPr>
    </w:p>
    <w:p>
      <w:pPr>
        <w:pStyle w:val="Heading2"/>
        <w:numPr>
          <w:ilvl w:val="0"/>
          <w:numId w:val="8"/>
        </w:numPr>
        <w:tabs>
          <w:tab w:pos="1075" w:val="left" w:leader="none"/>
          <w:tab w:pos="1076" w:val="left" w:leader="none"/>
        </w:tabs>
        <w:spacing w:line="240" w:lineRule="auto" w:before="174" w:after="0"/>
        <w:ind w:left="1075" w:right="0" w:hanging="851"/>
        <w:jc w:val="left"/>
      </w:pPr>
      <w:r>
        <w:rPr>
          <w:w w:val="95"/>
        </w:rPr>
        <w:t>我们提供的保障</w:t>
      </w:r>
    </w:p>
    <w:p>
      <w:pPr>
        <w:pStyle w:val="BodyText"/>
        <w:spacing w:before="2"/>
        <w:rPr>
          <w:b/>
          <w:sz w:val="10"/>
        </w:rPr>
      </w:pPr>
      <w:r>
        <w:rPr/>
        <w:pict>
          <v:group style="position:absolute;margin-left:59.82pt;margin-top:8.649351pt;width:467.85pt;height:1.45pt;mso-position-horizontal-relative:page;mso-position-vertical-relative:paragraph;z-index:1552;mso-wrap-distance-left:0;mso-wrap-distance-right:0" coordorigin="1196,173" coordsize="9357,29">
            <v:line style="position:absolute" from="1196,178" to="2047,178" stroked="true" strokeweight=".47998pt" strokecolor="#000000">
              <v:stroke dashstyle="solid"/>
            </v:line>
            <v:line style="position:absolute" from="1196,197" to="2047,197" stroked="true" strokeweight=".47998pt" strokecolor="#000000">
              <v:stroke dashstyle="solid"/>
            </v:line>
            <v:rect style="position:absolute;left:2047;top:172;width:29;height:10" filled="true" fillcolor="#000000" stroked="false">
              <v:fill type="solid"/>
            </v:rect>
            <v:rect style="position:absolute;left:2047;top:192;width:29;height:10" filled="true" fillcolor="#000000" stroked="false">
              <v:fill type="solid"/>
            </v:rect>
            <v:line style="position:absolute" from="2076,178" to="3749,178" stroked="true" strokeweight=".47998pt" strokecolor="#000000">
              <v:stroke dashstyle="solid"/>
            </v:line>
            <v:line style="position:absolute" from="2076,197" to="3749,197" stroked="true" strokeweight=".47998pt" strokecolor="#000000">
              <v:stroke dashstyle="solid"/>
            </v:line>
            <v:rect style="position:absolute;left:3748;top:172;width:29;height:10" filled="true" fillcolor="#000000" stroked="false">
              <v:fill type="solid"/>
            </v:rect>
            <v:rect style="position:absolute;left:3748;top:192;width:29;height:10" filled="true" fillcolor="#000000" stroked="false">
              <v:fill type="solid"/>
            </v:rect>
            <v:line style="position:absolute" from="3778,178" to="10553,178" stroked="true" strokeweight=".47998pt" strokecolor="#000000">
              <v:stroke dashstyle="solid"/>
            </v:line>
            <v:line style="position:absolute" from="3778,197" to="10553,197" stroked="true" strokeweight=".47998pt" strokecolor="#000000">
              <v:stroke dashstyle="solid"/>
            </v:line>
            <w10:wrap type="topAndBottom"/>
          </v:group>
        </w:pict>
      </w:r>
    </w:p>
    <w:p>
      <w:pPr>
        <w:pStyle w:val="BodyText"/>
        <w:rPr>
          <w:b/>
          <w:sz w:val="9"/>
        </w:rPr>
      </w:pPr>
    </w:p>
    <w:p>
      <w:pPr>
        <w:pStyle w:val="ListParagraph"/>
        <w:numPr>
          <w:ilvl w:val="1"/>
          <w:numId w:val="8"/>
        </w:numPr>
        <w:tabs>
          <w:tab w:pos="1075" w:val="left" w:leader="none"/>
        </w:tabs>
        <w:spacing w:line="273" w:lineRule="auto" w:before="36" w:after="0"/>
        <w:ind w:left="2775" w:right="296" w:hanging="2551"/>
        <w:jc w:val="both"/>
        <w:rPr>
          <w:sz w:val="21"/>
        </w:rPr>
      </w:pPr>
      <w:r>
        <w:rPr>
          <w:b/>
          <w:sz w:val="21"/>
        </w:rPr>
        <w:t>保险金额       </w:t>
      </w:r>
      <w:r>
        <w:rPr>
          <w:sz w:val="21"/>
        </w:rPr>
        <w:t>本附加合同所称的保险金额是指保险单或主合同批注上所载的本附加合同的保险金额。若该金额按本附加合同其它条款的约定发生变更，则以变更后的金额为保险金额。</w:t>
      </w:r>
    </w:p>
    <w:p>
      <w:pPr>
        <w:pStyle w:val="BodyText"/>
        <w:spacing w:before="7"/>
        <w:rPr>
          <w:sz w:val="17"/>
        </w:rPr>
      </w:pPr>
    </w:p>
    <w:p>
      <w:pPr>
        <w:pStyle w:val="ListParagraph"/>
        <w:numPr>
          <w:ilvl w:val="1"/>
          <w:numId w:val="8"/>
        </w:numPr>
        <w:tabs>
          <w:tab w:pos="1075" w:val="left" w:leader="none"/>
          <w:tab w:pos="1076" w:val="left" w:leader="none"/>
          <w:tab w:pos="2775" w:val="left" w:leader="none"/>
        </w:tabs>
        <w:spacing w:line="240" w:lineRule="auto" w:before="0" w:after="0"/>
        <w:ind w:left="1075" w:right="0" w:hanging="851"/>
        <w:jc w:val="left"/>
        <w:rPr>
          <w:sz w:val="21"/>
        </w:rPr>
      </w:pPr>
      <w:r>
        <w:rPr>
          <w:b/>
          <w:position w:val="3"/>
          <w:sz w:val="21"/>
        </w:rPr>
        <w:t>保险责任</w:t>
        <w:tab/>
      </w:r>
      <w:r>
        <w:rPr>
          <w:sz w:val="21"/>
        </w:rPr>
        <w:t>在本附加合同有效期内，我们承担如下保险责任：</w:t>
      </w:r>
    </w:p>
    <w:p>
      <w:pPr>
        <w:pStyle w:val="BodyText"/>
        <w:spacing w:before="12"/>
        <w:rPr>
          <w:sz w:val="17"/>
        </w:rPr>
      </w:pPr>
    </w:p>
    <w:p>
      <w:pPr>
        <w:pStyle w:val="ListParagraph"/>
        <w:numPr>
          <w:ilvl w:val="2"/>
          <w:numId w:val="8"/>
        </w:numPr>
        <w:tabs>
          <w:tab w:pos="1076" w:val="left" w:leader="none"/>
        </w:tabs>
        <w:spacing w:line="271" w:lineRule="auto" w:before="1" w:after="0"/>
        <w:ind w:left="2775" w:right="218" w:hanging="2551"/>
        <w:jc w:val="both"/>
        <w:rPr>
          <w:sz w:val="21"/>
        </w:rPr>
      </w:pPr>
      <w:r>
        <w:rPr>
          <w:i/>
          <w:spacing w:val="7"/>
          <w:sz w:val="22"/>
        </w:rPr>
        <w:t>重大疾病保险金 </w:t>
      </w:r>
      <w:r>
        <w:rPr>
          <w:spacing w:val="-2"/>
          <w:sz w:val="21"/>
        </w:rPr>
        <w:t>在本附加合同有效期内，若被保险人确诊首次患本附加合同 </w:t>
      </w:r>
      <w:r>
        <w:rPr>
          <w:i/>
          <w:sz w:val="22"/>
        </w:rPr>
        <w:t>3.1</w:t>
      </w:r>
      <w:r>
        <w:rPr>
          <w:i/>
          <w:spacing w:val="-38"/>
          <w:sz w:val="22"/>
        </w:rPr>
        <w:t> </w:t>
      </w:r>
      <w:r>
        <w:rPr>
          <w:sz w:val="21"/>
        </w:rPr>
        <w:t>所述重</w:t>
      </w:r>
      <w:r>
        <w:rPr>
          <w:spacing w:val="-5"/>
          <w:sz w:val="21"/>
        </w:rPr>
        <w:t>大疾病</w:t>
      </w:r>
      <w:r>
        <w:rPr>
          <w:sz w:val="21"/>
        </w:rPr>
        <w:t>（无论一种或多种</w:t>
      </w:r>
      <w:r>
        <w:rPr>
          <w:spacing w:val="-105"/>
          <w:sz w:val="21"/>
        </w:rPr>
        <w:t>）</w:t>
      </w:r>
      <w:r>
        <w:rPr>
          <w:spacing w:val="-4"/>
          <w:sz w:val="21"/>
        </w:rPr>
        <w:t>，则我们给付等值于本附加合同保险金额的重大疾病保险金，本附加合同及主合同 </w:t>
      </w:r>
      <w:r>
        <w:rPr>
          <w:sz w:val="21"/>
        </w:rPr>
        <w:t>BFEA</w:t>
      </w:r>
      <w:r>
        <w:rPr>
          <w:spacing w:val="-12"/>
          <w:sz w:val="21"/>
        </w:rPr>
        <w:t> 效力终止。</w:t>
      </w:r>
    </w:p>
    <w:p>
      <w:pPr>
        <w:pStyle w:val="BodyText"/>
        <w:rPr>
          <w:sz w:val="13"/>
        </w:rPr>
      </w:pPr>
    </w:p>
    <w:p>
      <w:pPr>
        <w:spacing w:after="0"/>
        <w:rPr>
          <w:sz w:val="13"/>
        </w:rPr>
        <w:sectPr>
          <w:pgSz w:w="11910" w:h="16840"/>
          <w:pgMar w:header="0" w:footer="998" w:top="1600" w:bottom="1180" w:left="1080" w:right="1240"/>
        </w:sectPr>
      </w:pPr>
    </w:p>
    <w:p>
      <w:pPr>
        <w:pStyle w:val="Heading4"/>
        <w:numPr>
          <w:ilvl w:val="2"/>
          <w:numId w:val="8"/>
        </w:numPr>
        <w:tabs>
          <w:tab w:pos="1075" w:val="left" w:leader="none"/>
          <w:tab w:pos="1076" w:val="left" w:leader="none"/>
        </w:tabs>
        <w:spacing w:line="211" w:lineRule="auto" w:before="66" w:after="0"/>
        <w:ind w:left="1075" w:right="0" w:hanging="851"/>
        <w:jc w:val="left"/>
      </w:pPr>
      <w:r>
        <w:rPr>
          <w:w w:val="95"/>
        </w:rPr>
        <w:t>女性特定原位癌保险金</w:t>
      </w:r>
    </w:p>
    <w:p>
      <w:pPr>
        <w:pStyle w:val="BodyText"/>
        <w:spacing w:line="237" w:lineRule="auto" w:before="49"/>
        <w:ind w:left="173" w:right="218"/>
        <w:jc w:val="both"/>
      </w:pPr>
      <w:r>
        <w:rPr/>
        <w:br w:type="column"/>
      </w:r>
      <w:r>
        <w:rPr>
          <w:spacing w:val="-9"/>
        </w:rPr>
        <w:t>在本附加合同有效期内，若被保险人确诊首次患下列女性特定原位癌</w:t>
      </w:r>
      <w:r>
        <w:rPr/>
        <w:t>（无论一种或多种</w:t>
      </w:r>
      <w:r>
        <w:rPr>
          <w:spacing w:val="-105"/>
        </w:rPr>
        <w:t>）</w:t>
      </w:r>
      <w:r>
        <w:rPr>
          <w:spacing w:val="-4"/>
        </w:rPr>
        <w:t>，则我们按保险金额的 </w:t>
      </w:r>
      <w:r>
        <w:rPr/>
        <w:t>20%</w:t>
      </w:r>
      <w:r>
        <w:rPr>
          <w:spacing w:val="-1"/>
        </w:rPr>
        <w:t>给付女性特定原位癌保险金，本项保险责任终止。</w:t>
      </w:r>
    </w:p>
    <w:p>
      <w:pPr>
        <w:pStyle w:val="BodyText"/>
        <w:spacing w:line="228" w:lineRule="auto" w:before="11"/>
        <w:ind w:left="173" w:right="217"/>
        <w:jc w:val="both"/>
      </w:pPr>
      <w:r>
        <w:rPr/>
        <w:t>女性特定原位癌指：乳腺、子宫颈、子宫、卵巢、输卵管、阴道、外阴部位的原位癌（</w:t>
      </w:r>
      <w:r>
        <w:rPr>
          <w:spacing w:val="-10"/>
        </w:rPr>
        <w:t>具体释义见 </w:t>
      </w:r>
      <w:r>
        <w:rPr>
          <w:i/>
          <w:sz w:val="22"/>
        </w:rPr>
        <w:t>3.2 </w:t>
      </w:r>
      <w:r>
        <w:rPr>
          <w:spacing w:val="-105"/>
        </w:rPr>
        <w:t>）</w:t>
      </w:r>
      <w:r>
        <w:rPr/>
        <w:t>。</w:t>
      </w:r>
    </w:p>
    <w:p>
      <w:pPr>
        <w:spacing w:after="0" w:line="228" w:lineRule="auto"/>
        <w:jc w:val="both"/>
        <w:sectPr>
          <w:type w:val="continuous"/>
          <w:pgSz w:w="11910" w:h="16840"/>
          <w:pgMar w:top="560" w:bottom="280" w:left="1080" w:right="1240"/>
          <w:cols w:num="2" w:equalWidth="0">
            <w:col w:w="2562" w:space="40"/>
            <w:col w:w="6988"/>
          </w:cols>
        </w:sectPr>
      </w:pPr>
    </w:p>
    <w:p>
      <w:pPr>
        <w:pStyle w:val="BodyText"/>
        <w:spacing w:before="7"/>
        <w:rPr>
          <w:sz w:val="13"/>
        </w:rPr>
      </w:pPr>
    </w:p>
    <w:p>
      <w:pPr>
        <w:spacing w:after="0"/>
        <w:rPr>
          <w:sz w:val="13"/>
        </w:rPr>
        <w:sectPr>
          <w:type w:val="continuous"/>
          <w:pgSz w:w="11910" w:h="16840"/>
          <w:pgMar w:top="560" w:bottom="280" w:left="1080" w:right="1240"/>
        </w:sectPr>
      </w:pPr>
    </w:p>
    <w:p>
      <w:pPr>
        <w:pStyle w:val="ListParagraph"/>
        <w:numPr>
          <w:ilvl w:val="2"/>
          <w:numId w:val="8"/>
        </w:numPr>
        <w:tabs>
          <w:tab w:pos="1075" w:val="left" w:leader="none"/>
          <w:tab w:pos="1076" w:val="left" w:leader="none"/>
        </w:tabs>
        <w:spacing w:line="290" w:lineRule="exact" w:before="34" w:after="0"/>
        <w:ind w:left="2775" w:right="0" w:hanging="2551"/>
        <w:jc w:val="left"/>
        <w:rPr>
          <w:i/>
          <w:sz w:val="22"/>
        </w:rPr>
      </w:pPr>
      <w:r>
        <w:rPr>
          <w:b/>
          <w:i/>
          <w:w w:val="95"/>
          <w:sz w:val="22"/>
        </w:rPr>
        <w:t>意外伤害</w:t>
      </w:r>
      <w:r>
        <w:rPr>
          <w:i/>
          <w:w w:val="95"/>
          <w:sz w:val="22"/>
        </w:rPr>
        <w:t>面部整</w:t>
      </w:r>
    </w:p>
    <w:p>
      <w:pPr>
        <w:pStyle w:val="Heading4"/>
        <w:spacing w:line="270" w:lineRule="exact" w:before="0"/>
        <w:ind w:left="1075" w:firstLine="0"/>
      </w:pPr>
      <w:r>
        <w:rPr>
          <w:w w:val="95"/>
        </w:rPr>
        <w:t>形手术保险金</w:t>
      </w:r>
    </w:p>
    <w:p>
      <w:pPr>
        <w:pStyle w:val="BodyText"/>
        <w:spacing w:line="235" w:lineRule="auto" w:before="51"/>
        <w:ind w:left="174" w:right="217"/>
        <w:jc w:val="both"/>
      </w:pPr>
      <w:r>
        <w:rPr/>
        <w:br w:type="column"/>
      </w:r>
      <w:r>
        <w:rPr/>
        <w:t>在本附加合同有效期内，若被保险人遭受</w:t>
      </w:r>
      <w:r>
        <w:rPr>
          <w:b/>
        </w:rPr>
        <w:t>意外伤害事故</w:t>
      </w:r>
      <w:r>
        <w:rPr/>
        <w:t>导致面部毁损， </w:t>
      </w:r>
      <w:r>
        <w:rPr>
          <w:spacing w:val="-1"/>
        </w:rPr>
        <w:t>并在意外伤害事故发生之日起 </w:t>
      </w:r>
      <w:r>
        <w:rPr/>
        <w:t>180</w:t>
      </w:r>
      <w:r>
        <w:rPr>
          <w:spacing w:val="-4"/>
        </w:rPr>
        <w:t> 天内接受了面部整形手术治疗</w:t>
      </w:r>
      <w:r>
        <w:rPr/>
        <w:t>（具体</w:t>
      </w:r>
      <w:r>
        <w:rPr>
          <w:spacing w:val="-4"/>
        </w:rPr>
        <w:t>释义见 </w:t>
      </w:r>
      <w:r>
        <w:rPr>
          <w:i/>
          <w:w w:val="95"/>
          <w:sz w:val="22"/>
        </w:rPr>
        <w:t>3.3</w:t>
      </w:r>
      <w:r>
        <w:rPr>
          <w:i/>
          <w:sz w:val="22"/>
        </w:rPr>
        <w:t> </w:t>
      </w:r>
      <w:r>
        <w:rPr>
          <w:spacing w:val="-105"/>
        </w:rPr>
        <w:t>）</w:t>
      </w:r>
      <w:r>
        <w:rPr>
          <w:spacing w:val="-3"/>
        </w:rPr>
        <w:t>，则我们按保险金额的 </w:t>
      </w:r>
      <w:r>
        <w:rPr/>
        <w:t>20％</w:t>
      </w:r>
      <w:r>
        <w:rPr>
          <w:spacing w:val="-1"/>
        </w:rPr>
        <w:t>给付意外伤害面部整形手术保险金，本项保险责任终止。</w:t>
      </w:r>
    </w:p>
    <w:p>
      <w:pPr>
        <w:spacing w:after="0" w:line="235" w:lineRule="auto"/>
        <w:jc w:val="both"/>
        <w:sectPr>
          <w:type w:val="continuous"/>
          <w:pgSz w:w="11910" w:h="16840"/>
          <w:pgMar w:top="560" w:bottom="280" w:left="1080" w:right="1240"/>
          <w:cols w:num="2" w:equalWidth="0">
            <w:col w:w="2561" w:space="40"/>
            <w:col w:w="6989"/>
          </w:cols>
        </w:sectPr>
      </w:pPr>
    </w:p>
    <w:p>
      <w:pPr>
        <w:pStyle w:val="BodyText"/>
        <w:spacing w:before="8"/>
        <w:rPr>
          <w:sz w:val="13"/>
        </w:rPr>
      </w:pPr>
    </w:p>
    <w:p>
      <w:pPr>
        <w:spacing w:after="0"/>
        <w:rPr>
          <w:sz w:val="13"/>
        </w:rPr>
        <w:sectPr>
          <w:type w:val="continuous"/>
          <w:pgSz w:w="11910" w:h="16840"/>
          <w:pgMar w:top="560" w:bottom="280" w:left="1080" w:right="1240"/>
        </w:sectPr>
      </w:pPr>
    </w:p>
    <w:p>
      <w:pPr>
        <w:pStyle w:val="Heading4"/>
        <w:numPr>
          <w:ilvl w:val="2"/>
          <w:numId w:val="8"/>
        </w:numPr>
        <w:tabs>
          <w:tab w:pos="1075" w:val="left" w:leader="none"/>
          <w:tab w:pos="1076" w:val="left" w:leader="none"/>
        </w:tabs>
        <w:spacing w:line="290" w:lineRule="exact" w:before="34" w:after="0"/>
        <w:ind w:left="2775" w:right="0" w:hanging="2551"/>
        <w:jc w:val="left"/>
      </w:pPr>
      <w:r>
        <w:rPr>
          <w:w w:val="95"/>
        </w:rPr>
        <w:t>女性特定手术医</w:t>
      </w:r>
    </w:p>
    <w:p>
      <w:pPr>
        <w:spacing w:line="270" w:lineRule="exact" w:before="0"/>
        <w:ind w:left="1075" w:right="0" w:firstLine="0"/>
        <w:jc w:val="left"/>
        <w:rPr>
          <w:i/>
          <w:sz w:val="22"/>
        </w:rPr>
      </w:pPr>
      <w:r>
        <w:rPr>
          <w:i/>
          <w:w w:val="95"/>
          <w:sz w:val="22"/>
        </w:rPr>
        <w:t>疗保险金</w:t>
      </w:r>
    </w:p>
    <w:p>
      <w:pPr>
        <w:pStyle w:val="BodyText"/>
        <w:spacing w:line="273" w:lineRule="auto" w:before="66"/>
        <w:ind w:left="173" w:right="217"/>
        <w:jc w:val="both"/>
      </w:pPr>
      <w:r>
        <w:rPr/>
        <w:br w:type="column"/>
      </w:r>
      <w:r>
        <w:rPr/>
        <w:t>在本附加合同有效期内，若被保险人接受下列女性特定手术（无论一种或多种</w:t>
      </w:r>
      <w:r>
        <w:rPr>
          <w:spacing w:val="-73"/>
        </w:rPr>
        <w:t>）</w:t>
      </w:r>
      <w:r>
        <w:rPr>
          <w:spacing w:val="-14"/>
        </w:rPr>
        <w:t>，则我们按保险金额的 </w:t>
      </w:r>
      <w:r>
        <w:rPr/>
        <w:t>10</w:t>
      </w:r>
      <w:r>
        <w:rPr>
          <w:spacing w:val="-3"/>
        </w:rPr>
        <w:t>％给付女性特定手术医疗保险金，本项保险责任终止。</w:t>
      </w:r>
    </w:p>
    <w:p>
      <w:pPr>
        <w:pStyle w:val="BodyText"/>
        <w:spacing w:line="261" w:lineRule="auto" w:before="7"/>
        <w:ind w:left="173" w:right="221"/>
        <w:jc w:val="both"/>
      </w:pPr>
      <w:r>
        <w:rPr>
          <w:spacing w:val="-9"/>
        </w:rPr>
        <w:t>女性特定手术指：全乳房切除术，子宫切除术</w:t>
      </w:r>
      <w:r>
        <w:rPr/>
        <w:t>（</w:t>
      </w:r>
      <w:r>
        <w:rPr>
          <w:spacing w:val="-8"/>
        </w:rPr>
        <w:t>被保险人须年满 </w:t>
      </w:r>
      <w:r>
        <w:rPr/>
        <w:t>40</w:t>
      </w:r>
      <w:r>
        <w:rPr>
          <w:spacing w:val="-32"/>
        </w:rPr>
        <w:t> 岁</w:t>
      </w:r>
      <w:r>
        <w:rPr>
          <w:spacing w:val="-17"/>
        </w:rPr>
        <w:t>）, </w:t>
      </w:r>
      <w:r>
        <w:rPr/>
        <w:t>双侧卵巢切除术（</w:t>
      </w:r>
      <w:r>
        <w:rPr>
          <w:spacing w:val="-10"/>
        </w:rPr>
        <w:t>具体释义见 </w:t>
      </w:r>
      <w:r>
        <w:rPr>
          <w:i/>
          <w:sz w:val="22"/>
        </w:rPr>
        <w:t>3.4 </w:t>
      </w:r>
      <w:r>
        <w:rPr>
          <w:spacing w:val="-106"/>
        </w:rPr>
        <w:t>）</w:t>
      </w:r>
      <w:r>
        <w:rPr/>
        <w:t>。</w:t>
      </w:r>
    </w:p>
    <w:p>
      <w:pPr>
        <w:spacing w:after="0" w:line="261" w:lineRule="auto"/>
        <w:jc w:val="both"/>
        <w:sectPr>
          <w:type w:val="continuous"/>
          <w:pgSz w:w="11910" w:h="16840"/>
          <w:pgMar w:top="560" w:bottom="280" w:left="1080" w:right="1240"/>
          <w:cols w:num="2" w:equalWidth="0">
            <w:col w:w="2562" w:space="40"/>
            <w:col w:w="6988"/>
          </w:cols>
        </w:sectPr>
      </w:pPr>
    </w:p>
    <w:p>
      <w:pPr>
        <w:pStyle w:val="BodyText"/>
        <w:rPr>
          <w:sz w:val="15"/>
        </w:rPr>
      </w:pPr>
    </w:p>
    <w:p>
      <w:pPr>
        <w:pStyle w:val="ListParagraph"/>
        <w:numPr>
          <w:ilvl w:val="2"/>
          <w:numId w:val="8"/>
        </w:numPr>
        <w:tabs>
          <w:tab w:pos="1076" w:val="left" w:leader="none"/>
        </w:tabs>
        <w:spacing w:line="278" w:lineRule="auto" w:before="29" w:after="0"/>
        <w:ind w:left="2775" w:right="217" w:hanging="2551"/>
        <w:jc w:val="both"/>
        <w:rPr>
          <w:sz w:val="21"/>
        </w:rPr>
      </w:pPr>
      <w:r>
        <w:rPr>
          <w:i/>
          <w:position w:val="3"/>
          <w:sz w:val="22"/>
        </w:rPr>
        <w:t>保险金给付限制 </w:t>
      </w:r>
      <w:r>
        <w:rPr>
          <w:sz w:val="21"/>
        </w:rPr>
        <w:t>在本附加合同有效期内，若被保险人于本附加合同生效之日起持续有效一百八十日（若本附加合同中止后复效，则以最后复效日起持续生效一百八十日为准）以内(含当日)患重大疾病、女性特定原位癌、接受女性特定手术治疗，则我们不承担给付保险金的责任，本附加合同及主合同</w:t>
      </w:r>
    </w:p>
    <w:p>
      <w:pPr>
        <w:pStyle w:val="BodyText"/>
        <w:spacing w:line="280" w:lineRule="auto" w:before="11"/>
        <w:ind w:left="2775" w:right="218"/>
        <w:jc w:val="both"/>
      </w:pPr>
      <w:r>
        <w:rPr/>
        <w:t>BFEA</w:t>
      </w:r>
      <w:r>
        <w:rPr>
          <w:spacing w:val="-15"/>
        </w:rPr>
        <w:t> 效力终止，我们将无息全额退还本附加合同及主合同 </w:t>
      </w:r>
      <w:r>
        <w:rPr/>
        <w:t>BFEA</w:t>
      </w:r>
      <w:r>
        <w:rPr>
          <w:spacing w:val="-12"/>
        </w:rPr>
        <w:t> 已缴的保险费。</w:t>
      </w:r>
    </w:p>
    <w:p>
      <w:pPr>
        <w:pStyle w:val="BodyText"/>
        <w:spacing w:line="278" w:lineRule="auto" w:before="8"/>
        <w:ind w:left="2775" w:right="217"/>
        <w:jc w:val="both"/>
      </w:pPr>
      <w:r>
        <w:rPr/>
        <w:t>在本附加合同生效之日起持续有效一百八十日（若本附加合同中止后复效，则以最后复效日起持续生效一百八十日为准）后至满两年以内（含两年期满当日</w:t>
      </w:r>
      <w:r>
        <w:rPr>
          <w:spacing w:val="-105"/>
        </w:rPr>
        <w:t>）</w:t>
      </w:r>
      <w:r>
        <w:rPr>
          <w:spacing w:val="-3"/>
        </w:rPr>
        <w:t>，若被保险人患重大疾病，则我们按保险金额的 </w:t>
      </w:r>
      <w:r>
        <w:rPr/>
        <w:t>50%</w:t>
      </w:r>
      <w:r>
        <w:rPr>
          <w:spacing w:val="-1"/>
        </w:rPr>
        <w:t>给付</w:t>
      </w:r>
      <w:r>
        <w:rPr>
          <w:spacing w:val="-7"/>
        </w:rPr>
        <w:t>重大疾病保险金，本附加合同及主合同 </w:t>
      </w:r>
      <w:r>
        <w:rPr/>
        <w:t>BFEA</w:t>
      </w:r>
      <w:r>
        <w:rPr>
          <w:spacing w:val="-9"/>
        </w:rPr>
        <w:t> 效力终止；若被保险人患女</w:t>
      </w:r>
      <w:r>
        <w:rPr>
          <w:spacing w:val="-13"/>
        </w:rPr>
        <w:t>性特定原位癌，则我们按保险金额的 </w:t>
      </w:r>
      <w:r>
        <w:rPr/>
        <w:t>10%</w:t>
      </w:r>
      <w:r>
        <w:rPr>
          <w:spacing w:val="-4"/>
        </w:rPr>
        <w:t>给付女性特定原位癌保险金，本项保险责任终止；若被保险人接受女性特定手术医疗，则我们按保险金</w:t>
      </w:r>
      <w:r>
        <w:rPr>
          <w:spacing w:val="-21"/>
        </w:rPr>
        <w:t>额的 </w:t>
      </w:r>
      <w:r>
        <w:rPr/>
        <w:t>5%给付女性特定手术医疗保险金，本项保险责任终止。</w:t>
      </w:r>
    </w:p>
    <w:p>
      <w:pPr>
        <w:pStyle w:val="BodyText"/>
        <w:spacing w:line="280" w:lineRule="auto" w:before="11"/>
        <w:ind w:left="2775" w:right="217"/>
        <w:jc w:val="both"/>
      </w:pPr>
      <w:r>
        <w:rPr/>
        <w:t>被保险人因于本附加合同有效期内发生的意外伤害事故所致的重大器官移植术、多个肢体缺失、深度昏迷、双耳失聪、双目失明、瘫痪、严重</w:t>
      </w:r>
    </w:p>
    <w:p>
      <w:pPr>
        <w:spacing w:after="0" w:line="280" w:lineRule="auto"/>
        <w:jc w:val="both"/>
        <w:sectPr>
          <w:type w:val="continuous"/>
          <w:pgSz w:w="11910" w:h="16840"/>
          <w:pgMar w:top="560" w:bottom="280" w:left="1080" w:right="1240"/>
        </w:sectPr>
      </w:pPr>
    </w:p>
    <w:p>
      <w:pPr>
        <w:pStyle w:val="BodyText"/>
        <w:spacing w:line="273" w:lineRule="auto" w:before="8"/>
        <w:ind w:left="2775" w:right="217"/>
        <w:jc w:val="both"/>
      </w:pPr>
      <w:r>
        <w:rPr>
          <w:spacing w:val="-1"/>
        </w:rPr>
        <w:t>脑损伤、严重Ⅲ度烧伤、语言能力丧失、因职业关系导致的 </w:t>
      </w:r>
      <w:r>
        <w:rPr/>
        <w:t>HIV</w:t>
      </w:r>
      <w:r>
        <w:rPr>
          <w:spacing w:val="-5"/>
        </w:rPr>
        <w:t> 感染、意外伤害面部整形手术，不受上述一百八十日及两年时间的限制，我们</w:t>
      </w:r>
      <w:r>
        <w:rPr>
          <w:spacing w:val="-33"/>
        </w:rPr>
        <w:t>将按 </w:t>
      </w:r>
      <w:r>
        <w:rPr>
          <w:i/>
          <w:sz w:val="22"/>
        </w:rPr>
        <w:t>2.2.1、2.2.3</w:t>
      </w:r>
      <w:r>
        <w:rPr>
          <w:i/>
          <w:spacing w:val="-92"/>
          <w:sz w:val="22"/>
        </w:rPr>
        <w:t> </w:t>
      </w:r>
      <w:r>
        <w:rPr/>
        <w:t>的约定承担保险责任。</w:t>
      </w:r>
    </w:p>
    <w:p>
      <w:pPr>
        <w:pStyle w:val="BodyText"/>
        <w:spacing w:before="5"/>
        <w:rPr>
          <w:sz w:val="25"/>
        </w:rPr>
      </w:pPr>
    </w:p>
    <w:p>
      <w:pPr>
        <w:pStyle w:val="BodyText"/>
        <w:spacing w:line="280" w:lineRule="auto"/>
        <w:ind w:left="2775" w:right="193"/>
      </w:pPr>
      <w:r>
        <w:rPr>
          <w:spacing w:val="-9"/>
        </w:rPr>
        <w:t>若已给付主合同 </w:t>
      </w:r>
      <w:r>
        <w:rPr/>
        <w:t>BFEA</w:t>
      </w:r>
      <w:r>
        <w:rPr>
          <w:spacing w:val="-9"/>
        </w:rPr>
        <w:t> 的保险金，则不再给付本附加合同中各项保险金， 本附加合同效力终止。</w:t>
      </w:r>
    </w:p>
    <w:p>
      <w:pPr>
        <w:pStyle w:val="BodyText"/>
        <w:spacing w:before="9"/>
        <w:rPr>
          <w:sz w:val="15"/>
        </w:rPr>
      </w:pPr>
    </w:p>
    <w:p>
      <w:pPr>
        <w:pStyle w:val="BodyText"/>
        <w:tabs>
          <w:tab w:pos="1181" w:val="left" w:leader="none"/>
          <w:tab w:pos="2775" w:val="left" w:leader="none"/>
        </w:tabs>
        <w:spacing w:line="278" w:lineRule="auto" w:before="1"/>
        <w:ind w:left="2775" w:right="113" w:hanging="2552"/>
      </w:pPr>
      <w:r>
        <w:rPr>
          <w:b/>
          <w:position w:val="3"/>
        </w:rPr>
        <w:t>2.3</w:t>
        <w:tab/>
        <w:t>责任免除</w:t>
        <w:tab/>
      </w:r>
      <w:r>
        <w:rPr/>
        <w:t>因下列情形之一</w:t>
      </w:r>
      <w:r>
        <w:rPr>
          <w:spacing w:val="-14"/>
        </w:rPr>
        <w:t>，</w:t>
      </w:r>
      <w:r>
        <w:rPr/>
        <w:t>导致被保险人发生疾病</w:t>
      </w:r>
      <w:r>
        <w:rPr>
          <w:spacing w:val="-14"/>
        </w:rPr>
        <w:t>、</w:t>
      </w:r>
      <w:r>
        <w:rPr/>
        <w:t>达到疾病状态或进行手术的，我们不承担给付保险金的责任：</w:t>
      </w:r>
    </w:p>
    <w:p>
      <w:pPr>
        <w:pStyle w:val="BodyText"/>
        <w:spacing w:before="12"/>
        <w:ind w:left="2775"/>
      </w:pPr>
      <w:r>
        <w:rPr/>
        <w:t>1、投保人对被保险人的故意杀害、故意伤害；</w:t>
      </w:r>
    </w:p>
    <w:p>
      <w:pPr>
        <w:pStyle w:val="BodyText"/>
        <w:spacing w:line="274" w:lineRule="exact"/>
        <w:ind w:left="2775"/>
      </w:pPr>
      <w:r>
        <w:rPr/>
        <w:t>2、被保险人故意自伤、故意犯罪或者抗拒依法采取的刑事强制措施；</w:t>
      </w:r>
    </w:p>
    <w:p>
      <w:pPr>
        <w:pStyle w:val="BodyText"/>
        <w:spacing w:line="272" w:lineRule="exact"/>
        <w:ind w:left="2775"/>
      </w:pPr>
      <w:r>
        <w:rPr/>
        <w:t>3、被保险人主动服用、吸食或注射毒品；</w:t>
      </w:r>
    </w:p>
    <w:p>
      <w:pPr>
        <w:pStyle w:val="BodyText"/>
        <w:spacing w:line="237" w:lineRule="auto" w:before="1"/>
        <w:ind w:left="2775" w:right="175"/>
      </w:pPr>
      <w:r>
        <w:rPr/>
        <w:t>4、被保险人酒后驾驶，无合法有效驾驶证驾驶，或驾驶无有效行驶证的机动车；</w:t>
      </w:r>
    </w:p>
    <w:p>
      <w:pPr>
        <w:spacing w:line="280" w:lineRule="auto" w:before="41"/>
        <w:ind w:left="2775" w:right="220" w:firstLine="0"/>
        <w:jc w:val="left"/>
        <w:rPr>
          <w:sz w:val="21"/>
        </w:rPr>
      </w:pPr>
      <w:r>
        <w:rPr>
          <w:sz w:val="21"/>
        </w:rPr>
        <w:t>5、被保险人患</w:t>
      </w:r>
      <w:r>
        <w:rPr>
          <w:b/>
          <w:sz w:val="21"/>
        </w:rPr>
        <w:t>艾滋病(AIDS)</w:t>
      </w:r>
      <w:r>
        <w:rPr>
          <w:sz w:val="21"/>
        </w:rPr>
        <w:t>或感染</w:t>
      </w:r>
      <w:r>
        <w:rPr>
          <w:b/>
          <w:sz w:val="21"/>
        </w:rPr>
        <w:t>艾滋病病毒(HIV</w:t>
      </w:r>
      <w:r>
        <w:rPr>
          <w:b/>
          <w:spacing w:val="-12"/>
          <w:sz w:val="21"/>
        </w:rPr>
        <w:t> 呈阳性)</w:t>
      </w:r>
      <w:r>
        <w:rPr>
          <w:sz w:val="21"/>
        </w:rPr>
        <w:t>（但本附加合同另有约定的除外</w:t>
      </w:r>
      <w:r>
        <w:rPr>
          <w:spacing w:val="-105"/>
          <w:sz w:val="21"/>
        </w:rPr>
        <w:t>）</w:t>
      </w:r>
      <w:r>
        <w:rPr>
          <w:sz w:val="21"/>
        </w:rPr>
        <w:t>；</w:t>
      </w:r>
    </w:p>
    <w:p>
      <w:pPr>
        <w:pStyle w:val="BodyText"/>
        <w:spacing w:before="9"/>
        <w:ind w:left="2775"/>
      </w:pPr>
      <w:r>
        <w:rPr/>
        <w:t>6、战争、军事冲突、暴乱或武装叛乱；</w:t>
      </w:r>
    </w:p>
    <w:p>
      <w:pPr>
        <w:pStyle w:val="BodyText"/>
        <w:spacing w:before="44"/>
        <w:ind w:left="2775"/>
      </w:pPr>
      <w:r>
        <w:rPr/>
        <w:t>7、核爆炸、核辐射或核污染；</w:t>
      </w:r>
    </w:p>
    <w:p>
      <w:pPr>
        <w:pStyle w:val="Heading5"/>
        <w:spacing w:before="45"/>
        <w:ind w:left="2775" w:firstLine="0"/>
        <w:rPr>
          <w:b w:val="0"/>
        </w:rPr>
      </w:pPr>
      <w:r>
        <w:rPr>
          <w:b w:val="0"/>
          <w:w w:val="95"/>
        </w:rPr>
        <w:t>8、</w:t>
      </w:r>
      <w:r>
        <w:rPr>
          <w:w w:val="95"/>
        </w:rPr>
        <w:t>遗传性疾病</w:t>
      </w:r>
      <w:r>
        <w:rPr>
          <w:b w:val="0"/>
          <w:w w:val="95"/>
        </w:rPr>
        <w:t>，</w:t>
      </w:r>
      <w:r>
        <w:rPr>
          <w:w w:val="95"/>
        </w:rPr>
        <w:t>先天性畸形、变形或染色体异常</w:t>
      </w:r>
      <w:r>
        <w:rPr>
          <w:b w:val="0"/>
          <w:w w:val="95"/>
        </w:rPr>
        <w:t>。</w:t>
      </w:r>
    </w:p>
    <w:p>
      <w:pPr>
        <w:pStyle w:val="BodyText"/>
        <w:spacing w:line="273" w:lineRule="auto" w:before="20"/>
        <w:ind w:left="2775" w:right="114"/>
      </w:pPr>
      <w:r>
        <w:rPr>
          <w:spacing w:val="-5"/>
        </w:rPr>
        <w:t>本附加合同因上述第１项情形而终止，投保人已交足 </w:t>
      </w:r>
      <w:r>
        <w:rPr/>
        <w:t>2</w:t>
      </w:r>
      <w:r>
        <w:rPr>
          <w:spacing w:val="-8"/>
        </w:rPr>
        <w:t> 年以上保险费的， </w:t>
      </w:r>
      <w:r>
        <w:rPr>
          <w:spacing w:val="-8"/>
          <w:w w:val="95"/>
        </w:rPr>
        <w:t>本公司按合同约定向其他权利人退还本合同当时的</w:t>
      </w:r>
      <w:r>
        <w:rPr>
          <w:b/>
          <w:spacing w:val="-8"/>
          <w:w w:val="95"/>
        </w:rPr>
        <w:t>现金价值</w:t>
      </w:r>
      <w:r>
        <w:rPr>
          <w:spacing w:val="-8"/>
          <w:w w:val="95"/>
        </w:rPr>
        <w:t>。</w:t>
      </w:r>
    </w:p>
    <w:p>
      <w:pPr>
        <w:pStyle w:val="BodyText"/>
        <w:spacing w:line="273" w:lineRule="auto" w:before="8"/>
        <w:ind w:left="2775" w:right="296"/>
      </w:pPr>
      <w:r>
        <w:rPr/>
        <w:t>本附加合同因上述其他情形而终止，本公司向投保人退还本合同当时的现金价值。</w:t>
      </w:r>
    </w:p>
    <w:p>
      <w:pPr>
        <w:pStyle w:val="BodyText"/>
        <w:rPr>
          <w:sz w:val="20"/>
        </w:rPr>
      </w:pPr>
    </w:p>
    <w:p>
      <w:pPr>
        <w:pStyle w:val="BodyText"/>
        <w:spacing w:before="11"/>
        <w:rPr>
          <w:sz w:val="22"/>
        </w:rPr>
      </w:pPr>
    </w:p>
    <w:p>
      <w:pPr>
        <w:pStyle w:val="Heading2"/>
        <w:numPr>
          <w:ilvl w:val="0"/>
          <w:numId w:val="8"/>
        </w:numPr>
        <w:tabs>
          <w:tab w:pos="1075" w:val="left" w:leader="none"/>
          <w:tab w:pos="1076" w:val="left" w:leader="none"/>
        </w:tabs>
        <w:spacing w:line="240" w:lineRule="auto" w:before="0" w:after="0"/>
        <w:ind w:left="1075" w:right="0" w:hanging="851"/>
        <w:jc w:val="left"/>
      </w:pPr>
      <w:r>
        <w:rPr>
          <w:w w:val="95"/>
        </w:rPr>
        <w:t>疾病释义</w:t>
      </w:r>
    </w:p>
    <w:p>
      <w:pPr>
        <w:pStyle w:val="BodyText"/>
        <w:spacing w:before="2"/>
        <w:rPr>
          <w:b/>
          <w:sz w:val="10"/>
        </w:rPr>
      </w:pPr>
      <w:r>
        <w:rPr/>
        <w:pict>
          <v:group style="position:absolute;margin-left:59.82pt;margin-top:8.633861pt;width:467.85pt;height:1.45pt;mso-position-horizontal-relative:page;mso-position-vertical-relative:paragraph;z-index:1576;mso-wrap-distance-left:0;mso-wrap-distance-right:0" coordorigin="1196,173" coordsize="9357,29">
            <v:line style="position:absolute" from="1196,177" to="2047,177" stroked="true" strokeweight=".48001pt" strokecolor="#000000">
              <v:stroke dashstyle="solid"/>
            </v:line>
            <v:line style="position:absolute" from="1196,197" to="2047,197" stroked="true" strokeweight=".48001pt" strokecolor="#000000">
              <v:stroke dashstyle="solid"/>
            </v:line>
            <v:rect style="position:absolute;left:2047;top:172;width:29;height:10" filled="true" fillcolor="#000000" stroked="false">
              <v:fill type="solid"/>
            </v:rect>
            <v:rect style="position:absolute;left:2047;top:191;width:29;height:10" filled="true" fillcolor="#000000" stroked="false">
              <v:fill type="solid"/>
            </v:rect>
            <v:line style="position:absolute" from="2076,177" to="3749,177" stroked="true" strokeweight=".48001pt" strokecolor="#000000">
              <v:stroke dashstyle="solid"/>
            </v:line>
            <v:line style="position:absolute" from="2076,197" to="3749,197" stroked="true" strokeweight=".48001pt" strokecolor="#000000">
              <v:stroke dashstyle="solid"/>
            </v:line>
            <v:rect style="position:absolute;left:3748;top:172;width:29;height:10" filled="true" fillcolor="#000000" stroked="false">
              <v:fill type="solid"/>
            </v:rect>
            <v:rect style="position:absolute;left:3748;top:191;width:29;height:10" filled="true" fillcolor="#000000" stroked="false">
              <v:fill type="solid"/>
            </v:rect>
            <v:line style="position:absolute" from="3778,177" to="10553,177" stroked="true" strokeweight=".48001pt" strokecolor="#000000">
              <v:stroke dashstyle="solid"/>
            </v:line>
            <v:line style="position:absolute" from="3778,197" to="10553,197" stroked="true" strokeweight=".48001pt" strokecolor="#000000">
              <v:stroke dashstyle="solid"/>
            </v:line>
            <w10:wrap type="topAndBottom"/>
          </v:group>
        </w:pict>
      </w:r>
    </w:p>
    <w:p>
      <w:pPr>
        <w:pStyle w:val="BodyText"/>
        <w:rPr>
          <w:b/>
          <w:sz w:val="9"/>
        </w:rPr>
      </w:pPr>
    </w:p>
    <w:p>
      <w:pPr>
        <w:pStyle w:val="ListParagraph"/>
        <w:numPr>
          <w:ilvl w:val="1"/>
          <w:numId w:val="8"/>
        </w:numPr>
        <w:tabs>
          <w:tab w:pos="1074" w:val="left" w:leader="none"/>
          <w:tab w:pos="1075" w:val="left" w:leader="none"/>
          <w:tab w:pos="2775" w:val="left" w:leader="none"/>
        </w:tabs>
        <w:spacing w:line="278" w:lineRule="auto" w:before="31" w:after="0"/>
        <w:ind w:left="2775" w:right="114" w:hanging="2551"/>
        <w:jc w:val="left"/>
        <w:rPr>
          <w:sz w:val="21"/>
        </w:rPr>
      </w:pPr>
      <w:r>
        <w:rPr>
          <w:b/>
          <w:position w:val="3"/>
          <w:sz w:val="21"/>
        </w:rPr>
        <w:t>重大疾病</w:t>
        <w:tab/>
      </w:r>
      <w:r>
        <w:rPr>
          <w:sz w:val="21"/>
        </w:rPr>
        <w:t>本附加合同所指的重大疾病在本附加合同中有确定的含义，不仅包括部 分一般意义上的重大疾病</w:t>
      </w:r>
      <w:r>
        <w:rPr>
          <w:spacing w:val="-28"/>
          <w:sz w:val="21"/>
        </w:rPr>
        <w:t>，</w:t>
      </w:r>
      <w:r>
        <w:rPr>
          <w:sz w:val="21"/>
        </w:rPr>
        <w:t>还包括某些重大手术和严重的机体功能障碍， 本附加合同所指的重大疾病可能与临床医学所指的重大疾病在概念和范围上有所不同，我们将在本附加合同重大疾病定义中详细列明，投保人投保本附加合同即表明其认可并遵从本附加合同中对重大疾病的定义。重大疾病指被保险人经我们指定或认可的</w:t>
      </w:r>
      <w:r>
        <w:rPr>
          <w:b/>
          <w:sz w:val="21"/>
        </w:rPr>
        <w:t>医院专科医生</w:t>
      </w:r>
      <w:r>
        <w:rPr>
          <w:sz w:val="21"/>
        </w:rPr>
        <w:t>明确诊断，符合定义所述条件的疾病</w:t>
      </w:r>
      <w:r>
        <w:rPr>
          <w:spacing w:val="-10"/>
          <w:sz w:val="21"/>
        </w:rPr>
        <w:t>、</w:t>
      </w:r>
      <w:r>
        <w:rPr>
          <w:sz w:val="21"/>
        </w:rPr>
        <w:t>手术或机体功能障碍之</w:t>
      </w:r>
      <w:r>
        <w:rPr>
          <w:spacing w:val="-9"/>
          <w:sz w:val="21"/>
        </w:rPr>
        <w:t>一</w:t>
      </w:r>
      <w:r>
        <w:rPr>
          <w:sz w:val="21"/>
        </w:rPr>
        <w:t>（其中</w:t>
      </w:r>
      <w:r>
        <w:rPr>
          <w:spacing w:val="-10"/>
          <w:sz w:val="21"/>
        </w:rPr>
        <w:t>，</w:t>
      </w:r>
      <w:r>
        <w:rPr>
          <w:sz w:val="21"/>
        </w:rPr>
        <w:t>前</w:t>
      </w:r>
      <w:r>
        <w:rPr>
          <w:spacing w:val="-54"/>
          <w:sz w:val="21"/>
        </w:rPr>
        <w:t> </w:t>
      </w:r>
      <w:r>
        <w:rPr>
          <w:sz w:val="21"/>
        </w:rPr>
        <w:t>25</w:t>
      </w:r>
      <w:r>
        <w:rPr>
          <w:spacing w:val="-53"/>
          <w:sz w:val="21"/>
        </w:rPr>
        <w:t> </w:t>
      </w:r>
      <w:r>
        <w:rPr>
          <w:sz w:val="21"/>
        </w:rPr>
        <w:t>种重大疾病定义完全采用了中国保险行业协会发布的《重大疾病保险的疾病定义使用规范》中的疾病定义</w:t>
      </w:r>
      <w:r>
        <w:rPr>
          <w:spacing w:val="-105"/>
          <w:sz w:val="21"/>
        </w:rPr>
        <w:t>）</w:t>
      </w:r>
      <w:r>
        <w:rPr>
          <w:sz w:val="21"/>
        </w:rPr>
        <w:t>：</w:t>
      </w:r>
    </w:p>
    <w:p>
      <w:pPr>
        <w:pStyle w:val="BodyText"/>
        <w:spacing w:before="10"/>
        <w:ind w:left="2775"/>
      </w:pPr>
      <w:r>
        <w:rPr/>
        <w:t>1、 恶性肿瘤</w:t>
      </w:r>
    </w:p>
    <w:p>
      <w:pPr>
        <w:pStyle w:val="BodyText"/>
        <w:spacing w:before="45"/>
        <w:ind w:left="2775"/>
      </w:pPr>
      <w:r>
        <w:rPr/>
        <w:t>2、 急性心肌梗死</w:t>
      </w:r>
    </w:p>
    <w:p>
      <w:pPr>
        <w:pStyle w:val="BodyText"/>
        <w:spacing w:before="45"/>
        <w:ind w:left="2775"/>
      </w:pPr>
      <w:r>
        <w:rPr/>
        <w:t>3、 脑中风后遗症</w:t>
      </w:r>
    </w:p>
    <w:p>
      <w:pPr>
        <w:pStyle w:val="BodyText"/>
        <w:spacing w:before="44"/>
        <w:ind w:left="2775"/>
      </w:pPr>
      <w:r>
        <w:rPr/>
        <w:t>4、 重大器官移植术或造血干细胞移植术</w:t>
      </w:r>
    </w:p>
    <w:p>
      <w:pPr>
        <w:pStyle w:val="BodyText"/>
        <w:spacing w:before="45"/>
        <w:ind w:left="2775"/>
      </w:pPr>
      <w:r>
        <w:rPr/>
        <w:t>5、 冠状动脉搭桥术（或称冠状动脉血管旁路移植术）</w:t>
      </w:r>
    </w:p>
    <w:p>
      <w:pPr>
        <w:pStyle w:val="BodyText"/>
        <w:spacing w:before="45"/>
        <w:ind w:left="2775"/>
      </w:pPr>
      <w:r>
        <w:rPr/>
        <w:t>6、 终末期肾病（或称慢性肾功能衰竭尿毒症期）</w:t>
      </w:r>
    </w:p>
    <w:p>
      <w:pPr>
        <w:pStyle w:val="BodyText"/>
        <w:spacing w:before="44"/>
        <w:ind w:left="2775"/>
      </w:pPr>
      <w:r>
        <w:rPr/>
        <w:t>7、 多个肢体缺失</w:t>
      </w:r>
    </w:p>
    <w:p>
      <w:pPr>
        <w:pStyle w:val="BodyText"/>
        <w:spacing w:before="45"/>
        <w:ind w:left="2775"/>
      </w:pPr>
      <w:r>
        <w:rPr/>
        <w:t>8、 急性或亚急性重症肝炎</w:t>
      </w:r>
    </w:p>
    <w:p>
      <w:pPr>
        <w:spacing w:after="0"/>
        <w:sectPr>
          <w:pgSz w:w="11910" w:h="16840"/>
          <w:pgMar w:header="0" w:footer="998" w:top="1500" w:bottom="1180" w:left="1080" w:right="1240"/>
        </w:sectPr>
      </w:pPr>
    </w:p>
    <w:p>
      <w:pPr>
        <w:pStyle w:val="BodyText"/>
        <w:spacing w:before="8"/>
        <w:ind w:left="2655"/>
      </w:pPr>
      <w:r>
        <w:rPr/>
        <w:t>9、 良性脑肿瘤</w:t>
      </w:r>
    </w:p>
    <w:p>
      <w:pPr>
        <w:pStyle w:val="BodyText"/>
        <w:spacing w:before="19"/>
        <w:ind w:left="2655"/>
      </w:pPr>
      <w:r>
        <w:rPr/>
        <w:t>10、慢性肝功能衰竭失代偿期</w:t>
      </w:r>
    </w:p>
    <w:p>
      <w:pPr>
        <w:pStyle w:val="BodyText"/>
        <w:spacing w:before="37"/>
        <w:ind w:left="2655"/>
      </w:pPr>
      <w:r>
        <w:rPr/>
        <w:t>11、脑炎后遗症或脑膜炎后遗症</w:t>
      </w:r>
    </w:p>
    <w:p>
      <w:pPr>
        <w:pStyle w:val="BodyText"/>
        <w:spacing w:before="37"/>
        <w:ind w:left="2655"/>
      </w:pPr>
      <w:r>
        <w:rPr/>
        <w:t>12、深度昏迷</w:t>
      </w:r>
    </w:p>
    <w:p>
      <w:pPr>
        <w:pStyle w:val="BodyText"/>
        <w:spacing w:before="37"/>
        <w:ind w:left="2655"/>
      </w:pPr>
      <w:r>
        <w:rPr/>
        <w:t>13、双耳失聪</w:t>
      </w:r>
    </w:p>
    <w:p>
      <w:pPr>
        <w:pStyle w:val="BodyText"/>
        <w:spacing w:before="37"/>
        <w:ind w:left="2655"/>
      </w:pPr>
      <w:r>
        <w:rPr/>
        <w:t>14、双目失明</w:t>
      </w:r>
    </w:p>
    <w:p>
      <w:pPr>
        <w:pStyle w:val="BodyText"/>
        <w:spacing w:before="62"/>
        <w:ind w:left="2655"/>
      </w:pPr>
      <w:r>
        <w:rPr/>
        <w:t>15、瘫痪</w:t>
      </w:r>
    </w:p>
    <w:p>
      <w:pPr>
        <w:pStyle w:val="BodyText"/>
        <w:spacing w:before="20"/>
        <w:ind w:left="2655"/>
      </w:pPr>
      <w:r>
        <w:rPr/>
        <w:t>16、心脏瓣膜手术</w:t>
      </w:r>
    </w:p>
    <w:p>
      <w:pPr>
        <w:pStyle w:val="BodyText"/>
        <w:spacing w:before="62"/>
        <w:ind w:left="2655"/>
      </w:pPr>
      <w:r>
        <w:rPr/>
        <w:t>17、严重阿尔茨海默病</w:t>
      </w:r>
    </w:p>
    <w:p>
      <w:pPr>
        <w:pStyle w:val="BodyText"/>
        <w:spacing w:before="44"/>
        <w:ind w:left="2655"/>
      </w:pPr>
      <w:r>
        <w:rPr/>
        <w:t>18、严重脑损伤</w:t>
      </w:r>
    </w:p>
    <w:p>
      <w:pPr>
        <w:pStyle w:val="BodyText"/>
        <w:spacing w:before="20"/>
        <w:ind w:left="2655"/>
      </w:pPr>
      <w:r>
        <w:rPr/>
        <w:t>19、严重帕金森病</w:t>
      </w:r>
    </w:p>
    <w:p>
      <w:pPr>
        <w:pStyle w:val="BodyText"/>
        <w:spacing w:before="62"/>
        <w:ind w:left="2655"/>
      </w:pPr>
      <w:r>
        <w:rPr/>
        <w:t>20、严重Ⅲ度烧伤</w:t>
      </w:r>
    </w:p>
    <w:p>
      <w:pPr>
        <w:pStyle w:val="BodyText"/>
        <w:spacing w:before="20"/>
        <w:ind w:left="2655"/>
      </w:pPr>
      <w:r>
        <w:rPr/>
        <w:t>21、严重原发性肺动脉高压</w:t>
      </w:r>
    </w:p>
    <w:p>
      <w:pPr>
        <w:pStyle w:val="BodyText"/>
        <w:spacing w:before="37"/>
        <w:ind w:left="2655"/>
      </w:pPr>
      <w:r>
        <w:rPr/>
        <w:t>22、严重运动神经元病</w:t>
      </w:r>
    </w:p>
    <w:p>
      <w:pPr>
        <w:pStyle w:val="BodyText"/>
        <w:spacing w:before="62"/>
        <w:ind w:left="2655"/>
      </w:pPr>
      <w:r>
        <w:rPr/>
        <w:t>23、语言能力丧失</w:t>
      </w:r>
    </w:p>
    <w:p>
      <w:pPr>
        <w:pStyle w:val="BodyText"/>
        <w:spacing w:before="19"/>
        <w:ind w:left="2655"/>
      </w:pPr>
      <w:r>
        <w:rPr/>
        <w:t>24、重型再生障碍性贫血</w:t>
      </w:r>
    </w:p>
    <w:p>
      <w:pPr>
        <w:pStyle w:val="BodyText"/>
        <w:spacing w:before="37"/>
        <w:ind w:left="2655"/>
      </w:pPr>
      <w:r>
        <w:rPr/>
        <w:t>25、主动脉手术</w:t>
      </w:r>
    </w:p>
    <w:p>
      <w:pPr>
        <w:pStyle w:val="BodyText"/>
        <w:spacing w:before="62"/>
        <w:ind w:left="2655"/>
      </w:pPr>
      <w:r>
        <w:rPr/>
        <w:t>26、严重多发性硬化症</w:t>
      </w:r>
    </w:p>
    <w:p>
      <w:pPr>
        <w:pStyle w:val="BodyText"/>
        <w:spacing w:before="45"/>
        <w:ind w:left="2655"/>
      </w:pPr>
      <w:r>
        <w:rPr/>
        <w:t>27、因职业关系导致的 </w:t>
      </w:r>
      <w:r>
        <w:rPr>
          <w:rFonts w:ascii="Times New Roman" w:eastAsia="Times New Roman"/>
        </w:rPr>
        <w:t>HIV </w:t>
      </w:r>
      <w:r>
        <w:rPr/>
        <w:t>感染</w:t>
      </w:r>
    </w:p>
    <w:p>
      <w:pPr>
        <w:spacing w:before="17"/>
        <w:ind w:left="2655" w:right="0" w:firstLine="0"/>
        <w:jc w:val="left"/>
        <w:rPr>
          <w:sz w:val="22"/>
        </w:rPr>
      </w:pPr>
      <w:r>
        <w:rPr>
          <w:w w:val="95"/>
          <w:sz w:val="21"/>
        </w:rPr>
        <w:t>28、</w:t>
      </w:r>
      <w:r>
        <w:rPr>
          <w:w w:val="95"/>
          <w:sz w:val="22"/>
        </w:rPr>
        <w:t>经输血导致的人类免疫缺陷病毒感染</w:t>
      </w:r>
    </w:p>
    <w:p>
      <w:pPr>
        <w:pStyle w:val="BodyText"/>
        <w:spacing w:before="42"/>
        <w:ind w:left="2655"/>
      </w:pPr>
      <w:r>
        <w:rPr/>
        <w:t>29、慢性呼吸功能衰竭</w:t>
      </w:r>
    </w:p>
    <w:p>
      <w:pPr>
        <w:pStyle w:val="BodyText"/>
        <w:spacing w:before="45"/>
        <w:ind w:left="2655"/>
      </w:pPr>
      <w:r>
        <w:rPr/>
        <w:t>30、严重类风湿性关节炎</w:t>
      </w:r>
    </w:p>
    <w:p>
      <w:pPr>
        <w:spacing w:before="34"/>
        <w:ind w:left="2655" w:right="0" w:firstLine="0"/>
        <w:jc w:val="left"/>
        <w:rPr>
          <w:sz w:val="22"/>
        </w:rPr>
      </w:pPr>
      <w:r>
        <w:rPr>
          <w:w w:val="95"/>
          <w:sz w:val="21"/>
        </w:rPr>
        <w:t>31、</w:t>
      </w:r>
      <w:r>
        <w:rPr>
          <w:w w:val="95"/>
          <w:sz w:val="22"/>
        </w:rPr>
        <w:t>严重狼疮性肾炎</w:t>
      </w:r>
    </w:p>
    <w:p>
      <w:pPr>
        <w:pStyle w:val="BodyText"/>
        <w:spacing w:before="11"/>
        <w:rPr>
          <w:sz w:val="25"/>
        </w:rPr>
      </w:pPr>
    </w:p>
    <w:p>
      <w:pPr>
        <w:pStyle w:val="BodyText"/>
        <w:ind w:left="2655"/>
      </w:pPr>
      <w:r>
        <w:rPr/>
        <w:t>以上各种重大疾病应符合以下定义：</w:t>
      </w:r>
    </w:p>
    <w:p>
      <w:pPr>
        <w:pStyle w:val="BodyText"/>
        <w:spacing w:before="3"/>
        <w:rPr>
          <w:sz w:val="19"/>
        </w:rPr>
      </w:pPr>
    </w:p>
    <w:p>
      <w:pPr>
        <w:pStyle w:val="ListParagraph"/>
        <w:numPr>
          <w:ilvl w:val="2"/>
          <w:numId w:val="9"/>
        </w:numPr>
        <w:tabs>
          <w:tab w:pos="955" w:val="left" w:leader="none"/>
          <w:tab w:pos="956" w:val="left" w:leader="none"/>
          <w:tab w:pos="2655" w:val="left" w:leader="none"/>
        </w:tabs>
        <w:spacing w:line="271" w:lineRule="auto" w:before="0" w:after="0"/>
        <w:ind w:left="2655" w:right="118" w:hanging="2551"/>
        <w:jc w:val="left"/>
        <w:rPr>
          <w:sz w:val="21"/>
        </w:rPr>
      </w:pPr>
      <w:r>
        <w:rPr>
          <w:i/>
          <w:sz w:val="22"/>
        </w:rPr>
        <w:t>恶性肿瘤</w:t>
        <w:tab/>
      </w:r>
      <w:r>
        <w:rPr>
          <w:sz w:val="21"/>
        </w:rPr>
        <w:t>指恶性细胞不受控制的进行性增长和扩散，浸润和破坏周围正常组织，可以经血管、淋巴管和体腔扩散转移到身体其它部位的疾病。经病理学检查结果明确诊断</w:t>
      </w:r>
      <w:r>
        <w:rPr>
          <w:spacing w:val="-14"/>
          <w:sz w:val="21"/>
        </w:rPr>
        <w:t>，</w:t>
      </w:r>
      <w:r>
        <w:rPr>
          <w:sz w:val="21"/>
        </w:rPr>
        <w:t>临床诊断属于世界卫生组</w:t>
      </w:r>
      <w:r>
        <w:rPr>
          <w:spacing w:val="-14"/>
          <w:sz w:val="21"/>
        </w:rPr>
        <w:t>织</w:t>
      </w:r>
      <w:r>
        <w:rPr>
          <w:sz w:val="21"/>
        </w:rPr>
        <w:t>《</w:t>
      </w:r>
      <w:r>
        <w:rPr>
          <w:spacing w:val="-2"/>
          <w:sz w:val="21"/>
        </w:rPr>
        <w:t> </w:t>
      </w:r>
      <w:r>
        <w:rPr>
          <w:sz w:val="21"/>
        </w:rPr>
        <w:t>疾病和有关健康问题</w:t>
      </w:r>
      <w:r>
        <w:rPr>
          <w:spacing w:val="-1"/>
          <w:sz w:val="21"/>
        </w:rPr>
        <w:t>的国</w:t>
      </w:r>
      <w:r>
        <w:rPr>
          <w:sz w:val="21"/>
        </w:rPr>
        <w:t>际统计分类</w:t>
      </w:r>
      <w:r>
        <w:rPr>
          <w:spacing w:val="-105"/>
          <w:sz w:val="21"/>
        </w:rPr>
        <w:t>》</w:t>
      </w:r>
      <w:r>
        <w:rPr>
          <w:sz w:val="21"/>
        </w:rPr>
        <w:t>（ICD-10）的恶性肿瘤范畴。</w:t>
      </w:r>
    </w:p>
    <w:p>
      <w:pPr>
        <w:pStyle w:val="BodyText"/>
        <w:spacing w:before="9"/>
        <w:ind w:left="3059" w:right="3750"/>
        <w:jc w:val="center"/>
      </w:pPr>
      <w:r>
        <w:rPr/>
        <w:t>下列疾病不在保障范围内：</w:t>
      </w:r>
    </w:p>
    <w:p>
      <w:pPr>
        <w:pStyle w:val="BodyText"/>
        <w:spacing w:before="36"/>
        <w:ind w:left="2655"/>
      </w:pPr>
      <w:r>
        <w:rPr/>
        <w:t>（1）原位癌；</w:t>
      </w:r>
    </w:p>
    <w:p>
      <w:pPr>
        <w:pStyle w:val="BodyText"/>
        <w:spacing w:before="36"/>
        <w:ind w:left="2655"/>
      </w:pPr>
      <w:r>
        <w:rPr/>
        <w:t>（2）相当于Binet 分期方案 A 期程度的慢性淋巴细胞白血病；</w:t>
      </w:r>
    </w:p>
    <w:p>
      <w:pPr>
        <w:pStyle w:val="BodyText"/>
        <w:spacing w:before="36"/>
        <w:ind w:left="2655"/>
      </w:pPr>
      <w:r>
        <w:rPr/>
        <w:t>（3）相当于Ann Arbor 分期方案 I 期程度的何杰金氏病；</w:t>
      </w:r>
    </w:p>
    <w:p>
      <w:pPr>
        <w:pStyle w:val="BodyText"/>
        <w:spacing w:before="36"/>
        <w:ind w:left="2655"/>
      </w:pPr>
      <w:r>
        <w:rPr/>
        <w:t>（4）</w:t>
      </w:r>
      <w:r>
        <w:rPr>
          <w:spacing w:val="-1"/>
        </w:rPr>
        <w:t>皮肤癌</w:t>
      </w:r>
      <w:r>
        <w:rPr/>
        <w:t>（不包括恶性黑色素瘤及已发生转移的皮肤癌</w:t>
      </w:r>
      <w:r>
        <w:rPr>
          <w:spacing w:val="-106"/>
        </w:rPr>
        <w:t>）</w:t>
      </w:r>
      <w:r>
        <w:rPr/>
        <w:t>；</w:t>
      </w:r>
    </w:p>
    <w:p>
      <w:pPr>
        <w:pStyle w:val="BodyText"/>
        <w:spacing w:before="36"/>
        <w:ind w:left="2655"/>
      </w:pPr>
      <w:r>
        <w:rPr/>
        <w:t>（5）感染艾滋病病毒或患艾滋病期间所患恶性肿瘤。</w:t>
      </w:r>
    </w:p>
    <w:p>
      <w:pPr>
        <w:pStyle w:val="BodyText"/>
        <w:spacing w:before="2"/>
        <w:rPr>
          <w:sz w:val="19"/>
        </w:rPr>
      </w:pPr>
    </w:p>
    <w:p>
      <w:pPr>
        <w:pStyle w:val="ListParagraph"/>
        <w:numPr>
          <w:ilvl w:val="2"/>
          <w:numId w:val="9"/>
        </w:numPr>
        <w:tabs>
          <w:tab w:pos="955" w:val="left" w:leader="none"/>
          <w:tab w:pos="956" w:val="left" w:leader="none"/>
          <w:tab w:pos="2655" w:val="left" w:leader="none"/>
        </w:tabs>
        <w:spacing w:line="268" w:lineRule="auto" w:before="1" w:after="0"/>
        <w:ind w:left="2655" w:right="117" w:hanging="2551"/>
        <w:jc w:val="left"/>
        <w:rPr>
          <w:sz w:val="21"/>
        </w:rPr>
      </w:pPr>
      <w:r>
        <w:rPr>
          <w:i/>
          <w:sz w:val="22"/>
        </w:rPr>
        <w:t>急性心肌梗死</w:t>
        <w:tab/>
      </w:r>
      <w:r>
        <w:rPr>
          <w:sz w:val="21"/>
        </w:rPr>
        <w:t>指因冠状动脉阻塞导致的相应区域供血不足造成部分心肌坏死。须满足 下列至少三项条件：</w:t>
      </w:r>
    </w:p>
    <w:p>
      <w:pPr>
        <w:pStyle w:val="BodyText"/>
        <w:spacing w:before="12"/>
        <w:ind w:left="2655"/>
      </w:pPr>
      <w:r>
        <w:rPr/>
        <w:t>（1）典型临床表现，例如急性胸痛等；</w:t>
      </w:r>
    </w:p>
    <w:p>
      <w:pPr>
        <w:pStyle w:val="BodyText"/>
        <w:spacing w:before="37"/>
        <w:ind w:left="2655"/>
      </w:pPr>
      <w:r>
        <w:rPr/>
        <w:t>（2）新近的心电图改变提示急性心肌梗塞；</w:t>
      </w:r>
    </w:p>
    <w:p>
      <w:pPr>
        <w:pStyle w:val="BodyText"/>
        <w:spacing w:line="273" w:lineRule="auto" w:before="37"/>
        <w:ind w:left="2655" w:right="68"/>
      </w:pPr>
      <w:r>
        <w:rPr/>
        <w:t>（3）心肌酶或肌钙蛋白有诊断意义的升高，或呈符合急性心肌梗塞的动态性变化；</w:t>
      </w:r>
    </w:p>
    <w:p>
      <w:pPr>
        <w:pStyle w:val="BodyText"/>
        <w:spacing w:before="7"/>
        <w:ind w:left="2655"/>
      </w:pPr>
      <w:r>
        <w:rPr/>
        <w:t>（4）发病 90 天后，经检查证实左心室功能降低，如左心室射血分数低</w:t>
      </w:r>
    </w:p>
    <w:p>
      <w:pPr>
        <w:spacing w:after="0"/>
        <w:sectPr>
          <w:pgSz w:w="11910" w:h="16840"/>
          <w:pgMar w:header="0" w:footer="998" w:top="1500" w:bottom="1180" w:left="1200" w:right="1340"/>
        </w:sectPr>
      </w:pPr>
    </w:p>
    <w:p>
      <w:pPr>
        <w:pStyle w:val="BodyText"/>
        <w:spacing w:before="22"/>
        <w:ind w:left="2715"/>
      </w:pPr>
      <w:r>
        <w:rPr/>
        <w:t>于 50%。</w:t>
      </w:r>
    </w:p>
    <w:p>
      <w:pPr>
        <w:pStyle w:val="BodyText"/>
        <w:spacing w:before="2"/>
        <w:rPr>
          <w:sz w:val="19"/>
        </w:rPr>
      </w:pPr>
    </w:p>
    <w:p>
      <w:pPr>
        <w:pStyle w:val="ListParagraph"/>
        <w:numPr>
          <w:ilvl w:val="2"/>
          <w:numId w:val="9"/>
        </w:numPr>
        <w:tabs>
          <w:tab w:pos="1015" w:val="left" w:leader="none"/>
          <w:tab w:pos="1016" w:val="left" w:leader="none"/>
          <w:tab w:pos="2715" w:val="left" w:leader="none"/>
        </w:tabs>
        <w:spacing w:line="271" w:lineRule="auto" w:before="1" w:after="0"/>
        <w:ind w:left="2715" w:right="153" w:hanging="2551"/>
        <w:jc w:val="left"/>
        <w:rPr>
          <w:sz w:val="21"/>
        </w:rPr>
      </w:pPr>
      <w:r>
        <w:rPr>
          <w:i/>
          <w:sz w:val="22"/>
        </w:rPr>
        <w:t>脑中风后遗症</w:t>
        <w:tab/>
      </w:r>
      <w:r>
        <w:rPr>
          <w:sz w:val="21"/>
        </w:rPr>
        <w:t>指因脑血管的突发病变引起脑血管出血、栓塞或梗塞，并导致神经系统 永久性的功能障碍</w:t>
      </w:r>
      <w:r>
        <w:rPr>
          <w:spacing w:val="-14"/>
          <w:sz w:val="21"/>
        </w:rPr>
        <w:t>。</w:t>
      </w:r>
      <w:r>
        <w:rPr>
          <w:sz w:val="21"/>
        </w:rPr>
        <w:t>神经系统永久性的功能障碍</w:t>
      </w:r>
      <w:r>
        <w:rPr>
          <w:spacing w:val="-14"/>
          <w:sz w:val="21"/>
        </w:rPr>
        <w:t>，</w:t>
      </w:r>
      <w:r>
        <w:rPr>
          <w:sz w:val="21"/>
        </w:rPr>
        <w:t>指疾病确诊</w:t>
      </w:r>
      <w:r>
        <w:rPr>
          <w:spacing w:val="-54"/>
          <w:sz w:val="21"/>
        </w:rPr>
        <w:t> </w:t>
      </w:r>
      <w:r>
        <w:rPr>
          <w:sz w:val="21"/>
        </w:rPr>
        <w:t>180</w:t>
      </w:r>
      <w:r>
        <w:rPr>
          <w:spacing w:val="-53"/>
          <w:sz w:val="21"/>
        </w:rPr>
        <w:t> </w:t>
      </w:r>
      <w:r>
        <w:rPr>
          <w:sz w:val="21"/>
        </w:rPr>
        <w:t>天后， 仍遗留下列一种或一种以上障碍：</w:t>
      </w:r>
    </w:p>
    <w:p>
      <w:pPr>
        <w:pStyle w:val="BodyText"/>
        <w:spacing w:before="10"/>
        <w:ind w:left="2715"/>
      </w:pPr>
      <w:r>
        <w:rPr/>
        <w:t>（1）一肢或一肢以上肢体机能完全丧失；</w:t>
      </w:r>
    </w:p>
    <w:p>
      <w:pPr>
        <w:pStyle w:val="BodyText"/>
        <w:spacing w:before="37"/>
        <w:ind w:left="2715"/>
      </w:pPr>
      <w:r>
        <w:rPr/>
        <w:t>（2）语言能力或咀嚼吞咽能力完全丧失；</w:t>
      </w:r>
    </w:p>
    <w:p>
      <w:pPr>
        <w:pStyle w:val="BodyText"/>
        <w:spacing w:line="273" w:lineRule="auto" w:before="37"/>
        <w:ind w:left="2715" w:right="208"/>
      </w:pPr>
      <w:r>
        <w:rPr/>
        <w:t>（3）自主生活能力完全丧失，无法独立完成六项基本日常生活活动中的三项或三项以上。</w:t>
      </w:r>
    </w:p>
    <w:p>
      <w:pPr>
        <w:pStyle w:val="BodyText"/>
        <w:spacing w:before="11"/>
        <w:rPr>
          <w:sz w:val="12"/>
        </w:rPr>
      </w:pPr>
    </w:p>
    <w:p>
      <w:pPr>
        <w:spacing w:after="0"/>
        <w:rPr>
          <w:sz w:val="12"/>
        </w:rPr>
        <w:sectPr>
          <w:pgSz w:w="11910" w:h="16840"/>
          <w:pgMar w:header="0" w:footer="998" w:top="1460" w:bottom="1180" w:left="1140" w:right="1200"/>
        </w:sectPr>
      </w:pPr>
    </w:p>
    <w:p>
      <w:pPr>
        <w:pStyle w:val="Heading4"/>
        <w:numPr>
          <w:ilvl w:val="2"/>
          <w:numId w:val="9"/>
        </w:numPr>
        <w:tabs>
          <w:tab w:pos="1015" w:val="left" w:leader="none"/>
          <w:tab w:pos="1016" w:val="left" w:leader="none"/>
        </w:tabs>
        <w:spacing w:line="290" w:lineRule="exact" w:before="34" w:after="0"/>
        <w:ind w:left="1015" w:right="0" w:hanging="851"/>
        <w:jc w:val="left"/>
      </w:pPr>
      <w:r>
        <w:rPr>
          <w:w w:val="95"/>
        </w:rPr>
        <w:t>重大器官移植术</w:t>
      </w:r>
    </w:p>
    <w:p>
      <w:pPr>
        <w:spacing w:line="228" w:lineRule="auto" w:before="0"/>
        <w:ind w:left="1015" w:right="0" w:firstLine="0"/>
        <w:jc w:val="left"/>
        <w:rPr>
          <w:i/>
          <w:sz w:val="22"/>
        </w:rPr>
      </w:pPr>
      <w:r>
        <w:rPr>
          <w:i/>
          <w:w w:val="95"/>
          <w:sz w:val="22"/>
        </w:rPr>
        <w:t>或造血干细胞移植术</w:t>
      </w:r>
    </w:p>
    <w:p>
      <w:pPr>
        <w:pStyle w:val="BodyText"/>
        <w:spacing w:line="273" w:lineRule="auto" w:before="66"/>
        <w:ind w:left="164" w:right="257"/>
        <w:jc w:val="both"/>
      </w:pPr>
      <w:r>
        <w:rPr/>
        <w:br w:type="column"/>
      </w:r>
      <w:r>
        <w:rPr/>
        <w:t>重大器官移植术，指因相应器官功能衰竭，已经实施了肾脏、肝脏、心脏或肺脏的异体移植手术。</w:t>
      </w:r>
    </w:p>
    <w:p>
      <w:pPr>
        <w:pStyle w:val="BodyText"/>
        <w:spacing w:line="273" w:lineRule="auto" w:before="7"/>
        <w:ind w:left="164" w:right="257"/>
        <w:jc w:val="both"/>
      </w:pPr>
      <w:r>
        <w:rPr/>
        <w:t>造血干细胞移植术，指因造血功能损害或造血系统恶性肿瘤，已经实施了造血干细胞（包括骨髓造血干细胞、外周血造血干细胞和脐血造血干细胞）的异体移植手术。</w:t>
      </w:r>
    </w:p>
    <w:p>
      <w:pPr>
        <w:spacing w:after="0" w:line="273" w:lineRule="auto"/>
        <w:jc w:val="both"/>
        <w:sectPr>
          <w:type w:val="continuous"/>
          <w:pgSz w:w="11910" w:h="16840"/>
          <w:pgMar w:top="560" w:bottom="280" w:left="1140" w:right="1200"/>
          <w:cols w:num="2" w:equalWidth="0">
            <w:col w:w="2502" w:space="49"/>
            <w:col w:w="7019"/>
          </w:cols>
        </w:sectPr>
      </w:pPr>
    </w:p>
    <w:p>
      <w:pPr>
        <w:pStyle w:val="BodyText"/>
        <w:spacing w:before="5"/>
        <w:rPr>
          <w:sz w:val="14"/>
        </w:rPr>
      </w:pPr>
    </w:p>
    <w:p>
      <w:pPr>
        <w:spacing w:after="0"/>
        <w:rPr>
          <w:sz w:val="14"/>
        </w:rPr>
        <w:sectPr>
          <w:type w:val="continuous"/>
          <w:pgSz w:w="11910" w:h="16840"/>
          <w:pgMar w:top="560" w:bottom="280" w:left="1140" w:right="1200"/>
        </w:sectPr>
      </w:pPr>
    </w:p>
    <w:p>
      <w:pPr>
        <w:pStyle w:val="Heading4"/>
        <w:numPr>
          <w:ilvl w:val="2"/>
          <w:numId w:val="9"/>
        </w:numPr>
        <w:tabs>
          <w:tab w:pos="1015" w:val="left" w:leader="none"/>
          <w:tab w:pos="1016" w:val="left" w:leader="none"/>
        </w:tabs>
        <w:spacing w:line="240" w:lineRule="auto" w:before="34" w:after="0"/>
        <w:ind w:left="1015" w:right="0" w:hanging="851"/>
        <w:jc w:val="left"/>
      </w:pPr>
      <w:r>
        <w:rPr>
          <w:w w:val="95"/>
        </w:rPr>
        <w:t>冠状动脉搭桥术</w:t>
      </w:r>
    </w:p>
    <w:p>
      <w:pPr>
        <w:spacing w:line="259" w:lineRule="auto" w:before="23"/>
        <w:ind w:left="1015" w:right="0" w:firstLine="0"/>
        <w:jc w:val="both"/>
        <w:rPr>
          <w:i/>
          <w:sz w:val="22"/>
        </w:rPr>
      </w:pPr>
      <w:r>
        <w:rPr>
          <w:i/>
          <w:w w:val="95"/>
          <w:sz w:val="22"/>
        </w:rPr>
        <w:t>（或称冠状动脉血管旁路移植术）</w:t>
      </w:r>
    </w:p>
    <w:p>
      <w:pPr>
        <w:pStyle w:val="BodyText"/>
        <w:spacing w:line="273" w:lineRule="auto" w:before="46"/>
        <w:ind w:left="164" w:right="257"/>
      </w:pPr>
      <w:r>
        <w:rPr/>
        <w:br w:type="column"/>
      </w:r>
      <w:r>
        <w:rPr/>
        <w:t>指为治疗严重的冠心病，实际实施了开胸进行的冠状动脉血管旁路移植的手术。</w:t>
      </w:r>
    </w:p>
    <w:p>
      <w:pPr>
        <w:pStyle w:val="BodyText"/>
        <w:spacing w:line="273" w:lineRule="auto" w:before="7"/>
        <w:ind w:left="164" w:right="257"/>
      </w:pPr>
      <w:r>
        <w:rPr/>
        <w:t>冠状动脉支架植入术、心导管球囊扩张术、激光射频技术及其它非开胸的介入手术、腔镜手术不在保障范围内。</w:t>
      </w:r>
    </w:p>
    <w:p>
      <w:pPr>
        <w:spacing w:after="0" w:line="273" w:lineRule="auto"/>
        <w:sectPr>
          <w:type w:val="continuous"/>
          <w:pgSz w:w="11910" w:h="16840"/>
          <w:pgMar w:top="560" w:bottom="280" w:left="1140" w:right="1200"/>
          <w:cols w:num="2" w:equalWidth="0">
            <w:col w:w="2502" w:space="49"/>
            <w:col w:w="7019"/>
          </w:cols>
        </w:sectPr>
      </w:pPr>
    </w:p>
    <w:p>
      <w:pPr>
        <w:pStyle w:val="BodyText"/>
        <w:spacing w:before="8"/>
        <w:rPr>
          <w:sz w:val="13"/>
        </w:rPr>
      </w:pPr>
    </w:p>
    <w:p>
      <w:pPr>
        <w:spacing w:after="0"/>
        <w:rPr>
          <w:sz w:val="13"/>
        </w:rPr>
        <w:sectPr>
          <w:type w:val="continuous"/>
          <w:pgSz w:w="11910" w:h="16840"/>
          <w:pgMar w:top="560" w:bottom="280" w:left="1140" w:right="1200"/>
        </w:sectPr>
      </w:pPr>
    </w:p>
    <w:p>
      <w:pPr>
        <w:pStyle w:val="Heading4"/>
        <w:numPr>
          <w:ilvl w:val="2"/>
          <w:numId w:val="9"/>
        </w:numPr>
        <w:tabs>
          <w:tab w:pos="1015" w:val="left" w:leader="none"/>
          <w:tab w:pos="1016" w:val="left" w:leader="none"/>
        </w:tabs>
        <w:spacing w:line="240" w:lineRule="auto" w:before="44" w:after="0"/>
        <w:ind w:left="1015" w:right="0" w:hanging="851"/>
        <w:jc w:val="left"/>
      </w:pPr>
      <w:r>
        <w:rPr>
          <w:w w:val="95"/>
        </w:rPr>
        <w:t>终末期肾病（或</w:t>
      </w:r>
    </w:p>
    <w:p>
      <w:pPr>
        <w:spacing w:before="24"/>
        <w:ind w:left="1015" w:right="0" w:firstLine="0"/>
        <w:jc w:val="left"/>
        <w:rPr>
          <w:i/>
          <w:sz w:val="22"/>
        </w:rPr>
      </w:pPr>
      <w:r>
        <w:rPr>
          <w:i/>
          <w:w w:val="95"/>
          <w:sz w:val="22"/>
        </w:rPr>
        <w:t>称慢性肾功能衰</w:t>
      </w:r>
    </w:p>
    <w:p>
      <w:pPr>
        <w:pStyle w:val="BodyText"/>
        <w:spacing w:line="237" w:lineRule="auto" w:before="38"/>
        <w:ind w:left="164" w:right="257"/>
      </w:pPr>
      <w:r>
        <w:rPr/>
        <w:br w:type="column"/>
      </w:r>
      <w:r>
        <w:rPr/>
        <w:t>指双肾功能慢性不可逆性衰竭，达到尿毒症期，经诊断后已经进行了至少 90 天的规律性透析治疗或实施了肾脏移植手术。</w:t>
      </w:r>
    </w:p>
    <w:p>
      <w:pPr>
        <w:spacing w:after="0" w:line="237" w:lineRule="auto"/>
        <w:sectPr>
          <w:type w:val="continuous"/>
          <w:pgSz w:w="11910" w:h="16840"/>
          <w:pgMar w:top="560" w:bottom="280" w:left="1140" w:right="1200"/>
          <w:cols w:num="2" w:equalWidth="0">
            <w:col w:w="2486" w:space="65"/>
            <w:col w:w="7019"/>
          </w:cols>
        </w:sectPr>
      </w:pPr>
    </w:p>
    <w:p>
      <w:pPr>
        <w:pStyle w:val="BodyText"/>
        <w:spacing w:before="11"/>
        <w:rPr>
          <w:sz w:val="6"/>
        </w:rPr>
      </w:pPr>
    </w:p>
    <w:tbl>
      <w:tblPr>
        <w:tblW w:w="0" w:type="auto"/>
        <w:jc w:val="left"/>
        <w:tblInd w:w="1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91"/>
        <w:gridCol w:w="1703"/>
        <w:gridCol w:w="6851"/>
      </w:tblGrid>
      <w:tr>
        <w:trPr>
          <w:trHeight w:val="380" w:hRule="atLeast"/>
        </w:trPr>
        <w:tc>
          <w:tcPr>
            <w:tcW w:w="791" w:type="dxa"/>
          </w:tcPr>
          <w:p>
            <w:pPr>
              <w:pStyle w:val="TableParagraph"/>
              <w:rPr>
                <w:rFonts w:ascii="Times New Roman"/>
                <w:sz w:val="20"/>
              </w:rPr>
            </w:pPr>
          </w:p>
        </w:tc>
        <w:tc>
          <w:tcPr>
            <w:tcW w:w="1703" w:type="dxa"/>
          </w:tcPr>
          <w:p>
            <w:pPr>
              <w:pStyle w:val="TableParagraph"/>
              <w:spacing w:line="222" w:lineRule="exact"/>
              <w:ind w:left="109"/>
              <w:rPr>
                <w:i/>
                <w:sz w:val="22"/>
              </w:rPr>
            </w:pPr>
            <w:r>
              <w:rPr>
                <w:i/>
                <w:w w:val="95"/>
                <w:sz w:val="22"/>
              </w:rPr>
              <w:t>竭尿毒症期）</w:t>
            </w:r>
          </w:p>
        </w:tc>
        <w:tc>
          <w:tcPr>
            <w:tcW w:w="6851" w:type="dxa"/>
          </w:tcPr>
          <w:p>
            <w:pPr>
              <w:pStyle w:val="TableParagraph"/>
              <w:rPr>
                <w:rFonts w:ascii="Times New Roman"/>
                <w:sz w:val="20"/>
              </w:rPr>
            </w:pPr>
          </w:p>
        </w:tc>
      </w:tr>
      <w:tr>
        <w:trPr>
          <w:trHeight w:val="430" w:hRule="atLeast"/>
        </w:trPr>
        <w:tc>
          <w:tcPr>
            <w:tcW w:w="791" w:type="dxa"/>
          </w:tcPr>
          <w:p>
            <w:pPr>
              <w:pStyle w:val="TableParagraph"/>
              <w:spacing w:before="92"/>
              <w:ind w:left="50"/>
              <w:rPr>
                <w:i/>
                <w:sz w:val="22"/>
              </w:rPr>
            </w:pPr>
            <w:r>
              <w:rPr>
                <w:i/>
                <w:sz w:val="22"/>
              </w:rPr>
              <w:t>3.1.7</w:t>
            </w:r>
          </w:p>
        </w:tc>
        <w:tc>
          <w:tcPr>
            <w:tcW w:w="1703" w:type="dxa"/>
          </w:tcPr>
          <w:p>
            <w:pPr>
              <w:pStyle w:val="TableParagraph"/>
              <w:spacing w:before="92"/>
              <w:ind w:left="109"/>
              <w:rPr>
                <w:i/>
                <w:sz w:val="22"/>
              </w:rPr>
            </w:pPr>
            <w:r>
              <w:rPr>
                <w:i/>
                <w:w w:val="95"/>
                <w:sz w:val="22"/>
              </w:rPr>
              <w:t>多个肢体缺失</w:t>
            </w:r>
          </w:p>
        </w:tc>
        <w:tc>
          <w:tcPr>
            <w:tcW w:w="6851" w:type="dxa"/>
          </w:tcPr>
          <w:p>
            <w:pPr>
              <w:pStyle w:val="TableParagraph"/>
              <w:spacing w:before="104"/>
              <w:ind w:left="107"/>
              <w:rPr>
                <w:sz w:val="21"/>
              </w:rPr>
            </w:pPr>
            <w:r>
              <w:rPr>
                <w:sz w:val="21"/>
              </w:rPr>
              <w:t>指因疾病或意外伤害导致两个或两个以上肢体自腕关节或踝关节近端</w:t>
            </w:r>
          </w:p>
        </w:tc>
      </w:tr>
      <w:tr>
        <w:trPr>
          <w:trHeight w:val="419" w:hRule="atLeast"/>
        </w:trPr>
        <w:tc>
          <w:tcPr>
            <w:tcW w:w="791" w:type="dxa"/>
          </w:tcPr>
          <w:p>
            <w:pPr>
              <w:pStyle w:val="TableParagraph"/>
              <w:rPr>
                <w:rFonts w:ascii="Times New Roman"/>
                <w:sz w:val="20"/>
              </w:rPr>
            </w:pPr>
          </w:p>
        </w:tc>
        <w:tc>
          <w:tcPr>
            <w:tcW w:w="1703" w:type="dxa"/>
          </w:tcPr>
          <w:p>
            <w:pPr>
              <w:pStyle w:val="TableParagraph"/>
              <w:rPr>
                <w:rFonts w:ascii="Times New Roman"/>
                <w:sz w:val="20"/>
              </w:rPr>
            </w:pPr>
          </w:p>
        </w:tc>
        <w:tc>
          <w:tcPr>
            <w:tcW w:w="6851" w:type="dxa"/>
          </w:tcPr>
          <w:p>
            <w:pPr>
              <w:pStyle w:val="TableParagraph"/>
              <w:spacing w:line="260" w:lineRule="exact"/>
              <w:ind w:left="107"/>
              <w:rPr>
                <w:sz w:val="21"/>
              </w:rPr>
            </w:pPr>
            <w:r>
              <w:rPr>
                <w:sz w:val="21"/>
              </w:rPr>
              <w:t>（靠近躯干端）以上完全性断离。</w:t>
            </w:r>
          </w:p>
        </w:tc>
      </w:tr>
      <w:tr>
        <w:trPr>
          <w:trHeight w:val="743" w:hRule="atLeast"/>
        </w:trPr>
        <w:tc>
          <w:tcPr>
            <w:tcW w:w="791" w:type="dxa"/>
          </w:tcPr>
          <w:p>
            <w:pPr>
              <w:pStyle w:val="TableParagraph"/>
              <w:spacing w:before="93"/>
              <w:ind w:left="50"/>
              <w:rPr>
                <w:i/>
                <w:sz w:val="22"/>
              </w:rPr>
            </w:pPr>
            <w:r>
              <w:rPr>
                <w:i/>
                <w:sz w:val="22"/>
              </w:rPr>
              <w:t>3.1.8</w:t>
            </w:r>
          </w:p>
        </w:tc>
        <w:tc>
          <w:tcPr>
            <w:tcW w:w="1703" w:type="dxa"/>
          </w:tcPr>
          <w:p>
            <w:pPr>
              <w:pStyle w:val="TableParagraph"/>
              <w:spacing w:line="259" w:lineRule="auto" w:before="93"/>
              <w:ind w:left="109" w:right="104"/>
              <w:rPr>
                <w:i/>
                <w:sz w:val="22"/>
              </w:rPr>
            </w:pPr>
            <w:r>
              <w:rPr>
                <w:i/>
                <w:w w:val="95"/>
                <w:sz w:val="22"/>
              </w:rPr>
              <w:t>急性或亚急性重症肝炎</w:t>
            </w:r>
          </w:p>
        </w:tc>
        <w:tc>
          <w:tcPr>
            <w:tcW w:w="6851" w:type="dxa"/>
          </w:tcPr>
          <w:p>
            <w:pPr>
              <w:pStyle w:val="TableParagraph"/>
              <w:spacing w:line="273" w:lineRule="auto" w:before="104"/>
              <w:ind w:left="107" w:right="152"/>
              <w:rPr>
                <w:sz w:val="21"/>
              </w:rPr>
            </w:pPr>
            <w:r>
              <w:rPr>
                <w:sz w:val="21"/>
              </w:rPr>
              <w:t>指因肝炎病毒感染引起肝脏组织弥漫性坏死，导致急性肝功能衰竭，且经血清学或病毒学检查证实，并须满足下列全部条件：</w:t>
            </w:r>
          </w:p>
        </w:tc>
      </w:tr>
      <w:tr>
        <w:trPr>
          <w:trHeight w:val="311" w:hRule="atLeast"/>
        </w:trPr>
        <w:tc>
          <w:tcPr>
            <w:tcW w:w="791" w:type="dxa"/>
          </w:tcPr>
          <w:p>
            <w:pPr>
              <w:pStyle w:val="TableParagraph"/>
              <w:rPr>
                <w:rFonts w:ascii="Times New Roman"/>
                <w:sz w:val="20"/>
              </w:rPr>
            </w:pPr>
          </w:p>
        </w:tc>
        <w:tc>
          <w:tcPr>
            <w:tcW w:w="1703" w:type="dxa"/>
          </w:tcPr>
          <w:p>
            <w:pPr>
              <w:pStyle w:val="TableParagraph"/>
              <w:rPr>
                <w:rFonts w:ascii="Times New Roman"/>
                <w:sz w:val="20"/>
              </w:rPr>
            </w:pPr>
          </w:p>
        </w:tc>
        <w:tc>
          <w:tcPr>
            <w:tcW w:w="6851" w:type="dxa"/>
          </w:tcPr>
          <w:p>
            <w:pPr>
              <w:pStyle w:val="TableParagraph"/>
              <w:spacing w:line="260" w:lineRule="exact"/>
              <w:ind w:left="107"/>
              <w:rPr>
                <w:sz w:val="21"/>
              </w:rPr>
            </w:pPr>
            <w:r>
              <w:rPr>
                <w:sz w:val="21"/>
              </w:rPr>
              <w:t>（1）重度黄疸或黄疸迅速加重；</w:t>
            </w:r>
          </w:p>
        </w:tc>
      </w:tr>
      <w:tr>
        <w:trPr>
          <w:trHeight w:val="311" w:hRule="atLeast"/>
        </w:trPr>
        <w:tc>
          <w:tcPr>
            <w:tcW w:w="791" w:type="dxa"/>
          </w:tcPr>
          <w:p>
            <w:pPr>
              <w:pStyle w:val="TableParagraph"/>
              <w:rPr>
                <w:rFonts w:ascii="Times New Roman"/>
                <w:sz w:val="20"/>
              </w:rPr>
            </w:pPr>
          </w:p>
        </w:tc>
        <w:tc>
          <w:tcPr>
            <w:tcW w:w="1703" w:type="dxa"/>
          </w:tcPr>
          <w:p>
            <w:pPr>
              <w:pStyle w:val="TableParagraph"/>
              <w:rPr>
                <w:rFonts w:ascii="Times New Roman"/>
                <w:sz w:val="20"/>
              </w:rPr>
            </w:pPr>
          </w:p>
        </w:tc>
        <w:tc>
          <w:tcPr>
            <w:tcW w:w="6851" w:type="dxa"/>
          </w:tcPr>
          <w:p>
            <w:pPr>
              <w:pStyle w:val="TableParagraph"/>
              <w:spacing w:line="261" w:lineRule="exact"/>
              <w:ind w:left="107"/>
              <w:rPr>
                <w:sz w:val="21"/>
              </w:rPr>
            </w:pPr>
            <w:r>
              <w:rPr>
                <w:sz w:val="21"/>
              </w:rPr>
              <w:t>（2）肝性脑病；</w:t>
            </w:r>
          </w:p>
        </w:tc>
      </w:tr>
      <w:tr>
        <w:trPr>
          <w:trHeight w:val="311" w:hRule="atLeast"/>
        </w:trPr>
        <w:tc>
          <w:tcPr>
            <w:tcW w:w="791" w:type="dxa"/>
          </w:tcPr>
          <w:p>
            <w:pPr>
              <w:pStyle w:val="TableParagraph"/>
              <w:rPr>
                <w:rFonts w:ascii="Times New Roman"/>
                <w:sz w:val="20"/>
              </w:rPr>
            </w:pPr>
          </w:p>
        </w:tc>
        <w:tc>
          <w:tcPr>
            <w:tcW w:w="1703" w:type="dxa"/>
          </w:tcPr>
          <w:p>
            <w:pPr>
              <w:pStyle w:val="TableParagraph"/>
              <w:rPr>
                <w:rFonts w:ascii="Times New Roman"/>
                <w:sz w:val="20"/>
              </w:rPr>
            </w:pPr>
          </w:p>
        </w:tc>
        <w:tc>
          <w:tcPr>
            <w:tcW w:w="6851" w:type="dxa"/>
          </w:tcPr>
          <w:p>
            <w:pPr>
              <w:pStyle w:val="TableParagraph"/>
              <w:spacing w:line="261" w:lineRule="exact"/>
              <w:ind w:left="107"/>
              <w:rPr>
                <w:sz w:val="21"/>
              </w:rPr>
            </w:pPr>
            <w:r>
              <w:rPr>
                <w:sz w:val="21"/>
              </w:rPr>
              <w:t>（3）B 超或其它影像学检查显示肝脏体积急速萎缩；</w:t>
            </w:r>
          </w:p>
        </w:tc>
      </w:tr>
      <w:tr>
        <w:trPr>
          <w:trHeight w:val="420" w:hRule="atLeast"/>
        </w:trPr>
        <w:tc>
          <w:tcPr>
            <w:tcW w:w="791" w:type="dxa"/>
          </w:tcPr>
          <w:p>
            <w:pPr>
              <w:pStyle w:val="TableParagraph"/>
              <w:rPr>
                <w:rFonts w:ascii="Times New Roman"/>
                <w:sz w:val="20"/>
              </w:rPr>
            </w:pPr>
          </w:p>
        </w:tc>
        <w:tc>
          <w:tcPr>
            <w:tcW w:w="1703" w:type="dxa"/>
          </w:tcPr>
          <w:p>
            <w:pPr>
              <w:pStyle w:val="TableParagraph"/>
              <w:rPr>
                <w:rFonts w:ascii="Times New Roman"/>
                <w:sz w:val="20"/>
              </w:rPr>
            </w:pPr>
          </w:p>
        </w:tc>
        <w:tc>
          <w:tcPr>
            <w:tcW w:w="6851" w:type="dxa"/>
          </w:tcPr>
          <w:p>
            <w:pPr>
              <w:pStyle w:val="TableParagraph"/>
              <w:spacing w:line="261" w:lineRule="exact"/>
              <w:ind w:left="107"/>
              <w:rPr>
                <w:sz w:val="21"/>
              </w:rPr>
            </w:pPr>
            <w:r>
              <w:rPr>
                <w:sz w:val="21"/>
              </w:rPr>
              <w:t>（4）肝功能指标进行性恶化。</w:t>
            </w:r>
          </w:p>
        </w:tc>
      </w:tr>
      <w:tr>
        <w:trPr>
          <w:trHeight w:val="431" w:hRule="atLeast"/>
        </w:trPr>
        <w:tc>
          <w:tcPr>
            <w:tcW w:w="791" w:type="dxa"/>
          </w:tcPr>
          <w:p>
            <w:pPr>
              <w:pStyle w:val="TableParagraph"/>
              <w:spacing w:before="93"/>
              <w:ind w:left="50"/>
              <w:rPr>
                <w:i/>
                <w:sz w:val="22"/>
              </w:rPr>
            </w:pPr>
            <w:r>
              <w:rPr>
                <w:i/>
                <w:sz w:val="22"/>
              </w:rPr>
              <w:t>3.1.9</w:t>
            </w:r>
          </w:p>
        </w:tc>
        <w:tc>
          <w:tcPr>
            <w:tcW w:w="1703" w:type="dxa"/>
          </w:tcPr>
          <w:p>
            <w:pPr>
              <w:pStyle w:val="TableParagraph"/>
              <w:spacing w:before="93"/>
              <w:ind w:left="109"/>
              <w:rPr>
                <w:i/>
                <w:sz w:val="22"/>
              </w:rPr>
            </w:pPr>
            <w:r>
              <w:rPr>
                <w:i/>
                <w:w w:val="95"/>
                <w:sz w:val="22"/>
              </w:rPr>
              <w:t>良性脑肿瘤</w:t>
            </w:r>
          </w:p>
        </w:tc>
        <w:tc>
          <w:tcPr>
            <w:tcW w:w="6851" w:type="dxa"/>
          </w:tcPr>
          <w:p>
            <w:pPr>
              <w:pStyle w:val="TableParagraph"/>
              <w:spacing w:before="105"/>
              <w:ind w:left="107"/>
              <w:rPr>
                <w:sz w:val="21"/>
              </w:rPr>
            </w:pPr>
            <w:r>
              <w:rPr>
                <w:sz w:val="21"/>
              </w:rPr>
              <w:t>指脑的良性肿瘤，已经引起颅内压增高，临床表现为视神经乳头水肿、</w:t>
            </w:r>
          </w:p>
        </w:tc>
      </w:tr>
      <w:tr>
        <w:trPr>
          <w:trHeight w:val="311" w:hRule="atLeast"/>
        </w:trPr>
        <w:tc>
          <w:tcPr>
            <w:tcW w:w="791" w:type="dxa"/>
          </w:tcPr>
          <w:p>
            <w:pPr>
              <w:pStyle w:val="TableParagraph"/>
              <w:rPr>
                <w:rFonts w:ascii="Times New Roman"/>
                <w:sz w:val="20"/>
              </w:rPr>
            </w:pPr>
          </w:p>
        </w:tc>
        <w:tc>
          <w:tcPr>
            <w:tcW w:w="1703" w:type="dxa"/>
          </w:tcPr>
          <w:p>
            <w:pPr>
              <w:pStyle w:val="TableParagraph"/>
              <w:rPr>
                <w:rFonts w:ascii="Times New Roman"/>
                <w:sz w:val="20"/>
              </w:rPr>
            </w:pPr>
          </w:p>
        </w:tc>
        <w:tc>
          <w:tcPr>
            <w:tcW w:w="6851" w:type="dxa"/>
          </w:tcPr>
          <w:p>
            <w:pPr>
              <w:pStyle w:val="TableParagraph"/>
              <w:spacing w:line="260" w:lineRule="exact"/>
              <w:ind w:left="107"/>
              <w:rPr>
                <w:sz w:val="21"/>
              </w:rPr>
            </w:pPr>
            <w:r>
              <w:rPr>
                <w:spacing w:val="-22"/>
                <w:sz w:val="21"/>
              </w:rPr>
              <w:t>精神症状、癫痫及运动感觉障碍等，并危及生命。须由头颅断层扫描</w:t>
            </w:r>
            <w:r>
              <w:rPr>
                <w:spacing w:val="-1"/>
                <w:sz w:val="21"/>
              </w:rPr>
              <w:t>（CT</w:t>
            </w:r>
            <w:r>
              <w:rPr>
                <w:spacing w:val="-104"/>
                <w:sz w:val="21"/>
              </w:rPr>
              <w:t>）</w:t>
            </w:r>
            <w:r>
              <w:rPr>
                <w:sz w:val="21"/>
              </w:rPr>
              <w:t>、</w:t>
            </w:r>
          </w:p>
        </w:tc>
      </w:tr>
      <w:tr>
        <w:trPr>
          <w:trHeight w:val="311" w:hRule="atLeast"/>
        </w:trPr>
        <w:tc>
          <w:tcPr>
            <w:tcW w:w="791" w:type="dxa"/>
          </w:tcPr>
          <w:p>
            <w:pPr>
              <w:pStyle w:val="TableParagraph"/>
              <w:rPr>
                <w:rFonts w:ascii="Times New Roman"/>
                <w:sz w:val="20"/>
              </w:rPr>
            </w:pPr>
          </w:p>
        </w:tc>
        <w:tc>
          <w:tcPr>
            <w:tcW w:w="1703" w:type="dxa"/>
          </w:tcPr>
          <w:p>
            <w:pPr>
              <w:pStyle w:val="TableParagraph"/>
              <w:rPr>
                <w:rFonts w:ascii="Times New Roman"/>
                <w:sz w:val="20"/>
              </w:rPr>
            </w:pPr>
          </w:p>
        </w:tc>
        <w:tc>
          <w:tcPr>
            <w:tcW w:w="6851" w:type="dxa"/>
          </w:tcPr>
          <w:p>
            <w:pPr>
              <w:pStyle w:val="TableParagraph"/>
              <w:spacing w:line="261" w:lineRule="exact"/>
              <w:ind w:left="107"/>
              <w:rPr>
                <w:sz w:val="21"/>
              </w:rPr>
            </w:pPr>
            <w:r>
              <w:rPr>
                <w:sz w:val="21"/>
              </w:rPr>
              <w:t>核磁共振检查（MRI）或正电子发射断层扫描（PET）等影像学检查证实，</w:t>
            </w:r>
          </w:p>
        </w:tc>
      </w:tr>
      <w:tr>
        <w:trPr>
          <w:trHeight w:val="311" w:hRule="atLeast"/>
        </w:trPr>
        <w:tc>
          <w:tcPr>
            <w:tcW w:w="791" w:type="dxa"/>
          </w:tcPr>
          <w:p>
            <w:pPr>
              <w:pStyle w:val="TableParagraph"/>
              <w:rPr>
                <w:rFonts w:ascii="Times New Roman"/>
                <w:sz w:val="20"/>
              </w:rPr>
            </w:pPr>
          </w:p>
        </w:tc>
        <w:tc>
          <w:tcPr>
            <w:tcW w:w="1703" w:type="dxa"/>
          </w:tcPr>
          <w:p>
            <w:pPr>
              <w:pStyle w:val="TableParagraph"/>
              <w:rPr>
                <w:rFonts w:ascii="Times New Roman"/>
                <w:sz w:val="20"/>
              </w:rPr>
            </w:pPr>
          </w:p>
        </w:tc>
        <w:tc>
          <w:tcPr>
            <w:tcW w:w="6851" w:type="dxa"/>
          </w:tcPr>
          <w:p>
            <w:pPr>
              <w:pStyle w:val="TableParagraph"/>
              <w:spacing w:line="261" w:lineRule="exact"/>
              <w:ind w:left="107"/>
              <w:rPr>
                <w:sz w:val="21"/>
              </w:rPr>
            </w:pPr>
            <w:r>
              <w:rPr>
                <w:sz w:val="21"/>
              </w:rPr>
              <w:t>并须满足下列至少一项条件：</w:t>
            </w:r>
          </w:p>
        </w:tc>
      </w:tr>
      <w:tr>
        <w:trPr>
          <w:trHeight w:val="311" w:hRule="atLeast"/>
        </w:trPr>
        <w:tc>
          <w:tcPr>
            <w:tcW w:w="791" w:type="dxa"/>
          </w:tcPr>
          <w:p>
            <w:pPr>
              <w:pStyle w:val="TableParagraph"/>
              <w:rPr>
                <w:rFonts w:ascii="Times New Roman"/>
                <w:sz w:val="20"/>
              </w:rPr>
            </w:pPr>
          </w:p>
        </w:tc>
        <w:tc>
          <w:tcPr>
            <w:tcW w:w="1703" w:type="dxa"/>
          </w:tcPr>
          <w:p>
            <w:pPr>
              <w:pStyle w:val="TableParagraph"/>
              <w:rPr>
                <w:rFonts w:ascii="Times New Roman"/>
                <w:sz w:val="20"/>
              </w:rPr>
            </w:pPr>
          </w:p>
        </w:tc>
        <w:tc>
          <w:tcPr>
            <w:tcW w:w="6851" w:type="dxa"/>
          </w:tcPr>
          <w:p>
            <w:pPr>
              <w:pStyle w:val="TableParagraph"/>
              <w:spacing w:line="261" w:lineRule="exact"/>
              <w:ind w:left="107"/>
              <w:rPr>
                <w:sz w:val="21"/>
              </w:rPr>
            </w:pPr>
            <w:r>
              <w:rPr>
                <w:sz w:val="21"/>
              </w:rPr>
              <w:t>（1）实际实施了开颅进行的脑肿瘤完全切除或部分切除的手术；</w:t>
            </w:r>
          </w:p>
        </w:tc>
      </w:tr>
      <w:tr>
        <w:trPr>
          <w:trHeight w:val="311" w:hRule="atLeast"/>
        </w:trPr>
        <w:tc>
          <w:tcPr>
            <w:tcW w:w="791" w:type="dxa"/>
          </w:tcPr>
          <w:p>
            <w:pPr>
              <w:pStyle w:val="TableParagraph"/>
              <w:rPr>
                <w:rFonts w:ascii="Times New Roman"/>
                <w:sz w:val="20"/>
              </w:rPr>
            </w:pPr>
          </w:p>
        </w:tc>
        <w:tc>
          <w:tcPr>
            <w:tcW w:w="1703" w:type="dxa"/>
          </w:tcPr>
          <w:p>
            <w:pPr>
              <w:pStyle w:val="TableParagraph"/>
              <w:rPr>
                <w:rFonts w:ascii="Times New Roman"/>
                <w:sz w:val="20"/>
              </w:rPr>
            </w:pPr>
          </w:p>
        </w:tc>
        <w:tc>
          <w:tcPr>
            <w:tcW w:w="6851" w:type="dxa"/>
          </w:tcPr>
          <w:p>
            <w:pPr>
              <w:pStyle w:val="TableParagraph"/>
              <w:spacing w:line="261" w:lineRule="exact"/>
              <w:ind w:left="107"/>
              <w:rPr>
                <w:sz w:val="21"/>
              </w:rPr>
            </w:pPr>
            <w:r>
              <w:rPr>
                <w:sz w:val="21"/>
              </w:rPr>
              <w:t>（2）实际实施了对脑肿瘤进行的放射治疗。</w:t>
            </w:r>
          </w:p>
        </w:tc>
      </w:tr>
      <w:tr>
        <w:trPr>
          <w:trHeight w:val="420" w:hRule="atLeast"/>
        </w:trPr>
        <w:tc>
          <w:tcPr>
            <w:tcW w:w="791" w:type="dxa"/>
          </w:tcPr>
          <w:p>
            <w:pPr>
              <w:pStyle w:val="TableParagraph"/>
              <w:rPr>
                <w:rFonts w:ascii="Times New Roman"/>
                <w:sz w:val="20"/>
              </w:rPr>
            </w:pPr>
          </w:p>
        </w:tc>
        <w:tc>
          <w:tcPr>
            <w:tcW w:w="1703" w:type="dxa"/>
          </w:tcPr>
          <w:p>
            <w:pPr>
              <w:pStyle w:val="TableParagraph"/>
              <w:rPr>
                <w:rFonts w:ascii="Times New Roman"/>
                <w:sz w:val="20"/>
              </w:rPr>
            </w:pPr>
          </w:p>
        </w:tc>
        <w:tc>
          <w:tcPr>
            <w:tcW w:w="6851" w:type="dxa"/>
          </w:tcPr>
          <w:p>
            <w:pPr>
              <w:pStyle w:val="TableParagraph"/>
              <w:spacing w:line="261" w:lineRule="exact"/>
              <w:ind w:left="107"/>
              <w:rPr>
                <w:sz w:val="21"/>
              </w:rPr>
            </w:pPr>
            <w:r>
              <w:rPr>
                <w:sz w:val="21"/>
              </w:rPr>
              <w:t>脑垂体瘤、脑囊肿、脑血管性疾病不在保障范围内。</w:t>
            </w:r>
          </w:p>
        </w:tc>
      </w:tr>
      <w:tr>
        <w:trPr>
          <w:trHeight w:val="743" w:hRule="atLeast"/>
        </w:trPr>
        <w:tc>
          <w:tcPr>
            <w:tcW w:w="791" w:type="dxa"/>
          </w:tcPr>
          <w:p>
            <w:pPr>
              <w:pStyle w:val="TableParagraph"/>
              <w:spacing w:before="93"/>
              <w:ind w:left="50"/>
              <w:rPr>
                <w:i/>
                <w:sz w:val="22"/>
              </w:rPr>
            </w:pPr>
            <w:r>
              <w:rPr>
                <w:i/>
                <w:sz w:val="22"/>
              </w:rPr>
              <w:t>3.1.10</w:t>
            </w:r>
          </w:p>
        </w:tc>
        <w:tc>
          <w:tcPr>
            <w:tcW w:w="1703" w:type="dxa"/>
          </w:tcPr>
          <w:p>
            <w:pPr>
              <w:pStyle w:val="TableParagraph"/>
              <w:spacing w:line="259" w:lineRule="auto" w:before="93"/>
              <w:ind w:left="109" w:right="104"/>
              <w:rPr>
                <w:i/>
                <w:sz w:val="22"/>
              </w:rPr>
            </w:pPr>
            <w:r>
              <w:rPr>
                <w:i/>
                <w:w w:val="95"/>
                <w:sz w:val="22"/>
              </w:rPr>
              <w:t>慢性肝功能衰竭失代偿期</w:t>
            </w:r>
          </w:p>
        </w:tc>
        <w:tc>
          <w:tcPr>
            <w:tcW w:w="6851" w:type="dxa"/>
          </w:tcPr>
          <w:p>
            <w:pPr>
              <w:pStyle w:val="TableParagraph"/>
              <w:spacing w:before="104"/>
              <w:ind w:left="107"/>
              <w:rPr>
                <w:sz w:val="21"/>
              </w:rPr>
            </w:pPr>
            <w:r>
              <w:rPr>
                <w:sz w:val="21"/>
              </w:rPr>
              <w:t>指因慢性肝脏疾病导致肝功能衰竭,须满足下列全部条件：</w:t>
            </w:r>
          </w:p>
          <w:p>
            <w:pPr>
              <w:pStyle w:val="TableParagraph"/>
              <w:spacing w:before="36"/>
              <w:ind w:left="107"/>
              <w:rPr>
                <w:sz w:val="21"/>
              </w:rPr>
            </w:pPr>
            <w:r>
              <w:rPr>
                <w:sz w:val="21"/>
              </w:rPr>
              <w:t>（1）持续性黄疸；</w:t>
            </w:r>
          </w:p>
        </w:tc>
      </w:tr>
      <w:tr>
        <w:trPr>
          <w:trHeight w:val="260" w:hRule="atLeast"/>
        </w:trPr>
        <w:tc>
          <w:tcPr>
            <w:tcW w:w="791" w:type="dxa"/>
          </w:tcPr>
          <w:p>
            <w:pPr>
              <w:pStyle w:val="TableParagraph"/>
              <w:rPr>
                <w:rFonts w:ascii="Times New Roman"/>
                <w:sz w:val="18"/>
              </w:rPr>
            </w:pPr>
          </w:p>
        </w:tc>
        <w:tc>
          <w:tcPr>
            <w:tcW w:w="1703" w:type="dxa"/>
          </w:tcPr>
          <w:p>
            <w:pPr>
              <w:pStyle w:val="TableParagraph"/>
              <w:rPr>
                <w:rFonts w:ascii="Times New Roman"/>
                <w:sz w:val="18"/>
              </w:rPr>
            </w:pPr>
          </w:p>
        </w:tc>
        <w:tc>
          <w:tcPr>
            <w:tcW w:w="6851" w:type="dxa"/>
          </w:tcPr>
          <w:p>
            <w:pPr>
              <w:pStyle w:val="TableParagraph"/>
              <w:spacing w:line="240" w:lineRule="exact"/>
              <w:ind w:left="107"/>
              <w:rPr>
                <w:sz w:val="21"/>
              </w:rPr>
            </w:pPr>
            <w:r>
              <w:rPr>
                <w:sz w:val="21"/>
              </w:rPr>
              <w:t>（2）腹水；</w:t>
            </w:r>
          </w:p>
        </w:tc>
      </w:tr>
    </w:tbl>
    <w:p>
      <w:pPr>
        <w:spacing w:after="0" w:line="240" w:lineRule="exact"/>
        <w:rPr>
          <w:sz w:val="21"/>
        </w:rPr>
        <w:sectPr>
          <w:type w:val="continuous"/>
          <w:pgSz w:w="11910" w:h="16840"/>
          <w:pgMar w:top="560" w:bottom="280" w:left="1140" w:right="1200"/>
        </w:sectPr>
      </w:pPr>
    </w:p>
    <w:tbl>
      <w:tblPr>
        <w:tblW w:w="0" w:type="auto"/>
        <w:jc w:val="left"/>
        <w:tblInd w:w="1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91"/>
        <w:gridCol w:w="1703"/>
        <w:gridCol w:w="6850"/>
      </w:tblGrid>
      <w:tr>
        <w:trPr>
          <w:trHeight w:val="260" w:hRule="atLeast"/>
        </w:trPr>
        <w:tc>
          <w:tcPr>
            <w:tcW w:w="791" w:type="dxa"/>
          </w:tcPr>
          <w:p>
            <w:pPr>
              <w:pStyle w:val="TableParagraph"/>
              <w:rPr>
                <w:rFonts w:ascii="Times New Roman"/>
                <w:sz w:val="18"/>
              </w:rPr>
            </w:pPr>
          </w:p>
        </w:tc>
        <w:tc>
          <w:tcPr>
            <w:tcW w:w="1703" w:type="dxa"/>
          </w:tcPr>
          <w:p>
            <w:pPr>
              <w:pStyle w:val="TableParagraph"/>
              <w:rPr>
                <w:rFonts w:ascii="Times New Roman"/>
                <w:sz w:val="18"/>
              </w:rPr>
            </w:pPr>
          </w:p>
        </w:tc>
        <w:tc>
          <w:tcPr>
            <w:tcW w:w="6850" w:type="dxa"/>
          </w:tcPr>
          <w:p>
            <w:pPr>
              <w:pStyle w:val="TableParagraph"/>
              <w:spacing w:line="210" w:lineRule="exact"/>
              <w:ind w:left="107"/>
              <w:rPr>
                <w:sz w:val="21"/>
              </w:rPr>
            </w:pPr>
            <w:r>
              <w:rPr>
                <w:sz w:val="21"/>
              </w:rPr>
              <w:t>（3）肝性脑病；</w:t>
            </w:r>
          </w:p>
        </w:tc>
      </w:tr>
      <w:tr>
        <w:trPr>
          <w:trHeight w:val="311" w:hRule="atLeast"/>
        </w:trPr>
        <w:tc>
          <w:tcPr>
            <w:tcW w:w="791" w:type="dxa"/>
          </w:tcPr>
          <w:p>
            <w:pPr>
              <w:pStyle w:val="TableParagraph"/>
              <w:rPr>
                <w:rFonts w:ascii="Times New Roman"/>
                <w:sz w:val="20"/>
              </w:rPr>
            </w:pPr>
          </w:p>
        </w:tc>
        <w:tc>
          <w:tcPr>
            <w:tcW w:w="1703" w:type="dxa"/>
          </w:tcPr>
          <w:p>
            <w:pPr>
              <w:pStyle w:val="TableParagraph"/>
              <w:rPr>
                <w:rFonts w:ascii="Times New Roman"/>
                <w:sz w:val="20"/>
              </w:rPr>
            </w:pPr>
          </w:p>
        </w:tc>
        <w:tc>
          <w:tcPr>
            <w:tcW w:w="6850" w:type="dxa"/>
          </w:tcPr>
          <w:p>
            <w:pPr>
              <w:pStyle w:val="TableParagraph"/>
              <w:spacing w:line="260" w:lineRule="exact"/>
              <w:ind w:left="107"/>
              <w:rPr>
                <w:sz w:val="21"/>
              </w:rPr>
            </w:pPr>
            <w:r>
              <w:rPr>
                <w:sz w:val="21"/>
              </w:rPr>
              <w:t>（4）充血性脾肿大伴脾功能亢进或食管胃底静脉曲张。</w:t>
            </w:r>
          </w:p>
        </w:tc>
      </w:tr>
      <w:tr>
        <w:trPr>
          <w:trHeight w:val="420" w:hRule="atLeast"/>
        </w:trPr>
        <w:tc>
          <w:tcPr>
            <w:tcW w:w="791" w:type="dxa"/>
          </w:tcPr>
          <w:p>
            <w:pPr>
              <w:pStyle w:val="TableParagraph"/>
              <w:rPr>
                <w:rFonts w:ascii="Times New Roman"/>
                <w:sz w:val="20"/>
              </w:rPr>
            </w:pPr>
          </w:p>
        </w:tc>
        <w:tc>
          <w:tcPr>
            <w:tcW w:w="1703" w:type="dxa"/>
          </w:tcPr>
          <w:p>
            <w:pPr>
              <w:pStyle w:val="TableParagraph"/>
              <w:rPr>
                <w:rFonts w:ascii="Times New Roman"/>
                <w:sz w:val="20"/>
              </w:rPr>
            </w:pPr>
          </w:p>
        </w:tc>
        <w:tc>
          <w:tcPr>
            <w:tcW w:w="6850" w:type="dxa"/>
          </w:tcPr>
          <w:p>
            <w:pPr>
              <w:pStyle w:val="TableParagraph"/>
              <w:spacing w:line="261" w:lineRule="exact"/>
              <w:ind w:left="107"/>
              <w:rPr>
                <w:sz w:val="21"/>
              </w:rPr>
            </w:pPr>
            <w:r>
              <w:rPr>
                <w:sz w:val="21"/>
              </w:rPr>
              <w:t>因酗酒或药物滥用导致的肝功能衰竭不在保障范围内。</w:t>
            </w:r>
          </w:p>
        </w:tc>
      </w:tr>
      <w:tr>
        <w:trPr>
          <w:trHeight w:val="743" w:hRule="atLeast"/>
        </w:trPr>
        <w:tc>
          <w:tcPr>
            <w:tcW w:w="791" w:type="dxa"/>
          </w:tcPr>
          <w:p>
            <w:pPr>
              <w:pStyle w:val="TableParagraph"/>
              <w:spacing w:before="93"/>
              <w:ind w:left="50"/>
              <w:rPr>
                <w:i/>
                <w:sz w:val="22"/>
              </w:rPr>
            </w:pPr>
            <w:r>
              <w:rPr>
                <w:i/>
                <w:sz w:val="22"/>
              </w:rPr>
              <w:t>3.1.11</w:t>
            </w:r>
          </w:p>
        </w:tc>
        <w:tc>
          <w:tcPr>
            <w:tcW w:w="1703" w:type="dxa"/>
          </w:tcPr>
          <w:p>
            <w:pPr>
              <w:pStyle w:val="TableParagraph"/>
              <w:spacing w:line="259" w:lineRule="auto" w:before="93"/>
              <w:ind w:left="109" w:right="104"/>
              <w:rPr>
                <w:i/>
                <w:sz w:val="22"/>
              </w:rPr>
            </w:pPr>
            <w:r>
              <w:rPr>
                <w:i/>
                <w:w w:val="95"/>
                <w:sz w:val="22"/>
              </w:rPr>
              <w:t>脑炎后遗症或脑膜炎后遗症</w:t>
            </w:r>
          </w:p>
        </w:tc>
        <w:tc>
          <w:tcPr>
            <w:tcW w:w="6850" w:type="dxa"/>
          </w:tcPr>
          <w:p>
            <w:pPr>
              <w:pStyle w:val="TableParagraph"/>
              <w:spacing w:line="273" w:lineRule="auto" w:before="105"/>
              <w:ind w:left="107" w:right="47"/>
              <w:rPr>
                <w:sz w:val="21"/>
              </w:rPr>
            </w:pPr>
            <w:r>
              <w:rPr>
                <w:sz w:val="21"/>
              </w:rPr>
              <w:t>指因患脑炎或脑膜炎导致的神经系统永久性的功能障碍。神经系统永久</w:t>
            </w:r>
            <w:r>
              <w:rPr>
                <w:spacing w:val="-10"/>
                <w:sz w:val="21"/>
              </w:rPr>
              <w:t>性的功能障碍，指疾病确诊 </w:t>
            </w:r>
            <w:r>
              <w:rPr>
                <w:sz w:val="21"/>
              </w:rPr>
              <w:t>180</w:t>
            </w:r>
            <w:r>
              <w:rPr>
                <w:spacing w:val="-7"/>
                <w:sz w:val="21"/>
              </w:rPr>
              <w:t> 天后，仍遗留下列一种或一种以上障碍：</w:t>
            </w:r>
          </w:p>
        </w:tc>
      </w:tr>
      <w:tr>
        <w:trPr>
          <w:trHeight w:val="311" w:hRule="atLeast"/>
        </w:trPr>
        <w:tc>
          <w:tcPr>
            <w:tcW w:w="791" w:type="dxa"/>
          </w:tcPr>
          <w:p>
            <w:pPr>
              <w:pStyle w:val="TableParagraph"/>
              <w:rPr>
                <w:rFonts w:ascii="Times New Roman"/>
                <w:sz w:val="20"/>
              </w:rPr>
            </w:pPr>
          </w:p>
        </w:tc>
        <w:tc>
          <w:tcPr>
            <w:tcW w:w="1703" w:type="dxa"/>
          </w:tcPr>
          <w:p>
            <w:pPr>
              <w:pStyle w:val="TableParagraph"/>
              <w:rPr>
                <w:rFonts w:ascii="Times New Roman"/>
                <w:sz w:val="20"/>
              </w:rPr>
            </w:pPr>
          </w:p>
        </w:tc>
        <w:tc>
          <w:tcPr>
            <w:tcW w:w="6850" w:type="dxa"/>
          </w:tcPr>
          <w:p>
            <w:pPr>
              <w:pStyle w:val="TableParagraph"/>
              <w:spacing w:line="260" w:lineRule="exact"/>
              <w:ind w:left="107"/>
              <w:rPr>
                <w:sz w:val="21"/>
              </w:rPr>
            </w:pPr>
            <w:r>
              <w:rPr>
                <w:sz w:val="21"/>
              </w:rPr>
              <w:t>（1）一肢或一肢以上肢体机能完全丧失；</w:t>
            </w:r>
          </w:p>
        </w:tc>
      </w:tr>
      <w:tr>
        <w:trPr>
          <w:trHeight w:val="311" w:hRule="atLeast"/>
        </w:trPr>
        <w:tc>
          <w:tcPr>
            <w:tcW w:w="791" w:type="dxa"/>
          </w:tcPr>
          <w:p>
            <w:pPr>
              <w:pStyle w:val="TableParagraph"/>
              <w:rPr>
                <w:rFonts w:ascii="Times New Roman"/>
                <w:sz w:val="20"/>
              </w:rPr>
            </w:pPr>
          </w:p>
        </w:tc>
        <w:tc>
          <w:tcPr>
            <w:tcW w:w="1703" w:type="dxa"/>
          </w:tcPr>
          <w:p>
            <w:pPr>
              <w:pStyle w:val="TableParagraph"/>
              <w:rPr>
                <w:rFonts w:ascii="Times New Roman"/>
                <w:sz w:val="20"/>
              </w:rPr>
            </w:pPr>
          </w:p>
        </w:tc>
        <w:tc>
          <w:tcPr>
            <w:tcW w:w="6850" w:type="dxa"/>
          </w:tcPr>
          <w:p>
            <w:pPr>
              <w:pStyle w:val="TableParagraph"/>
              <w:spacing w:line="261" w:lineRule="exact"/>
              <w:ind w:left="107"/>
              <w:rPr>
                <w:sz w:val="21"/>
              </w:rPr>
            </w:pPr>
            <w:r>
              <w:rPr>
                <w:sz w:val="21"/>
              </w:rPr>
              <w:t>（2）语言能力或咀嚼吞咽能力完全丧失；</w:t>
            </w:r>
          </w:p>
        </w:tc>
      </w:tr>
      <w:tr>
        <w:trPr>
          <w:trHeight w:val="311" w:hRule="atLeast"/>
        </w:trPr>
        <w:tc>
          <w:tcPr>
            <w:tcW w:w="791" w:type="dxa"/>
          </w:tcPr>
          <w:p>
            <w:pPr>
              <w:pStyle w:val="TableParagraph"/>
              <w:rPr>
                <w:rFonts w:ascii="Times New Roman"/>
                <w:sz w:val="20"/>
              </w:rPr>
            </w:pPr>
          </w:p>
        </w:tc>
        <w:tc>
          <w:tcPr>
            <w:tcW w:w="1703" w:type="dxa"/>
          </w:tcPr>
          <w:p>
            <w:pPr>
              <w:pStyle w:val="TableParagraph"/>
              <w:rPr>
                <w:rFonts w:ascii="Times New Roman"/>
                <w:sz w:val="20"/>
              </w:rPr>
            </w:pPr>
          </w:p>
        </w:tc>
        <w:tc>
          <w:tcPr>
            <w:tcW w:w="6850" w:type="dxa"/>
          </w:tcPr>
          <w:p>
            <w:pPr>
              <w:pStyle w:val="TableParagraph"/>
              <w:spacing w:line="261" w:lineRule="exact"/>
              <w:ind w:left="107"/>
              <w:rPr>
                <w:sz w:val="21"/>
              </w:rPr>
            </w:pPr>
            <w:r>
              <w:rPr>
                <w:sz w:val="21"/>
              </w:rPr>
              <w:t>（3）自主生活能力完全丧失，无法独立完成六项基本日常生活活动中的</w:t>
            </w:r>
          </w:p>
        </w:tc>
      </w:tr>
      <w:tr>
        <w:trPr>
          <w:trHeight w:val="420" w:hRule="atLeast"/>
        </w:trPr>
        <w:tc>
          <w:tcPr>
            <w:tcW w:w="791" w:type="dxa"/>
          </w:tcPr>
          <w:p>
            <w:pPr>
              <w:pStyle w:val="TableParagraph"/>
              <w:rPr>
                <w:rFonts w:ascii="Times New Roman"/>
                <w:sz w:val="20"/>
              </w:rPr>
            </w:pPr>
          </w:p>
        </w:tc>
        <w:tc>
          <w:tcPr>
            <w:tcW w:w="1703" w:type="dxa"/>
          </w:tcPr>
          <w:p>
            <w:pPr>
              <w:pStyle w:val="TableParagraph"/>
              <w:rPr>
                <w:rFonts w:ascii="Times New Roman"/>
                <w:sz w:val="20"/>
              </w:rPr>
            </w:pPr>
          </w:p>
        </w:tc>
        <w:tc>
          <w:tcPr>
            <w:tcW w:w="6850" w:type="dxa"/>
          </w:tcPr>
          <w:p>
            <w:pPr>
              <w:pStyle w:val="TableParagraph"/>
              <w:spacing w:line="261" w:lineRule="exact"/>
              <w:ind w:left="107"/>
              <w:rPr>
                <w:sz w:val="21"/>
              </w:rPr>
            </w:pPr>
            <w:r>
              <w:rPr>
                <w:sz w:val="21"/>
              </w:rPr>
              <w:t>三项或三项以上。</w:t>
            </w:r>
          </w:p>
        </w:tc>
      </w:tr>
      <w:tr>
        <w:trPr>
          <w:trHeight w:val="431" w:hRule="atLeast"/>
        </w:trPr>
        <w:tc>
          <w:tcPr>
            <w:tcW w:w="791" w:type="dxa"/>
          </w:tcPr>
          <w:p>
            <w:pPr>
              <w:pStyle w:val="TableParagraph"/>
              <w:spacing w:before="93"/>
              <w:ind w:left="50"/>
              <w:rPr>
                <w:i/>
                <w:sz w:val="22"/>
              </w:rPr>
            </w:pPr>
            <w:r>
              <w:rPr>
                <w:i/>
                <w:sz w:val="22"/>
              </w:rPr>
              <w:t>3.1.12</w:t>
            </w:r>
          </w:p>
        </w:tc>
        <w:tc>
          <w:tcPr>
            <w:tcW w:w="1703" w:type="dxa"/>
          </w:tcPr>
          <w:p>
            <w:pPr>
              <w:pStyle w:val="TableParagraph"/>
              <w:spacing w:before="93"/>
              <w:ind w:left="109"/>
              <w:rPr>
                <w:i/>
                <w:sz w:val="22"/>
              </w:rPr>
            </w:pPr>
            <w:r>
              <w:rPr>
                <w:i/>
                <w:w w:val="95"/>
                <w:sz w:val="22"/>
              </w:rPr>
              <w:t>深度昏迷</w:t>
            </w:r>
          </w:p>
        </w:tc>
        <w:tc>
          <w:tcPr>
            <w:tcW w:w="6850" w:type="dxa"/>
          </w:tcPr>
          <w:p>
            <w:pPr>
              <w:pStyle w:val="TableParagraph"/>
              <w:spacing w:before="104"/>
              <w:ind w:left="107"/>
              <w:rPr>
                <w:sz w:val="21"/>
              </w:rPr>
            </w:pPr>
            <w:r>
              <w:rPr>
                <w:sz w:val="21"/>
              </w:rPr>
              <w:t>指因疾病或意外伤害导致意识丧失,对外界刺激和体内需求均无反应,昏</w:t>
            </w:r>
          </w:p>
        </w:tc>
      </w:tr>
      <w:tr>
        <w:trPr>
          <w:trHeight w:val="311" w:hRule="atLeast"/>
        </w:trPr>
        <w:tc>
          <w:tcPr>
            <w:tcW w:w="791" w:type="dxa"/>
          </w:tcPr>
          <w:p>
            <w:pPr>
              <w:pStyle w:val="TableParagraph"/>
              <w:rPr>
                <w:rFonts w:ascii="Times New Roman"/>
                <w:sz w:val="20"/>
              </w:rPr>
            </w:pPr>
          </w:p>
        </w:tc>
        <w:tc>
          <w:tcPr>
            <w:tcW w:w="1703" w:type="dxa"/>
          </w:tcPr>
          <w:p>
            <w:pPr>
              <w:pStyle w:val="TableParagraph"/>
              <w:rPr>
                <w:rFonts w:ascii="Times New Roman"/>
                <w:sz w:val="20"/>
              </w:rPr>
            </w:pPr>
          </w:p>
        </w:tc>
        <w:tc>
          <w:tcPr>
            <w:tcW w:w="6850" w:type="dxa"/>
          </w:tcPr>
          <w:p>
            <w:pPr>
              <w:pStyle w:val="TableParagraph"/>
              <w:spacing w:line="260" w:lineRule="exact"/>
              <w:ind w:left="107"/>
              <w:rPr>
                <w:sz w:val="21"/>
              </w:rPr>
            </w:pPr>
            <w:r>
              <w:rPr>
                <w:sz w:val="21"/>
              </w:rPr>
              <w:t>迷程度按照格拉斯哥昏迷分级（Glasgow coma scale）结果为 5 分或 5</w:t>
            </w:r>
          </w:p>
        </w:tc>
      </w:tr>
      <w:tr>
        <w:trPr>
          <w:trHeight w:val="311" w:hRule="atLeast"/>
        </w:trPr>
        <w:tc>
          <w:tcPr>
            <w:tcW w:w="791" w:type="dxa"/>
          </w:tcPr>
          <w:p>
            <w:pPr>
              <w:pStyle w:val="TableParagraph"/>
              <w:rPr>
                <w:rFonts w:ascii="Times New Roman"/>
                <w:sz w:val="20"/>
              </w:rPr>
            </w:pPr>
          </w:p>
        </w:tc>
        <w:tc>
          <w:tcPr>
            <w:tcW w:w="1703" w:type="dxa"/>
          </w:tcPr>
          <w:p>
            <w:pPr>
              <w:pStyle w:val="TableParagraph"/>
              <w:rPr>
                <w:rFonts w:ascii="Times New Roman"/>
                <w:sz w:val="20"/>
              </w:rPr>
            </w:pPr>
          </w:p>
        </w:tc>
        <w:tc>
          <w:tcPr>
            <w:tcW w:w="6850" w:type="dxa"/>
          </w:tcPr>
          <w:p>
            <w:pPr>
              <w:pStyle w:val="TableParagraph"/>
              <w:spacing w:line="261" w:lineRule="exact"/>
              <w:ind w:left="107"/>
              <w:rPr>
                <w:sz w:val="21"/>
              </w:rPr>
            </w:pPr>
            <w:r>
              <w:rPr>
                <w:sz w:val="21"/>
              </w:rPr>
              <w:t>分以下，且已经持续使用呼吸机及其它生命维持系统 96 小时以上。</w:t>
            </w:r>
          </w:p>
        </w:tc>
      </w:tr>
      <w:tr>
        <w:trPr>
          <w:trHeight w:val="420" w:hRule="atLeast"/>
        </w:trPr>
        <w:tc>
          <w:tcPr>
            <w:tcW w:w="791" w:type="dxa"/>
          </w:tcPr>
          <w:p>
            <w:pPr>
              <w:pStyle w:val="TableParagraph"/>
              <w:rPr>
                <w:rFonts w:ascii="Times New Roman"/>
                <w:sz w:val="20"/>
              </w:rPr>
            </w:pPr>
          </w:p>
        </w:tc>
        <w:tc>
          <w:tcPr>
            <w:tcW w:w="1703" w:type="dxa"/>
          </w:tcPr>
          <w:p>
            <w:pPr>
              <w:pStyle w:val="TableParagraph"/>
              <w:rPr>
                <w:rFonts w:ascii="Times New Roman"/>
                <w:sz w:val="20"/>
              </w:rPr>
            </w:pPr>
          </w:p>
        </w:tc>
        <w:tc>
          <w:tcPr>
            <w:tcW w:w="6850" w:type="dxa"/>
          </w:tcPr>
          <w:p>
            <w:pPr>
              <w:pStyle w:val="TableParagraph"/>
              <w:spacing w:line="261" w:lineRule="exact"/>
              <w:ind w:left="107"/>
              <w:rPr>
                <w:sz w:val="21"/>
              </w:rPr>
            </w:pPr>
            <w:r>
              <w:rPr>
                <w:sz w:val="21"/>
              </w:rPr>
              <w:t>因酗酒或药物滥用导致的深度昏迷不在保障范围内。</w:t>
            </w:r>
          </w:p>
        </w:tc>
      </w:tr>
      <w:tr>
        <w:trPr>
          <w:trHeight w:val="431" w:hRule="atLeast"/>
        </w:trPr>
        <w:tc>
          <w:tcPr>
            <w:tcW w:w="791" w:type="dxa"/>
          </w:tcPr>
          <w:p>
            <w:pPr>
              <w:pStyle w:val="TableParagraph"/>
              <w:spacing w:before="93"/>
              <w:ind w:left="50"/>
              <w:rPr>
                <w:i/>
                <w:sz w:val="22"/>
              </w:rPr>
            </w:pPr>
            <w:r>
              <w:rPr>
                <w:i/>
                <w:sz w:val="22"/>
              </w:rPr>
              <w:t>3.1.13</w:t>
            </w:r>
          </w:p>
        </w:tc>
        <w:tc>
          <w:tcPr>
            <w:tcW w:w="1703" w:type="dxa"/>
          </w:tcPr>
          <w:p>
            <w:pPr>
              <w:pStyle w:val="TableParagraph"/>
              <w:spacing w:before="93"/>
              <w:ind w:left="109"/>
              <w:rPr>
                <w:i/>
                <w:sz w:val="22"/>
              </w:rPr>
            </w:pPr>
            <w:r>
              <w:rPr>
                <w:i/>
                <w:w w:val="95"/>
                <w:sz w:val="22"/>
              </w:rPr>
              <w:t>双耳失聪</w:t>
            </w:r>
          </w:p>
        </w:tc>
        <w:tc>
          <w:tcPr>
            <w:tcW w:w="6850" w:type="dxa"/>
          </w:tcPr>
          <w:p>
            <w:pPr>
              <w:pStyle w:val="TableParagraph"/>
              <w:spacing w:before="104"/>
              <w:ind w:left="107"/>
              <w:rPr>
                <w:sz w:val="21"/>
              </w:rPr>
            </w:pPr>
            <w:r>
              <w:rPr>
                <w:spacing w:val="-5"/>
                <w:sz w:val="21"/>
              </w:rPr>
              <w:t>指因疾病或意外伤害导致双耳听力永久不可逆性丧失，在 </w:t>
            </w:r>
            <w:r>
              <w:rPr>
                <w:sz w:val="21"/>
              </w:rPr>
              <w:t>500</w:t>
            </w:r>
            <w:r>
              <w:rPr>
                <w:spacing w:val="-31"/>
                <w:sz w:val="21"/>
              </w:rPr>
              <w:t> 赫兹、</w:t>
            </w:r>
            <w:r>
              <w:rPr>
                <w:sz w:val="21"/>
              </w:rPr>
              <w:t>1000</w:t>
            </w:r>
          </w:p>
        </w:tc>
      </w:tr>
      <w:tr>
        <w:trPr>
          <w:trHeight w:val="311" w:hRule="atLeast"/>
        </w:trPr>
        <w:tc>
          <w:tcPr>
            <w:tcW w:w="791" w:type="dxa"/>
          </w:tcPr>
          <w:p>
            <w:pPr>
              <w:pStyle w:val="TableParagraph"/>
              <w:rPr>
                <w:rFonts w:ascii="Times New Roman"/>
                <w:sz w:val="20"/>
              </w:rPr>
            </w:pPr>
          </w:p>
        </w:tc>
        <w:tc>
          <w:tcPr>
            <w:tcW w:w="1703" w:type="dxa"/>
          </w:tcPr>
          <w:p>
            <w:pPr>
              <w:pStyle w:val="TableParagraph"/>
              <w:rPr>
                <w:rFonts w:ascii="Times New Roman"/>
                <w:sz w:val="20"/>
              </w:rPr>
            </w:pPr>
          </w:p>
        </w:tc>
        <w:tc>
          <w:tcPr>
            <w:tcW w:w="6850" w:type="dxa"/>
          </w:tcPr>
          <w:p>
            <w:pPr>
              <w:pStyle w:val="TableParagraph"/>
              <w:spacing w:line="260" w:lineRule="exact"/>
              <w:ind w:left="107"/>
              <w:rPr>
                <w:sz w:val="21"/>
              </w:rPr>
            </w:pPr>
            <w:r>
              <w:rPr>
                <w:sz w:val="21"/>
              </w:rPr>
              <w:t>赫兹和 2000 赫兹语音频率下，平均听阈大于 90 分贝，且经纯音听力测</w:t>
            </w:r>
          </w:p>
        </w:tc>
      </w:tr>
      <w:tr>
        <w:trPr>
          <w:trHeight w:val="420" w:hRule="atLeast"/>
        </w:trPr>
        <w:tc>
          <w:tcPr>
            <w:tcW w:w="791" w:type="dxa"/>
          </w:tcPr>
          <w:p>
            <w:pPr>
              <w:pStyle w:val="TableParagraph"/>
              <w:rPr>
                <w:rFonts w:ascii="Times New Roman"/>
                <w:sz w:val="20"/>
              </w:rPr>
            </w:pPr>
          </w:p>
        </w:tc>
        <w:tc>
          <w:tcPr>
            <w:tcW w:w="1703" w:type="dxa"/>
          </w:tcPr>
          <w:p>
            <w:pPr>
              <w:pStyle w:val="TableParagraph"/>
              <w:rPr>
                <w:rFonts w:ascii="Times New Roman"/>
                <w:sz w:val="20"/>
              </w:rPr>
            </w:pPr>
          </w:p>
        </w:tc>
        <w:tc>
          <w:tcPr>
            <w:tcW w:w="6850" w:type="dxa"/>
          </w:tcPr>
          <w:p>
            <w:pPr>
              <w:pStyle w:val="TableParagraph"/>
              <w:spacing w:line="261" w:lineRule="exact"/>
              <w:ind w:left="107"/>
              <w:rPr>
                <w:sz w:val="21"/>
              </w:rPr>
            </w:pPr>
            <w:r>
              <w:rPr>
                <w:sz w:val="21"/>
              </w:rPr>
              <w:t>试、声导抗检测或听觉诱发电位检测等证实。</w:t>
            </w:r>
          </w:p>
        </w:tc>
      </w:tr>
      <w:tr>
        <w:trPr>
          <w:trHeight w:val="431" w:hRule="atLeast"/>
        </w:trPr>
        <w:tc>
          <w:tcPr>
            <w:tcW w:w="791" w:type="dxa"/>
          </w:tcPr>
          <w:p>
            <w:pPr>
              <w:pStyle w:val="TableParagraph"/>
              <w:spacing w:before="93"/>
              <w:ind w:left="50"/>
              <w:rPr>
                <w:i/>
                <w:sz w:val="22"/>
              </w:rPr>
            </w:pPr>
            <w:r>
              <w:rPr>
                <w:i/>
                <w:sz w:val="22"/>
              </w:rPr>
              <w:t>3.1.14</w:t>
            </w:r>
          </w:p>
        </w:tc>
        <w:tc>
          <w:tcPr>
            <w:tcW w:w="1703" w:type="dxa"/>
          </w:tcPr>
          <w:p>
            <w:pPr>
              <w:pStyle w:val="TableParagraph"/>
              <w:spacing w:before="93"/>
              <w:ind w:left="109"/>
              <w:rPr>
                <w:i/>
                <w:sz w:val="22"/>
              </w:rPr>
            </w:pPr>
            <w:r>
              <w:rPr>
                <w:i/>
                <w:w w:val="95"/>
                <w:sz w:val="22"/>
              </w:rPr>
              <w:t>双目失明</w:t>
            </w:r>
          </w:p>
        </w:tc>
        <w:tc>
          <w:tcPr>
            <w:tcW w:w="6850" w:type="dxa"/>
          </w:tcPr>
          <w:p>
            <w:pPr>
              <w:pStyle w:val="TableParagraph"/>
              <w:spacing w:before="104"/>
              <w:ind w:left="107"/>
              <w:rPr>
                <w:sz w:val="21"/>
              </w:rPr>
            </w:pPr>
            <w:r>
              <w:rPr>
                <w:sz w:val="21"/>
              </w:rPr>
              <w:t>指因疾病或意外伤害导致双眼视力永久不可逆性丧失，双眼中较好眼须</w:t>
            </w:r>
          </w:p>
        </w:tc>
      </w:tr>
      <w:tr>
        <w:trPr>
          <w:trHeight w:val="311" w:hRule="atLeast"/>
        </w:trPr>
        <w:tc>
          <w:tcPr>
            <w:tcW w:w="791" w:type="dxa"/>
          </w:tcPr>
          <w:p>
            <w:pPr>
              <w:pStyle w:val="TableParagraph"/>
              <w:rPr>
                <w:rFonts w:ascii="Times New Roman"/>
                <w:sz w:val="20"/>
              </w:rPr>
            </w:pPr>
          </w:p>
        </w:tc>
        <w:tc>
          <w:tcPr>
            <w:tcW w:w="1703" w:type="dxa"/>
          </w:tcPr>
          <w:p>
            <w:pPr>
              <w:pStyle w:val="TableParagraph"/>
              <w:rPr>
                <w:rFonts w:ascii="Times New Roman"/>
                <w:sz w:val="20"/>
              </w:rPr>
            </w:pPr>
          </w:p>
        </w:tc>
        <w:tc>
          <w:tcPr>
            <w:tcW w:w="6850" w:type="dxa"/>
          </w:tcPr>
          <w:p>
            <w:pPr>
              <w:pStyle w:val="TableParagraph"/>
              <w:spacing w:line="260" w:lineRule="exact"/>
              <w:ind w:left="107"/>
              <w:rPr>
                <w:sz w:val="21"/>
              </w:rPr>
            </w:pPr>
            <w:r>
              <w:rPr>
                <w:sz w:val="21"/>
              </w:rPr>
              <w:t>满足下列至少一项条件：</w:t>
            </w:r>
          </w:p>
        </w:tc>
      </w:tr>
      <w:tr>
        <w:trPr>
          <w:trHeight w:val="311" w:hRule="atLeast"/>
        </w:trPr>
        <w:tc>
          <w:tcPr>
            <w:tcW w:w="791" w:type="dxa"/>
          </w:tcPr>
          <w:p>
            <w:pPr>
              <w:pStyle w:val="TableParagraph"/>
              <w:rPr>
                <w:rFonts w:ascii="Times New Roman"/>
                <w:sz w:val="20"/>
              </w:rPr>
            </w:pPr>
          </w:p>
        </w:tc>
        <w:tc>
          <w:tcPr>
            <w:tcW w:w="1703" w:type="dxa"/>
          </w:tcPr>
          <w:p>
            <w:pPr>
              <w:pStyle w:val="TableParagraph"/>
              <w:rPr>
                <w:rFonts w:ascii="Times New Roman"/>
                <w:sz w:val="20"/>
              </w:rPr>
            </w:pPr>
          </w:p>
        </w:tc>
        <w:tc>
          <w:tcPr>
            <w:tcW w:w="6850" w:type="dxa"/>
          </w:tcPr>
          <w:p>
            <w:pPr>
              <w:pStyle w:val="TableParagraph"/>
              <w:spacing w:line="261" w:lineRule="exact"/>
              <w:ind w:left="107"/>
              <w:rPr>
                <w:sz w:val="21"/>
              </w:rPr>
            </w:pPr>
            <w:r>
              <w:rPr>
                <w:sz w:val="21"/>
              </w:rPr>
              <w:t>（1）眼球缺失或摘除；</w:t>
            </w:r>
          </w:p>
        </w:tc>
      </w:tr>
      <w:tr>
        <w:trPr>
          <w:trHeight w:val="311" w:hRule="atLeast"/>
        </w:trPr>
        <w:tc>
          <w:tcPr>
            <w:tcW w:w="791" w:type="dxa"/>
          </w:tcPr>
          <w:p>
            <w:pPr>
              <w:pStyle w:val="TableParagraph"/>
              <w:rPr>
                <w:rFonts w:ascii="Times New Roman"/>
                <w:sz w:val="20"/>
              </w:rPr>
            </w:pPr>
          </w:p>
        </w:tc>
        <w:tc>
          <w:tcPr>
            <w:tcW w:w="1703" w:type="dxa"/>
          </w:tcPr>
          <w:p>
            <w:pPr>
              <w:pStyle w:val="TableParagraph"/>
              <w:rPr>
                <w:rFonts w:ascii="Times New Roman"/>
                <w:sz w:val="20"/>
              </w:rPr>
            </w:pPr>
          </w:p>
        </w:tc>
        <w:tc>
          <w:tcPr>
            <w:tcW w:w="6850" w:type="dxa"/>
          </w:tcPr>
          <w:p>
            <w:pPr>
              <w:pStyle w:val="TableParagraph"/>
              <w:spacing w:line="261" w:lineRule="exact"/>
              <w:ind w:left="107"/>
              <w:rPr>
                <w:sz w:val="21"/>
              </w:rPr>
            </w:pPr>
            <w:r>
              <w:rPr>
                <w:sz w:val="21"/>
              </w:rPr>
              <w:t>（2）矫正视力低于 0.02（采用国际标准视力表，如果使用其它视力表应</w:t>
            </w:r>
          </w:p>
        </w:tc>
      </w:tr>
      <w:tr>
        <w:trPr>
          <w:trHeight w:val="311" w:hRule="atLeast"/>
        </w:trPr>
        <w:tc>
          <w:tcPr>
            <w:tcW w:w="791" w:type="dxa"/>
          </w:tcPr>
          <w:p>
            <w:pPr>
              <w:pStyle w:val="TableParagraph"/>
              <w:rPr>
                <w:rFonts w:ascii="Times New Roman"/>
                <w:sz w:val="20"/>
              </w:rPr>
            </w:pPr>
          </w:p>
        </w:tc>
        <w:tc>
          <w:tcPr>
            <w:tcW w:w="1703" w:type="dxa"/>
          </w:tcPr>
          <w:p>
            <w:pPr>
              <w:pStyle w:val="TableParagraph"/>
              <w:rPr>
                <w:rFonts w:ascii="Times New Roman"/>
                <w:sz w:val="20"/>
              </w:rPr>
            </w:pPr>
          </w:p>
        </w:tc>
        <w:tc>
          <w:tcPr>
            <w:tcW w:w="6850" w:type="dxa"/>
          </w:tcPr>
          <w:p>
            <w:pPr>
              <w:pStyle w:val="TableParagraph"/>
              <w:spacing w:line="261" w:lineRule="exact"/>
              <w:ind w:left="107"/>
              <w:rPr>
                <w:sz w:val="21"/>
              </w:rPr>
            </w:pPr>
            <w:r>
              <w:rPr>
                <w:sz w:val="21"/>
              </w:rPr>
              <w:t>进行换算</w:t>
            </w:r>
            <w:r>
              <w:rPr>
                <w:spacing w:val="-105"/>
                <w:sz w:val="21"/>
              </w:rPr>
              <w:t>）</w:t>
            </w:r>
            <w:r>
              <w:rPr>
                <w:sz w:val="21"/>
              </w:rPr>
              <w:t>；</w:t>
            </w:r>
          </w:p>
        </w:tc>
      </w:tr>
      <w:tr>
        <w:trPr>
          <w:trHeight w:val="420" w:hRule="atLeast"/>
        </w:trPr>
        <w:tc>
          <w:tcPr>
            <w:tcW w:w="791" w:type="dxa"/>
          </w:tcPr>
          <w:p>
            <w:pPr>
              <w:pStyle w:val="TableParagraph"/>
              <w:rPr>
                <w:rFonts w:ascii="Times New Roman"/>
                <w:sz w:val="20"/>
              </w:rPr>
            </w:pPr>
          </w:p>
        </w:tc>
        <w:tc>
          <w:tcPr>
            <w:tcW w:w="1703" w:type="dxa"/>
          </w:tcPr>
          <w:p>
            <w:pPr>
              <w:pStyle w:val="TableParagraph"/>
              <w:rPr>
                <w:rFonts w:ascii="Times New Roman"/>
                <w:sz w:val="20"/>
              </w:rPr>
            </w:pPr>
          </w:p>
        </w:tc>
        <w:tc>
          <w:tcPr>
            <w:tcW w:w="6850" w:type="dxa"/>
          </w:tcPr>
          <w:p>
            <w:pPr>
              <w:pStyle w:val="TableParagraph"/>
              <w:spacing w:line="261" w:lineRule="exact"/>
              <w:ind w:left="107"/>
              <w:rPr>
                <w:sz w:val="21"/>
              </w:rPr>
            </w:pPr>
            <w:r>
              <w:rPr>
                <w:sz w:val="21"/>
              </w:rPr>
              <w:t>（3）视野半径小于 5 度。</w:t>
            </w:r>
          </w:p>
        </w:tc>
      </w:tr>
      <w:tr>
        <w:trPr>
          <w:trHeight w:val="431" w:hRule="atLeast"/>
        </w:trPr>
        <w:tc>
          <w:tcPr>
            <w:tcW w:w="791" w:type="dxa"/>
          </w:tcPr>
          <w:p>
            <w:pPr>
              <w:pStyle w:val="TableParagraph"/>
              <w:spacing w:before="93"/>
              <w:ind w:left="50"/>
              <w:rPr>
                <w:i/>
                <w:sz w:val="22"/>
              </w:rPr>
            </w:pPr>
            <w:r>
              <w:rPr>
                <w:i/>
                <w:sz w:val="22"/>
              </w:rPr>
              <w:t>3.1.15</w:t>
            </w:r>
          </w:p>
        </w:tc>
        <w:tc>
          <w:tcPr>
            <w:tcW w:w="1703" w:type="dxa"/>
          </w:tcPr>
          <w:p>
            <w:pPr>
              <w:pStyle w:val="TableParagraph"/>
              <w:spacing w:before="93"/>
              <w:ind w:left="109"/>
              <w:rPr>
                <w:i/>
                <w:sz w:val="22"/>
              </w:rPr>
            </w:pPr>
            <w:r>
              <w:rPr>
                <w:i/>
                <w:w w:val="95"/>
                <w:sz w:val="22"/>
              </w:rPr>
              <w:t>瘫痪</w:t>
            </w:r>
          </w:p>
        </w:tc>
        <w:tc>
          <w:tcPr>
            <w:tcW w:w="6850" w:type="dxa"/>
          </w:tcPr>
          <w:p>
            <w:pPr>
              <w:pStyle w:val="TableParagraph"/>
              <w:spacing w:before="104"/>
              <w:ind w:left="107"/>
              <w:rPr>
                <w:sz w:val="21"/>
              </w:rPr>
            </w:pPr>
            <w:r>
              <w:rPr>
                <w:sz w:val="21"/>
              </w:rPr>
              <w:t>指因疾病或意外伤害导致两肢或两肢以上肢体机能永久完全丧失。肢体</w:t>
            </w:r>
          </w:p>
        </w:tc>
      </w:tr>
      <w:tr>
        <w:trPr>
          <w:trHeight w:val="311" w:hRule="atLeast"/>
        </w:trPr>
        <w:tc>
          <w:tcPr>
            <w:tcW w:w="791" w:type="dxa"/>
          </w:tcPr>
          <w:p>
            <w:pPr>
              <w:pStyle w:val="TableParagraph"/>
              <w:rPr>
                <w:rFonts w:ascii="Times New Roman"/>
                <w:sz w:val="20"/>
              </w:rPr>
            </w:pPr>
          </w:p>
        </w:tc>
        <w:tc>
          <w:tcPr>
            <w:tcW w:w="1703" w:type="dxa"/>
          </w:tcPr>
          <w:p>
            <w:pPr>
              <w:pStyle w:val="TableParagraph"/>
              <w:rPr>
                <w:rFonts w:ascii="Times New Roman"/>
                <w:sz w:val="20"/>
              </w:rPr>
            </w:pPr>
          </w:p>
        </w:tc>
        <w:tc>
          <w:tcPr>
            <w:tcW w:w="6850" w:type="dxa"/>
          </w:tcPr>
          <w:p>
            <w:pPr>
              <w:pStyle w:val="TableParagraph"/>
              <w:spacing w:line="260" w:lineRule="exact"/>
              <w:ind w:left="107"/>
              <w:rPr>
                <w:sz w:val="21"/>
              </w:rPr>
            </w:pPr>
            <w:r>
              <w:rPr>
                <w:sz w:val="21"/>
              </w:rPr>
              <w:t>机能永久完全丧失，指疾病确诊 180 天后或意外伤害发生 180 天后，每</w:t>
            </w:r>
          </w:p>
        </w:tc>
      </w:tr>
      <w:tr>
        <w:trPr>
          <w:trHeight w:val="420" w:hRule="atLeast"/>
        </w:trPr>
        <w:tc>
          <w:tcPr>
            <w:tcW w:w="791" w:type="dxa"/>
          </w:tcPr>
          <w:p>
            <w:pPr>
              <w:pStyle w:val="TableParagraph"/>
              <w:rPr>
                <w:rFonts w:ascii="Times New Roman"/>
                <w:sz w:val="20"/>
              </w:rPr>
            </w:pPr>
          </w:p>
        </w:tc>
        <w:tc>
          <w:tcPr>
            <w:tcW w:w="1703" w:type="dxa"/>
          </w:tcPr>
          <w:p>
            <w:pPr>
              <w:pStyle w:val="TableParagraph"/>
              <w:rPr>
                <w:rFonts w:ascii="Times New Roman"/>
                <w:sz w:val="20"/>
              </w:rPr>
            </w:pPr>
          </w:p>
        </w:tc>
        <w:tc>
          <w:tcPr>
            <w:tcW w:w="6850" w:type="dxa"/>
          </w:tcPr>
          <w:p>
            <w:pPr>
              <w:pStyle w:val="TableParagraph"/>
              <w:spacing w:line="261" w:lineRule="exact"/>
              <w:ind w:left="107"/>
              <w:rPr>
                <w:sz w:val="21"/>
              </w:rPr>
            </w:pPr>
            <w:r>
              <w:rPr>
                <w:sz w:val="21"/>
              </w:rPr>
              <w:t>肢三大关节中的两大关节仍然完全僵硬，或不能随意识活动。</w:t>
            </w:r>
          </w:p>
        </w:tc>
      </w:tr>
      <w:tr>
        <w:trPr>
          <w:trHeight w:val="431" w:hRule="atLeast"/>
        </w:trPr>
        <w:tc>
          <w:tcPr>
            <w:tcW w:w="791" w:type="dxa"/>
          </w:tcPr>
          <w:p>
            <w:pPr>
              <w:pStyle w:val="TableParagraph"/>
              <w:spacing w:before="93"/>
              <w:ind w:left="50"/>
              <w:rPr>
                <w:i/>
                <w:sz w:val="22"/>
              </w:rPr>
            </w:pPr>
            <w:r>
              <w:rPr>
                <w:i/>
                <w:sz w:val="22"/>
              </w:rPr>
              <w:t>3.1.16</w:t>
            </w:r>
          </w:p>
        </w:tc>
        <w:tc>
          <w:tcPr>
            <w:tcW w:w="1703" w:type="dxa"/>
          </w:tcPr>
          <w:p>
            <w:pPr>
              <w:pStyle w:val="TableParagraph"/>
              <w:spacing w:before="93"/>
              <w:ind w:left="109"/>
              <w:rPr>
                <w:i/>
                <w:sz w:val="22"/>
              </w:rPr>
            </w:pPr>
            <w:r>
              <w:rPr>
                <w:i/>
                <w:w w:val="95"/>
                <w:sz w:val="22"/>
              </w:rPr>
              <w:t>心脏瓣膜手术</w:t>
            </w:r>
          </w:p>
        </w:tc>
        <w:tc>
          <w:tcPr>
            <w:tcW w:w="6850" w:type="dxa"/>
          </w:tcPr>
          <w:p>
            <w:pPr>
              <w:pStyle w:val="TableParagraph"/>
              <w:spacing w:before="104"/>
              <w:ind w:left="107"/>
              <w:rPr>
                <w:sz w:val="21"/>
              </w:rPr>
            </w:pPr>
            <w:r>
              <w:rPr>
                <w:sz w:val="21"/>
              </w:rPr>
              <w:t>指为治疗心脏瓣膜疾病，实际实施了开胸进行的心脏瓣膜置换或修复的</w:t>
            </w:r>
          </w:p>
        </w:tc>
      </w:tr>
      <w:tr>
        <w:trPr>
          <w:trHeight w:val="420" w:hRule="atLeast"/>
        </w:trPr>
        <w:tc>
          <w:tcPr>
            <w:tcW w:w="791" w:type="dxa"/>
          </w:tcPr>
          <w:p>
            <w:pPr>
              <w:pStyle w:val="TableParagraph"/>
              <w:rPr>
                <w:rFonts w:ascii="Times New Roman"/>
                <w:sz w:val="20"/>
              </w:rPr>
            </w:pPr>
          </w:p>
        </w:tc>
        <w:tc>
          <w:tcPr>
            <w:tcW w:w="1703" w:type="dxa"/>
          </w:tcPr>
          <w:p>
            <w:pPr>
              <w:pStyle w:val="TableParagraph"/>
              <w:rPr>
                <w:rFonts w:ascii="Times New Roman"/>
                <w:sz w:val="20"/>
              </w:rPr>
            </w:pPr>
          </w:p>
        </w:tc>
        <w:tc>
          <w:tcPr>
            <w:tcW w:w="6850" w:type="dxa"/>
          </w:tcPr>
          <w:p>
            <w:pPr>
              <w:pStyle w:val="TableParagraph"/>
              <w:spacing w:line="260" w:lineRule="exact"/>
              <w:ind w:left="107"/>
              <w:rPr>
                <w:sz w:val="21"/>
              </w:rPr>
            </w:pPr>
            <w:r>
              <w:rPr>
                <w:sz w:val="21"/>
              </w:rPr>
              <w:t>手术。</w:t>
            </w:r>
          </w:p>
        </w:tc>
      </w:tr>
      <w:tr>
        <w:trPr>
          <w:trHeight w:val="743" w:hRule="atLeast"/>
        </w:trPr>
        <w:tc>
          <w:tcPr>
            <w:tcW w:w="791" w:type="dxa"/>
          </w:tcPr>
          <w:p>
            <w:pPr>
              <w:pStyle w:val="TableParagraph"/>
              <w:spacing w:before="93"/>
              <w:ind w:left="50"/>
              <w:rPr>
                <w:i/>
                <w:sz w:val="22"/>
              </w:rPr>
            </w:pPr>
            <w:r>
              <w:rPr>
                <w:i/>
                <w:sz w:val="22"/>
              </w:rPr>
              <w:t>3.1.17</w:t>
            </w:r>
          </w:p>
        </w:tc>
        <w:tc>
          <w:tcPr>
            <w:tcW w:w="1703" w:type="dxa"/>
          </w:tcPr>
          <w:p>
            <w:pPr>
              <w:pStyle w:val="TableParagraph"/>
              <w:spacing w:line="259" w:lineRule="auto" w:before="93"/>
              <w:ind w:left="109" w:right="121"/>
              <w:rPr>
                <w:i/>
                <w:sz w:val="22"/>
              </w:rPr>
            </w:pPr>
            <w:r>
              <w:rPr>
                <w:i/>
                <w:w w:val="95"/>
                <w:sz w:val="22"/>
              </w:rPr>
              <w:t>严重阿尔茨海默</w:t>
            </w:r>
            <w:r>
              <w:rPr>
                <w:i/>
                <w:sz w:val="22"/>
              </w:rPr>
              <w:t>病</w:t>
            </w:r>
          </w:p>
        </w:tc>
        <w:tc>
          <w:tcPr>
            <w:tcW w:w="6850" w:type="dxa"/>
          </w:tcPr>
          <w:p>
            <w:pPr>
              <w:pStyle w:val="TableParagraph"/>
              <w:spacing w:line="273" w:lineRule="auto" w:before="105"/>
              <w:ind w:left="107" w:right="151"/>
              <w:rPr>
                <w:sz w:val="21"/>
              </w:rPr>
            </w:pPr>
            <w:r>
              <w:rPr>
                <w:sz w:val="21"/>
              </w:rPr>
              <w:t>指因大脑进行性、不可逆性改变导致智能严重衰退或丧失，临床表现为明显的认知能力障碍、行为异常和社交能力减退，其日常生活必须持续</w:t>
            </w:r>
          </w:p>
        </w:tc>
      </w:tr>
      <w:tr>
        <w:trPr>
          <w:trHeight w:val="311" w:hRule="atLeast"/>
        </w:trPr>
        <w:tc>
          <w:tcPr>
            <w:tcW w:w="791" w:type="dxa"/>
          </w:tcPr>
          <w:p>
            <w:pPr>
              <w:pStyle w:val="TableParagraph"/>
              <w:rPr>
                <w:rFonts w:ascii="Times New Roman"/>
                <w:sz w:val="20"/>
              </w:rPr>
            </w:pPr>
          </w:p>
        </w:tc>
        <w:tc>
          <w:tcPr>
            <w:tcW w:w="1703" w:type="dxa"/>
          </w:tcPr>
          <w:p>
            <w:pPr>
              <w:pStyle w:val="TableParagraph"/>
              <w:rPr>
                <w:rFonts w:ascii="Times New Roman"/>
                <w:sz w:val="20"/>
              </w:rPr>
            </w:pPr>
          </w:p>
        </w:tc>
        <w:tc>
          <w:tcPr>
            <w:tcW w:w="6850" w:type="dxa"/>
          </w:tcPr>
          <w:p>
            <w:pPr>
              <w:pStyle w:val="TableParagraph"/>
              <w:spacing w:line="260" w:lineRule="exact"/>
              <w:ind w:left="107"/>
              <w:rPr>
                <w:sz w:val="21"/>
              </w:rPr>
            </w:pPr>
            <w:r>
              <w:rPr>
                <w:sz w:val="21"/>
              </w:rPr>
              <w:t>受到他人监护。须由头颅断层扫描</w:t>
            </w:r>
            <w:r>
              <w:rPr>
                <w:spacing w:val="1"/>
                <w:sz w:val="21"/>
              </w:rPr>
              <w:t>（</w:t>
            </w:r>
            <w:r>
              <w:rPr>
                <w:sz w:val="21"/>
              </w:rPr>
              <w:t>C</w:t>
            </w:r>
            <w:r>
              <w:rPr>
                <w:spacing w:val="1"/>
                <w:sz w:val="21"/>
              </w:rPr>
              <w:t>T</w:t>
            </w:r>
            <w:r>
              <w:rPr>
                <w:spacing w:val="-103"/>
                <w:sz w:val="21"/>
              </w:rPr>
              <w:t>）</w:t>
            </w:r>
            <w:r>
              <w:rPr>
                <w:sz w:val="21"/>
              </w:rPr>
              <w:t>、核磁共振检查</w:t>
            </w:r>
            <w:r>
              <w:rPr>
                <w:spacing w:val="1"/>
                <w:sz w:val="21"/>
              </w:rPr>
              <w:t>（M</w:t>
            </w:r>
            <w:r>
              <w:rPr>
                <w:sz w:val="21"/>
              </w:rPr>
              <w:t>R</w:t>
            </w:r>
            <w:r>
              <w:rPr>
                <w:spacing w:val="-1"/>
                <w:sz w:val="21"/>
              </w:rPr>
              <w:t>I</w:t>
            </w:r>
            <w:r>
              <w:rPr>
                <w:sz w:val="21"/>
              </w:rPr>
              <w:t>) 或正电</w:t>
            </w:r>
          </w:p>
        </w:tc>
      </w:tr>
      <w:tr>
        <w:trPr>
          <w:trHeight w:val="311" w:hRule="atLeast"/>
        </w:trPr>
        <w:tc>
          <w:tcPr>
            <w:tcW w:w="791" w:type="dxa"/>
          </w:tcPr>
          <w:p>
            <w:pPr>
              <w:pStyle w:val="TableParagraph"/>
              <w:rPr>
                <w:rFonts w:ascii="Times New Roman"/>
                <w:sz w:val="20"/>
              </w:rPr>
            </w:pPr>
          </w:p>
        </w:tc>
        <w:tc>
          <w:tcPr>
            <w:tcW w:w="1703" w:type="dxa"/>
          </w:tcPr>
          <w:p>
            <w:pPr>
              <w:pStyle w:val="TableParagraph"/>
              <w:rPr>
                <w:rFonts w:ascii="Times New Roman"/>
                <w:sz w:val="20"/>
              </w:rPr>
            </w:pPr>
          </w:p>
        </w:tc>
        <w:tc>
          <w:tcPr>
            <w:tcW w:w="6850" w:type="dxa"/>
          </w:tcPr>
          <w:p>
            <w:pPr>
              <w:pStyle w:val="TableParagraph"/>
              <w:spacing w:line="261" w:lineRule="exact"/>
              <w:ind w:left="107"/>
              <w:rPr>
                <w:sz w:val="21"/>
              </w:rPr>
            </w:pPr>
            <w:r>
              <w:rPr>
                <w:sz w:val="21"/>
              </w:rPr>
              <w:t>子发射断层扫描（PET）等影像学检查证实，且自主生活能力完全丧失，</w:t>
            </w:r>
          </w:p>
        </w:tc>
      </w:tr>
      <w:tr>
        <w:trPr>
          <w:trHeight w:val="311" w:hRule="atLeast"/>
        </w:trPr>
        <w:tc>
          <w:tcPr>
            <w:tcW w:w="791" w:type="dxa"/>
          </w:tcPr>
          <w:p>
            <w:pPr>
              <w:pStyle w:val="TableParagraph"/>
              <w:rPr>
                <w:rFonts w:ascii="Times New Roman"/>
                <w:sz w:val="20"/>
              </w:rPr>
            </w:pPr>
          </w:p>
        </w:tc>
        <w:tc>
          <w:tcPr>
            <w:tcW w:w="1703" w:type="dxa"/>
          </w:tcPr>
          <w:p>
            <w:pPr>
              <w:pStyle w:val="TableParagraph"/>
              <w:rPr>
                <w:rFonts w:ascii="Times New Roman"/>
                <w:sz w:val="20"/>
              </w:rPr>
            </w:pPr>
          </w:p>
        </w:tc>
        <w:tc>
          <w:tcPr>
            <w:tcW w:w="6850" w:type="dxa"/>
          </w:tcPr>
          <w:p>
            <w:pPr>
              <w:pStyle w:val="TableParagraph"/>
              <w:spacing w:line="261" w:lineRule="exact"/>
              <w:ind w:left="107"/>
              <w:rPr>
                <w:sz w:val="21"/>
              </w:rPr>
            </w:pPr>
            <w:r>
              <w:rPr>
                <w:sz w:val="21"/>
              </w:rPr>
              <w:t>无法独立完成六项基本日常生活活动中的三项或三项以上。</w:t>
            </w:r>
          </w:p>
        </w:tc>
      </w:tr>
      <w:tr>
        <w:trPr>
          <w:trHeight w:val="420" w:hRule="atLeast"/>
        </w:trPr>
        <w:tc>
          <w:tcPr>
            <w:tcW w:w="791" w:type="dxa"/>
          </w:tcPr>
          <w:p>
            <w:pPr>
              <w:pStyle w:val="TableParagraph"/>
              <w:rPr>
                <w:rFonts w:ascii="Times New Roman"/>
                <w:sz w:val="20"/>
              </w:rPr>
            </w:pPr>
          </w:p>
        </w:tc>
        <w:tc>
          <w:tcPr>
            <w:tcW w:w="1703" w:type="dxa"/>
          </w:tcPr>
          <w:p>
            <w:pPr>
              <w:pStyle w:val="TableParagraph"/>
              <w:rPr>
                <w:rFonts w:ascii="Times New Roman"/>
                <w:sz w:val="20"/>
              </w:rPr>
            </w:pPr>
          </w:p>
        </w:tc>
        <w:tc>
          <w:tcPr>
            <w:tcW w:w="6850" w:type="dxa"/>
          </w:tcPr>
          <w:p>
            <w:pPr>
              <w:pStyle w:val="TableParagraph"/>
              <w:spacing w:line="261" w:lineRule="exact"/>
              <w:ind w:left="107"/>
              <w:rPr>
                <w:sz w:val="21"/>
              </w:rPr>
            </w:pPr>
            <w:r>
              <w:rPr>
                <w:sz w:val="21"/>
              </w:rPr>
              <w:t>神经官能症和精神疾病不在保障范围内。</w:t>
            </w:r>
          </w:p>
        </w:tc>
      </w:tr>
      <w:tr>
        <w:trPr>
          <w:trHeight w:val="431" w:hRule="atLeast"/>
        </w:trPr>
        <w:tc>
          <w:tcPr>
            <w:tcW w:w="791" w:type="dxa"/>
          </w:tcPr>
          <w:p>
            <w:pPr>
              <w:pStyle w:val="TableParagraph"/>
              <w:spacing w:before="93"/>
              <w:ind w:left="50"/>
              <w:rPr>
                <w:i/>
                <w:sz w:val="22"/>
              </w:rPr>
            </w:pPr>
            <w:r>
              <w:rPr>
                <w:i/>
                <w:sz w:val="22"/>
              </w:rPr>
              <w:t>3.1.18</w:t>
            </w:r>
          </w:p>
        </w:tc>
        <w:tc>
          <w:tcPr>
            <w:tcW w:w="1703" w:type="dxa"/>
          </w:tcPr>
          <w:p>
            <w:pPr>
              <w:pStyle w:val="TableParagraph"/>
              <w:spacing w:before="93"/>
              <w:ind w:left="109"/>
              <w:rPr>
                <w:i/>
                <w:sz w:val="22"/>
              </w:rPr>
            </w:pPr>
            <w:r>
              <w:rPr>
                <w:i/>
                <w:w w:val="95"/>
                <w:sz w:val="22"/>
              </w:rPr>
              <w:t>严重脑损伤</w:t>
            </w:r>
          </w:p>
        </w:tc>
        <w:tc>
          <w:tcPr>
            <w:tcW w:w="6850" w:type="dxa"/>
          </w:tcPr>
          <w:p>
            <w:pPr>
              <w:pStyle w:val="TableParagraph"/>
              <w:spacing w:before="104"/>
              <w:ind w:left="107"/>
              <w:rPr>
                <w:sz w:val="21"/>
              </w:rPr>
            </w:pPr>
            <w:r>
              <w:rPr>
                <w:sz w:val="21"/>
              </w:rPr>
              <w:t>指因头部遭受机械性外力，引起脑重要部位损伤，导致神经系统永久性</w:t>
            </w:r>
          </w:p>
        </w:tc>
      </w:tr>
      <w:tr>
        <w:trPr>
          <w:trHeight w:val="311" w:hRule="atLeast"/>
        </w:trPr>
        <w:tc>
          <w:tcPr>
            <w:tcW w:w="791" w:type="dxa"/>
          </w:tcPr>
          <w:p>
            <w:pPr>
              <w:pStyle w:val="TableParagraph"/>
              <w:rPr>
                <w:rFonts w:ascii="Times New Roman"/>
                <w:sz w:val="20"/>
              </w:rPr>
            </w:pPr>
          </w:p>
        </w:tc>
        <w:tc>
          <w:tcPr>
            <w:tcW w:w="1703" w:type="dxa"/>
          </w:tcPr>
          <w:p>
            <w:pPr>
              <w:pStyle w:val="TableParagraph"/>
              <w:rPr>
                <w:rFonts w:ascii="Times New Roman"/>
                <w:sz w:val="20"/>
              </w:rPr>
            </w:pPr>
          </w:p>
        </w:tc>
        <w:tc>
          <w:tcPr>
            <w:tcW w:w="6850" w:type="dxa"/>
          </w:tcPr>
          <w:p>
            <w:pPr>
              <w:pStyle w:val="TableParagraph"/>
              <w:spacing w:line="260" w:lineRule="exact"/>
              <w:ind w:left="107"/>
              <w:rPr>
                <w:sz w:val="21"/>
              </w:rPr>
            </w:pPr>
            <w:r>
              <w:rPr>
                <w:sz w:val="21"/>
              </w:rPr>
              <w:t>的功能障碍。须由头颅断层扫描（CT</w:t>
            </w:r>
            <w:r>
              <w:rPr>
                <w:spacing w:val="-106"/>
                <w:sz w:val="21"/>
              </w:rPr>
              <w:t>）</w:t>
            </w:r>
            <w:r>
              <w:rPr>
                <w:spacing w:val="-1"/>
                <w:sz w:val="21"/>
              </w:rPr>
              <w:t>、核磁共振检查</w:t>
            </w:r>
            <w:r>
              <w:rPr>
                <w:sz w:val="21"/>
              </w:rPr>
              <w:t>（MRI) 或正电子</w:t>
            </w:r>
          </w:p>
        </w:tc>
      </w:tr>
      <w:tr>
        <w:trPr>
          <w:trHeight w:val="311" w:hRule="atLeast"/>
        </w:trPr>
        <w:tc>
          <w:tcPr>
            <w:tcW w:w="791" w:type="dxa"/>
          </w:tcPr>
          <w:p>
            <w:pPr>
              <w:pStyle w:val="TableParagraph"/>
              <w:rPr>
                <w:rFonts w:ascii="Times New Roman"/>
                <w:sz w:val="20"/>
              </w:rPr>
            </w:pPr>
          </w:p>
        </w:tc>
        <w:tc>
          <w:tcPr>
            <w:tcW w:w="1703" w:type="dxa"/>
          </w:tcPr>
          <w:p>
            <w:pPr>
              <w:pStyle w:val="TableParagraph"/>
              <w:rPr>
                <w:rFonts w:ascii="Times New Roman"/>
                <w:sz w:val="20"/>
              </w:rPr>
            </w:pPr>
          </w:p>
        </w:tc>
        <w:tc>
          <w:tcPr>
            <w:tcW w:w="6850" w:type="dxa"/>
          </w:tcPr>
          <w:p>
            <w:pPr>
              <w:pStyle w:val="TableParagraph"/>
              <w:spacing w:line="261" w:lineRule="exact"/>
              <w:ind w:left="107"/>
              <w:rPr>
                <w:sz w:val="21"/>
              </w:rPr>
            </w:pPr>
            <w:r>
              <w:rPr>
                <w:sz w:val="21"/>
              </w:rPr>
              <w:t>发射断层扫描（PET）等影像学检查证实。神经系统永久性的功能障碍，</w:t>
            </w:r>
          </w:p>
        </w:tc>
      </w:tr>
      <w:tr>
        <w:trPr>
          <w:trHeight w:val="311" w:hRule="atLeast"/>
        </w:trPr>
        <w:tc>
          <w:tcPr>
            <w:tcW w:w="791" w:type="dxa"/>
          </w:tcPr>
          <w:p>
            <w:pPr>
              <w:pStyle w:val="TableParagraph"/>
              <w:rPr>
                <w:rFonts w:ascii="Times New Roman"/>
                <w:sz w:val="20"/>
              </w:rPr>
            </w:pPr>
          </w:p>
        </w:tc>
        <w:tc>
          <w:tcPr>
            <w:tcW w:w="1703" w:type="dxa"/>
          </w:tcPr>
          <w:p>
            <w:pPr>
              <w:pStyle w:val="TableParagraph"/>
              <w:rPr>
                <w:rFonts w:ascii="Times New Roman"/>
                <w:sz w:val="20"/>
              </w:rPr>
            </w:pPr>
          </w:p>
        </w:tc>
        <w:tc>
          <w:tcPr>
            <w:tcW w:w="6850" w:type="dxa"/>
          </w:tcPr>
          <w:p>
            <w:pPr>
              <w:pStyle w:val="TableParagraph"/>
              <w:spacing w:line="261" w:lineRule="exact"/>
              <w:ind w:left="107"/>
              <w:rPr>
                <w:sz w:val="21"/>
              </w:rPr>
            </w:pPr>
            <w:r>
              <w:rPr>
                <w:sz w:val="21"/>
              </w:rPr>
              <w:t>指脑损伤 180 天后，仍遗留下列一种或一种以上障碍：</w:t>
            </w:r>
          </w:p>
        </w:tc>
      </w:tr>
      <w:tr>
        <w:trPr>
          <w:trHeight w:val="260" w:hRule="atLeast"/>
        </w:trPr>
        <w:tc>
          <w:tcPr>
            <w:tcW w:w="791" w:type="dxa"/>
          </w:tcPr>
          <w:p>
            <w:pPr>
              <w:pStyle w:val="TableParagraph"/>
              <w:rPr>
                <w:rFonts w:ascii="Times New Roman"/>
                <w:sz w:val="18"/>
              </w:rPr>
            </w:pPr>
          </w:p>
        </w:tc>
        <w:tc>
          <w:tcPr>
            <w:tcW w:w="1703" w:type="dxa"/>
          </w:tcPr>
          <w:p>
            <w:pPr>
              <w:pStyle w:val="TableParagraph"/>
              <w:rPr>
                <w:rFonts w:ascii="Times New Roman"/>
                <w:sz w:val="18"/>
              </w:rPr>
            </w:pPr>
          </w:p>
        </w:tc>
        <w:tc>
          <w:tcPr>
            <w:tcW w:w="6850" w:type="dxa"/>
          </w:tcPr>
          <w:p>
            <w:pPr>
              <w:pStyle w:val="TableParagraph"/>
              <w:spacing w:line="241" w:lineRule="exact"/>
              <w:ind w:left="107"/>
              <w:rPr>
                <w:sz w:val="21"/>
              </w:rPr>
            </w:pPr>
            <w:r>
              <w:rPr>
                <w:sz w:val="21"/>
              </w:rPr>
              <w:t>（1）一肢或一肢以上肢体机能完全丧失；</w:t>
            </w:r>
          </w:p>
        </w:tc>
      </w:tr>
    </w:tbl>
    <w:p>
      <w:pPr>
        <w:spacing w:after="0" w:line="241" w:lineRule="exact"/>
        <w:rPr>
          <w:sz w:val="21"/>
        </w:rPr>
        <w:sectPr>
          <w:pgSz w:w="11910" w:h="16840"/>
          <w:pgMar w:header="0" w:footer="998" w:top="1540" w:bottom="1180" w:left="1140" w:right="1200"/>
        </w:sectPr>
      </w:pPr>
    </w:p>
    <w:tbl>
      <w:tblPr>
        <w:tblW w:w="0" w:type="auto"/>
        <w:jc w:val="left"/>
        <w:tblInd w:w="1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91"/>
        <w:gridCol w:w="1703"/>
        <w:gridCol w:w="6850"/>
      </w:tblGrid>
      <w:tr>
        <w:trPr>
          <w:trHeight w:val="260" w:hRule="atLeast"/>
        </w:trPr>
        <w:tc>
          <w:tcPr>
            <w:tcW w:w="791" w:type="dxa"/>
          </w:tcPr>
          <w:p>
            <w:pPr>
              <w:pStyle w:val="TableParagraph"/>
              <w:rPr>
                <w:rFonts w:ascii="Times New Roman"/>
                <w:sz w:val="18"/>
              </w:rPr>
            </w:pPr>
          </w:p>
        </w:tc>
        <w:tc>
          <w:tcPr>
            <w:tcW w:w="1703" w:type="dxa"/>
          </w:tcPr>
          <w:p>
            <w:pPr>
              <w:pStyle w:val="TableParagraph"/>
              <w:rPr>
                <w:rFonts w:ascii="Times New Roman"/>
                <w:sz w:val="18"/>
              </w:rPr>
            </w:pPr>
          </w:p>
        </w:tc>
        <w:tc>
          <w:tcPr>
            <w:tcW w:w="6850" w:type="dxa"/>
          </w:tcPr>
          <w:p>
            <w:pPr>
              <w:pStyle w:val="TableParagraph"/>
              <w:spacing w:line="210" w:lineRule="exact"/>
              <w:ind w:left="107"/>
              <w:rPr>
                <w:sz w:val="21"/>
              </w:rPr>
            </w:pPr>
            <w:r>
              <w:rPr>
                <w:sz w:val="21"/>
              </w:rPr>
              <w:t>（2）语言能力或咀嚼吞咽能力完全丧失；</w:t>
            </w:r>
          </w:p>
        </w:tc>
      </w:tr>
      <w:tr>
        <w:trPr>
          <w:trHeight w:val="311" w:hRule="atLeast"/>
        </w:trPr>
        <w:tc>
          <w:tcPr>
            <w:tcW w:w="791" w:type="dxa"/>
          </w:tcPr>
          <w:p>
            <w:pPr>
              <w:pStyle w:val="TableParagraph"/>
              <w:rPr>
                <w:rFonts w:ascii="Times New Roman"/>
                <w:sz w:val="20"/>
              </w:rPr>
            </w:pPr>
          </w:p>
        </w:tc>
        <w:tc>
          <w:tcPr>
            <w:tcW w:w="1703" w:type="dxa"/>
          </w:tcPr>
          <w:p>
            <w:pPr>
              <w:pStyle w:val="TableParagraph"/>
              <w:rPr>
                <w:rFonts w:ascii="Times New Roman"/>
                <w:sz w:val="20"/>
              </w:rPr>
            </w:pPr>
          </w:p>
        </w:tc>
        <w:tc>
          <w:tcPr>
            <w:tcW w:w="6850" w:type="dxa"/>
          </w:tcPr>
          <w:p>
            <w:pPr>
              <w:pStyle w:val="TableParagraph"/>
              <w:spacing w:line="260" w:lineRule="exact"/>
              <w:ind w:left="107"/>
              <w:rPr>
                <w:sz w:val="21"/>
              </w:rPr>
            </w:pPr>
            <w:r>
              <w:rPr>
                <w:sz w:val="21"/>
              </w:rPr>
              <w:t>（3）自主生活能力完全丧失，无法独立完成六项基本日常生活活动中的</w:t>
            </w:r>
          </w:p>
        </w:tc>
      </w:tr>
      <w:tr>
        <w:trPr>
          <w:trHeight w:val="420" w:hRule="atLeast"/>
        </w:trPr>
        <w:tc>
          <w:tcPr>
            <w:tcW w:w="791" w:type="dxa"/>
          </w:tcPr>
          <w:p>
            <w:pPr>
              <w:pStyle w:val="TableParagraph"/>
              <w:rPr>
                <w:rFonts w:ascii="Times New Roman"/>
                <w:sz w:val="20"/>
              </w:rPr>
            </w:pPr>
          </w:p>
        </w:tc>
        <w:tc>
          <w:tcPr>
            <w:tcW w:w="1703" w:type="dxa"/>
          </w:tcPr>
          <w:p>
            <w:pPr>
              <w:pStyle w:val="TableParagraph"/>
              <w:rPr>
                <w:rFonts w:ascii="Times New Roman"/>
                <w:sz w:val="20"/>
              </w:rPr>
            </w:pPr>
          </w:p>
        </w:tc>
        <w:tc>
          <w:tcPr>
            <w:tcW w:w="6850" w:type="dxa"/>
          </w:tcPr>
          <w:p>
            <w:pPr>
              <w:pStyle w:val="TableParagraph"/>
              <w:spacing w:line="261" w:lineRule="exact"/>
              <w:ind w:left="107"/>
              <w:rPr>
                <w:sz w:val="21"/>
              </w:rPr>
            </w:pPr>
            <w:r>
              <w:rPr>
                <w:sz w:val="21"/>
              </w:rPr>
              <w:t>三项或三项以上。</w:t>
            </w:r>
          </w:p>
        </w:tc>
      </w:tr>
      <w:tr>
        <w:trPr>
          <w:trHeight w:val="431" w:hRule="atLeast"/>
        </w:trPr>
        <w:tc>
          <w:tcPr>
            <w:tcW w:w="791" w:type="dxa"/>
          </w:tcPr>
          <w:p>
            <w:pPr>
              <w:pStyle w:val="TableParagraph"/>
              <w:spacing w:before="93"/>
              <w:ind w:left="50"/>
              <w:rPr>
                <w:i/>
                <w:sz w:val="22"/>
              </w:rPr>
            </w:pPr>
            <w:r>
              <w:rPr>
                <w:i/>
                <w:sz w:val="22"/>
              </w:rPr>
              <w:t>3.1.19</w:t>
            </w:r>
          </w:p>
        </w:tc>
        <w:tc>
          <w:tcPr>
            <w:tcW w:w="1703" w:type="dxa"/>
          </w:tcPr>
          <w:p>
            <w:pPr>
              <w:pStyle w:val="TableParagraph"/>
              <w:spacing w:before="93"/>
              <w:ind w:left="109"/>
              <w:rPr>
                <w:i/>
                <w:sz w:val="22"/>
              </w:rPr>
            </w:pPr>
            <w:r>
              <w:rPr>
                <w:i/>
                <w:w w:val="95"/>
                <w:sz w:val="22"/>
              </w:rPr>
              <w:t>严重帕金森病</w:t>
            </w:r>
          </w:p>
        </w:tc>
        <w:tc>
          <w:tcPr>
            <w:tcW w:w="6850" w:type="dxa"/>
          </w:tcPr>
          <w:p>
            <w:pPr>
              <w:pStyle w:val="TableParagraph"/>
              <w:spacing w:before="105"/>
              <w:ind w:left="107"/>
              <w:rPr>
                <w:sz w:val="21"/>
              </w:rPr>
            </w:pPr>
            <w:r>
              <w:rPr>
                <w:sz w:val="21"/>
              </w:rPr>
              <w:t>是一种中枢神经系统的退行性疾病，临床表现为震颤麻痹、共济失调等。</w:t>
            </w:r>
          </w:p>
        </w:tc>
      </w:tr>
      <w:tr>
        <w:trPr>
          <w:trHeight w:val="311" w:hRule="atLeast"/>
        </w:trPr>
        <w:tc>
          <w:tcPr>
            <w:tcW w:w="791" w:type="dxa"/>
          </w:tcPr>
          <w:p>
            <w:pPr>
              <w:pStyle w:val="TableParagraph"/>
              <w:rPr>
                <w:rFonts w:ascii="Times New Roman"/>
                <w:sz w:val="20"/>
              </w:rPr>
            </w:pPr>
          </w:p>
        </w:tc>
        <w:tc>
          <w:tcPr>
            <w:tcW w:w="1703" w:type="dxa"/>
          </w:tcPr>
          <w:p>
            <w:pPr>
              <w:pStyle w:val="TableParagraph"/>
              <w:rPr>
                <w:rFonts w:ascii="Times New Roman"/>
                <w:sz w:val="20"/>
              </w:rPr>
            </w:pPr>
          </w:p>
        </w:tc>
        <w:tc>
          <w:tcPr>
            <w:tcW w:w="6850" w:type="dxa"/>
          </w:tcPr>
          <w:p>
            <w:pPr>
              <w:pStyle w:val="TableParagraph"/>
              <w:spacing w:line="260" w:lineRule="exact"/>
              <w:ind w:left="107"/>
              <w:rPr>
                <w:sz w:val="21"/>
              </w:rPr>
            </w:pPr>
            <w:r>
              <w:rPr>
                <w:sz w:val="21"/>
              </w:rPr>
              <w:t>须满足下列全部条件：</w:t>
            </w:r>
          </w:p>
        </w:tc>
      </w:tr>
      <w:tr>
        <w:trPr>
          <w:trHeight w:val="311" w:hRule="atLeast"/>
        </w:trPr>
        <w:tc>
          <w:tcPr>
            <w:tcW w:w="791" w:type="dxa"/>
          </w:tcPr>
          <w:p>
            <w:pPr>
              <w:pStyle w:val="TableParagraph"/>
              <w:rPr>
                <w:rFonts w:ascii="Times New Roman"/>
                <w:sz w:val="20"/>
              </w:rPr>
            </w:pPr>
          </w:p>
        </w:tc>
        <w:tc>
          <w:tcPr>
            <w:tcW w:w="1703" w:type="dxa"/>
          </w:tcPr>
          <w:p>
            <w:pPr>
              <w:pStyle w:val="TableParagraph"/>
              <w:rPr>
                <w:rFonts w:ascii="Times New Roman"/>
                <w:sz w:val="20"/>
              </w:rPr>
            </w:pPr>
          </w:p>
        </w:tc>
        <w:tc>
          <w:tcPr>
            <w:tcW w:w="6850" w:type="dxa"/>
          </w:tcPr>
          <w:p>
            <w:pPr>
              <w:pStyle w:val="TableParagraph"/>
              <w:spacing w:line="261" w:lineRule="exact"/>
              <w:ind w:left="107"/>
              <w:rPr>
                <w:sz w:val="21"/>
              </w:rPr>
            </w:pPr>
            <w:r>
              <w:rPr>
                <w:sz w:val="21"/>
              </w:rPr>
              <w:t>（1）药物治疗无法控制病情；</w:t>
            </w:r>
          </w:p>
        </w:tc>
      </w:tr>
      <w:tr>
        <w:trPr>
          <w:trHeight w:val="311" w:hRule="atLeast"/>
        </w:trPr>
        <w:tc>
          <w:tcPr>
            <w:tcW w:w="791" w:type="dxa"/>
          </w:tcPr>
          <w:p>
            <w:pPr>
              <w:pStyle w:val="TableParagraph"/>
              <w:rPr>
                <w:rFonts w:ascii="Times New Roman"/>
                <w:sz w:val="20"/>
              </w:rPr>
            </w:pPr>
          </w:p>
        </w:tc>
        <w:tc>
          <w:tcPr>
            <w:tcW w:w="1703" w:type="dxa"/>
          </w:tcPr>
          <w:p>
            <w:pPr>
              <w:pStyle w:val="TableParagraph"/>
              <w:rPr>
                <w:rFonts w:ascii="Times New Roman"/>
                <w:sz w:val="20"/>
              </w:rPr>
            </w:pPr>
          </w:p>
        </w:tc>
        <w:tc>
          <w:tcPr>
            <w:tcW w:w="6850" w:type="dxa"/>
          </w:tcPr>
          <w:p>
            <w:pPr>
              <w:pStyle w:val="TableParagraph"/>
              <w:spacing w:line="261" w:lineRule="exact"/>
              <w:ind w:left="107"/>
              <w:rPr>
                <w:sz w:val="21"/>
              </w:rPr>
            </w:pPr>
            <w:r>
              <w:rPr>
                <w:sz w:val="21"/>
              </w:rPr>
              <w:t>（2）自主生活能力完全丧失，无法独立完成六项基本日常生活活动中的</w:t>
            </w:r>
          </w:p>
        </w:tc>
      </w:tr>
      <w:tr>
        <w:trPr>
          <w:trHeight w:val="311" w:hRule="atLeast"/>
        </w:trPr>
        <w:tc>
          <w:tcPr>
            <w:tcW w:w="791" w:type="dxa"/>
          </w:tcPr>
          <w:p>
            <w:pPr>
              <w:pStyle w:val="TableParagraph"/>
              <w:rPr>
                <w:rFonts w:ascii="Times New Roman"/>
                <w:sz w:val="20"/>
              </w:rPr>
            </w:pPr>
          </w:p>
        </w:tc>
        <w:tc>
          <w:tcPr>
            <w:tcW w:w="1703" w:type="dxa"/>
          </w:tcPr>
          <w:p>
            <w:pPr>
              <w:pStyle w:val="TableParagraph"/>
              <w:rPr>
                <w:rFonts w:ascii="Times New Roman"/>
                <w:sz w:val="20"/>
              </w:rPr>
            </w:pPr>
          </w:p>
        </w:tc>
        <w:tc>
          <w:tcPr>
            <w:tcW w:w="6850" w:type="dxa"/>
          </w:tcPr>
          <w:p>
            <w:pPr>
              <w:pStyle w:val="TableParagraph"/>
              <w:spacing w:line="261" w:lineRule="exact"/>
              <w:ind w:left="107"/>
              <w:rPr>
                <w:sz w:val="21"/>
              </w:rPr>
            </w:pPr>
            <w:r>
              <w:rPr>
                <w:sz w:val="21"/>
              </w:rPr>
              <w:t>三项或三项以上。</w:t>
            </w:r>
          </w:p>
        </w:tc>
      </w:tr>
      <w:tr>
        <w:trPr>
          <w:trHeight w:val="420" w:hRule="atLeast"/>
        </w:trPr>
        <w:tc>
          <w:tcPr>
            <w:tcW w:w="791" w:type="dxa"/>
          </w:tcPr>
          <w:p>
            <w:pPr>
              <w:pStyle w:val="TableParagraph"/>
              <w:rPr>
                <w:rFonts w:ascii="Times New Roman"/>
                <w:sz w:val="20"/>
              </w:rPr>
            </w:pPr>
          </w:p>
        </w:tc>
        <w:tc>
          <w:tcPr>
            <w:tcW w:w="1703" w:type="dxa"/>
          </w:tcPr>
          <w:p>
            <w:pPr>
              <w:pStyle w:val="TableParagraph"/>
              <w:rPr>
                <w:rFonts w:ascii="Times New Roman"/>
                <w:sz w:val="20"/>
              </w:rPr>
            </w:pPr>
          </w:p>
        </w:tc>
        <w:tc>
          <w:tcPr>
            <w:tcW w:w="6850" w:type="dxa"/>
          </w:tcPr>
          <w:p>
            <w:pPr>
              <w:pStyle w:val="TableParagraph"/>
              <w:spacing w:line="261" w:lineRule="exact"/>
              <w:ind w:left="107"/>
              <w:rPr>
                <w:sz w:val="21"/>
              </w:rPr>
            </w:pPr>
            <w:r>
              <w:rPr>
                <w:sz w:val="21"/>
              </w:rPr>
              <w:t>继发性帕金森综合征不在保障范围内。</w:t>
            </w:r>
          </w:p>
        </w:tc>
      </w:tr>
      <w:tr>
        <w:trPr>
          <w:trHeight w:val="431" w:hRule="atLeast"/>
        </w:trPr>
        <w:tc>
          <w:tcPr>
            <w:tcW w:w="791" w:type="dxa"/>
          </w:tcPr>
          <w:p>
            <w:pPr>
              <w:pStyle w:val="TableParagraph"/>
              <w:spacing w:before="93"/>
              <w:ind w:left="50"/>
              <w:rPr>
                <w:i/>
                <w:sz w:val="22"/>
              </w:rPr>
            </w:pPr>
            <w:r>
              <w:rPr>
                <w:i/>
                <w:sz w:val="22"/>
              </w:rPr>
              <w:t>3.1.20</w:t>
            </w:r>
          </w:p>
        </w:tc>
        <w:tc>
          <w:tcPr>
            <w:tcW w:w="1703" w:type="dxa"/>
          </w:tcPr>
          <w:p>
            <w:pPr>
              <w:pStyle w:val="TableParagraph"/>
              <w:spacing w:before="93"/>
              <w:ind w:left="109"/>
              <w:rPr>
                <w:i/>
                <w:sz w:val="22"/>
              </w:rPr>
            </w:pPr>
            <w:r>
              <w:rPr>
                <w:i/>
                <w:w w:val="95"/>
                <w:sz w:val="22"/>
              </w:rPr>
              <w:t>严重Ⅲ度烧伤</w:t>
            </w:r>
          </w:p>
        </w:tc>
        <w:tc>
          <w:tcPr>
            <w:tcW w:w="6850" w:type="dxa"/>
          </w:tcPr>
          <w:p>
            <w:pPr>
              <w:pStyle w:val="TableParagraph"/>
              <w:spacing w:before="104"/>
              <w:ind w:left="107"/>
              <w:rPr>
                <w:sz w:val="21"/>
              </w:rPr>
            </w:pPr>
            <w:r>
              <w:rPr>
                <w:sz w:val="21"/>
              </w:rPr>
              <w:t>指烧伤程度为Ⅲ度，且Ⅲ度烧伤面积达到全身体表面积的 20％或 20％以</w:t>
            </w:r>
          </w:p>
        </w:tc>
      </w:tr>
      <w:tr>
        <w:trPr>
          <w:trHeight w:val="419" w:hRule="atLeast"/>
        </w:trPr>
        <w:tc>
          <w:tcPr>
            <w:tcW w:w="791" w:type="dxa"/>
          </w:tcPr>
          <w:p>
            <w:pPr>
              <w:pStyle w:val="TableParagraph"/>
              <w:rPr>
                <w:rFonts w:ascii="Times New Roman"/>
                <w:sz w:val="20"/>
              </w:rPr>
            </w:pPr>
          </w:p>
        </w:tc>
        <w:tc>
          <w:tcPr>
            <w:tcW w:w="1703" w:type="dxa"/>
          </w:tcPr>
          <w:p>
            <w:pPr>
              <w:pStyle w:val="TableParagraph"/>
              <w:rPr>
                <w:rFonts w:ascii="Times New Roman"/>
                <w:sz w:val="20"/>
              </w:rPr>
            </w:pPr>
          </w:p>
        </w:tc>
        <w:tc>
          <w:tcPr>
            <w:tcW w:w="6850" w:type="dxa"/>
          </w:tcPr>
          <w:p>
            <w:pPr>
              <w:pStyle w:val="TableParagraph"/>
              <w:spacing w:line="260" w:lineRule="exact"/>
              <w:ind w:left="107"/>
              <w:rPr>
                <w:sz w:val="21"/>
              </w:rPr>
            </w:pPr>
            <w:r>
              <w:rPr>
                <w:sz w:val="21"/>
              </w:rPr>
              <w:t>上。体表面积根据 《中国新九分法》计算。</w:t>
            </w:r>
          </w:p>
        </w:tc>
      </w:tr>
      <w:tr>
        <w:trPr>
          <w:trHeight w:val="743" w:hRule="atLeast"/>
        </w:trPr>
        <w:tc>
          <w:tcPr>
            <w:tcW w:w="791" w:type="dxa"/>
          </w:tcPr>
          <w:p>
            <w:pPr>
              <w:pStyle w:val="TableParagraph"/>
              <w:spacing w:before="93"/>
              <w:ind w:left="50"/>
              <w:rPr>
                <w:i/>
                <w:sz w:val="22"/>
              </w:rPr>
            </w:pPr>
            <w:r>
              <w:rPr>
                <w:i/>
                <w:sz w:val="22"/>
              </w:rPr>
              <w:t>3.1.21</w:t>
            </w:r>
          </w:p>
        </w:tc>
        <w:tc>
          <w:tcPr>
            <w:tcW w:w="1703" w:type="dxa"/>
          </w:tcPr>
          <w:p>
            <w:pPr>
              <w:pStyle w:val="TableParagraph"/>
              <w:spacing w:line="259" w:lineRule="auto" w:before="93"/>
              <w:ind w:left="109" w:right="104"/>
              <w:rPr>
                <w:i/>
                <w:sz w:val="22"/>
              </w:rPr>
            </w:pPr>
            <w:r>
              <w:rPr>
                <w:i/>
                <w:w w:val="95"/>
                <w:sz w:val="22"/>
              </w:rPr>
              <w:t>严重原发性肺动脉高压</w:t>
            </w:r>
          </w:p>
        </w:tc>
        <w:tc>
          <w:tcPr>
            <w:tcW w:w="6850" w:type="dxa"/>
          </w:tcPr>
          <w:p>
            <w:pPr>
              <w:pStyle w:val="TableParagraph"/>
              <w:spacing w:line="273" w:lineRule="auto" w:before="104"/>
              <w:ind w:left="107" w:right="230"/>
              <w:rPr>
                <w:sz w:val="21"/>
              </w:rPr>
            </w:pPr>
            <w:r>
              <w:rPr>
                <w:sz w:val="21"/>
              </w:rPr>
              <w:t>指不明原因的肺动脉压力持续性增高，进行性发展而导致的慢性疾病， 已经造成永久不可逆性的体力活动能力受限，达到美国纽约心脏病学会</w:t>
            </w:r>
          </w:p>
        </w:tc>
      </w:tr>
      <w:tr>
        <w:trPr>
          <w:trHeight w:val="419" w:hRule="atLeast"/>
        </w:trPr>
        <w:tc>
          <w:tcPr>
            <w:tcW w:w="791" w:type="dxa"/>
          </w:tcPr>
          <w:p>
            <w:pPr>
              <w:pStyle w:val="TableParagraph"/>
              <w:rPr>
                <w:rFonts w:ascii="Times New Roman"/>
                <w:sz w:val="20"/>
              </w:rPr>
            </w:pPr>
          </w:p>
        </w:tc>
        <w:tc>
          <w:tcPr>
            <w:tcW w:w="1703" w:type="dxa"/>
          </w:tcPr>
          <w:p>
            <w:pPr>
              <w:pStyle w:val="TableParagraph"/>
              <w:rPr>
                <w:rFonts w:ascii="Times New Roman"/>
                <w:sz w:val="20"/>
              </w:rPr>
            </w:pPr>
          </w:p>
        </w:tc>
        <w:tc>
          <w:tcPr>
            <w:tcW w:w="6850" w:type="dxa"/>
          </w:tcPr>
          <w:p>
            <w:pPr>
              <w:pStyle w:val="TableParagraph"/>
              <w:spacing w:line="260" w:lineRule="exact"/>
              <w:ind w:left="107"/>
              <w:rPr>
                <w:sz w:val="21"/>
              </w:rPr>
            </w:pPr>
            <w:r>
              <w:rPr>
                <w:sz w:val="21"/>
              </w:rPr>
              <w:t>心功能状态分级 IV 级，且静息状态下肺动脉平均压超过 3OmmHg 。</w:t>
            </w:r>
          </w:p>
        </w:tc>
      </w:tr>
      <w:tr>
        <w:trPr>
          <w:trHeight w:val="743" w:hRule="atLeast"/>
        </w:trPr>
        <w:tc>
          <w:tcPr>
            <w:tcW w:w="791" w:type="dxa"/>
          </w:tcPr>
          <w:p>
            <w:pPr>
              <w:pStyle w:val="TableParagraph"/>
              <w:spacing w:before="93"/>
              <w:ind w:left="50"/>
              <w:rPr>
                <w:i/>
                <w:sz w:val="22"/>
              </w:rPr>
            </w:pPr>
            <w:r>
              <w:rPr>
                <w:i/>
                <w:sz w:val="22"/>
              </w:rPr>
              <w:t>3.1.22</w:t>
            </w:r>
          </w:p>
        </w:tc>
        <w:tc>
          <w:tcPr>
            <w:tcW w:w="1703" w:type="dxa"/>
          </w:tcPr>
          <w:p>
            <w:pPr>
              <w:pStyle w:val="TableParagraph"/>
              <w:spacing w:line="259" w:lineRule="auto" w:before="93"/>
              <w:ind w:left="109" w:right="104"/>
              <w:rPr>
                <w:i/>
                <w:sz w:val="22"/>
              </w:rPr>
            </w:pPr>
            <w:r>
              <w:rPr>
                <w:i/>
                <w:w w:val="95"/>
                <w:sz w:val="22"/>
              </w:rPr>
              <w:t>严重运动神经元</w:t>
            </w:r>
            <w:r>
              <w:rPr>
                <w:i/>
                <w:sz w:val="22"/>
              </w:rPr>
              <w:t>病</w:t>
            </w:r>
          </w:p>
        </w:tc>
        <w:tc>
          <w:tcPr>
            <w:tcW w:w="6850" w:type="dxa"/>
          </w:tcPr>
          <w:p>
            <w:pPr>
              <w:pStyle w:val="TableParagraph"/>
              <w:spacing w:line="273" w:lineRule="auto" w:before="104"/>
              <w:ind w:left="107" w:right="151"/>
              <w:rPr>
                <w:sz w:val="21"/>
              </w:rPr>
            </w:pPr>
            <w:r>
              <w:rPr>
                <w:sz w:val="21"/>
              </w:rPr>
              <w:t>是一组中枢神经系统运动神经元的进行性变性疾病，包括进行性脊肌萎缩症、进行性延髓麻痹症、原发性侧索硬化症、肌萎缩性侧索硬化症。</w:t>
            </w:r>
          </w:p>
        </w:tc>
      </w:tr>
      <w:tr>
        <w:trPr>
          <w:trHeight w:val="311" w:hRule="atLeast"/>
        </w:trPr>
        <w:tc>
          <w:tcPr>
            <w:tcW w:w="791" w:type="dxa"/>
          </w:tcPr>
          <w:p>
            <w:pPr>
              <w:pStyle w:val="TableParagraph"/>
              <w:rPr>
                <w:rFonts w:ascii="Times New Roman"/>
                <w:sz w:val="20"/>
              </w:rPr>
            </w:pPr>
          </w:p>
        </w:tc>
        <w:tc>
          <w:tcPr>
            <w:tcW w:w="1703" w:type="dxa"/>
          </w:tcPr>
          <w:p>
            <w:pPr>
              <w:pStyle w:val="TableParagraph"/>
              <w:rPr>
                <w:rFonts w:ascii="Times New Roman"/>
                <w:sz w:val="20"/>
              </w:rPr>
            </w:pPr>
          </w:p>
        </w:tc>
        <w:tc>
          <w:tcPr>
            <w:tcW w:w="6850" w:type="dxa"/>
          </w:tcPr>
          <w:p>
            <w:pPr>
              <w:pStyle w:val="TableParagraph"/>
              <w:spacing w:line="260" w:lineRule="exact"/>
              <w:ind w:left="107"/>
              <w:rPr>
                <w:sz w:val="21"/>
              </w:rPr>
            </w:pPr>
            <w:r>
              <w:rPr>
                <w:sz w:val="21"/>
              </w:rPr>
              <w:t>须满足自主生活能力完全丧失，无法独立完成六项基本日常生活活动中</w:t>
            </w:r>
          </w:p>
        </w:tc>
      </w:tr>
      <w:tr>
        <w:trPr>
          <w:trHeight w:val="420" w:hRule="atLeast"/>
        </w:trPr>
        <w:tc>
          <w:tcPr>
            <w:tcW w:w="791" w:type="dxa"/>
          </w:tcPr>
          <w:p>
            <w:pPr>
              <w:pStyle w:val="TableParagraph"/>
              <w:rPr>
                <w:rFonts w:ascii="Times New Roman"/>
                <w:sz w:val="20"/>
              </w:rPr>
            </w:pPr>
          </w:p>
        </w:tc>
        <w:tc>
          <w:tcPr>
            <w:tcW w:w="1703" w:type="dxa"/>
          </w:tcPr>
          <w:p>
            <w:pPr>
              <w:pStyle w:val="TableParagraph"/>
              <w:rPr>
                <w:rFonts w:ascii="Times New Roman"/>
                <w:sz w:val="20"/>
              </w:rPr>
            </w:pPr>
          </w:p>
        </w:tc>
        <w:tc>
          <w:tcPr>
            <w:tcW w:w="6850" w:type="dxa"/>
          </w:tcPr>
          <w:p>
            <w:pPr>
              <w:pStyle w:val="TableParagraph"/>
              <w:spacing w:line="261" w:lineRule="exact"/>
              <w:ind w:left="107"/>
              <w:rPr>
                <w:sz w:val="21"/>
              </w:rPr>
            </w:pPr>
            <w:r>
              <w:rPr>
                <w:sz w:val="21"/>
              </w:rPr>
              <w:t>的三项或三项以上的条件。</w:t>
            </w:r>
          </w:p>
        </w:tc>
      </w:tr>
      <w:tr>
        <w:trPr>
          <w:trHeight w:val="431" w:hRule="atLeast"/>
        </w:trPr>
        <w:tc>
          <w:tcPr>
            <w:tcW w:w="791" w:type="dxa"/>
          </w:tcPr>
          <w:p>
            <w:pPr>
              <w:pStyle w:val="TableParagraph"/>
              <w:spacing w:before="93"/>
              <w:ind w:left="50"/>
              <w:rPr>
                <w:i/>
                <w:sz w:val="22"/>
              </w:rPr>
            </w:pPr>
            <w:r>
              <w:rPr>
                <w:i/>
                <w:sz w:val="22"/>
              </w:rPr>
              <w:t>3.1.23</w:t>
            </w:r>
          </w:p>
        </w:tc>
        <w:tc>
          <w:tcPr>
            <w:tcW w:w="1703" w:type="dxa"/>
          </w:tcPr>
          <w:p>
            <w:pPr>
              <w:pStyle w:val="TableParagraph"/>
              <w:spacing w:before="93"/>
              <w:ind w:left="109"/>
              <w:rPr>
                <w:i/>
                <w:sz w:val="22"/>
              </w:rPr>
            </w:pPr>
            <w:r>
              <w:rPr>
                <w:i/>
                <w:w w:val="95"/>
                <w:sz w:val="22"/>
              </w:rPr>
              <w:t>语言能力丧失</w:t>
            </w:r>
          </w:p>
        </w:tc>
        <w:tc>
          <w:tcPr>
            <w:tcW w:w="6850" w:type="dxa"/>
          </w:tcPr>
          <w:p>
            <w:pPr>
              <w:pStyle w:val="TableParagraph"/>
              <w:spacing w:before="104"/>
              <w:ind w:left="107"/>
              <w:rPr>
                <w:sz w:val="21"/>
              </w:rPr>
            </w:pPr>
            <w:r>
              <w:rPr>
                <w:sz w:val="21"/>
              </w:rPr>
              <w:t>指因疾病或意外伤害导致完全丧失语言能力，经过积极治疗至少 12 个月</w:t>
            </w:r>
          </w:p>
        </w:tc>
      </w:tr>
      <w:tr>
        <w:trPr>
          <w:trHeight w:val="311" w:hRule="atLeast"/>
        </w:trPr>
        <w:tc>
          <w:tcPr>
            <w:tcW w:w="791" w:type="dxa"/>
          </w:tcPr>
          <w:p>
            <w:pPr>
              <w:pStyle w:val="TableParagraph"/>
              <w:rPr>
                <w:rFonts w:ascii="Times New Roman"/>
                <w:sz w:val="20"/>
              </w:rPr>
            </w:pPr>
          </w:p>
        </w:tc>
        <w:tc>
          <w:tcPr>
            <w:tcW w:w="1703" w:type="dxa"/>
          </w:tcPr>
          <w:p>
            <w:pPr>
              <w:pStyle w:val="TableParagraph"/>
              <w:rPr>
                <w:rFonts w:ascii="Times New Roman"/>
                <w:sz w:val="20"/>
              </w:rPr>
            </w:pPr>
          </w:p>
        </w:tc>
        <w:tc>
          <w:tcPr>
            <w:tcW w:w="6850" w:type="dxa"/>
          </w:tcPr>
          <w:p>
            <w:pPr>
              <w:pStyle w:val="TableParagraph"/>
              <w:spacing w:line="260" w:lineRule="exact"/>
              <w:ind w:left="107"/>
              <w:rPr>
                <w:sz w:val="21"/>
              </w:rPr>
            </w:pPr>
            <w:r>
              <w:rPr>
                <w:sz w:val="21"/>
              </w:rPr>
              <w:t>（声带完全切除不受此时间限制</w:t>
            </w:r>
            <w:r>
              <w:rPr>
                <w:spacing w:val="-105"/>
                <w:sz w:val="21"/>
              </w:rPr>
              <w:t>）</w:t>
            </w:r>
            <w:r>
              <w:rPr>
                <w:spacing w:val="-1"/>
                <w:sz w:val="21"/>
              </w:rPr>
              <w:t>，仍无法通过现有医疗手段恢复。</w:t>
            </w:r>
          </w:p>
        </w:tc>
      </w:tr>
      <w:tr>
        <w:trPr>
          <w:trHeight w:val="420" w:hRule="atLeast"/>
        </w:trPr>
        <w:tc>
          <w:tcPr>
            <w:tcW w:w="791" w:type="dxa"/>
          </w:tcPr>
          <w:p>
            <w:pPr>
              <w:pStyle w:val="TableParagraph"/>
              <w:rPr>
                <w:rFonts w:ascii="Times New Roman"/>
                <w:sz w:val="20"/>
              </w:rPr>
            </w:pPr>
          </w:p>
        </w:tc>
        <w:tc>
          <w:tcPr>
            <w:tcW w:w="1703" w:type="dxa"/>
          </w:tcPr>
          <w:p>
            <w:pPr>
              <w:pStyle w:val="TableParagraph"/>
              <w:rPr>
                <w:rFonts w:ascii="Times New Roman"/>
                <w:sz w:val="20"/>
              </w:rPr>
            </w:pPr>
          </w:p>
        </w:tc>
        <w:tc>
          <w:tcPr>
            <w:tcW w:w="6850" w:type="dxa"/>
          </w:tcPr>
          <w:p>
            <w:pPr>
              <w:pStyle w:val="TableParagraph"/>
              <w:spacing w:line="261" w:lineRule="exact"/>
              <w:ind w:left="107"/>
              <w:rPr>
                <w:sz w:val="21"/>
              </w:rPr>
            </w:pPr>
            <w:r>
              <w:rPr>
                <w:sz w:val="21"/>
              </w:rPr>
              <w:t>精神心理因素所致的语言能力丧失不在保障范围内。</w:t>
            </w:r>
          </w:p>
        </w:tc>
      </w:tr>
      <w:tr>
        <w:trPr>
          <w:trHeight w:val="743" w:hRule="atLeast"/>
        </w:trPr>
        <w:tc>
          <w:tcPr>
            <w:tcW w:w="791" w:type="dxa"/>
          </w:tcPr>
          <w:p>
            <w:pPr>
              <w:pStyle w:val="TableParagraph"/>
              <w:spacing w:before="93"/>
              <w:ind w:left="50"/>
              <w:rPr>
                <w:i/>
                <w:sz w:val="22"/>
              </w:rPr>
            </w:pPr>
            <w:r>
              <w:rPr>
                <w:i/>
                <w:sz w:val="22"/>
              </w:rPr>
              <w:t>3.1.24</w:t>
            </w:r>
          </w:p>
        </w:tc>
        <w:tc>
          <w:tcPr>
            <w:tcW w:w="1703" w:type="dxa"/>
          </w:tcPr>
          <w:p>
            <w:pPr>
              <w:pStyle w:val="TableParagraph"/>
              <w:spacing w:line="259" w:lineRule="auto" w:before="93"/>
              <w:ind w:left="109" w:right="104"/>
              <w:rPr>
                <w:i/>
                <w:sz w:val="22"/>
              </w:rPr>
            </w:pPr>
            <w:r>
              <w:rPr>
                <w:i/>
                <w:w w:val="95"/>
                <w:sz w:val="22"/>
              </w:rPr>
              <w:t>重型再生障碍性贫血</w:t>
            </w:r>
          </w:p>
        </w:tc>
        <w:tc>
          <w:tcPr>
            <w:tcW w:w="6850" w:type="dxa"/>
          </w:tcPr>
          <w:p>
            <w:pPr>
              <w:pStyle w:val="TableParagraph"/>
              <w:spacing w:line="273" w:lineRule="auto" w:before="104"/>
              <w:ind w:left="107" w:right="151"/>
              <w:rPr>
                <w:sz w:val="21"/>
              </w:rPr>
            </w:pPr>
            <w:r>
              <w:rPr>
                <w:sz w:val="21"/>
              </w:rPr>
              <w:t>指因骨髓造血功能慢性持续性衰竭导致的贫血、中性粒细胞减少及血小板减少。须满足下列全部条件：</w:t>
            </w:r>
          </w:p>
        </w:tc>
      </w:tr>
      <w:tr>
        <w:trPr>
          <w:trHeight w:val="311" w:hRule="atLeast"/>
        </w:trPr>
        <w:tc>
          <w:tcPr>
            <w:tcW w:w="791" w:type="dxa"/>
          </w:tcPr>
          <w:p>
            <w:pPr>
              <w:pStyle w:val="TableParagraph"/>
              <w:rPr>
                <w:rFonts w:ascii="Times New Roman"/>
                <w:sz w:val="20"/>
              </w:rPr>
            </w:pPr>
          </w:p>
        </w:tc>
        <w:tc>
          <w:tcPr>
            <w:tcW w:w="1703" w:type="dxa"/>
          </w:tcPr>
          <w:p>
            <w:pPr>
              <w:pStyle w:val="TableParagraph"/>
              <w:rPr>
                <w:rFonts w:ascii="Times New Roman"/>
                <w:sz w:val="20"/>
              </w:rPr>
            </w:pPr>
          </w:p>
        </w:tc>
        <w:tc>
          <w:tcPr>
            <w:tcW w:w="6850" w:type="dxa"/>
          </w:tcPr>
          <w:p>
            <w:pPr>
              <w:pStyle w:val="TableParagraph"/>
              <w:spacing w:line="260" w:lineRule="exact"/>
              <w:ind w:left="107"/>
              <w:rPr>
                <w:sz w:val="21"/>
              </w:rPr>
            </w:pPr>
            <w:r>
              <w:rPr>
                <w:sz w:val="21"/>
              </w:rPr>
              <w:t>（1）骨髓穿刺检查或骨髓活检结果支持诊断；</w:t>
            </w:r>
          </w:p>
        </w:tc>
      </w:tr>
      <w:tr>
        <w:trPr>
          <w:trHeight w:val="260" w:hRule="atLeast"/>
        </w:trPr>
        <w:tc>
          <w:tcPr>
            <w:tcW w:w="791" w:type="dxa"/>
          </w:tcPr>
          <w:p>
            <w:pPr>
              <w:pStyle w:val="TableParagraph"/>
              <w:rPr>
                <w:rFonts w:ascii="Times New Roman"/>
                <w:sz w:val="18"/>
              </w:rPr>
            </w:pPr>
          </w:p>
        </w:tc>
        <w:tc>
          <w:tcPr>
            <w:tcW w:w="1703" w:type="dxa"/>
          </w:tcPr>
          <w:p>
            <w:pPr>
              <w:pStyle w:val="TableParagraph"/>
              <w:rPr>
                <w:rFonts w:ascii="Times New Roman"/>
                <w:sz w:val="18"/>
              </w:rPr>
            </w:pPr>
          </w:p>
        </w:tc>
        <w:tc>
          <w:tcPr>
            <w:tcW w:w="6850" w:type="dxa"/>
          </w:tcPr>
          <w:p>
            <w:pPr>
              <w:pStyle w:val="TableParagraph"/>
              <w:spacing w:line="241" w:lineRule="exact"/>
              <w:ind w:left="107"/>
              <w:rPr>
                <w:sz w:val="21"/>
              </w:rPr>
            </w:pPr>
            <w:r>
              <w:rPr>
                <w:sz w:val="21"/>
              </w:rPr>
              <w:t>（2）外周血象须具备所有三项条件：</w:t>
            </w:r>
          </w:p>
        </w:tc>
      </w:tr>
    </w:tbl>
    <w:p>
      <w:pPr>
        <w:pStyle w:val="BodyText"/>
        <w:spacing w:before="44"/>
        <w:ind w:left="3135"/>
      </w:pPr>
      <w:r>
        <w:rPr/>
        <w:t>① 中性粒细胞绝对值≤0.5×10</w:t>
      </w:r>
      <w:r>
        <w:rPr>
          <w:b/>
          <w:position w:val="11"/>
          <w:sz w:val="11"/>
        </w:rPr>
        <w:t>9</w:t>
      </w:r>
      <w:r>
        <w:rPr/>
        <w:t>/L ；</w:t>
      </w:r>
    </w:p>
    <w:p>
      <w:pPr>
        <w:pStyle w:val="BodyText"/>
        <w:spacing w:before="36"/>
        <w:ind w:left="3135"/>
      </w:pPr>
      <w:r>
        <w:rPr/>
        <w:t>② 网织红细胞＜1%；</w:t>
      </w:r>
    </w:p>
    <w:p>
      <w:pPr>
        <w:pStyle w:val="BodyText"/>
        <w:spacing w:before="36"/>
        <w:ind w:left="3135"/>
      </w:pPr>
      <w:r>
        <w:rPr/>
        <w:t>③ 血小板绝对值≤20×10</w:t>
      </w:r>
      <w:r>
        <w:rPr>
          <w:b/>
          <w:position w:val="11"/>
          <w:sz w:val="11"/>
        </w:rPr>
        <w:t>9</w:t>
      </w:r>
      <w:r>
        <w:rPr/>
        <w:t>/L。</w:t>
      </w:r>
    </w:p>
    <w:p>
      <w:pPr>
        <w:pStyle w:val="BodyText"/>
        <w:spacing w:before="4"/>
        <w:rPr>
          <w:sz w:val="19"/>
        </w:rPr>
      </w:pPr>
    </w:p>
    <w:p>
      <w:pPr>
        <w:pStyle w:val="ListParagraph"/>
        <w:numPr>
          <w:ilvl w:val="2"/>
          <w:numId w:val="10"/>
        </w:numPr>
        <w:tabs>
          <w:tab w:pos="1016" w:val="left" w:leader="none"/>
        </w:tabs>
        <w:spacing w:line="271" w:lineRule="auto" w:before="0" w:after="0"/>
        <w:ind w:left="2715" w:right="257" w:hanging="2551"/>
        <w:jc w:val="both"/>
        <w:rPr>
          <w:sz w:val="21"/>
        </w:rPr>
      </w:pPr>
      <w:r>
        <w:rPr>
          <w:i/>
          <w:sz w:val="22"/>
        </w:rPr>
        <w:t>主动脉手术     </w:t>
      </w:r>
      <w:r>
        <w:rPr>
          <w:sz w:val="21"/>
        </w:rPr>
        <w:t>指为治疗主动脉疾病，实际实施了开胸或开腹进行的切除、置换、修补病损主动脉血管的手术。主动脉指胸主动脉和腹主动脉，不包括胸主动脉和腹主动脉的分支血管。</w:t>
      </w:r>
    </w:p>
    <w:p>
      <w:pPr>
        <w:pStyle w:val="BodyText"/>
        <w:spacing w:before="9"/>
        <w:ind w:left="2715"/>
      </w:pPr>
      <w:r>
        <w:rPr/>
        <w:t>动脉内血管成形术不在保障范围内。</w:t>
      </w:r>
    </w:p>
    <w:p>
      <w:pPr>
        <w:spacing w:after="0"/>
        <w:sectPr>
          <w:pgSz w:w="11910" w:h="16840"/>
          <w:pgMar w:header="0" w:footer="998" w:top="1540" w:bottom="1180" w:left="1140" w:right="1200"/>
        </w:sectPr>
      </w:pPr>
    </w:p>
    <w:p>
      <w:pPr>
        <w:pStyle w:val="Heading4"/>
        <w:numPr>
          <w:ilvl w:val="2"/>
          <w:numId w:val="10"/>
        </w:numPr>
        <w:tabs>
          <w:tab w:pos="955" w:val="left" w:leader="none"/>
          <w:tab w:pos="956" w:val="left" w:leader="none"/>
        </w:tabs>
        <w:spacing w:line="240" w:lineRule="auto" w:before="31" w:after="0"/>
        <w:ind w:left="955" w:right="0" w:hanging="851"/>
        <w:jc w:val="left"/>
      </w:pPr>
      <w:r>
        <w:rPr>
          <w:w w:val="95"/>
        </w:rPr>
        <w:t>严重多发性硬化</w:t>
      </w:r>
    </w:p>
    <w:p>
      <w:pPr>
        <w:spacing w:before="23"/>
        <w:ind w:left="0" w:right="302" w:firstLine="0"/>
        <w:jc w:val="center"/>
        <w:rPr>
          <w:i/>
          <w:sz w:val="22"/>
        </w:rPr>
      </w:pPr>
      <w:r>
        <w:rPr>
          <w:i/>
          <w:w w:val="95"/>
          <w:sz w:val="22"/>
        </w:rPr>
        <w:t>症</w:t>
      </w:r>
    </w:p>
    <w:p>
      <w:pPr>
        <w:pStyle w:val="BodyText"/>
        <w:spacing w:line="237" w:lineRule="auto" w:before="25"/>
        <w:ind w:left="104" w:right="137"/>
        <w:jc w:val="both"/>
      </w:pPr>
      <w:r>
        <w:rPr/>
        <w:br w:type="column"/>
      </w:r>
      <w:r>
        <w:rPr/>
        <w:t>多发性硬化症为中枢神经系统白质多灶性脱髓鞘病变，病变有时累及灰质。多发性硬化症诊断必须明确无疑。本保单仅对多发性硬化症造成神经系统功能损害并且符合下列条件的情况予以理赔。</w:t>
      </w:r>
    </w:p>
    <w:p>
      <w:pPr>
        <w:pStyle w:val="ListParagraph"/>
        <w:numPr>
          <w:ilvl w:val="3"/>
          <w:numId w:val="10"/>
        </w:numPr>
        <w:tabs>
          <w:tab w:pos="824" w:val="left" w:leader="none"/>
          <w:tab w:pos="825" w:val="left" w:leader="none"/>
        </w:tabs>
        <w:spacing w:line="240" w:lineRule="auto" w:before="18" w:after="0"/>
        <w:ind w:left="824" w:right="0" w:hanging="360"/>
        <w:jc w:val="left"/>
        <w:rPr>
          <w:sz w:val="21"/>
        </w:rPr>
      </w:pPr>
      <w:r>
        <w:rPr>
          <w:sz w:val="21"/>
        </w:rPr>
        <w:t>被保险人永久不可逆性的丧失下列活动能力：</w:t>
      </w:r>
    </w:p>
    <w:p>
      <w:pPr>
        <w:pStyle w:val="BodyText"/>
        <w:spacing w:before="12"/>
        <w:rPr>
          <w:sz w:val="19"/>
        </w:rPr>
      </w:pPr>
    </w:p>
    <w:p>
      <w:pPr>
        <w:pStyle w:val="ListParagraph"/>
        <w:numPr>
          <w:ilvl w:val="4"/>
          <w:numId w:val="10"/>
        </w:numPr>
        <w:tabs>
          <w:tab w:pos="1184" w:val="left" w:leader="none"/>
          <w:tab w:pos="1185" w:val="left" w:leader="none"/>
        </w:tabs>
        <w:spacing w:line="240" w:lineRule="auto" w:before="0" w:after="0"/>
        <w:ind w:left="1184" w:right="0" w:hanging="360"/>
        <w:jc w:val="left"/>
        <w:rPr>
          <w:sz w:val="21"/>
        </w:rPr>
      </w:pPr>
      <w:r>
        <w:rPr>
          <w:sz w:val="21"/>
        </w:rPr>
        <w:t>在室内从房间到房间之间的平地移动；或者</w:t>
      </w:r>
    </w:p>
    <w:p>
      <w:pPr>
        <w:pStyle w:val="BodyText"/>
        <w:spacing w:before="8"/>
        <w:rPr>
          <w:sz w:val="18"/>
        </w:rPr>
      </w:pPr>
    </w:p>
    <w:p>
      <w:pPr>
        <w:pStyle w:val="ListParagraph"/>
        <w:numPr>
          <w:ilvl w:val="4"/>
          <w:numId w:val="10"/>
        </w:numPr>
        <w:tabs>
          <w:tab w:pos="1184" w:val="left" w:leader="none"/>
          <w:tab w:pos="1185" w:val="left" w:leader="none"/>
        </w:tabs>
        <w:spacing w:line="240" w:lineRule="auto" w:before="0" w:after="0"/>
        <w:ind w:left="1184" w:right="0" w:hanging="360"/>
        <w:jc w:val="left"/>
        <w:rPr>
          <w:sz w:val="21"/>
        </w:rPr>
      </w:pPr>
      <w:r>
        <w:rPr>
          <w:sz w:val="21"/>
        </w:rPr>
        <w:t>在食物已经准备好的情况下自行进食。</w:t>
      </w:r>
    </w:p>
    <w:p>
      <w:pPr>
        <w:spacing w:after="0" w:line="240" w:lineRule="auto"/>
        <w:jc w:val="left"/>
        <w:rPr>
          <w:sz w:val="21"/>
        </w:rPr>
        <w:sectPr>
          <w:pgSz w:w="11910" w:h="16840"/>
          <w:pgMar w:header="0" w:footer="998" w:top="1440" w:bottom="1180" w:left="1200" w:right="1320"/>
          <w:cols w:num="2" w:equalWidth="0">
            <w:col w:w="2426" w:space="125"/>
            <w:col w:w="6839"/>
          </w:cols>
        </w:sectPr>
      </w:pPr>
    </w:p>
    <w:p>
      <w:pPr>
        <w:pStyle w:val="BodyText"/>
        <w:rPr>
          <w:sz w:val="20"/>
        </w:rPr>
      </w:pPr>
    </w:p>
    <w:p>
      <w:pPr>
        <w:spacing w:after="0"/>
        <w:rPr>
          <w:sz w:val="20"/>
        </w:rPr>
        <w:sectPr>
          <w:type w:val="continuous"/>
          <w:pgSz w:w="11910" w:h="16840"/>
          <w:pgMar w:top="560" w:bottom="280" w:left="1200" w:right="1320"/>
        </w:sectPr>
      </w:pPr>
    </w:p>
    <w:p>
      <w:pPr>
        <w:pStyle w:val="BodyText"/>
        <w:spacing w:before="1"/>
        <w:rPr>
          <w:sz w:val="15"/>
        </w:rPr>
      </w:pPr>
    </w:p>
    <w:p>
      <w:pPr>
        <w:pStyle w:val="Heading4"/>
        <w:numPr>
          <w:ilvl w:val="2"/>
          <w:numId w:val="10"/>
        </w:numPr>
        <w:tabs>
          <w:tab w:pos="955" w:val="left" w:leader="none"/>
          <w:tab w:pos="956" w:val="left" w:leader="none"/>
        </w:tabs>
        <w:spacing w:line="240" w:lineRule="auto" w:before="1" w:after="0"/>
        <w:ind w:left="955" w:right="0" w:hanging="851"/>
        <w:jc w:val="left"/>
      </w:pPr>
      <w:r>
        <w:rPr>
          <w:w w:val="95"/>
        </w:rPr>
        <w:t>因职业关系导致</w:t>
      </w:r>
    </w:p>
    <w:p>
      <w:pPr>
        <w:spacing w:line="261" w:lineRule="auto" w:before="24"/>
        <w:ind w:left="955" w:right="0" w:hanging="1"/>
        <w:jc w:val="left"/>
        <w:rPr>
          <w:i/>
          <w:sz w:val="22"/>
        </w:rPr>
      </w:pPr>
      <w:r>
        <w:rPr>
          <w:i/>
          <w:w w:val="95"/>
          <w:sz w:val="22"/>
        </w:rPr>
        <w:t>的人类免疫缺陷</w:t>
      </w:r>
      <w:r>
        <w:rPr>
          <w:i/>
          <w:spacing w:val="-23"/>
          <w:w w:val="95"/>
          <w:sz w:val="22"/>
        </w:rPr>
        <w:t>病毒</w:t>
      </w:r>
      <w:r>
        <w:rPr>
          <w:i/>
          <w:spacing w:val="-10"/>
          <w:w w:val="95"/>
          <w:sz w:val="22"/>
        </w:rPr>
        <w:t>（HIV）</w:t>
      </w:r>
      <w:r>
        <w:rPr>
          <w:i/>
          <w:w w:val="95"/>
          <w:sz w:val="22"/>
        </w:rPr>
        <w:t>感染</w:t>
      </w:r>
    </w:p>
    <w:p>
      <w:pPr>
        <w:pStyle w:val="BodyText"/>
        <w:rPr>
          <w:i/>
          <w:sz w:val="16"/>
        </w:rPr>
      </w:pPr>
      <w:r>
        <w:rPr/>
        <w:br w:type="column"/>
      </w:r>
      <w:r>
        <w:rPr>
          <w:i/>
          <w:sz w:val="16"/>
        </w:rPr>
      </w:r>
    </w:p>
    <w:p>
      <w:pPr>
        <w:pStyle w:val="BodyText"/>
        <w:ind w:left="104"/>
      </w:pPr>
      <w:r>
        <w:rPr>
          <w:w w:val="95"/>
        </w:rPr>
        <w:t>被保险人由于下列原因感染上人类免疫缺陷病毒（</w:t>
      </w:r>
      <w:r>
        <w:rPr>
          <w:rFonts w:ascii="Times New Roman" w:eastAsia="Times New Roman"/>
          <w:w w:val="95"/>
        </w:rPr>
        <w:t>HIV</w:t>
      </w:r>
      <w:r>
        <w:rPr>
          <w:w w:val="95"/>
        </w:rPr>
        <w:t>）</w:t>
      </w:r>
    </w:p>
    <w:p>
      <w:pPr>
        <w:pStyle w:val="ListParagraph"/>
        <w:numPr>
          <w:ilvl w:val="0"/>
          <w:numId w:val="11"/>
        </w:numPr>
        <w:tabs>
          <w:tab w:pos="1544" w:val="left" w:leader="none"/>
          <w:tab w:pos="1545" w:val="left" w:leader="none"/>
        </w:tabs>
        <w:spacing w:line="240" w:lineRule="auto" w:before="21" w:after="0"/>
        <w:ind w:left="104" w:right="0" w:firstLine="1080"/>
        <w:jc w:val="left"/>
        <w:rPr>
          <w:sz w:val="21"/>
        </w:rPr>
      </w:pPr>
      <w:r>
        <w:rPr>
          <w:sz w:val="21"/>
        </w:rPr>
        <w:t>被保险人在其常规职业工作过程中遭遇外伤，或者</w:t>
      </w:r>
    </w:p>
    <w:p>
      <w:pPr>
        <w:pStyle w:val="ListParagraph"/>
        <w:numPr>
          <w:ilvl w:val="0"/>
          <w:numId w:val="11"/>
        </w:numPr>
        <w:tabs>
          <w:tab w:pos="1544" w:val="left" w:leader="none"/>
          <w:tab w:pos="1545" w:val="left" w:leader="none"/>
        </w:tabs>
        <w:spacing w:line="520" w:lineRule="atLeast" w:before="32" w:after="0"/>
        <w:ind w:left="104" w:right="2136" w:firstLine="1080"/>
        <w:jc w:val="left"/>
        <w:rPr>
          <w:sz w:val="21"/>
        </w:rPr>
      </w:pPr>
      <w:r>
        <w:rPr>
          <w:sz w:val="21"/>
        </w:rPr>
        <w:t>职业需要处理血液或者其他体液。有效理赔必须符合下列所有条件：</w:t>
      </w:r>
    </w:p>
    <w:p>
      <w:pPr>
        <w:pStyle w:val="ListParagraph"/>
        <w:numPr>
          <w:ilvl w:val="0"/>
          <w:numId w:val="12"/>
        </w:numPr>
        <w:tabs>
          <w:tab w:pos="464" w:val="left" w:leader="none"/>
          <w:tab w:pos="465" w:val="left" w:leader="none"/>
        </w:tabs>
        <w:spacing w:line="256" w:lineRule="auto" w:before="37" w:after="0"/>
        <w:ind w:left="464" w:right="138" w:hanging="360"/>
        <w:jc w:val="left"/>
        <w:rPr>
          <w:sz w:val="21"/>
        </w:rPr>
      </w:pPr>
      <w:r>
        <w:rPr>
          <w:spacing w:val="-4"/>
          <w:sz w:val="21"/>
        </w:rPr>
        <w:t>感染必须是在被保险人正在从事其职业工作时发生，该职业必须属于以下列表内的职业。</w:t>
      </w:r>
    </w:p>
    <w:p>
      <w:pPr>
        <w:pStyle w:val="BodyText"/>
        <w:rPr>
          <w:sz w:val="20"/>
        </w:rPr>
      </w:pPr>
    </w:p>
    <w:p>
      <w:pPr>
        <w:pStyle w:val="ListParagraph"/>
        <w:numPr>
          <w:ilvl w:val="0"/>
          <w:numId w:val="12"/>
        </w:numPr>
        <w:tabs>
          <w:tab w:pos="464" w:val="left" w:leader="none"/>
          <w:tab w:pos="465" w:val="left" w:leader="none"/>
        </w:tabs>
        <w:spacing w:line="240" w:lineRule="auto" w:before="0" w:after="0"/>
        <w:ind w:left="464" w:right="0" w:hanging="360"/>
        <w:jc w:val="left"/>
        <w:rPr>
          <w:sz w:val="21"/>
        </w:rPr>
      </w:pPr>
      <w:r>
        <w:rPr>
          <w:spacing w:val="-4"/>
          <w:sz w:val="21"/>
        </w:rPr>
        <w:t>血清转化必须出现在事故发生后 </w:t>
      </w:r>
      <w:r>
        <w:rPr>
          <w:rFonts w:ascii="Times New Roman" w:eastAsia="Times New Roman"/>
          <w:sz w:val="21"/>
        </w:rPr>
        <w:t>6</w:t>
      </w:r>
      <w:r>
        <w:rPr>
          <w:rFonts w:ascii="Times New Roman" w:eastAsia="Times New Roman"/>
          <w:spacing w:val="-1"/>
          <w:sz w:val="21"/>
        </w:rPr>
        <w:t> </w:t>
      </w:r>
      <w:r>
        <w:rPr>
          <w:sz w:val="21"/>
        </w:rPr>
        <w:t>个月以内。</w:t>
      </w:r>
    </w:p>
    <w:p>
      <w:pPr>
        <w:pStyle w:val="BodyText"/>
        <w:spacing w:before="11"/>
        <w:rPr>
          <w:sz w:val="19"/>
        </w:rPr>
      </w:pPr>
    </w:p>
    <w:p>
      <w:pPr>
        <w:pStyle w:val="ListParagraph"/>
        <w:numPr>
          <w:ilvl w:val="0"/>
          <w:numId w:val="12"/>
        </w:numPr>
        <w:tabs>
          <w:tab w:pos="388" w:val="left" w:leader="none"/>
        </w:tabs>
        <w:spacing w:line="256" w:lineRule="auto" w:before="0" w:after="0"/>
        <w:ind w:left="387" w:right="143" w:hanging="283"/>
        <w:jc w:val="left"/>
        <w:rPr>
          <w:sz w:val="21"/>
        </w:rPr>
      </w:pPr>
      <w:r>
        <w:rPr>
          <w:spacing w:val="-3"/>
          <w:sz w:val="21"/>
        </w:rPr>
        <w:t>必须提供被保险人在所报事故发生后的 </w:t>
      </w:r>
      <w:r>
        <w:rPr>
          <w:rFonts w:ascii="Times New Roman" w:eastAsia="Times New Roman"/>
          <w:sz w:val="21"/>
        </w:rPr>
        <w:t>5</w:t>
      </w:r>
      <w:r>
        <w:rPr>
          <w:rFonts w:ascii="Times New Roman" w:eastAsia="Times New Roman"/>
          <w:spacing w:val="-1"/>
          <w:sz w:val="21"/>
        </w:rPr>
        <w:t> </w:t>
      </w:r>
      <w:r>
        <w:rPr>
          <w:sz w:val="21"/>
        </w:rPr>
        <w:t>天以内进行的检查报告，该</w:t>
      </w:r>
      <w:r>
        <w:rPr>
          <w:spacing w:val="-5"/>
          <w:sz w:val="21"/>
        </w:rPr>
        <w:t>报告必须显示被保险人血液 </w:t>
      </w:r>
      <w:r>
        <w:rPr>
          <w:rFonts w:ascii="Times New Roman" w:eastAsia="Times New Roman"/>
          <w:sz w:val="21"/>
        </w:rPr>
        <w:t>HIV</w:t>
      </w:r>
      <w:r>
        <w:rPr>
          <w:rFonts w:ascii="Times New Roman" w:eastAsia="Times New Roman"/>
          <w:spacing w:val="-2"/>
          <w:sz w:val="21"/>
        </w:rPr>
        <w:t> </w:t>
      </w:r>
      <w:r>
        <w:rPr>
          <w:spacing w:val="-8"/>
          <w:sz w:val="21"/>
        </w:rPr>
        <w:t>病毒阴性或者 </w:t>
      </w:r>
      <w:r>
        <w:rPr>
          <w:rFonts w:ascii="Times New Roman" w:eastAsia="Times New Roman"/>
          <w:sz w:val="21"/>
        </w:rPr>
        <w:t>HIV</w:t>
      </w:r>
      <w:r>
        <w:rPr>
          <w:rFonts w:ascii="Times New Roman" w:eastAsia="Times New Roman"/>
          <w:spacing w:val="-2"/>
          <w:sz w:val="21"/>
        </w:rPr>
        <w:t> </w:t>
      </w:r>
      <w:r>
        <w:rPr>
          <w:sz w:val="21"/>
        </w:rPr>
        <w:t>抗体阴性。</w:t>
      </w:r>
    </w:p>
    <w:p>
      <w:pPr>
        <w:pStyle w:val="BodyText"/>
        <w:spacing w:before="9"/>
        <w:rPr>
          <w:sz w:val="18"/>
        </w:rPr>
      </w:pPr>
    </w:p>
    <w:p>
      <w:pPr>
        <w:pStyle w:val="ListParagraph"/>
        <w:numPr>
          <w:ilvl w:val="0"/>
          <w:numId w:val="12"/>
        </w:numPr>
        <w:tabs>
          <w:tab w:pos="388" w:val="left" w:leader="none"/>
        </w:tabs>
        <w:spacing w:line="240" w:lineRule="auto" w:before="0" w:after="0"/>
        <w:ind w:left="387" w:right="0" w:hanging="283"/>
        <w:jc w:val="left"/>
        <w:rPr>
          <w:sz w:val="21"/>
        </w:rPr>
      </w:pPr>
      <w:r>
        <w:rPr>
          <w:spacing w:val="-6"/>
          <w:sz w:val="21"/>
        </w:rPr>
        <w:t>必须在事故发生后的 </w:t>
      </w:r>
      <w:r>
        <w:rPr>
          <w:rFonts w:ascii="Times New Roman" w:eastAsia="Times New Roman"/>
          <w:sz w:val="21"/>
        </w:rPr>
        <w:t>12</w:t>
      </w:r>
      <w:r>
        <w:rPr>
          <w:rFonts w:ascii="Times New Roman" w:eastAsia="Times New Roman"/>
          <w:spacing w:val="-2"/>
          <w:sz w:val="21"/>
        </w:rPr>
        <w:t> </w:t>
      </w:r>
      <w:r>
        <w:rPr>
          <w:spacing w:val="-4"/>
          <w:sz w:val="21"/>
        </w:rPr>
        <w:t>个月内证实被保险人体内存在 </w:t>
      </w:r>
      <w:r>
        <w:rPr>
          <w:rFonts w:ascii="Times New Roman" w:eastAsia="Times New Roman"/>
          <w:sz w:val="21"/>
        </w:rPr>
        <w:t>HIV</w:t>
      </w:r>
      <w:r>
        <w:rPr>
          <w:rFonts w:ascii="Times New Roman" w:eastAsia="Times New Roman"/>
          <w:spacing w:val="-2"/>
          <w:sz w:val="21"/>
        </w:rPr>
        <w:t> </w:t>
      </w:r>
      <w:r>
        <w:rPr>
          <w:sz w:val="21"/>
        </w:rPr>
        <w:t>病毒或者</w:t>
      </w:r>
    </w:p>
    <w:p>
      <w:pPr>
        <w:pStyle w:val="BodyText"/>
        <w:spacing w:before="19"/>
        <w:ind w:left="387"/>
      </w:pPr>
      <w:r>
        <w:rPr>
          <w:rFonts w:ascii="Times New Roman" w:eastAsia="Times New Roman"/>
        </w:rPr>
        <w:t>HIV </w:t>
      </w:r>
      <w:r>
        <w:rPr/>
        <w:t>抗体。</w:t>
      </w:r>
    </w:p>
    <w:p>
      <w:pPr>
        <w:pStyle w:val="BodyText"/>
        <w:spacing w:before="12"/>
        <w:rPr>
          <w:sz w:val="19"/>
        </w:rPr>
      </w:pPr>
    </w:p>
    <w:p>
      <w:pPr>
        <w:pStyle w:val="BodyText"/>
        <w:ind w:left="104"/>
      </w:pPr>
      <w:r>
        <w:rPr/>
        <w:t>职业限制如下所示：</w:t>
      </w:r>
    </w:p>
    <w:p>
      <w:pPr>
        <w:pStyle w:val="BodyText"/>
        <w:tabs>
          <w:tab w:pos="4757" w:val="left" w:leader="none"/>
        </w:tabs>
        <w:spacing w:before="36"/>
        <w:ind w:left="175"/>
      </w:pPr>
      <w:r>
        <w:rPr/>
        <w:t>医生和牙科医生</w:t>
        <w:tab/>
        <w:t>护士</w:t>
      </w:r>
    </w:p>
    <w:p>
      <w:pPr>
        <w:pStyle w:val="BodyText"/>
        <w:tabs>
          <w:tab w:pos="4757" w:val="left" w:leader="none"/>
        </w:tabs>
        <w:spacing w:before="36"/>
        <w:ind w:left="175"/>
      </w:pPr>
      <w:r>
        <w:rPr/>
        <w:t>医院化验室工作人员</w:t>
        <w:tab/>
        <w:t>医院护工</w:t>
      </w:r>
    </w:p>
    <w:p>
      <w:pPr>
        <w:pStyle w:val="BodyText"/>
        <w:tabs>
          <w:tab w:pos="4757" w:val="left" w:leader="none"/>
        </w:tabs>
        <w:spacing w:before="36"/>
        <w:ind w:left="175"/>
      </w:pPr>
      <w:r>
        <w:rPr/>
        <w:t>医生助理和牙医助理</w:t>
        <w:tab/>
        <w:t>救护车工作人员</w:t>
      </w:r>
    </w:p>
    <w:p>
      <w:pPr>
        <w:pStyle w:val="BodyText"/>
        <w:tabs>
          <w:tab w:pos="4757" w:val="left" w:leader="none"/>
        </w:tabs>
        <w:spacing w:before="36"/>
        <w:ind w:left="175"/>
      </w:pPr>
      <w:r>
        <w:rPr/>
        <w:t>助产士</w:t>
        <w:tab/>
        <w:t>消防队员</w:t>
      </w:r>
    </w:p>
    <w:p>
      <w:pPr>
        <w:pStyle w:val="BodyText"/>
        <w:tabs>
          <w:tab w:pos="4757" w:val="left" w:leader="none"/>
        </w:tabs>
        <w:spacing w:before="36"/>
        <w:ind w:left="175"/>
      </w:pPr>
      <w:r>
        <w:rPr/>
        <w:t>警察</w:t>
        <w:tab/>
        <w:t>狱警</w:t>
      </w:r>
    </w:p>
    <w:p>
      <w:pPr>
        <w:spacing w:after="0"/>
        <w:sectPr>
          <w:type w:val="continuous"/>
          <w:pgSz w:w="11910" w:h="16840"/>
          <w:pgMar w:top="560" w:bottom="280" w:left="1200" w:right="1320"/>
          <w:cols w:num="2" w:equalWidth="0">
            <w:col w:w="2440" w:space="111"/>
            <w:col w:w="6839"/>
          </w:cols>
        </w:sectPr>
      </w:pPr>
    </w:p>
    <w:p>
      <w:pPr>
        <w:pStyle w:val="BodyText"/>
        <w:spacing w:before="9"/>
        <w:rPr>
          <w:sz w:val="17"/>
        </w:rPr>
      </w:pPr>
    </w:p>
    <w:p>
      <w:pPr>
        <w:spacing w:after="0"/>
        <w:rPr>
          <w:sz w:val="17"/>
        </w:rPr>
        <w:sectPr>
          <w:type w:val="continuous"/>
          <w:pgSz w:w="11910" w:h="16840"/>
          <w:pgMar w:top="560" w:bottom="280" w:left="1200" w:right="1320"/>
        </w:sectPr>
      </w:pPr>
    </w:p>
    <w:p>
      <w:pPr>
        <w:pStyle w:val="Heading4"/>
        <w:numPr>
          <w:ilvl w:val="2"/>
          <w:numId w:val="10"/>
        </w:numPr>
        <w:tabs>
          <w:tab w:pos="955" w:val="left" w:leader="none"/>
          <w:tab w:pos="956" w:val="left" w:leader="none"/>
        </w:tabs>
        <w:spacing w:line="240" w:lineRule="auto" w:before="34" w:after="0"/>
        <w:ind w:left="955" w:right="0" w:hanging="851"/>
        <w:jc w:val="left"/>
      </w:pPr>
      <w:r>
        <w:rPr>
          <w:w w:val="95"/>
        </w:rPr>
        <w:t>经输血导致的人</w:t>
      </w:r>
    </w:p>
    <w:p>
      <w:pPr>
        <w:spacing w:line="259" w:lineRule="auto" w:before="23"/>
        <w:ind w:left="955" w:right="0" w:firstLine="0"/>
        <w:jc w:val="left"/>
        <w:rPr>
          <w:i/>
          <w:sz w:val="22"/>
        </w:rPr>
      </w:pPr>
      <w:r>
        <w:rPr>
          <w:i/>
          <w:w w:val="95"/>
          <w:sz w:val="22"/>
        </w:rPr>
        <w:t>类免疫缺陷病毒感染</w:t>
      </w:r>
    </w:p>
    <w:p>
      <w:pPr>
        <w:pStyle w:val="BodyText"/>
        <w:spacing w:before="46"/>
        <w:ind w:left="104"/>
      </w:pPr>
      <w:r>
        <w:rPr/>
        <w:br w:type="column"/>
      </w:r>
      <w:r>
        <w:rPr/>
        <w:t>被保险人感染上人类免疫缺陷病毒（HIV）并且符合下列所有条件：</w:t>
      </w:r>
    </w:p>
    <w:p>
      <w:pPr>
        <w:pStyle w:val="ListParagraph"/>
        <w:numPr>
          <w:ilvl w:val="0"/>
          <w:numId w:val="13"/>
        </w:numPr>
        <w:tabs>
          <w:tab w:pos="464" w:val="left" w:leader="none"/>
          <w:tab w:pos="465" w:val="left" w:leader="none"/>
        </w:tabs>
        <w:spacing w:line="240" w:lineRule="auto" w:before="37" w:after="0"/>
        <w:ind w:left="464" w:right="0" w:hanging="360"/>
        <w:jc w:val="left"/>
        <w:rPr>
          <w:sz w:val="21"/>
        </w:rPr>
      </w:pPr>
      <w:r>
        <w:rPr>
          <w:spacing w:val="-3"/>
          <w:sz w:val="21"/>
        </w:rPr>
        <w:t>在保障起始日或复效日之后，被保险人因输血而感染 </w:t>
      </w:r>
      <w:r>
        <w:rPr>
          <w:sz w:val="21"/>
        </w:rPr>
        <w:t>HIV；</w:t>
      </w:r>
    </w:p>
    <w:p>
      <w:pPr>
        <w:pStyle w:val="BodyText"/>
        <w:spacing w:before="1"/>
        <w:rPr>
          <w:sz w:val="20"/>
        </w:rPr>
      </w:pPr>
    </w:p>
    <w:p>
      <w:pPr>
        <w:pStyle w:val="ListParagraph"/>
        <w:numPr>
          <w:ilvl w:val="0"/>
          <w:numId w:val="13"/>
        </w:numPr>
        <w:tabs>
          <w:tab w:pos="464" w:val="left" w:leader="none"/>
          <w:tab w:pos="465" w:val="left" w:leader="none"/>
        </w:tabs>
        <w:spacing w:line="259" w:lineRule="auto" w:before="0" w:after="0"/>
        <w:ind w:left="464" w:right="276" w:hanging="360"/>
        <w:jc w:val="left"/>
        <w:rPr>
          <w:sz w:val="21"/>
        </w:rPr>
      </w:pPr>
      <w:r>
        <w:rPr>
          <w:sz w:val="21"/>
        </w:rPr>
        <w:t>提供输血治疗的输血中心或医院出具该项输血感染属医疗责任事故的报告，或者法院终审裁定为医疗责任并且不准上诉；</w:t>
      </w:r>
    </w:p>
    <w:p>
      <w:pPr>
        <w:pStyle w:val="BodyText"/>
        <w:spacing w:before="11"/>
        <w:rPr>
          <w:sz w:val="19"/>
        </w:rPr>
      </w:pPr>
    </w:p>
    <w:p>
      <w:pPr>
        <w:pStyle w:val="ListParagraph"/>
        <w:numPr>
          <w:ilvl w:val="0"/>
          <w:numId w:val="13"/>
        </w:numPr>
        <w:tabs>
          <w:tab w:pos="464" w:val="left" w:leader="none"/>
          <w:tab w:pos="465" w:val="left" w:leader="none"/>
        </w:tabs>
        <w:spacing w:line="240" w:lineRule="auto" w:before="0" w:after="0"/>
        <w:ind w:left="464" w:right="0" w:hanging="360"/>
        <w:jc w:val="left"/>
        <w:rPr>
          <w:sz w:val="21"/>
        </w:rPr>
      </w:pPr>
      <w:r>
        <w:rPr>
          <w:sz w:val="21"/>
        </w:rPr>
        <w:t>受感染的被保险人不是血友病患者；</w:t>
      </w:r>
    </w:p>
    <w:p>
      <w:pPr>
        <w:pStyle w:val="BodyText"/>
        <w:spacing w:before="5"/>
        <w:rPr>
          <w:sz w:val="18"/>
        </w:rPr>
      </w:pPr>
    </w:p>
    <w:p>
      <w:pPr>
        <w:pStyle w:val="BodyText"/>
        <w:spacing w:line="259" w:lineRule="auto" w:before="1"/>
        <w:ind w:left="104" w:right="113"/>
        <w:jc w:val="both"/>
      </w:pPr>
      <w:r>
        <w:rPr/>
        <w:t>在任何治愈艾滋病（AIDS）</w:t>
      </w:r>
      <w:r>
        <w:rPr>
          <w:spacing w:val="-4"/>
        </w:rPr>
        <w:t>或阻止 </w:t>
      </w:r>
      <w:r>
        <w:rPr/>
        <w:t>HIV</w:t>
      </w:r>
      <w:r>
        <w:rPr>
          <w:spacing w:val="-4"/>
        </w:rPr>
        <w:t> 病毒作用的疗法被发现以后，或</w:t>
      </w:r>
      <w:r>
        <w:rPr>
          <w:spacing w:val="-20"/>
        </w:rPr>
        <w:t>能防止 </w:t>
      </w:r>
      <w:r>
        <w:rPr/>
        <w:t>AIDS</w:t>
      </w:r>
      <w:r>
        <w:rPr>
          <w:spacing w:val="-9"/>
        </w:rPr>
        <w:t> 发生的医疗方法被研究出来以后，本保障将不再予以赔付。任何因其他传播方式（包括：性传播或静脉注射毒品）</w:t>
      </w:r>
      <w:r>
        <w:rPr>
          <w:spacing w:val="-11"/>
        </w:rPr>
        <w:t>导致的 </w:t>
      </w:r>
      <w:r>
        <w:rPr/>
        <w:t>HIV</w:t>
      </w:r>
      <w:r>
        <w:rPr>
          <w:spacing w:val="-6"/>
        </w:rPr>
        <w:t> 感染不在本保单保障范围内。保险公司必须拥有获得使用被保险人的所有血液样本的权利和能够对这些样本进行独立检验的权利。</w:t>
      </w:r>
    </w:p>
    <w:p>
      <w:pPr>
        <w:spacing w:after="0" w:line="259" w:lineRule="auto"/>
        <w:jc w:val="both"/>
        <w:sectPr>
          <w:type w:val="continuous"/>
          <w:pgSz w:w="11910" w:h="16840"/>
          <w:pgMar w:top="560" w:bottom="280" w:left="1200" w:right="1320"/>
          <w:cols w:num="2" w:equalWidth="0">
            <w:col w:w="2426" w:space="125"/>
            <w:col w:w="6839"/>
          </w:cols>
        </w:sectPr>
      </w:pPr>
    </w:p>
    <w:tbl>
      <w:tblPr>
        <w:tblW w:w="0" w:type="auto"/>
        <w:jc w:val="left"/>
        <w:tblInd w:w="1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91"/>
        <w:gridCol w:w="1650"/>
        <w:gridCol w:w="6825"/>
      </w:tblGrid>
      <w:tr>
        <w:trPr>
          <w:trHeight w:val="627" w:hRule="atLeast"/>
        </w:trPr>
        <w:tc>
          <w:tcPr>
            <w:tcW w:w="791" w:type="dxa"/>
          </w:tcPr>
          <w:p>
            <w:pPr>
              <w:pStyle w:val="TableParagraph"/>
              <w:spacing w:line="219" w:lineRule="exact"/>
              <w:ind w:left="50"/>
              <w:rPr>
                <w:i/>
                <w:sz w:val="22"/>
              </w:rPr>
            </w:pPr>
            <w:r>
              <w:rPr>
                <w:i/>
                <w:sz w:val="22"/>
              </w:rPr>
              <w:t>3.1.29</w:t>
            </w:r>
          </w:p>
        </w:tc>
        <w:tc>
          <w:tcPr>
            <w:tcW w:w="1650" w:type="dxa"/>
          </w:tcPr>
          <w:p>
            <w:pPr>
              <w:pStyle w:val="TableParagraph"/>
              <w:spacing w:line="219" w:lineRule="exact"/>
              <w:ind w:left="109"/>
              <w:rPr>
                <w:i/>
                <w:sz w:val="22"/>
              </w:rPr>
            </w:pPr>
            <w:r>
              <w:rPr>
                <w:i/>
                <w:w w:val="95"/>
                <w:sz w:val="22"/>
              </w:rPr>
              <w:t>慢性呼吸功能衰</w:t>
            </w:r>
          </w:p>
          <w:p>
            <w:pPr>
              <w:pStyle w:val="TableParagraph"/>
              <w:spacing w:before="23"/>
              <w:ind w:left="109"/>
              <w:rPr>
                <w:i/>
                <w:sz w:val="22"/>
              </w:rPr>
            </w:pPr>
            <w:r>
              <w:rPr>
                <w:i/>
                <w:w w:val="95"/>
                <w:sz w:val="22"/>
              </w:rPr>
              <w:t>竭</w:t>
            </w:r>
          </w:p>
        </w:tc>
        <w:tc>
          <w:tcPr>
            <w:tcW w:w="6825" w:type="dxa"/>
          </w:tcPr>
          <w:p>
            <w:pPr>
              <w:pStyle w:val="TableParagraph"/>
              <w:spacing w:line="218" w:lineRule="exact"/>
              <w:ind w:left="160"/>
              <w:rPr>
                <w:sz w:val="21"/>
              </w:rPr>
            </w:pPr>
            <w:r>
              <w:rPr>
                <w:sz w:val="21"/>
              </w:rPr>
              <w:t>由呼吸科专科医师确认被保险人患有慢性肺部疾病而出现永久不可逆性</w:t>
            </w:r>
          </w:p>
          <w:p>
            <w:pPr>
              <w:pStyle w:val="TableParagraph"/>
              <w:spacing w:before="36"/>
              <w:ind w:left="160"/>
              <w:rPr>
                <w:sz w:val="21"/>
              </w:rPr>
            </w:pPr>
            <w:r>
              <w:rPr>
                <w:sz w:val="21"/>
              </w:rPr>
              <w:t>的慢性呼吸功能衰竭，其诊断标准包括以下各项：</w:t>
            </w:r>
          </w:p>
        </w:tc>
      </w:tr>
      <w:tr>
        <w:trPr>
          <w:trHeight w:val="499" w:hRule="atLeast"/>
        </w:trPr>
        <w:tc>
          <w:tcPr>
            <w:tcW w:w="791" w:type="dxa"/>
          </w:tcPr>
          <w:p>
            <w:pPr>
              <w:pStyle w:val="TableParagraph"/>
              <w:rPr>
                <w:rFonts w:ascii="Times New Roman"/>
                <w:sz w:val="20"/>
              </w:rPr>
            </w:pPr>
          </w:p>
        </w:tc>
        <w:tc>
          <w:tcPr>
            <w:tcW w:w="1650" w:type="dxa"/>
          </w:tcPr>
          <w:p>
            <w:pPr>
              <w:pStyle w:val="TableParagraph"/>
              <w:rPr>
                <w:rFonts w:ascii="Times New Roman"/>
                <w:sz w:val="20"/>
              </w:rPr>
            </w:pPr>
          </w:p>
        </w:tc>
        <w:tc>
          <w:tcPr>
            <w:tcW w:w="6825" w:type="dxa"/>
          </w:tcPr>
          <w:p>
            <w:pPr>
              <w:pStyle w:val="TableParagraph"/>
              <w:numPr>
                <w:ilvl w:val="0"/>
                <w:numId w:val="14"/>
              </w:numPr>
              <w:tabs>
                <w:tab w:pos="520" w:val="left" w:leader="none"/>
                <w:tab w:pos="521" w:val="left" w:leader="none"/>
              </w:tabs>
              <w:spacing w:line="240" w:lineRule="auto" w:before="58" w:after="0"/>
              <w:ind w:left="520" w:right="0" w:hanging="360"/>
              <w:jc w:val="left"/>
              <w:rPr>
                <w:sz w:val="21"/>
              </w:rPr>
            </w:pPr>
            <w:r>
              <w:rPr>
                <w:sz w:val="21"/>
              </w:rPr>
              <w:t>第一秒末用力呼气量（</w:t>
            </w:r>
            <w:r>
              <w:rPr>
                <w:rFonts w:ascii="Times New Roman" w:eastAsia="Times New Roman"/>
                <w:sz w:val="21"/>
              </w:rPr>
              <w:t>FEV1</w:t>
            </w:r>
            <w:r>
              <w:rPr>
                <w:sz w:val="21"/>
              </w:rPr>
              <w:t>）</w:t>
            </w:r>
            <w:r>
              <w:rPr>
                <w:spacing w:val="-19"/>
                <w:sz w:val="21"/>
              </w:rPr>
              <w:t>小于 </w:t>
            </w:r>
            <w:r>
              <w:rPr>
                <w:rFonts w:ascii="Times New Roman" w:eastAsia="Times New Roman"/>
                <w:sz w:val="21"/>
              </w:rPr>
              <w:t>1</w:t>
            </w:r>
            <w:r>
              <w:rPr>
                <w:rFonts w:ascii="Times New Roman" w:eastAsia="Times New Roman"/>
                <w:spacing w:val="-3"/>
                <w:sz w:val="21"/>
              </w:rPr>
              <w:t> </w:t>
            </w:r>
            <w:r>
              <w:rPr>
                <w:sz w:val="21"/>
              </w:rPr>
              <w:t>升，及</w:t>
            </w:r>
          </w:p>
        </w:tc>
      </w:tr>
      <w:tr>
        <w:trPr>
          <w:trHeight w:val="552" w:hRule="atLeast"/>
        </w:trPr>
        <w:tc>
          <w:tcPr>
            <w:tcW w:w="791" w:type="dxa"/>
          </w:tcPr>
          <w:p>
            <w:pPr>
              <w:pStyle w:val="TableParagraph"/>
              <w:rPr>
                <w:rFonts w:ascii="Times New Roman"/>
                <w:sz w:val="20"/>
              </w:rPr>
            </w:pPr>
          </w:p>
        </w:tc>
        <w:tc>
          <w:tcPr>
            <w:tcW w:w="1650" w:type="dxa"/>
          </w:tcPr>
          <w:p>
            <w:pPr>
              <w:pStyle w:val="TableParagraph"/>
              <w:rPr>
                <w:rFonts w:ascii="Times New Roman"/>
                <w:sz w:val="20"/>
              </w:rPr>
            </w:pPr>
          </w:p>
        </w:tc>
        <w:tc>
          <w:tcPr>
            <w:tcW w:w="6825" w:type="dxa"/>
          </w:tcPr>
          <w:p>
            <w:pPr>
              <w:pStyle w:val="TableParagraph"/>
              <w:numPr>
                <w:ilvl w:val="0"/>
                <w:numId w:val="15"/>
              </w:numPr>
              <w:tabs>
                <w:tab w:pos="520" w:val="left" w:leader="none"/>
                <w:tab w:pos="521" w:val="left" w:leader="none"/>
              </w:tabs>
              <w:spacing w:line="240" w:lineRule="auto" w:before="110" w:after="0"/>
              <w:ind w:left="520" w:right="0" w:hanging="360"/>
              <w:jc w:val="left"/>
              <w:rPr>
                <w:sz w:val="21"/>
              </w:rPr>
            </w:pPr>
            <w:r>
              <w:rPr>
                <w:spacing w:val="-5"/>
                <w:sz w:val="21"/>
              </w:rPr>
              <w:t>气道内阻力增加，至少达到 </w:t>
            </w:r>
            <w:r>
              <w:rPr>
                <w:rFonts w:ascii="Times New Roman" w:eastAsia="Times New Roman"/>
                <w:sz w:val="21"/>
              </w:rPr>
              <w:t>0.5</w:t>
            </w:r>
            <w:r>
              <w:rPr>
                <w:rFonts w:ascii="Times New Roman" w:eastAsia="Times New Roman"/>
                <w:spacing w:val="-3"/>
                <w:sz w:val="21"/>
              </w:rPr>
              <w:t> </w:t>
            </w:r>
            <w:r>
              <w:rPr>
                <w:rFonts w:ascii="Times New Roman" w:eastAsia="Times New Roman"/>
                <w:sz w:val="21"/>
              </w:rPr>
              <w:t>kPa/l/s</w:t>
            </w:r>
            <w:r>
              <w:rPr>
                <w:sz w:val="21"/>
              </w:rPr>
              <w:t>，及</w:t>
            </w:r>
          </w:p>
        </w:tc>
      </w:tr>
      <w:tr>
        <w:trPr>
          <w:trHeight w:val="552" w:hRule="atLeast"/>
        </w:trPr>
        <w:tc>
          <w:tcPr>
            <w:tcW w:w="791" w:type="dxa"/>
          </w:tcPr>
          <w:p>
            <w:pPr>
              <w:pStyle w:val="TableParagraph"/>
              <w:rPr>
                <w:rFonts w:ascii="Times New Roman"/>
                <w:sz w:val="20"/>
              </w:rPr>
            </w:pPr>
          </w:p>
        </w:tc>
        <w:tc>
          <w:tcPr>
            <w:tcW w:w="1650" w:type="dxa"/>
          </w:tcPr>
          <w:p>
            <w:pPr>
              <w:pStyle w:val="TableParagraph"/>
              <w:rPr>
                <w:rFonts w:ascii="Times New Roman"/>
                <w:sz w:val="20"/>
              </w:rPr>
            </w:pPr>
          </w:p>
        </w:tc>
        <w:tc>
          <w:tcPr>
            <w:tcW w:w="6825" w:type="dxa"/>
          </w:tcPr>
          <w:p>
            <w:pPr>
              <w:pStyle w:val="TableParagraph"/>
              <w:numPr>
                <w:ilvl w:val="0"/>
                <w:numId w:val="16"/>
              </w:numPr>
              <w:tabs>
                <w:tab w:pos="520" w:val="left" w:leader="none"/>
                <w:tab w:pos="521" w:val="left" w:leader="none"/>
              </w:tabs>
              <w:spacing w:line="240" w:lineRule="auto" w:before="110" w:after="0"/>
              <w:ind w:left="520" w:right="0" w:hanging="360"/>
              <w:jc w:val="left"/>
              <w:rPr>
                <w:sz w:val="21"/>
              </w:rPr>
            </w:pPr>
            <w:r>
              <w:rPr>
                <w:sz w:val="21"/>
              </w:rPr>
              <w:t>残气容积占肺总量</w:t>
            </w:r>
            <w:r>
              <w:rPr>
                <w:rFonts w:ascii="Times New Roman" w:eastAsia="Times New Roman"/>
                <w:sz w:val="21"/>
              </w:rPr>
              <w:t>(TLC)</w:t>
            </w:r>
            <w:r>
              <w:rPr>
                <w:spacing w:val="-29"/>
                <w:sz w:val="21"/>
              </w:rPr>
              <w:t>的 </w:t>
            </w:r>
            <w:r>
              <w:rPr>
                <w:rFonts w:ascii="Times New Roman" w:eastAsia="Times New Roman"/>
                <w:sz w:val="21"/>
              </w:rPr>
              <w:t>60%</w:t>
            </w:r>
            <w:r>
              <w:rPr>
                <w:sz w:val="21"/>
              </w:rPr>
              <w:t>以上，及</w:t>
            </w:r>
          </w:p>
        </w:tc>
      </w:tr>
      <w:tr>
        <w:trPr>
          <w:trHeight w:val="676" w:hRule="atLeast"/>
        </w:trPr>
        <w:tc>
          <w:tcPr>
            <w:tcW w:w="791" w:type="dxa"/>
          </w:tcPr>
          <w:p>
            <w:pPr>
              <w:pStyle w:val="TableParagraph"/>
              <w:rPr>
                <w:rFonts w:ascii="Times New Roman"/>
                <w:sz w:val="20"/>
              </w:rPr>
            </w:pPr>
          </w:p>
        </w:tc>
        <w:tc>
          <w:tcPr>
            <w:tcW w:w="1650" w:type="dxa"/>
          </w:tcPr>
          <w:p>
            <w:pPr>
              <w:pStyle w:val="TableParagraph"/>
              <w:rPr>
                <w:rFonts w:ascii="Times New Roman"/>
                <w:sz w:val="20"/>
              </w:rPr>
            </w:pPr>
          </w:p>
        </w:tc>
        <w:tc>
          <w:tcPr>
            <w:tcW w:w="6825" w:type="dxa"/>
          </w:tcPr>
          <w:p>
            <w:pPr>
              <w:pStyle w:val="TableParagraph"/>
              <w:numPr>
                <w:ilvl w:val="0"/>
                <w:numId w:val="17"/>
              </w:numPr>
              <w:tabs>
                <w:tab w:pos="520" w:val="left" w:leader="none"/>
                <w:tab w:pos="521" w:val="left" w:leader="none"/>
              </w:tabs>
              <w:spacing w:line="240" w:lineRule="auto" w:before="110" w:after="0"/>
              <w:ind w:left="520" w:right="0" w:hanging="360"/>
              <w:jc w:val="left"/>
              <w:rPr>
                <w:sz w:val="21"/>
              </w:rPr>
            </w:pPr>
            <w:r>
              <w:rPr>
                <w:spacing w:val="-5"/>
                <w:sz w:val="21"/>
              </w:rPr>
              <w:t>胸内气体容积升高，超过 </w:t>
            </w:r>
            <w:r>
              <w:rPr>
                <w:rFonts w:ascii="Times New Roman" w:eastAsia="Times New Roman"/>
                <w:sz w:val="21"/>
              </w:rPr>
              <w:t>170</w:t>
            </w:r>
            <w:r>
              <w:rPr>
                <w:rFonts w:ascii="Times New Roman" w:eastAsia="Times New Roman"/>
                <w:spacing w:val="-2"/>
                <w:sz w:val="21"/>
              </w:rPr>
              <w:t> (</w:t>
            </w:r>
            <w:r>
              <w:rPr>
                <w:sz w:val="21"/>
              </w:rPr>
              <w:t>基值的百分比</w:t>
            </w:r>
            <w:r>
              <w:rPr>
                <w:rFonts w:ascii="Times New Roman" w:eastAsia="Times New Roman"/>
                <w:sz w:val="21"/>
              </w:rPr>
              <w:t>)</w:t>
            </w:r>
            <w:r>
              <w:rPr>
                <w:sz w:val="21"/>
              </w:rPr>
              <w:t>。</w:t>
            </w:r>
          </w:p>
        </w:tc>
      </w:tr>
      <w:tr>
        <w:trPr>
          <w:trHeight w:val="855" w:hRule="atLeast"/>
        </w:trPr>
        <w:tc>
          <w:tcPr>
            <w:tcW w:w="791" w:type="dxa"/>
          </w:tcPr>
          <w:p>
            <w:pPr>
              <w:pStyle w:val="TableParagraph"/>
              <w:spacing w:before="6"/>
              <w:rPr>
                <w:sz w:val="15"/>
              </w:rPr>
            </w:pPr>
          </w:p>
          <w:p>
            <w:pPr>
              <w:pStyle w:val="TableParagraph"/>
              <w:ind w:left="50"/>
              <w:rPr>
                <w:i/>
                <w:sz w:val="22"/>
              </w:rPr>
            </w:pPr>
            <w:r>
              <w:rPr>
                <w:i/>
                <w:sz w:val="22"/>
              </w:rPr>
              <w:t>3.1.30</w:t>
            </w:r>
          </w:p>
        </w:tc>
        <w:tc>
          <w:tcPr>
            <w:tcW w:w="1650" w:type="dxa"/>
          </w:tcPr>
          <w:p>
            <w:pPr>
              <w:pStyle w:val="TableParagraph"/>
              <w:spacing w:before="6"/>
              <w:rPr>
                <w:sz w:val="15"/>
              </w:rPr>
            </w:pPr>
          </w:p>
          <w:p>
            <w:pPr>
              <w:pStyle w:val="TableParagraph"/>
              <w:spacing w:line="259" w:lineRule="auto"/>
              <w:ind w:left="109" w:right="68"/>
              <w:rPr>
                <w:i/>
                <w:sz w:val="22"/>
              </w:rPr>
            </w:pPr>
            <w:r>
              <w:rPr>
                <w:i/>
                <w:w w:val="95"/>
                <w:sz w:val="22"/>
              </w:rPr>
              <w:t>严重类风湿性关节炎</w:t>
            </w:r>
          </w:p>
        </w:tc>
        <w:tc>
          <w:tcPr>
            <w:tcW w:w="6825" w:type="dxa"/>
          </w:tcPr>
          <w:p>
            <w:pPr>
              <w:pStyle w:val="TableParagraph"/>
              <w:spacing w:before="4"/>
              <w:rPr>
                <w:sz w:val="16"/>
              </w:rPr>
            </w:pPr>
          </w:p>
          <w:p>
            <w:pPr>
              <w:pStyle w:val="TableParagraph"/>
              <w:spacing w:line="273" w:lineRule="auto" w:before="1"/>
              <w:ind w:left="160" w:right="73"/>
              <w:rPr>
                <w:sz w:val="21"/>
              </w:rPr>
            </w:pPr>
            <w:r>
              <w:rPr>
                <w:sz w:val="21"/>
              </w:rPr>
              <w:t>类风湿性关节炎为广泛分布的慢性进行性多关节病变，表现为关节严重变形，侵犯至少三个主要关节或关节组【如：双手（多手指）关节、双</w:t>
            </w:r>
          </w:p>
        </w:tc>
      </w:tr>
      <w:tr>
        <w:trPr>
          <w:trHeight w:val="311" w:hRule="atLeast"/>
        </w:trPr>
        <w:tc>
          <w:tcPr>
            <w:tcW w:w="791" w:type="dxa"/>
          </w:tcPr>
          <w:p>
            <w:pPr>
              <w:pStyle w:val="TableParagraph"/>
              <w:rPr>
                <w:rFonts w:ascii="Times New Roman"/>
                <w:sz w:val="20"/>
              </w:rPr>
            </w:pPr>
          </w:p>
        </w:tc>
        <w:tc>
          <w:tcPr>
            <w:tcW w:w="1650" w:type="dxa"/>
          </w:tcPr>
          <w:p>
            <w:pPr>
              <w:pStyle w:val="TableParagraph"/>
              <w:rPr>
                <w:rFonts w:ascii="Times New Roman"/>
                <w:sz w:val="20"/>
              </w:rPr>
            </w:pPr>
          </w:p>
        </w:tc>
        <w:tc>
          <w:tcPr>
            <w:tcW w:w="6825" w:type="dxa"/>
          </w:tcPr>
          <w:p>
            <w:pPr>
              <w:pStyle w:val="TableParagraph"/>
              <w:spacing w:line="257" w:lineRule="exact"/>
              <w:ind w:right="76"/>
              <w:jc w:val="right"/>
              <w:rPr>
                <w:sz w:val="21"/>
              </w:rPr>
            </w:pPr>
            <w:r>
              <w:rPr>
                <w:sz w:val="21"/>
              </w:rPr>
              <w:t>足（多足趾）关节、双腕关节、双膝关节和双髋关节】。诊断必须由风湿</w:t>
            </w:r>
          </w:p>
        </w:tc>
      </w:tr>
      <w:tr>
        <w:trPr>
          <w:trHeight w:val="308" w:hRule="atLeast"/>
        </w:trPr>
        <w:tc>
          <w:tcPr>
            <w:tcW w:w="791" w:type="dxa"/>
          </w:tcPr>
          <w:p>
            <w:pPr>
              <w:pStyle w:val="TableParagraph"/>
              <w:rPr>
                <w:rFonts w:ascii="Times New Roman"/>
                <w:sz w:val="20"/>
              </w:rPr>
            </w:pPr>
          </w:p>
        </w:tc>
        <w:tc>
          <w:tcPr>
            <w:tcW w:w="1650" w:type="dxa"/>
          </w:tcPr>
          <w:p>
            <w:pPr>
              <w:pStyle w:val="TableParagraph"/>
              <w:rPr>
                <w:rFonts w:ascii="Times New Roman"/>
                <w:sz w:val="20"/>
              </w:rPr>
            </w:pPr>
          </w:p>
        </w:tc>
        <w:tc>
          <w:tcPr>
            <w:tcW w:w="6825" w:type="dxa"/>
          </w:tcPr>
          <w:p>
            <w:pPr>
              <w:pStyle w:val="TableParagraph"/>
              <w:spacing w:line="258" w:lineRule="exact"/>
              <w:ind w:right="73"/>
              <w:jc w:val="right"/>
              <w:rPr>
                <w:sz w:val="21"/>
              </w:rPr>
            </w:pPr>
            <w:r>
              <w:rPr>
                <w:sz w:val="21"/>
              </w:rPr>
              <w:t>科主任级和保险公司的医务总监确认，被保人所患的类风湿性关节炎必</w:t>
            </w:r>
          </w:p>
        </w:tc>
      </w:tr>
      <w:tr>
        <w:trPr>
          <w:trHeight w:val="1062" w:hRule="atLeast"/>
        </w:trPr>
        <w:tc>
          <w:tcPr>
            <w:tcW w:w="791" w:type="dxa"/>
          </w:tcPr>
          <w:p>
            <w:pPr>
              <w:pStyle w:val="TableParagraph"/>
              <w:rPr>
                <w:rFonts w:ascii="Times New Roman"/>
                <w:sz w:val="20"/>
              </w:rPr>
            </w:pPr>
          </w:p>
        </w:tc>
        <w:tc>
          <w:tcPr>
            <w:tcW w:w="1650" w:type="dxa"/>
          </w:tcPr>
          <w:p>
            <w:pPr>
              <w:pStyle w:val="TableParagraph"/>
              <w:rPr>
                <w:rFonts w:ascii="Times New Roman"/>
                <w:sz w:val="20"/>
              </w:rPr>
            </w:pPr>
          </w:p>
        </w:tc>
        <w:tc>
          <w:tcPr>
            <w:tcW w:w="6825" w:type="dxa"/>
          </w:tcPr>
          <w:p>
            <w:pPr>
              <w:pStyle w:val="TableParagraph"/>
              <w:spacing w:line="277" w:lineRule="exact"/>
              <w:ind w:left="160"/>
              <w:rPr>
                <w:sz w:val="21"/>
              </w:rPr>
            </w:pPr>
            <w:r>
              <w:rPr>
                <w:spacing w:val="-4"/>
                <w:sz w:val="21"/>
              </w:rPr>
              <w:t>须已经达到类风湿性关节炎功能分级 </w:t>
            </w:r>
            <w:r>
              <w:rPr>
                <w:rFonts w:ascii="Times New Roman" w:eastAsia="Times New Roman"/>
                <w:sz w:val="21"/>
              </w:rPr>
              <w:t>III </w:t>
            </w:r>
            <w:r>
              <w:rPr>
                <w:sz w:val="21"/>
              </w:rPr>
              <w:t>级以上的功能障碍（严重限制，</w:t>
            </w:r>
          </w:p>
          <w:p>
            <w:pPr>
              <w:pStyle w:val="TableParagraph"/>
              <w:spacing w:before="21"/>
              <w:ind w:left="160"/>
              <w:rPr>
                <w:sz w:val="21"/>
              </w:rPr>
            </w:pPr>
            <w:r>
              <w:rPr>
                <w:sz w:val="21"/>
              </w:rPr>
              <w:t>不能完成大部分的日常工作和活动）并且符合下列所有条件：</w:t>
            </w:r>
          </w:p>
          <w:p>
            <w:pPr>
              <w:pStyle w:val="TableParagraph"/>
              <w:numPr>
                <w:ilvl w:val="0"/>
                <w:numId w:val="18"/>
              </w:numPr>
              <w:tabs>
                <w:tab w:pos="880" w:val="left" w:leader="none"/>
                <w:tab w:pos="881" w:val="left" w:leader="none"/>
              </w:tabs>
              <w:spacing w:line="240" w:lineRule="auto" w:before="37" w:after="0"/>
              <w:ind w:left="880" w:right="0" w:hanging="360"/>
              <w:jc w:val="left"/>
              <w:rPr>
                <w:sz w:val="21"/>
              </w:rPr>
            </w:pPr>
            <w:r>
              <w:rPr>
                <w:sz w:val="21"/>
              </w:rPr>
              <w:t>晨僵</w:t>
            </w:r>
          </w:p>
        </w:tc>
      </w:tr>
      <w:tr>
        <w:trPr>
          <w:trHeight w:val="552" w:hRule="atLeast"/>
        </w:trPr>
        <w:tc>
          <w:tcPr>
            <w:tcW w:w="791" w:type="dxa"/>
          </w:tcPr>
          <w:p>
            <w:pPr>
              <w:pStyle w:val="TableParagraph"/>
              <w:rPr>
                <w:rFonts w:ascii="Times New Roman"/>
                <w:sz w:val="20"/>
              </w:rPr>
            </w:pPr>
          </w:p>
        </w:tc>
        <w:tc>
          <w:tcPr>
            <w:tcW w:w="1650" w:type="dxa"/>
          </w:tcPr>
          <w:p>
            <w:pPr>
              <w:pStyle w:val="TableParagraph"/>
              <w:rPr>
                <w:rFonts w:ascii="Times New Roman"/>
                <w:sz w:val="20"/>
              </w:rPr>
            </w:pPr>
          </w:p>
        </w:tc>
        <w:tc>
          <w:tcPr>
            <w:tcW w:w="6825" w:type="dxa"/>
          </w:tcPr>
          <w:p>
            <w:pPr>
              <w:pStyle w:val="TableParagraph"/>
              <w:numPr>
                <w:ilvl w:val="0"/>
                <w:numId w:val="19"/>
              </w:numPr>
              <w:tabs>
                <w:tab w:pos="880" w:val="left" w:leader="none"/>
                <w:tab w:pos="881" w:val="left" w:leader="none"/>
              </w:tabs>
              <w:spacing w:line="240" w:lineRule="auto" w:before="100" w:after="0"/>
              <w:ind w:left="880" w:right="0" w:hanging="360"/>
              <w:jc w:val="left"/>
              <w:rPr>
                <w:sz w:val="21"/>
              </w:rPr>
            </w:pPr>
            <w:r>
              <w:rPr>
                <w:sz w:val="21"/>
              </w:rPr>
              <w:t>对称性关节炎</w:t>
            </w:r>
          </w:p>
        </w:tc>
      </w:tr>
      <w:tr>
        <w:trPr>
          <w:trHeight w:val="552" w:hRule="atLeast"/>
        </w:trPr>
        <w:tc>
          <w:tcPr>
            <w:tcW w:w="791" w:type="dxa"/>
          </w:tcPr>
          <w:p>
            <w:pPr>
              <w:pStyle w:val="TableParagraph"/>
              <w:rPr>
                <w:rFonts w:ascii="Times New Roman"/>
                <w:sz w:val="20"/>
              </w:rPr>
            </w:pPr>
          </w:p>
        </w:tc>
        <w:tc>
          <w:tcPr>
            <w:tcW w:w="1650" w:type="dxa"/>
          </w:tcPr>
          <w:p>
            <w:pPr>
              <w:pStyle w:val="TableParagraph"/>
              <w:rPr>
                <w:rFonts w:ascii="Times New Roman"/>
                <w:sz w:val="20"/>
              </w:rPr>
            </w:pPr>
          </w:p>
        </w:tc>
        <w:tc>
          <w:tcPr>
            <w:tcW w:w="6825" w:type="dxa"/>
          </w:tcPr>
          <w:p>
            <w:pPr>
              <w:pStyle w:val="TableParagraph"/>
              <w:numPr>
                <w:ilvl w:val="0"/>
                <w:numId w:val="20"/>
              </w:numPr>
              <w:tabs>
                <w:tab w:pos="880" w:val="left" w:leader="none"/>
                <w:tab w:pos="881" w:val="left" w:leader="none"/>
              </w:tabs>
              <w:spacing w:line="240" w:lineRule="auto" w:before="100" w:after="0"/>
              <w:ind w:left="880" w:right="0" w:hanging="360"/>
              <w:jc w:val="left"/>
              <w:rPr>
                <w:sz w:val="21"/>
              </w:rPr>
            </w:pPr>
            <w:r>
              <w:rPr>
                <w:sz w:val="21"/>
              </w:rPr>
              <w:t>类风湿性皮下结节</w:t>
            </w:r>
          </w:p>
        </w:tc>
      </w:tr>
      <w:tr>
        <w:trPr>
          <w:trHeight w:val="539" w:hRule="atLeast"/>
        </w:trPr>
        <w:tc>
          <w:tcPr>
            <w:tcW w:w="791" w:type="dxa"/>
          </w:tcPr>
          <w:p>
            <w:pPr>
              <w:pStyle w:val="TableParagraph"/>
              <w:rPr>
                <w:rFonts w:ascii="Times New Roman"/>
                <w:sz w:val="20"/>
              </w:rPr>
            </w:pPr>
          </w:p>
        </w:tc>
        <w:tc>
          <w:tcPr>
            <w:tcW w:w="1650" w:type="dxa"/>
          </w:tcPr>
          <w:p>
            <w:pPr>
              <w:pStyle w:val="TableParagraph"/>
              <w:rPr>
                <w:rFonts w:ascii="Times New Roman"/>
                <w:sz w:val="20"/>
              </w:rPr>
            </w:pPr>
          </w:p>
        </w:tc>
        <w:tc>
          <w:tcPr>
            <w:tcW w:w="6825" w:type="dxa"/>
          </w:tcPr>
          <w:p>
            <w:pPr>
              <w:pStyle w:val="TableParagraph"/>
              <w:numPr>
                <w:ilvl w:val="0"/>
                <w:numId w:val="21"/>
              </w:numPr>
              <w:tabs>
                <w:tab w:pos="880" w:val="left" w:leader="none"/>
                <w:tab w:pos="881" w:val="left" w:leader="none"/>
              </w:tabs>
              <w:spacing w:line="240" w:lineRule="auto" w:before="100" w:after="0"/>
              <w:ind w:left="880" w:right="0" w:hanging="360"/>
              <w:jc w:val="left"/>
              <w:rPr>
                <w:sz w:val="21"/>
              </w:rPr>
            </w:pPr>
            <w:r>
              <w:rPr>
                <w:sz w:val="21"/>
              </w:rPr>
              <w:t>类风湿因子滴度升高</w:t>
            </w:r>
          </w:p>
        </w:tc>
      </w:tr>
      <w:tr>
        <w:trPr>
          <w:trHeight w:val="681" w:hRule="atLeast"/>
        </w:trPr>
        <w:tc>
          <w:tcPr>
            <w:tcW w:w="791" w:type="dxa"/>
          </w:tcPr>
          <w:p>
            <w:pPr>
              <w:pStyle w:val="TableParagraph"/>
              <w:rPr>
                <w:rFonts w:ascii="Times New Roman"/>
                <w:sz w:val="20"/>
              </w:rPr>
            </w:pPr>
          </w:p>
        </w:tc>
        <w:tc>
          <w:tcPr>
            <w:tcW w:w="1650" w:type="dxa"/>
          </w:tcPr>
          <w:p>
            <w:pPr>
              <w:pStyle w:val="TableParagraph"/>
              <w:rPr>
                <w:rFonts w:ascii="Times New Roman"/>
                <w:sz w:val="20"/>
              </w:rPr>
            </w:pPr>
          </w:p>
        </w:tc>
        <w:tc>
          <w:tcPr>
            <w:tcW w:w="6825" w:type="dxa"/>
          </w:tcPr>
          <w:p>
            <w:pPr>
              <w:pStyle w:val="TableParagraph"/>
              <w:numPr>
                <w:ilvl w:val="0"/>
                <w:numId w:val="22"/>
              </w:numPr>
              <w:tabs>
                <w:tab w:pos="880" w:val="left" w:leader="none"/>
                <w:tab w:pos="881" w:val="left" w:leader="none"/>
              </w:tabs>
              <w:spacing w:line="240" w:lineRule="auto" w:before="115" w:after="0"/>
              <w:ind w:left="880" w:right="0" w:hanging="360"/>
              <w:jc w:val="left"/>
              <w:rPr>
                <w:sz w:val="21"/>
              </w:rPr>
            </w:pPr>
            <w:r>
              <w:rPr>
                <w:rFonts w:ascii="Times New Roman" w:eastAsia="Times New Roman"/>
                <w:sz w:val="21"/>
              </w:rPr>
              <w:t>X</w:t>
            </w:r>
            <w:r>
              <w:rPr>
                <w:rFonts w:ascii="Times New Roman" w:eastAsia="Times New Roman"/>
                <w:spacing w:val="-2"/>
                <w:sz w:val="21"/>
              </w:rPr>
              <w:t> </w:t>
            </w:r>
            <w:r>
              <w:rPr>
                <w:sz w:val="21"/>
              </w:rPr>
              <w:t>线显示严重的关节（软骨和骨）破坏和关节畸形</w:t>
            </w:r>
          </w:p>
        </w:tc>
      </w:tr>
      <w:tr>
        <w:trPr>
          <w:trHeight w:val="540" w:hRule="atLeast"/>
        </w:trPr>
        <w:tc>
          <w:tcPr>
            <w:tcW w:w="791" w:type="dxa"/>
          </w:tcPr>
          <w:p>
            <w:pPr>
              <w:pStyle w:val="TableParagraph"/>
              <w:spacing w:before="2"/>
              <w:rPr>
                <w:sz w:val="15"/>
              </w:rPr>
            </w:pPr>
          </w:p>
          <w:p>
            <w:pPr>
              <w:pStyle w:val="TableParagraph"/>
              <w:ind w:left="50"/>
              <w:rPr>
                <w:i/>
                <w:sz w:val="22"/>
              </w:rPr>
            </w:pPr>
            <w:r>
              <w:rPr>
                <w:i/>
                <w:sz w:val="22"/>
              </w:rPr>
              <w:t>3.1.31</w:t>
            </w:r>
          </w:p>
        </w:tc>
        <w:tc>
          <w:tcPr>
            <w:tcW w:w="1650" w:type="dxa"/>
          </w:tcPr>
          <w:p>
            <w:pPr>
              <w:pStyle w:val="TableParagraph"/>
              <w:spacing w:before="3"/>
              <w:rPr>
                <w:sz w:val="15"/>
              </w:rPr>
            </w:pPr>
          </w:p>
          <w:p>
            <w:pPr>
              <w:pStyle w:val="TableParagraph"/>
              <w:ind w:left="109"/>
              <w:rPr>
                <w:i/>
                <w:sz w:val="22"/>
              </w:rPr>
            </w:pPr>
            <w:r>
              <w:rPr>
                <w:i/>
                <w:w w:val="95"/>
                <w:sz w:val="22"/>
              </w:rPr>
              <w:t>严重狼疮性肾炎</w:t>
            </w:r>
          </w:p>
        </w:tc>
        <w:tc>
          <w:tcPr>
            <w:tcW w:w="6825" w:type="dxa"/>
          </w:tcPr>
          <w:p>
            <w:pPr>
              <w:pStyle w:val="TableParagraph"/>
              <w:rPr>
                <w:sz w:val="16"/>
              </w:rPr>
            </w:pPr>
          </w:p>
          <w:p>
            <w:pPr>
              <w:pStyle w:val="TableParagraph"/>
              <w:spacing w:before="1"/>
              <w:ind w:left="70"/>
              <w:rPr>
                <w:sz w:val="21"/>
              </w:rPr>
            </w:pPr>
            <w:r>
              <w:rPr>
                <w:sz w:val="21"/>
              </w:rPr>
              <w:t>系统性红斑狼疮是由多种因素引起，累及多系统的自身免疫性疾病。其特</w:t>
            </w:r>
          </w:p>
        </w:tc>
      </w:tr>
      <w:tr>
        <w:trPr>
          <w:trHeight w:val="310" w:hRule="atLeast"/>
        </w:trPr>
        <w:tc>
          <w:tcPr>
            <w:tcW w:w="2441" w:type="dxa"/>
            <w:gridSpan w:val="2"/>
            <w:vMerge w:val="restart"/>
          </w:tcPr>
          <w:p>
            <w:pPr>
              <w:pStyle w:val="TableParagraph"/>
              <w:rPr>
                <w:rFonts w:ascii="Times New Roman"/>
                <w:sz w:val="20"/>
              </w:rPr>
            </w:pPr>
          </w:p>
        </w:tc>
        <w:tc>
          <w:tcPr>
            <w:tcW w:w="6825" w:type="dxa"/>
          </w:tcPr>
          <w:p>
            <w:pPr>
              <w:pStyle w:val="TableParagraph"/>
              <w:spacing w:line="257" w:lineRule="exact"/>
              <w:ind w:left="70"/>
              <w:rPr>
                <w:sz w:val="21"/>
              </w:rPr>
            </w:pPr>
            <w:r>
              <w:rPr>
                <w:sz w:val="21"/>
              </w:rPr>
              <w:t>点是生成自身抗体对抗多种自身抗原。多见于育龄妇女。</w:t>
            </w:r>
          </w:p>
        </w:tc>
      </w:tr>
      <w:tr>
        <w:trPr>
          <w:trHeight w:val="311" w:hRule="atLeast"/>
        </w:trPr>
        <w:tc>
          <w:tcPr>
            <w:tcW w:w="2441" w:type="dxa"/>
            <w:gridSpan w:val="2"/>
            <w:vMerge/>
            <w:tcBorders>
              <w:top w:val="nil"/>
            </w:tcBorders>
          </w:tcPr>
          <w:p>
            <w:pPr>
              <w:rPr>
                <w:sz w:val="2"/>
                <w:szCs w:val="2"/>
              </w:rPr>
            </w:pPr>
          </w:p>
        </w:tc>
        <w:tc>
          <w:tcPr>
            <w:tcW w:w="6825" w:type="dxa"/>
          </w:tcPr>
          <w:p>
            <w:pPr>
              <w:pStyle w:val="TableParagraph"/>
              <w:spacing w:line="258" w:lineRule="exact"/>
              <w:ind w:left="70"/>
              <w:rPr>
                <w:sz w:val="21"/>
              </w:rPr>
            </w:pPr>
            <w:r>
              <w:rPr>
                <w:sz w:val="21"/>
              </w:rPr>
              <w:t>本保单所指的系统性红斑狼疮仅限于累及肾脏（经肾脏活检确认的，符合</w:t>
            </w:r>
          </w:p>
        </w:tc>
      </w:tr>
      <w:tr>
        <w:trPr>
          <w:trHeight w:val="311" w:hRule="atLeast"/>
        </w:trPr>
        <w:tc>
          <w:tcPr>
            <w:tcW w:w="2441" w:type="dxa"/>
            <w:gridSpan w:val="2"/>
            <w:vMerge/>
            <w:tcBorders>
              <w:top w:val="nil"/>
            </w:tcBorders>
          </w:tcPr>
          <w:p>
            <w:pPr>
              <w:rPr>
                <w:sz w:val="2"/>
                <w:szCs w:val="2"/>
              </w:rPr>
            </w:pPr>
          </w:p>
        </w:tc>
        <w:tc>
          <w:tcPr>
            <w:tcW w:w="6825" w:type="dxa"/>
          </w:tcPr>
          <w:p>
            <w:pPr>
              <w:pStyle w:val="TableParagraph"/>
              <w:spacing w:line="258" w:lineRule="exact"/>
              <w:ind w:left="70"/>
              <w:rPr>
                <w:sz w:val="21"/>
              </w:rPr>
            </w:pPr>
            <w:r>
              <w:rPr>
                <w:sz w:val="21"/>
              </w:rPr>
              <w:t>WHO</w:t>
            </w:r>
            <w:r>
              <w:rPr>
                <w:spacing w:val="-15"/>
                <w:sz w:val="21"/>
              </w:rPr>
              <w:t> 诊断标准定义 </w:t>
            </w:r>
            <w:r>
              <w:rPr>
                <w:sz w:val="21"/>
              </w:rPr>
              <w:t>III</w:t>
            </w:r>
            <w:r>
              <w:rPr>
                <w:spacing w:val="-28"/>
                <w:sz w:val="21"/>
              </w:rPr>
              <w:t> 型至 </w:t>
            </w:r>
            <w:r>
              <w:rPr>
                <w:sz w:val="21"/>
              </w:rPr>
              <w:t>V</w:t>
            </w:r>
            <w:r>
              <w:rPr>
                <w:spacing w:val="-9"/>
                <w:sz w:val="21"/>
              </w:rPr>
              <w:t> 型狼疮性肾炎</w:t>
            </w:r>
            <w:r>
              <w:rPr>
                <w:sz w:val="21"/>
              </w:rPr>
              <w:t>）的系统性红斑狼疮。其他类</w:t>
            </w:r>
          </w:p>
        </w:tc>
      </w:tr>
      <w:tr>
        <w:trPr>
          <w:trHeight w:val="311" w:hRule="atLeast"/>
        </w:trPr>
        <w:tc>
          <w:tcPr>
            <w:tcW w:w="2441" w:type="dxa"/>
            <w:gridSpan w:val="2"/>
            <w:vMerge/>
            <w:tcBorders>
              <w:top w:val="nil"/>
            </w:tcBorders>
          </w:tcPr>
          <w:p>
            <w:pPr>
              <w:rPr>
                <w:sz w:val="2"/>
                <w:szCs w:val="2"/>
              </w:rPr>
            </w:pPr>
          </w:p>
        </w:tc>
        <w:tc>
          <w:tcPr>
            <w:tcW w:w="6825" w:type="dxa"/>
          </w:tcPr>
          <w:p>
            <w:pPr>
              <w:pStyle w:val="TableParagraph"/>
              <w:spacing w:line="258" w:lineRule="exact"/>
              <w:ind w:left="70"/>
              <w:rPr>
                <w:sz w:val="21"/>
              </w:rPr>
            </w:pPr>
            <w:r>
              <w:rPr>
                <w:sz w:val="21"/>
              </w:rPr>
              <w:t>型的红斑性狼疮，如盘状狼疮、仅累及血液及关节的狼疮不在本保单保障</w:t>
            </w:r>
          </w:p>
        </w:tc>
      </w:tr>
      <w:tr>
        <w:trPr>
          <w:trHeight w:val="311" w:hRule="atLeast"/>
        </w:trPr>
        <w:tc>
          <w:tcPr>
            <w:tcW w:w="2441" w:type="dxa"/>
            <w:gridSpan w:val="2"/>
            <w:vMerge/>
            <w:tcBorders>
              <w:top w:val="nil"/>
            </w:tcBorders>
          </w:tcPr>
          <w:p>
            <w:pPr>
              <w:rPr>
                <w:sz w:val="2"/>
                <w:szCs w:val="2"/>
              </w:rPr>
            </w:pPr>
          </w:p>
        </w:tc>
        <w:tc>
          <w:tcPr>
            <w:tcW w:w="6825" w:type="dxa"/>
          </w:tcPr>
          <w:p>
            <w:pPr>
              <w:pStyle w:val="TableParagraph"/>
              <w:spacing w:line="258" w:lineRule="exact"/>
              <w:ind w:left="70"/>
              <w:rPr>
                <w:sz w:val="21"/>
              </w:rPr>
            </w:pPr>
            <w:r>
              <w:rPr>
                <w:sz w:val="21"/>
              </w:rPr>
              <w:t>范围內。</w:t>
            </w:r>
          </w:p>
        </w:tc>
      </w:tr>
      <w:tr>
        <w:trPr>
          <w:trHeight w:val="467" w:hRule="atLeast"/>
        </w:trPr>
        <w:tc>
          <w:tcPr>
            <w:tcW w:w="2441" w:type="dxa"/>
            <w:gridSpan w:val="2"/>
            <w:vMerge/>
            <w:tcBorders>
              <w:top w:val="nil"/>
            </w:tcBorders>
          </w:tcPr>
          <w:p>
            <w:pPr>
              <w:rPr>
                <w:sz w:val="2"/>
                <w:szCs w:val="2"/>
              </w:rPr>
            </w:pPr>
          </w:p>
        </w:tc>
        <w:tc>
          <w:tcPr>
            <w:tcW w:w="6825" w:type="dxa"/>
          </w:tcPr>
          <w:p>
            <w:pPr>
              <w:pStyle w:val="TableParagraph"/>
              <w:spacing w:line="258" w:lineRule="exact"/>
              <w:ind w:left="70"/>
              <w:rPr>
                <w:sz w:val="21"/>
              </w:rPr>
            </w:pPr>
            <w:r>
              <w:rPr>
                <w:sz w:val="21"/>
              </w:rPr>
              <w:t>本病必须由免疫和风湿科专家医师确诊。</w:t>
            </w:r>
          </w:p>
        </w:tc>
      </w:tr>
      <w:tr>
        <w:trPr>
          <w:trHeight w:val="416" w:hRule="atLeast"/>
        </w:trPr>
        <w:tc>
          <w:tcPr>
            <w:tcW w:w="2441" w:type="dxa"/>
            <w:gridSpan w:val="2"/>
            <w:vMerge/>
            <w:tcBorders>
              <w:top w:val="nil"/>
            </w:tcBorders>
          </w:tcPr>
          <w:p>
            <w:pPr>
              <w:rPr>
                <w:sz w:val="2"/>
                <w:szCs w:val="2"/>
              </w:rPr>
            </w:pPr>
          </w:p>
        </w:tc>
        <w:tc>
          <w:tcPr>
            <w:tcW w:w="6825" w:type="dxa"/>
          </w:tcPr>
          <w:p>
            <w:pPr>
              <w:pStyle w:val="TableParagraph"/>
              <w:spacing w:line="258" w:lineRule="exact" w:before="139"/>
              <w:ind w:left="70"/>
              <w:rPr>
                <w:sz w:val="21"/>
              </w:rPr>
            </w:pPr>
            <w:r>
              <w:rPr>
                <w:sz w:val="21"/>
              </w:rPr>
              <w:t>世界卫生组织（WHO）狼疮性肾炎分型:</w:t>
            </w:r>
          </w:p>
        </w:tc>
      </w:tr>
    </w:tbl>
    <w:p>
      <w:pPr>
        <w:pStyle w:val="ListParagraph"/>
        <w:numPr>
          <w:ilvl w:val="0"/>
          <w:numId w:val="23"/>
        </w:numPr>
        <w:tabs>
          <w:tab w:pos="2893" w:val="left" w:leader="none"/>
          <w:tab w:pos="5398" w:val="left" w:leader="none"/>
        </w:tabs>
        <w:spacing w:line="240" w:lineRule="auto" w:before="34" w:after="0"/>
        <w:ind w:left="2892" w:right="0" w:hanging="159"/>
        <w:jc w:val="left"/>
        <w:rPr>
          <w:sz w:val="21"/>
        </w:rPr>
      </w:pPr>
      <w:r>
        <w:rPr>
          <w:sz w:val="21"/>
        </w:rPr>
        <w:t>型（微小病变型）</w:t>
        <w:tab/>
        <w:t>镜下阴性，尿液正常</w:t>
      </w:r>
    </w:p>
    <w:p>
      <w:pPr>
        <w:pStyle w:val="ListParagraph"/>
        <w:numPr>
          <w:ilvl w:val="0"/>
          <w:numId w:val="23"/>
        </w:numPr>
        <w:tabs>
          <w:tab w:pos="2998" w:val="left" w:leader="none"/>
          <w:tab w:pos="5398" w:val="left" w:leader="none"/>
        </w:tabs>
        <w:spacing w:line="240" w:lineRule="auto" w:before="96" w:after="0"/>
        <w:ind w:left="2997" w:right="0" w:hanging="264"/>
        <w:jc w:val="left"/>
        <w:rPr>
          <w:sz w:val="21"/>
        </w:rPr>
      </w:pPr>
      <w:r>
        <w:rPr>
          <w:sz w:val="21"/>
        </w:rPr>
        <w:t>型（系膜病变型）</w:t>
        <w:tab/>
        <w:t>中度蛋白尿，偶有尿沉渣改变</w:t>
      </w:r>
    </w:p>
    <w:p>
      <w:pPr>
        <w:pStyle w:val="ListParagraph"/>
        <w:numPr>
          <w:ilvl w:val="0"/>
          <w:numId w:val="23"/>
        </w:numPr>
        <w:tabs>
          <w:tab w:pos="3103" w:val="left" w:leader="none"/>
        </w:tabs>
        <w:spacing w:line="240" w:lineRule="auto" w:before="36" w:after="0"/>
        <w:ind w:left="3102" w:right="0" w:hanging="369"/>
        <w:jc w:val="left"/>
        <w:rPr>
          <w:sz w:val="21"/>
        </w:rPr>
      </w:pPr>
      <w:r>
        <w:rPr>
          <w:spacing w:val="-106"/>
          <w:sz w:val="21"/>
        </w:rPr>
        <w:t>型</w:t>
      </w:r>
      <w:r>
        <w:rPr>
          <w:sz w:val="21"/>
        </w:rPr>
        <w:t>（局灶及节段增生型）</w:t>
      </w:r>
      <w:r>
        <w:rPr>
          <w:spacing w:val="-4"/>
          <w:sz w:val="21"/>
        </w:rPr>
        <w:t> 蛋白尿，尿沉渣改变</w:t>
      </w:r>
    </w:p>
    <w:p>
      <w:pPr>
        <w:pStyle w:val="ListParagraph"/>
        <w:numPr>
          <w:ilvl w:val="0"/>
          <w:numId w:val="23"/>
        </w:numPr>
        <w:tabs>
          <w:tab w:pos="2998" w:val="left" w:leader="none"/>
          <w:tab w:pos="5398" w:val="left" w:leader="none"/>
        </w:tabs>
        <w:spacing w:line="240" w:lineRule="auto" w:before="36" w:after="0"/>
        <w:ind w:left="2997" w:right="0" w:hanging="264"/>
        <w:jc w:val="left"/>
        <w:rPr>
          <w:sz w:val="21"/>
        </w:rPr>
      </w:pPr>
      <w:r>
        <w:rPr>
          <w:sz w:val="21"/>
        </w:rPr>
        <w:t>型（弥漫增生型）</w:t>
        <w:tab/>
        <w:t>急性肾炎伴有尿沉渣改变及／或肾病综合征</w:t>
      </w:r>
    </w:p>
    <w:p>
      <w:pPr>
        <w:pStyle w:val="ListParagraph"/>
        <w:numPr>
          <w:ilvl w:val="0"/>
          <w:numId w:val="23"/>
        </w:numPr>
        <w:tabs>
          <w:tab w:pos="2893" w:val="left" w:leader="none"/>
          <w:tab w:pos="5398" w:val="left" w:leader="none"/>
        </w:tabs>
        <w:spacing w:line="240" w:lineRule="auto" w:before="16" w:after="0"/>
        <w:ind w:left="2892" w:right="0" w:hanging="159"/>
        <w:jc w:val="left"/>
        <w:rPr>
          <w:sz w:val="21"/>
        </w:rPr>
      </w:pPr>
      <w:r>
        <w:rPr>
          <w:position w:val="2"/>
          <w:sz w:val="21"/>
        </w:rPr>
        <w:t>型（膜型）</w:t>
        <w:tab/>
      </w:r>
      <w:r>
        <w:rPr>
          <w:sz w:val="21"/>
        </w:rPr>
        <w:t>肾病综合征或重度蛋白尿</w:t>
      </w:r>
    </w:p>
    <w:p>
      <w:pPr>
        <w:pStyle w:val="BodyText"/>
        <w:spacing w:before="9"/>
        <w:rPr>
          <w:sz w:val="27"/>
        </w:rPr>
      </w:pPr>
    </w:p>
    <w:p>
      <w:pPr>
        <w:spacing w:before="0"/>
        <w:ind w:left="2715" w:right="0" w:firstLine="0"/>
        <w:jc w:val="left"/>
        <w:rPr>
          <w:sz w:val="28"/>
        </w:rPr>
      </w:pPr>
      <w:r>
        <w:rPr>
          <w:w w:val="70"/>
          <w:sz w:val="21"/>
        </w:rPr>
        <w:t>注</w:t>
      </w:r>
      <w:r>
        <w:rPr>
          <w:w w:val="70"/>
          <w:sz w:val="28"/>
        </w:rPr>
        <w:t>：</w:t>
      </w:r>
      <w:r>
        <w:rPr>
          <w:w w:val="70"/>
          <w:sz w:val="28"/>
          <w:vertAlign w:val="subscript"/>
        </w:rPr>
        <w:t>1</w:t>
      </w:r>
      <w:r>
        <w:rPr>
          <w:w w:val="70"/>
          <w:sz w:val="28"/>
          <w:vertAlign w:val="subscript"/>
        </w:rPr>
        <w:t>、六项基本日常生活活动</w:t>
      </w:r>
      <w:r>
        <w:rPr>
          <w:w w:val="70"/>
          <w:sz w:val="28"/>
          <w:vertAlign w:val="baseline"/>
        </w:rPr>
      </w:r>
    </w:p>
    <w:p>
      <w:pPr>
        <w:pStyle w:val="BodyText"/>
        <w:spacing w:before="157"/>
        <w:ind w:left="3135"/>
      </w:pPr>
      <w:r>
        <w:rPr>
          <w:spacing w:val="-9"/>
        </w:rPr>
        <w:t>六项基本日常生活活动是指：</w:t>
      </w:r>
      <w:r>
        <w:rPr/>
        <w:t>（1</w:t>
      </w:r>
      <w:r>
        <w:rPr>
          <w:spacing w:val="-8"/>
        </w:rPr>
        <w:t>）</w:t>
      </w:r>
      <w:r>
        <w:rPr>
          <w:spacing w:val="-12"/>
        </w:rPr>
        <w:t>穿衣：自己能够穿衣及脱衣；</w:t>
      </w:r>
      <w:r>
        <w:rPr/>
        <w:t>（2）</w:t>
      </w:r>
    </w:p>
    <w:p>
      <w:pPr>
        <w:spacing w:after="0"/>
        <w:sectPr>
          <w:pgSz w:w="11910" w:h="16840"/>
          <w:pgMar w:header="0" w:footer="998" w:top="1540" w:bottom="1180" w:left="1140" w:right="1240"/>
        </w:sectPr>
      </w:pPr>
    </w:p>
    <w:p>
      <w:pPr>
        <w:pStyle w:val="BodyText"/>
        <w:spacing w:line="271" w:lineRule="auto" w:before="22"/>
        <w:ind w:left="2655" w:right="217"/>
        <w:jc w:val="both"/>
      </w:pPr>
      <w:r>
        <w:rPr>
          <w:spacing w:val="-5"/>
        </w:rPr>
        <w:t>移动：自己从一个房间到另一个房间；</w:t>
      </w:r>
      <w:r>
        <w:rPr>
          <w:spacing w:val="1"/>
        </w:rPr>
        <w:t>（3）</w:t>
      </w:r>
      <w:r>
        <w:rPr>
          <w:spacing w:val="0"/>
        </w:rPr>
        <w:t>行动：自己上下床或上下轮</w:t>
      </w:r>
      <w:r>
        <w:rPr>
          <w:spacing w:val="-50"/>
        </w:rPr>
        <w:t>椅；</w:t>
      </w:r>
      <w:r>
        <w:rPr>
          <w:spacing w:val="1"/>
        </w:rPr>
        <w:t>（4）</w:t>
      </w:r>
      <w:r>
        <w:rPr>
          <w:spacing w:val="-8"/>
        </w:rPr>
        <w:t>如厕：自己控制进行大小便；</w:t>
      </w:r>
      <w:r>
        <w:rPr>
          <w:spacing w:val="1"/>
        </w:rPr>
        <w:t>（5）</w:t>
      </w:r>
      <w:r>
        <w:rPr/>
        <w:t>进食：自己从已准备好的碗</w:t>
      </w:r>
      <w:r>
        <w:rPr>
          <w:spacing w:val="-10"/>
        </w:rPr>
        <w:t>或碟中取食物放入口中；</w:t>
      </w:r>
      <w:r>
        <w:rPr/>
        <w:t>（6）</w:t>
      </w:r>
      <w:r>
        <w:rPr>
          <w:spacing w:val="-1"/>
        </w:rPr>
        <w:t>洗澡：自己进行淋浴或盆浴。</w:t>
      </w:r>
    </w:p>
    <w:p>
      <w:pPr>
        <w:pStyle w:val="BodyText"/>
        <w:spacing w:before="9"/>
        <w:ind w:left="3075"/>
      </w:pPr>
      <w:r>
        <w:rPr/>
        <w:t>2、肢体机能完全丧失</w:t>
      </w:r>
    </w:p>
    <w:p>
      <w:pPr>
        <w:pStyle w:val="BodyText"/>
        <w:spacing w:line="273" w:lineRule="auto" w:before="37"/>
        <w:ind w:left="2655" w:right="218" w:firstLine="420"/>
      </w:pPr>
      <w:r>
        <w:rPr/>
        <w:t>指肢体的三大关节中的两大关节僵硬，或不能随意识活动。肢体是指包括肩关节的整个上肢或包括髋关节的整个下肢。</w:t>
      </w:r>
    </w:p>
    <w:p>
      <w:pPr>
        <w:pStyle w:val="BodyText"/>
        <w:spacing w:before="7"/>
        <w:ind w:left="3075"/>
      </w:pPr>
      <w:r>
        <w:rPr/>
        <w:t>3、语言能力或咀嚼吞咽能力完全丧失</w:t>
      </w:r>
    </w:p>
    <w:p>
      <w:pPr>
        <w:pStyle w:val="BodyText"/>
        <w:spacing w:line="273" w:lineRule="auto" w:before="36"/>
        <w:ind w:left="2655" w:right="217" w:firstLine="420"/>
        <w:jc w:val="both"/>
      </w:pPr>
      <w:r>
        <w:rPr/>
        <w:t>语言能力完全丧失，指无法发出四种语音（包括口唇音、齿舌音、口盖音和喉头音）中的任何三种、或声带全部切除，或因大脑语言中枢受伤害而患失语症。</w:t>
      </w:r>
    </w:p>
    <w:p>
      <w:pPr>
        <w:pStyle w:val="BodyText"/>
        <w:spacing w:line="273" w:lineRule="auto" w:before="7"/>
        <w:ind w:left="2655" w:right="113" w:firstLine="421"/>
      </w:pPr>
      <w:r>
        <w:rPr/>
        <w:t>咀嚼吞咽能力完全丧失，指因牙齿以外的原因导致器质障碍或机能</w:t>
      </w:r>
      <w:r>
        <w:rPr>
          <w:spacing w:val="-5"/>
        </w:rPr>
        <w:t>障碍，以致不能作咀嚼吞咽运动，除流质食物外不能摄取或吞咽的状态。</w:t>
      </w:r>
    </w:p>
    <w:p>
      <w:pPr>
        <w:pStyle w:val="BodyText"/>
        <w:spacing w:before="7"/>
        <w:ind w:left="3075"/>
      </w:pPr>
      <w:r>
        <w:rPr/>
        <w:t>4、永久不可逆</w:t>
      </w:r>
    </w:p>
    <w:p>
      <w:pPr>
        <w:pStyle w:val="BodyText"/>
        <w:spacing w:line="273" w:lineRule="auto" w:before="36"/>
        <w:ind w:left="2655" w:right="168" w:firstLine="420"/>
      </w:pPr>
      <w:r>
        <w:rPr/>
        <w:t>指自疾病确诊或意外伤害发生之日起，经过积极治疗 180 天后，仍无法通过现有医疗手段恢复。</w:t>
      </w:r>
    </w:p>
    <w:p>
      <w:pPr>
        <w:pStyle w:val="BodyText"/>
        <w:spacing w:before="7"/>
        <w:rPr>
          <w:sz w:val="17"/>
        </w:rPr>
      </w:pPr>
    </w:p>
    <w:p>
      <w:pPr>
        <w:pStyle w:val="ListParagraph"/>
        <w:numPr>
          <w:ilvl w:val="1"/>
          <w:numId w:val="10"/>
        </w:numPr>
        <w:tabs>
          <w:tab w:pos="956" w:val="left" w:leader="none"/>
        </w:tabs>
        <w:spacing w:line="278" w:lineRule="auto" w:before="0" w:after="0"/>
        <w:ind w:left="2655" w:right="217" w:hanging="2551"/>
        <w:jc w:val="both"/>
        <w:rPr>
          <w:sz w:val="21"/>
        </w:rPr>
      </w:pPr>
      <w:r>
        <w:rPr>
          <w:b/>
          <w:spacing w:val="7"/>
          <w:sz w:val="21"/>
        </w:rPr>
        <w:t>女性特定原位癌 </w:t>
      </w:r>
      <w:r>
        <w:rPr>
          <w:sz w:val="21"/>
        </w:rPr>
        <w:t>女性特定原位癌指：乳腺、子宫颈、子宫、卵巢、输卵管、阴道、外阴部位的经组织病理检验结果确诊的原位癌。对被保险人所患癌症在被诊断时已经超越原位癌阶段者，本附加合同不赔付原位癌保险金。</w:t>
      </w:r>
    </w:p>
    <w:p>
      <w:pPr>
        <w:pStyle w:val="BodyText"/>
        <w:spacing w:before="4"/>
        <w:rPr>
          <w:sz w:val="15"/>
        </w:rPr>
      </w:pPr>
    </w:p>
    <w:p>
      <w:pPr>
        <w:pStyle w:val="ListParagraph"/>
        <w:numPr>
          <w:ilvl w:val="2"/>
          <w:numId w:val="24"/>
        </w:numPr>
        <w:tabs>
          <w:tab w:pos="956" w:val="left" w:leader="none"/>
        </w:tabs>
        <w:spacing w:line="264" w:lineRule="auto" w:before="1" w:after="0"/>
        <w:ind w:left="2655" w:right="217" w:hanging="2551"/>
        <w:jc w:val="both"/>
        <w:rPr>
          <w:sz w:val="21"/>
        </w:rPr>
      </w:pPr>
      <w:r>
        <w:rPr>
          <w:i/>
          <w:spacing w:val="1"/>
          <w:sz w:val="22"/>
        </w:rPr>
        <w:t>乳腺原位癌     </w:t>
      </w:r>
      <w:r>
        <w:rPr>
          <w:sz w:val="21"/>
        </w:rPr>
        <w:t>尚未浸润正常组织的原发性局灶性癌细胞新生物。</w:t>
      </w:r>
      <w:r>
        <w:rPr>
          <w:rFonts w:ascii="Times New Roman" w:hAnsi="Times New Roman" w:eastAsia="Times New Roman"/>
          <w:sz w:val="21"/>
        </w:rPr>
        <w:t>“</w:t>
      </w:r>
      <w:r>
        <w:rPr>
          <w:sz w:val="21"/>
        </w:rPr>
        <w:t>浸润</w:t>
      </w:r>
      <w:r>
        <w:rPr>
          <w:rFonts w:ascii="Times New Roman" w:hAnsi="Times New Roman" w:eastAsia="Times New Roman"/>
          <w:sz w:val="21"/>
        </w:rPr>
        <w:t>”</w:t>
      </w:r>
      <w:r>
        <w:rPr>
          <w:sz w:val="21"/>
        </w:rPr>
        <w:t>是指穿透基底膜并且实际破坏了基底膜以下的正常组织。乳腺原位癌的诊断必须由组织病理学报告证实。</w:t>
      </w:r>
    </w:p>
    <w:p>
      <w:pPr>
        <w:pStyle w:val="BodyText"/>
        <w:spacing w:before="4"/>
        <w:rPr>
          <w:sz w:val="17"/>
        </w:rPr>
      </w:pPr>
    </w:p>
    <w:p>
      <w:pPr>
        <w:pStyle w:val="ListParagraph"/>
        <w:numPr>
          <w:ilvl w:val="2"/>
          <w:numId w:val="24"/>
        </w:numPr>
        <w:tabs>
          <w:tab w:pos="956" w:val="left" w:leader="none"/>
        </w:tabs>
        <w:spacing w:line="271" w:lineRule="auto" w:before="0" w:after="0"/>
        <w:ind w:left="2655" w:right="212" w:hanging="2551"/>
        <w:jc w:val="both"/>
        <w:rPr>
          <w:sz w:val="21"/>
        </w:rPr>
      </w:pPr>
      <w:r>
        <w:rPr>
          <w:i/>
          <w:spacing w:val="1"/>
          <w:position w:val="3"/>
          <w:sz w:val="22"/>
        </w:rPr>
        <w:t>子宫颈原位癌   </w:t>
      </w:r>
      <w:r>
        <w:rPr>
          <w:sz w:val="21"/>
        </w:rPr>
        <w:t>尚未浸润正常组织的局灶性癌细胞新生物。</w:t>
      </w:r>
      <w:r>
        <w:rPr>
          <w:rFonts w:ascii="Times New Roman" w:hAnsi="Times New Roman" w:eastAsia="Times New Roman"/>
          <w:sz w:val="21"/>
        </w:rPr>
        <w:t>“</w:t>
      </w:r>
      <w:r>
        <w:rPr>
          <w:sz w:val="21"/>
        </w:rPr>
        <w:t>浸润</w:t>
      </w:r>
      <w:r>
        <w:rPr>
          <w:rFonts w:ascii="Times New Roman" w:hAnsi="Times New Roman" w:eastAsia="Times New Roman"/>
          <w:spacing w:val="2"/>
          <w:sz w:val="21"/>
        </w:rPr>
        <w:t>”</w:t>
      </w:r>
      <w:r>
        <w:rPr>
          <w:sz w:val="21"/>
        </w:rPr>
        <w:t>是指穿透基底膜并且实际破坏了基底膜以下的正常组织。子宫颈原位癌必须基于取自子宫颈圆锥切除活检或阴道镜子宫颈活检固定组织的显微镜检查结果诊断。子宫颈上皮内瘤样病变（</w:t>
      </w:r>
      <w:r>
        <w:rPr>
          <w:rFonts w:ascii="Times New Roman" w:hAnsi="Times New Roman" w:eastAsia="Times New Roman"/>
          <w:sz w:val="21"/>
        </w:rPr>
        <w:t>CIN</w:t>
      </w:r>
      <w:r>
        <w:rPr>
          <w:sz w:val="21"/>
        </w:rPr>
        <w:t>）</w:t>
      </w:r>
      <w:r>
        <w:rPr>
          <w:spacing w:val="-19"/>
          <w:sz w:val="21"/>
        </w:rPr>
        <w:t>分类 </w:t>
      </w:r>
      <w:r>
        <w:rPr>
          <w:rFonts w:ascii="Times New Roman" w:hAnsi="Times New Roman" w:eastAsia="Times New Roman"/>
          <w:sz w:val="21"/>
        </w:rPr>
        <w:t>CIN</w:t>
      </w:r>
      <w:r>
        <w:rPr>
          <w:rFonts w:ascii="Times New Roman" w:hAnsi="Times New Roman" w:eastAsia="Times New Roman"/>
          <w:spacing w:val="-3"/>
          <w:sz w:val="21"/>
        </w:rPr>
        <w:t> </w:t>
      </w:r>
      <w:r>
        <w:rPr>
          <w:rFonts w:ascii="Times New Roman" w:hAnsi="Times New Roman" w:eastAsia="Times New Roman"/>
          <w:sz w:val="21"/>
        </w:rPr>
        <w:t>I</w:t>
      </w:r>
      <w:r>
        <w:rPr>
          <w:sz w:val="21"/>
        </w:rPr>
        <w:t>、</w:t>
      </w:r>
      <w:r>
        <w:rPr>
          <w:rFonts w:ascii="Times New Roman" w:hAnsi="Times New Roman" w:eastAsia="Times New Roman"/>
          <w:sz w:val="21"/>
        </w:rPr>
        <w:t>CIN</w:t>
      </w:r>
      <w:r>
        <w:rPr>
          <w:rFonts w:ascii="Times New Roman" w:hAnsi="Times New Roman" w:eastAsia="Times New Roman"/>
          <w:spacing w:val="-3"/>
          <w:sz w:val="21"/>
        </w:rPr>
        <w:t> </w:t>
      </w:r>
      <w:r>
        <w:rPr>
          <w:rFonts w:ascii="Times New Roman" w:hAnsi="Times New Roman" w:eastAsia="Times New Roman"/>
          <w:sz w:val="21"/>
        </w:rPr>
        <w:t>II</w:t>
      </w:r>
      <w:r>
        <w:rPr>
          <w:rFonts w:ascii="Times New Roman" w:hAnsi="Times New Roman" w:eastAsia="Times New Roman"/>
          <w:spacing w:val="-2"/>
          <w:sz w:val="21"/>
        </w:rPr>
        <w:t> </w:t>
      </w:r>
      <w:r>
        <w:rPr>
          <w:spacing w:val="-28"/>
          <w:sz w:val="21"/>
        </w:rPr>
        <w:t>和 </w:t>
      </w:r>
      <w:r>
        <w:rPr>
          <w:rFonts w:ascii="Times New Roman" w:hAnsi="Times New Roman" w:eastAsia="Times New Roman"/>
          <w:sz w:val="21"/>
        </w:rPr>
        <w:t>CIN</w:t>
      </w:r>
      <w:r>
        <w:rPr>
          <w:rFonts w:ascii="Times New Roman" w:hAnsi="Times New Roman" w:eastAsia="Times New Roman"/>
          <w:spacing w:val="-3"/>
          <w:sz w:val="21"/>
        </w:rPr>
        <w:t> </w:t>
      </w:r>
      <w:r>
        <w:rPr>
          <w:rFonts w:ascii="Times New Roman" w:hAnsi="Times New Roman" w:eastAsia="Times New Roman"/>
          <w:sz w:val="21"/>
        </w:rPr>
        <w:t>III</w:t>
      </w:r>
      <w:r>
        <w:rPr>
          <w:sz w:val="21"/>
        </w:rPr>
        <w:t>（严重非典型增生但无原位癌）的子宫颈上皮病变不在本附加合同保障范围内。</w:t>
      </w:r>
    </w:p>
    <w:p>
      <w:pPr>
        <w:pStyle w:val="BodyText"/>
        <w:spacing w:before="10"/>
        <w:rPr>
          <w:sz w:val="15"/>
        </w:rPr>
      </w:pPr>
    </w:p>
    <w:p>
      <w:pPr>
        <w:pStyle w:val="ListParagraph"/>
        <w:numPr>
          <w:ilvl w:val="2"/>
          <w:numId w:val="24"/>
        </w:numPr>
        <w:tabs>
          <w:tab w:pos="955" w:val="left" w:leader="none"/>
          <w:tab w:pos="956" w:val="left" w:leader="none"/>
          <w:tab w:pos="2655" w:val="left" w:leader="none"/>
        </w:tabs>
        <w:spacing w:line="240" w:lineRule="auto" w:before="0" w:after="0"/>
        <w:ind w:left="2655" w:right="0" w:hanging="2551"/>
        <w:jc w:val="left"/>
        <w:rPr>
          <w:sz w:val="21"/>
        </w:rPr>
      </w:pPr>
      <w:r>
        <w:rPr>
          <w:i/>
          <w:sz w:val="22"/>
        </w:rPr>
        <w:t>子宫原位癌</w:t>
        <w:tab/>
      </w:r>
      <w:r>
        <w:rPr>
          <w:sz w:val="21"/>
        </w:rPr>
        <w:t>TNM</w:t>
      </w:r>
      <w:r>
        <w:rPr>
          <w:spacing w:val="-56"/>
          <w:sz w:val="21"/>
        </w:rPr>
        <w:t> </w:t>
      </w:r>
      <w:r>
        <w:rPr>
          <w:sz w:val="21"/>
        </w:rPr>
        <w:t>分级为</w:t>
      </w:r>
      <w:r>
        <w:rPr>
          <w:spacing w:val="-58"/>
          <w:sz w:val="21"/>
        </w:rPr>
        <w:t> </w:t>
      </w:r>
      <w:r>
        <w:rPr>
          <w:sz w:val="21"/>
        </w:rPr>
        <w:t>TisN0M0</w:t>
      </w:r>
      <w:r>
        <w:rPr>
          <w:spacing w:val="-9"/>
          <w:sz w:val="21"/>
        </w:rPr>
        <w:t> </w:t>
      </w:r>
      <w:r>
        <w:rPr>
          <w:sz w:val="21"/>
        </w:rPr>
        <w:t>或国际妇产科联合会分级</w:t>
      </w:r>
      <w:r>
        <w:rPr>
          <w:spacing w:val="-57"/>
          <w:sz w:val="21"/>
        </w:rPr>
        <w:t> </w:t>
      </w:r>
      <w:r>
        <w:rPr>
          <w:sz w:val="21"/>
        </w:rPr>
        <w:t>FIGO</w:t>
      </w:r>
      <w:r>
        <w:rPr>
          <w:spacing w:val="-9"/>
          <w:sz w:val="21"/>
        </w:rPr>
        <w:t> </w:t>
      </w:r>
      <w:r>
        <w:rPr>
          <w:sz w:val="21"/>
        </w:rPr>
        <w:t>0</w:t>
      </w:r>
      <w:r>
        <w:rPr>
          <w:spacing w:val="-56"/>
          <w:sz w:val="21"/>
        </w:rPr>
        <w:t> </w:t>
      </w:r>
      <w:r>
        <w:rPr>
          <w:sz w:val="21"/>
        </w:rPr>
        <w:t>的子宫肿瘤。</w:t>
      </w:r>
    </w:p>
    <w:p>
      <w:pPr>
        <w:pStyle w:val="BodyText"/>
        <w:spacing w:before="4"/>
        <w:rPr>
          <w:sz w:val="24"/>
        </w:rPr>
      </w:pPr>
    </w:p>
    <w:p>
      <w:pPr>
        <w:pStyle w:val="ListParagraph"/>
        <w:numPr>
          <w:ilvl w:val="2"/>
          <w:numId w:val="24"/>
        </w:numPr>
        <w:tabs>
          <w:tab w:pos="956" w:val="left" w:leader="none"/>
        </w:tabs>
        <w:spacing w:line="256" w:lineRule="auto" w:before="0" w:after="0"/>
        <w:ind w:left="2655" w:right="218" w:hanging="2551"/>
        <w:jc w:val="both"/>
        <w:rPr>
          <w:sz w:val="21"/>
        </w:rPr>
      </w:pPr>
      <w:r>
        <w:rPr>
          <w:i/>
          <w:spacing w:val="5"/>
          <w:sz w:val="22"/>
        </w:rPr>
        <w:t>卵巢原位癌    </w:t>
      </w:r>
      <w:r>
        <w:rPr>
          <w:sz w:val="21"/>
        </w:rPr>
        <w:t>肿瘤应该包膜完整，卵巢表面无肿瘤，</w:t>
      </w:r>
      <w:r>
        <w:rPr>
          <w:rFonts w:ascii="Times New Roman" w:eastAsia="Times New Roman"/>
          <w:sz w:val="21"/>
        </w:rPr>
        <w:t>TNM</w:t>
      </w:r>
      <w:r>
        <w:rPr>
          <w:rFonts w:ascii="Times New Roman" w:eastAsia="Times New Roman"/>
          <w:spacing w:val="10"/>
          <w:sz w:val="21"/>
        </w:rPr>
        <w:t> </w:t>
      </w:r>
      <w:r>
        <w:rPr>
          <w:spacing w:val="-11"/>
          <w:sz w:val="21"/>
        </w:rPr>
        <w:t>分级为 </w:t>
      </w:r>
      <w:r>
        <w:rPr>
          <w:rFonts w:ascii="Times New Roman" w:eastAsia="Times New Roman"/>
          <w:sz w:val="21"/>
        </w:rPr>
        <w:t>T1aN0M0</w:t>
      </w:r>
      <w:r>
        <w:rPr>
          <w:rFonts w:ascii="Times New Roman" w:eastAsia="Times New Roman"/>
          <w:spacing w:val="10"/>
          <w:sz w:val="21"/>
        </w:rPr>
        <w:t> </w:t>
      </w:r>
      <w:r>
        <w:rPr>
          <w:sz w:val="21"/>
        </w:rPr>
        <w:t>或国际妇</w:t>
      </w:r>
      <w:r>
        <w:rPr>
          <w:spacing w:val="-1"/>
          <w:sz w:val="21"/>
        </w:rPr>
        <w:t>产科联盟分级为 </w:t>
      </w:r>
      <w:r>
        <w:rPr>
          <w:rFonts w:ascii="Times New Roman" w:eastAsia="Times New Roman"/>
          <w:sz w:val="21"/>
        </w:rPr>
        <w:t>FIGO</w:t>
      </w:r>
      <w:r>
        <w:rPr>
          <w:rFonts w:ascii="Times New Roman" w:eastAsia="Times New Roman"/>
          <w:spacing w:val="-3"/>
          <w:sz w:val="21"/>
        </w:rPr>
        <w:t> </w:t>
      </w:r>
      <w:r>
        <w:rPr>
          <w:rFonts w:ascii="Times New Roman" w:eastAsia="Times New Roman"/>
          <w:sz w:val="21"/>
        </w:rPr>
        <w:t>1A</w:t>
      </w:r>
      <w:r>
        <w:rPr>
          <w:sz w:val="21"/>
        </w:rPr>
        <w:t>。</w:t>
      </w:r>
    </w:p>
    <w:p>
      <w:pPr>
        <w:pStyle w:val="BodyText"/>
        <w:spacing w:before="10"/>
        <w:rPr>
          <w:sz w:val="16"/>
        </w:rPr>
      </w:pPr>
    </w:p>
    <w:p>
      <w:pPr>
        <w:pStyle w:val="ListParagraph"/>
        <w:numPr>
          <w:ilvl w:val="2"/>
          <w:numId w:val="24"/>
        </w:numPr>
        <w:tabs>
          <w:tab w:pos="955" w:val="left" w:leader="none"/>
          <w:tab w:pos="956" w:val="left" w:leader="none"/>
          <w:tab w:pos="2655" w:val="left" w:leader="none"/>
        </w:tabs>
        <w:spacing w:line="240" w:lineRule="auto" w:before="0" w:after="0"/>
        <w:ind w:left="2655" w:right="0" w:hanging="2551"/>
        <w:jc w:val="left"/>
        <w:rPr>
          <w:sz w:val="21"/>
        </w:rPr>
      </w:pPr>
      <w:r>
        <w:rPr>
          <w:i/>
          <w:sz w:val="22"/>
        </w:rPr>
        <w:t>输卵管原位癌</w:t>
        <w:tab/>
      </w:r>
      <w:r>
        <w:rPr>
          <w:sz w:val="21"/>
        </w:rPr>
        <w:t>肿瘤应该局限于输卵管粘膜内，</w:t>
      </w:r>
      <w:r>
        <w:rPr>
          <w:rFonts w:ascii="Times New Roman" w:eastAsia="Times New Roman"/>
          <w:sz w:val="21"/>
        </w:rPr>
        <w:t>TNM</w:t>
      </w:r>
      <w:r>
        <w:rPr>
          <w:rFonts w:ascii="Times New Roman" w:eastAsia="Times New Roman"/>
          <w:spacing w:val="-1"/>
          <w:sz w:val="21"/>
        </w:rPr>
        <w:t> </w:t>
      </w:r>
      <w:r>
        <w:rPr>
          <w:sz w:val="21"/>
        </w:rPr>
        <w:t>分级为</w:t>
      </w:r>
      <w:r>
        <w:rPr>
          <w:spacing w:val="-54"/>
          <w:sz w:val="21"/>
        </w:rPr>
        <w:t> </w:t>
      </w:r>
      <w:r>
        <w:rPr>
          <w:rFonts w:ascii="Times New Roman" w:eastAsia="Times New Roman"/>
          <w:spacing w:val="-4"/>
          <w:sz w:val="21"/>
        </w:rPr>
        <w:t>Tis</w:t>
      </w:r>
      <w:r>
        <w:rPr>
          <w:sz w:val="21"/>
        </w:rPr>
        <w:t>。</w:t>
      </w:r>
    </w:p>
    <w:p>
      <w:pPr>
        <w:pStyle w:val="BodyText"/>
        <w:spacing w:before="1"/>
        <w:rPr>
          <w:sz w:val="18"/>
        </w:rPr>
      </w:pPr>
    </w:p>
    <w:p>
      <w:pPr>
        <w:pStyle w:val="ListParagraph"/>
        <w:numPr>
          <w:ilvl w:val="2"/>
          <w:numId w:val="24"/>
        </w:numPr>
        <w:tabs>
          <w:tab w:pos="955" w:val="left" w:leader="none"/>
          <w:tab w:pos="956" w:val="left" w:leader="none"/>
          <w:tab w:pos="2655" w:val="left" w:leader="none"/>
        </w:tabs>
        <w:spacing w:line="240" w:lineRule="auto" w:before="1" w:after="0"/>
        <w:ind w:left="2655" w:right="0" w:hanging="2551"/>
        <w:jc w:val="left"/>
        <w:rPr>
          <w:sz w:val="21"/>
        </w:rPr>
      </w:pPr>
      <w:r>
        <w:rPr>
          <w:i/>
          <w:sz w:val="22"/>
        </w:rPr>
        <w:t>阴道原位癌</w:t>
        <w:tab/>
      </w:r>
      <w:r>
        <w:rPr>
          <w:rFonts w:ascii="Times New Roman" w:eastAsia="Times New Roman"/>
          <w:sz w:val="21"/>
        </w:rPr>
        <w:t>TNM</w:t>
      </w:r>
      <w:r>
        <w:rPr>
          <w:rFonts w:ascii="Times New Roman" w:eastAsia="Times New Roman"/>
          <w:spacing w:val="-2"/>
          <w:sz w:val="21"/>
        </w:rPr>
        <w:t> </w:t>
      </w:r>
      <w:r>
        <w:rPr>
          <w:sz w:val="21"/>
        </w:rPr>
        <w:t>分级为</w:t>
      </w:r>
      <w:r>
        <w:rPr>
          <w:spacing w:val="-55"/>
          <w:sz w:val="21"/>
        </w:rPr>
        <w:t> </w:t>
      </w:r>
      <w:r>
        <w:rPr>
          <w:rFonts w:ascii="Times New Roman" w:eastAsia="Times New Roman"/>
          <w:spacing w:val="-3"/>
          <w:sz w:val="21"/>
        </w:rPr>
        <w:t>Tis</w:t>
      </w:r>
      <w:r>
        <w:rPr>
          <w:rFonts w:ascii="Times New Roman" w:eastAsia="Times New Roman"/>
          <w:spacing w:val="-2"/>
          <w:sz w:val="21"/>
        </w:rPr>
        <w:t> </w:t>
      </w:r>
      <w:r>
        <w:rPr>
          <w:sz w:val="21"/>
        </w:rPr>
        <w:t>或国际妇产科联盟分级</w:t>
      </w:r>
      <w:r>
        <w:rPr>
          <w:spacing w:val="-55"/>
          <w:sz w:val="21"/>
        </w:rPr>
        <w:t> </w:t>
      </w:r>
      <w:r>
        <w:rPr>
          <w:rFonts w:ascii="Times New Roman" w:eastAsia="Times New Roman"/>
          <w:sz w:val="21"/>
        </w:rPr>
        <w:t>FIGO</w:t>
      </w:r>
      <w:r>
        <w:rPr>
          <w:rFonts w:ascii="Times New Roman" w:eastAsia="Times New Roman"/>
          <w:spacing w:val="-3"/>
          <w:sz w:val="21"/>
        </w:rPr>
        <w:t> </w:t>
      </w:r>
      <w:r>
        <w:rPr>
          <w:rFonts w:ascii="Times New Roman" w:eastAsia="Times New Roman"/>
          <w:sz w:val="21"/>
        </w:rPr>
        <w:t>0</w:t>
      </w:r>
      <w:r>
        <w:rPr>
          <w:rFonts w:ascii="Times New Roman" w:eastAsia="Times New Roman"/>
          <w:spacing w:val="-1"/>
          <w:sz w:val="21"/>
        </w:rPr>
        <w:t> </w:t>
      </w:r>
      <w:r>
        <w:rPr>
          <w:sz w:val="21"/>
        </w:rPr>
        <w:t>的阴道肿瘤。</w:t>
      </w:r>
    </w:p>
    <w:p>
      <w:pPr>
        <w:pStyle w:val="BodyText"/>
        <w:rPr>
          <w:sz w:val="18"/>
        </w:rPr>
      </w:pPr>
    </w:p>
    <w:p>
      <w:pPr>
        <w:pStyle w:val="ListParagraph"/>
        <w:numPr>
          <w:ilvl w:val="2"/>
          <w:numId w:val="24"/>
        </w:numPr>
        <w:tabs>
          <w:tab w:pos="955" w:val="left" w:leader="none"/>
          <w:tab w:pos="956" w:val="left" w:leader="none"/>
          <w:tab w:pos="2655" w:val="left" w:leader="none"/>
        </w:tabs>
        <w:spacing w:line="240" w:lineRule="auto" w:before="1" w:after="0"/>
        <w:ind w:left="2655" w:right="0" w:hanging="2551"/>
        <w:jc w:val="left"/>
        <w:rPr>
          <w:sz w:val="21"/>
        </w:rPr>
      </w:pPr>
      <w:r>
        <w:rPr>
          <w:i/>
          <w:sz w:val="22"/>
        </w:rPr>
        <w:t>外阴原位癌</w:t>
        <w:tab/>
      </w:r>
      <w:r>
        <w:rPr>
          <w:rFonts w:ascii="Courier New" w:eastAsia="Courier New"/>
          <w:sz w:val="21"/>
        </w:rPr>
        <w:t>TNM</w:t>
      </w:r>
      <w:r>
        <w:rPr>
          <w:rFonts w:ascii="Courier New" w:eastAsia="Courier New"/>
          <w:spacing w:val="-76"/>
          <w:sz w:val="21"/>
        </w:rPr>
        <w:t> </w:t>
      </w:r>
      <w:r>
        <w:rPr>
          <w:sz w:val="21"/>
        </w:rPr>
        <w:t>分级为</w:t>
      </w:r>
      <w:r>
        <w:rPr>
          <w:spacing w:val="-55"/>
          <w:sz w:val="21"/>
        </w:rPr>
        <w:t> </w:t>
      </w:r>
      <w:r>
        <w:rPr>
          <w:rFonts w:ascii="Courier New" w:eastAsia="Courier New"/>
          <w:sz w:val="21"/>
        </w:rPr>
        <w:t>TisN0M0</w:t>
      </w:r>
      <w:r>
        <w:rPr>
          <w:rFonts w:ascii="Courier New" w:eastAsia="Courier New"/>
          <w:spacing w:val="-25"/>
          <w:sz w:val="21"/>
        </w:rPr>
        <w:t> </w:t>
      </w:r>
      <w:r>
        <w:rPr>
          <w:sz w:val="21"/>
        </w:rPr>
        <w:t>或国际妇产科联合会分级</w:t>
      </w:r>
      <w:r>
        <w:rPr>
          <w:spacing w:val="-55"/>
          <w:sz w:val="21"/>
        </w:rPr>
        <w:t> </w:t>
      </w:r>
      <w:r>
        <w:rPr>
          <w:rFonts w:ascii="Courier New" w:eastAsia="Courier New"/>
          <w:sz w:val="21"/>
        </w:rPr>
        <w:t>FIGO</w:t>
      </w:r>
      <w:r>
        <w:rPr>
          <w:rFonts w:ascii="Courier New" w:eastAsia="Courier New"/>
          <w:spacing w:val="-4"/>
          <w:sz w:val="21"/>
        </w:rPr>
        <w:t> </w:t>
      </w:r>
      <w:r>
        <w:rPr>
          <w:rFonts w:ascii="Courier New" w:eastAsia="Courier New"/>
          <w:sz w:val="21"/>
        </w:rPr>
        <w:t>0</w:t>
      </w:r>
      <w:r>
        <w:rPr>
          <w:rFonts w:ascii="Courier New" w:eastAsia="Courier New"/>
          <w:spacing w:val="-76"/>
          <w:sz w:val="21"/>
        </w:rPr>
        <w:t> </w:t>
      </w:r>
      <w:r>
        <w:rPr>
          <w:sz w:val="21"/>
        </w:rPr>
        <w:t>的外阴肿瘤。</w:t>
      </w:r>
    </w:p>
    <w:p>
      <w:pPr>
        <w:pStyle w:val="BodyText"/>
        <w:spacing w:before="12"/>
        <w:rPr>
          <w:sz w:val="14"/>
        </w:rPr>
      </w:pPr>
    </w:p>
    <w:p>
      <w:pPr>
        <w:spacing w:after="0"/>
        <w:rPr>
          <w:sz w:val="14"/>
        </w:rPr>
        <w:sectPr>
          <w:pgSz w:w="11910" w:h="16840"/>
          <w:pgMar w:header="0" w:footer="998" w:top="1460" w:bottom="1180" w:left="1200" w:right="1240"/>
        </w:sectPr>
      </w:pPr>
    </w:p>
    <w:p>
      <w:pPr>
        <w:pStyle w:val="Heading5"/>
        <w:numPr>
          <w:ilvl w:val="1"/>
          <w:numId w:val="25"/>
        </w:numPr>
        <w:tabs>
          <w:tab w:pos="955" w:val="left" w:leader="none"/>
          <w:tab w:pos="956" w:val="left" w:leader="none"/>
        </w:tabs>
        <w:spacing w:line="280" w:lineRule="auto" w:before="30" w:after="0"/>
        <w:ind w:left="955" w:right="0" w:hanging="851"/>
        <w:jc w:val="left"/>
      </w:pPr>
      <w:r>
        <w:rPr/>
        <w:t>意外伤害面部整形手术</w:t>
      </w:r>
    </w:p>
    <w:p>
      <w:pPr>
        <w:pStyle w:val="BodyText"/>
        <w:spacing w:line="273" w:lineRule="auto" w:before="35"/>
        <w:ind w:left="104" w:right="217"/>
        <w:jc w:val="both"/>
      </w:pPr>
      <w:r>
        <w:rPr/>
        <w:br w:type="column"/>
      </w:r>
      <w:r>
        <w:rPr/>
        <w:t>实际接受了在全身麻醉的情况下，由整形外科主任级医生实施的对严重缺陷、缺失、损害或变形的面部形态和结构进行修复或重建的面部整形手术，以矫正由于意外伤害造成的面部毁损。面部整形手术必须是被保险公司指定的医疗专家确认为必需施行的手术。面部整形手术必须在意外伤害后的 180 天内实施。</w:t>
      </w:r>
    </w:p>
    <w:p>
      <w:pPr>
        <w:spacing w:after="0" w:line="273" w:lineRule="auto"/>
        <w:jc w:val="both"/>
        <w:sectPr>
          <w:type w:val="continuous"/>
          <w:pgSz w:w="11910" w:h="16840"/>
          <w:pgMar w:top="560" w:bottom="280" w:left="1200" w:right="1240"/>
          <w:cols w:num="2" w:equalWidth="0">
            <w:col w:w="2442" w:space="109"/>
            <w:col w:w="6919"/>
          </w:cols>
        </w:sectPr>
      </w:pPr>
    </w:p>
    <w:p>
      <w:pPr>
        <w:pStyle w:val="BodyText"/>
        <w:spacing w:line="271" w:lineRule="auto" w:before="22"/>
        <w:ind w:left="2775" w:right="296"/>
      </w:pPr>
      <w:r>
        <w:rPr/>
        <w:t>面部毁损必须为由意外伤害为直接和单独的原因引起的并且造成表面可视性伤口和面部骨结构损害的，或面部皮肤三度或全层意外烧伤。</w:t>
      </w:r>
    </w:p>
    <w:p>
      <w:pPr>
        <w:pStyle w:val="BodyText"/>
        <w:spacing w:before="7"/>
        <w:rPr>
          <w:sz w:val="16"/>
        </w:rPr>
      </w:pPr>
    </w:p>
    <w:p>
      <w:pPr>
        <w:pStyle w:val="ListParagraph"/>
        <w:numPr>
          <w:ilvl w:val="1"/>
          <w:numId w:val="25"/>
        </w:numPr>
        <w:tabs>
          <w:tab w:pos="1075" w:val="left" w:leader="none"/>
          <w:tab w:pos="1076" w:val="left" w:leader="none"/>
          <w:tab w:pos="2775" w:val="left" w:leader="none"/>
        </w:tabs>
        <w:spacing w:line="240" w:lineRule="auto" w:before="0" w:after="0"/>
        <w:ind w:left="1075" w:right="0" w:hanging="851"/>
        <w:jc w:val="left"/>
        <w:rPr>
          <w:sz w:val="21"/>
        </w:rPr>
      </w:pPr>
      <w:r>
        <w:rPr>
          <w:b/>
          <w:position w:val="-4"/>
          <w:sz w:val="21"/>
        </w:rPr>
        <w:t>女性特定手术</w:t>
        <w:tab/>
      </w:r>
      <w:r>
        <w:rPr>
          <w:sz w:val="21"/>
        </w:rPr>
        <w:t>女性特定手术指：全乳房切除术,</w:t>
      </w:r>
      <w:r>
        <w:rPr>
          <w:spacing w:val="-29"/>
          <w:sz w:val="21"/>
        </w:rPr>
        <w:t> </w:t>
      </w:r>
      <w:r>
        <w:rPr>
          <w:sz w:val="21"/>
        </w:rPr>
        <w:t>子宫切除术,双侧卵巢切除术。</w:t>
      </w:r>
    </w:p>
    <w:p>
      <w:pPr>
        <w:pStyle w:val="BodyText"/>
        <w:spacing w:before="2"/>
        <w:rPr>
          <w:sz w:val="22"/>
        </w:rPr>
      </w:pPr>
    </w:p>
    <w:p>
      <w:pPr>
        <w:pStyle w:val="ListParagraph"/>
        <w:numPr>
          <w:ilvl w:val="2"/>
          <w:numId w:val="25"/>
        </w:numPr>
        <w:tabs>
          <w:tab w:pos="1076" w:val="left" w:leader="none"/>
        </w:tabs>
        <w:spacing w:line="271" w:lineRule="auto" w:before="1" w:after="0"/>
        <w:ind w:left="2775" w:right="217" w:hanging="2551"/>
        <w:jc w:val="both"/>
        <w:rPr>
          <w:sz w:val="21"/>
        </w:rPr>
      </w:pPr>
      <w:r>
        <w:rPr>
          <w:i/>
          <w:sz w:val="22"/>
        </w:rPr>
        <w:t>全乳房切除术   </w:t>
      </w:r>
      <w:r>
        <w:rPr>
          <w:sz w:val="21"/>
        </w:rPr>
        <w:t>实际接受了由主任级医师确认为是必须的为了治疗乳腺原位癌或乳腺癌所施行的全乳房切除手术。单纯乳房肿块切除术不在本附加合同保障范围内。</w:t>
      </w:r>
    </w:p>
    <w:p>
      <w:pPr>
        <w:pStyle w:val="BodyText"/>
        <w:spacing w:before="3"/>
        <w:rPr>
          <w:sz w:val="17"/>
        </w:rPr>
      </w:pPr>
    </w:p>
    <w:p>
      <w:pPr>
        <w:pStyle w:val="ListParagraph"/>
        <w:numPr>
          <w:ilvl w:val="2"/>
          <w:numId w:val="25"/>
        </w:numPr>
        <w:tabs>
          <w:tab w:pos="1076" w:val="left" w:leader="none"/>
        </w:tabs>
        <w:spacing w:line="271" w:lineRule="auto" w:before="1" w:after="0"/>
        <w:ind w:left="2775" w:right="296" w:hanging="2551"/>
        <w:jc w:val="both"/>
        <w:rPr>
          <w:sz w:val="21"/>
        </w:rPr>
      </w:pPr>
      <w:r>
        <w:rPr>
          <w:i/>
          <w:spacing w:val="5"/>
          <w:sz w:val="22"/>
        </w:rPr>
        <w:t>子宫切除术    </w:t>
      </w:r>
      <w:r>
        <w:rPr>
          <w:sz w:val="21"/>
        </w:rPr>
        <w:t>被保险人在满40岁以后根据妇产科主任级医生的建议而实际接受了子宫切除手术（子宫全切手术或者子宫次全切手术），同时必须符合下列条件之一：</w:t>
      </w:r>
    </w:p>
    <w:p>
      <w:pPr>
        <w:pStyle w:val="BodyText"/>
        <w:tabs>
          <w:tab w:pos="3765" w:val="left" w:leader="none"/>
        </w:tabs>
        <w:spacing w:before="10"/>
        <w:ind w:left="3135"/>
      </w:pPr>
      <w:r>
        <w:rPr/>
        <w:t>1、</w:t>
        <w:tab/>
      </w:r>
      <w:r>
        <w:rPr>
          <w:spacing w:val="-1"/>
        </w:rPr>
        <w:t>月经</w:t>
      </w:r>
      <w:r>
        <w:rPr/>
        <w:t>过多引起贫血（血色素少于9.5g/dl）；</w:t>
      </w:r>
    </w:p>
    <w:p>
      <w:pPr>
        <w:pStyle w:val="BodyText"/>
        <w:tabs>
          <w:tab w:pos="3765" w:val="left" w:leader="none"/>
        </w:tabs>
        <w:spacing w:before="37"/>
        <w:ind w:left="3135"/>
      </w:pPr>
      <w:r>
        <w:rPr/>
        <w:t>2、</w:t>
        <w:tab/>
      </w:r>
      <w:r>
        <w:rPr>
          <w:spacing w:val="-1"/>
        </w:rPr>
        <w:t>子宫</w:t>
      </w:r>
      <w:r>
        <w:rPr/>
        <w:t>恶性肿瘤;</w:t>
      </w:r>
    </w:p>
    <w:p>
      <w:pPr>
        <w:pStyle w:val="BodyText"/>
        <w:tabs>
          <w:tab w:pos="3765" w:val="left" w:leader="none"/>
        </w:tabs>
        <w:spacing w:before="37"/>
        <w:ind w:left="3135"/>
      </w:pPr>
      <w:r>
        <w:rPr/>
        <w:t>3、</w:t>
        <w:tab/>
      </w:r>
      <w:r>
        <w:rPr>
          <w:spacing w:val="-1"/>
        </w:rPr>
        <w:t>子宫</w:t>
      </w:r>
      <w:r>
        <w:rPr/>
        <w:t>肌瘤，且有影像学证据（术后病理证据亦可）；</w:t>
      </w:r>
    </w:p>
    <w:p>
      <w:pPr>
        <w:pStyle w:val="BodyText"/>
        <w:spacing w:line="273" w:lineRule="auto" w:before="37"/>
        <w:ind w:left="2775" w:right="114"/>
      </w:pPr>
      <w:r>
        <w:rPr/>
        <w:t>其他原因导致子宫切除均不在本保障范围之内，如因控制生育、治疗宫</w:t>
      </w:r>
      <w:r>
        <w:rPr>
          <w:spacing w:val="-9"/>
        </w:rPr>
        <w:t>颈炎、治疗子宫原位癌</w:t>
      </w:r>
      <w:r>
        <w:rPr/>
        <w:t>（</w:t>
      </w:r>
      <w:r>
        <w:rPr>
          <w:spacing w:val="-6"/>
        </w:rPr>
        <w:t>包括宫体、宫颈原位癌</w:t>
      </w:r>
      <w:r>
        <w:rPr>
          <w:spacing w:val="-33"/>
        </w:rPr>
        <w:t>）</w:t>
      </w:r>
      <w:r>
        <w:rPr>
          <w:spacing w:val="-1"/>
        </w:rPr>
        <w:t>而施行的子宫切除等 。</w:t>
      </w:r>
    </w:p>
    <w:p>
      <w:pPr>
        <w:pStyle w:val="BodyText"/>
        <w:spacing w:before="8"/>
        <w:rPr>
          <w:sz w:val="16"/>
        </w:rPr>
      </w:pPr>
    </w:p>
    <w:p>
      <w:pPr>
        <w:pStyle w:val="ListParagraph"/>
        <w:numPr>
          <w:ilvl w:val="2"/>
          <w:numId w:val="25"/>
        </w:numPr>
        <w:tabs>
          <w:tab w:pos="1076" w:val="left" w:leader="none"/>
        </w:tabs>
        <w:spacing w:line="276" w:lineRule="auto" w:before="0" w:after="0"/>
        <w:ind w:left="2775" w:right="217" w:hanging="2551"/>
        <w:jc w:val="both"/>
        <w:rPr>
          <w:sz w:val="21"/>
        </w:rPr>
      </w:pPr>
      <w:r>
        <w:rPr>
          <w:i/>
          <w:position w:val="3"/>
          <w:sz w:val="22"/>
        </w:rPr>
        <w:t>双侧卵巢切除术 </w:t>
      </w:r>
      <w:r>
        <w:rPr>
          <w:sz w:val="21"/>
        </w:rPr>
        <w:t>实际接受了剖腹手术或腹腔镜手术完全彻底切除了双侧卵巢。部分卵巢切除或一侧卵巢切除不在本附加合同保障范围内。</w:t>
      </w:r>
    </w:p>
    <w:p>
      <w:pPr>
        <w:pStyle w:val="BodyText"/>
        <w:rPr>
          <w:sz w:val="20"/>
        </w:rPr>
      </w:pPr>
    </w:p>
    <w:p>
      <w:pPr>
        <w:pStyle w:val="BodyText"/>
        <w:spacing w:before="4"/>
      </w:pPr>
    </w:p>
    <w:p>
      <w:pPr>
        <w:pStyle w:val="Heading2"/>
        <w:numPr>
          <w:ilvl w:val="0"/>
          <w:numId w:val="25"/>
        </w:numPr>
        <w:tabs>
          <w:tab w:pos="1075" w:val="left" w:leader="none"/>
          <w:tab w:pos="1076" w:val="left" w:leader="none"/>
        </w:tabs>
        <w:spacing w:line="240" w:lineRule="auto" w:before="1" w:after="0"/>
        <w:ind w:left="1075" w:right="0" w:hanging="851"/>
        <w:jc w:val="left"/>
      </w:pPr>
      <w:r>
        <w:rPr>
          <w:w w:val="95"/>
        </w:rPr>
        <w:t>申请与给付保险金</w:t>
      </w:r>
    </w:p>
    <w:p>
      <w:pPr>
        <w:pStyle w:val="BodyText"/>
        <w:spacing w:before="3"/>
        <w:rPr>
          <w:b/>
          <w:sz w:val="10"/>
        </w:rPr>
      </w:pPr>
      <w:r>
        <w:rPr/>
        <w:pict>
          <v:group style="position:absolute;margin-left:59.82pt;margin-top:8.657110pt;width:467.85pt;height:1.45pt;mso-position-horizontal-relative:page;mso-position-vertical-relative:paragraph;z-index:1600;mso-wrap-distance-left:0;mso-wrap-distance-right:0" coordorigin="1196,173" coordsize="9357,29">
            <v:line style="position:absolute" from="1196,178" to="2047,178" stroked="true" strokeweight=".48001pt" strokecolor="#000000">
              <v:stroke dashstyle="solid"/>
            </v:line>
            <v:line style="position:absolute" from="1196,197" to="2047,197" stroked="true" strokeweight=".48001pt" strokecolor="#000000">
              <v:stroke dashstyle="solid"/>
            </v:line>
            <v:rect style="position:absolute;left:2047;top:173;width:29;height:10" filled="true" fillcolor="#000000" stroked="false">
              <v:fill type="solid"/>
            </v:rect>
            <v:rect style="position:absolute;left:2047;top:192;width:29;height:10" filled="true" fillcolor="#000000" stroked="false">
              <v:fill type="solid"/>
            </v:rect>
            <v:line style="position:absolute" from="2076,178" to="3749,178" stroked="true" strokeweight=".48001pt" strokecolor="#000000">
              <v:stroke dashstyle="solid"/>
            </v:line>
            <v:line style="position:absolute" from="2076,197" to="3749,197" stroked="true" strokeweight=".48001pt" strokecolor="#000000">
              <v:stroke dashstyle="solid"/>
            </v:line>
            <v:rect style="position:absolute;left:3748;top:173;width:29;height:10" filled="true" fillcolor="#000000" stroked="false">
              <v:fill type="solid"/>
            </v:rect>
            <v:rect style="position:absolute;left:3748;top:192;width:29;height:10" filled="true" fillcolor="#000000" stroked="false">
              <v:fill type="solid"/>
            </v:rect>
            <v:line style="position:absolute" from="3778,178" to="10553,178" stroked="true" strokeweight=".48001pt" strokecolor="#000000">
              <v:stroke dashstyle="solid"/>
            </v:line>
            <v:line style="position:absolute" from="3778,197" to="10553,197" stroked="true" strokeweight=".48001pt" strokecolor="#000000">
              <v:stroke dashstyle="solid"/>
            </v:line>
            <w10:wrap type="topAndBottom"/>
          </v:group>
        </w:pict>
      </w:r>
    </w:p>
    <w:p>
      <w:pPr>
        <w:pStyle w:val="BodyText"/>
        <w:spacing w:before="7"/>
        <w:rPr>
          <w:b/>
          <w:sz w:val="7"/>
        </w:rPr>
      </w:pPr>
    </w:p>
    <w:p>
      <w:pPr>
        <w:spacing w:after="0"/>
        <w:rPr>
          <w:sz w:val="7"/>
        </w:rPr>
        <w:sectPr>
          <w:pgSz w:w="11910" w:h="16840"/>
          <w:pgMar w:header="0" w:footer="998" w:top="1460" w:bottom="1180" w:left="1080" w:right="1240"/>
        </w:sectPr>
      </w:pPr>
    </w:p>
    <w:p>
      <w:pPr>
        <w:pStyle w:val="Heading5"/>
        <w:numPr>
          <w:ilvl w:val="1"/>
          <w:numId w:val="26"/>
        </w:numPr>
        <w:tabs>
          <w:tab w:pos="1075" w:val="left" w:leader="none"/>
          <w:tab w:pos="1076" w:val="left" w:leader="none"/>
        </w:tabs>
        <w:spacing w:line="273" w:lineRule="auto" w:before="56" w:after="0"/>
        <w:ind w:left="1075" w:right="0" w:hanging="851"/>
        <w:jc w:val="left"/>
      </w:pPr>
      <w:r>
        <w:rPr>
          <w:w w:val="95"/>
        </w:rPr>
        <w:t>受益人的指定与变更</w:t>
      </w:r>
    </w:p>
    <w:p>
      <w:pPr>
        <w:pStyle w:val="BodyText"/>
        <w:spacing w:line="237" w:lineRule="auto" w:before="39"/>
        <w:ind w:left="185" w:right="63"/>
      </w:pPr>
      <w:r>
        <w:rPr/>
        <w:br w:type="column"/>
      </w:r>
      <w:r>
        <w:rPr/>
        <w:t>除另有约定外，本附加合同重大疾病保险金、女性特定原位癌的保险金、意外伤害面部整形手术保险金、女性特定手术医疗保险金的受益人为被保险人本人。</w:t>
      </w:r>
    </w:p>
    <w:p>
      <w:pPr>
        <w:spacing w:after="0" w:line="237" w:lineRule="auto"/>
        <w:sectPr>
          <w:type w:val="continuous"/>
          <w:pgSz w:w="11910" w:h="16840"/>
          <w:pgMar w:top="560" w:bottom="280" w:left="1080" w:right="1240"/>
          <w:cols w:num="2" w:equalWidth="0">
            <w:col w:w="2551" w:space="40"/>
            <w:col w:w="6999"/>
          </w:cols>
        </w:sectPr>
      </w:pPr>
    </w:p>
    <w:p>
      <w:pPr>
        <w:pStyle w:val="BodyText"/>
        <w:spacing w:before="6"/>
        <w:rPr>
          <w:sz w:val="14"/>
        </w:rPr>
      </w:pPr>
    </w:p>
    <w:p>
      <w:pPr>
        <w:pStyle w:val="ListParagraph"/>
        <w:numPr>
          <w:ilvl w:val="1"/>
          <w:numId w:val="26"/>
        </w:numPr>
        <w:tabs>
          <w:tab w:pos="1075" w:val="left" w:leader="none"/>
          <w:tab w:pos="1076" w:val="left" w:leader="none"/>
          <w:tab w:pos="2775" w:val="left" w:leader="none"/>
        </w:tabs>
        <w:spacing w:line="220" w:lineRule="auto" w:before="55" w:after="0"/>
        <w:ind w:left="2775" w:right="217" w:hanging="2551"/>
        <w:jc w:val="left"/>
        <w:rPr>
          <w:sz w:val="21"/>
        </w:rPr>
      </w:pPr>
      <w:r>
        <w:rPr>
          <w:b/>
          <w:position w:val="-1"/>
          <w:sz w:val="21"/>
        </w:rPr>
        <w:t>保险事故的通知</w:t>
        <w:tab/>
      </w:r>
      <w:r>
        <w:rPr>
          <w:sz w:val="21"/>
        </w:rPr>
        <w:t>本合同的投保人，被保险人或受益人知道保险事故后应当在十日内通知 我们。</w:t>
      </w:r>
    </w:p>
    <w:p>
      <w:pPr>
        <w:pStyle w:val="BodyText"/>
        <w:spacing w:line="273" w:lineRule="auto" w:before="17"/>
        <w:ind w:left="2775" w:right="296"/>
        <w:jc w:val="both"/>
      </w:pPr>
      <w:r>
        <w:rPr/>
        <w:t>如果投保人，被保险人或受益人故意或者因重大过失未及时通知我们， 致使保险事故的性质、原因、损失程度等难以确定的，我们对无法确定的部分，不承担给付保险金的责任，但我们通过其他途径已经及时知道或者应当及时知道保险事故发生或者虽未及时通知但不影响我们确定保险事故的性质、原因、损失程度的除外。</w:t>
      </w:r>
    </w:p>
    <w:p>
      <w:pPr>
        <w:pStyle w:val="BodyText"/>
        <w:spacing w:before="11"/>
        <w:rPr>
          <w:sz w:val="17"/>
        </w:rPr>
      </w:pPr>
    </w:p>
    <w:p>
      <w:pPr>
        <w:pStyle w:val="ListParagraph"/>
        <w:numPr>
          <w:ilvl w:val="1"/>
          <w:numId w:val="26"/>
        </w:numPr>
        <w:tabs>
          <w:tab w:pos="1074" w:val="left" w:leader="none"/>
          <w:tab w:pos="1075" w:val="left" w:leader="none"/>
          <w:tab w:pos="2775" w:val="left" w:leader="none"/>
        </w:tabs>
        <w:spacing w:line="273" w:lineRule="auto" w:before="1" w:after="0"/>
        <w:ind w:left="2775" w:right="296" w:hanging="2551"/>
        <w:jc w:val="left"/>
        <w:rPr>
          <w:sz w:val="21"/>
        </w:rPr>
      </w:pPr>
      <w:r>
        <w:rPr>
          <w:b/>
          <w:sz w:val="21"/>
        </w:rPr>
        <w:t>诉讼时效</w:t>
        <w:tab/>
      </w:r>
      <w:r>
        <w:rPr>
          <w:sz w:val="21"/>
        </w:rPr>
        <w:t>受益人对本附加合同请求给付保险金的诉讼时效期间为两年，自其知道或者应当知道保险事故发生之日起计算。</w:t>
      </w:r>
    </w:p>
    <w:p>
      <w:pPr>
        <w:pStyle w:val="BodyText"/>
        <w:spacing w:before="3"/>
        <w:rPr>
          <w:sz w:val="15"/>
        </w:rPr>
      </w:pPr>
    </w:p>
    <w:p>
      <w:pPr>
        <w:spacing w:after="0"/>
        <w:rPr>
          <w:sz w:val="15"/>
        </w:rPr>
        <w:sectPr>
          <w:type w:val="continuous"/>
          <w:pgSz w:w="11910" w:h="16840"/>
          <w:pgMar w:top="560" w:bottom="280" w:left="1080" w:right="1240"/>
        </w:sectPr>
      </w:pPr>
    </w:p>
    <w:p>
      <w:pPr>
        <w:pStyle w:val="Heading5"/>
        <w:numPr>
          <w:ilvl w:val="1"/>
          <w:numId w:val="26"/>
        </w:numPr>
        <w:tabs>
          <w:tab w:pos="1075" w:val="left" w:leader="none"/>
          <w:tab w:pos="1076" w:val="left" w:leader="none"/>
        </w:tabs>
        <w:spacing w:line="273" w:lineRule="auto" w:before="35" w:after="0"/>
        <w:ind w:left="1075" w:right="0" w:hanging="851"/>
        <w:jc w:val="left"/>
      </w:pPr>
      <w:r>
        <w:rPr>
          <w:w w:val="95"/>
        </w:rPr>
        <w:t>申请保险金应提供的材料</w:t>
      </w:r>
    </w:p>
    <w:p>
      <w:pPr>
        <w:pStyle w:val="BodyText"/>
        <w:spacing w:line="273" w:lineRule="auto" w:before="35"/>
        <w:ind w:left="185" w:right="296"/>
      </w:pPr>
      <w:r>
        <w:rPr/>
        <w:br w:type="column"/>
      </w:r>
      <w:r>
        <w:rPr/>
        <w:t>受益人申请各项保险金时，应提供下列证明文件和资料，如果有关证明资料不完整，我们将及时一次性通知申请人补充提供。</w:t>
      </w:r>
    </w:p>
    <w:p>
      <w:pPr>
        <w:pStyle w:val="BodyText"/>
        <w:spacing w:before="32"/>
        <w:ind w:left="185"/>
      </w:pPr>
      <w:r>
        <w:rPr/>
        <w:t>1、给付申请书；</w:t>
      </w:r>
    </w:p>
    <w:p>
      <w:pPr>
        <w:pStyle w:val="BodyText"/>
        <w:spacing w:before="45"/>
        <w:ind w:left="185"/>
      </w:pPr>
      <w:r>
        <w:rPr/>
        <w:t>2、保险合同；</w:t>
      </w:r>
    </w:p>
    <w:p>
      <w:pPr>
        <w:pStyle w:val="BodyText"/>
        <w:spacing w:before="44"/>
        <w:ind w:left="185"/>
      </w:pPr>
      <w:r>
        <w:rPr/>
        <w:t>3、受益人的户籍证明及身份证明；</w:t>
      </w:r>
    </w:p>
    <w:p>
      <w:pPr>
        <w:pStyle w:val="BodyText"/>
        <w:spacing w:line="225" w:lineRule="auto" w:before="17"/>
        <w:ind w:left="185" w:right="189"/>
      </w:pPr>
      <w:r>
        <w:rPr>
          <w:rFonts w:ascii="Times New Roman" w:eastAsia="Times New Roman"/>
        </w:rPr>
        <w:t>4</w:t>
      </w:r>
      <w:r>
        <w:rPr/>
        <w:t>、由我们指定或认可医院的专科医生出具的疾病诊断书及相关所必需的检查结果证明（如病理检查报告、血液检查报告、超声波、影像学及其</w:t>
      </w:r>
    </w:p>
    <w:p>
      <w:pPr>
        <w:spacing w:after="0" w:line="225" w:lineRule="auto"/>
        <w:sectPr>
          <w:type w:val="continuous"/>
          <w:pgSz w:w="11910" w:h="16840"/>
          <w:pgMar w:top="560" w:bottom="280" w:left="1080" w:right="1240"/>
          <w:cols w:num="2" w:equalWidth="0">
            <w:col w:w="2551" w:space="40"/>
            <w:col w:w="6999"/>
          </w:cols>
        </w:sectPr>
      </w:pPr>
    </w:p>
    <w:p>
      <w:pPr>
        <w:pStyle w:val="BodyText"/>
        <w:spacing w:line="237" w:lineRule="auto" w:before="25"/>
        <w:ind w:left="2775" w:right="218"/>
      </w:pPr>
      <w:r>
        <w:rPr/>
        <w:t>它医学诊断检查报告等</w:t>
      </w:r>
      <w:r>
        <w:rPr>
          <w:spacing w:val="-106"/>
        </w:rPr>
        <w:t>）</w:t>
      </w:r>
      <w:r>
        <w:rPr>
          <w:spacing w:val="-5"/>
        </w:rPr>
        <w:t>，若接受外科手术者，还需提供外科手术证明文件；</w:t>
      </w:r>
    </w:p>
    <w:p>
      <w:pPr>
        <w:pStyle w:val="BodyText"/>
        <w:spacing w:line="237" w:lineRule="auto"/>
        <w:ind w:left="2775" w:right="217"/>
        <w:jc w:val="both"/>
      </w:pPr>
      <w:r>
        <w:rPr/>
        <w:t>5</w:t>
      </w:r>
      <w:r>
        <w:rPr>
          <w:spacing w:val="-5"/>
        </w:rPr>
        <w:t>、在申请女性特定原位癌保险金时，必须同时提供由病理科专科医生签署的固定活组织病理学检查报告和由妇科或外科主任级医师签署的临床诊断和治疗报告；</w:t>
      </w:r>
    </w:p>
    <w:p>
      <w:pPr>
        <w:pStyle w:val="BodyText"/>
        <w:spacing w:line="237" w:lineRule="auto"/>
        <w:ind w:left="2775" w:right="190"/>
      </w:pPr>
      <w:r>
        <w:rPr/>
        <w:t>6、投保人、被保险人或者受益人所能提供的与确认保险事故的性质、原因、伤害程度等有关的证明文件和资料。</w:t>
      </w:r>
    </w:p>
    <w:p>
      <w:pPr>
        <w:pStyle w:val="BodyText"/>
        <w:spacing w:line="237" w:lineRule="auto"/>
        <w:ind w:left="2775" w:right="217"/>
      </w:pPr>
      <w:r>
        <w:rPr/>
        <w:t>若受益人委托他人代为申请保险金，被委托人还应提供受益人签字的授权委托书、被委托人的身份证明等相关证明文件。</w:t>
      </w:r>
    </w:p>
    <w:p>
      <w:pPr>
        <w:pStyle w:val="BodyText"/>
        <w:spacing w:before="8"/>
        <w:rPr>
          <w:sz w:val="18"/>
        </w:rPr>
      </w:pPr>
    </w:p>
    <w:p>
      <w:pPr>
        <w:pStyle w:val="ListParagraph"/>
        <w:numPr>
          <w:ilvl w:val="1"/>
          <w:numId w:val="26"/>
        </w:numPr>
        <w:tabs>
          <w:tab w:pos="1076" w:val="left" w:leader="none"/>
        </w:tabs>
        <w:spacing w:line="273" w:lineRule="auto" w:before="1" w:after="0"/>
        <w:ind w:left="2775" w:right="217" w:hanging="2551"/>
        <w:jc w:val="both"/>
        <w:rPr>
          <w:sz w:val="21"/>
        </w:rPr>
      </w:pPr>
      <w:r>
        <w:rPr>
          <w:b/>
          <w:spacing w:val="2"/>
          <w:sz w:val="21"/>
        </w:rPr>
        <w:t>保险金的给付   </w:t>
      </w:r>
      <w:r>
        <w:rPr>
          <w:spacing w:val="6"/>
          <w:sz w:val="21"/>
        </w:rPr>
        <w:t>我们在收到保险金给付申请书及上述有关证明和资料后五日内作出核定，情形复杂的，在三十日内作出核定。对确定属于保险责任的，在与受益人达成有关给付保险金数额的协议后十日内，履行给付保险金的责</w:t>
      </w:r>
      <w:r>
        <w:rPr>
          <w:spacing w:val="-1"/>
          <w:sz w:val="21"/>
        </w:rPr>
        <w:t>任。</w:t>
      </w:r>
    </w:p>
    <w:p>
      <w:pPr>
        <w:pStyle w:val="BodyText"/>
        <w:spacing w:line="273" w:lineRule="auto" w:before="8"/>
        <w:ind w:left="2775" w:right="217"/>
      </w:pPr>
      <w:r>
        <w:rPr/>
        <w:t>本公司未及时履行前款规定义务的，除支付保险金外，应当赔偿受益人因此受到的损失。</w:t>
      </w:r>
    </w:p>
    <w:p>
      <w:pPr>
        <w:pStyle w:val="BodyText"/>
        <w:spacing w:line="273" w:lineRule="auto" w:before="8"/>
        <w:ind w:left="2775" w:right="217"/>
      </w:pPr>
      <w:r>
        <w:rPr/>
        <w:t>对不属于保险责任的，我们将在作出核定后三日内，向申请人发出拒绝给付保险金通知书，并说明理由。</w:t>
      </w:r>
    </w:p>
    <w:p>
      <w:pPr>
        <w:pStyle w:val="BodyText"/>
        <w:spacing w:line="237" w:lineRule="auto"/>
        <w:ind w:left="2775" w:right="114"/>
      </w:pPr>
      <w:r>
        <w:rPr/>
        <w:t>我们在收到保险金给付申请书及上述有关证明和资料之日起六十日内， </w:t>
      </w:r>
      <w:r>
        <w:rPr>
          <w:spacing w:val="-2"/>
        </w:rPr>
        <w:t>对属于保险责任而给付保险金的数额不能确定的，根据已有证明和资料， 按可以确定的数额先予以支付；我们最终确定给付保险金的数额后，给付相应的差额。</w:t>
      </w:r>
    </w:p>
    <w:p>
      <w:pPr>
        <w:pStyle w:val="BodyText"/>
        <w:spacing w:before="5"/>
        <w:rPr>
          <w:sz w:val="19"/>
        </w:rPr>
      </w:pPr>
    </w:p>
    <w:p>
      <w:pPr>
        <w:pStyle w:val="ListParagraph"/>
        <w:numPr>
          <w:ilvl w:val="1"/>
          <w:numId w:val="26"/>
        </w:numPr>
        <w:tabs>
          <w:tab w:pos="1075" w:val="left" w:leader="none"/>
        </w:tabs>
        <w:spacing w:line="273" w:lineRule="auto" w:before="1" w:after="0"/>
        <w:ind w:left="2775" w:right="296" w:hanging="2551"/>
        <w:jc w:val="both"/>
        <w:rPr>
          <w:sz w:val="21"/>
        </w:rPr>
      </w:pPr>
      <w:r>
        <w:rPr>
          <w:b/>
          <w:sz w:val="21"/>
        </w:rPr>
        <w:t>身体检查       </w:t>
      </w:r>
      <w:r>
        <w:rPr>
          <w:sz w:val="21"/>
        </w:rPr>
        <w:t>申请本附加合同保险金时，我们有权根据实际情况要求被保险人到我们指定的医院进行身体检查或其他必要的检验以确认保险事故的发生，费用由我们承担。如果被保险人拒绝检查、检验或检查、检验结果不符合本附加合同关于保险事故的约定，我们有权不给付保险金。</w:t>
      </w:r>
    </w:p>
    <w:p>
      <w:pPr>
        <w:pStyle w:val="BodyText"/>
        <w:rPr>
          <w:sz w:val="20"/>
        </w:rPr>
      </w:pPr>
    </w:p>
    <w:p>
      <w:pPr>
        <w:pStyle w:val="BodyText"/>
        <w:spacing w:before="12"/>
        <w:rPr>
          <w:sz w:val="22"/>
        </w:rPr>
      </w:pPr>
    </w:p>
    <w:p>
      <w:pPr>
        <w:pStyle w:val="Heading2"/>
        <w:numPr>
          <w:ilvl w:val="0"/>
          <w:numId w:val="26"/>
        </w:numPr>
        <w:tabs>
          <w:tab w:pos="1075" w:val="left" w:leader="none"/>
          <w:tab w:pos="1076" w:val="left" w:leader="none"/>
        </w:tabs>
        <w:spacing w:line="240" w:lineRule="auto" w:before="0" w:after="0"/>
        <w:ind w:left="1075" w:right="0" w:hanging="851"/>
        <w:jc w:val="left"/>
      </w:pPr>
      <w:r>
        <w:rPr>
          <w:w w:val="95"/>
        </w:rPr>
        <w:t>缴付保险费</w:t>
      </w:r>
    </w:p>
    <w:p>
      <w:pPr>
        <w:pStyle w:val="BodyText"/>
        <w:spacing w:before="2"/>
        <w:rPr>
          <w:b/>
          <w:sz w:val="10"/>
        </w:rPr>
      </w:pPr>
      <w:r>
        <w:rPr/>
        <w:pict>
          <v:group style="position:absolute;margin-left:59.82pt;margin-top:8.62453pt;width:467.85pt;height:1.45pt;mso-position-horizontal-relative:page;mso-position-vertical-relative:paragraph;z-index:1624;mso-wrap-distance-left:0;mso-wrap-distance-right:0" coordorigin="1196,172" coordsize="9357,29">
            <v:line style="position:absolute" from="1196,177" to="2047,177" stroked="true" strokeweight=".48001pt" strokecolor="#000000">
              <v:stroke dashstyle="solid"/>
            </v:line>
            <v:line style="position:absolute" from="1196,196" to="2047,196" stroked="true" strokeweight=".47998pt" strokecolor="#000000">
              <v:stroke dashstyle="solid"/>
            </v:line>
            <v:rect style="position:absolute;left:2047;top:172;width:29;height:10" filled="true" fillcolor="#000000" stroked="false">
              <v:fill type="solid"/>
            </v:rect>
            <v:rect style="position:absolute;left:2047;top:191;width:29;height:10" filled="true" fillcolor="#000000" stroked="false">
              <v:fill type="solid"/>
            </v:rect>
            <v:line style="position:absolute" from="2076,177" to="3749,177" stroked="true" strokeweight=".48001pt" strokecolor="#000000">
              <v:stroke dashstyle="solid"/>
            </v:line>
            <v:line style="position:absolute" from="2076,196" to="3749,196" stroked="true" strokeweight=".47998pt" strokecolor="#000000">
              <v:stroke dashstyle="solid"/>
            </v:line>
            <v:rect style="position:absolute;left:3748;top:172;width:29;height:10" filled="true" fillcolor="#000000" stroked="false">
              <v:fill type="solid"/>
            </v:rect>
            <v:rect style="position:absolute;left:3748;top:191;width:29;height:10" filled="true" fillcolor="#000000" stroked="false">
              <v:fill type="solid"/>
            </v:rect>
            <v:line style="position:absolute" from="3778,177" to="10553,177" stroked="true" strokeweight=".48001pt" strokecolor="#000000">
              <v:stroke dashstyle="solid"/>
            </v:line>
            <v:line style="position:absolute" from="3778,196" to="10553,196" stroked="true" strokeweight=".47998pt" strokecolor="#000000">
              <v:stroke dashstyle="solid"/>
            </v:line>
            <w10:wrap type="topAndBottom"/>
          </v:group>
        </w:pict>
      </w:r>
    </w:p>
    <w:p>
      <w:pPr>
        <w:pStyle w:val="BodyText"/>
        <w:spacing w:before="6"/>
        <w:rPr>
          <w:b/>
          <w:sz w:val="7"/>
        </w:rPr>
      </w:pPr>
    </w:p>
    <w:p>
      <w:pPr>
        <w:pStyle w:val="ListParagraph"/>
        <w:numPr>
          <w:ilvl w:val="1"/>
          <w:numId w:val="26"/>
        </w:numPr>
        <w:tabs>
          <w:tab w:pos="1075" w:val="left" w:leader="none"/>
          <w:tab w:pos="1076" w:val="left" w:leader="none"/>
          <w:tab w:pos="2775" w:val="left" w:leader="none"/>
        </w:tabs>
        <w:spacing w:line="294" w:lineRule="exact" w:before="36" w:after="0"/>
        <w:ind w:left="1075" w:right="0" w:hanging="851"/>
        <w:jc w:val="left"/>
        <w:rPr>
          <w:sz w:val="21"/>
        </w:rPr>
      </w:pPr>
      <w:r>
        <w:rPr>
          <w:b/>
          <w:position w:val="-1"/>
          <w:sz w:val="21"/>
        </w:rPr>
        <w:t>保险费的缴付</w:t>
        <w:tab/>
      </w:r>
      <w:r>
        <w:rPr>
          <w:sz w:val="21"/>
        </w:rPr>
        <w:t>投保人应向我们缴付保险费。</w:t>
      </w:r>
    </w:p>
    <w:p>
      <w:pPr>
        <w:pStyle w:val="BodyText"/>
        <w:spacing w:line="273" w:lineRule="auto"/>
        <w:ind w:left="2775" w:right="296"/>
      </w:pPr>
      <w:r>
        <w:rPr/>
        <w:t>约定分期缴付保险费的，首期后的分期保险费的缴付方式、宽限期的规定与主合同相同。</w:t>
      </w:r>
    </w:p>
    <w:p>
      <w:pPr>
        <w:pStyle w:val="BodyText"/>
        <w:spacing w:before="9"/>
        <w:rPr>
          <w:sz w:val="13"/>
        </w:rPr>
      </w:pPr>
    </w:p>
    <w:p>
      <w:pPr>
        <w:spacing w:after="0"/>
        <w:rPr>
          <w:sz w:val="13"/>
        </w:rPr>
        <w:sectPr>
          <w:pgSz w:w="11910" w:h="16840"/>
          <w:pgMar w:header="0" w:footer="998" w:top="1440" w:bottom="1180" w:left="1080" w:right="1240"/>
        </w:sectPr>
      </w:pPr>
    </w:p>
    <w:p>
      <w:pPr>
        <w:pStyle w:val="Heading5"/>
        <w:numPr>
          <w:ilvl w:val="1"/>
          <w:numId w:val="26"/>
        </w:numPr>
        <w:tabs>
          <w:tab w:pos="1075" w:val="left" w:leader="none"/>
          <w:tab w:pos="1076" w:val="left" w:leader="none"/>
        </w:tabs>
        <w:spacing w:line="273" w:lineRule="auto" w:before="56" w:after="0"/>
        <w:ind w:left="1075" w:right="0" w:hanging="851"/>
        <w:jc w:val="left"/>
      </w:pPr>
      <w:r>
        <w:rPr>
          <w:w w:val="95"/>
        </w:rPr>
        <w:t>变更为减额付清保险</w:t>
      </w:r>
    </w:p>
    <w:p>
      <w:pPr>
        <w:pStyle w:val="BodyText"/>
        <w:spacing w:line="237" w:lineRule="auto" w:before="38"/>
        <w:ind w:left="185" w:right="217"/>
        <w:jc w:val="both"/>
      </w:pPr>
      <w:r>
        <w:rPr/>
        <w:br w:type="column"/>
      </w:r>
      <w:r>
        <w:rPr/>
        <w:t>本附加合同生效一周年后且在累积有现金价值的情况下，投保人可在缴费期内的每个保险费到期日向我们书面申请将主合同及本附加合同一并变更为减额付清保险。我们以变更当时本附加合同的现金价值作为一次性付清的保险费，计算本附加合同减额付清后的保险金额。</w:t>
      </w:r>
    </w:p>
    <w:p>
      <w:pPr>
        <w:pStyle w:val="BodyText"/>
        <w:spacing w:line="237" w:lineRule="auto"/>
        <w:ind w:left="185" w:right="217"/>
        <w:jc w:val="both"/>
      </w:pPr>
      <w:r>
        <w:rPr/>
        <w:t>本附加合同变更为减额付清保险后，保险责任与变更前相同，但保险金额以变更后的为准。</w:t>
      </w:r>
    </w:p>
    <w:p>
      <w:pPr>
        <w:pStyle w:val="BodyText"/>
        <w:spacing w:line="237" w:lineRule="auto"/>
        <w:ind w:left="185" w:right="217"/>
        <w:jc w:val="both"/>
      </w:pPr>
      <w:r>
        <w:rPr/>
        <w:t>投保人申请将主合同变更为减额付清保险时，视为本附加合同也申请变更为减额付清保险。但本附加合同不得单独变更。</w:t>
      </w:r>
    </w:p>
    <w:p>
      <w:pPr>
        <w:spacing w:after="0" w:line="237" w:lineRule="auto"/>
        <w:jc w:val="both"/>
        <w:sectPr>
          <w:type w:val="continuous"/>
          <w:pgSz w:w="11910" w:h="16840"/>
          <w:pgMar w:top="560" w:bottom="280" w:left="1080" w:right="1240"/>
          <w:cols w:num="2" w:equalWidth="0">
            <w:col w:w="2551" w:space="40"/>
            <w:col w:w="6999"/>
          </w:cols>
        </w:sectPr>
      </w:pPr>
    </w:p>
    <w:p>
      <w:pPr>
        <w:pStyle w:val="BodyText"/>
        <w:rPr>
          <w:sz w:val="20"/>
        </w:rPr>
      </w:pPr>
    </w:p>
    <w:p>
      <w:pPr>
        <w:pStyle w:val="BodyText"/>
        <w:spacing w:before="8"/>
        <w:rPr>
          <w:sz w:val="22"/>
        </w:rPr>
      </w:pPr>
    </w:p>
    <w:p>
      <w:pPr>
        <w:pStyle w:val="Heading2"/>
        <w:numPr>
          <w:ilvl w:val="0"/>
          <w:numId w:val="26"/>
        </w:numPr>
        <w:tabs>
          <w:tab w:pos="1075" w:val="left" w:leader="none"/>
          <w:tab w:pos="1076" w:val="left" w:leader="none"/>
        </w:tabs>
        <w:spacing w:line="240" w:lineRule="auto" w:before="14" w:after="0"/>
        <w:ind w:left="1075" w:right="0" w:hanging="851"/>
        <w:jc w:val="left"/>
      </w:pPr>
      <w:r>
        <w:rPr>
          <w:w w:val="95"/>
        </w:rPr>
        <w:t>投保人的特别权利及相应义务</w:t>
      </w:r>
    </w:p>
    <w:p>
      <w:pPr>
        <w:pStyle w:val="BodyText"/>
        <w:spacing w:before="3"/>
        <w:rPr>
          <w:b/>
          <w:sz w:val="10"/>
        </w:rPr>
      </w:pPr>
      <w:r>
        <w:rPr/>
        <w:pict>
          <v:group style="position:absolute;margin-left:59.82pt;margin-top:8.654064pt;width:467.85pt;height:1.45pt;mso-position-horizontal-relative:page;mso-position-vertical-relative:paragraph;z-index:1648;mso-wrap-distance-left:0;mso-wrap-distance-right:0" coordorigin="1196,173" coordsize="9357,29">
            <v:line style="position:absolute" from="1196,178" to="2047,178" stroked="true" strokeweight=".47998pt" strokecolor="#000000">
              <v:stroke dashstyle="solid"/>
            </v:line>
            <v:line style="position:absolute" from="1196,197" to="2047,197" stroked="true" strokeweight=".48001pt" strokecolor="#000000">
              <v:stroke dashstyle="solid"/>
            </v:line>
            <v:rect style="position:absolute;left:2047;top:173;width:29;height:10" filled="true" fillcolor="#000000" stroked="false">
              <v:fill type="solid"/>
            </v:rect>
            <v:rect style="position:absolute;left:2047;top:192;width:29;height:10" filled="true" fillcolor="#000000" stroked="false">
              <v:fill type="solid"/>
            </v:rect>
            <v:line style="position:absolute" from="2076,178" to="3749,178" stroked="true" strokeweight=".47998pt" strokecolor="#000000">
              <v:stroke dashstyle="solid"/>
            </v:line>
            <v:line style="position:absolute" from="2076,197" to="3749,197" stroked="true" strokeweight=".48001pt" strokecolor="#000000">
              <v:stroke dashstyle="solid"/>
            </v:line>
            <v:rect style="position:absolute;left:3748;top:173;width:29;height:10" filled="true" fillcolor="#000000" stroked="false">
              <v:fill type="solid"/>
            </v:rect>
            <v:rect style="position:absolute;left:3748;top:192;width:29;height:10" filled="true" fillcolor="#000000" stroked="false">
              <v:fill type="solid"/>
            </v:rect>
            <v:line style="position:absolute" from="3778,178" to="10553,178" stroked="true" strokeweight=".47998pt" strokecolor="#000000">
              <v:stroke dashstyle="solid"/>
            </v:line>
            <v:line style="position:absolute" from="3778,197" to="10553,197" stroked="true" strokeweight=".48001pt" strokecolor="#000000">
              <v:stroke dashstyle="solid"/>
            </v:line>
            <w10:wrap type="topAndBottom"/>
          </v:group>
        </w:pict>
      </w:r>
    </w:p>
    <w:p>
      <w:pPr>
        <w:spacing w:after="0"/>
        <w:rPr>
          <w:sz w:val="10"/>
        </w:rPr>
        <w:sectPr>
          <w:type w:val="continuous"/>
          <w:pgSz w:w="11910" w:h="16840"/>
          <w:pgMar w:top="560" w:bottom="280" w:left="1080" w:right="1240"/>
        </w:sectPr>
      </w:pPr>
    </w:p>
    <w:tbl>
      <w:tblPr>
        <w:tblW w:w="0" w:type="auto"/>
        <w:jc w:val="left"/>
        <w:tblInd w:w="17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34"/>
        <w:gridCol w:w="1912"/>
        <w:gridCol w:w="6718"/>
      </w:tblGrid>
      <w:tr>
        <w:trPr>
          <w:trHeight w:val="289" w:hRule="atLeast"/>
        </w:trPr>
        <w:tc>
          <w:tcPr>
            <w:tcW w:w="634" w:type="dxa"/>
          </w:tcPr>
          <w:p>
            <w:pPr>
              <w:pStyle w:val="TableParagraph"/>
              <w:spacing w:line="210" w:lineRule="exact"/>
              <w:ind w:left="50"/>
              <w:rPr>
                <w:b/>
                <w:sz w:val="21"/>
              </w:rPr>
            </w:pPr>
            <w:r>
              <w:rPr>
                <w:b/>
                <w:sz w:val="21"/>
              </w:rPr>
              <w:t>6.1</w:t>
            </w:r>
          </w:p>
        </w:tc>
        <w:tc>
          <w:tcPr>
            <w:tcW w:w="1912" w:type="dxa"/>
          </w:tcPr>
          <w:p>
            <w:pPr>
              <w:pStyle w:val="TableParagraph"/>
              <w:spacing w:line="210" w:lineRule="exact"/>
              <w:ind w:left="266"/>
              <w:rPr>
                <w:b/>
                <w:sz w:val="21"/>
              </w:rPr>
            </w:pPr>
            <w:r>
              <w:rPr>
                <w:b/>
                <w:w w:val="95"/>
                <w:sz w:val="21"/>
              </w:rPr>
              <w:t>保单借款</w:t>
            </w:r>
          </w:p>
        </w:tc>
        <w:tc>
          <w:tcPr>
            <w:tcW w:w="6718" w:type="dxa"/>
          </w:tcPr>
          <w:p>
            <w:pPr>
              <w:pStyle w:val="TableParagraph"/>
              <w:spacing w:line="235" w:lineRule="exact"/>
              <w:ind w:left="55"/>
              <w:rPr>
                <w:sz w:val="21"/>
              </w:rPr>
            </w:pPr>
            <w:r>
              <w:rPr>
                <w:sz w:val="21"/>
              </w:rPr>
              <w:t>在本附加合同有效且累积有现金价值的情况下，投保人可以合并主合同</w:t>
            </w:r>
          </w:p>
        </w:tc>
      </w:tr>
      <w:tr>
        <w:trPr>
          <w:trHeight w:val="319" w:hRule="atLeast"/>
        </w:trPr>
        <w:tc>
          <w:tcPr>
            <w:tcW w:w="634" w:type="dxa"/>
          </w:tcPr>
          <w:p>
            <w:pPr>
              <w:pStyle w:val="TableParagraph"/>
              <w:rPr>
                <w:rFonts w:ascii="Times New Roman"/>
                <w:sz w:val="20"/>
              </w:rPr>
            </w:pPr>
          </w:p>
        </w:tc>
        <w:tc>
          <w:tcPr>
            <w:tcW w:w="1912" w:type="dxa"/>
          </w:tcPr>
          <w:p>
            <w:pPr>
              <w:pStyle w:val="TableParagraph"/>
              <w:rPr>
                <w:rFonts w:ascii="Times New Roman"/>
                <w:sz w:val="20"/>
              </w:rPr>
            </w:pPr>
          </w:p>
        </w:tc>
        <w:tc>
          <w:tcPr>
            <w:tcW w:w="6718" w:type="dxa"/>
          </w:tcPr>
          <w:p>
            <w:pPr>
              <w:pStyle w:val="TableParagraph"/>
              <w:spacing w:line="265" w:lineRule="exact"/>
              <w:ind w:left="55"/>
              <w:rPr>
                <w:sz w:val="21"/>
              </w:rPr>
            </w:pPr>
            <w:r>
              <w:rPr>
                <w:sz w:val="21"/>
              </w:rPr>
              <w:t>向我们申请借款。借款比例、借款最低限额、借款期间、借款利息、偿</w:t>
            </w:r>
          </w:p>
        </w:tc>
      </w:tr>
      <w:tr>
        <w:trPr>
          <w:trHeight w:val="320" w:hRule="atLeast"/>
        </w:trPr>
        <w:tc>
          <w:tcPr>
            <w:tcW w:w="634" w:type="dxa"/>
          </w:tcPr>
          <w:p>
            <w:pPr>
              <w:pStyle w:val="TableParagraph"/>
              <w:rPr>
                <w:rFonts w:ascii="Times New Roman"/>
                <w:sz w:val="20"/>
              </w:rPr>
            </w:pPr>
          </w:p>
        </w:tc>
        <w:tc>
          <w:tcPr>
            <w:tcW w:w="1912" w:type="dxa"/>
          </w:tcPr>
          <w:p>
            <w:pPr>
              <w:pStyle w:val="TableParagraph"/>
              <w:rPr>
                <w:rFonts w:ascii="Times New Roman"/>
                <w:sz w:val="20"/>
              </w:rPr>
            </w:pPr>
          </w:p>
        </w:tc>
        <w:tc>
          <w:tcPr>
            <w:tcW w:w="6718" w:type="dxa"/>
          </w:tcPr>
          <w:p>
            <w:pPr>
              <w:pStyle w:val="TableParagraph"/>
              <w:spacing w:line="265" w:lineRule="exact"/>
              <w:ind w:left="55"/>
              <w:rPr>
                <w:sz w:val="21"/>
              </w:rPr>
            </w:pPr>
            <w:r>
              <w:rPr>
                <w:sz w:val="21"/>
              </w:rPr>
              <w:t>还借款和借款利息等规定均与主合同相同。但本附加合同不得单独申请</w:t>
            </w:r>
          </w:p>
        </w:tc>
      </w:tr>
      <w:tr>
        <w:trPr>
          <w:trHeight w:val="319" w:hRule="atLeast"/>
        </w:trPr>
        <w:tc>
          <w:tcPr>
            <w:tcW w:w="634" w:type="dxa"/>
          </w:tcPr>
          <w:p>
            <w:pPr>
              <w:pStyle w:val="TableParagraph"/>
              <w:rPr>
                <w:rFonts w:ascii="Times New Roman"/>
                <w:sz w:val="20"/>
              </w:rPr>
            </w:pPr>
          </w:p>
        </w:tc>
        <w:tc>
          <w:tcPr>
            <w:tcW w:w="1912" w:type="dxa"/>
          </w:tcPr>
          <w:p>
            <w:pPr>
              <w:pStyle w:val="TableParagraph"/>
              <w:rPr>
                <w:rFonts w:ascii="Times New Roman"/>
                <w:sz w:val="20"/>
              </w:rPr>
            </w:pPr>
          </w:p>
        </w:tc>
        <w:tc>
          <w:tcPr>
            <w:tcW w:w="6718" w:type="dxa"/>
          </w:tcPr>
          <w:p>
            <w:pPr>
              <w:pStyle w:val="TableParagraph"/>
              <w:spacing w:line="265" w:lineRule="exact"/>
              <w:ind w:left="55"/>
              <w:rPr>
                <w:sz w:val="21"/>
              </w:rPr>
            </w:pPr>
            <w:r>
              <w:rPr>
                <w:sz w:val="21"/>
              </w:rPr>
              <w:t>借款。</w:t>
            </w:r>
          </w:p>
        </w:tc>
      </w:tr>
      <w:tr>
        <w:trPr>
          <w:trHeight w:val="410" w:hRule="atLeast"/>
        </w:trPr>
        <w:tc>
          <w:tcPr>
            <w:tcW w:w="634" w:type="dxa"/>
          </w:tcPr>
          <w:p>
            <w:pPr>
              <w:pStyle w:val="TableParagraph"/>
              <w:rPr>
                <w:rFonts w:ascii="Times New Roman"/>
                <w:sz w:val="20"/>
              </w:rPr>
            </w:pPr>
          </w:p>
        </w:tc>
        <w:tc>
          <w:tcPr>
            <w:tcW w:w="1912" w:type="dxa"/>
          </w:tcPr>
          <w:p>
            <w:pPr>
              <w:pStyle w:val="TableParagraph"/>
              <w:rPr>
                <w:rFonts w:ascii="Times New Roman"/>
                <w:sz w:val="20"/>
              </w:rPr>
            </w:pPr>
          </w:p>
        </w:tc>
        <w:tc>
          <w:tcPr>
            <w:tcW w:w="6718" w:type="dxa"/>
          </w:tcPr>
          <w:p>
            <w:pPr>
              <w:pStyle w:val="TableParagraph"/>
              <w:spacing w:line="265" w:lineRule="exact"/>
              <w:ind w:left="55"/>
              <w:rPr>
                <w:sz w:val="21"/>
              </w:rPr>
            </w:pPr>
            <w:r>
              <w:rPr>
                <w:sz w:val="21"/>
              </w:rPr>
              <w:t>本附加合同变更为减额付清保险后，我们不接受借款申请。</w:t>
            </w:r>
          </w:p>
        </w:tc>
      </w:tr>
      <w:tr>
        <w:trPr>
          <w:trHeight w:val="659" w:hRule="atLeast"/>
        </w:trPr>
        <w:tc>
          <w:tcPr>
            <w:tcW w:w="634" w:type="dxa"/>
          </w:tcPr>
          <w:p>
            <w:pPr>
              <w:pStyle w:val="TableParagraph"/>
              <w:spacing w:before="101"/>
              <w:ind w:left="50"/>
              <w:rPr>
                <w:b/>
                <w:sz w:val="21"/>
              </w:rPr>
            </w:pPr>
            <w:r>
              <w:rPr>
                <w:b/>
                <w:sz w:val="21"/>
              </w:rPr>
              <w:t>6.2</w:t>
            </w:r>
          </w:p>
        </w:tc>
        <w:tc>
          <w:tcPr>
            <w:tcW w:w="1912" w:type="dxa"/>
          </w:tcPr>
          <w:p>
            <w:pPr>
              <w:pStyle w:val="TableParagraph"/>
              <w:spacing w:before="101"/>
              <w:ind w:left="266"/>
              <w:rPr>
                <w:b/>
                <w:sz w:val="21"/>
              </w:rPr>
            </w:pPr>
            <w:r>
              <w:rPr>
                <w:b/>
                <w:w w:val="95"/>
                <w:sz w:val="21"/>
              </w:rPr>
              <w:t>解除合同（退保）</w:t>
            </w:r>
          </w:p>
        </w:tc>
        <w:tc>
          <w:tcPr>
            <w:tcW w:w="6718" w:type="dxa"/>
          </w:tcPr>
          <w:p>
            <w:pPr>
              <w:pStyle w:val="TableParagraph"/>
              <w:spacing w:line="237" w:lineRule="auto" w:before="83"/>
              <w:ind w:left="55" w:right="71"/>
              <w:rPr>
                <w:sz w:val="21"/>
              </w:rPr>
            </w:pPr>
            <w:r>
              <w:rPr>
                <w:sz w:val="21"/>
              </w:rPr>
              <w:t>在本附加合同有效期内，投保人可以合并主合同书面通知我们要求解除</w:t>
            </w:r>
            <w:r>
              <w:rPr>
                <w:spacing w:val="-3"/>
                <w:sz w:val="21"/>
              </w:rPr>
              <w:t>本附加合同</w:t>
            </w:r>
            <w:r>
              <w:rPr>
                <w:sz w:val="21"/>
              </w:rPr>
              <w:t>（本附加合同不得单独解除</w:t>
            </w:r>
            <w:r>
              <w:rPr>
                <w:spacing w:val="-105"/>
                <w:sz w:val="21"/>
              </w:rPr>
              <w:t>）</w:t>
            </w:r>
            <w:r>
              <w:rPr>
                <w:spacing w:val="-4"/>
                <w:sz w:val="21"/>
              </w:rPr>
              <w:t>。申请退保时，投保人应提供下</w:t>
            </w:r>
          </w:p>
        </w:tc>
      </w:tr>
      <w:tr>
        <w:trPr>
          <w:trHeight w:val="272" w:hRule="atLeast"/>
        </w:trPr>
        <w:tc>
          <w:tcPr>
            <w:tcW w:w="2546" w:type="dxa"/>
            <w:gridSpan w:val="2"/>
            <w:vMerge w:val="restart"/>
          </w:tcPr>
          <w:p>
            <w:pPr>
              <w:pStyle w:val="TableParagraph"/>
              <w:rPr>
                <w:rFonts w:ascii="Times New Roman"/>
                <w:sz w:val="20"/>
              </w:rPr>
            </w:pPr>
          </w:p>
        </w:tc>
        <w:tc>
          <w:tcPr>
            <w:tcW w:w="6718" w:type="dxa"/>
          </w:tcPr>
          <w:p>
            <w:pPr>
              <w:pStyle w:val="TableParagraph"/>
              <w:spacing w:line="241" w:lineRule="exact"/>
              <w:ind w:left="55"/>
              <w:rPr>
                <w:sz w:val="21"/>
              </w:rPr>
            </w:pPr>
            <w:r>
              <w:rPr>
                <w:sz w:val="21"/>
              </w:rPr>
              <w:t>列证明文件和资料：</w:t>
            </w:r>
          </w:p>
        </w:tc>
      </w:tr>
      <w:tr>
        <w:trPr>
          <w:trHeight w:val="272" w:hRule="atLeast"/>
        </w:trPr>
        <w:tc>
          <w:tcPr>
            <w:tcW w:w="2546" w:type="dxa"/>
            <w:gridSpan w:val="2"/>
            <w:vMerge/>
            <w:tcBorders>
              <w:top w:val="nil"/>
            </w:tcBorders>
          </w:tcPr>
          <w:p>
            <w:pPr>
              <w:rPr>
                <w:sz w:val="2"/>
                <w:szCs w:val="2"/>
              </w:rPr>
            </w:pPr>
          </w:p>
        </w:tc>
        <w:tc>
          <w:tcPr>
            <w:tcW w:w="6718" w:type="dxa"/>
          </w:tcPr>
          <w:p>
            <w:pPr>
              <w:pStyle w:val="TableParagraph"/>
              <w:spacing w:line="241" w:lineRule="exact"/>
              <w:ind w:left="55"/>
              <w:rPr>
                <w:sz w:val="21"/>
              </w:rPr>
            </w:pPr>
            <w:r>
              <w:rPr>
                <w:sz w:val="21"/>
              </w:rPr>
              <w:t>1、解除合同申请书；</w:t>
            </w:r>
          </w:p>
        </w:tc>
      </w:tr>
      <w:tr>
        <w:trPr>
          <w:trHeight w:val="272" w:hRule="atLeast"/>
        </w:trPr>
        <w:tc>
          <w:tcPr>
            <w:tcW w:w="2546" w:type="dxa"/>
            <w:gridSpan w:val="2"/>
            <w:vMerge/>
            <w:tcBorders>
              <w:top w:val="nil"/>
            </w:tcBorders>
          </w:tcPr>
          <w:p>
            <w:pPr>
              <w:rPr>
                <w:sz w:val="2"/>
                <w:szCs w:val="2"/>
              </w:rPr>
            </w:pPr>
          </w:p>
        </w:tc>
        <w:tc>
          <w:tcPr>
            <w:tcW w:w="6718" w:type="dxa"/>
          </w:tcPr>
          <w:p>
            <w:pPr>
              <w:pStyle w:val="TableParagraph"/>
              <w:spacing w:line="241" w:lineRule="exact"/>
              <w:ind w:left="55"/>
              <w:rPr>
                <w:sz w:val="21"/>
              </w:rPr>
            </w:pPr>
            <w:r>
              <w:rPr>
                <w:sz w:val="21"/>
              </w:rPr>
              <w:t>2、保险合同；</w:t>
            </w:r>
          </w:p>
        </w:tc>
      </w:tr>
      <w:tr>
        <w:trPr>
          <w:trHeight w:val="272" w:hRule="atLeast"/>
        </w:trPr>
        <w:tc>
          <w:tcPr>
            <w:tcW w:w="2546" w:type="dxa"/>
            <w:gridSpan w:val="2"/>
            <w:vMerge/>
            <w:tcBorders>
              <w:top w:val="nil"/>
            </w:tcBorders>
          </w:tcPr>
          <w:p>
            <w:pPr>
              <w:rPr>
                <w:sz w:val="2"/>
                <w:szCs w:val="2"/>
              </w:rPr>
            </w:pPr>
          </w:p>
        </w:tc>
        <w:tc>
          <w:tcPr>
            <w:tcW w:w="6718" w:type="dxa"/>
          </w:tcPr>
          <w:p>
            <w:pPr>
              <w:pStyle w:val="TableParagraph"/>
              <w:spacing w:line="241" w:lineRule="exact"/>
              <w:ind w:left="55"/>
              <w:rPr>
                <w:sz w:val="21"/>
              </w:rPr>
            </w:pPr>
            <w:r>
              <w:rPr>
                <w:sz w:val="21"/>
              </w:rPr>
              <w:t>3、投保人户籍证明或身份证明。</w:t>
            </w:r>
          </w:p>
        </w:tc>
      </w:tr>
      <w:tr>
        <w:trPr>
          <w:trHeight w:val="272" w:hRule="atLeast"/>
        </w:trPr>
        <w:tc>
          <w:tcPr>
            <w:tcW w:w="2546" w:type="dxa"/>
            <w:gridSpan w:val="2"/>
            <w:vMerge/>
            <w:tcBorders>
              <w:top w:val="nil"/>
            </w:tcBorders>
          </w:tcPr>
          <w:p>
            <w:pPr>
              <w:rPr>
                <w:sz w:val="2"/>
                <w:szCs w:val="2"/>
              </w:rPr>
            </w:pPr>
          </w:p>
        </w:tc>
        <w:tc>
          <w:tcPr>
            <w:tcW w:w="6718" w:type="dxa"/>
          </w:tcPr>
          <w:p>
            <w:pPr>
              <w:pStyle w:val="TableParagraph"/>
              <w:spacing w:line="241" w:lineRule="exact"/>
              <w:ind w:left="55"/>
              <w:rPr>
                <w:sz w:val="21"/>
              </w:rPr>
            </w:pPr>
            <w:r>
              <w:rPr>
                <w:sz w:val="21"/>
              </w:rPr>
              <w:t>自我们收到退保申请（若为邮寄，则以寄出邮戳为准）</w:t>
            </w:r>
            <w:r>
              <w:rPr>
                <w:spacing w:val="-17"/>
                <w:sz w:val="21"/>
              </w:rPr>
              <w:t>的当日 </w:t>
            </w:r>
            <w:r>
              <w:rPr>
                <w:sz w:val="21"/>
              </w:rPr>
              <w:t>24</w:t>
            </w:r>
            <w:r>
              <w:rPr>
                <w:spacing w:val="-18"/>
                <w:sz w:val="21"/>
              </w:rPr>
              <w:t> 时起，</w:t>
            </w:r>
          </w:p>
        </w:tc>
      </w:tr>
      <w:tr>
        <w:trPr>
          <w:trHeight w:val="272" w:hRule="atLeast"/>
        </w:trPr>
        <w:tc>
          <w:tcPr>
            <w:tcW w:w="2546" w:type="dxa"/>
            <w:gridSpan w:val="2"/>
            <w:vMerge/>
            <w:tcBorders>
              <w:top w:val="nil"/>
            </w:tcBorders>
          </w:tcPr>
          <w:p>
            <w:pPr>
              <w:rPr>
                <w:sz w:val="2"/>
                <w:szCs w:val="2"/>
              </w:rPr>
            </w:pPr>
          </w:p>
        </w:tc>
        <w:tc>
          <w:tcPr>
            <w:tcW w:w="6718" w:type="dxa"/>
          </w:tcPr>
          <w:p>
            <w:pPr>
              <w:pStyle w:val="TableParagraph"/>
              <w:spacing w:line="241" w:lineRule="exact"/>
              <w:ind w:left="55"/>
              <w:rPr>
                <w:sz w:val="21"/>
              </w:rPr>
            </w:pPr>
            <w:r>
              <w:rPr>
                <w:sz w:val="21"/>
              </w:rPr>
              <w:t>本附加合同的效力终止。我们将于收到上述证明文件和资料后三十日内</w:t>
            </w:r>
          </w:p>
        </w:tc>
      </w:tr>
      <w:tr>
        <w:trPr>
          <w:trHeight w:val="241" w:hRule="atLeast"/>
        </w:trPr>
        <w:tc>
          <w:tcPr>
            <w:tcW w:w="2546" w:type="dxa"/>
            <w:gridSpan w:val="2"/>
            <w:vMerge/>
            <w:tcBorders>
              <w:top w:val="nil"/>
            </w:tcBorders>
          </w:tcPr>
          <w:p>
            <w:pPr>
              <w:rPr>
                <w:sz w:val="2"/>
                <w:szCs w:val="2"/>
              </w:rPr>
            </w:pPr>
          </w:p>
        </w:tc>
        <w:tc>
          <w:tcPr>
            <w:tcW w:w="6718" w:type="dxa"/>
          </w:tcPr>
          <w:p>
            <w:pPr>
              <w:pStyle w:val="TableParagraph"/>
              <w:spacing w:line="221" w:lineRule="exact"/>
              <w:ind w:left="55"/>
              <w:rPr>
                <w:sz w:val="21"/>
              </w:rPr>
            </w:pPr>
            <w:r>
              <w:rPr>
                <w:sz w:val="21"/>
              </w:rPr>
              <w:t>退还本附加合同效力终止日的现金价值。</w:t>
            </w:r>
          </w:p>
        </w:tc>
      </w:tr>
    </w:tbl>
    <w:p>
      <w:pPr>
        <w:pStyle w:val="BodyText"/>
        <w:rPr>
          <w:b/>
          <w:sz w:val="20"/>
        </w:rPr>
      </w:pPr>
    </w:p>
    <w:p>
      <w:pPr>
        <w:pStyle w:val="BodyText"/>
        <w:spacing w:before="2"/>
        <w:rPr>
          <w:b/>
          <w:sz w:val="23"/>
        </w:rPr>
      </w:pPr>
    </w:p>
    <w:p>
      <w:pPr>
        <w:pStyle w:val="ListParagraph"/>
        <w:numPr>
          <w:ilvl w:val="0"/>
          <w:numId w:val="26"/>
        </w:numPr>
        <w:tabs>
          <w:tab w:pos="1075" w:val="left" w:leader="none"/>
          <w:tab w:pos="1076" w:val="left" w:leader="none"/>
        </w:tabs>
        <w:spacing w:line="240" w:lineRule="auto" w:before="14" w:after="0"/>
        <w:ind w:left="1075" w:right="0" w:hanging="851"/>
        <w:jc w:val="left"/>
        <w:rPr>
          <w:b/>
          <w:sz w:val="28"/>
        </w:rPr>
      </w:pPr>
      <w:r>
        <w:rPr>
          <w:b/>
          <w:w w:val="95"/>
          <w:sz w:val="28"/>
        </w:rPr>
        <w:t>投保人需要关注的其他事项</w:t>
      </w:r>
    </w:p>
    <w:p>
      <w:pPr>
        <w:pStyle w:val="BodyText"/>
        <w:spacing w:before="3"/>
        <w:rPr>
          <w:b/>
          <w:sz w:val="10"/>
        </w:rPr>
      </w:pPr>
      <w:r>
        <w:rPr/>
        <w:pict>
          <v:group style="position:absolute;margin-left:59.82pt;margin-top:8.655011pt;width:467.85pt;height:1.45pt;mso-position-horizontal-relative:page;mso-position-vertical-relative:paragraph;z-index:1672;mso-wrap-distance-left:0;mso-wrap-distance-right:0" coordorigin="1196,173" coordsize="9357,29">
            <v:line style="position:absolute" from="1196,178" to="2047,178" stroked="true" strokeweight=".48001pt" strokecolor="#000000">
              <v:stroke dashstyle="solid"/>
            </v:line>
            <v:line style="position:absolute" from="1196,197" to="2047,197" stroked="true" strokeweight=".47998pt" strokecolor="#000000">
              <v:stroke dashstyle="solid"/>
            </v:line>
            <v:rect style="position:absolute;left:2047;top:173;width:29;height:10" filled="true" fillcolor="#000000" stroked="false">
              <v:fill type="solid"/>
            </v:rect>
            <v:rect style="position:absolute;left:2047;top:192;width:29;height:10" filled="true" fillcolor="#000000" stroked="false">
              <v:fill type="solid"/>
            </v:rect>
            <v:line style="position:absolute" from="2076,178" to="3749,178" stroked="true" strokeweight=".48001pt" strokecolor="#000000">
              <v:stroke dashstyle="solid"/>
            </v:line>
            <v:line style="position:absolute" from="2076,197" to="3749,197" stroked="true" strokeweight=".47998pt" strokecolor="#000000">
              <v:stroke dashstyle="solid"/>
            </v:line>
            <v:rect style="position:absolute;left:3748;top:173;width:29;height:10" filled="true" fillcolor="#000000" stroked="false">
              <v:fill type="solid"/>
            </v:rect>
            <v:rect style="position:absolute;left:3748;top:192;width:29;height:10" filled="true" fillcolor="#000000" stroked="false">
              <v:fill type="solid"/>
            </v:rect>
            <v:line style="position:absolute" from="3778,178" to="10553,178" stroked="true" strokeweight=".48001pt" strokecolor="#000000">
              <v:stroke dashstyle="solid"/>
            </v:line>
            <v:line style="position:absolute" from="3778,197" to="10553,197" stroked="true" strokeweight=".47998pt" strokecolor="#000000">
              <v:stroke dashstyle="solid"/>
            </v:line>
            <w10:wrap type="topAndBottom"/>
          </v:group>
        </w:pict>
      </w:r>
    </w:p>
    <w:p>
      <w:pPr>
        <w:pStyle w:val="BodyText"/>
        <w:rPr>
          <w:b/>
          <w:sz w:val="9"/>
        </w:rPr>
      </w:pPr>
    </w:p>
    <w:p>
      <w:pPr>
        <w:pStyle w:val="ListParagraph"/>
        <w:numPr>
          <w:ilvl w:val="1"/>
          <w:numId w:val="26"/>
        </w:numPr>
        <w:tabs>
          <w:tab w:pos="1075" w:val="left" w:leader="none"/>
        </w:tabs>
        <w:spacing w:line="273" w:lineRule="auto" w:before="36" w:after="0"/>
        <w:ind w:left="2775" w:right="296" w:hanging="2551"/>
        <w:jc w:val="both"/>
        <w:rPr>
          <w:sz w:val="21"/>
        </w:rPr>
      </w:pPr>
      <w:r>
        <w:rPr>
          <w:b/>
          <w:sz w:val="21"/>
        </w:rPr>
        <w:t>欠款扣除       </w:t>
      </w:r>
      <w:r>
        <w:rPr>
          <w:sz w:val="21"/>
        </w:rPr>
        <w:t>我们在给付各项保险金或现金价值、办理终止合同时，若投保人有欠缴本附加合同的保险费及利息、借款及借款利息，则所有的欠款和利息均需先归还我们或由我们在给付款中扣除。</w:t>
      </w:r>
    </w:p>
    <w:p>
      <w:pPr>
        <w:pStyle w:val="BodyText"/>
        <w:spacing w:before="4"/>
        <w:rPr>
          <w:sz w:val="16"/>
        </w:rPr>
      </w:pPr>
    </w:p>
    <w:p>
      <w:pPr>
        <w:pStyle w:val="ListParagraph"/>
        <w:numPr>
          <w:ilvl w:val="1"/>
          <w:numId w:val="26"/>
        </w:numPr>
        <w:tabs>
          <w:tab w:pos="1075" w:val="left" w:leader="none"/>
          <w:tab w:pos="1076" w:val="left" w:leader="none"/>
          <w:tab w:pos="2775" w:val="left" w:leader="none"/>
        </w:tabs>
        <w:spacing w:line="284" w:lineRule="exact" w:before="0" w:after="0"/>
        <w:ind w:left="1075" w:right="0" w:hanging="851"/>
        <w:jc w:val="left"/>
        <w:rPr>
          <w:sz w:val="21"/>
        </w:rPr>
      </w:pPr>
      <w:r>
        <w:rPr>
          <w:b/>
          <w:position w:val="-1"/>
          <w:sz w:val="21"/>
        </w:rPr>
        <w:t>合同效力的中止</w:t>
        <w:tab/>
      </w:r>
      <w:r>
        <w:rPr>
          <w:sz w:val="21"/>
        </w:rPr>
        <w:t>主合同效力中止的同时，本附加合同的效力也中止。</w:t>
      </w:r>
    </w:p>
    <w:p>
      <w:pPr>
        <w:pStyle w:val="BodyText"/>
        <w:spacing w:line="264" w:lineRule="exact"/>
        <w:ind w:left="2775"/>
      </w:pPr>
      <w:r>
        <w:rPr/>
        <w:t>合同效力中止期间，我们不承担保险责任。</w:t>
      </w:r>
    </w:p>
    <w:p>
      <w:pPr>
        <w:pStyle w:val="BodyText"/>
        <w:spacing w:before="2"/>
        <w:rPr>
          <w:sz w:val="17"/>
        </w:rPr>
      </w:pPr>
    </w:p>
    <w:p>
      <w:pPr>
        <w:pStyle w:val="ListParagraph"/>
        <w:numPr>
          <w:ilvl w:val="1"/>
          <w:numId w:val="26"/>
        </w:numPr>
        <w:tabs>
          <w:tab w:pos="1075" w:val="left" w:leader="none"/>
          <w:tab w:pos="1076" w:val="left" w:leader="none"/>
          <w:tab w:pos="2775" w:val="left" w:leader="none"/>
        </w:tabs>
        <w:spacing w:line="240" w:lineRule="auto" w:before="0" w:after="0"/>
        <w:ind w:left="1075" w:right="0" w:hanging="851"/>
        <w:jc w:val="left"/>
        <w:rPr>
          <w:sz w:val="21"/>
        </w:rPr>
      </w:pPr>
      <w:r>
        <w:rPr>
          <w:b/>
          <w:position w:val="-1"/>
          <w:sz w:val="21"/>
        </w:rPr>
        <w:t>合同效力的终止</w:t>
        <w:tab/>
      </w:r>
      <w:r>
        <w:rPr>
          <w:sz w:val="21"/>
        </w:rPr>
        <w:t>有下列情况之一时，本附加合同的效力终止：</w:t>
      </w:r>
    </w:p>
    <w:p>
      <w:pPr>
        <w:pStyle w:val="BodyText"/>
        <w:spacing w:before="22"/>
        <w:ind w:left="2775"/>
      </w:pPr>
      <w:r>
        <w:rPr/>
        <w:t>1、主合同撤销、解除、退保、满期、终止；</w:t>
      </w:r>
    </w:p>
    <w:p>
      <w:pPr>
        <w:pStyle w:val="BodyText"/>
        <w:spacing w:line="274" w:lineRule="exact"/>
        <w:ind w:left="2775"/>
      </w:pPr>
      <w:r>
        <w:rPr/>
        <w:t>2、本附加合同的保险期间届满；</w:t>
      </w:r>
    </w:p>
    <w:p>
      <w:pPr>
        <w:pStyle w:val="BodyText"/>
        <w:spacing w:line="272" w:lineRule="exact"/>
        <w:ind w:left="2775"/>
      </w:pPr>
      <w:r>
        <w:rPr/>
        <w:t>3、主合同及本附加合同约定的其它效力终止情形。</w:t>
      </w:r>
    </w:p>
    <w:p>
      <w:pPr>
        <w:pStyle w:val="BodyText"/>
        <w:spacing w:line="237" w:lineRule="auto" w:before="1"/>
        <w:ind w:left="2775" w:right="217"/>
      </w:pPr>
      <w:r>
        <w:rPr/>
        <w:t>本附加合同效力终止后，除另有规定外，我们不退还本附加合同的现金价值或已缴的保险费。</w:t>
      </w:r>
    </w:p>
    <w:p>
      <w:pPr>
        <w:pStyle w:val="BodyText"/>
        <w:rPr>
          <w:sz w:val="20"/>
        </w:rPr>
      </w:pPr>
    </w:p>
    <w:p>
      <w:pPr>
        <w:pStyle w:val="BodyText"/>
        <w:spacing w:before="8"/>
        <w:rPr>
          <w:sz w:val="23"/>
        </w:rPr>
      </w:pPr>
    </w:p>
    <w:p>
      <w:pPr>
        <w:pStyle w:val="Heading2"/>
        <w:numPr>
          <w:ilvl w:val="0"/>
          <w:numId w:val="26"/>
        </w:numPr>
        <w:tabs>
          <w:tab w:pos="1075" w:val="left" w:leader="none"/>
          <w:tab w:pos="1076" w:val="left" w:leader="none"/>
        </w:tabs>
        <w:spacing w:line="240" w:lineRule="auto" w:before="0" w:after="0"/>
        <w:ind w:left="1075" w:right="0" w:hanging="851"/>
        <w:jc w:val="left"/>
      </w:pPr>
      <w:r>
        <w:rPr>
          <w:w w:val="95"/>
        </w:rPr>
        <w:t>释义</w:t>
      </w:r>
    </w:p>
    <w:p>
      <w:pPr>
        <w:pStyle w:val="BodyText"/>
        <w:spacing w:before="2"/>
        <w:rPr>
          <w:b/>
          <w:sz w:val="10"/>
        </w:rPr>
      </w:pPr>
      <w:r>
        <w:rPr/>
        <w:pict>
          <v:group style="position:absolute;margin-left:59.82pt;margin-top:8.63219pt;width:467.85pt;height:1.45pt;mso-position-horizontal-relative:page;mso-position-vertical-relative:paragraph;z-index:1696;mso-wrap-distance-left:0;mso-wrap-distance-right:0" coordorigin="1196,173" coordsize="9357,29">
            <v:line style="position:absolute" from="1196,177" to="2047,177" stroked="true" strokeweight=".48001pt" strokecolor="#000000">
              <v:stroke dashstyle="solid"/>
            </v:line>
            <v:line style="position:absolute" from="1196,197" to="2047,197" stroked="true" strokeweight=".48pt" strokecolor="#000000">
              <v:stroke dashstyle="solid"/>
            </v:line>
            <v:rect style="position:absolute;left:2047;top:172;width:29;height:10" filled="true" fillcolor="#000000" stroked="false">
              <v:fill type="solid"/>
            </v:rect>
            <v:rect style="position:absolute;left:2047;top:191;width:29;height:10" filled="true" fillcolor="#000000" stroked="false">
              <v:fill type="solid"/>
            </v:rect>
            <v:line style="position:absolute" from="2076,177" to="3749,177" stroked="true" strokeweight=".48001pt" strokecolor="#000000">
              <v:stroke dashstyle="solid"/>
            </v:line>
            <v:line style="position:absolute" from="2076,197" to="3749,197" stroked="true" strokeweight=".48pt" strokecolor="#000000">
              <v:stroke dashstyle="solid"/>
            </v:line>
            <v:rect style="position:absolute;left:3748;top:172;width:29;height:10" filled="true" fillcolor="#000000" stroked="false">
              <v:fill type="solid"/>
            </v:rect>
            <v:rect style="position:absolute;left:3748;top:191;width:29;height:10" filled="true" fillcolor="#000000" stroked="false">
              <v:fill type="solid"/>
            </v:rect>
            <v:line style="position:absolute" from="3778,177" to="10553,177" stroked="true" strokeweight=".48001pt" strokecolor="#000000">
              <v:stroke dashstyle="solid"/>
            </v:line>
            <v:line style="position:absolute" from="3778,197" to="10553,197" stroked="true" strokeweight=".48pt" strokecolor="#000000">
              <v:stroke dashstyle="solid"/>
            </v:line>
            <w10:wrap type="topAndBottom"/>
          </v:group>
        </w:pict>
      </w:r>
    </w:p>
    <w:p>
      <w:pPr>
        <w:pStyle w:val="BodyText"/>
        <w:rPr>
          <w:b/>
          <w:sz w:val="9"/>
        </w:rPr>
      </w:pPr>
    </w:p>
    <w:p>
      <w:pPr>
        <w:pStyle w:val="BodyText"/>
        <w:spacing w:before="36"/>
        <w:ind w:left="224"/>
      </w:pPr>
      <w:r>
        <w:rPr/>
        <w:t>本附加合同中具有特定含义的名词，除非本附加合同另有释义，适用主合同的释义。</w:t>
      </w:r>
    </w:p>
    <w:p>
      <w:pPr>
        <w:pStyle w:val="BodyText"/>
        <w:spacing w:before="3"/>
        <w:rPr>
          <w:sz w:val="14"/>
        </w:rPr>
      </w:pPr>
    </w:p>
    <w:p>
      <w:pPr>
        <w:pStyle w:val="ListParagraph"/>
        <w:numPr>
          <w:ilvl w:val="1"/>
          <w:numId w:val="26"/>
        </w:numPr>
        <w:tabs>
          <w:tab w:pos="1075" w:val="left" w:leader="none"/>
          <w:tab w:pos="1076" w:val="left" w:leader="none"/>
          <w:tab w:pos="2775" w:val="left" w:leader="none"/>
        </w:tabs>
        <w:spacing w:line="240" w:lineRule="auto" w:before="1" w:after="0"/>
        <w:ind w:left="2775" w:right="0" w:hanging="2551"/>
        <w:jc w:val="left"/>
        <w:rPr>
          <w:sz w:val="21"/>
        </w:rPr>
      </w:pPr>
      <w:r>
        <w:rPr>
          <w:b/>
          <w:position w:val="-1"/>
          <w:sz w:val="21"/>
        </w:rPr>
        <w:t>意外伤害事故</w:t>
        <w:tab/>
      </w:r>
      <w:r>
        <w:rPr>
          <w:sz w:val="21"/>
        </w:rPr>
        <w:t>指外来的、突发的、非本意的、非疾病的客观事件。</w:t>
      </w:r>
    </w:p>
    <w:p>
      <w:pPr>
        <w:pStyle w:val="BodyText"/>
        <w:spacing w:before="9"/>
        <w:rPr>
          <w:sz w:val="15"/>
        </w:rPr>
      </w:pPr>
    </w:p>
    <w:p>
      <w:pPr>
        <w:pStyle w:val="ListParagraph"/>
        <w:numPr>
          <w:ilvl w:val="1"/>
          <w:numId w:val="26"/>
        </w:numPr>
        <w:tabs>
          <w:tab w:pos="1075" w:val="left" w:leader="none"/>
          <w:tab w:pos="1076" w:val="left" w:leader="none"/>
          <w:tab w:pos="2775" w:val="left" w:leader="none"/>
        </w:tabs>
        <w:spacing w:line="240" w:lineRule="auto" w:before="0" w:after="0"/>
        <w:ind w:left="1075" w:right="0" w:hanging="851"/>
        <w:jc w:val="left"/>
        <w:rPr>
          <w:sz w:val="21"/>
        </w:rPr>
      </w:pPr>
      <w:r>
        <w:rPr>
          <w:b/>
          <w:position w:val="6"/>
          <w:sz w:val="21"/>
        </w:rPr>
        <w:t>意外伤害、伤害</w:t>
        <w:tab/>
      </w:r>
      <w:r>
        <w:rPr>
          <w:sz w:val="21"/>
        </w:rPr>
        <w:t>指以意外伤害事故为直接且单独的原因所导致身体受到的伤害。</w:t>
      </w:r>
    </w:p>
    <w:p>
      <w:pPr>
        <w:pStyle w:val="ListParagraph"/>
        <w:numPr>
          <w:ilvl w:val="1"/>
          <w:numId w:val="26"/>
        </w:numPr>
        <w:tabs>
          <w:tab w:pos="1075" w:val="left" w:leader="none"/>
          <w:tab w:pos="1076" w:val="left" w:leader="none"/>
          <w:tab w:pos="2775" w:val="left" w:leader="none"/>
        </w:tabs>
        <w:spacing w:line="314" w:lineRule="auto" w:before="194" w:after="0"/>
        <w:ind w:left="2775" w:right="114" w:hanging="2551"/>
        <w:jc w:val="left"/>
        <w:rPr>
          <w:sz w:val="21"/>
        </w:rPr>
      </w:pPr>
      <w:r>
        <w:rPr>
          <w:b/>
          <w:position w:val="6"/>
          <w:sz w:val="21"/>
        </w:rPr>
        <w:t>医院</w:t>
        <w:tab/>
      </w:r>
      <w:r>
        <w:rPr>
          <w:sz w:val="21"/>
        </w:rPr>
        <w:t>本公司指定的医院由本公司在保险合同中详细列明，本公司将定期发布 当年度指定医院并通知投保人</w:t>
      </w:r>
      <w:r>
        <w:rPr>
          <w:spacing w:val="-28"/>
          <w:sz w:val="21"/>
        </w:rPr>
        <w:t>。</w:t>
      </w:r>
      <w:r>
        <w:rPr>
          <w:sz w:val="21"/>
        </w:rPr>
        <w:t>本公司认可的医院应符合以下所有条件：</w:t>
      </w:r>
    </w:p>
    <w:p>
      <w:pPr>
        <w:pStyle w:val="BodyText"/>
        <w:spacing w:before="20"/>
        <w:ind w:left="2775"/>
      </w:pPr>
      <w:r>
        <w:rPr/>
        <w:t>1、拥有合法经营执照；</w:t>
      </w:r>
    </w:p>
    <w:p>
      <w:pPr>
        <w:pStyle w:val="BodyText"/>
        <w:spacing w:before="85"/>
        <w:ind w:left="2775"/>
      </w:pPr>
      <w:r>
        <w:rPr/>
        <w:t>2、设立的主要目的为受伤者和患病者提供留院治疗和护理；</w:t>
      </w:r>
    </w:p>
    <w:p>
      <w:pPr>
        <w:pStyle w:val="BodyText"/>
        <w:spacing w:before="85"/>
        <w:ind w:left="2775"/>
      </w:pPr>
      <w:r>
        <w:rPr/>
        <w:t>3、有合法职称的专业医生和护士提供全日二十四小时的医疗和护理服</w:t>
      </w:r>
    </w:p>
    <w:p>
      <w:pPr>
        <w:spacing w:after="0"/>
        <w:sectPr>
          <w:pgSz w:w="11910" w:h="16840"/>
          <w:pgMar w:header="0" w:footer="998" w:top="1540" w:bottom="1180" w:left="1080" w:right="1240"/>
        </w:sectPr>
      </w:pPr>
    </w:p>
    <w:p>
      <w:pPr>
        <w:pStyle w:val="BodyText"/>
        <w:spacing w:before="20"/>
        <w:ind w:left="2655"/>
      </w:pPr>
      <w:r>
        <w:rPr/>
        <w:t>务；</w:t>
      </w:r>
    </w:p>
    <w:p>
      <w:pPr>
        <w:pStyle w:val="BodyText"/>
        <w:spacing w:line="297" w:lineRule="auto" w:before="85"/>
        <w:ind w:left="2655" w:right="75"/>
      </w:pPr>
      <w:r>
        <w:rPr>
          <w:rFonts w:ascii="Times New Roman" w:eastAsia="Times New Roman"/>
        </w:rPr>
        <w:t>4</w:t>
      </w:r>
      <w:r>
        <w:rPr/>
        <w:t>、具有系统性诊疗等程序或手术设备的综合性医院和专科医院，但不包括观察室、联合病房、精神病院和康复病房；</w:t>
      </w:r>
    </w:p>
    <w:p>
      <w:pPr>
        <w:pStyle w:val="BodyText"/>
        <w:spacing w:line="297" w:lineRule="auto" w:before="35"/>
        <w:ind w:left="2655" w:right="75"/>
      </w:pPr>
      <w:r>
        <w:rPr>
          <w:rFonts w:ascii="Times New Roman" w:eastAsia="Times New Roman"/>
        </w:rPr>
        <w:t>5</w:t>
      </w:r>
      <w:r>
        <w:rPr/>
        <w:t>、非主要作为康复医院、诊所、护理、疗养、戒酒、戒毒或类似的医疗机构。</w:t>
      </w:r>
    </w:p>
    <w:p>
      <w:pPr>
        <w:pStyle w:val="ListParagraph"/>
        <w:numPr>
          <w:ilvl w:val="1"/>
          <w:numId w:val="26"/>
        </w:numPr>
        <w:tabs>
          <w:tab w:pos="956" w:val="left" w:leader="none"/>
        </w:tabs>
        <w:spacing w:line="273" w:lineRule="auto" w:before="146" w:after="0"/>
        <w:ind w:left="2655" w:right="116" w:hanging="2551"/>
        <w:jc w:val="both"/>
        <w:rPr>
          <w:sz w:val="21"/>
        </w:rPr>
      </w:pPr>
      <w:r>
        <w:rPr>
          <w:b/>
          <w:w w:val="99"/>
          <w:sz w:val="21"/>
        </w:rPr>
        <w:t>专科医生</w:t>
      </w:r>
      <w:r>
        <w:rPr>
          <w:b/>
          <w:sz w:val="21"/>
        </w:rPr>
        <w:t>        </w:t>
      </w:r>
      <w:r>
        <w:rPr>
          <w:spacing w:val="-4"/>
          <w:sz w:val="21"/>
        </w:rPr>
        <w:t>专科医生应当同时满足以下四项资格条件：</w:t>
      </w:r>
      <w:r>
        <w:rPr>
          <w:spacing w:val="1"/>
          <w:sz w:val="21"/>
        </w:rPr>
        <w:t>（1）</w:t>
      </w:r>
      <w:r>
        <w:rPr>
          <w:spacing w:val="0"/>
          <w:sz w:val="21"/>
        </w:rPr>
        <w:t>具有有效的中华人民共</w:t>
      </w:r>
      <w:r>
        <w:rPr>
          <w:spacing w:val="-22"/>
          <w:sz w:val="21"/>
        </w:rPr>
        <w:t>和国《 医师资格证书》；</w:t>
      </w:r>
      <w:r>
        <w:rPr>
          <w:sz w:val="21"/>
        </w:rPr>
        <w:t>（2</w:t>
      </w:r>
      <w:r>
        <w:rPr>
          <w:spacing w:val="-8"/>
          <w:sz w:val="21"/>
        </w:rPr>
        <w:t>）</w:t>
      </w:r>
      <w:r>
        <w:rPr>
          <w:spacing w:val="-1"/>
          <w:sz w:val="21"/>
        </w:rPr>
        <w:t>具有有效的中华人民共和国《 医师执业证</w:t>
      </w:r>
      <w:r>
        <w:rPr>
          <w:spacing w:val="-19"/>
          <w:sz w:val="21"/>
        </w:rPr>
        <w:t>书》，并按期到相关部门登记注册；</w:t>
      </w:r>
      <w:r>
        <w:rPr>
          <w:spacing w:val="-2"/>
          <w:sz w:val="21"/>
        </w:rPr>
        <w:t>（</w:t>
      </w:r>
      <w:r>
        <w:rPr>
          <w:sz w:val="21"/>
        </w:rPr>
        <w:t>3</w:t>
      </w:r>
      <w:r>
        <w:rPr>
          <w:spacing w:val="-9"/>
          <w:sz w:val="21"/>
        </w:rPr>
        <w:t>）</w:t>
      </w:r>
      <w:r>
        <w:rPr>
          <w:spacing w:val="-1"/>
          <w:sz w:val="21"/>
        </w:rPr>
        <w:t>具有有效的中华人民共和国主治</w:t>
      </w:r>
      <w:r>
        <w:rPr>
          <w:spacing w:val="-10"/>
          <w:sz w:val="21"/>
        </w:rPr>
        <w:t>医师或主治医师以上职称的《 医师职称证书》；</w:t>
      </w:r>
      <w:r>
        <w:rPr>
          <w:spacing w:val="1"/>
          <w:sz w:val="21"/>
        </w:rPr>
        <w:t>（4）在二级或二级以上</w:t>
      </w:r>
      <w:r>
        <w:rPr>
          <w:sz w:val="21"/>
        </w:rPr>
        <w:t>医院的相应科室从事临床工作三年以上。</w:t>
      </w:r>
    </w:p>
    <w:p>
      <w:pPr>
        <w:pStyle w:val="BodyText"/>
        <w:spacing w:before="4"/>
        <w:rPr>
          <w:sz w:val="15"/>
        </w:rPr>
      </w:pPr>
    </w:p>
    <w:p>
      <w:pPr>
        <w:pStyle w:val="ListParagraph"/>
        <w:numPr>
          <w:ilvl w:val="1"/>
          <w:numId w:val="26"/>
        </w:numPr>
        <w:tabs>
          <w:tab w:pos="956" w:val="left" w:leader="none"/>
        </w:tabs>
        <w:spacing w:line="211" w:lineRule="auto" w:before="1" w:after="0"/>
        <w:ind w:left="2655" w:right="117" w:hanging="2551"/>
        <w:jc w:val="both"/>
        <w:rPr>
          <w:sz w:val="21"/>
        </w:rPr>
      </w:pPr>
      <w:r>
        <w:rPr>
          <w:b/>
          <w:spacing w:val="6"/>
          <w:position w:val="-7"/>
          <w:sz w:val="21"/>
        </w:rPr>
        <w:t>遗传性疾病     </w:t>
      </w:r>
      <w:r>
        <w:rPr>
          <w:sz w:val="21"/>
        </w:rPr>
        <w:t>指生殖细胞或受精卵的遗传物质（染色体和基因）发生突变或畸变所引起的疾病，通常具有由亲代传至后代的垂直传递的特征。</w:t>
      </w:r>
    </w:p>
    <w:p>
      <w:pPr>
        <w:pStyle w:val="BodyText"/>
        <w:rPr>
          <w:sz w:val="25"/>
        </w:rPr>
      </w:pPr>
    </w:p>
    <w:p>
      <w:pPr>
        <w:spacing w:after="0"/>
        <w:rPr>
          <w:sz w:val="25"/>
        </w:rPr>
        <w:sectPr>
          <w:pgSz w:w="11910" w:h="16840"/>
          <w:pgMar w:header="0" w:footer="998" w:top="1520" w:bottom="1180" w:left="1200" w:right="1340"/>
        </w:sectPr>
      </w:pPr>
    </w:p>
    <w:p>
      <w:pPr>
        <w:pStyle w:val="Heading5"/>
        <w:numPr>
          <w:ilvl w:val="1"/>
          <w:numId w:val="26"/>
        </w:numPr>
        <w:tabs>
          <w:tab w:pos="955" w:val="left" w:leader="none"/>
          <w:tab w:pos="956" w:val="left" w:leader="none"/>
        </w:tabs>
        <w:spacing w:line="273" w:lineRule="auto" w:before="35" w:after="0"/>
        <w:ind w:left="955" w:right="0" w:hanging="851"/>
        <w:jc w:val="left"/>
      </w:pPr>
      <w:r>
        <w:rPr>
          <w:w w:val="95"/>
        </w:rPr>
        <w:t>先天性畸形、变形或染色体异常</w:t>
      </w:r>
    </w:p>
    <w:p>
      <w:pPr>
        <w:pStyle w:val="BodyText"/>
        <w:spacing w:line="273" w:lineRule="auto" w:before="35"/>
        <w:ind w:left="104" w:right="117"/>
        <w:jc w:val="both"/>
      </w:pPr>
      <w:r>
        <w:rPr/>
        <w:br w:type="column"/>
      </w:r>
      <w:r>
        <w:rPr/>
        <w:t>指被保险人出生时就具有的畸形、变形或染色体异常。先天性畸形、变形和染色体异常依照世界卫生组织《疾病和有关健康问题的国际统计分</w:t>
      </w:r>
      <w:r>
        <w:rPr>
          <w:spacing w:val="-53"/>
        </w:rPr>
        <w:t>类》</w:t>
      </w:r>
      <w:r>
        <w:rPr>
          <w:spacing w:val="-1"/>
        </w:rPr>
        <w:t>（</w:t>
      </w:r>
      <w:r>
        <w:rPr>
          <w:rFonts w:ascii="Times New Roman" w:eastAsia="Times New Roman"/>
          <w:spacing w:val="-1"/>
        </w:rPr>
        <w:t>ICD-10</w:t>
      </w:r>
      <w:r>
        <w:rPr>
          <w:spacing w:val="-1"/>
        </w:rPr>
        <w:t>）</w:t>
      </w:r>
      <w:r>
        <w:rPr/>
        <w:t>确定。</w:t>
      </w:r>
    </w:p>
    <w:p>
      <w:pPr>
        <w:spacing w:after="0" w:line="273" w:lineRule="auto"/>
        <w:jc w:val="both"/>
        <w:sectPr>
          <w:type w:val="continuous"/>
          <w:pgSz w:w="11910" w:h="16840"/>
          <w:pgMar w:top="560" w:bottom="280" w:left="1200" w:right="1340"/>
          <w:cols w:num="2" w:equalWidth="0">
            <w:col w:w="2431" w:space="120"/>
            <w:col w:w="6819"/>
          </w:cols>
        </w:sectPr>
      </w:pPr>
    </w:p>
    <w:p>
      <w:pPr>
        <w:pStyle w:val="BodyText"/>
        <w:spacing w:before="3"/>
        <w:rPr>
          <w:sz w:val="20"/>
        </w:rPr>
      </w:pPr>
    </w:p>
    <w:p>
      <w:pPr>
        <w:spacing w:after="0"/>
        <w:rPr>
          <w:sz w:val="20"/>
        </w:rPr>
        <w:sectPr>
          <w:type w:val="continuous"/>
          <w:pgSz w:w="11910" w:h="16840"/>
          <w:pgMar w:top="560" w:bottom="280" w:left="1200" w:right="1340"/>
        </w:sectPr>
      </w:pPr>
    </w:p>
    <w:p>
      <w:pPr>
        <w:pStyle w:val="Heading5"/>
        <w:numPr>
          <w:ilvl w:val="1"/>
          <w:numId w:val="26"/>
        </w:numPr>
        <w:tabs>
          <w:tab w:pos="955" w:val="left" w:leader="none"/>
          <w:tab w:pos="956" w:val="left" w:leader="none"/>
        </w:tabs>
        <w:spacing w:line="273" w:lineRule="auto" w:before="35" w:after="0"/>
        <w:ind w:left="955" w:right="0" w:hanging="851"/>
        <w:jc w:val="left"/>
      </w:pPr>
      <w:r>
        <w:rPr/>
        <w:t>感染艾滋病病毒</w:t>
      </w:r>
      <w:r>
        <w:rPr>
          <w:w w:val="95"/>
        </w:rPr>
        <w:t>或患艾滋病</w:t>
      </w:r>
    </w:p>
    <w:p>
      <w:pPr>
        <w:pStyle w:val="BodyText"/>
        <w:spacing w:line="273" w:lineRule="auto" w:before="35"/>
        <w:ind w:left="104" w:right="126"/>
        <w:jc w:val="both"/>
      </w:pPr>
      <w:r>
        <w:rPr/>
        <w:br w:type="column"/>
      </w:r>
      <w:r>
        <w:rPr>
          <w:spacing w:val="-7"/>
        </w:rPr>
        <w:t>艾滋病病毒指人类免疫缺陷病毒，英文缩写为 </w:t>
      </w:r>
      <w:r>
        <w:rPr/>
        <w:t>HIV</w:t>
      </w:r>
      <w:r>
        <w:rPr>
          <w:spacing w:val="-7"/>
        </w:rPr>
        <w:t>。艾滋病指人类免疫缺</w:t>
      </w:r>
      <w:r>
        <w:rPr>
          <w:spacing w:val="-9"/>
        </w:rPr>
        <w:t>陷病毒引起的获得性免疫缺陷综合征，英文缩写为 </w:t>
      </w:r>
      <w:r>
        <w:rPr/>
        <w:t>AIDS。</w:t>
      </w:r>
    </w:p>
    <w:p>
      <w:pPr>
        <w:pStyle w:val="BodyText"/>
        <w:spacing w:line="273" w:lineRule="auto" w:before="7"/>
        <w:ind w:left="104" w:right="126"/>
        <w:jc w:val="both"/>
      </w:pPr>
      <w:r>
        <w:rPr/>
        <w:t>在人体血液或其他样本中检测到艾滋病病毒或其抗体呈阳性，没有出现临床症状或体征的，为感染艾滋病病毒；如果同时出现了明显临床症状或体征的，为患艾滋病。</w:t>
      </w:r>
    </w:p>
    <w:sectPr>
      <w:type w:val="continuous"/>
      <w:pgSz w:w="11910" w:h="16840"/>
      <w:pgMar w:top="560" w:bottom="280" w:left="1200" w:right="1340"/>
      <w:cols w:num="2" w:equalWidth="0">
        <w:col w:w="2442" w:space="109"/>
        <w:col w:w="6819"/>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ourier New">
    <w:altName w:val="Courier New"/>
    <w:charset w:val="0"/>
    <w:family w:val="modern"/>
    <w:pitch w:val="fixed"/>
  </w:font>
  <w:font w:name="宋体">
    <w:altName w:val="宋体"/>
    <w:charset w:val="86"/>
    <w:family w:val="auto"/>
    <w:pitch w:val="variable"/>
  </w:font>
  <w:font w:name="微软雅黑">
    <w:altName w:val="微软雅黑"/>
    <w:charset w:val="86"/>
    <w:family w:val="swiss"/>
    <w:pitch w:val="variable"/>
  </w:font>
  <w:font w:name="Malgun Gothic">
    <w:altName w:val="Malgun Gothic"/>
    <w:charset w:val="0"/>
    <w:family w:val="swiss"/>
    <w:pitch w:val="variable"/>
  </w:font>
  <w:font w:name="Symbol">
    <w:altName w:val="Symbol"/>
    <w:charset w:val="2"/>
    <w:family w:val="roman"/>
    <w:pitch w:val="variable"/>
  </w:font>
  <w:font w:name="Microsoft Sans Serif">
    <w:altName w:val="Microsoft Sans Serif"/>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7.359985pt;margin-top:781.119568pt;width:15pt;height:12pt;mso-position-horizontal-relative:page;mso-position-vertical-relative:page;z-index:-68704" type="#_x0000_t202" filled="false" stroked="false">
          <v:textbox inset="0,0,0,0">
            <w:txbxContent>
              <w:p>
                <w:pPr>
                  <w:spacing w:before="12"/>
                  <w:ind w:left="20" w:right="0" w:firstLine="0"/>
                  <w:jc w:val="left"/>
                  <w:rPr>
                    <w:rFonts w:ascii="Times New Roman"/>
                    <w:sz w:val="18"/>
                  </w:rPr>
                </w:pPr>
                <w:r>
                  <w:rPr>
                    <w:rFonts w:ascii="Times New Roman"/>
                    <w:sz w:val="18"/>
                  </w:rPr>
                  <w:t>8-</w:t>
                </w:r>
                <w:r>
                  <w:rPr/>
                  <w:fldChar w:fldCharType="begin"/>
                </w:r>
                <w:r>
                  <w:rPr>
                    <w:rFonts w:ascii="Times New Roman"/>
                    <w:sz w:val="18"/>
                  </w:rPr>
                  <w:instrText> PAGE </w:instrText>
                </w:r>
                <w:r>
                  <w:rPr/>
                  <w:fldChar w:fldCharType="separate"/>
                </w:r>
                <w:r>
                  <w:rPr/>
                  <w:t>1</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2.859985pt;margin-top:781.119568pt;width:24.05pt;height:12pt;mso-position-horizontal-relative:page;mso-position-vertical-relative:page;z-index:-68680" type="#_x0000_t202" filled="false" stroked="false">
          <v:textbox inset="0,0,0,0">
            <w:txbxContent>
              <w:p>
                <w:pPr>
                  <w:spacing w:before="12"/>
                  <w:ind w:left="20" w:right="0" w:firstLine="0"/>
                  <w:jc w:val="left"/>
                  <w:rPr>
                    <w:rFonts w:ascii="Times New Roman"/>
                    <w:sz w:val="18"/>
                  </w:rPr>
                </w:pPr>
                <w:r>
                  <w:rPr>
                    <w:rFonts w:ascii="Times New Roman"/>
                    <w:sz w:val="18"/>
                  </w:rPr>
                  <w:t>14-</w:t>
                </w: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5">
    <w:multiLevelType w:val="hybridMultilevel"/>
    <w:lvl w:ilvl="0">
      <w:start w:val="4"/>
      <w:numFmt w:val="decimal"/>
      <w:lvlText w:val="%1"/>
      <w:lvlJc w:val="left"/>
      <w:pPr>
        <w:ind w:left="1075" w:hanging="852"/>
        <w:jc w:val="left"/>
      </w:pPr>
      <w:rPr>
        <w:rFonts w:hint="default"/>
      </w:rPr>
    </w:lvl>
    <w:lvl w:ilvl="1">
      <w:start w:val="1"/>
      <w:numFmt w:val="decimal"/>
      <w:lvlText w:val="%1.%2"/>
      <w:lvlJc w:val="left"/>
      <w:pPr>
        <w:ind w:left="1075" w:hanging="852"/>
        <w:jc w:val="left"/>
      </w:pPr>
      <w:rPr>
        <w:rFonts w:hint="default" w:ascii="宋体" w:hAnsi="宋体" w:eastAsia="宋体" w:cs="宋体"/>
        <w:b/>
        <w:bCs/>
        <w:w w:val="99"/>
        <w:sz w:val="21"/>
        <w:szCs w:val="21"/>
      </w:rPr>
    </w:lvl>
    <w:lvl w:ilvl="2">
      <w:start w:val="0"/>
      <w:numFmt w:val="bullet"/>
      <w:lvlText w:val="•"/>
      <w:lvlJc w:val="left"/>
      <w:pPr>
        <w:ind w:left="2754" w:hanging="852"/>
      </w:pPr>
      <w:rPr>
        <w:rFonts w:hint="default"/>
      </w:rPr>
    </w:lvl>
    <w:lvl w:ilvl="3">
      <w:start w:val="0"/>
      <w:numFmt w:val="bullet"/>
      <w:lvlText w:val="•"/>
      <w:lvlJc w:val="left"/>
      <w:pPr>
        <w:ind w:left="2728" w:hanging="852"/>
      </w:pPr>
      <w:rPr>
        <w:rFonts w:hint="default"/>
      </w:rPr>
    </w:lvl>
    <w:lvl w:ilvl="4">
      <w:start w:val="0"/>
      <w:numFmt w:val="bullet"/>
      <w:lvlText w:val="•"/>
      <w:lvlJc w:val="left"/>
      <w:pPr>
        <w:ind w:left="2703" w:hanging="852"/>
      </w:pPr>
      <w:rPr>
        <w:rFonts w:hint="default"/>
      </w:rPr>
    </w:lvl>
    <w:lvl w:ilvl="5">
      <w:start w:val="0"/>
      <w:numFmt w:val="bullet"/>
      <w:lvlText w:val="•"/>
      <w:lvlJc w:val="left"/>
      <w:pPr>
        <w:ind w:left="2677" w:hanging="852"/>
      </w:pPr>
      <w:rPr>
        <w:rFonts w:hint="default"/>
      </w:rPr>
    </w:lvl>
    <w:lvl w:ilvl="6">
      <w:start w:val="0"/>
      <w:numFmt w:val="bullet"/>
      <w:lvlText w:val="•"/>
      <w:lvlJc w:val="left"/>
      <w:pPr>
        <w:ind w:left="2652" w:hanging="852"/>
      </w:pPr>
      <w:rPr>
        <w:rFonts w:hint="default"/>
      </w:rPr>
    </w:lvl>
    <w:lvl w:ilvl="7">
      <w:start w:val="0"/>
      <w:numFmt w:val="bullet"/>
      <w:lvlText w:val="•"/>
      <w:lvlJc w:val="left"/>
      <w:pPr>
        <w:ind w:left="2626" w:hanging="852"/>
      </w:pPr>
      <w:rPr>
        <w:rFonts w:hint="default"/>
      </w:rPr>
    </w:lvl>
    <w:lvl w:ilvl="8">
      <w:start w:val="0"/>
      <w:numFmt w:val="bullet"/>
      <w:lvlText w:val="•"/>
      <w:lvlJc w:val="left"/>
      <w:pPr>
        <w:ind w:left="2601" w:hanging="852"/>
      </w:pPr>
      <w:rPr>
        <w:rFonts w:hint="default"/>
      </w:rPr>
    </w:lvl>
  </w:abstractNum>
  <w:abstractNum w:abstractNumId="24">
    <w:multiLevelType w:val="hybridMultilevel"/>
    <w:lvl w:ilvl="0">
      <w:start w:val="3"/>
      <w:numFmt w:val="decimal"/>
      <w:lvlText w:val="%1"/>
      <w:lvlJc w:val="left"/>
      <w:pPr>
        <w:ind w:left="955" w:hanging="851"/>
        <w:jc w:val="right"/>
      </w:pPr>
      <w:rPr>
        <w:rFonts w:hint="default"/>
      </w:rPr>
    </w:lvl>
    <w:lvl w:ilvl="1">
      <w:start w:val="3"/>
      <w:numFmt w:val="decimal"/>
      <w:lvlText w:val="%1.%2"/>
      <w:lvlJc w:val="left"/>
      <w:pPr>
        <w:ind w:left="955" w:hanging="851"/>
        <w:jc w:val="right"/>
      </w:pPr>
      <w:rPr>
        <w:rFonts w:hint="default" w:ascii="宋体" w:hAnsi="宋体" w:eastAsia="宋体" w:cs="宋体"/>
        <w:b/>
        <w:bCs/>
        <w:w w:val="99"/>
        <w:position w:val="3"/>
        <w:sz w:val="21"/>
        <w:szCs w:val="21"/>
      </w:rPr>
    </w:lvl>
    <w:lvl w:ilvl="2">
      <w:start w:val="1"/>
      <w:numFmt w:val="decimal"/>
      <w:lvlText w:val="%1.%2.%3"/>
      <w:lvlJc w:val="left"/>
      <w:pPr>
        <w:ind w:left="2775" w:hanging="851"/>
        <w:jc w:val="left"/>
      </w:pPr>
      <w:rPr>
        <w:rFonts w:hint="default" w:ascii="宋体" w:hAnsi="宋体" w:eastAsia="宋体" w:cs="宋体"/>
        <w:i/>
        <w:spacing w:val="-1"/>
        <w:w w:val="95"/>
        <w:sz w:val="22"/>
        <w:szCs w:val="22"/>
      </w:rPr>
    </w:lvl>
    <w:lvl w:ilvl="3">
      <w:start w:val="0"/>
      <w:numFmt w:val="bullet"/>
      <w:lvlText w:val="•"/>
      <w:lvlJc w:val="left"/>
      <w:pPr>
        <w:ind w:left="2704" w:hanging="851"/>
      </w:pPr>
      <w:rPr>
        <w:rFonts w:hint="default"/>
      </w:rPr>
    </w:lvl>
    <w:lvl w:ilvl="4">
      <w:start w:val="0"/>
      <w:numFmt w:val="bullet"/>
      <w:lvlText w:val="•"/>
      <w:lvlJc w:val="left"/>
      <w:pPr>
        <w:ind w:left="2667" w:hanging="851"/>
      </w:pPr>
      <w:rPr>
        <w:rFonts w:hint="default"/>
      </w:rPr>
    </w:lvl>
    <w:lvl w:ilvl="5">
      <w:start w:val="0"/>
      <w:numFmt w:val="bullet"/>
      <w:lvlText w:val="•"/>
      <w:lvlJc w:val="left"/>
      <w:pPr>
        <w:ind w:left="2629" w:hanging="851"/>
      </w:pPr>
      <w:rPr>
        <w:rFonts w:hint="default"/>
      </w:rPr>
    </w:lvl>
    <w:lvl w:ilvl="6">
      <w:start w:val="0"/>
      <w:numFmt w:val="bullet"/>
      <w:lvlText w:val="•"/>
      <w:lvlJc w:val="left"/>
      <w:pPr>
        <w:ind w:left="2592" w:hanging="851"/>
      </w:pPr>
      <w:rPr>
        <w:rFonts w:hint="default"/>
      </w:rPr>
    </w:lvl>
    <w:lvl w:ilvl="7">
      <w:start w:val="0"/>
      <w:numFmt w:val="bullet"/>
      <w:lvlText w:val="•"/>
      <w:lvlJc w:val="left"/>
      <w:pPr>
        <w:ind w:left="2554" w:hanging="851"/>
      </w:pPr>
      <w:rPr>
        <w:rFonts w:hint="default"/>
      </w:rPr>
    </w:lvl>
    <w:lvl w:ilvl="8">
      <w:start w:val="0"/>
      <w:numFmt w:val="bullet"/>
      <w:lvlText w:val="•"/>
      <w:lvlJc w:val="left"/>
      <w:pPr>
        <w:ind w:left="2517" w:hanging="851"/>
      </w:pPr>
      <w:rPr>
        <w:rFonts w:hint="default"/>
      </w:rPr>
    </w:lvl>
  </w:abstractNum>
  <w:abstractNum w:abstractNumId="23">
    <w:multiLevelType w:val="hybridMultilevel"/>
    <w:lvl w:ilvl="0">
      <w:start w:val="3"/>
      <w:numFmt w:val="decimal"/>
      <w:lvlText w:val="%1"/>
      <w:lvlJc w:val="left"/>
      <w:pPr>
        <w:ind w:left="2655" w:hanging="851"/>
        <w:jc w:val="left"/>
      </w:pPr>
      <w:rPr>
        <w:rFonts w:hint="default"/>
      </w:rPr>
    </w:lvl>
    <w:lvl w:ilvl="1">
      <w:start w:val="2"/>
      <w:numFmt w:val="decimal"/>
      <w:lvlText w:val="%1.%2"/>
      <w:lvlJc w:val="left"/>
      <w:pPr>
        <w:ind w:left="2655" w:hanging="851"/>
        <w:jc w:val="left"/>
      </w:pPr>
      <w:rPr>
        <w:rFonts w:hint="default"/>
      </w:rPr>
    </w:lvl>
    <w:lvl w:ilvl="2">
      <w:start w:val="1"/>
      <w:numFmt w:val="decimal"/>
      <w:lvlText w:val="%1.%2.%3"/>
      <w:lvlJc w:val="left"/>
      <w:pPr>
        <w:ind w:left="2655" w:hanging="851"/>
        <w:jc w:val="left"/>
      </w:pPr>
      <w:rPr>
        <w:rFonts w:hint="default" w:ascii="宋体" w:hAnsi="宋体" w:eastAsia="宋体" w:cs="宋体"/>
        <w:i/>
        <w:spacing w:val="-1"/>
        <w:w w:val="95"/>
        <w:sz w:val="22"/>
        <w:szCs w:val="22"/>
      </w:rPr>
    </w:lvl>
    <w:lvl w:ilvl="3">
      <w:start w:val="0"/>
      <w:numFmt w:val="bullet"/>
      <w:lvlText w:val="•"/>
      <w:lvlJc w:val="left"/>
      <w:pPr>
        <w:ind w:left="4701" w:hanging="851"/>
      </w:pPr>
      <w:rPr>
        <w:rFonts w:hint="default"/>
      </w:rPr>
    </w:lvl>
    <w:lvl w:ilvl="4">
      <w:start w:val="0"/>
      <w:numFmt w:val="bullet"/>
      <w:lvlText w:val="•"/>
      <w:lvlJc w:val="left"/>
      <w:pPr>
        <w:ind w:left="5381" w:hanging="851"/>
      </w:pPr>
      <w:rPr>
        <w:rFonts w:hint="default"/>
      </w:rPr>
    </w:lvl>
    <w:lvl w:ilvl="5">
      <w:start w:val="0"/>
      <w:numFmt w:val="bullet"/>
      <w:lvlText w:val="•"/>
      <w:lvlJc w:val="left"/>
      <w:pPr>
        <w:ind w:left="6062" w:hanging="851"/>
      </w:pPr>
      <w:rPr>
        <w:rFonts w:hint="default"/>
      </w:rPr>
    </w:lvl>
    <w:lvl w:ilvl="6">
      <w:start w:val="0"/>
      <w:numFmt w:val="bullet"/>
      <w:lvlText w:val="•"/>
      <w:lvlJc w:val="left"/>
      <w:pPr>
        <w:ind w:left="6742" w:hanging="851"/>
      </w:pPr>
      <w:rPr>
        <w:rFonts w:hint="default"/>
      </w:rPr>
    </w:lvl>
    <w:lvl w:ilvl="7">
      <w:start w:val="0"/>
      <w:numFmt w:val="bullet"/>
      <w:lvlText w:val="•"/>
      <w:lvlJc w:val="left"/>
      <w:pPr>
        <w:ind w:left="7423" w:hanging="851"/>
      </w:pPr>
      <w:rPr>
        <w:rFonts w:hint="default"/>
      </w:rPr>
    </w:lvl>
    <w:lvl w:ilvl="8">
      <w:start w:val="0"/>
      <w:numFmt w:val="bullet"/>
      <w:lvlText w:val="•"/>
      <w:lvlJc w:val="left"/>
      <w:pPr>
        <w:ind w:left="8103" w:hanging="851"/>
      </w:pPr>
      <w:rPr>
        <w:rFonts w:hint="default"/>
      </w:rPr>
    </w:lvl>
  </w:abstractNum>
  <w:abstractNum w:abstractNumId="22">
    <w:multiLevelType w:val="hybridMultilevel"/>
    <w:lvl w:ilvl="0">
      <w:start w:val="1"/>
      <w:numFmt w:val="upperRoman"/>
      <w:lvlText w:val="%1"/>
      <w:lvlJc w:val="left"/>
      <w:pPr>
        <w:ind w:left="2892" w:hanging="159"/>
        <w:jc w:val="left"/>
      </w:pPr>
      <w:rPr>
        <w:rFonts w:hint="default" w:ascii="宋体" w:hAnsi="宋体" w:eastAsia="宋体" w:cs="宋体"/>
        <w:w w:val="100"/>
        <w:sz w:val="21"/>
        <w:szCs w:val="21"/>
      </w:rPr>
    </w:lvl>
    <w:lvl w:ilvl="1">
      <w:start w:val="0"/>
      <w:numFmt w:val="bullet"/>
      <w:lvlText w:val="•"/>
      <w:lvlJc w:val="left"/>
      <w:pPr>
        <w:ind w:left="3562" w:hanging="159"/>
      </w:pPr>
      <w:rPr>
        <w:rFonts w:hint="default"/>
      </w:rPr>
    </w:lvl>
    <w:lvl w:ilvl="2">
      <w:start w:val="0"/>
      <w:numFmt w:val="bullet"/>
      <w:lvlText w:val="•"/>
      <w:lvlJc w:val="left"/>
      <w:pPr>
        <w:ind w:left="4224" w:hanging="159"/>
      </w:pPr>
      <w:rPr>
        <w:rFonts w:hint="default"/>
      </w:rPr>
    </w:lvl>
    <w:lvl w:ilvl="3">
      <w:start w:val="0"/>
      <w:numFmt w:val="bullet"/>
      <w:lvlText w:val="•"/>
      <w:lvlJc w:val="left"/>
      <w:pPr>
        <w:ind w:left="4887" w:hanging="159"/>
      </w:pPr>
      <w:rPr>
        <w:rFonts w:hint="default"/>
      </w:rPr>
    </w:lvl>
    <w:lvl w:ilvl="4">
      <w:start w:val="0"/>
      <w:numFmt w:val="bullet"/>
      <w:lvlText w:val="•"/>
      <w:lvlJc w:val="left"/>
      <w:pPr>
        <w:ind w:left="5549" w:hanging="159"/>
      </w:pPr>
      <w:rPr>
        <w:rFonts w:hint="default"/>
      </w:rPr>
    </w:lvl>
    <w:lvl w:ilvl="5">
      <w:start w:val="0"/>
      <w:numFmt w:val="bullet"/>
      <w:lvlText w:val="•"/>
      <w:lvlJc w:val="left"/>
      <w:pPr>
        <w:ind w:left="6212" w:hanging="159"/>
      </w:pPr>
      <w:rPr>
        <w:rFonts w:hint="default"/>
      </w:rPr>
    </w:lvl>
    <w:lvl w:ilvl="6">
      <w:start w:val="0"/>
      <w:numFmt w:val="bullet"/>
      <w:lvlText w:val="•"/>
      <w:lvlJc w:val="left"/>
      <w:pPr>
        <w:ind w:left="6874" w:hanging="159"/>
      </w:pPr>
      <w:rPr>
        <w:rFonts w:hint="default"/>
      </w:rPr>
    </w:lvl>
    <w:lvl w:ilvl="7">
      <w:start w:val="0"/>
      <w:numFmt w:val="bullet"/>
      <w:lvlText w:val="•"/>
      <w:lvlJc w:val="left"/>
      <w:pPr>
        <w:ind w:left="7537" w:hanging="159"/>
      </w:pPr>
      <w:rPr>
        <w:rFonts w:hint="default"/>
      </w:rPr>
    </w:lvl>
    <w:lvl w:ilvl="8">
      <w:start w:val="0"/>
      <w:numFmt w:val="bullet"/>
      <w:lvlText w:val="•"/>
      <w:lvlJc w:val="left"/>
      <w:pPr>
        <w:ind w:left="8199" w:hanging="159"/>
      </w:pPr>
      <w:rPr>
        <w:rFonts w:hint="default"/>
      </w:rPr>
    </w:lvl>
  </w:abstractNum>
  <w:abstractNum w:abstractNumId="21">
    <w:multiLevelType w:val="hybridMultilevel"/>
    <w:lvl w:ilvl="0">
      <w:start w:val="0"/>
      <w:numFmt w:val="bullet"/>
      <w:lvlText w:val="▪"/>
      <w:lvlJc w:val="left"/>
      <w:pPr>
        <w:ind w:left="880" w:hanging="360"/>
      </w:pPr>
      <w:rPr>
        <w:rFonts w:hint="default" w:ascii="Microsoft Sans Serif" w:hAnsi="Microsoft Sans Serif" w:eastAsia="Microsoft Sans Serif" w:cs="Microsoft Sans Serif"/>
        <w:w w:val="129"/>
        <w:sz w:val="24"/>
        <w:szCs w:val="24"/>
      </w:rPr>
    </w:lvl>
    <w:lvl w:ilvl="1">
      <w:start w:val="0"/>
      <w:numFmt w:val="bullet"/>
      <w:lvlText w:val="•"/>
      <w:lvlJc w:val="left"/>
      <w:pPr>
        <w:ind w:left="1474" w:hanging="360"/>
      </w:pPr>
      <w:rPr>
        <w:rFonts w:hint="default"/>
      </w:rPr>
    </w:lvl>
    <w:lvl w:ilvl="2">
      <w:start w:val="0"/>
      <w:numFmt w:val="bullet"/>
      <w:lvlText w:val="•"/>
      <w:lvlJc w:val="left"/>
      <w:pPr>
        <w:ind w:left="2069" w:hanging="360"/>
      </w:pPr>
      <w:rPr>
        <w:rFonts w:hint="default"/>
      </w:rPr>
    </w:lvl>
    <w:lvl w:ilvl="3">
      <w:start w:val="0"/>
      <w:numFmt w:val="bullet"/>
      <w:lvlText w:val="•"/>
      <w:lvlJc w:val="left"/>
      <w:pPr>
        <w:ind w:left="2663" w:hanging="360"/>
      </w:pPr>
      <w:rPr>
        <w:rFonts w:hint="default"/>
      </w:rPr>
    </w:lvl>
    <w:lvl w:ilvl="4">
      <w:start w:val="0"/>
      <w:numFmt w:val="bullet"/>
      <w:lvlText w:val="•"/>
      <w:lvlJc w:val="left"/>
      <w:pPr>
        <w:ind w:left="3258" w:hanging="360"/>
      </w:pPr>
      <w:rPr>
        <w:rFonts w:hint="default"/>
      </w:rPr>
    </w:lvl>
    <w:lvl w:ilvl="5">
      <w:start w:val="0"/>
      <w:numFmt w:val="bullet"/>
      <w:lvlText w:val="•"/>
      <w:lvlJc w:val="left"/>
      <w:pPr>
        <w:ind w:left="3852" w:hanging="360"/>
      </w:pPr>
      <w:rPr>
        <w:rFonts w:hint="default"/>
      </w:rPr>
    </w:lvl>
    <w:lvl w:ilvl="6">
      <w:start w:val="0"/>
      <w:numFmt w:val="bullet"/>
      <w:lvlText w:val="•"/>
      <w:lvlJc w:val="left"/>
      <w:pPr>
        <w:ind w:left="4447" w:hanging="360"/>
      </w:pPr>
      <w:rPr>
        <w:rFonts w:hint="default"/>
      </w:rPr>
    </w:lvl>
    <w:lvl w:ilvl="7">
      <w:start w:val="0"/>
      <w:numFmt w:val="bullet"/>
      <w:lvlText w:val="•"/>
      <w:lvlJc w:val="left"/>
      <w:pPr>
        <w:ind w:left="5041" w:hanging="360"/>
      </w:pPr>
      <w:rPr>
        <w:rFonts w:hint="default"/>
      </w:rPr>
    </w:lvl>
    <w:lvl w:ilvl="8">
      <w:start w:val="0"/>
      <w:numFmt w:val="bullet"/>
      <w:lvlText w:val="•"/>
      <w:lvlJc w:val="left"/>
      <w:pPr>
        <w:ind w:left="5636" w:hanging="360"/>
      </w:pPr>
      <w:rPr>
        <w:rFonts w:hint="default"/>
      </w:rPr>
    </w:lvl>
  </w:abstractNum>
  <w:abstractNum w:abstractNumId="20">
    <w:multiLevelType w:val="hybridMultilevel"/>
    <w:lvl w:ilvl="0">
      <w:start w:val="0"/>
      <w:numFmt w:val="bullet"/>
      <w:lvlText w:val="▪"/>
      <w:lvlJc w:val="left"/>
      <w:pPr>
        <w:ind w:left="880" w:hanging="360"/>
      </w:pPr>
      <w:rPr>
        <w:rFonts w:hint="default" w:ascii="Microsoft Sans Serif" w:hAnsi="Microsoft Sans Serif" w:eastAsia="Microsoft Sans Serif" w:cs="Microsoft Sans Serif"/>
        <w:w w:val="129"/>
        <w:sz w:val="21"/>
        <w:szCs w:val="21"/>
      </w:rPr>
    </w:lvl>
    <w:lvl w:ilvl="1">
      <w:start w:val="0"/>
      <w:numFmt w:val="bullet"/>
      <w:lvlText w:val="•"/>
      <w:lvlJc w:val="left"/>
      <w:pPr>
        <w:ind w:left="1474" w:hanging="360"/>
      </w:pPr>
      <w:rPr>
        <w:rFonts w:hint="default"/>
      </w:rPr>
    </w:lvl>
    <w:lvl w:ilvl="2">
      <w:start w:val="0"/>
      <w:numFmt w:val="bullet"/>
      <w:lvlText w:val="•"/>
      <w:lvlJc w:val="left"/>
      <w:pPr>
        <w:ind w:left="2069" w:hanging="360"/>
      </w:pPr>
      <w:rPr>
        <w:rFonts w:hint="default"/>
      </w:rPr>
    </w:lvl>
    <w:lvl w:ilvl="3">
      <w:start w:val="0"/>
      <w:numFmt w:val="bullet"/>
      <w:lvlText w:val="•"/>
      <w:lvlJc w:val="left"/>
      <w:pPr>
        <w:ind w:left="2663" w:hanging="360"/>
      </w:pPr>
      <w:rPr>
        <w:rFonts w:hint="default"/>
      </w:rPr>
    </w:lvl>
    <w:lvl w:ilvl="4">
      <w:start w:val="0"/>
      <w:numFmt w:val="bullet"/>
      <w:lvlText w:val="•"/>
      <w:lvlJc w:val="left"/>
      <w:pPr>
        <w:ind w:left="3258" w:hanging="360"/>
      </w:pPr>
      <w:rPr>
        <w:rFonts w:hint="default"/>
      </w:rPr>
    </w:lvl>
    <w:lvl w:ilvl="5">
      <w:start w:val="0"/>
      <w:numFmt w:val="bullet"/>
      <w:lvlText w:val="•"/>
      <w:lvlJc w:val="left"/>
      <w:pPr>
        <w:ind w:left="3852" w:hanging="360"/>
      </w:pPr>
      <w:rPr>
        <w:rFonts w:hint="default"/>
      </w:rPr>
    </w:lvl>
    <w:lvl w:ilvl="6">
      <w:start w:val="0"/>
      <w:numFmt w:val="bullet"/>
      <w:lvlText w:val="•"/>
      <w:lvlJc w:val="left"/>
      <w:pPr>
        <w:ind w:left="4447" w:hanging="360"/>
      </w:pPr>
      <w:rPr>
        <w:rFonts w:hint="default"/>
      </w:rPr>
    </w:lvl>
    <w:lvl w:ilvl="7">
      <w:start w:val="0"/>
      <w:numFmt w:val="bullet"/>
      <w:lvlText w:val="•"/>
      <w:lvlJc w:val="left"/>
      <w:pPr>
        <w:ind w:left="5041" w:hanging="360"/>
      </w:pPr>
      <w:rPr>
        <w:rFonts w:hint="default"/>
      </w:rPr>
    </w:lvl>
    <w:lvl w:ilvl="8">
      <w:start w:val="0"/>
      <w:numFmt w:val="bullet"/>
      <w:lvlText w:val="•"/>
      <w:lvlJc w:val="left"/>
      <w:pPr>
        <w:ind w:left="5636" w:hanging="360"/>
      </w:pPr>
      <w:rPr>
        <w:rFonts w:hint="default"/>
      </w:rPr>
    </w:lvl>
  </w:abstractNum>
  <w:abstractNum w:abstractNumId="19">
    <w:multiLevelType w:val="hybridMultilevel"/>
    <w:lvl w:ilvl="0">
      <w:start w:val="0"/>
      <w:numFmt w:val="bullet"/>
      <w:lvlText w:val="▪"/>
      <w:lvlJc w:val="left"/>
      <w:pPr>
        <w:ind w:left="880" w:hanging="360"/>
      </w:pPr>
      <w:rPr>
        <w:rFonts w:hint="default" w:ascii="Microsoft Sans Serif" w:hAnsi="Microsoft Sans Serif" w:eastAsia="Microsoft Sans Serif" w:cs="Microsoft Sans Serif"/>
        <w:w w:val="129"/>
        <w:sz w:val="21"/>
        <w:szCs w:val="21"/>
      </w:rPr>
    </w:lvl>
    <w:lvl w:ilvl="1">
      <w:start w:val="0"/>
      <w:numFmt w:val="bullet"/>
      <w:lvlText w:val="•"/>
      <w:lvlJc w:val="left"/>
      <w:pPr>
        <w:ind w:left="1474" w:hanging="360"/>
      </w:pPr>
      <w:rPr>
        <w:rFonts w:hint="default"/>
      </w:rPr>
    </w:lvl>
    <w:lvl w:ilvl="2">
      <w:start w:val="0"/>
      <w:numFmt w:val="bullet"/>
      <w:lvlText w:val="•"/>
      <w:lvlJc w:val="left"/>
      <w:pPr>
        <w:ind w:left="2069" w:hanging="360"/>
      </w:pPr>
      <w:rPr>
        <w:rFonts w:hint="default"/>
      </w:rPr>
    </w:lvl>
    <w:lvl w:ilvl="3">
      <w:start w:val="0"/>
      <w:numFmt w:val="bullet"/>
      <w:lvlText w:val="•"/>
      <w:lvlJc w:val="left"/>
      <w:pPr>
        <w:ind w:left="2663" w:hanging="360"/>
      </w:pPr>
      <w:rPr>
        <w:rFonts w:hint="default"/>
      </w:rPr>
    </w:lvl>
    <w:lvl w:ilvl="4">
      <w:start w:val="0"/>
      <w:numFmt w:val="bullet"/>
      <w:lvlText w:val="•"/>
      <w:lvlJc w:val="left"/>
      <w:pPr>
        <w:ind w:left="3258" w:hanging="360"/>
      </w:pPr>
      <w:rPr>
        <w:rFonts w:hint="default"/>
      </w:rPr>
    </w:lvl>
    <w:lvl w:ilvl="5">
      <w:start w:val="0"/>
      <w:numFmt w:val="bullet"/>
      <w:lvlText w:val="•"/>
      <w:lvlJc w:val="left"/>
      <w:pPr>
        <w:ind w:left="3852" w:hanging="360"/>
      </w:pPr>
      <w:rPr>
        <w:rFonts w:hint="default"/>
      </w:rPr>
    </w:lvl>
    <w:lvl w:ilvl="6">
      <w:start w:val="0"/>
      <w:numFmt w:val="bullet"/>
      <w:lvlText w:val="•"/>
      <w:lvlJc w:val="left"/>
      <w:pPr>
        <w:ind w:left="4447" w:hanging="360"/>
      </w:pPr>
      <w:rPr>
        <w:rFonts w:hint="default"/>
      </w:rPr>
    </w:lvl>
    <w:lvl w:ilvl="7">
      <w:start w:val="0"/>
      <w:numFmt w:val="bullet"/>
      <w:lvlText w:val="•"/>
      <w:lvlJc w:val="left"/>
      <w:pPr>
        <w:ind w:left="5041" w:hanging="360"/>
      </w:pPr>
      <w:rPr>
        <w:rFonts w:hint="default"/>
      </w:rPr>
    </w:lvl>
    <w:lvl w:ilvl="8">
      <w:start w:val="0"/>
      <w:numFmt w:val="bullet"/>
      <w:lvlText w:val="•"/>
      <w:lvlJc w:val="left"/>
      <w:pPr>
        <w:ind w:left="5636" w:hanging="360"/>
      </w:pPr>
      <w:rPr>
        <w:rFonts w:hint="default"/>
      </w:rPr>
    </w:lvl>
  </w:abstractNum>
  <w:abstractNum w:abstractNumId="18">
    <w:multiLevelType w:val="hybridMultilevel"/>
    <w:lvl w:ilvl="0">
      <w:start w:val="0"/>
      <w:numFmt w:val="bullet"/>
      <w:lvlText w:val="▪"/>
      <w:lvlJc w:val="left"/>
      <w:pPr>
        <w:ind w:left="880" w:hanging="360"/>
      </w:pPr>
      <w:rPr>
        <w:rFonts w:hint="default" w:ascii="Microsoft Sans Serif" w:hAnsi="Microsoft Sans Serif" w:eastAsia="Microsoft Sans Serif" w:cs="Microsoft Sans Serif"/>
        <w:w w:val="129"/>
        <w:sz w:val="21"/>
        <w:szCs w:val="21"/>
      </w:rPr>
    </w:lvl>
    <w:lvl w:ilvl="1">
      <w:start w:val="0"/>
      <w:numFmt w:val="bullet"/>
      <w:lvlText w:val="•"/>
      <w:lvlJc w:val="left"/>
      <w:pPr>
        <w:ind w:left="1474" w:hanging="360"/>
      </w:pPr>
      <w:rPr>
        <w:rFonts w:hint="default"/>
      </w:rPr>
    </w:lvl>
    <w:lvl w:ilvl="2">
      <w:start w:val="0"/>
      <w:numFmt w:val="bullet"/>
      <w:lvlText w:val="•"/>
      <w:lvlJc w:val="left"/>
      <w:pPr>
        <w:ind w:left="2069" w:hanging="360"/>
      </w:pPr>
      <w:rPr>
        <w:rFonts w:hint="default"/>
      </w:rPr>
    </w:lvl>
    <w:lvl w:ilvl="3">
      <w:start w:val="0"/>
      <w:numFmt w:val="bullet"/>
      <w:lvlText w:val="•"/>
      <w:lvlJc w:val="left"/>
      <w:pPr>
        <w:ind w:left="2663" w:hanging="360"/>
      </w:pPr>
      <w:rPr>
        <w:rFonts w:hint="default"/>
      </w:rPr>
    </w:lvl>
    <w:lvl w:ilvl="4">
      <w:start w:val="0"/>
      <w:numFmt w:val="bullet"/>
      <w:lvlText w:val="•"/>
      <w:lvlJc w:val="left"/>
      <w:pPr>
        <w:ind w:left="3258" w:hanging="360"/>
      </w:pPr>
      <w:rPr>
        <w:rFonts w:hint="default"/>
      </w:rPr>
    </w:lvl>
    <w:lvl w:ilvl="5">
      <w:start w:val="0"/>
      <w:numFmt w:val="bullet"/>
      <w:lvlText w:val="•"/>
      <w:lvlJc w:val="left"/>
      <w:pPr>
        <w:ind w:left="3852" w:hanging="360"/>
      </w:pPr>
      <w:rPr>
        <w:rFonts w:hint="default"/>
      </w:rPr>
    </w:lvl>
    <w:lvl w:ilvl="6">
      <w:start w:val="0"/>
      <w:numFmt w:val="bullet"/>
      <w:lvlText w:val="•"/>
      <w:lvlJc w:val="left"/>
      <w:pPr>
        <w:ind w:left="4447" w:hanging="360"/>
      </w:pPr>
      <w:rPr>
        <w:rFonts w:hint="default"/>
      </w:rPr>
    </w:lvl>
    <w:lvl w:ilvl="7">
      <w:start w:val="0"/>
      <w:numFmt w:val="bullet"/>
      <w:lvlText w:val="•"/>
      <w:lvlJc w:val="left"/>
      <w:pPr>
        <w:ind w:left="5041" w:hanging="360"/>
      </w:pPr>
      <w:rPr>
        <w:rFonts w:hint="default"/>
      </w:rPr>
    </w:lvl>
    <w:lvl w:ilvl="8">
      <w:start w:val="0"/>
      <w:numFmt w:val="bullet"/>
      <w:lvlText w:val="•"/>
      <w:lvlJc w:val="left"/>
      <w:pPr>
        <w:ind w:left="5636" w:hanging="360"/>
      </w:pPr>
      <w:rPr>
        <w:rFonts w:hint="default"/>
      </w:rPr>
    </w:lvl>
  </w:abstractNum>
  <w:abstractNum w:abstractNumId="17">
    <w:multiLevelType w:val="hybridMultilevel"/>
    <w:lvl w:ilvl="0">
      <w:start w:val="0"/>
      <w:numFmt w:val="bullet"/>
      <w:lvlText w:val="▪"/>
      <w:lvlJc w:val="left"/>
      <w:pPr>
        <w:ind w:left="880" w:hanging="360"/>
      </w:pPr>
      <w:rPr>
        <w:rFonts w:hint="default" w:ascii="Microsoft Sans Serif" w:hAnsi="Microsoft Sans Serif" w:eastAsia="Microsoft Sans Serif" w:cs="Microsoft Sans Serif"/>
        <w:w w:val="129"/>
        <w:sz w:val="21"/>
        <w:szCs w:val="21"/>
      </w:rPr>
    </w:lvl>
    <w:lvl w:ilvl="1">
      <w:start w:val="0"/>
      <w:numFmt w:val="bullet"/>
      <w:lvlText w:val="•"/>
      <w:lvlJc w:val="left"/>
      <w:pPr>
        <w:ind w:left="1474" w:hanging="360"/>
      </w:pPr>
      <w:rPr>
        <w:rFonts w:hint="default"/>
      </w:rPr>
    </w:lvl>
    <w:lvl w:ilvl="2">
      <w:start w:val="0"/>
      <w:numFmt w:val="bullet"/>
      <w:lvlText w:val="•"/>
      <w:lvlJc w:val="left"/>
      <w:pPr>
        <w:ind w:left="2069" w:hanging="360"/>
      </w:pPr>
      <w:rPr>
        <w:rFonts w:hint="default"/>
      </w:rPr>
    </w:lvl>
    <w:lvl w:ilvl="3">
      <w:start w:val="0"/>
      <w:numFmt w:val="bullet"/>
      <w:lvlText w:val="•"/>
      <w:lvlJc w:val="left"/>
      <w:pPr>
        <w:ind w:left="2663" w:hanging="360"/>
      </w:pPr>
      <w:rPr>
        <w:rFonts w:hint="default"/>
      </w:rPr>
    </w:lvl>
    <w:lvl w:ilvl="4">
      <w:start w:val="0"/>
      <w:numFmt w:val="bullet"/>
      <w:lvlText w:val="•"/>
      <w:lvlJc w:val="left"/>
      <w:pPr>
        <w:ind w:left="3258" w:hanging="360"/>
      </w:pPr>
      <w:rPr>
        <w:rFonts w:hint="default"/>
      </w:rPr>
    </w:lvl>
    <w:lvl w:ilvl="5">
      <w:start w:val="0"/>
      <w:numFmt w:val="bullet"/>
      <w:lvlText w:val="•"/>
      <w:lvlJc w:val="left"/>
      <w:pPr>
        <w:ind w:left="3852" w:hanging="360"/>
      </w:pPr>
      <w:rPr>
        <w:rFonts w:hint="default"/>
      </w:rPr>
    </w:lvl>
    <w:lvl w:ilvl="6">
      <w:start w:val="0"/>
      <w:numFmt w:val="bullet"/>
      <w:lvlText w:val="•"/>
      <w:lvlJc w:val="left"/>
      <w:pPr>
        <w:ind w:left="4447" w:hanging="360"/>
      </w:pPr>
      <w:rPr>
        <w:rFonts w:hint="default"/>
      </w:rPr>
    </w:lvl>
    <w:lvl w:ilvl="7">
      <w:start w:val="0"/>
      <w:numFmt w:val="bullet"/>
      <w:lvlText w:val="•"/>
      <w:lvlJc w:val="left"/>
      <w:pPr>
        <w:ind w:left="5041" w:hanging="360"/>
      </w:pPr>
      <w:rPr>
        <w:rFonts w:hint="default"/>
      </w:rPr>
    </w:lvl>
    <w:lvl w:ilvl="8">
      <w:start w:val="0"/>
      <w:numFmt w:val="bullet"/>
      <w:lvlText w:val="•"/>
      <w:lvlJc w:val="left"/>
      <w:pPr>
        <w:ind w:left="5636" w:hanging="360"/>
      </w:pPr>
      <w:rPr>
        <w:rFonts w:hint="default"/>
      </w:rPr>
    </w:lvl>
  </w:abstractNum>
  <w:abstractNum w:abstractNumId="16">
    <w:multiLevelType w:val="hybridMultilevel"/>
    <w:lvl w:ilvl="0">
      <w:start w:val="0"/>
      <w:numFmt w:val="bullet"/>
      <w:lvlText w:val=""/>
      <w:lvlJc w:val="left"/>
      <w:pPr>
        <w:ind w:left="520" w:hanging="360"/>
      </w:pPr>
      <w:rPr>
        <w:rFonts w:hint="default" w:ascii="Symbol" w:hAnsi="Symbol" w:eastAsia="Symbol" w:cs="Symbol"/>
        <w:w w:val="100"/>
        <w:sz w:val="21"/>
        <w:szCs w:val="21"/>
      </w:rPr>
    </w:lvl>
    <w:lvl w:ilvl="1">
      <w:start w:val="0"/>
      <w:numFmt w:val="bullet"/>
      <w:lvlText w:val="•"/>
      <w:lvlJc w:val="left"/>
      <w:pPr>
        <w:ind w:left="1150" w:hanging="360"/>
      </w:pPr>
      <w:rPr>
        <w:rFonts w:hint="default"/>
      </w:rPr>
    </w:lvl>
    <w:lvl w:ilvl="2">
      <w:start w:val="0"/>
      <w:numFmt w:val="bullet"/>
      <w:lvlText w:val="•"/>
      <w:lvlJc w:val="left"/>
      <w:pPr>
        <w:ind w:left="1781" w:hanging="360"/>
      </w:pPr>
      <w:rPr>
        <w:rFonts w:hint="default"/>
      </w:rPr>
    </w:lvl>
    <w:lvl w:ilvl="3">
      <w:start w:val="0"/>
      <w:numFmt w:val="bullet"/>
      <w:lvlText w:val="•"/>
      <w:lvlJc w:val="left"/>
      <w:pPr>
        <w:ind w:left="2411" w:hanging="360"/>
      </w:pPr>
      <w:rPr>
        <w:rFonts w:hint="default"/>
      </w:rPr>
    </w:lvl>
    <w:lvl w:ilvl="4">
      <w:start w:val="0"/>
      <w:numFmt w:val="bullet"/>
      <w:lvlText w:val="•"/>
      <w:lvlJc w:val="left"/>
      <w:pPr>
        <w:ind w:left="3042" w:hanging="360"/>
      </w:pPr>
      <w:rPr>
        <w:rFonts w:hint="default"/>
      </w:rPr>
    </w:lvl>
    <w:lvl w:ilvl="5">
      <w:start w:val="0"/>
      <w:numFmt w:val="bullet"/>
      <w:lvlText w:val="•"/>
      <w:lvlJc w:val="left"/>
      <w:pPr>
        <w:ind w:left="3672" w:hanging="360"/>
      </w:pPr>
      <w:rPr>
        <w:rFonts w:hint="default"/>
      </w:rPr>
    </w:lvl>
    <w:lvl w:ilvl="6">
      <w:start w:val="0"/>
      <w:numFmt w:val="bullet"/>
      <w:lvlText w:val="•"/>
      <w:lvlJc w:val="left"/>
      <w:pPr>
        <w:ind w:left="4303" w:hanging="360"/>
      </w:pPr>
      <w:rPr>
        <w:rFonts w:hint="default"/>
      </w:rPr>
    </w:lvl>
    <w:lvl w:ilvl="7">
      <w:start w:val="0"/>
      <w:numFmt w:val="bullet"/>
      <w:lvlText w:val="•"/>
      <w:lvlJc w:val="left"/>
      <w:pPr>
        <w:ind w:left="4933" w:hanging="360"/>
      </w:pPr>
      <w:rPr>
        <w:rFonts w:hint="default"/>
      </w:rPr>
    </w:lvl>
    <w:lvl w:ilvl="8">
      <w:start w:val="0"/>
      <w:numFmt w:val="bullet"/>
      <w:lvlText w:val="•"/>
      <w:lvlJc w:val="left"/>
      <w:pPr>
        <w:ind w:left="5564" w:hanging="360"/>
      </w:pPr>
      <w:rPr>
        <w:rFonts w:hint="default"/>
      </w:rPr>
    </w:lvl>
  </w:abstractNum>
  <w:abstractNum w:abstractNumId="15">
    <w:multiLevelType w:val="hybridMultilevel"/>
    <w:lvl w:ilvl="0">
      <w:start w:val="0"/>
      <w:numFmt w:val="bullet"/>
      <w:lvlText w:val=""/>
      <w:lvlJc w:val="left"/>
      <w:pPr>
        <w:ind w:left="520" w:hanging="360"/>
      </w:pPr>
      <w:rPr>
        <w:rFonts w:hint="default" w:ascii="Symbol" w:hAnsi="Symbol" w:eastAsia="Symbol" w:cs="Symbol"/>
        <w:w w:val="100"/>
        <w:sz w:val="21"/>
        <w:szCs w:val="21"/>
      </w:rPr>
    </w:lvl>
    <w:lvl w:ilvl="1">
      <w:start w:val="0"/>
      <w:numFmt w:val="bullet"/>
      <w:lvlText w:val="•"/>
      <w:lvlJc w:val="left"/>
      <w:pPr>
        <w:ind w:left="1150" w:hanging="360"/>
      </w:pPr>
      <w:rPr>
        <w:rFonts w:hint="default"/>
      </w:rPr>
    </w:lvl>
    <w:lvl w:ilvl="2">
      <w:start w:val="0"/>
      <w:numFmt w:val="bullet"/>
      <w:lvlText w:val="•"/>
      <w:lvlJc w:val="left"/>
      <w:pPr>
        <w:ind w:left="1781" w:hanging="360"/>
      </w:pPr>
      <w:rPr>
        <w:rFonts w:hint="default"/>
      </w:rPr>
    </w:lvl>
    <w:lvl w:ilvl="3">
      <w:start w:val="0"/>
      <w:numFmt w:val="bullet"/>
      <w:lvlText w:val="•"/>
      <w:lvlJc w:val="left"/>
      <w:pPr>
        <w:ind w:left="2411" w:hanging="360"/>
      </w:pPr>
      <w:rPr>
        <w:rFonts w:hint="default"/>
      </w:rPr>
    </w:lvl>
    <w:lvl w:ilvl="4">
      <w:start w:val="0"/>
      <w:numFmt w:val="bullet"/>
      <w:lvlText w:val="•"/>
      <w:lvlJc w:val="left"/>
      <w:pPr>
        <w:ind w:left="3042" w:hanging="360"/>
      </w:pPr>
      <w:rPr>
        <w:rFonts w:hint="default"/>
      </w:rPr>
    </w:lvl>
    <w:lvl w:ilvl="5">
      <w:start w:val="0"/>
      <w:numFmt w:val="bullet"/>
      <w:lvlText w:val="•"/>
      <w:lvlJc w:val="left"/>
      <w:pPr>
        <w:ind w:left="3672" w:hanging="360"/>
      </w:pPr>
      <w:rPr>
        <w:rFonts w:hint="default"/>
      </w:rPr>
    </w:lvl>
    <w:lvl w:ilvl="6">
      <w:start w:val="0"/>
      <w:numFmt w:val="bullet"/>
      <w:lvlText w:val="•"/>
      <w:lvlJc w:val="left"/>
      <w:pPr>
        <w:ind w:left="4303" w:hanging="360"/>
      </w:pPr>
      <w:rPr>
        <w:rFonts w:hint="default"/>
      </w:rPr>
    </w:lvl>
    <w:lvl w:ilvl="7">
      <w:start w:val="0"/>
      <w:numFmt w:val="bullet"/>
      <w:lvlText w:val="•"/>
      <w:lvlJc w:val="left"/>
      <w:pPr>
        <w:ind w:left="4933" w:hanging="360"/>
      </w:pPr>
      <w:rPr>
        <w:rFonts w:hint="default"/>
      </w:rPr>
    </w:lvl>
    <w:lvl w:ilvl="8">
      <w:start w:val="0"/>
      <w:numFmt w:val="bullet"/>
      <w:lvlText w:val="•"/>
      <w:lvlJc w:val="left"/>
      <w:pPr>
        <w:ind w:left="5564" w:hanging="360"/>
      </w:pPr>
      <w:rPr>
        <w:rFonts w:hint="default"/>
      </w:rPr>
    </w:lvl>
  </w:abstractNum>
  <w:abstractNum w:abstractNumId="14">
    <w:multiLevelType w:val="hybridMultilevel"/>
    <w:lvl w:ilvl="0">
      <w:start w:val="0"/>
      <w:numFmt w:val="bullet"/>
      <w:lvlText w:val=""/>
      <w:lvlJc w:val="left"/>
      <w:pPr>
        <w:ind w:left="520" w:hanging="360"/>
      </w:pPr>
      <w:rPr>
        <w:rFonts w:hint="default" w:ascii="Symbol" w:hAnsi="Symbol" w:eastAsia="Symbol" w:cs="Symbol"/>
        <w:w w:val="100"/>
        <w:sz w:val="21"/>
        <w:szCs w:val="21"/>
      </w:rPr>
    </w:lvl>
    <w:lvl w:ilvl="1">
      <w:start w:val="0"/>
      <w:numFmt w:val="bullet"/>
      <w:lvlText w:val="•"/>
      <w:lvlJc w:val="left"/>
      <w:pPr>
        <w:ind w:left="1150" w:hanging="360"/>
      </w:pPr>
      <w:rPr>
        <w:rFonts w:hint="default"/>
      </w:rPr>
    </w:lvl>
    <w:lvl w:ilvl="2">
      <w:start w:val="0"/>
      <w:numFmt w:val="bullet"/>
      <w:lvlText w:val="•"/>
      <w:lvlJc w:val="left"/>
      <w:pPr>
        <w:ind w:left="1781" w:hanging="360"/>
      </w:pPr>
      <w:rPr>
        <w:rFonts w:hint="default"/>
      </w:rPr>
    </w:lvl>
    <w:lvl w:ilvl="3">
      <w:start w:val="0"/>
      <w:numFmt w:val="bullet"/>
      <w:lvlText w:val="•"/>
      <w:lvlJc w:val="left"/>
      <w:pPr>
        <w:ind w:left="2411" w:hanging="360"/>
      </w:pPr>
      <w:rPr>
        <w:rFonts w:hint="default"/>
      </w:rPr>
    </w:lvl>
    <w:lvl w:ilvl="4">
      <w:start w:val="0"/>
      <w:numFmt w:val="bullet"/>
      <w:lvlText w:val="•"/>
      <w:lvlJc w:val="left"/>
      <w:pPr>
        <w:ind w:left="3042" w:hanging="360"/>
      </w:pPr>
      <w:rPr>
        <w:rFonts w:hint="default"/>
      </w:rPr>
    </w:lvl>
    <w:lvl w:ilvl="5">
      <w:start w:val="0"/>
      <w:numFmt w:val="bullet"/>
      <w:lvlText w:val="•"/>
      <w:lvlJc w:val="left"/>
      <w:pPr>
        <w:ind w:left="3672" w:hanging="360"/>
      </w:pPr>
      <w:rPr>
        <w:rFonts w:hint="default"/>
      </w:rPr>
    </w:lvl>
    <w:lvl w:ilvl="6">
      <w:start w:val="0"/>
      <w:numFmt w:val="bullet"/>
      <w:lvlText w:val="•"/>
      <w:lvlJc w:val="left"/>
      <w:pPr>
        <w:ind w:left="4303" w:hanging="360"/>
      </w:pPr>
      <w:rPr>
        <w:rFonts w:hint="default"/>
      </w:rPr>
    </w:lvl>
    <w:lvl w:ilvl="7">
      <w:start w:val="0"/>
      <w:numFmt w:val="bullet"/>
      <w:lvlText w:val="•"/>
      <w:lvlJc w:val="left"/>
      <w:pPr>
        <w:ind w:left="4933" w:hanging="360"/>
      </w:pPr>
      <w:rPr>
        <w:rFonts w:hint="default"/>
      </w:rPr>
    </w:lvl>
    <w:lvl w:ilvl="8">
      <w:start w:val="0"/>
      <w:numFmt w:val="bullet"/>
      <w:lvlText w:val="•"/>
      <w:lvlJc w:val="left"/>
      <w:pPr>
        <w:ind w:left="5564" w:hanging="360"/>
      </w:pPr>
      <w:rPr>
        <w:rFonts w:hint="default"/>
      </w:rPr>
    </w:lvl>
  </w:abstractNum>
  <w:abstractNum w:abstractNumId="13">
    <w:multiLevelType w:val="hybridMultilevel"/>
    <w:lvl w:ilvl="0">
      <w:start w:val="0"/>
      <w:numFmt w:val="bullet"/>
      <w:lvlText w:val=""/>
      <w:lvlJc w:val="left"/>
      <w:pPr>
        <w:ind w:left="520" w:hanging="360"/>
      </w:pPr>
      <w:rPr>
        <w:rFonts w:hint="default" w:ascii="Symbol" w:hAnsi="Symbol" w:eastAsia="Symbol" w:cs="Symbol"/>
        <w:w w:val="100"/>
        <w:sz w:val="21"/>
        <w:szCs w:val="21"/>
      </w:rPr>
    </w:lvl>
    <w:lvl w:ilvl="1">
      <w:start w:val="0"/>
      <w:numFmt w:val="bullet"/>
      <w:lvlText w:val="•"/>
      <w:lvlJc w:val="left"/>
      <w:pPr>
        <w:ind w:left="1150" w:hanging="360"/>
      </w:pPr>
      <w:rPr>
        <w:rFonts w:hint="default"/>
      </w:rPr>
    </w:lvl>
    <w:lvl w:ilvl="2">
      <w:start w:val="0"/>
      <w:numFmt w:val="bullet"/>
      <w:lvlText w:val="•"/>
      <w:lvlJc w:val="left"/>
      <w:pPr>
        <w:ind w:left="1781" w:hanging="360"/>
      </w:pPr>
      <w:rPr>
        <w:rFonts w:hint="default"/>
      </w:rPr>
    </w:lvl>
    <w:lvl w:ilvl="3">
      <w:start w:val="0"/>
      <w:numFmt w:val="bullet"/>
      <w:lvlText w:val="•"/>
      <w:lvlJc w:val="left"/>
      <w:pPr>
        <w:ind w:left="2411" w:hanging="360"/>
      </w:pPr>
      <w:rPr>
        <w:rFonts w:hint="default"/>
      </w:rPr>
    </w:lvl>
    <w:lvl w:ilvl="4">
      <w:start w:val="0"/>
      <w:numFmt w:val="bullet"/>
      <w:lvlText w:val="•"/>
      <w:lvlJc w:val="left"/>
      <w:pPr>
        <w:ind w:left="3042" w:hanging="360"/>
      </w:pPr>
      <w:rPr>
        <w:rFonts w:hint="default"/>
      </w:rPr>
    </w:lvl>
    <w:lvl w:ilvl="5">
      <w:start w:val="0"/>
      <w:numFmt w:val="bullet"/>
      <w:lvlText w:val="•"/>
      <w:lvlJc w:val="left"/>
      <w:pPr>
        <w:ind w:left="3672" w:hanging="360"/>
      </w:pPr>
      <w:rPr>
        <w:rFonts w:hint="default"/>
      </w:rPr>
    </w:lvl>
    <w:lvl w:ilvl="6">
      <w:start w:val="0"/>
      <w:numFmt w:val="bullet"/>
      <w:lvlText w:val="•"/>
      <w:lvlJc w:val="left"/>
      <w:pPr>
        <w:ind w:left="4303" w:hanging="360"/>
      </w:pPr>
      <w:rPr>
        <w:rFonts w:hint="default"/>
      </w:rPr>
    </w:lvl>
    <w:lvl w:ilvl="7">
      <w:start w:val="0"/>
      <w:numFmt w:val="bullet"/>
      <w:lvlText w:val="•"/>
      <w:lvlJc w:val="left"/>
      <w:pPr>
        <w:ind w:left="4933" w:hanging="360"/>
      </w:pPr>
      <w:rPr>
        <w:rFonts w:hint="default"/>
      </w:rPr>
    </w:lvl>
    <w:lvl w:ilvl="8">
      <w:start w:val="0"/>
      <w:numFmt w:val="bullet"/>
      <w:lvlText w:val="•"/>
      <w:lvlJc w:val="left"/>
      <w:pPr>
        <w:ind w:left="5564" w:hanging="360"/>
      </w:pPr>
      <w:rPr>
        <w:rFonts w:hint="default"/>
      </w:rPr>
    </w:lvl>
  </w:abstractNum>
  <w:abstractNum w:abstractNumId="12">
    <w:multiLevelType w:val="hybridMultilevel"/>
    <w:lvl w:ilvl="0">
      <w:start w:val="0"/>
      <w:numFmt w:val="bullet"/>
      <w:lvlText w:val="▪"/>
      <w:lvlJc w:val="left"/>
      <w:pPr>
        <w:ind w:left="464" w:hanging="360"/>
      </w:pPr>
      <w:rPr>
        <w:rFonts w:hint="default" w:ascii="Microsoft Sans Serif" w:hAnsi="Microsoft Sans Serif" w:eastAsia="Microsoft Sans Serif" w:cs="Microsoft Sans Serif"/>
        <w:w w:val="129"/>
        <w:sz w:val="21"/>
        <w:szCs w:val="21"/>
      </w:rPr>
    </w:lvl>
    <w:lvl w:ilvl="1">
      <w:start w:val="0"/>
      <w:numFmt w:val="bullet"/>
      <w:lvlText w:val="•"/>
      <w:lvlJc w:val="left"/>
      <w:pPr>
        <w:ind w:left="1097" w:hanging="360"/>
      </w:pPr>
      <w:rPr>
        <w:rFonts w:hint="default"/>
      </w:rPr>
    </w:lvl>
    <w:lvl w:ilvl="2">
      <w:start w:val="0"/>
      <w:numFmt w:val="bullet"/>
      <w:lvlText w:val="•"/>
      <w:lvlJc w:val="left"/>
      <w:pPr>
        <w:ind w:left="1734" w:hanging="360"/>
      </w:pPr>
      <w:rPr>
        <w:rFonts w:hint="default"/>
      </w:rPr>
    </w:lvl>
    <w:lvl w:ilvl="3">
      <w:start w:val="0"/>
      <w:numFmt w:val="bullet"/>
      <w:lvlText w:val="•"/>
      <w:lvlJc w:val="left"/>
      <w:pPr>
        <w:ind w:left="2371" w:hanging="360"/>
      </w:pPr>
      <w:rPr>
        <w:rFonts w:hint="default"/>
      </w:rPr>
    </w:lvl>
    <w:lvl w:ilvl="4">
      <w:start w:val="0"/>
      <w:numFmt w:val="bullet"/>
      <w:lvlText w:val="•"/>
      <w:lvlJc w:val="left"/>
      <w:pPr>
        <w:ind w:left="3009" w:hanging="360"/>
      </w:pPr>
      <w:rPr>
        <w:rFonts w:hint="default"/>
      </w:rPr>
    </w:lvl>
    <w:lvl w:ilvl="5">
      <w:start w:val="0"/>
      <w:numFmt w:val="bullet"/>
      <w:lvlText w:val="•"/>
      <w:lvlJc w:val="left"/>
      <w:pPr>
        <w:ind w:left="3646" w:hanging="360"/>
      </w:pPr>
      <w:rPr>
        <w:rFonts w:hint="default"/>
      </w:rPr>
    </w:lvl>
    <w:lvl w:ilvl="6">
      <w:start w:val="0"/>
      <w:numFmt w:val="bullet"/>
      <w:lvlText w:val="•"/>
      <w:lvlJc w:val="left"/>
      <w:pPr>
        <w:ind w:left="4283" w:hanging="360"/>
      </w:pPr>
      <w:rPr>
        <w:rFonts w:hint="default"/>
      </w:rPr>
    </w:lvl>
    <w:lvl w:ilvl="7">
      <w:start w:val="0"/>
      <w:numFmt w:val="bullet"/>
      <w:lvlText w:val="•"/>
      <w:lvlJc w:val="left"/>
      <w:pPr>
        <w:ind w:left="4921" w:hanging="360"/>
      </w:pPr>
      <w:rPr>
        <w:rFonts w:hint="default"/>
      </w:rPr>
    </w:lvl>
    <w:lvl w:ilvl="8">
      <w:start w:val="0"/>
      <w:numFmt w:val="bullet"/>
      <w:lvlText w:val="•"/>
      <w:lvlJc w:val="left"/>
      <w:pPr>
        <w:ind w:left="5558" w:hanging="360"/>
      </w:pPr>
      <w:rPr>
        <w:rFonts w:hint="default"/>
      </w:rPr>
    </w:lvl>
  </w:abstractNum>
  <w:abstractNum w:abstractNumId="11">
    <w:multiLevelType w:val="hybridMultilevel"/>
    <w:lvl w:ilvl="0">
      <w:start w:val="0"/>
      <w:numFmt w:val="bullet"/>
      <w:lvlText w:val=""/>
      <w:lvlJc w:val="left"/>
      <w:pPr>
        <w:ind w:left="464" w:hanging="360"/>
      </w:pPr>
      <w:rPr>
        <w:rFonts w:hint="default" w:ascii="Symbol" w:hAnsi="Symbol" w:eastAsia="Symbol" w:cs="Symbol"/>
        <w:w w:val="100"/>
        <w:sz w:val="21"/>
        <w:szCs w:val="21"/>
      </w:rPr>
    </w:lvl>
    <w:lvl w:ilvl="1">
      <w:start w:val="0"/>
      <w:numFmt w:val="bullet"/>
      <w:lvlText w:val="•"/>
      <w:lvlJc w:val="left"/>
      <w:pPr>
        <w:ind w:left="1097" w:hanging="360"/>
      </w:pPr>
      <w:rPr>
        <w:rFonts w:hint="default"/>
      </w:rPr>
    </w:lvl>
    <w:lvl w:ilvl="2">
      <w:start w:val="0"/>
      <w:numFmt w:val="bullet"/>
      <w:lvlText w:val="•"/>
      <w:lvlJc w:val="left"/>
      <w:pPr>
        <w:ind w:left="1734" w:hanging="360"/>
      </w:pPr>
      <w:rPr>
        <w:rFonts w:hint="default"/>
      </w:rPr>
    </w:lvl>
    <w:lvl w:ilvl="3">
      <w:start w:val="0"/>
      <w:numFmt w:val="bullet"/>
      <w:lvlText w:val="•"/>
      <w:lvlJc w:val="left"/>
      <w:pPr>
        <w:ind w:left="2371" w:hanging="360"/>
      </w:pPr>
      <w:rPr>
        <w:rFonts w:hint="default"/>
      </w:rPr>
    </w:lvl>
    <w:lvl w:ilvl="4">
      <w:start w:val="0"/>
      <w:numFmt w:val="bullet"/>
      <w:lvlText w:val="•"/>
      <w:lvlJc w:val="left"/>
      <w:pPr>
        <w:ind w:left="3009" w:hanging="360"/>
      </w:pPr>
      <w:rPr>
        <w:rFonts w:hint="default"/>
      </w:rPr>
    </w:lvl>
    <w:lvl w:ilvl="5">
      <w:start w:val="0"/>
      <w:numFmt w:val="bullet"/>
      <w:lvlText w:val="•"/>
      <w:lvlJc w:val="left"/>
      <w:pPr>
        <w:ind w:left="3646" w:hanging="360"/>
      </w:pPr>
      <w:rPr>
        <w:rFonts w:hint="default"/>
      </w:rPr>
    </w:lvl>
    <w:lvl w:ilvl="6">
      <w:start w:val="0"/>
      <w:numFmt w:val="bullet"/>
      <w:lvlText w:val="•"/>
      <w:lvlJc w:val="left"/>
      <w:pPr>
        <w:ind w:left="4283" w:hanging="360"/>
      </w:pPr>
      <w:rPr>
        <w:rFonts w:hint="default"/>
      </w:rPr>
    </w:lvl>
    <w:lvl w:ilvl="7">
      <w:start w:val="0"/>
      <w:numFmt w:val="bullet"/>
      <w:lvlText w:val="•"/>
      <w:lvlJc w:val="left"/>
      <w:pPr>
        <w:ind w:left="4921" w:hanging="360"/>
      </w:pPr>
      <w:rPr>
        <w:rFonts w:hint="default"/>
      </w:rPr>
    </w:lvl>
    <w:lvl w:ilvl="8">
      <w:start w:val="0"/>
      <w:numFmt w:val="bullet"/>
      <w:lvlText w:val="•"/>
      <w:lvlJc w:val="left"/>
      <w:pPr>
        <w:ind w:left="5558" w:hanging="360"/>
      </w:pPr>
      <w:rPr>
        <w:rFonts w:hint="default"/>
      </w:rPr>
    </w:lvl>
  </w:abstractNum>
  <w:abstractNum w:abstractNumId="10">
    <w:multiLevelType w:val="hybridMultilevel"/>
    <w:lvl w:ilvl="0">
      <w:start w:val="0"/>
      <w:numFmt w:val="bullet"/>
      <w:lvlText w:val="o"/>
      <w:lvlJc w:val="left"/>
      <w:pPr>
        <w:ind w:left="104" w:hanging="361"/>
      </w:pPr>
      <w:rPr>
        <w:rFonts w:hint="default" w:ascii="Courier New" w:hAnsi="Courier New" w:eastAsia="Courier New" w:cs="Courier New"/>
        <w:w w:val="99"/>
        <w:sz w:val="21"/>
        <w:szCs w:val="21"/>
      </w:rPr>
    </w:lvl>
    <w:lvl w:ilvl="1">
      <w:start w:val="0"/>
      <w:numFmt w:val="bullet"/>
      <w:lvlText w:val="•"/>
      <w:lvlJc w:val="left"/>
      <w:pPr>
        <w:ind w:left="773" w:hanging="361"/>
      </w:pPr>
      <w:rPr>
        <w:rFonts w:hint="default"/>
      </w:rPr>
    </w:lvl>
    <w:lvl w:ilvl="2">
      <w:start w:val="0"/>
      <w:numFmt w:val="bullet"/>
      <w:lvlText w:val="•"/>
      <w:lvlJc w:val="left"/>
      <w:pPr>
        <w:ind w:left="1446" w:hanging="361"/>
      </w:pPr>
      <w:rPr>
        <w:rFonts w:hint="default"/>
      </w:rPr>
    </w:lvl>
    <w:lvl w:ilvl="3">
      <w:start w:val="0"/>
      <w:numFmt w:val="bullet"/>
      <w:lvlText w:val="•"/>
      <w:lvlJc w:val="left"/>
      <w:pPr>
        <w:ind w:left="2119" w:hanging="361"/>
      </w:pPr>
      <w:rPr>
        <w:rFonts w:hint="default"/>
      </w:rPr>
    </w:lvl>
    <w:lvl w:ilvl="4">
      <w:start w:val="0"/>
      <w:numFmt w:val="bullet"/>
      <w:lvlText w:val="•"/>
      <w:lvlJc w:val="left"/>
      <w:pPr>
        <w:ind w:left="2793" w:hanging="361"/>
      </w:pPr>
      <w:rPr>
        <w:rFonts w:hint="default"/>
      </w:rPr>
    </w:lvl>
    <w:lvl w:ilvl="5">
      <w:start w:val="0"/>
      <w:numFmt w:val="bullet"/>
      <w:lvlText w:val="•"/>
      <w:lvlJc w:val="left"/>
      <w:pPr>
        <w:ind w:left="3466" w:hanging="361"/>
      </w:pPr>
      <w:rPr>
        <w:rFonts w:hint="default"/>
      </w:rPr>
    </w:lvl>
    <w:lvl w:ilvl="6">
      <w:start w:val="0"/>
      <w:numFmt w:val="bullet"/>
      <w:lvlText w:val="•"/>
      <w:lvlJc w:val="left"/>
      <w:pPr>
        <w:ind w:left="4139" w:hanging="361"/>
      </w:pPr>
      <w:rPr>
        <w:rFonts w:hint="default"/>
      </w:rPr>
    </w:lvl>
    <w:lvl w:ilvl="7">
      <w:start w:val="0"/>
      <w:numFmt w:val="bullet"/>
      <w:lvlText w:val="•"/>
      <w:lvlJc w:val="left"/>
      <w:pPr>
        <w:ind w:left="4813" w:hanging="361"/>
      </w:pPr>
      <w:rPr>
        <w:rFonts w:hint="default"/>
      </w:rPr>
    </w:lvl>
    <w:lvl w:ilvl="8">
      <w:start w:val="0"/>
      <w:numFmt w:val="bullet"/>
      <w:lvlText w:val="•"/>
      <w:lvlJc w:val="left"/>
      <w:pPr>
        <w:ind w:left="5486" w:hanging="361"/>
      </w:pPr>
      <w:rPr>
        <w:rFonts w:hint="default"/>
      </w:rPr>
    </w:lvl>
  </w:abstractNum>
  <w:abstractNum w:abstractNumId="9">
    <w:multiLevelType w:val="hybridMultilevel"/>
    <w:lvl w:ilvl="0">
      <w:start w:val="3"/>
      <w:numFmt w:val="decimal"/>
      <w:lvlText w:val="%1"/>
      <w:lvlJc w:val="left"/>
      <w:pPr>
        <w:ind w:left="2715" w:hanging="851"/>
        <w:jc w:val="left"/>
      </w:pPr>
      <w:rPr>
        <w:rFonts w:hint="default"/>
      </w:rPr>
    </w:lvl>
    <w:lvl w:ilvl="1">
      <w:start w:val="1"/>
      <w:numFmt w:val="decimal"/>
      <w:lvlText w:val="%1.%2"/>
      <w:lvlJc w:val="left"/>
      <w:pPr>
        <w:ind w:left="2715" w:hanging="851"/>
        <w:jc w:val="right"/>
      </w:pPr>
      <w:rPr>
        <w:rFonts w:hint="default"/>
      </w:rPr>
    </w:lvl>
    <w:lvl w:ilvl="2">
      <w:start w:val="25"/>
      <w:numFmt w:val="decimal"/>
      <w:lvlText w:val="%1.%2.%3"/>
      <w:lvlJc w:val="left"/>
      <w:pPr>
        <w:ind w:left="2715" w:hanging="851"/>
        <w:jc w:val="left"/>
      </w:pPr>
      <w:rPr>
        <w:rFonts w:hint="default" w:ascii="宋体" w:hAnsi="宋体" w:eastAsia="宋体" w:cs="宋体"/>
        <w:i/>
        <w:spacing w:val="-1"/>
        <w:w w:val="95"/>
        <w:sz w:val="22"/>
        <w:szCs w:val="22"/>
      </w:rPr>
    </w:lvl>
    <w:lvl w:ilvl="3">
      <w:start w:val="0"/>
      <w:numFmt w:val="bullet"/>
      <w:lvlText w:val=""/>
      <w:lvlJc w:val="left"/>
      <w:pPr>
        <w:ind w:left="824" w:hanging="360"/>
      </w:pPr>
      <w:rPr>
        <w:rFonts w:hint="default" w:ascii="Symbol" w:hAnsi="Symbol" w:eastAsia="Symbol" w:cs="Symbol"/>
        <w:w w:val="100"/>
        <w:sz w:val="21"/>
        <w:szCs w:val="21"/>
      </w:rPr>
    </w:lvl>
    <w:lvl w:ilvl="4">
      <w:start w:val="0"/>
      <w:numFmt w:val="bullet"/>
      <w:lvlText w:val="o"/>
      <w:lvlJc w:val="left"/>
      <w:pPr>
        <w:ind w:left="1184" w:hanging="361"/>
      </w:pPr>
      <w:rPr>
        <w:rFonts w:hint="default" w:ascii="Courier New" w:hAnsi="Courier New" w:eastAsia="Courier New" w:cs="Courier New"/>
        <w:w w:val="99"/>
        <w:sz w:val="21"/>
        <w:szCs w:val="21"/>
      </w:rPr>
    </w:lvl>
    <w:lvl w:ilvl="5">
      <w:start w:val="0"/>
      <w:numFmt w:val="bullet"/>
      <w:lvlText w:val="•"/>
      <w:lvlJc w:val="left"/>
      <w:pPr>
        <w:ind w:left="4262" w:hanging="361"/>
      </w:pPr>
      <w:rPr>
        <w:rFonts w:hint="default"/>
      </w:rPr>
    </w:lvl>
    <w:lvl w:ilvl="6">
      <w:start w:val="0"/>
      <w:numFmt w:val="bullet"/>
      <w:lvlText w:val="•"/>
      <w:lvlJc w:val="left"/>
      <w:pPr>
        <w:ind w:left="4776" w:hanging="361"/>
      </w:pPr>
      <w:rPr>
        <w:rFonts w:hint="default"/>
      </w:rPr>
    </w:lvl>
    <w:lvl w:ilvl="7">
      <w:start w:val="0"/>
      <w:numFmt w:val="bullet"/>
      <w:lvlText w:val="•"/>
      <w:lvlJc w:val="left"/>
      <w:pPr>
        <w:ind w:left="5290" w:hanging="361"/>
      </w:pPr>
      <w:rPr>
        <w:rFonts w:hint="default"/>
      </w:rPr>
    </w:lvl>
    <w:lvl w:ilvl="8">
      <w:start w:val="0"/>
      <w:numFmt w:val="bullet"/>
      <w:lvlText w:val="•"/>
      <w:lvlJc w:val="left"/>
      <w:pPr>
        <w:ind w:left="5804" w:hanging="361"/>
      </w:pPr>
      <w:rPr>
        <w:rFonts w:hint="default"/>
      </w:rPr>
    </w:lvl>
  </w:abstractNum>
  <w:abstractNum w:abstractNumId="8">
    <w:multiLevelType w:val="hybridMultilevel"/>
    <w:lvl w:ilvl="0">
      <w:start w:val="3"/>
      <w:numFmt w:val="decimal"/>
      <w:lvlText w:val="%1"/>
      <w:lvlJc w:val="left"/>
      <w:pPr>
        <w:ind w:left="2655" w:hanging="851"/>
        <w:jc w:val="left"/>
      </w:pPr>
      <w:rPr>
        <w:rFonts w:hint="default"/>
      </w:rPr>
    </w:lvl>
    <w:lvl w:ilvl="1">
      <w:start w:val="1"/>
      <w:numFmt w:val="decimal"/>
      <w:lvlText w:val="%1.%2"/>
      <w:lvlJc w:val="left"/>
      <w:pPr>
        <w:ind w:left="2655" w:hanging="851"/>
        <w:jc w:val="left"/>
      </w:pPr>
      <w:rPr>
        <w:rFonts w:hint="default"/>
      </w:rPr>
    </w:lvl>
    <w:lvl w:ilvl="2">
      <w:start w:val="1"/>
      <w:numFmt w:val="decimal"/>
      <w:lvlText w:val="%1.%2.%3"/>
      <w:lvlJc w:val="left"/>
      <w:pPr>
        <w:ind w:left="2655" w:hanging="851"/>
        <w:jc w:val="left"/>
      </w:pPr>
      <w:rPr>
        <w:rFonts w:hint="default" w:ascii="宋体" w:hAnsi="宋体" w:eastAsia="宋体" w:cs="宋体"/>
        <w:i/>
        <w:spacing w:val="-1"/>
        <w:w w:val="95"/>
        <w:sz w:val="22"/>
        <w:szCs w:val="22"/>
      </w:rPr>
    </w:lvl>
    <w:lvl w:ilvl="3">
      <w:start w:val="0"/>
      <w:numFmt w:val="bullet"/>
      <w:lvlText w:val="•"/>
      <w:lvlJc w:val="left"/>
      <w:pPr>
        <w:ind w:left="4671" w:hanging="851"/>
      </w:pPr>
      <w:rPr>
        <w:rFonts w:hint="default"/>
      </w:rPr>
    </w:lvl>
    <w:lvl w:ilvl="4">
      <w:start w:val="0"/>
      <w:numFmt w:val="bullet"/>
      <w:lvlText w:val="•"/>
      <w:lvlJc w:val="left"/>
      <w:pPr>
        <w:ind w:left="5341" w:hanging="851"/>
      </w:pPr>
      <w:rPr>
        <w:rFonts w:hint="default"/>
      </w:rPr>
    </w:lvl>
    <w:lvl w:ilvl="5">
      <w:start w:val="0"/>
      <w:numFmt w:val="bullet"/>
      <w:lvlText w:val="•"/>
      <w:lvlJc w:val="left"/>
      <w:pPr>
        <w:ind w:left="6012" w:hanging="851"/>
      </w:pPr>
      <w:rPr>
        <w:rFonts w:hint="default"/>
      </w:rPr>
    </w:lvl>
    <w:lvl w:ilvl="6">
      <w:start w:val="0"/>
      <w:numFmt w:val="bullet"/>
      <w:lvlText w:val="•"/>
      <w:lvlJc w:val="left"/>
      <w:pPr>
        <w:ind w:left="6682" w:hanging="851"/>
      </w:pPr>
      <w:rPr>
        <w:rFonts w:hint="default"/>
      </w:rPr>
    </w:lvl>
    <w:lvl w:ilvl="7">
      <w:start w:val="0"/>
      <w:numFmt w:val="bullet"/>
      <w:lvlText w:val="•"/>
      <w:lvlJc w:val="left"/>
      <w:pPr>
        <w:ind w:left="7353" w:hanging="851"/>
      </w:pPr>
      <w:rPr>
        <w:rFonts w:hint="default"/>
      </w:rPr>
    </w:lvl>
    <w:lvl w:ilvl="8">
      <w:start w:val="0"/>
      <w:numFmt w:val="bullet"/>
      <w:lvlText w:val="•"/>
      <w:lvlJc w:val="left"/>
      <w:pPr>
        <w:ind w:left="8023" w:hanging="851"/>
      </w:pPr>
      <w:rPr>
        <w:rFonts w:hint="default"/>
      </w:rPr>
    </w:lvl>
  </w:abstractNum>
  <w:abstractNum w:abstractNumId="7">
    <w:multiLevelType w:val="hybridMultilevel"/>
    <w:lvl w:ilvl="0">
      <w:start w:val="1"/>
      <w:numFmt w:val="decimal"/>
      <w:lvlText w:val="%1"/>
      <w:lvlJc w:val="left"/>
      <w:pPr>
        <w:ind w:left="1075" w:hanging="851"/>
        <w:jc w:val="left"/>
      </w:pPr>
      <w:rPr>
        <w:rFonts w:hint="default" w:ascii="宋体" w:hAnsi="宋体" w:eastAsia="宋体" w:cs="宋体"/>
        <w:b/>
        <w:bCs/>
        <w:w w:val="99"/>
        <w:sz w:val="28"/>
        <w:szCs w:val="28"/>
      </w:rPr>
    </w:lvl>
    <w:lvl w:ilvl="1">
      <w:start w:val="1"/>
      <w:numFmt w:val="decimal"/>
      <w:lvlText w:val="%1.%2"/>
      <w:lvlJc w:val="left"/>
      <w:pPr>
        <w:ind w:left="2775" w:hanging="851"/>
        <w:jc w:val="left"/>
      </w:pPr>
      <w:rPr>
        <w:rFonts w:hint="default" w:ascii="宋体" w:hAnsi="宋体" w:eastAsia="宋体" w:cs="宋体"/>
        <w:b/>
        <w:bCs/>
        <w:w w:val="99"/>
        <w:position w:val="-1"/>
        <w:sz w:val="21"/>
        <w:szCs w:val="21"/>
      </w:rPr>
    </w:lvl>
    <w:lvl w:ilvl="2">
      <w:start w:val="1"/>
      <w:numFmt w:val="decimal"/>
      <w:lvlText w:val="%1.%2.%3"/>
      <w:lvlJc w:val="left"/>
      <w:pPr>
        <w:ind w:left="2775" w:hanging="851"/>
        <w:jc w:val="left"/>
      </w:pPr>
      <w:rPr>
        <w:rFonts w:hint="default" w:ascii="宋体" w:hAnsi="宋体" w:eastAsia="宋体" w:cs="宋体"/>
        <w:i/>
        <w:spacing w:val="-1"/>
        <w:w w:val="95"/>
        <w:sz w:val="22"/>
        <w:szCs w:val="22"/>
      </w:rPr>
    </w:lvl>
    <w:lvl w:ilvl="3">
      <w:start w:val="0"/>
      <w:numFmt w:val="bullet"/>
      <w:lvlText w:val="•"/>
      <w:lvlJc w:val="left"/>
      <w:pPr>
        <w:ind w:left="4292" w:hanging="851"/>
      </w:pPr>
      <w:rPr>
        <w:rFonts w:hint="default"/>
      </w:rPr>
    </w:lvl>
    <w:lvl w:ilvl="4">
      <w:start w:val="0"/>
      <w:numFmt w:val="bullet"/>
      <w:lvlText w:val="•"/>
      <w:lvlJc w:val="left"/>
      <w:pPr>
        <w:ind w:left="5048" w:hanging="851"/>
      </w:pPr>
      <w:rPr>
        <w:rFonts w:hint="default"/>
      </w:rPr>
    </w:lvl>
    <w:lvl w:ilvl="5">
      <w:start w:val="0"/>
      <w:numFmt w:val="bullet"/>
      <w:lvlText w:val="•"/>
      <w:lvlJc w:val="left"/>
      <w:pPr>
        <w:ind w:left="5804" w:hanging="851"/>
      </w:pPr>
      <w:rPr>
        <w:rFonts w:hint="default"/>
      </w:rPr>
    </w:lvl>
    <w:lvl w:ilvl="6">
      <w:start w:val="0"/>
      <w:numFmt w:val="bullet"/>
      <w:lvlText w:val="•"/>
      <w:lvlJc w:val="left"/>
      <w:pPr>
        <w:ind w:left="6560" w:hanging="851"/>
      </w:pPr>
      <w:rPr>
        <w:rFonts w:hint="default"/>
      </w:rPr>
    </w:lvl>
    <w:lvl w:ilvl="7">
      <w:start w:val="0"/>
      <w:numFmt w:val="bullet"/>
      <w:lvlText w:val="•"/>
      <w:lvlJc w:val="left"/>
      <w:pPr>
        <w:ind w:left="7316" w:hanging="851"/>
      </w:pPr>
      <w:rPr>
        <w:rFonts w:hint="default"/>
      </w:rPr>
    </w:lvl>
    <w:lvl w:ilvl="8">
      <w:start w:val="0"/>
      <w:numFmt w:val="bullet"/>
      <w:lvlText w:val="•"/>
      <w:lvlJc w:val="left"/>
      <w:pPr>
        <w:ind w:left="8072" w:hanging="851"/>
      </w:pPr>
      <w:rPr>
        <w:rFonts w:hint="default"/>
      </w:rPr>
    </w:lvl>
  </w:abstractNum>
  <w:abstractNum w:abstractNumId="6">
    <w:multiLevelType w:val="hybridMultilevel"/>
    <w:lvl w:ilvl="0">
      <w:start w:val="5"/>
      <w:numFmt w:val="decimal"/>
      <w:lvlText w:val="%1"/>
      <w:lvlJc w:val="left"/>
      <w:pPr>
        <w:ind w:left="3954" w:hanging="421"/>
        <w:jc w:val="left"/>
      </w:pPr>
      <w:rPr>
        <w:rFonts w:hint="default"/>
      </w:rPr>
    </w:lvl>
    <w:lvl w:ilvl="1">
      <w:start w:val="1"/>
      <w:numFmt w:val="decimal"/>
      <w:lvlText w:val="%1.%2"/>
      <w:lvlJc w:val="left"/>
      <w:pPr>
        <w:ind w:left="3954" w:hanging="421"/>
        <w:jc w:val="left"/>
      </w:pPr>
      <w:rPr>
        <w:rFonts w:hint="default" w:ascii="宋体" w:hAnsi="宋体" w:eastAsia="宋体" w:cs="宋体"/>
        <w:spacing w:val="-2"/>
        <w:w w:val="100"/>
        <w:sz w:val="21"/>
        <w:szCs w:val="21"/>
      </w:rPr>
    </w:lvl>
    <w:lvl w:ilvl="2">
      <w:start w:val="0"/>
      <w:numFmt w:val="bullet"/>
      <w:lvlText w:val="•"/>
      <w:lvlJc w:val="left"/>
      <w:pPr>
        <w:ind w:left="5156" w:hanging="421"/>
      </w:pPr>
      <w:rPr>
        <w:rFonts w:hint="default"/>
      </w:rPr>
    </w:lvl>
    <w:lvl w:ilvl="3">
      <w:start w:val="0"/>
      <w:numFmt w:val="bullet"/>
      <w:lvlText w:val="•"/>
      <w:lvlJc w:val="left"/>
      <w:pPr>
        <w:ind w:left="5755" w:hanging="421"/>
      </w:pPr>
      <w:rPr>
        <w:rFonts w:hint="default"/>
      </w:rPr>
    </w:lvl>
    <w:lvl w:ilvl="4">
      <w:start w:val="0"/>
      <w:numFmt w:val="bullet"/>
      <w:lvlText w:val="•"/>
      <w:lvlJc w:val="left"/>
      <w:pPr>
        <w:ind w:left="6353" w:hanging="421"/>
      </w:pPr>
      <w:rPr>
        <w:rFonts w:hint="default"/>
      </w:rPr>
    </w:lvl>
    <w:lvl w:ilvl="5">
      <w:start w:val="0"/>
      <w:numFmt w:val="bullet"/>
      <w:lvlText w:val="•"/>
      <w:lvlJc w:val="left"/>
      <w:pPr>
        <w:ind w:left="6952" w:hanging="421"/>
      </w:pPr>
      <w:rPr>
        <w:rFonts w:hint="default"/>
      </w:rPr>
    </w:lvl>
    <w:lvl w:ilvl="6">
      <w:start w:val="0"/>
      <w:numFmt w:val="bullet"/>
      <w:lvlText w:val="•"/>
      <w:lvlJc w:val="left"/>
      <w:pPr>
        <w:ind w:left="7550" w:hanging="421"/>
      </w:pPr>
      <w:rPr>
        <w:rFonts w:hint="default"/>
      </w:rPr>
    </w:lvl>
    <w:lvl w:ilvl="7">
      <w:start w:val="0"/>
      <w:numFmt w:val="bullet"/>
      <w:lvlText w:val="•"/>
      <w:lvlJc w:val="left"/>
      <w:pPr>
        <w:ind w:left="8149" w:hanging="421"/>
      </w:pPr>
      <w:rPr>
        <w:rFonts w:hint="default"/>
      </w:rPr>
    </w:lvl>
    <w:lvl w:ilvl="8">
      <w:start w:val="0"/>
      <w:numFmt w:val="bullet"/>
      <w:lvlText w:val="•"/>
      <w:lvlJc w:val="left"/>
      <w:pPr>
        <w:ind w:left="8747" w:hanging="421"/>
      </w:pPr>
      <w:rPr>
        <w:rFonts w:hint="default"/>
      </w:rPr>
    </w:lvl>
  </w:abstractNum>
  <w:abstractNum w:abstractNumId="5">
    <w:multiLevelType w:val="hybridMultilevel"/>
    <w:lvl w:ilvl="0">
      <w:start w:val="4"/>
      <w:numFmt w:val="decimal"/>
      <w:lvlText w:val="%1"/>
      <w:lvlJc w:val="left"/>
      <w:pPr>
        <w:ind w:left="3953" w:hanging="421"/>
        <w:jc w:val="left"/>
      </w:pPr>
      <w:rPr>
        <w:rFonts w:hint="default"/>
      </w:rPr>
    </w:lvl>
    <w:lvl w:ilvl="1">
      <w:start w:val="4"/>
      <w:numFmt w:val="decimal"/>
      <w:lvlText w:val="%1.%2"/>
      <w:lvlJc w:val="left"/>
      <w:pPr>
        <w:ind w:left="3953" w:hanging="421"/>
        <w:jc w:val="left"/>
      </w:pPr>
      <w:rPr>
        <w:rFonts w:hint="default" w:ascii="宋体" w:hAnsi="宋体" w:eastAsia="宋体" w:cs="宋体"/>
        <w:spacing w:val="-2"/>
        <w:w w:val="100"/>
        <w:sz w:val="21"/>
        <w:szCs w:val="21"/>
      </w:rPr>
    </w:lvl>
    <w:lvl w:ilvl="2">
      <w:start w:val="0"/>
      <w:numFmt w:val="bullet"/>
      <w:lvlText w:val="•"/>
      <w:lvlJc w:val="left"/>
      <w:pPr>
        <w:ind w:left="5156" w:hanging="421"/>
      </w:pPr>
      <w:rPr>
        <w:rFonts w:hint="default"/>
      </w:rPr>
    </w:lvl>
    <w:lvl w:ilvl="3">
      <w:start w:val="0"/>
      <w:numFmt w:val="bullet"/>
      <w:lvlText w:val="•"/>
      <w:lvlJc w:val="left"/>
      <w:pPr>
        <w:ind w:left="5755" w:hanging="421"/>
      </w:pPr>
      <w:rPr>
        <w:rFonts w:hint="default"/>
      </w:rPr>
    </w:lvl>
    <w:lvl w:ilvl="4">
      <w:start w:val="0"/>
      <w:numFmt w:val="bullet"/>
      <w:lvlText w:val="•"/>
      <w:lvlJc w:val="left"/>
      <w:pPr>
        <w:ind w:left="6353" w:hanging="421"/>
      </w:pPr>
      <w:rPr>
        <w:rFonts w:hint="default"/>
      </w:rPr>
    </w:lvl>
    <w:lvl w:ilvl="5">
      <w:start w:val="0"/>
      <w:numFmt w:val="bullet"/>
      <w:lvlText w:val="•"/>
      <w:lvlJc w:val="left"/>
      <w:pPr>
        <w:ind w:left="6952" w:hanging="421"/>
      </w:pPr>
      <w:rPr>
        <w:rFonts w:hint="default"/>
      </w:rPr>
    </w:lvl>
    <w:lvl w:ilvl="6">
      <w:start w:val="0"/>
      <w:numFmt w:val="bullet"/>
      <w:lvlText w:val="•"/>
      <w:lvlJc w:val="left"/>
      <w:pPr>
        <w:ind w:left="7550" w:hanging="421"/>
      </w:pPr>
      <w:rPr>
        <w:rFonts w:hint="default"/>
      </w:rPr>
    </w:lvl>
    <w:lvl w:ilvl="7">
      <w:start w:val="0"/>
      <w:numFmt w:val="bullet"/>
      <w:lvlText w:val="•"/>
      <w:lvlJc w:val="left"/>
      <w:pPr>
        <w:ind w:left="8149" w:hanging="421"/>
      </w:pPr>
      <w:rPr>
        <w:rFonts w:hint="default"/>
      </w:rPr>
    </w:lvl>
    <w:lvl w:ilvl="8">
      <w:start w:val="0"/>
      <w:numFmt w:val="bullet"/>
      <w:lvlText w:val="•"/>
      <w:lvlJc w:val="left"/>
      <w:pPr>
        <w:ind w:left="8747" w:hanging="421"/>
      </w:pPr>
      <w:rPr>
        <w:rFonts w:hint="default"/>
      </w:rPr>
    </w:lvl>
  </w:abstractNum>
  <w:abstractNum w:abstractNumId="4">
    <w:multiLevelType w:val="hybridMultilevel"/>
    <w:lvl w:ilvl="0">
      <w:start w:val="1"/>
      <w:numFmt w:val="decimal"/>
      <w:lvlText w:val="%1"/>
      <w:lvlJc w:val="left"/>
      <w:pPr>
        <w:ind w:left="329" w:hanging="227"/>
        <w:jc w:val="left"/>
      </w:pPr>
      <w:rPr>
        <w:rFonts w:hint="default" w:ascii="宋体" w:hAnsi="宋体" w:eastAsia="宋体" w:cs="宋体"/>
        <w:b/>
        <w:bCs/>
        <w:w w:val="99"/>
        <w:sz w:val="21"/>
        <w:szCs w:val="21"/>
      </w:rPr>
    </w:lvl>
    <w:lvl w:ilvl="1">
      <w:start w:val="1"/>
      <w:numFmt w:val="decimal"/>
      <w:lvlText w:val="%1.%2"/>
      <w:lvlJc w:val="left"/>
      <w:pPr>
        <w:ind w:left="732" w:hanging="421"/>
        <w:jc w:val="left"/>
      </w:pPr>
      <w:rPr>
        <w:rFonts w:hint="default" w:ascii="宋体" w:hAnsi="宋体" w:eastAsia="宋体" w:cs="宋体"/>
        <w:spacing w:val="-2"/>
        <w:w w:val="100"/>
        <w:sz w:val="21"/>
        <w:szCs w:val="21"/>
      </w:rPr>
    </w:lvl>
    <w:lvl w:ilvl="2">
      <w:start w:val="0"/>
      <w:numFmt w:val="bullet"/>
      <w:lvlText w:val="•"/>
      <w:lvlJc w:val="left"/>
      <w:pPr>
        <w:ind w:left="1762" w:hanging="421"/>
      </w:pPr>
      <w:rPr>
        <w:rFonts w:hint="default"/>
      </w:rPr>
    </w:lvl>
    <w:lvl w:ilvl="3">
      <w:start w:val="0"/>
      <w:numFmt w:val="bullet"/>
      <w:lvlText w:val="•"/>
      <w:lvlJc w:val="left"/>
      <w:pPr>
        <w:ind w:left="2785" w:hanging="421"/>
      </w:pPr>
      <w:rPr>
        <w:rFonts w:hint="default"/>
      </w:rPr>
    </w:lvl>
    <w:lvl w:ilvl="4">
      <w:start w:val="0"/>
      <w:numFmt w:val="bullet"/>
      <w:lvlText w:val="•"/>
      <w:lvlJc w:val="left"/>
      <w:pPr>
        <w:ind w:left="3808" w:hanging="421"/>
      </w:pPr>
      <w:rPr>
        <w:rFonts w:hint="default"/>
      </w:rPr>
    </w:lvl>
    <w:lvl w:ilvl="5">
      <w:start w:val="0"/>
      <w:numFmt w:val="bullet"/>
      <w:lvlText w:val="•"/>
      <w:lvlJc w:val="left"/>
      <w:pPr>
        <w:ind w:left="4830" w:hanging="421"/>
      </w:pPr>
      <w:rPr>
        <w:rFonts w:hint="default"/>
      </w:rPr>
    </w:lvl>
    <w:lvl w:ilvl="6">
      <w:start w:val="0"/>
      <w:numFmt w:val="bullet"/>
      <w:lvlText w:val="•"/>
      <w:lvlJc w:val="left"/>
      <w:pPr>
        <w:ind w:left="5853" w:hanging="421"/>
      </w:pPr>
      <w:rPr>
        <w:rFonts w:hint="default"/>
      </w:rPr>
    </w:lvl>
    <w:lvl w:ilvl="7">
      <w:start w:val="0"/>
      <w:numFmt w:val="bullet"/>
      <w:lvlText w:val="•"/>
      <w:lvlJc w:val="left"/>
      <w:pPr>
        <w:ind w:left="6876" w:hanging="421"/>
      </w:pPr>
      <w:rPr>
        <w:rFonts w:hint="default"/>
      </w:rPr>
    </w:lvl>
    <w:lvl w:ilvl="8">
      <w:start w:val="0"/>
      <w:numFmt w:val="bullet"/>
      <w:lvlText w:val="•"/>
      <w:lvlJc w:val="left"/>
      <w:pPr>
        <w:ind w:left="7898" w:hanging="421"/>
      </w:pPr>
      <w:rPr>
        <w:rFonts w:hint="default"/>
      </w:rPr>
    </w:lvl>
  </w:abstractNum>
  <w:abstractNum w:abstractNumId="3">
    <w:multiLevelType w:val="hybridMultilevel"/>
    <w:lvl w:ilvl="0">
      <w:start w:val="4"/>
      <w:numFmt w:val="decimal"/>
      <w:lvlText w:val="%1"/>
      <w:lvlJc w:val="left"/>
      <w:pPr>
        <w:ind w:left="2775" w:hanging="851"/>
        <w:jc w:val="left"/>
      </w:pPr>
      <w:rPr>
        <w:rFonts w:hint="default"/>
      </w:rPr>
    </w:lvl>
    <w:lvl w:ilvl="1">
      <w:start w:val="1"/>
      <w:numFmt w:val="decimal"/>
      <w:lvlText w:val="%1.%2"/>
      <w:lvlJc w:val="left"/>
      <w:pPr>
        <w:ind w:left="2775" w:hanging="851"/>
        <w:jc w:val="left"/>
      </w:pPr>
      <w:rPr>
        <w:rFonts w:hint="default" w:ascii="宋体" w:hAnsi="宋体" w:eastAsia="宋体" w:cs="宋体"/>
        <w:b/>
        <w:bCs/>
        <w:w w:val="99"/>
        <w:position w:val="3"/>
        <w:sz w:val="21"/>
        <w:szCs w:val="21"/>
      </w:rPr>
    </w:lvl>
    <w:lvl w:ilvl="2">
      <w:start w:val="0"/>
      <w:numFmt w:val="bullet"/>
      <w:lvlText w:val="•"/>
      <w:lvlJc w:val="left"/>
      <w:pPr>
        <w:ind w:left="4140" w:hanging="851"/>
      </w:pPr>
      <w:rPr>
        <w:rFonts w:hint="default"/>
      </w:rPr>
    </w:lvl>
    <w:lvl w:ilvl="3">
      <w:start w:val="0"/>
      <w:numFmt w:val="bullet"/>
      <w:lvlText w:val="•"/>
      <w:lvlJc w:val="left"/>
      <w:pPr>
        <w:ind w:left="4821" w:hanging="851"/>
      </w:pPr>
      <w:rPr>
        <w:rFonts w:hint="default"/>
      </w:rPr>
    </w:lvl>
    <w:lvl w:ilvl="4">
      <w:start w:val="0"/>
      <w:numFmt w:val="bullet"/>
      <w:lvlText w:val="•"/>
      <w:lvlJc w:val="left"/>
      <w:pPr>
        <w:ind w:left="5501" w:hanging="851"/>
      </w:pPr>
      <w:rPr>
        <w:rFonts w:hint="default"/>
      </w:rPr>
    </w:lvl>
    <w:lvl w:ilvl="5">
      <w:start w:val="0"/>
      <w:numFmt w:val="bullet"/>
      <w:lvlText w:val="•"/>
      <w:lvlJc w:val="left"/>
      <w:pPr>
        <w:ind w:left="6182" w:hanging="851"/>
      </w:pPr>
      <w:rPr>
        <w:rFonts w:hint="default"/>
      </w:rPr>
    </w:lvl>
    <w:lvl w:ilvl="6">
      <w:start w:val="0"/>
      <w:numFmt w:val="bullet"/>
      <w:lvlText w:val="•"/>
      <w:lvlJc w:val="left"/>
      <w:pPr>
        <w:ind w:left="6862" w:hanging="851"/>
      </w:pPr>
      <w:rPr>
        <w:rFonts w:hint="default"/>
      </w:rPr>
    </w:lvl>
    <w:lvl w:ilvl="7">
      <w:start w:val="0"/>
      <w:numFmt w:val="bullet"/>
      <w:lvlText w:val="•"/>
      <w:lvlJc w:val="left"/>
      <w:pPr>
        <w:ind w:left="7543" w:hanging="851"/>
      </w:pPr>
      <w:rPr>
        <w:rFonts w:hint="default"/>
      </w:rPr>
    </w:lvl>
    <w:lvl w:ilvl="8">
      <w:start w:val="0"/>
      <w:numFmt w:val="bullet"/>
      <w:lvlText w:val="•"/>
      <w:lvlJc w:val="left"/>
      <w:pPr>
        <w:ind w:left="8223" w:hanging="851"/>
      </w:pPr>
      <w:rPr>
        <w:rFonts w:hint="default"/>
      </w:rPr>
    </w:lvl>
  </w:abstractNum>
  <w:abstractNum w:abstractNumId="2">
    <w:multiLevelType w:val="hybridMultilevel"/>
    <w:lvl w:ilvl="0">
      <w:start w:val="3"/>
      <w:numFmt w:val="decimal"/>
      <w:lvlText w:val="%1"/>
      <w:lvlJc w:val="left"/>
      <w:pPr>
        <w:ind w:left="1075" w:hanging="852"/>
        <w:jc w:val="left"/>
      </w:pPr>
      <w:rPr>
        <w:rFonts w:hint="default"/>
      </w:rPr>
    </w:lvl>
    <w:lvl w:ilvl="1">
      <w:start w:val="6"/>
      <w:numFmt w:val="decimal"/>
      <w:lvlText w:val="%1.%2"/>
      <w:lvlJc w:val="left"/>
      <w:pPr>
        <w:ind w:left="1075" w:hanging="852"/>
        <w:jc w:val="left"/>
      </w:pPr>
      <w:rPr>
        <w:rFonts w:hint="default" w:ascii="宋体" w:hAnsi="宋体" w:eastAsia="宋体" w:cs="宋体"/>
        <w:b/>
        <w:bCs/>
        <w:w w:val="99"/>
        <w:sz w:val="21"/>
        <w:szCs w:val="21"/>
      </w:rPr>
    </w:lvl>
    <w:lvl w:ilvl="2">
      <w:start w:val="0"/>
      <w:numFmt w:val="bullet"/>
      <w:lvlText w:val="•"/>
      <w:lvlJc w:val="left"/>
      <w:pPr>
        <w:ind w:left="1374" w:hanging="852"/>
      </w:pPr>
      <w:rPr>
        <w:rFonts w:hint="default"/>
      </w:rPr>
    </w:lvl>
    <w:lvl w:ilvl="3">
      <w:start w:val="0"/>
      <w:numFmt w:val="bullet"/>
      <w:lvlText w:val="•"/>
      <w:lvlJc w:val="left"/>
      <w:pPr>
        <w:ind w:left="1521" w:hanging="852"/>
      </w:pPr>
      <w:rPr>
        <w:rFonts w:hint="default"/>
      </w:rPr>
    </w:lvl>
    <w:lvl w:ilvl="4">
      <w:start w:val="0"/>
      <w:numFmt w:val="bullet"/>
      <w:lvlText w:val="•"/>
      <w:lvlJc w:val="left"/>
      <w:pPr>
        <w:ind w:left="1668" w:hanging="852"/>
      </w:pPr>
      <w:rPr>
        <w:rFonts w:hint="default"/>
      </w:rPr>
    </w:lvl>
    <w:lvl w:ilvl="5">
      <w:start w:val="0"/>
      <w:numFmt w:val="bullet"/>
      <w:lvlText w:val="•"/>
      <w:lvlJc w:val="left"/>
      <w:pPr>
        <w:ind w:left="1815" w:hanging="852"/>
      </w:pPr>
      <w:rPr>
        <w:rFonts w:hint="default"/>
      </w:rPr>
    </w:lvl>
    <w:lvl w:ilvl="6">
      <w:start w:val="0"/>
      <w:numFmt w:val="bullet"/>
      <w:lvlText w:val="•"/>
      <w:lvlJc w:val="left"/>
      <w:pPr>
        <w:ind w:left="1962" w:hanging="852"/>
      </w:pPr>
      <w:rPr>
        <w:rFonts w:hint="default"/>
      </w:rPr>
    </w:lvl>
    <w:lvl w:ilvl="7">
      <w:start w:val="0"/>
      <w:numFmt w:val="bullet"/>
      <w:lvlText w:val="•"/>
      <w:lvlJc w:val="left"/>
      <w:pPr>
        <w:ind w:left="2109" w:hanging="852"/>
      </w:pPr>
      <w:rPr>
        <w:rFonts w:hint="default"/>
      </w:rPr>
    </w:lvl>
    <w:lvl w:ilvl="8">
      <w:start w:val="0"/>
      <w:numFmt w:val="bullet"/>
      <w:lvlText w:val="•"/>
      <w:lvlJc w:val="left"/>
      <w:pPr>
        <w:ind w:left="2256" w:hanging="852"/>
      </w:pPr>
      <w:rPr>
        <w:rFonts w:hint="default"/>
      </w:rPr>
    </w:lvl>
  </w:abstractNum>
  <w:abstractNum w:abstractNumId="1">
    <w:multiLevelType w:val="hybridMultilevel"/>
    <w:lvl w:ilvl="0">
      <w:start w:val="1"/>
      <w:numFmt w:val="decimal"/>
      <w:lvlText w:val="%1"/>
      <w:lvlJc w:val="left"/>
      <w:pPr>
        <w:ind w:left="1075" w:hanging="851"/>
        <w:jc w:val="left"/>
      </w:pPr>
      <w:rPr>
        <w:rFonts w:hint="default" w:ascii="宋体" w:hAnsi="宋体" w:eastAsia="宋体" w:cs="宋体"/>
        <w:b/>
        <w:bCs/>
        <w:w w:val="99"/>
        <w:sz w:val="28"/>
        <w:szCs w:val="28"/>
      </w:rPr>
    </w:lvl>
    <w:lvl w:ilvl="1">
      <w:start w:val="1"/>
      <w:numFmt w:val="decimal"/>
      <w:lvlText w:val="%1.%2"/>
      <w:lvlJc w:val="left"/>
      <w:pPr>
        <w:ind w:left="2775" w:hanging="851"/>
        <w:jc w:val="left"/>
      </w:pPr>
      <w:rPr>
        <w:rFonts w:hint="default" w:ascii="宋体" w:hAnsi="宋体" w:eastAsia="宋体" w:cs="宋体"/>
        <w:b/>
        <w:bCs/>
        <w:w w:val="99"/>
        <w:position w:val="3"/>
        <w:sz w:val="21"/>
        <w:szCs w:val="21"/>
      </w:rPr>
    </w:lvl>
    <w:lvl w:ilvl="2">
      <w:start w:val="1"/>
      <w:numFmt w:val="decimal"/>
      <w:lvlText w:val="%1.%2.%3"/>
      <w:lvlJc w:val="left"/>
      <w:pPr>
        <w:ind w:left="2775" w:hanging="851"/>
        <w:jc w:val="left"/>
      </w:pPr>
      <w:rPr>
        <w:rFonts w:hint="default" w:ascii="宋体" w:hAnsi="宋体" w:eastAsia="宋体" w:cs="宋体"/>
        <w:i/>
        <w:spacing w:val="-1"/>
        <w:w w:val="95"/>
        <w:position w:val="3"/>
        <w:sz w:val="22"/>
        <w:szCs w:val="22"/>
      </w:rPr>
    </w:lvl>
    <w:lvl w:ilvl="3">
      <w:start w:val="0"/>
      <w:numFmt w:val="bullet"/>
      <w:lvlText w:val="•"/>
      <w:lvlJc w:val="left"/>
      <w:pPr>
        <w:ind w:left="2728" w:hanging="851"/>
      </w:pPr>
      <w:rPr>
        <w:rFonts w:hint="default"/>
      </w:rPr>
    </w:lvl>
    <w:lvl w:ilvl="4">
      <w:start w:val="0"/>
      <w:numFmt w:val="bullet"/>
      <w:lvlText w:val="•"/>
      <w:lvlJc w:val="left"/>
      <w:pPr>
        <w:ind w:left="2703" w:hanging="851"/>
      </w:pPr>
      <w:rPr>
        <w:rFonts w:hint="default"/>
      </w:rPr>
    </w:lvl>
    <w:lvl w:ilvl="5">
      <w:start w:val="0"/>
      <w:numFmt w:val="bullet"/>
      <w:lvlText w:val="•"/>
      <w:lvlJc w:val="left"/>
      <w:pPr>
        <w:ind w:left="2677" w:hanging="851"/>
      </w:pPr>
      <w:rPr>
        <w:rFonts w:hint="default"/>
      </w:rPr>
    </w:lvl>
    <w:lvl w:ilvl="6">
      <w:start w:val="0"/>
      <w:numFmt w:val="bullet"/>
      <w:lvlText w:val="•"/>
      <w:lvlJc w:val="left"/>
      <w:pPr>
        <w:ind w:left="2652" w:hanging="851"/>
      </w:pPr>
      <w:rPr>
        <w:rFonts w:hint="default"/>
      </w:rPr>
    </w:lvl>
    <w:lvl w:ilvl="7">
      <w:start w:val="0"/>
      <w:numFmt w:val="bullet"/>
      <w:lvlText w:val="•"/>
      <w:lvlJc w:val="left"/>
      <w:pPr>
        <w:ind w:left="2626" w:hanging="851"/>
      </w:pPr>
      <w:rPr>
        <w:rFonts w:hint="default"/>
      </w:rPr>
    </w:lvl>
    <w:lvl w:ilvl="8">
      <w:start w:val="0"/>
      <w:numFmt w:val="bullet"/>
      <w:lvlText w:val="•"/>
      <w:lvlJc w:val="left"/>
      <w:pPr>
        <w:ind w:left="2601" w:hanging="851"/>
      </w:pPr>
      <w:rPr>
        <w:rFonts w:hint="default"/>
      </w:rPr>
    </w:lvl>
  </w:abstractNum>
  <w:abstractNum w:abstractNumId="0">
    <w:multiLevelType w:val="hybridMultilevel"/>
    <w:lvl w:ilvl="0">
      <w:start w:val="3"/>
      <w:numFmt w:val="decimal"/>
      <w:lvlText w:val="%1"/>
      <w:lvlJc w:val="left"/>
      <w:pPr>
        <w:ind w:left="792" w:hanging="421"/>
        <w:jc w:val="left"/>
      </w:pPr>
      <w:rPr>
        <w:rFonts w:hint="default"/>
      </w:rPr>
    </w:lvl>
    <w:lvl w:ilvl="1">
      <w:start w:val="6"/>
      <w:numFmt w:val="decimal"/>
      <w:lvlText w:val="%1.%2"/>
      <w:lvlJc w:val="left"/>
      <w:pPr>
        <w:ind w:left="792" w:hanging="421"/>
        <w:jc w:val="left"/>
      </w:pPr>
      <w:rPr>
        <w:rFonts w:hint="default" w:ascii="宋体" w:hAnsi="宋体" w:eastAsia="宋体" w:cs="宋体"/>
        <w:spacing w:val="-2"/>
        <w:w w:val="100"/>
        <w:sz w:val="21"/>
        <w:szCs w:val="21"/>
      </w:rPr>
    </w:lvl>
    <w:lvl w:ilvl="2">
      <w:start w:val="0"/>
      <w:numFmt w:val="bullet"/>
      <w:lvlText w:val="•"/>
      <w:lvlJc w:val="left"/>
      <w:pPr>
        <w:ind w:left="2560" w:hanging="421"/>
      </w:pPr>
      <w:rPr>
        <w:rFonts w:hint="default"/>
      </w:rPr>
    </w:lvl>
    <w:lvl w:ilvl="3">
      <w:start w:val="0"/>
      <w:numFmt w:val="bullet"/>
      <w:lvlText w:val="•"/>
      <w:lvlJc w:val="left"/>
      <w:pPr>
        <w:ind w:left="3441" w:hanging="421"/>
      </w:pPr>
      <w:rPr>
        <w:rFonts w:hint="default"/>
      </w:rPr>
    </w:lvl>
    <w:lvl w:ilvl="4">
      <w:start w:val="0"/>
      <w:numFmt w:val="bullet"/>
      <w:lvlText w:val="•"/>
      <w:lvlJc w:val="left"/>
      <w:pPr>
        <w:ind w:left="4321" w:hanging="421"/>
      </w:pPr>
      <w:rPr>
        <w:rFonts w:hint="default"/>
      </w:rPr>
    </w:lvl>
    <w:lvl w:ilvl="5">
      <w:start w:val="0"/>
      <w:numFmt w:val="bullet"/>
      <w:lvlText w:val="•"/>
      <w:lvlJc w:val="left"/>
      <w:pPr>
        <w:ind w:left="5202" w:hanging="421"/>
      </w:pPr>
      <w:rPr>
        <w:rFonts w:hint="default"/>
      </w:rPr>
    </w:lvl>
    <w:lvl w:ilvl="6">
      <w:start w:val="0"/>
      <w:numFmt w:val="bullet"/>
      <w:lvlText w:val="•"/>
      <w:lvlJc w:val="left"/>
      <w:pPr>
        <w:ind w:left="6082" w:hanging="421"/>
      </w:pPr>
      <w:rPr>
        <w:rFonts w:hint="default"/>
      </w:rPr>
    </w:lvl>
    <w:lvl w:ilvl="7">
      <w:start w:val="0"/>
      <w:numFmt w:val="bullet"/>
      <w:lvlText w:val="•"/>
      <w:lvlJc w:val="left"/>
      <w:pPr>
        <w:ind w:left="6963" w:hanging="421"/>
      </w:pPr>
      <w:rPr>
        <w:rFonts w:hint="default"/>
      </w:rPr>
    </w:lvl>
    <w:lvl w:ilvl="8">
      <w:start w:val="0"/>
      <w:numFmt w:val="bullet"/>
      <w:lvlText w:val="•"/>
      <w:lvlJc w:val="left"/>
      <w:pPr>
        <w:ind w:left="7843" w:hanging="421"/>
      </w:pPr>
      <w:rPr>
        <w:rFonts w:hint="default"/>
      </w:rPr>
    </w:lvl>
  </w:abstract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ind w:left="421"/>
      <w:outlineLvl w:val="1"/>
    </w:pPr>
    <w:rPr>
      <w:rFonts w:ascii="微软雅黑" w:hAnsi="微软雅黑" w:eastAsia="微软雅黑" w:cs="微软雅黑"/>
      <w:b/>
      <w:bCs/>
      <w:sz w:val="32"/>
      <w:szCs w:val="32"/>
    </w:rPr>
  </w:style>
  <w:style w:styleId="Heading2" w:type="paragraph">
    <w:name w:val="Heading 2"/>
    <w:basedOn w:val="Normal"/>
    <w:uiPriority w:val="1"/>
    <w:qFormat/>
    <w:pPr>
      <w:ind w:left="1075" w:hanging="851"/>
      <w:outlineLvl w:val="2"/>
    </w:pPr>
    <w:rPr>
      <w:rFonts w:ascii="宋体" w:hAnsi="宋体" w:eastAsia="宋体" w:cs="宋体"/>
      <w:b/>
      <w:bCs/>
      <w:sz w:val="28"/>
      <w:szCs w:val="28"/>
    </w:rPr>
  </w:style>
  <w:style w:styleId="Heading3" w:type="paragraph">
    <w:name w:val="Heading 3"/>
    <w:basedOn w:val="Normal"/>
    <w:uiPriority w:val="1"/>
    <w:qFormat/>
    <w:pPr>
      <w:ind w:left="2611"/>
      <w:outlineLvl w:val="3"/>
    </w:pPr>
    <w:rPr>
      <w:rFonts w:ascii="宋体" w:hAnsi="宋体" w:eastAsia="宋体" w:cs="宋体"/>
      <w:b/>
      <w:bCs/>
      <w:sz w:val="24"/>
      <w:szCs w:val="24"/>
    </w:rPr>
  </w:style>
  <w:style w:styleId="Heading4" w:type="paragraph">
    <w:name w:val="Heading 4"/>
    <w:basedOn w:val="Normal"/>
    <w:uiPriority w:val="1"/>
    <w:qFormat/>
    <w:pPr>
      <w:spacing w:before="34"/>
      <w:ind w:left="1015" w:hanging="851"/>
      <w:outlineLvl w:val="4"/>
    </w:pPr>
    <w:rPr>
      <w:rFonts w:ascii="宋体" w:hAnsi="宋体" w:eastAsia="宋体" w:cs="宋体"/>
      <w:i/>
      <w:sz w:val="22"/>
      <w:szCs w:val="22"/>
    </w:rPr>
  </w:style>
  <w:style w:styleId="Heading5" w:type="paragraph">
    <w:name w:val="Heading 5"/>
    <w:basedOn w:val="Normal"/>
    <w:uiPriority w:val="1"/>
    <w:qFormat/>
    <w:pPr>
      <w:spacing w:before="56"/>
      <w:ind w:left="1075" w:hanging="851"/>
      <w:outlineLvl w:val="5"/>
    </w:pPr>
    <w:rPr>
      <w:rFonts w:ascii="宋体" w:hAnsi="宋体" w:eastAsia="宋体" w:cs="宋体"/>
      <w:b/>
      <w:bCs/>
      <w:sz w:val="21"/>
      <w:szCs w:val="21"/>
    </w:rPr>
  </w:style>
  <w:style w:styleId="ListParagraph" w:type="paragraph">
    <w:name w:val="List Paragraph"/>
    <w:basedOn w:val="Normal"/>
    <w:uiPriority w:val="1"/>
    <w:qFormat/>
    <w:pPr>
      <w:ind w:left="2775" w:hanging="2551"/>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image" Target="media/image3.png"/><Relationship Id="rId10" Type="http://schemas.openxmlformats.org/officeDocument/2006/relationships/footer" Target="footer3.xml"/><Relationship Id="rId1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HQST100751</dc:creator>
  <dc:title>&lt;4D6963726F736F667420576F7264202D203230313030363342464444D6D0BAC9C8CBCAD95B323031305DB5DA30303034BAC52D3632D6D0BAC9D5E4B0AED2BBC9FAB6A8C6DAD6D8B4F3BCB2B2A1B1A3CFD5B1A3CFD5CCF5BFEE2E646F636D&gt;</dc:title>
  <dcterms:created xsi:type="dcterms:W3CDTF">2018-10-20T04:27:48Z</dcterms:created>
  <dcterms:modified xsi:type="dcterms:W3CDTF">2018-10-20T04:27:48Z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2014-05-28T00:00:00Z</vt:filetime>
  </property>
  <property fmtid="{D5CDD505-2E9C-101B-9397-08002B2CF9AE}" pid="3" name="Creator">
    <vt:lpwstr>PScript5.dll Version 5.2.2</vt:lpwstr>
  </property>
  <property fmtid="{D5CDD505-2E9C-101B-9397-08002B2CF9AE}" pid="4" name="LastSaved">
    <vt:filetime>2018-10-19T00:00:00Z</vt:filetime>
  </property>
</Properties>
</file>