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23"/>
        <w:ind w:left="1260" w:right="635" w:firstLine="0"/>
        <w:jc w:val="center"/>
        <w:rPr>
          <w:sz w:val="16"/>
        </w:rPr>
      </w:pPr>
      <w:r>
        <w:rPr/>
        <w:br w:type="column"/>
      </w:r>
      <w:r>
        <w:rPr>
          <w:sz w:val="16"/>
        </w:rPr>
        <w:t>平安人寿[2012]疾病保险 050 号</w:t>
      </w:r>
    </w:p>
    <w:p>
      <w:pPr>
        <w:pStyle w:val="BodyText"/>
        <w:rPr>
          <w:sz w:val="4"/>
        </w:rPr>
      </w:pPr>
    </w:p>
    <w:p>
      <w:pPr>
        <w:pStyle w:val="BodyText"/>
        <w:ind w:left="2111"/>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43"/>
        <w:ind w:left="1255" w:right="635" w:firstLine="0"/>
        <w:jc w:val="center"/>
        <w:rPr>
          <w:sz w:val="16"/>
        </w:rPr>
      </w:pPr>
      <w:r>
        <w:rPr>
          <w:w w:val="95"/>
          <w:sz w:val="16"/>
        </w:rPr>
        <w:t>请扫描以查询验证条款</w:t>
      </w:r>
    </w:p>
    <w:p>
      <w:pPr>
        <w:spacing w:after="0"/>
        <w:jc w:val="center"/>
        <w:rPr>
          <w:sz w:val="16"/>
        </w:rPr>
        <w:sectPr>
          <w:type w:val="continuous"/>
          <w:pgSz w:w="11910" w:h="16840"/>
          <w:pgMar w:top="580" w:bottom="280" w:left="940" w:right="780"/>
          <w:cols w:num="2" w:equalWidth="0">
            <w:col w:w="5895" w:space="40"/>
            <w:col w:w="4255"/>
          </w:cols>
        </w:sectPr>
      </w:pPr>
    </w:p>
    <w:p>
      <w:pPr>
        <w:pStyle w:val="BodyText"/>
        <w:spacing w:before="11"/>
        <w:ind w:left="597"/>
      </w:pPr>
      <w:r>
        <w:rPr>
          <w:spacing w:val="-148"/>
          <w:w w:val="95"/>
        </w:rPr>
        <w:t>本</w:t>
      </w:r>
      <w:r>
        <w:rPr>
          <w:spacing w:val="-63"/>
          <w:w w:val="95"/>
          <w:position w:val="-7"/>
        </w:rPr>
        <w:t>．</w:t>
      </w:r>
      <w:r>
        <w:rPr>
          <w:spacing w:val="-148"/>
          <w:w w:val="95"/>
        </w:rPr>
        <w:t>阅</w:t>
      </w:r>
      <w:r>
        <w:rPr>
          <w:spacing w:val="-63"/>
          <w:w w:val="95"/>
          <w:position w:val="-7"/>
        </w:rPr>
        <w:t>．</w:t>
      </w:r>
      <w:r>
        <w:rPr>
          <w:spacing w:val="-148"/>
          <w:w w:val="95"/>
        </w:rPr>
        <w:t>读</w:t>
      </w:r>
      <w:r>
        <w:rPr>
          <w:spacing w:val="-63"/>
          <w:w w:val="95"/>
          <w:position w:val="-7"/>
        </w:rPr>
        <w:t>．</w:t>
      </w:r>
      <w:r>
        <w:rPr>
          <w:spacing w:val="-148"/>
          <w:w w:val="95"/>
        </w:rPr>
        <w:t>指</w:t>
      </w:r>
      <w:r>
        <w:rPr>
          <w:spacing w:val="-63"/>
          <w:w w:val="95"/>
          <w:position w:val="-7"/>
        </w:rPr>
        <w:t>．</w:t>
      </w:r>
      <w:r>
        <w:rPr>
          <w:spacing w:val="-148"/>
          <w:w w:val="95"/>
        </w:rPr>
        <w:t>引</w:t>
      </w:r>
      <w:r>
        <w:rPr>
          <w:spacing w:val="-63"/>
          <w:w w:val="95"/>
          <w:position w:val="-7"/>
        </w:rPr>
        <w:t>．</w:t>
      </w:r>
      <w:r>
        <w:rPr>
          <w:spacing w:val="-148"/>
          <w:w w:val="95"/>
        </w:rPr>
        <w:t>有</w:t>
      </w:r>
      <w:r>
        <w:rPr>
          <w:spacing w:val="-63"/>
          <w:w w:val="95"/>
          <w:position w:val="-7"/>
        </w:rPr>
        <w:t>．</w:t>
      </w:r>
      <w:r>
        <w:rPr>
          <w:spacing w:val="-148"/>
          <w:w w:val="95"/>
        </w:rPr>
        <w:t>助</w:t>
      </w:r>
      <w:r>
        <w:rPr>
          <w:spacing w:val="-63"/>
          <w:w w:val="95"/>
          <w:position w:val="-7"/>
        </w:rPr>
        <w:t>．</w:t>
      </w:r>
      <w:r>
        <w:rPr>
          <w:spacing w:val="-148"/>
          <w:w w:val="95"/>
        </w:rPr>
        <w:t>于</w:t>
      </w:r>
      <w:r>
        <w:rPr>
          <w:spacing w:val="-63"/>
          <w:w w:val="95"/>
          <w:position w:val="-7"/>
        </w:rPr>
        <w:t>．</w:t>
      </w:r>
      <w:r>
        <w:rPr>
          <w:spacing w:val="-148"/>
          <w:w w:val="95"/>
        </w:rPr>
        <w:t>您</w:t>
      </w:r>
      <w:r>
        <w:rPr>
          <w:spacing w:val="-63"/>
          <w:w w:val="95"/>
          <w:position w:val="-7"/>
        </w:rPr>
        <w:t>．</w:t>
      </w:r>
      <w:r>
        <w:rPr>
          <w:spacing w:val="-148"/>
          <w:w w:val="95"/>
        </w:rPr>
        <w:t>理</w:t>
      </w:r>
      <w:r>
        <w:rPr>
          <w:spacing w:val="-63"/>
          <w:w w:val="95"/>
          <w:position w:val="-7"/>
        </w:rPr>
        <w:t>．</w:t>
      </w:r>
      <w:r>
        <w:rPr>
          <w:spacing w:val="-148"/>
          <w:w w:val="95"/>
        </w:rPr>
        <w:t>解</w:t>
      </w:r>
      <w:r>
        <w:rPr>
          <w:spacing w:val="-63"/>
          <w:w w:val="95"/>
          <w:position w:val="-7"/>
        </w:rPr>
        <w:t>．</w:t>
      </w:r>
      <w:r>
        <w:rPr>
          <w:spacing w:val="-148"/>
          <w:w w:val="95"/>
        </w:rPr>
        <w:t>条</w:t>
      </w:r>
      <w:r>
        <w:rPr>
          <w:spacing w:val="-63"/>
          <w:w w:val="95"/>
          <w:position w:val="-7"/>
        </w:rPr>
        <w:t>．</w:t>
      </w:r>
      <w:r>
        <w:rPr>
          <w:spacing w:val="-148"/>
          <w:w w:val="95"/>
        </w:rPr>
        <w:t>款</w:t>
      </w:r>
      <w:r>
        <w:rPr>
          <w:spacing w:val="-32"/>
          <w:w w:val="95"/>
          <w:position w:val="-7"/>
        </w:rPr>
        <w:t>．</w:t>
      </w:r>
      <w:r>
        <w:rPr>
          <w:spacing w:val="-90"/>
          <w:w w:val="95"/>
        </w:rPr>
        <w:t>，对</w:t>
      </w:r>
      <w:r>
        <w:rPr>
          <w:spacing w:val="-91"/>
          <w:w w:val="95"/>
          <w:position w:val="-7"/>
        </w:rPr>
        <w:t>．</w:t>
      </w:r>
      <w:r>
        <w:rPr>
          <w:b/>
          <w:spacing w:val="-91"/>
          <w:w w:val="95"/>
        </w:rPr>
        <w:t>“</w:t>
      </w:r>
      <w:r>
        <w:rPr>
          <w:spacing w:val="-91"/>
          <w:w w:val="95"/>
          <w:position w:val="-7"/>
        </w:rPr>
        <w:t>．</w:t>
      </w:r>
      <w:r>
        <w:rPr>
          <w:b/>
          <w:spacing w:val="-147"/>
          <w:w w:val="95"/>
        </w:rPr>
        <w:t>平</w:t>
      </w:r>
      <w:r>
        <w:rPr>
          <w:spacing w:val="-63"/>
          <w:w w:val="95"/>
          <w:position w:val="-7"/>
        </w:rPr>
        <w:t>．</w:t>
      </w:r>
      <w:r>
        <w:rPr>
          <w:b/>
          <w:spacing w:val="-147"/>
          <w:w w:val="95"/>
        </w:rPr>
        <w:t>安</w:t>
      </w:r>
      <w:r>
        <w:rPr>
          <w:spacing w:val="-63"/>
          <w:w w:val="95"/>
          <w:position w:val="-7"/>
        </w:rPr>
        <w:t>．</w:t>
      </w:r>
      <w:r>
        <w:rPr>
          <w:b/>
          <w:spacing w:val="-148"/>
          <w:w w:val="95"/>
        </w:rPr>
        <w:t>安</w:t>
      </w:r>
      <w:r>
        <w:rPr>
          <w:spacing w:val="-63"/>
          <w:w w:val="95"/>
          <w:position w:val="-7"/>
        </w:rPr>
        <w:t>．</w:t>
      </w:r>
      <w:r>
        <w:rPr>
          <w:b/>
          <w:spacing w:val="-148"/>
          <w:w w:val="95"/>
        </w:rPr>
        <w:t>享</w:t>
      </w:r>
      <w:r>
        <w:rPr>
          <w:spacing w:val="-63"/>
          <w:w w:val="95"/>
          <w:position w:val="-7"/>
        </w:rPr>
        <w:t>．</w:t>
      </w:r>
      <w:r>
        <w:rPr>
          <w:b/>
          <w:spacing w:val="-147"/>
          <w:w w:val="95"/>
        </w:rPr>
        <w:t>人</w:t>
      </w:r>
      <w:r>
        <w:rPr>
          <w:spacing w:val="-63"/>
          <w:w w:val="95"/>
          <w:position w:val="-7"/>
        </w:rPr>
        <w:t>．</w:t>
      </w:r>
      <w:r>
        <w:rPr>
          <w:b/>
          <w:spacing w:val="-147"/>
          <w:w w:val="95"/>
        </w:rPr>
        <w:t>生</w:t>
      </w:r>
      <w:r>
        <w:rPr>
          <w:spacing w:val="-63"/>
          <w:w w:val="95"/>
          <w:position w:val="-7"/>
        </w:rPr>
        <w:t>．</w:t>
      </w:r>
      <w:r>
        <w:rPr>
          <w:b/>
          <w:spacing w:val="-147"/>
          <w:w w:val="95"/>
        </w:rPr>
        <w:t>重</w:t>
      </w:r>
      <w:r>
        <w:rPr>
          <w:spacing w:val="-63"/>
          <w:w w:val="95"/>
          <w:position w:val="-7"/>
        </w:rPr>
        <w:t>．</w:t>
      </w:r>
      <w:r>
        <w:rPr>
          <w:b/>
          <w:spacing w:val="-148"/>
          <w:w w:val="95"/>
        </w:rPr>
        <w:t>大</w:t>
      </w:r>
      <w:r>
        <w:rPr>
          <w:spacing w:val="-63"/>
          <w:w w:val="95"/>
          <w:position w:val="-7"/>
        </w:rPr>
        <w:t>．</w:t>
      </w:r>
      <w:r>
        <w:rPr>
          <w:b/>
          <w:spacing w:val="-148"/>
          <w:w w:val="95"/>
        </w:rPr>
        <w:t>疾</w:t>
      </w:r>
      <w:r>
        <w:rPr>
          <w:spacing w:val="-63"/>
          <w:w w:val="95"/>
          <w:position w:val="-7"/>
        </w:rPr>
        <w:t>．</w:t>
      </w:r>
      <w:r>
        <w:rPr>
          <w:b/>
          <w:spacing w:val="-147"/>
          <w:w w:val="95"/>
        </w:rPr>
        <w:t>病</w:t>
      </w:r>
      <w:r>
        <w:rPr>
          <w:spacing w:val="-63"/>
          <w:w w:val="95"/>
          <w:position w:val="-7"/>
        </w:rPr>
        <w:t>．</w:t>
      </w:r>
      <w:r>
        <w:rPr>
          <w:b/>
          <w:spacing w:val="-147"/>
          <w:w w:val="95"/>
        </w:rPr>
        <w:t>保</w:t>
      </w:r>
      <w:r>
        <w:rPr>
          <w:spacing w:val="-63"/>
          <w:w w:val="95"/>
          <w:position w:val="-7"/>
        </w:rPr>
        <w:t>．</w:t>
      </w:r>
      <w:r>
        <w:rPr>
          <w:b/>
          <w:spacing w:val="-147"/>
          <w:w w:val="95"/>
        </w:rPr>
        <w:t>险</w:t>
      </w:r>
      <w:r>
        <w:rPr>
          <w:spacing w:val="-63"/>
          <w:w w:val="95"/>
          <w:position w:val="-7"/>
        </w:rPr>
        <w:t>．</w:t>
      </w:r>
      <w:r>
        <w:rPr>
          <w:b/>
          <w:spacing w:val="-148"/>
          <w:w w:val="95"/>
        </w:rPr>
        <w:t>合</w:t>
      </w:r>
      <w:r>
        <w:rPr>
          <w:spacing w:val="-63"/>
          <w:w w:val="95"/>
          <w:position w:val="-7"/>
        </w:rPr>
        <w:t>．</w:t>
      </w:r>
      <w:r>
        <w:rPr>
          <w:b/>
          <w:spacing w:val="-148"/>
          <w:w w:val="95"/>
        </w:rPr>
        <w:t>同</w:t>
      </w:r>
      <w:r>
        <w:rPr>
          <w:spacing w:val="-91"/>
          <w:w w:val="95"/>
          <w:position w:val="-7"/>
        </w:rPr>
        <w:t>．</w:t>
      </w:r>
      <w:r>
        <w:rPr>
          <w:b/>
          <w:spacing w:val="-91"/>
          <w:w w:val="95"/>
        </w:rPr>
        <w:t>”</w:t>
      </w:r>
      <w:r>
        <w:rPr>
          <w:spacing w:val="-91"/>
          <w:w w:val="95"/>
          <w:position w:val="-7"/>
        </w:rPr>
        <w:t>．</w:t>
      </w:r>
      <w:r>
        <w:rPr>
          <w:spacing w:val="-148"/>
          <w:w w:val="95"/>
        </w:rPr>
        <w:t>内</w:t>
      </w:r>
      <w:r>
        <w:rPr>
          <w:spacing w:val="-63"/>
          <w:w w:val="95"/>
          <w:position w:val="-7"/>
        </w:rPr>
        <w:t>．</w:t>
      </w:r>
      <w:r>
        <w:rPr>
          <w:spacing w:val="-148"/>
          <w:w w:val="95"/>
        </w:rPr>
        <w:t>容</w:t>
      </w:r>
      <w:r>
        <w:rPr>
          <w:spacing w:val="-63"/>
          <w:w w:val="95"/>
          <w:position w:val="-7"/>
        </w:rPr>
        <w:t>．</w:t>
      </w:r>
      <w:r>
        <w:rPr>
          <w:spacing w:val="-148"/>
          <w:w w:val="95"/>
        </w:rPr>
        <w:t>的</w:t>
      </w:r>
      <w:r>
        <w:rPr>
          <w:spacing w:val="-63"/>
          <w:w w:val="95"/>
          <w:position w:val="-7"/>
        </w:rPr>
        <w:t>．</w:t>
      </w:r>
      <w:r>
        <w:rPr>
          <w:spacing w:val="-148"/>
          <w:w w:val="95"/>
        </w:rPr>
        <w:t>解</w:t>
      </w:r>
      <w:r>
        <w:rPr>
          <w:spacing w:val="-63"/>
          <w:w w:val="95"/>
          <w:position w:val="-7"/>
        </w:rPr>
        <w:t>．</w:t>
      </w:r>
      <w:r>
        <w:rPr>
          <w:spacing w:val="-148"/>
          <w:w w:val="95"/>
        </w:rPr>
        <w:t>释</w:t>
      </w:r>
      <w:r>
        <w:rPr>
          <w:spacing w:val="-63"/>
          <w:w w:val="95"/>
          <w:position w:val="-7"/>
        </w:rPr>
        <w:t>．</w:t>
      </w:r>
      <w:r>
        <w:rPr>
          <w:spacing w:val="-148"/>
          <w:w w:val="95"/>
        </w:rPr>
        <w:t>以</w:t>
      </w:r>
      <w:r>
        <w:rPr>
          <w:spacing w:val="-63"/>
          <w:w w:val="95"/>
          <w:position w:val="-7"/>
        </w:rPr>
        <w:t>．</w:t>
      </w:r>
      <w:r>
        <w:rPr>
          <w:spacing w:val="-148"/>
          <w:w w:val="95"/>
        </w:rPr>
        <w:t>条</w:t>
      </w:r>
      <w:r>
        <w:rPr>
          <w:spacing w:val="-63"/>
          <w:w w:val="95"/>
          <w:position w:val="-7"/>
        </w:rPr>
        <w:t>．</w:t>
      </w:r>
      <w:r>
        <w:rPr>
          <w:spacing w:val="-148"/>
          <w:w w:val="95"/>
        </w:rPr>
        <w:t>款</w:t>
      </w:r>
      <w:r>
        <w:rPr>
          <w:spacing w:val="-63"/>
          <w:w w:val="95"/>
          <w:position w:val="-7"/>
        </w:rPr>
        <w:t>．</w:t>
      </w:r>
      <w:r>
        <w:rPr>
          <w:spacing w:val="-148"/>
          <w:w w:val="95"/>
        </w:rPr>
        <w:t>为</w:t>
      </w:r>
      <w:r>
        <w:rPr>
          <w:spacing w:val="-63"/>
          <w:w w:val="95"/>
          <w:position w:val="-7"/>
        </w:rPr>
        <w:t>．</w:t>
      </w:r>
      <w:r>
        <w:rPr>
          <w:spacing w:val="-148"/>
          <w:w w:val="95"/>
        </w:rPr>
        <w:t>准</w:t>
      </w:r>
      <w:r>
        <w:rPr>
          <w:spacing w:val="-63"/>
          <w:w w:val="95"/>
          <w:position w:val="-7"/>
        </w:rPr>
        <w:t>．</w:t>
      </w:r>
      <w:r>
        <w:rPr>
          <w:w w:val="95"/>
        </w:rPr>
        <w:t>。</w:t>
      </w:r>
    </w:p>
    <w:p>
      <w:pPr>
        <w:pStyle w:val="BodyText"/>
        <w:rPr>
          <w:sz w:val="32"/>
        </w:rPr>
      </w:pPr>
    </w:p>
    <w:p>
      <w:pPr>
        <w:pStyle w:val="Heading2"/>
        <w:tabs>
          <w:tab w:pos="1255" w:val="left" w:leader="none"/>
        </w:tabs>
        <w:spacing w:line="240" w:lineRule="auto"/>
        <w:ind w:left="245"/>
      </w:pPr>
      <w:r>
        <w:rPr/>
        <w:pict>
          <v:group style="position:absolute;margin-left:52.439999pt;margin-top:-2.432285pt;width:498pt;height:647.950pt;mso-position-horizontal-relative:page;mso-position-vertical-relative:paragraph;z-index:-34600" coordorigin="1049,-49" coordsize="9960,12959">
            <v:shape style="position:absolute;left:1048;top:-49;width:9960;height:12959" type="#_x0000_t75" stroked="false">
              <v:imagedata r:id="rId6" o:title=""/>
            </v:shape>
            <v:rect style="position:absolute;left:1556;top:6644;width:9020;height:6120"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被保险人可以享受本主险合同提供的保障</w:t>
        <w:tab/>
        <w:t>2.2</w:t>
      </w:r>
    </w:p>
    <w:p>
      <w:pPr>
        <w:pStyle w:val="ListParagraph"/>
        <w:numPr>
          <w:ilvl w:val="0"/>
          <w:numId w:val="1"/>
        </w:numPr>
        <w:tabs>
          <w:tab w:pos="1655" w:val="left" w:leader="none"/>
          <w:tab w:pos="1656" w:val="left" w:leader="none"/>
          <w:tab w:pos="9529" w:val="right" w:leader="dot"/>
        </w:tabs>
        <w:spacing w:line="240" w:lineRule="auto" w:before="22" w:after="0"/>
        <w:ind w:left="1655" w:right="0" w:hanging="438"/>
        <w:jc w:val="left"/>
        <w:rPr>
          <w:sz w:val="21"/>
        </w:rPr>
      </w:pPr>
      <w:r>
        <w:rPr>
          <w:sz w:val="21"/>
        </w:rPr>
        <w:t>受益人享有领取保险金时可选择不同领取方式的权利</w:t>
        <w:tab/>
        <w:t>3.7</w:t>
      </w:r>
    </w:p>
    <w:p>
      <w:pPr>
        <w:pStyle w:val="ListParagraph"/>
        <w:numPr>
          <w:ilvl w:val="0"/>
          <w:numId w:val="1"/>
        </w:numPr>
        <w:tabs>
          <w:tab w:pos="1655" w:val="left" w:leader="none"/>
          <w:tab w:pos="1656" w:val="left" w:leader="none"/>
          <w:tab w:pos="9529" w:val="right" w:leader="dot"/>
        </w:tabs>
        <w:spacing w:line="240" w:lineRule="auto" w:before="22" w:after="0"/>
        <w:ind w:left="1655" w:right="0" w:hanging="438"/>
        <w:jc w:val="left"/>
        <w:rPr>
          <w:sz w:val="21"/>
        </w:rPr>
      </w:pPr>
      <w:r>
        <w:rPr>
          <w:sz w:val="21"/>
        </w:rPr>
        <w:t>您有选择保险费自动垫交的权利</w:t>
        <w:tab/>
        <w:t>5.2</w:t>
      </w:r>
    </w:p>
    <w:p>
      <w:pPr>
        <w:pStyle w:val="ListParagraph"/>
        <w:numPr>
          <w:ilvl w:val="0"/>
          <w:numId w:val="1"/>
        </w:numPr>
        <w:tabs>
          <w:tab w:pos="1655" w:val="left" w:leader="none"/>
          <w:tab w:pos="1656" w:val="left" w:leader="none"/>
          <w:tab w:pos="9529" w:val="right" w:leader="dot"/>
        </w:tabs>
        <w:spacing w:line="240" w:lineRule="auto" w:before="22" w:after="0"/>
        <w:ind w:left="1655" w:right="0" w:hanging="438"/>
        <w:jc w:val="left"/>
        <w:rPr>
          <w:sz w:val="21"/>
        </w:rPr>
      </w:pPr>
      <w:r>
        <w:rPr>
          <w:sz w:val="21"/>
        </w:rPr>
        <w:t>您有保单贷款的权利</w:t>
        <w:tab/>
        <w:t>5.4</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z w:val="21"/>
        </w:rPr>
        <w:t>在某些情况下，我们不承担保险责任，详见条款正文中背景突出显示的内容</w:t>
      </w:r>
    </w:p>
    <w:p>
      <w:pPr>
        <w:pStyle w:val="BodyText"/>
        <w:spacing w:before="22"/>
        <w:ind w:left="1743"/>
      </w:pPr>
      <w:r>
        <w:rPr/>
        <w:t>……………………………………………………………2.2、2.3、3.2、8.1、8.3、9.5</w:t>
      </w:r>
    </w:p>
    <w:p>
      <w:pPr>
        <w:pStyle w:val="ListParagraph"/>
        <w:numPr>
          <w:ilvl w:val="0"/>
          <w:numId w:val="1"/>
        </w:numPr>
        <w:tabs>
          <w:tab w:pos="1637" w:val="left" w:leader="none"/>
          <w:tab w:pos="1638" w:val="left" w:leader="none"/>
          <w:tab w:pos="9511" w:val="right" w:leader="dot"/>
        </w:tabs>
        <w:spacing w:line="240" w:lineRule="auto" w:before="37" w:after="0"/>
        <w:ind w:left="1637" w:right="0" w:hanging="420"/>
        <w:jc w:val="left"/>
        <w:rPr>
          <w:sz w:val="21"/>
        </w:rPr>
      </w:pPr>
      <w:r>
        <w:rPr>
          <w:sz w:val="21"/>
        </w:rPr>
        <w:t>退保会给您造成一定的损失，请您慎重决策</w:t>
        <w:tab/>
        <w:t>7.1</w:t>
      </w:r>
    </w:p>
    <w:p>
      <w:pPr>
        <w:pStyle w:val="ListParagraph"/>
        <w:numPr>
          <w:ilvl w:val="0"/>
          <w:numId w:val="1"/>
        </w:numPr>
        <w:tabs>
          <w:tab w:pos="1655" w:val="left" w:leader="none"/>
          <w:tab w:pos="1656" w:val="left" w:leader="none"/>
          <w:tab w:pos="9529" w:val="right" w:leader="dot"/>
        </w:tabs>
        <w:spacing w:line="240" w:lineRule="auto" w:before="22" w:after="0"/>
        <w:ind w:left="1655" w:right="0" w:hanging="438"/>
        <w:jc w:val="left"/>
        <w:rPr>
          <w:sz w:val="21"/>
        </w:rPr>
      </w:pPr>
      <w:r>
        <w:rPr>
          <w:sz w:val="21"/>
        </w:rPr>
        <w:t>您有如实告知的义务</w:t>
        <w:tab/>
        <w:t>8.1</w:t>
      </w:r>
    </w:p>
    <w:p>
      <w:pPr>
        <w:pStyle w:val="ListParagraph"/>
        <w:numPr>
          <w:ilvl w:val="0"/>
          <w:numId w:val="1"/>
        </w:numPr>
        <w:tabs>
          <w:tab w:pos="1655" w:val="left" w:leader="none"/>
          <w:tab w:pos="1656" w:val="left" w:leader="none"/>
          <w:tab w:pos="9529" w:val="right" w:leader="dot"/>
        </w:tabs>
        <w:spacing w:line="240" w:lineRule="auto" w:before="22" w:after="0"/>
        <w:ind w:left="1655" w:right="0" w:hanging="438"/>
        <w:jc w:val="left"/>
        <w:rPr>
          <w:sz w:val="21"/>
        </w:rPr>
      </w:pPr>
      <w:r>
        <w:rPr>
          <w:sz w:val="21"/>
        </w:rPr>
        <w:t>您应当按时支付保险费</w:t>
        <w:tab/>
        <w:t>4.1</w:t>
      </w:r>
    </w:p>
    <w:p>
      <w:pPr>
        <w:pStyle w:val="ListParagraph"/>
        <w:numPr>
          <w:ilvl w:val="0"/>
          <w:numId w:val="1"/>
        </w:numPr>
        <w:tabs>
          <w:tab w:pos="1655" w:val="left" w:leader="none"/>
          <w:tab w:pos="1656" w:val="left" w:leader="none"/>
          <w:tab w:pos="9529" w:val="right" w:leader="dot"/>
        </w:tabs>
        <w:spacing w:line="240" w:lineRule="auto" w:before="22" w:after="0"/>
        <w:ind w:left="1655" w:right="0" w:hanging="438"/>
        <w:jc w:val="left"/>
        <w:rPr>
          <w:sz w:val="21"/>
        </w:rPr>
      </w:pPr>
      <w:r>
        <w:rPr>
          <w:sz w:val="21"/>
        </w:rPr>
        <w:t>您有及时向我们通知保险事故的责任</w:t>
        <w:tab/>
        <w:t>3.2</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9.5</w:t>
      </w:r>
    </w:p>
    <w:p>
      <w:pPr>
        <w:pStyle w:val="Heading2"/>
        <w:tabs>
          <w:tab w:pos="1255" w:val="left" w:leader="none"/>
        </w:tabs>
        <w:spacing w:line="240" w:lineRule="auto" w:before="25"/>
        <w:ind w:left="245"/>
      </w:pPr>
      <w:r>
        <w:rPr>
          <w:rFonts w:ascii="Arial" w:hAnsi="Arial" w:eastAsia="Arial"/>
          <w:w w:val="105"/>
          <w:position w:val="-11"/>
          <w:sz w:val="52"/>
        </w:rPr>
        <w:t></w:t>
        <w:tab/>
      </w:r>
      <w:r>
        <w:rPr>
          <w:w w:val="95"/>
        </w:rPr>
        <w:t>条款是保险合同的重要内容，为充分保障您的权益，请您仔细阅读本条款。</w:t>
      </w:r>
    </w:p>
    <w:p>
      <w:pPr>
        <w:tabs>
          <w:tab w:pos="1255" w:val="left" w:leader="none"/>
        </w:tabs>
        <w:spacing w:before="26"/>
        <w:ind w:left="245"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80" w:bottom="280" w:left="940" w:right="780"/>
        </w:sectPr>
      </w:pPr>
    </w:p>
    <w:p>
      <w:pPr>
        <w:pStyle w:val="Heading2"/>
        <w:spacing w:line="336" w:lineRule="exact" w:before="62"/>
        <w:ind w:left="980"/>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558" w:val="left" w:leader="none"/>
        </w:tabs>
        <w:spacing w:line="228" w:lineRule="exact" w:before="0" w:after="0"/>
        <w:ind w:left="1557" w:right="0" w:hanging="367"/>
        <w:jc w:val="left"/>
        <w:rPr>
          <w:sz w:val="21"/>
        </w:rPr>
      </w:pPr>
      <w:r>
        <w:rPr>
          <w:sz w:val="21"/>
        </w:rPr>
        <w:t>合同构成</w:t>
      </w:r>
    </w:p>
    <w:p>
      <w:pPr>
        <w:pStyle w:val="ListParagraph"/>
        <w:numPr>
          <w:ilvl w:val="1"/>
          <w:numId w:val="2"/>
        </w:numPr>
        <w:tabs>
          <w:tab w:pos="1610" w:val="left" w:leader="none"/>
        </w:tabs>
        <w:spacing w:line="240" w:lineRule="exact" w:before="0" w:after="0"/>
        <w:ind w:left="1610" w:right="0" w:hanging="420"/>
        <w:jc w:val="left"/>
        <w:rPr>
          <w:sz w:val="21"/>
        </w:rPr>
      </w:pPr>
      <w:r>
        <w:rPr>
          <w:sz w:val="21"/>
        </w:rPr>
        <w:t>合同成立与生效</w:t>
      </w:r>
    </w:p>
    <w:p>
      <w:pPr>
        <w:pStyle w:val="ListParagraph"/>
        <w:numPr>
          <w:ilvl w:val="1"/>
          <w:numId w:val="2"/>
        </w:numPr>
        <w:tabs>
          <w:tab w:pos="1610" w:val="left" w:leader="none"/>
        </w:tabs>
        <w:spacing w:line="240" w:lineRule="exact" w:before="0" w:after="0"/>
        <w:ind w:left="1610" w:right="0" w:hanging="420"/>
        <w:jc w:val="left"/>
        <w:rPr>
          <w:sz w:val="21"/>
        </w:rPr>
      </w:pPr>
      <w:r>
        <w:rPr>
          <w:sz w:val="21"/>
        </w:rPr>
        <w:t>投保年龄</w:t>
      </w:r>
    </w:p>
    <w:p>
      <w:pPr>
        <w:pStyle w:val="ListParagraph"/>
        <w:numPr>
          <w:ilvl w:val="1"/>
          <w:numId w:val="2"/>
        </w:numPr>
        <w:tabs>
          <w:tab w:pos="1610" w:val="left" w:leader="none"/>
        </w:tabs>
        <w:spacing w:line="240" w:lineRule="exact" w:before="0" w:after="0"/>
        <w:ind w:left="1610" w:right="0" w:hanging="420"/>
        <w:jc w:val="left"/>
        <w:rPr>
          <w:sz w:val="21"/>
        </w:rPr>
      </w:pPr>
      <w:r>
        <w:rPr>
          <w:sz w:val="21"/>
        </w:rPr>
        <w:t>犹豫期</w:t>
      </w:r>
    </w:p>
    <w:p>
      <w:pPr>
        <w:pStyle w:val="ListParagraph"/>
        <w:numPr>
          <w:ilvl w:val="1"/>
          <w:numId w:val="2"/>
        </w:numPr>
        <w:tabs>
          <w:tab w:pos="1610" w:val="left" w:leader="none"/>
        </w:tabs>
        <w:spacing w:line="207" w:lineRule="exact" w:before="0" w:after="0"/>
        <w:ind w:left="1610" w:right="0" w:hanging="420"/>
        <w:jc w:val="left"/>
        <w:rPr>
          <w:sz w:val="21"/>
        </w:rPr>
      </w:pPr>
      <w:r>
        <w:rPr>
          <w:sz w:val="21"/>
        </w:rPr>
        <w:t>保险期间</w:t>
      </w:r>
    </w:p>
    <w:p>
      <w:pPr>
        <w:pStyle w:val="Heading2"/>
        <w:ind w:left="980"/>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610" w:val="left" w:leader="none"/>
        </w:tabs>
        <w:spacing w:line="228" w:lineRule="exact" w:before="0" w:after="0"/>
        <w:ind w:left="1610" w:right="0" w:hanging="420"/>
        <w:jc w:val="left"/>
        <w:rPr>
          <w:sz w:val="21"/>
        </w:rPr>
      </w:pPr>
      <w:r>
        <w:rPr>
          <w:sz w:val="21"/>
        </w:rPr>
        <w:t>保险金额</w:t>
      </w:r>
    </w:p>
    <w:p>
      <w:pPr>
        <w:pStyle w:val="ListParagraph"/>
        <w:numPr>
          <w:ilvl w:val="1"/>
          <w:numId w:val="3"/>
        </w:numPr>
        <w:tabs>
          <w:tab w:pos="1610" w:val="left" w:leader="none"/>
        </w:tabs>
        <w:spacing w:line="240" w:lineRule="exact" w:before="0" w:after="0"/>
        <w:ind w:left="1610" w:right="0" w:hanging="420"/>
        <w:jc w:val="left"/>
        <w:rPr>
          <w:sz w:val="21"/>
        </w:rPr>
      </w:pPr>
      <w:r>
        <w:rPr>
          <w:sz w:val="21"/>
        </w:rPr>
        <w:t>保险责任</w:t>
      </w:r>
    </w:p>
    <w:p>
      <w:pPr>
        <w:pStyle w:val="ListParagraph"/>
        <w:numPr>
          <w:ilvl w:val="1"/>
          <w:numId w:val="3"/>
        </w:numPr>
        <w:tabs>
          <w:tab w:pos="1610" w:val="left" w:leader="none"/>
        </w:tabs>
        <w:spacing w:line="207" w:lineRule="exact" w:before="0" w:after="0"/>
        <w:ind w:left="1610" w:right="0" w:hanging="420"/>
        <w:jc w:val="left"/>
        <w:rPr>
          <w:sz w:val="21"/>
        </w:rPr>
      </w:pPr>
      <w:r>
        <w:rPr>
          <w:sz w:val="21"/>
        </w:rPr>
        <w:t>责任免除</w:t>
      </w:r>
    </w:p>
    <w:p>
      <w:pPr>
        <w:pStyle w:val="Heading2"/>
        <w:ind w:left="980"/>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610" w:val="left" w:leader="none"/>
        </w:tabs>
        <w:spacing w:line="228" w:lineRule="exact" w:before="0" w:after="0"/>
        <w:ind w:left="1610" w:right="0" w:hanging="420"/>
        <w:jc w:val="left"/>
        <w:rPr>
          <w:sz w:val="21"/>
        </w:rPr>
      </w:pPr>
      <w:r>
        <w:rPr>
          <w:sz w:val="21"/>
        </w:rPr>
        <w:t>受益人</w:t>
      </w:r>
    </w:p>
    <w:p>
      <w:pPr>
        <w:pStyle w:val="ListParagraph"/>
        <w:numPr>
          <w:ilvl w:val="1"/>
          <w:numId w:val="4"/>
        </w:numPr>
        <w:tabs>
          <w:tab w:pos="1610" w:val="left" w:leader="none"/>
        </w:tabs>
        <w:spacing w:line="240" w:lineRule="exact" w:before="0" w:after="0"/>
        <w:ind w:left="1610" w:right="0" w:hanging="420"/>
        <w:jc w:val="left"/>
        <w:rPr>
          <w:sz w:val="21"/>
        </w:rPr>
      </w:pPr>
      <w:r>
        <w:rPr>
          <w:sz w:val="21"/>
        </w:rPr>
        <w:t>保险事故通知</w:t>
      </w:r>
    </w:p>
    <w:p>
      <w:pPr>
        <w:pStyle w:val="ListParagraph"/>
        <w:numPr>
          <w:ilvl w:val="1"/>
          <w:numId w:val="4"/>
        </w:numPr>
        <w:tabs>
          <w:tab w:pos="1610" w:val="left" w:leader="none"/>
        </w:tabs>
        <w:spacing w:line="240" w:lineRule="exact" w:before="0" w:after="0"/>
        <w:ind w:left="1610" w:right="0" w:hanging="419"/>
        <w:jc w:val="left"/>
        <w:rPr>
          <w:sz w:val="21"/>
        </w:rPr>
      </w:pPr>
      <w:r>
        <w:rPr>
          <w:sz w:val="21"/>
        </w:rPr>
        <w:t>保险金申请</w:t>
      </w:r>
    </w:p>
    <w:p>
      <w:pPr>
        <w:pStyle w:val="ListParagraph"/>
        <w:numPr>
          <w:ilvl w:val="1"/>
          <w:numId w:val="4"/>
        </w:numPr>
        <w:tabs>
          <w:tab w:pos="1610" w:val="left" w:leader="none"/>
        </w:tabs>
        <w:spacing w:line="240" w:lineRule="exact" w:before="0" w:after="0"/>
        <w:ind w:left="1610" w:right="0" w:hanging="419"/>
        <w:jc w:val="left"/>
        <w:rPr>
          <w:sz w:val="21"/>
        </w:rPr>
      </w:pPr>
      <w:r>
        <w:rPr>
          <w:sz w:val="21"/>
        </w:rPr>
        <w:t>保险金的给付</w:t>
      </w:r>
    </w:p>
    <w:p>
      <w:pPr>
        <w:pStyle w:val="ListParagraph"/>
        <w:numPr>
          <w:ilvl w:val="1"/>
          <w:numId w:val="4"/>
        </w:numPr>
        <w:tabs>
          <w:tab w:pos="1610" w:val="left" w:leader="none"/>
        </w:tabs>
        <w:spacing w:line="240" w:lineRule="exact" w:before="0" w:after="0"/>
        <w:ind w:left="1610" w:right="0" w:hanging="419"/>
        <w:jc w:val="left"/>
        <w:rPr>
          <w:sz w:val="21"/>
        </w:rPr>
      </w:pPr>
      <w:r>
        <w:rPr>
          <w:sz w:val="21"/>
        </w:rPr>
        <w:t>宣告死亡处理</w:t>
      </w:r>
    </w:p>
    <w:p>
      <w:pPr>
        <w:pStyle w:val="ListParagraph"/>
        <w:numPr>
          <w:ilvl w:val="1"/>
          <w:numId w:val="4"/>
        </w:numPr>
        <w:tabs>
          <w:tab w:pos="1610" w:val="left" w:leader="none"/>
        </w:tabs>
        <w:spacing w:line="240" w:lineRule="exact" w:before="0" w:after="0"/>
        <w:ind w:left="1610" w:right="0" w:hanging="420"/>
        <w:jc w:val="left"/>
        <w:rPr>
          <w:sz w:val="21"/>
        </w:rPr>
      </w:pPr>
      <w:r>
        <w:rPr>
          <w:sz w:val="21"/>
        </w:rPr>
        <w:t>诉讼时效</w:t>
      </w:r>
    </w:p>
    <w:p>
      <w:pPr>
        <w:pStyle w:val="ListParagraph"/>
        <w:numPr>
          <w:ilvl w:val="1"/>
          <w:numId w:val="4"/>
        </w:numPr>
        <w:tabs>
          <w:tab w:pos="1629" w:val="left" w:leader="none"/>
        </w:tabs>
        <w:spacing w:line="208" w:lineRule="auto" w:before="18" w:after="0"/>
        <w:ind w:left="1610" w:right="0" w:hanging="420"/>
        <w:jc w:val="left"/>
        <w:rPr>
          <w:sz w:val="21"/>
        </w:rPr>
      </w:pPr>
      <w:r>
        <w:rPr>
          <w:spacing w:val="15"/>
          <w:sz w:val="21"/>
        </w:rPr>
        <w:t>保险金领取方式选</w:t>
      </w:r>
      <w:r>
        <w:rPr>
          <w:sz w:val="21"/>
        </w:rPr>
        <w:t>择权</w:t>
      </w:r>
    </w:p>
    <w:p>
      <w:pPr>
        <w:pStyle w:val="Heading2"/>
        <w:numPr>
          <w:ilvl w:val="0"/>
          <w:numId w:val="5"/>
        </w:numPr>
        <w:tabs>
          <w:tab w:pos="1297" w:val="left" w:leader="none"/>
        </w:tabs>
        <w:spacing w:line="234" w:lineRule="exact" w:before="0" w:after="0"/>
        <w:ind w:left="1296" w:right="0" w:hanging="316"/>
        <w:jc w:val="left"/>
        <w:rPr>
          <w:rFonts w:ascii="Microsoft JhengHei" w:eastAsia="Microsoft JhengHei" w:hint="eastAsia"/>
        </w:rPr>
      </w:pPr>
      <w:r>
        <w:rPr>
          <w:rFonts w:ascii="Microsoft JhengHei" w:eastAsia="Microsoft JhengHei" w:hint="eastAsia"/>
        </w:rPr>
        <w:t>如何支付保险费</w:t>
      </w:r>
    </w:p>
    <w:p>
      <w:pPr>
        <w:pStyle w:val="ListParagraph"/>
        <w:numPr>
          <w:ilvl w:val="1"/>
          <w:numId w:val="5"/>
        </w:numPr>
        <w:tabs>
          <w:tab w:pos="1610" w:val="left" w:leader="none"/>
        </w:tabs>
        <w:spacing w:line="228" w:lineRule="exact" w:before="0" w:after="0"/>
        <w:ind w:left="1610" w:right="0" w:hanging="420"/>
        <w:jc w:val="left"/>
        <w:rPr>
          <w:sz w:val="21"/>
        </w:rPr>
      </w:pPr>
      <w:r>
        <w:rPr>
          <w:sz w:val="21"/>
        </w:rPr>
        <w:t>保险费的支付</w:t>
      </w:r>
    </w:p>
    <w:p>
      <w:pPr>
        <w:pStyle w:val="ListParagraph"/>
        <w:numPr>
          <w:ilvl w:val="1"/>
          <w:numId w:val="5"/>
        </w:numPr>
        <w:tabs>
          <w:tab w:pos="1610" w:val="left" w:leader="none"/>
        </w:tabs>
        <w:spacing w:line="240" w:lineRule="exact" w:before="0" w:after="0"/>
        <w:ind w:left="1610" w:right="0" w:hanging="420"/>
        <w:jc w:val="left"/>
        <w:rPr>
          <w:sz w:val="21"/>
        </w:rPr>
      </w:pPr>
      <w:r>
        <w:rPr>
          <w:sz w:val="21"/>
        </w:rPr>
        <w:t>宽限期</w:t>
      </w:r>
    </w:p>
    <w:p>
      <w:pPr>
        <w:pStyle w:val="ListParagraph"/>
        <w:numPr>
          <w:ilvl w:val="1"/>
          <w:numId w:val="5"/>
        </w:numPr>
        <w:tabs>
          <w:tab w:pos="1610" w:val="left" w:leader="none"/>
        </w:tabs>
        <w:spacing w:line="257" w:lineRule="exact" w:before="0" w:after="0"/>
        <w:ind w:left="1610" w:right="0" w:hanging="420"/>
        <w:jc w:val="left"/>
        <w:rPr>
          <w:sz w:val="21"/>
        </w:rPr>
      </w:pPr>
      <w:r>
        <w:rPr>
          <w:sz w:val="21"/>
        </w:rPr>
        <w:t>保险费率调整</w:t>
      </w:r>
    </w:p>
    <w:p>
      <w:pPr>
        <w:pStyle w:val="Heading2"/>
        <w:numPr>
          <w:ilvl w:val="0"/>
          <w:numId w:val="5"/>
        </w:numPr>
        <w:tabs>
          <w:tab w:pos="428" w:val="left" w:leader="none"/>
        </w:tabs>
        <w:spacing w:line="336" w:lineRule="exact" w:before="41" w:after="0"/>
        <w:ind w:left="427" w:right="0" w:hanging="316"/>
        <w:jc w:val="left"/>
        <w:rPr>
          <w:rFonts w:ascii="Microsoft JhengHei" w:eastAsia="Microsoft JhengHei" w:hint="eastAsia"/>
        </w:rPr>
      </w:pPr>
      <w:r>
        <w:rPr>
          <w:rFonts w:ascii="Microsoft JhengHei" w:eastAsia="Microsoft JhengHei" w:hint="eastAsia"/>
          <w:spacing w:val="0"/>
        </w:rPr>
        <w:br w:type="column"/>
      </w:r>
      <w:r>
        <w:rPr>
          <w:rFonts w:ascii="Microsoft JhengHei" w:eastAsia="Microsoft JhengHei" w:hint="eastAsia"/>
        </w:rPr>
        <w:t>现金价值权益</w:t>
      </w:r>
    </w:p>
    <w:p>
      <w:pPr>
        <w:pStyle w:val="ListParagraph"/>
        <w:numPr>
          <w:ilvl w:val="1"/>
          <w:numId w:val="5"/>
        </w:numPr>
        <w:tabs>
          <w:tab w:pos="742" w:val="left" w:leader="none"/>
        </w:tabs>
        <w:spacing w:line="228" w:lineRule="exact" w:before="0" w:after="0"/>
        <w:ind w:left="741" w:right="0" w:hanging="420"/>
        <w:jc w:val="left"/>
        <w:rPr>
          <w:sz w:val="21"/>
        </w:rPr>
      </w:pPr>
      <w:r>
        <w:rPr>
          <w:sz w:val="21"/>
        </w:rPr>
        <w:t>现金价值</w:t>
      </w:r>
    </w:p>
    <w:p>
      <w:pPr>
        <w:pStyle w:val="ListParagraph"/>
        <w:numPr>
          <w:ilvl w:val="1"/>
          <w:numId w:val="5"/>
        </w:numPr>
        <w:tabs>
          <w:tab w:pos="742" w:val="left" w:leader="none"/>
        </w:tabs>
        <w:spacing w:line="240" w:lineRule="exact" w:before="0" w:after="0"/>
        <w:ind w:left="741" w:right="0" w:hanging="420"/>
        <w:jc w:val="left"/>
        <w:rPr>
          <w:sz w:val="21"/>
        </w:rPr>
      </w:pPr>
      <w:r>
        <w:rPr>
          <w:sz w:val="21"/>
        </w:rPr>
        <w:t>自动垫交</w:t>
      </w:r>
    </w:p>
    <w:p>
      <w:pPr>
        <w:pStyle w:val="ListParagraph"/>
        <w:numPr>
          <w:ilvl w:val="1"/>
          <w:numId w:val="5"/>
        </w:numPr>
        <w:tabs>
          <w:tab w:pos="742" w:val="left" w:leader="none"/>
        </w:tabs>
        <w:spacing w:line="240" w:lineRule="exact" w:before="0" w:after="0"/>
        <w:ind w:left="741" w:right="0" w:hanging="420"/>
        <w:jc w:val="left"/>
        <w:rPr>
          <w:sz w:val="21"/>
        </w:rPr>
      </w:pPr>
      <w:r>
        <w:rPr>
          <w:sz w:val="21"/>
        </w:rPr>
        <w:t>减额交清</w:t>
      </w:r>
    </w:p>
    <w:p>
      <w:pPr>
        <w:pStyle w:val="ListParagraph"/>
        <w:numPr>
          <w:ilvl w:val="1"/>
          <w:numId w:val="5"/>
        </w:numPr>
        <w:tabs>
          <w:tab w:pos="742" w:val="left" w:leader="none"/>
        </w:tabs>
        <w:spacing w:line="207" w:lineRule="exact" w:before="0" w:after="0"/>
        <w:ind w:left="741" w:right="0" w:hanging="420"/>
        <w:jc w:val="left"/>
        <w:rPr>
          <w:sz w:val="21"/>
        </w:rPr>
      </w:pPr>
      <w:r>
        <w:rPr>
          <w:sz w:val="21"/>
        </w:rPr>
        <w:t>保单贷款</w:t>
      </w:r>
    </w:p>
    <w:p>
      <w:pPr>
        <w:pStyle w:val="Heading2"/>
        <w:numPr>
          <w:ilvl w:val="0"/>
          <w:numId w:val="5"/>
        </w:numPr>
        <w:tabs>
          <w:tab w:pos="428" w:val="left" w:leader="none"/>
        </w:tabs>
        <w:spacing w:line="285" w:lineRule="exact" w:before="0" w:after="0"/>
        <w:ind w:left="427" w:right="0" w:hanging="316"/>
        <w:jc w:val="left"/>
        <w:rPr>
          <w:rFonts w:ascii="Microsoft JhengHei" w:eastAsia="Microsoft JhengHei" w:hint="eastAsia"/>
        </w:rPr>
      </w:pPr>
      <w:r>
        <w:rPr>
          <w:rFonts w:ascii="Microsoft JhengHei" w:eastAsia="Microsoft JhengHei" w:hint="eastAsia"/>
        </w:rPr>
        <w:t>合同效力的中止及恢复</w:t>
      </w:r>
    </w:p>
    <w:p>
      <w:pPr>
        <w:pStyle w:val="ListParagraph"/>
        <w:numPr>
          <w:ilvl w:val="1"/>
          <w:numId w:val="5"/>
        </w:numPr>
        <w:tabs>
          <w:tab w:pos="742" w:val="left" w:leader="none"/>
        </w:tabs>
        <w:spacing w:line="228" w:lineRule="exact" w:before="0" w:after="0"/>
        <w:ind w:left="741" w:right="0" w:hanging="420"/>
        <w:jc w:val="left"/>
        <w:rPr>
          <w:sz w:val="21"/>
        </w:rPr>
      </w:pPr>
      <w:r>
        <w:rPr>
          <w:sz w:val="21"/>
        </w:rPr>
        <w:t>效力中止</w:t>
      </w:r>
    </w:p>
    <w:p>
      <w:pPr>
        <w:pStyle w:val="ListParagraph"/>
        <w:numPr>
          <w:ilvl w:val="1"/>
          <w:numId w:val="5"/>
        </w:numPr>
        <w:tabs>
          <w:tab w:pos="742" w:val="left" w:leader="none"/>
        </w:tabs>
        <w:spacing w:line="207" w:lineRule="exact" w:before="0" w:after="0"/>
        <w:ind w:left="741" w:right="0" w:hanging="420"/>
        <w:jc w:val="left"/>
        <w:rPr>
          <w:sz w:val="21"/>
        </w:rPr>
      </w:pPr>
      <w:r>
        <w:rPr>
          <w:sz w:val="21"/>
        </w:rPr>
        <w:t>效力恢复</w:t>
      </w:r>
    </w:p>
    <w:p>
      <w:pPr>
        <w:pStyle w:val="Heading2"/>
        <w:rPr>
          <w:rFonts w:ascii="Microsoft JhengHei" w:eastAsia="Microsoft JhengHei" w:hint="eastAsia"/>
        </w:rPr>
      </w:pPr>
      <w:r>
        <w:rPr/>
        <w:t>7.</w:t>
      </w:r>
      <w:r>
        <w:rPr>
          <w:rFonts w:ascii="Microsoft JhengHei" w:eastAsia="Microsoft JhengHei" w:hint="eastAsia"/>
        </w:rPr>
        <w:t>如何解除保险合同</w:t>
      </w:r>
    </w:p>
    <w:p>
      <w:pPr>
        <w:pStyle w:val="BodyText"/>
        <w:spacing w:line="195" w:lineRule="exact"/>
        <w:ind w:left="321"/>
      </w:pPr>
      <w:r>
        <w:rPr/>
        <w:t>7.1 您解除合同的手续及风险</w:t>
      </w:r>
    </w:p>
    <w:p>
      <w:pPr>
        <w:pStyle w:val="Heading2"/>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6"/>
        </w:numPr>
        <w:tabs>
          <w:tab w:pos="742" w:val="left" w:leader="none"/>
        </w:tabs>
        <w:spacing w:line="228" w:lineRule="exact" w:before="0" w:after="0"/>
        <w:ind w:left="741" w:right="0" w:hanging="420"/>
        <w:jc w:val="left"/>
        <w:rPr>
          <w:sz w:val="21"/>
        </w:rPr>
      </w:pPr>
      <w:r>
        <w:rPr>
          <w:sz w:val="21"/>
        </w:rPr>
        <w:t>明确说明与如实告知</w:t>
      </w:r>
    </w:p>
    <w:p>
      <w:pPr>
        <w:pStyle w:val="ListParagraph"/>
        <w:numPr>
          <w:ilvl w:val="1"/>
          <w:numId w:val="6"/>
        </w:numPr>
        <w:tabs>
          <w:tab w:pos="689" w:val="left" w:leader="none"/>
        </w:tabs>
        <w:spacing w:line="240" w:lineRule="exact" w:before="0" w:after="0"/>
        <w:ind w:left="688" w:right="0" w:hanging="367"/>
        <w:jc w:val="left"/>
        <w:rPr>
          <w:sz w:val="21"/>
        </w:rPr>
      </w:pPr>
      <w:r>
        <w:rPr>
          <w:sz w:val="21"/>
        </w:rPr>
        <w:t>本公司合同解除权的限制</w:t>
      </w:r>
    </w:p>
    <w:p>
      <w:pPr>
        <w:pStyle w:val="ListParagraph"/>
        <w:numPr>
          <w:ilvl w:val="1"/>
          <w:numId w:val="6"/>
        </w:numPr>
        <w:tabs>
          <w:tab w:pos="742" w:val="left" w:leader="none"/>
        </w:tabs>
        <w:spacing w:line="240" w:lineRule="exact" w:before="0" w:after="0"/>
        <w:ind w:left="741" w:right="0" w:hanging="420"/>
        <w:jc w:val="left"/>
        <w:rPr>
          <w:sz w:val="21"/>
        </w:rPr>
      </w:pPr>
      <w:r>
        <w:rPr>
          <w:sz w:val="21"/>
        </w:rPr>
        <w:t>年龄错误</w:t>
      </w:r>
    </w:p>
    <w:p>
      <w:pPr>
        <w:pStyle w:val="ListParagraph"/>
        <w:numPr>
          <w:ilvl w:val="1"/>
          <w:numId w:val="6"/>
        </w:numPr>
        <w:tabs>
          <w:tab w:pos="742" w:val="left" w:leader="none"/>
        </w:tabs>
        <w:spacing w:line="240" w:lineRule="exact" w:before="0" w:after="0"/>
        <w:ind w:left="741" w:right="0" w:hanging="420"/>
        <w:jc w:val="left"/>
        <w:rPr>
          <w:sz w:val="21"/>
        </w:rPr>
      </w:pPr>
      <w:r>
        <w:rPr>
          <w:sz w:val="21"/>
        </w:rPr>
        <w:t>未还款项</w:t>
      </w:r>
    </w:p>
    <w:p>
      <w:pPr>
        <w:pStyle w:val="ListParagraph"/>
        <w:numPr>
          <w:ilvl w:val="1"/>
          <w:numId w:val="6"/>
        </w:numPr>
        <w:tabs>
          <w:tab w:pos="742" w:val="left" w:leader="none"/>
        </w:tabs>
        <w:spacing w:line="240" w:lineRule="exact" w:before="0" w:after="0"/>
        <w:ind w:left="741" w:right="0" w:hanging="420"/>
        <w:jc w:val="left"/>
        <w:rPr>
          <w:sz w:val="21"/>
        </w:rPr>
      </w:pPr>
      <w:r>
        <w:rPr>
          <w:sz w:val="21"/>
        </w:rPr>
        <w:t>合同内容变更</w:t>
      </w:r>
    </w:p>
    <w:p>
      <w:pPr>
        <w:pStyle w:val="ListParagraph"/>
        <w:numPr>
          <w:ilvl w:val="1"/>
          <w:numId w:val="6"/>
        </w:numPr>
        <w:tabs>
          <w:tab w:pos="742" w:val="left" w:leader="none"/>
        </w:tabs>
        <w:spacing w:line="240" w:lineRule="exact" w:before="0" w:after="0"/>
        <w:ind w:left="741" w:right="0" w:hanging="420"/>
        <w:jc w:val="left"/>
        <w:rPr>
          <w:sz w:val="21"/>
        </w:rPr>
      </w:pPr>
      <w:r>
        <w:rPr>
          <w:sz w:val="21"/>
        </w:rPr>
        <w:t>联系方式变更</w:t>
      </w:r>
    </w:p>
    <w:p>
      <w:pPr>
        <w:pStyle w:val="ListParagraph"/>
        <w:numPr>
          <w:ilvl w:val="1"/>
          <w:numId w:val="6"/>
        </w:numPr>
        <w:tabs>
          <w:tab w:pos="742" w:val="left" w:leader="none"/>
        </w:tabs>
        <w:spacing w:line="207" w:lineRule="exact" w:before="0" w:after="0"/>
        <w:ind w:left="741" w:right="0" w:hanging="420"/>
        <w:jc w:val="left"/>
        <w:rPr>
          <w:sz w:val="21"/>
        </w:rPr>
      </w:pPr>
      <w:r>
        <w:rPr>
          <w:sz w:val="21"/>
        </w:rPr>
        <w:t>争议处理</w:t>
      </w:r>
    </w:p>
    <w:p>
      <w:pPr>
        <w:pStyle w:val="Heading2"/>
        <w:rPr>
          <w:rFonts w:ascii="Microsoft JhengHei" w:eastAsia="Microsoft JhengHei" w:hint="eastAsia"/>
        </w:rPr>
      </w:pPr>
      <w:r>
        <w:rPr/>
        <w:t>9.</w:t>
      </w:r>
      <w:r>
        <w:rPr>
          <w:rFonts w:ascii="Microsoft JhengHei" w:eastAsia="Microsoft JhengHei" w:hint="eastAsia"/>
        </w:rPr>
        <w:t>释义</w:t>
      </w:r>
    </w:p>
    <w:p>
      <w:pPr>
        <w:pStyle w:val="ListParagraph"/>
        <w:numPr>
          <w:ilvl w:val="1"/>
          <w:numId w:val="7"/>
        </w:numPr>
        <w:tabs>
          <w:tab w:pos="742" w:val="left" w:leader="none"/>
        </w:tabs>
        <w:spacing w:line="228" w:lineRule="exact" w:before="0" w:after="0"/>
        <w:ind w:left="795" w:right="0" w:hanging="474"/>
        <w:jc w:val="left"/>
        <w:rPr>
          <w:sz w:val="21"/>
        </w:rPr>
      </w:pPr>
      <w:r>
        <w:rPr>
          <w:sz w:val="21"/>
        </w:rPr>
        <w:t>保单年度</w:t>
      </w:r>
    </w:p>
    <w:p>
      <w:pPr>
        <w:pStyle w:val="ListParagraph"/>
        <w:numPr>
          <w:ilvl w:val="1"/>
          <w:numId w:val="7"/>
        </w:numPr>
        <w:tabs>
          <w:tab w:pos="742" w:val="left" w:leader="none"/>
        </w:tabs>
        <w:spacing w:line="240" w:lineRule="exact" w:before="0" w:after="0"/>
        <w:ind w:left="795" w:right="0" w:hanging="474"/>
        <w:jc w:val="left"/>
        <w:rPr>
          <w:sz w:val="21"/>
        </w:rPr>
      </w:pPr>
      <w:r>
        <w:rPr>
          <w:sz w:val="21"/>
        </w:rPr>
        <w:t>保险费约定支付日</w:t>
      </w:r>
    </w:p>
    <w:p>
      <w:pPr>
        <w:pStyle w:val="ListParagraph"/>
        <w:numPr>
          <w:ilvl w:val="1"/>
          <w:numId w:val="7"/>
        </w:numPr>
        <w:tabs>
          <w:tab w:pos="742" w:val="left" w:leader="none"/>
        </w:tabs>
        <w:spacing w:line="240" w:lineRule="exact" w:before="0" w:after="0"/>
        <w:ind w:left="795" w:right="0" w:hanging="474"/>
        <w:jc w:val="left"/>
        <w:rPr>
          <w:sz w:val="21"/>
        </w:rPr>
      </w:pPr>
      <w:r>
        <w:rPr>
          <w:sz w:val="21"/>
        </w:rPr>
        <w:t>周岁</w:t>
      </w:r>
    </w:p>
    <w:p>
      <w:pPr>
        <w:pStyle w:val="ListParagraph"/>
        <w:numPr>
          <w:ilvl w:val="1"/>
          <w:numId w:val="7"/>
        </w:numPr>
        <w:tabs>
          <w:tab w:pos="742" w:val="left" w:leader="none"/>
        </w:tabs>
        <w:spacing w:line="257" w:lineRule="exact" w:before="0" w:after="0"/>
        <w:ind w:left="795" w:right="0" w:hanging="474"/>
        <w:jc w:val="left"/>
        <w:rPr>
          <w:sz w:val="21"/>
        </w:rPr>
      </w:pPr>
      <w:r>
        <w:rPr>
          <w:sz w:val="21"/>
        </w:rPr>
        <w:t>有效身份证件</w:t>
      </w:r>
    </w:p>
    <w:p>
      <w:pPr>
        <w:pStyle w:val="ListParagraph"/>
        <w:numPr>
          <w:ilvl w:val="1"/>
          <w:numId w:val="7"/>
        </w:numPr>
        <w:tabs>
          <w:tab w:pos="796" w:val="left" w:leader="none"/>
        </w:tabs>
        <w:spacing w:line="257" w:lineRule="exact" w:before="74" w:after="0"/>
        <w:ind w:left="795" w:right="0" w:hanging="420"/>
        <w:jc w:val="left"/>
        <w:rPr>
          <w:sz w:val="21"/>
        </w:rPr>
      </w:pPr>
      <w:r>
        <w:rPr>
          <w:sz w:val="21"/>
        </w:rPr>
        <w:br w:type="column"/>
        <w:t>重大疾病</w:t>
      </w:r>
    </w:p>
    <w:p>
      <w:pPr>
        <w:pStyle w:val="ListParagraph"/>
        <w:numPr>
          <w:ilvl w:val="1"/>
          <w:numId w:val="7"/>
        </w:numPr>
        <w:tabs>
          <w:tab w:pos="796" w:val="left" w:leader="none"/>
        </w:tabs>
        <w:spacing w:line="240" w:lineRule="exact" w:before="0" w:after="0"/>
        <w:ind w:left="795" w:right="0" w:hanging="420"/>
        <w:jc w:val="left"/>
        <w:rPr>
          <w:sz w:val="21"/>
        </w:rPr>
      </w:pPr>
      <w:r>
        <w:rPr>
          <w:sz w:val="21"/>
        </w:rPr>
        <w:t>专科医生</w:t>
      </w:r>
    </w:p>
    <w:p>
      <w:pPr>
        <w:pStyle w:val="ListParagraph"/>
        <w:numPr>
          <w:ilvl w:val="1"/>
          <w:numId w:val="7"/>
        </w:numPr>
        <w:tabs>
          <w:tab w:pos="796" w:val="left" w:leader="none"/>
        </w:tabs>
        <w:spacing w:line="240" w:lineRule="exact" w:before="0" w:after="0"/>
        <w:ind w:left="795" w:right="0" w:hanging="420"/>
        <w:jc w:val="left"/>
        <w:rPr>
          <w:sz w:val="21"/>
        </w:rPr>
      </w:pPr>
      <w:r>
        <w:rPr>
          <w:sz w:val="21"/>
        </w:rPr>
        <w:t>肢体机能完全丧失</w:t>
      </w:r>
    </w:p>
    <w:p>
      <w:pPr>
        <w:pStyle w:val="ListParagraph"/>
        <w:numPr>
          <w:ilvl w:val="1"/>
          <w:numId w:val="7"/>
        </w:numPr>
        <w:tabs>
          <w:tab w:pos="799" w:val="left" w:leader="none"/>
        </w:tabs>
        <w:spacing w:line="208" w:lineRule="auto" w:before="18" w:after="0"/>
        <w:ind w:left="795" w:right="888" w:hanging="420"/>
        <w:jc w:val="left"/>
        <w:rPr>
          <w:sz w:val="21"/>
        </w:rPr>
      </w:pPr>
      <w:r>
        <w:rPr>
          <w:sz w:val="21"/>
        </w:rPr>
        <w:t>语言能力或咀嚼吞咽能力完全丧失</w:t>
      </w:r>
    </w:p>
    <w:p>
      <w:pPr>
        <w:pStyle w:val="ListParagraph"/>
        <w:numPr>
          <w:ilvl w:val="1"/>
          <w:numId w:val="7"/>
        </w:numPr>
        <w:tabs>
          <w:tab w:pos="796" w:val="left" w:leader="none"/>
        </w:tabs>
        <w:spacing w:line="208" w:lineRule="auto" w:before="0" w:after="0"/>
        <w:ind w:left="795" w:right="924" w:hanging="420"/>
        <w:jc w:val="left"/>
        <w:rPr>
          <w:sz w:val="21"/>
        </w:rPr>
      </w:pPr>
      <w:r>
        <w:rPr>
          <w:sz w:val="21"/>
        </w:rPr>
        <w:t>六项基本日常生活活动</w:t>
      </w:r>
    </w:p>
    <w:p>
      <w:pPr>
        <w:pStyle w:val="ListParagraph"/>
        <w:numPr>
          <w:ilvl w:val="1"/>
          <w:numId w:val="7"/>
        </w:numPr>
        <w:tabs>
          <w:tab w:pos="900" w:val="left" w:leader="none"/>
        </w:tabs>
        <w:spacing w:line="223" w:lineRule="exact" w:before="0" w:after="0"/>
        <w:ind w:left="899" w:right="0" w:hanging="524"/>
        <w:jc w:val="left"/>
        <w:rPr>
          <w:sz w:val="21"/>
        </w:rPr>
      </w:pPr>
      <w:r>
        <w:rPr>
          <w:sz w:val="21"/>
        </w:rPr>
        <w:t>永久不可逆</w:t>
      </w:r>
    </w:p>
    <w:p>
      <w:pPr>
        <w:pStyle w:val="ListParagraph"/>
        <w:numPr>
          <w:ilvl w:val="1"/>
          <w:numId w:val="7"/>
        </w:numPr>
        <w:tabs>
          <w:tab w:pos="900" w:val="left" w:leader="none"/>
        </w:tabs>
        <w:spacing w:line="240" w:lineRule="exact" w:before="0" w:after="0"/>
        <w:ind w:left="899" w:right="0" w:hanging="524"/>
        <w:jc w:val="left"/>
        <w:rPr>
          <w:sz w:val="21"/>
        </w:rPr>
      </w:pPr>
      <w:r>
        <w:rPr>
          <w:sz w:val="21"/>
        </w:rPr>
        <w:t>心功能状态分级</w:t>
      </w:r>
    </w:p>
    <w:p>
      <w:pPr>
        <w:pStyle w:val="ListParagraph"/>
        <w:numPr>
          <w:ilvl w:val="1"/>
          <w:numId w:val="7"/>
        </w:numPr>
        <w:tabs>
          <w:tab w:pos="900" w:val="left" w:leader="none"/>
        </w:tabs>
        <w:spacing w:line="240" w:lineRule="exact" w:before="0" w:after="0"/>
        <w:ind w:left="899" w:right="0" w:hanging="524"/>
        <w:jc w:val="left"/>
        <w:rPr>
          <w:sz w:val="21"/>
        </w:rPr>
      </w:pPr>
      <w:r>
        <w:rPr>
          <w:sz w:val="21"/>
        </w:rPr>
        <w:t>意外伤害</w:t>
      </w:r>
    </w:p>
    <w:p>
      <w:pPr>
        <w:pStyle w:val="ListParagraph"/>
        <w:numPr>
          <w:ilvl w:val="1"/>
          <w:numId w:val="7"/>
        </w:numPr>
        <w:tabs>
          <w:tab w:pos="900" w:val="left" w:leader="none"/>
        </w:tabs>
        <w:spacing w:line="240" w:lineRule="exact" w:before="0" w:after="0"/>
        <w:ind w:left="899" w:right="0" w:hanging="524"/>
        <w:jc w:val="left"/>
        <w:rPr>
          <w:sz w:val="21"/>
        </w:rPr>
      </w:pPr>
      <w:r>
        <w:rPr>
          <w:sz w:val="21"/>
        </w:rPr>
        <w:t>医院</w:t>
      </w:r>
    </w:p>
    <w:p>
      <w:pPr>
        <w:pStyle w:val="ListParagraph"/>
        <w:numPr>
          <w:ilvl w:val="1"/>
          <w:numId w:val="7"/>
        </w:numPr>
        <w:tabs>
          <w:tab w:pos="900" w:val="left" w:leader="none"/>
        </w:tabs>
        <w:spacing w:line="240" w:lineRule="exact" w:before="0" w:after="0"/>
        <w:ind w:left="899" w:right="0" w:hanging="524"/>
        <w:jc w:val="left"/>
        <w:rPr>
          <w:sz w:val="21"/>
        </w:rPr>
      </w:pPr>
      <w:r>
        <w:rPr>
          <w:sz w:val="21"/>
        </w:rPr>
        <w:t>毒品</w:t>
      </w:r>
    </w:p>
    <w:p>
      <w:pPr>
        <w:pStyle w:val="ListParagraph"/>
        <w:numPr>
          <w:ilvl w:val="1"/>
          <w:numId w:val="7"/>
        </w:numPr>
        <w:tabs>
          <w:tab w:pos="900" w:val="left" w:leader="none"/>
        </w:tabs>
        <w:spacing w:line="240" w:lineRule="exact" w:before="0" w:after="0"/>
        <w:ind w:left="899" w:right="0" w:hanging="524"/>
        <w:jc w:val="left"/>
        <w:rPr>
          <w:sz w:val="21"/>
        </w:rPr>
      </w:pPr>
      <w:r>
        <w:rPr>
          <w:sz w:val="21"/>
        </w:rPr>
        <w:t>酒后驾驶</w:t>
      </w:r>
    </w:p>
    <w:p>
      <w:pPr>
        <w:pStyle w:val="ListParagraph"/>
        <w:numPr>
          <w:ilvl w:val="1"/>
          <w:numId w:val="7"/>
        </w:numPr>
        <w:tabs>
          <w:tab w:pos="918" w:val="left" w:leader="none"/>
        </w:tabs>
        <w:spacing w:line="208" w:lineRule="auto" w:before="17" w:after="0"/>
        <w:ind w:left="900" w:right="875" w:hanging="525"/>
        <w:jc w:val="left"/>
        <w:rPr>
          <w:sz w:val="21"/>
        </w:rPr>
      </w:pPr>
      <w:r>
        <w:rPr>
          <w:spacing w:val="15"/>
          <w:sz w:val="21"/>
        </w:rPr>
        <w:t>无合法有效驾驶证</w:t>
      </w:r>
      <w:r>
        <w:rPr>
          <w:sz w:val="21"/>
        </w:rPr>
        <w:t>驾驶</w:t>
      </w:r>
    </w:p>
    <w:p>
      <w:pPr>
        <w:pStyle w:val="ListParagraph"/>
        <w:numPr>
          <w:ilvl w:val="1"/>
          <w:numId w:val="7"/>
        </w:numPr>
        <w:tabs>
          <w:tab w:pos="900" w:val="left" w:leader="none"/>
        </w:tabs>
        <w:spacing w:line="223" w:lineRule="exact" w:before="0" w:after="0"/>
        <w:ind w:left="899" w:right="0" w:hanging="524"/>
        <w:jc w:val="left"/>
        <w:rPr>
          <w:sz w:val="21"/>
        </w:rPr>
      </w:pPr>
      <w:r>
        <w:rPr>
          <w:sz w:val="21"/>
        </w:rPr>
        <w:t>无有效行驶证</w:t>
      </w:r>
    </w:p>
    <w:p>
      <w:pPr>
        <w:pStyle w:val="ListParagraph"/>
        <w:numPr>
          <w:ilvl w:val="1"/>
          <w:numId w:val="7"/>
        </w:numPr>
        <w:tabs>
          <w:tab w:pos="900" w:val="left" w:leader="none"/>
        </w:tabs>
        <w:spacing w:line="240" w:lineRule="exact" w:before="0" w:after="0"/>
        <w:ind w:left="899" w:right="0" w:hanging="524"/>
        <w:jc w:val="left"/>
        <w:rPr>
          <w:sz w:val="21"/>
        </w:rPr>
      </w:pPr>
      <w:r>
        <w:rPr>
          <w:sz w:val="21"/>
        </w:rPr>
        <w:t>机动车</w:t>
      </w:r>
    </w:p>
    <w:p>
      <w:pPr>
        <w:pStyle w:val="ListParagraph"/>
        <w:numPr>
          <w:ilvl w:val="1"/>
          <w:numId w:val="7"/>
        </w:numPr>
        <w:tabs>
          <w:tab w:pos="918" w:val="left" w:leader="none"/>
        </w:tabs>
        <w:spacing w:line="208" w:lineRule="auto" w:before="17" w:after="0"/>
        <w:ind w:left="900" w:right="875" w:hanging="525"/>
        <w:jc w:val="left"/>
        <w:rPr>
          <w:sz w:val="21"/>
        </w:rPr>
      </w:pPr>
      <w:r>
        <w:rPr>
          <w:spacing w:val="15"/>
          <w:sz w:val="21"/>
        </w:rPr>
        <w:t>感染艾滋病病毒或</w:t>
      </w:r>
      <w:r>
        <w:rPr>
          <w:sz w:val="21"/>
        </w:rPr>
        <w:t>患艾滋病</w:t>
      </w:r>
    </w:p>
    <w:p>
      <w:pPr>
        <w:pStyle w:val="ListParagraph"/>
        <w:numPr>
          <w:ilvl w:val="1"/>
          <w:numId w:val="7"/>
        </w:numPr>
        <w:tabs>
          <w:tab w:pos="900" w:val="left" w:leader="none"/>
        </w:tabs>
        <w:spacing w:line="223" w:lineRule="exact" w:before="0" w:after="0"/>
        <w:ind w:left="899" w:right="0" w:hanging="524"/>
        <w:jc w:val="left"/>
        <w:rPr>
          <w:sz w:val="21"/>
        </w:rPr>
      </w:pPr>
      <w:r>
        <w:rPr>
          <w:sz w:val="21"/>
        </w:rPr>
        <w:t>遗传性疾病</w:t>
      </w:r>
    </w:p>
    <w:p>
      <w:pPr>
        <w:pStyle w:val="ListParagraph"/>
        <w:numPr>
          <w:ilvl w:val="1"/>
          <w:numId w:val="7"/>
        </w:numPr>
        <w:tabs>
          <w:tab w:pos="900" w:val="left" w:leader="none"/>
        </w:tabs>
        <w:spacing w:line="208" w:lineRule="auto" w:before="19" w:after="0"/>
        <w:ind w:left="900" w:right="892" w:hanging="525"/>
        <w:jc w:val="left"/>
        <w:rPr>
          <w:sz w:val="21"/>
        </w:rPr>
      </w:pPr>
      <w:r>
        <w:rPr>
          <w:spacing w:val="-10"/>
          <w:sz w:val="21"/>
        </w:rPr>
        <w:t>先天性畸形、变形或染色体异常</w:t>
      </w:r>
    </w:p>
    <w:p>
      <w:pPr>
        <w:pStyle w:val="ListParagraph"/>
        <w:numPr>
          <w:ilvl w:val="1"/>
          <w:numId w:val="7"/>
        </w:numPr>
        <w:tabs>
          <w:tab w:pos="900" w:val="left" w:leader="none"/>
        </w:tabs>
        <w:spacing w:line="239" w:lineRule="exact" w:before="0" w:after="0"/>
        <w:ind w:left="899" w:right="0" w:hanging="524"/>
        <w:jc w:val="left"/>
        <w:rPr>
          <w:sz w:val="21"/>
        </w:rPr>
      </w:pPr>
      <w:r>
        <w:rPr>
          <w:sz w:val="21"/>
        </w:rPr>
        <w:t>净保险费</w:t>
      </w:r>
    </w:p>
    <w:p>
      <w:pPr>
        <w:pStyle w:val="BodyText"/>
        <w:rPr>
          <w:sz w:val="20"/>
        </w:rPr>
      </w:pPr>
    </w:p>
    <w:p>
      <w:pPr>
        <w:pStyle w:val="BodyText"/>
        <w:spacing w:before="9"/>
        <w:rPr>
          <w:sz w:val="24"/>
        </w:rPr>
      </w:pPr>
    </w:p>
    <w:p>
      <w:pPr>
        <w:spacing w:line="316" w:lineRule="auto" w:before="0"/>
        <w:ind w:left="1503" w:right="486" w:firstLine="0"/>
        <w:jc w:val="left"/>
        <w:rPr>
          <w:sz w:val="18"/>
        </w:rPr>
      </w:pPr>
      <w:r>
        <w:rPr>
          <w:sz w:val="18"/>
        </w:rPr>
        <w:t>险种简称：安享重疾险种代码：997</w:t>
      </w:r>
    </w:p>
    <w:p>
      <w:pPr>
        <w:spacing w:after="0" w:line="316" w:lineRule="auto"/>
        <w:jc w:val="left"/>
        <w:rPr>
          <w:sz w:val="18"/>
        </w:rPr>
        <w:sectPr>
          <w:type w:val="continuous"/>
          <w:pgSz w:w="11910" w:h="16840"/>
          <w:pgMar w:top="580" w:bottom="280" w:left="940" w:right="780"/>
          <w:cols w:num="3" w:equalWidth="0">
            <w:col w:w="3444" w:space="40"/>
            <w:col w:w="3052" w:space="39"/>
            <w:col w:w="3615"/>
          </w:cols>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rPr>
          <w:sz w:val="12"/>
        </w:rPr>
      </w:pPr>
      <w:r>
        <w:rPr/>
        <w:drawing>
          <wp:anchor distT="0" distB="0" distL="0" distR="0" allowOverlap="1" layoutInCell="1" locked="0" behindDoc="0" simplePos="0" relativeHeight="1048">
            <wp:simplePos x="0" y="0"/>
            <wp:positionH relativeFrom="page">
              <wp:posOffset>1629028</wp:posOffset>
            </wp:positionH>
            <wp:positionV relativeFrom="paragraph">
              <wp:posOffset>124659</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Heading1"/>
        <w:spacing w:line="537" w:lineRule="exact"/>
        <w:ind w:left="2194" w:right="2194"/>
      </w:pPr>
      <w:r>
        <w:rPr/>
        <w:t>平安安享人生重大疾病保险条款</w:t>
      </w:r>
    </w:p>
    <w:p>
      <w:pPr>
        <w:pStyle w:val="BodyText"/>
        <w:spacing w:before="103"/>
        <w:ind w:left="2194" w:right="2195"/>
        <w:jc w:val="center"/>
      </w:pPr>
      <w:r>
        <w:rPr/>
        <w:t>（平保寿发[2012]197 号，2012 年 7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after="1"/>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88"/>
        <w:gridCol w:w="7887"/>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568"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1.1</w:t>
            </w:r>
          </w:p>
        </w:tc>
        <w:tc>
          <w:tcPr>
            <w:tcW w:w="1588" w:type="dxa"/>
            <w:tcBorders>
              <w:top w:val="single" w:sz="8" w:space="0" w:color="000000"/>
            </w:tcBorders>
          </w:tcPr>
          <w:p>
            <w:pPr>
              <w:pStyle w:val="TableParagraph"/>
              <w:spacing w:before="9"/>
              <w:rPr>
                <w:sz w:val="14"/>
              </w:rPr>
            </w:pPr>
          </w:p>
          <w:p>
            <w:pPr>
              <w:pStyle w:val="TableParagraph"/>
              <w:ind w:left="141"/>
              <w:rPr>
                <w:b/>
                <w:sz w:val="21"/>
              </w:rPr>
            </w:pPr>
            <w:r>
              <w:rPr>
                <w:b/>
                <w:sz w:val="21"/>
              </w:rPr>
              <w:t>合同构成</w:t>
            </w:r>
          </w:p>
        </w:tc>
        <w:tc>
          <w:tcPr>
            <w:tcW w:w="7887" w:type="dxa"/>
            <w:tcBorders>
              <w:top w:val="single" w:sz="8" w:space="0" w:color="000000"/>
            </w:tcBorders>
          </w:tcPr>
          <w:p>
            <w:pPr>
              <w:pStyle w:val="TableParagraph"/>
              <w:spacing w:before="9"/>
              <w:rPr>
                <w:sz w:val="14"/>
              </w:rPr>
            </w:pPr>
          </w:p>
          <w:p>
            <w:pPr>
              <w:pStyle w:val="TableParagraph"/>
              <w:spacing w:line="273" w:lineRule="auto"/>
              <w:ind w:left="181" w:right="105"/>
              <w:jc w:val="both"/>
              <w:rPr>
                <w:sz w:val="21"/>
              </w:rPr>
            </w:pPr>
            <w:r>
              <w:rPr>
                <w:sz w:val="21"/>
              </w:rPr>
              <w:t>本保险条款、保险单或其他保险凭证、投保书、与保险合同有关的投保文件、合法有效的声明、批注、批单、附加险合同、其他书面协议都是您与我们之间订立的保险合同的构成部分。</w:t>
            </w:r>
          </w:p>
          <w:p>
            <w:pPr>
              <w:pStyle w:val="TableParagraph"/>
              <w:spacing w:before="7"/>
              <w:ind w:left="182"/>
              <w:jc w:val="both"/>
              <w:rPr>
                <w:sz w:val="21"/>
              </w:rPr>
            </w:pPr>
            <w:r>
              <w:rPr>
                <w:sz w:val="21"/>
              </w:rPr>
              <w:t>“平安安享人生重大疾病保险合同”以下简称为“本主险合同”。</w:t>
            </w:r>
          </w:p>
        </w:tc>
      </w:tr>
      <w:tr>
        <w:trPr>
          <w:trHeight w:val="2099" w:hRule="atLeast"/>
        </w:trPr>
        <w:tc>
          <w:tcPr>
            <w:tcW w:w="606" w:type="dxa"/>
          </w:tcPr>
          <w:p>
            <w:pPr>
              <w:pStyle w:val="TableParagraph"/>
              <w:spacing w:before="100"/>
              <w:ind w:left="89" w:right="159"/>
              <w:jc w:val="center"/>
              <w:rPr>
                <w:b/>
                <w:sz w:val="21"/>
              </w:rPr>
            </w:pPr>
            <w:r>
              <w:rPr>
                <w:b/>
                <w:sz w:val="21"/>
              </w:rPr>
              <w:t>1.2</w:t>
            </w:r>
          </w:p>
        </w:tc>
        <w:tc>
          <w:tcPr>
            <w:tcW w:w="1588" w:type="dxa"/>
          </w:tcPr>
          <w:p>
            <w:pPr>
              <w:pStyle w:val="TableParagraph"/>
              <w:spacing w:line="273" w:lineRule="auto" w:before="100"/>
              <w:ind w:left="141" w:right="180"/>
              <w:rPr>
                <w:b/>
                <w:sz w:val="21"/>
              </w:rPr>
            </w:pPr>
            <w:r>
              <w:rPr>
                <w:b/>
                <w:sz w:val="21"/>
              </w:rPr>
              <w:t>合同成立与生效</w:t>
            </w:r>
          </w:p>
        </w:tc>
        <w:tc>
          <w:tcPr>
            <w:tcW w:w="7887" w:type="dxa"/>
          </w:tcPr>
          <w:p>
            <w:pPr>
              <w:pStyle w:val="TableParagraph"/>
              <w:spacing w:before="100"/>
              <w:ind w:left="181"/>
              <w:rPr>
                <w:sz w:val="21"/>
              </w:rPr>
            </w:pPr>
            <w:r>
              <w:rPr>
                <w:sz w:val="21"/>
              </w:rPr>
              <w:t>您提出保险申请、我们同意承保，本主险合同成立。</w:t>
            </w:r>
          </w:p>
          <w:p>
            <w:pPr>
              <w:pStyle w:val="TableParagraph"/>
              <w:spacing w:line="273" w:lineRule="auto" w:before="37"/>
              <w:ind w:left="181" w:right="144"/>
              <w:rPr>
                <w:sz w:val="21"/>
              </w:rPr>
            </w:pPr>
            <w:r>
              <w:rPr>
                <w:sz w:val="21"/>
              </w:rPr>
              <w:t>本主险合同自我们同意承保、收取保险费并签发保险单开始生效，具体生效日以保险单所载的日期为准。</w:t>
            </w:r>
          </w:p>
          <w:p>
            <w:pPr>
              <w:pStyle w:val="TableParagraph"/>
              <w:spacing w:line="273" w:lineRule="auto" w:before="7"/>
              <w:ind w:left="181" w:right="108"/>
              <w:rPr>
                <w:sz w:val="21"/>
              </w:rPr>
            </w:pPr>
            <w:r>
              <w:rPr>
                <w:spacing w:val="-1"/>
                <w:sz w:val="21"/>
              </w:rPr>
              <w:t>本主险合同生效日以后每年的对应日是保单周年日。</w:t>
            </w:r>
            <w:r>
              <w:rPr>
                <w:rFonts w:ascii="黑体" w:eastAsia="黑体" w:hint="eastAsia"/>
                <w:b/>
                <w:spacing w:val="-2"/>
                <w:w w:val="99"/>
                <w:sz w:val="21"/>
              </w:rPr>
              <w:t>保单年度</w:t>
            </w:r>
            <w:r>
              <w:rPr>
                <w:sz w:val="21"/>
              </w:rPr>
              <w:t>（</w:t>
            </w:r>
            <w:r>
              <w:rPr>
                <w:spacing w:val="-27"/>
                <w:sz w:val="21"/>
              </w:rPr>
              <w:t>见 </w:t>
            </w:r>
            <w:r>
              <w:rPr>
                <w:sz w:val="21"/>
              </w:rPr>
              <w:t>9</w:t>
            </w:r>
            <w:r>
              <w:rPr>
                <w:spacing w:val="-1"/>
                <w:sz w:val="21"/>
              </w:rPr>
              <w:t>.1</w:t>
            </w:r>
            <w:r>
              <w:rPr>
                <w:spacing w:val="-105"/>
                <w:sz w:val="21"/>
              </w:rPr>
              <w:t>）</w:t>
            </w:r>
            <w:r>
              <w:rPr>
                <w:spacing w:val="-8"/>
                <w:sz w:val="21"/>
              </w:rPr>
              <w:t>、</w:t>
            </w:r>
            <w:r>
              <w:rPr>
                <w:rFonts w:ascii="黑体" w:eastAsia="黑体" w:hint="eastAsia"/>
                <w:b/>
                <w:w w:val="99"/>
                <w:sz w:val="21"/>
              </w:rPr>
              <w:t>保险费约</w:t>
            </w:r>
            <w:r>
              <w:rPr>
                <w:rFonts w:ascii="黑体" w:eastAsia="黑体" w:hint="eastAsia"/>
                <w:b/>
                <w:sz w:val="21"/>
              </w:rPr>
              <w:t>定支付日</w:t>
            </w:r>
            <w:r>
              <w:rPr>
                <w:sz w:val="21"/>
              </w:rPr>
              <w:t>（</w:t>
            </w:r>
            <w:r>
              <w:rPr>
                <w:spacing w:val="-29"/>
                <w:sz w:val="21"/>
              </w:rPr>
              <w:t>见 </w:t>
            </w:r>
            <w:r>
              <w:rPr>
                <w:sz w:val="21"/>
              </w:rPr>
              <w:t>9.2）以该日期计算。</w:t>
            </w:r>
          </w:p>
          <w:p>
            <w:pPr>
              <w:pStyle w:val="TableParagraph"/>
              <w:spacing w:before="7"/>
              <w:ind w:left="182"/>
              <w:rPr>
                <w:sz w:val="21"/>
              </w:rPr>
            </w:pPr>
            <w:r>
              <w:rPr>
                <w:sz w:val="21"/>
              </w:rPr>
              <w:t>如果当月无对应的同一日，则以该月最后一日作为对应日。</w:t>
            </w:r>
          </w:p>
        </w:tc>
      </w:tr>
      <w:tr>
        <w:trPr>
          <w:trHeight w:val="850" w:hRule="atLeast"/>
        </w:trPr>
        <w:tc>
          <w:tcPr>
            <w:tcW w:w="606" w:type="dxa"/>
          </w:tcPr>
          <w:p>
            <w:pPr>
              <w:pStyle w:val="TableParagraph"/>
              <w:spacing w:before="99"/>
              <w:ind w:left="89" w:right="159"/>
              <w:jc w:val="center"/>
              <w:rPr>
                <w:b/>
                <w:sz w:val="21"/>
              </w:rPr>
            </w:pPr>
            <w:r>
              <w:rPr>
                <w:b/>
                <w:sz w:val="21"/>
              </w:rPr>
              <w:t>1.3</w:t>
            </w:r>
          </w:p>
        </w:tc>
        <w:tc>
          <w:tcPr>
            <w:tcW w:w="1588" w:type="dxa"/>
          </w:tcPr>
          <w:p>
            <w:pPr>
              <w:pStyle w:val="TableParagraph"/>
              <w:spacing w:before="99"/>
              <w:ind w:left="141"/>
              <w:rPr>
                <w:b/>
                <w:sz w:val="21"/>
              </w:rPr>
            </w:pPr>
            <w:r>
              <w:rPr>
                <w:b/>
                <w:sz w:val="21"/>
              </w:rPr>
              <w:t>投保年龄</w:t>
            </w:r>
          </w:p>
        </w:tc>
        <w:tc>
          <w:tcPr>
            <w:tcW w:w="7887" w:type="dxa"/>
          </w:tcPr>
          <w:p>
            <w:pPr>
              <w:pStyle w:val="TableParagraph"/>
              <w:spacing w:line="273" w:lineRule="auto" w:before="99"/>
              <w:ind w:left="182" w:right="129" w:hanging="1"/>
              <w:rPr>
                <w:sz w:val="21"/>
              </w:rPr>
            </w:pPr>
            <w:r>
              <w:rPr>
                <w:sz w:val="21"/>
              </w:rPr>
              <w:t>指投保时被保险人的年龄，投保年龄以</w:t>
            </w:r>
            <w:r>
              <w:rPr>
                <w:rFonts w:ascii="黑体" w:eastAsia="黑体" w:hint="eastAsia"/>
                <w:b/>
                <w:sz w:val="21"/>
              </w:rPr>
              <w:t>周岁</w:t>
            </w:r>
            <w:r>
              <w:rPr>
                <w:sz w:val="21"/>
              </w:rPr>
              <w:t>（见 9.3）计算，本主险合同接受的投保年龄为 18 周岁至 55 周岁。</w:t>
            </w:r>
          </w:p>
        </w:tc>
      </w:tr>
      <w:tr>
        <w:trPr>
          <w:trHeight w:val="2098" w:hRule="atLeast"/>
        </w:trPr>
        <w:tc>
          <w:tcPr>
            <w:tcW w:w="606" w:type="dxa"/>
          </w:tcPr>
          <w:p>
            <w:pPr>
              <w:pStyle w:val="TableParagraph"/>
              <w:spacing w:before="99"/>
              <w:ind w:left="89" w:right="159"/>
              <w:jc w:val="center"/>
              <w:rPr>
                <w:b/>
                <w:sz w:val="21"/>
              </w:rPr>
            </w:pPr>
            <w:r>
              <w:rPr>
                <w:b/>
                <w:sz w:val="21"/>
              </w:rPr>
              <w:t>1.4</w:t>
            </w:r>
          </w:p>
        </w:tc>
        <w:tc>
          <w:tcPr>
            <w:tcW w:w="1588" w:type="dxa"/>
          </w:tcPr>
          <w:p>
            <w:pPr>
              <w:pStyle w:val="TableParagraph"/>
              <w:spacing w:before="99"/>
              <w:ind w:left="141"/>
              <w:rPr>
                <w:b/>
                <w:sz w:val="21"/>
              </w:rPr>
            </w:pPr>
            <w:r>
              <w:rPr>
                <w:b/>
                <w:sz w:val="21"/>
              </w:rPr>
              <w:t>犹豫期</w:t>
            </w:r>
          </w:p>
        </w:tc>
        <w:tc>
          <w:tcPr>
            <w:tcW w:w="7887" w:type="dxa"/>
          </w:tcPr>
          <w:p>
            <w:pPr>
              <w:pStyle w:val="TableParagraph"/>
              <w:spacing w:line="273" w:lineRule="auto" w:before="99"/>
              <w:ind w:left="181" w:right="2"/>
              <w:rPr>
                <w:sz w:val="21"/>
              </w:rPr>
            </w:pPr>
            <w:r>
              <w:rPr>
                <w:spacing w:val="-11"/>
                <w:sz w:val="21"/>
              </w:rPr>
              <w:t>自您签收本主险合同次日起，有 </w:t>
            </w:r>
            <w:r>
              <w:rPr>
                <w:sz w:val="21"/>
              </w:rPr>
              <w:t>10</w:t>
            </w:r>
            <w:r>
              <w:rPr>
                <w:spacing w:val="-13"/>
                <w:sz w:val="21"/>
              </w:rPr>
              <w:t> 日的犹豫期。在此期间请您认真审视本主险合同， 如果您认为本主险合同与您的需求不相符，您可以在此期间提出解除本主险合同， 我们将无息退还您所支付的全部保险费。</w:t>
            </w:r>
          </w:p>
          <w:p>
            <w:pPr>
              <w:pStyle w:val="TableParagraph"/>
              <w:spacing w:before="7"/>
              <w:ind w:left="181"/>
              <w:rPr>
                <w:sz w:val="21"/>
              </w:rPr>
            </w:pPr>
            <w:r>
              <w:rPr>
                <w:w w:val="95"/>
                <w:sz w:val="21"/>
              </w:rPr>
              <w:t>解除本主险合同时，您需要填写申请书，并提供您的保险合同及</w:t>
            </w:r>
            <w:r>
              <w:rPr>
                <w:rFonts w:ascii="黑体" w:eastAsia="黑体" w:hint="eastAsia"/>
                <w:b/>
                <w:w w:val="95"/>
                <w:sz w:val="21"/>
              </w:rPr>
              <w:t>有效身份证件</w:t>
            </w:r>
            <w:r>
              <w:rPr>
                <w:w w:val="95"/>
                <w:sz w:val="21"/>
              </w:rPr>
              <w:t>（见</w:t>
            </w:r>
          </w:p>
          <w:p>
            <w:pPr>
              <w:pStyle w:val="TableParagraph"/>
              <w:spacing w:line="273" w:lineRule="auto" w:before="37"/>
              <w:ind w:left="181" w:right="142"/>
              <w:rPr>
                <w:sz w:val="21"/>
              </w:rPr>
            </w:pPr>
            <w:r>
              <w:rPr>
                <w:sz w:val="21"/>
              </w:rPr>
              <w:t>9</w:t>
            </w:r>
            <w:r>
              <w:rPr>
                <w:spacing w:val="-1"/>
                <w:sz w:val="21"/>
              </w:rPr>
              <w:t>.</w:t>
            </w:r>
            <w:r>
              <w:rPr>
                <w:sz w:val="21"/>
              </w:rPr>
              <w:t>4</w:t>
            </w:r>
            <w:r>
              <w:rPr>
                <w:spacing w:val="-105"/>
                <w:sz w:val="21"/>
              </w:rPr>
              <w:t>）</w:t>
            </w:r>
            <w:r>
              <w:rPr>
                <w:spacing w:val="-1"/>
                <w:sz w:val="21"/>
              </w:rPr>
              <w:t>。自我们收到您解除合同的书面申请时起，本主险合同即被解除，合同解除前发生的保险事故我们不承担保险责任。</w:t>
            </w:r>
          </w:p>
        </w:tc>
      </w:tr>
      <w:tr>
        <w:trPr>
          <w:trHeight w:val="807" w:hRule="atLeast"/>
        </w:trPr>
        <w:tc>
          <w:tcPr>
            <w:tcW w:w="606" w:type="dxa"/>
          </w:tcPr>
          <w:p>
            <w:pPr>
              <w:pStyle w:val="TableParagraph"/>
              <w:spacing w:before="99"/>
              <w:ind w:left="89" w:right="159"/>
              <w:jc w:val="center"/>
              <w:rPr>
                <w:b/>
                <w:sz w:val="21"/>
              </w:rPr>
            </w:pPr>
            <w:r>
              <w:rPr>
                <w:b/>
                <w:sz w:val="21"/>
              </w:rPr>
              <w:t>1.5</w:t>
            </w:r>
          </w:p>
        </w:tc>
        <w:tc>
          <w:tcPr>
            <w:tcW w:w="1588" w:type="dxa"/>
          </w:tcPr>
          <w:p>
            <w:pPr>
              <w:pStyle w:val="TableParagraph"/>
              <w:spacing w:before="99"/>
              <w:ind w:left="141"/>
              <w:rPr>
                <w:b/>
                <w:sz w:val="21"/>
              </w:rPr>
            </w:pPr>
            <w:r>
              <w:rPr>
                <w:b/>
                <w:sz w:val="21"/>
              </w:rPr>
              <w:t>保险期间</w:t>
            </w:r>
          </w:p>
        </w:tc>
        <w:tc>
          <w:tcPr>
            <w:tcW w:w="7887" w:type="dxa"/>
          </w:tcPr>
          <w:p>
            <w:pPr>
              <w:pStyle w:val="TableParagraph"/>
              <w:spacing w:before="99"/>
              <w:ind w:left="181"/>
              <w:rPr>
                <w:sz w:val="21"/>
              </w:rPr>
            </w:pPr>
            <w:r>
              <w:rPr>
                <w:sz w:val="21"/>
              </w:rPr>
              <w:t>本主险合同的保险期间由您与我们约定并在保险单上载明。</w:t>
            </w:r>
          </w:p>
        </w:tc>
      </w:tr>
      <w:tr>
        <w:trPr>
          <w:trHeight w:val="955" w:hRule="atLeast"/>
        </w:trPr>
        <w:tc>
          <w:tcPr>
            <w:tcW w:w="606" w:type="dxa"/>
            <w:tcBorders>
              <w:bottom w:val="single" w:sz="8" w:space="0" w:color="000000"/>
            </w:tcBorders>
          </w:tcPr>
          <w:p>
            <w:pPr>
              <w:pStyle w:val="TableParagraph"/>
              <w:spacing w:before="2"/>
              <w:rPr>
                <w:sz w:val="30"/>
              </w:rPr>
            </w:pPr>
          </w:p>
          <w:p>
            <w:pPr>
              <w:pStyle w:val="TableParagraph"/>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3"/>
              <w:rPr>
                <w:sz w:val="34"/>
              </w:rPr>
            </w:pPr>
          </w:p>
          <w:p>
            <w:pPr>
              <w:pStyle w:val="TableParagraph"/>
              <w:spacing w:before="1"/>
              <w:ind w:left="141"/>
              <w:rPr>
                <w:b/>
                <w:sz w:val="24"/>
              </w:rPr>
            </w:pPr>
            <w:r>
              <w:rPr>
                <w:b/>
                <w:w w:val="95"/>
                <w:sz w:val="24"/>
              </w:rPr>
              <w:t>我们提供的保障</w:t>
            </w:r>
          </w:p>
        </w:tc>
      </w:tr>
      <w:tr>
        <w:trPr>
          <w:trHeight w:val="944"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2.1</w:t>
            </w:r>
          </w:p>
        </w:tc>
        <w:tc>
          <w:tcPr>
            <w:tcW w:w="1588" w:type="dxa"/>
            <w:tcBorders>
              <w:top w:val="single" w:sz="8" w:space="0" w:color="000000"/>
            </w:tcBorders>
          </w:tcPr>
          <w:p>
            <w:pPr>
              <w:pStyle w:val="TableParagraph"/>
              <w:spacing w:before="9"/>
              <w:rPr>
                <w:sz w:val="14"/>
              </w:rPr>
            </w:pPr>
          </w:p>
          <w:p>
            <w:pPr>
              <w:pStyle w:val="TableParagraph"/>
              <w:ind w:left="141"/>
              <w:rPr>
                <w:b/>
                <w:sz w:val="21"/>
              </w:rPr>
            </w:pPr>
            <w:r>
              <w:rPr>
                <w:b/>
                <w:sz w:val="21"/>
              </w:rPr>
              <w:t>保险金额</w:t>
            </w:r>
          </w:p>
        </w:tc>
        <w:tc>
          <w:tcPr>
            <w:tcW w:w="7887" w:type="dxa"/>
            <w:tcBorders>
              <w:top w:val="single" w:sz="8" w:space="0" w:color="000000"/>
            </w:tcBorders>
          </w:tcPr>
          <w:p>
            <w:pPr>
              <w:pStyle w:val="TableParagraph"/>
              <w:spacing w:before="9"/>
              <w:rPr>
                <w:sz w:val="14"/>
              </w:rPr>
            </w:pPr>
          </w:p>
          <w:p>
            <w:pPr>
              <w:pStyle w:val="TableParagraph"/>
              <w:spacing w:line="273" w:lineRule="auto"/>
              <w:ind w:left="181" w:right="105"/>
              <w:rPr>
                <w:sz w:val="21"/>
              </w:rPr>
            </w:pPr>
            <w:r>
              <w:rPr>
                <w:sz w:val="21"/>
              </w:rPr>
              <w:t>本主险合同的基本保险金额由您在投保时与我们约定并在保险单上载明。若该金额发生变更，则以变更后的金额为基本保险金额。</w:t>
            </w:r>
          </w:p>
        </w:tc>
      </w:tr>
      <w:tr>
        <w:trPr>
          <w:trHeight w:val="530" w:hRule="atLeast"/>
        </w:trPr>
        <w:tc>
          <w:tcPr>
            <w:tcW w:w="606" w:type="dxa"/>
          </w:tcPr>
          <w:p>
            <w:pPr>
              <w:pStyle w:val="TableParagraph"/>
              <w:spacing w:before="100"/>
              <w:ind w:left="89" w:right="159"/>
              <w:jc w:val="center"/>
              <w:rPr>
                <w:b/>
                <w:sz w:val="21"/>
              </w:rPr>
            </w:pPr>
            <w:r>
              <w:rPr>
                <w:b/>
                <w:sz w:val="21"/>
              </w:rPr>
              <w:t>2.2</w:t>
            </w:r>
          </w:p>
        </w:tc>
        <w:tc>
          <w:tcPr>
            <w:tcW w:w="1588" w:type="dxa"/>
          </w:tcPr>
          <w:p>
            <w:pPr>
              <w:pStyle w:val="TableParagraph"/>
              <w:spacing w:before="100"/>
              <w:ind w:left="141"/>
              <w:rPr>
                <w:b/>
                <w:sz w:val="21"/>
              </w:rPr>
            </w:pPr>
            <w:r>
              <w:rPr>
                <w:b/>
                <w:sz w:val="21"/>
              </w:rPr>
              <w:t>保险责任</w:t>
            </w:r>
          </w:p>
        </w:tc>
        <w:tc>
          <w:tcPr>
            <w:tcW w:w="7887" w:type="dxa"/>
          </w:tcPr>
          <w:p>
            <w:pPr>
              <w:pStyle w:val="TableParagraph"/>
              <w:spacing w:before="100"/>
              <w:ind w:left="181"/>
              <w:rPr>
                <w:sz w:val="21"/>
              </w:rPr>
            </w:pPr>
            <w:r>
              <w:rPr>
                <w:sz w:val="21"/>
              </w:rPr>
              <w:t>在本主险合同有效期内，我们承担如下保险责任：</w:t>
            </w:r>
          </w:p>
        </w:tc>
      </w:tr>
      <w:tr>
        <w:trPr>
          <w:trHeight w:val="721" w:hRule="atLeast"/>
        </w:trPr>
        <w:tc>
          <w:tcPr>
            <w:tcW w:w="606" w:type="dxa"/>
          </w:tcPr>
          <w:p>
            <w:pPr>
              <w:pStyle w:val="TableParagraph"/>
              <w:rPr>
                <w:rFonts w:ascii="Times New Roman"/>
                <w:sz w:val="20"/>
              </w:rPr>
            </w:pPr>
          </w:p>
        </w:tc>
        <w:tc>
          <w:tcPr>
            <w:tcW w:w="1588" w:type="dxa"/>
          </w:tcPr>
          <w:p>
            <w:pPr>
              <w:pStyle w:val="TableParagraph"/>
              <w:spacing w:line="316" w:lineRule="exact" w:before="95"/>
              <w:ind w:left="141" w:right="243"/>
              <w:rPr>
                <w:rFonts w:ascii="等线" w:eastAsia="等线" w:hint="eastAsia"/>
                <w:b/>
                <w:sz w:val="24"/>
              </w:rPr>
            </w:pPr>
            <w:r>
              <w:rPr>
                <w:rFonts w:ascii="等线" w:eastAsia="等线" w:hint="eastAsia"/>
                <w:b/>
                <w:sz w:val="24"/>
              </w:rPr>
              <w:t>重大疾病保险金</w:t>
            </w:r>
          </w:p>
        </w:tc>
        <w:tc>
          <w:tcPr>
            <w:tcW w:w="7887" w:type="dxa"/>
          </w:tcPr>
          <w:p>
            <w:pPr>
              <w:pStyle w:val="TableParagraph"/>
              <w:spacing w:before="108"/>
              <w:ind w:left="181"/>
              <w:rPr>
                <w:sz w:val="21"/>
              </w:rPr>
            </w:pPr>
            <w:r>
              <w:rPr>
                <w:sz w:val="21"/>
              </w:rPr>
              <w:t>（1）等待期</w:t>
            </w:r>
          </w:p>
          <w:p>
            <w:pPr>
              <w:pStyle w:val="TableParagraph"/>
              <w:spacing w:before="37"/>
              <w:ind w:left="181"/>
              <w:rPr>
                <w:sz w:val="21"/>
              </w:rPr>
            </w:pPr>
            <w:r>
              <w:rPr>
                <w:spacing w:val="-3"/>
                <w:sz w:val="21"/>
                <w:shd w:fill="DADADA" w:color="auto" w:val="clear"/>
              </w:rPr>
              <w:t>从本主险合同生效</w:t>
            </w:r>
            <w:r>
              <w:rPr>
                <w:sz w:val="21"/>
                <w:shd w:fill="DADADA" w:color="auto" w:val="clear"/>
              </w:rPr>
              <w:t>（或最后复效</w:t>
            </w:r>
            <w:r>
              <w:rPr>
                <w:spacing w:val="-23"/>
                <w:sz w:val="21"/>
                <w:shd w:fill="DADADA" w:color="auto" w:val="clear"/>
              </w:rPr>
              <w:t>）</w:t>
            </w:r>
            <w:r>
              <w:rPr>
                <w:spacing w:val="-14"/>
                <w:sz w:val="21"/>
                <w:shd w:fill="DADADA" w:color="auto" w:val="clear"/>
              </w:rPr>
              <w:t>之日起 </w:t>
            </w:r>
            <w:r>
              <w:rPr>
                <w:sz w:val="21"/>
                <w:shd w:fill="DADADA" w:color="auto" w:val="clear"/>
              </w:rPr>
              <w:t>90</w:t>
            </w:r>
            <w:r>
              <w:rPr>
                <w:spacing w:val="-9"/>
                <w:sz w:val="21"/>
                <w:shd w:fill="DADADA" w:color="auto" w:val="clear"/>
              </w:rPr>
              <w:t> 日内，被保险人因疾病发生下列情形之</w:t>
            </w:r>
          </w:p>
        </w:tc>
      </w:tr>
    </w:tbl>
    <w:p>
      <w:pPr>
        <w:spacing w:after="0"/>
        <w:rPr>
          <w:sz w:val="21"/>
        </w:rPr>
        <w:sectPr>
          <w:pgSz w:w="11910" w:h="16840"/>
          <w:pgMar w:top="64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576"/>
        <w:gridCol w:w="8116"/>
      </w:tblGrid>
      <w:tr>
        <w:trPr>
          <w:trHeight w:val="4109" w:hRule="atLeast"/>
        </w:trPr>
        <w:tc>
          <w:tcPr>
            <w:tcW w:w="679" w:type="dxa"/>
          </w:tcPr>
          <w:p>
            <w:pPr>
              <w:pStyle w:val="TableParagraph"/>
              <w:rPr>
                <w:rFonts w:ascii="Times New Roman"/>
                <w:sz w:val="20"/>
              </w:rPr>
            </w:pPr>
          </w:p>
        </w:tc>
        <w:tc>
          <w:tcPr>
            <w:tcW w:w="1576" w:type="dxa"/>
          </w:tcPr>
          <w:p>
            <w:pPr>
              <w:pStyle w:val="TableParagraph"/>
              <w:rPr>
                <w:rFonts w:ascii="Times New Roman"/>
                <w:sz w:val="20"/>
              </w:rPr>
            </w:pPr>
          </w:p>
        </w:tc>
        <w:tc>
          <w:tcPr>
            <w:tcW w:w="8116" w:type="dxa"/>
          </w:tcPr>
          <w:p>
            <w:pPr>
              <w:pStyle w:val="TableParagraph"/>
              <w:spacing w:line="210" w:lineRule="exact"/>
              <w:ind w:left="213"/>
              <w:rPr>
                <w:sz w:val="21"/>
              </w:rPr>
            </w:pPr>
            <w:r>
              <w:rPr>
                <w:spacing w:val="-36"/>
                <w:sz w:val="21"/>
                <w:shd w:fill="DADADA" w:color="auto" w:val="clear"/>
              </w:rPr>
              <w:t>一的：</w:t>
            </w:r>
            <w:r>
              <w:rPr>
                <w:sz w:val="21"/>
                <w:shd w:fill="DADADA" w:color="auto" w:val="clear"/>
              </w:rPr>
              <w:t>（一</w:t>
            </w:r>
            <w:r>
              <w:rPr>
                <w:spacing w:val="-108"/>
                <w:sz w:val="21"/>
                <w:shd w:fill="DADADA" w:color="auto" w:val="clear"/>
              </w:rPr>
              <w:t>）</w:t>
            </w:r>
            <w:r>
              <w:rPr>
                <w:rFonts w:ascii="黑体" w:hAnsi="黑体" w:eastAsia="黑体" w:hint="eastAsia"/>
                <w:b/>
                <w:spacing w:val="-19"/>
                <w:w w:val="99"/>
                <w:sz w:val="21"/>
                <w:shd w:fill="DADADA" w:color="auto" w:val="clear"/>
              </w:rPr>
              <w:t>“重大疾病”</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5</w:t>
            </w:r>
            <w:r>
              <w:rPr>
                <w:spacing w:val="-106"/>
                <w:sz w:val="21"/>
                <w:shd w:fill="DADADA" w:color="auto" w:val="clear"/>
              </w:rPr>
              <w:t>）</w:t>
            </w:r>
            <w:r>
              <w:rPr>
                <w:spacing w:val="-107"/>
                <w:sz w:val="21"/>
                <w:shd w:fill="DADADA" w:color="auto" w:val="clear"/>
              </w:rPr>
              <w:t>，</w:t>
            </w:r>
            <w:r>
              <w:rPr>
                <w:spacing w:val="-2"/>
                <w:sz w:val="21"/>
                <w:shd w:fill="DADADA" w:color="auto" w:val="clear"/>
              </w:rPr>
              <w:t>（</w:t>
            </w:r>
            <w:r>
              <w:rPr>
                <w:sz w:val="21"/>
                <w:shd w:fill="DADADA" w:color="auto" w:val="clear"/>
              </w:rPr>
              <w:t>二</w:t>
            </w:r>
            <w:r>
              <w:rPr>
                <w:spacing w:val="-3"/>
                <w:sz w:val="21"/>
                <w:shd w:fill="DADADA" w:color="auto" w:val="clear"/>
              </w:rPr>
              <w:t>）因导致“重大疾病”的相关疾病就诊，我</w:t>
            </w:r>
          </w:p>
          <w:p>
            <w:pPr>
              <w:pStyle w:val="TableParagraph"/>
              <w:spacing w:line="273" w:lineRule="auto" w:before="37"/>
              <w:ind w:left="213" w:right="199"/>
              <w:rPr>
                <w:sz w:val="21"/>
              </w:rPr>
            </w:pPr>
            <w:r>
              <w:rPr>
                <w:spacing w:val="-7"/>
                <w:sz w:val="21"/>
                <w:shd w:fill="DADADA" w:color="auto" w:val="clear"/>
              </w:rPr>
              <w:t>们不承担保险责任，退还本主险合同的现金价值，本主险合同终止。这 </w:t>
            </w:r>
            <w:r>
              <w:rPr>
                <w:sz w:val="21"/>
                <w:shd w:fill="DADADA" w:color="auto" w:val="clear"/>
              </w:rPr>
              <w:t>90</w:t>
            </w:r>
            <w:r>
              <w:rPr>
                <w:spacing w:val="-12"/>
                <w:sz w:val="21"/>
                <w:shd w:fill="DADADA" w:color="auto" w:val="clear"/>
              </w:rPr>
              <w:t> 日的时间称为等待期</w:t>
            </w:r>
            <w:r>
              <w:rPr>
                <w:spacing w:val="-7"/>
                <w:sz w:val="21"/>
              </w:rPr>
              <w:t>；被保险人因</w:t>
            </w:r>
            <w:r>
              <w:rPr>
                <w:rFonts w:ascii="黑体" w:eastAsia="黑体" w:hint="eastAsia"/>
                <w:b/>
                <w:spacing w:val="-8"/>
                <w:sz w:val="21"/>
              </w:rPr>
              <w:t>意外伤害</w:t>
            </w:r>
            <w:r>
              <w:rPr>
                <w:sz w:val="21"/>
              </w:rPr>
              <w:t>（</w:t>
            </w:r>
            <w:r>
              <w:rPr>
                <w:spacing w:val="-27"/>
                <w:sz w:val="21"/>
              </w:rPr>
              <w:t>见 </w:t>
            </w:r>
            <w:r>
              <w:rPr>
                <w:spacing w:val="-7"/>
                <w:sz w:val="21"/>
              </w:rPr>
              <w:t>9.12）</w:t>
            </w:r>
            <w:r>
              <w:rPr>
                <w:spacing w:val="-3"/>
                <w:sz w:val="21"/>
              </w:rPr>
              <w:t>发生上述两项情形之一的，无等待期。</w:t>
            </w:r>
          </w:p>
          <w:p>
            <w:pPr>
              <w:pStyle w:val="TableParagraph"/>
              <w:spacing w:before="7"/>
              <w:ind w:left="213"/>
              <w:rPr>
                <w:sz w:val="21"/>
              </w:rPr>
            </w:pPr>
            <w:r>
              <w:rPr>
                <w:sz w:val="21"/>
              </w:rPr>
              <w:t>（2）重大疾病保险金</w:t>
            </w:r>
          </w:p>
          <w:p>
            <w:pPr>
              <w:pStyle w:val="TableParagraph"/>
              <w:spacing w:line="273" w:lineRule="auto" w:before="36"/>
              <w:ind w:left="213" w:right="302" w:hanging="1"/>
              <w:rPr>
                <w:sz w:val="21"/>
              </w:rPr>
            </w:pPr>
            <w:r>
              <w:rPr>
                <w:sz w:val="21"/>
              </w:rPr>
              <w:t>若被保险人于等待期后经</w:t>
            </w:r>
            <w:r>
              <w:rPr>
                <w:rFonts w:ascii="黑体" w:hAnsi="黑体" w:eastAsia="黑体" w:hint="eastAsia"/>
                <w:b/>
                <w:spacing w:val="1"/>
                <w:w w:val="99"/>
                <w:sz w:val="21"/>
              </w:rPr>
              <w:t>医院</w:t>
            </w:r>
            <w:r>
              <w:rPr>
                <w:spacing w:val="0"/>
                <w:sz w:val="21"/>
              </w:rPr>
              <w:t>（</w:t>
            </w:r>
            <w:r>
              <w:rPr>
                <w:spacing w:val="-1"/>
                <w:sz w:val="21"/>
              </w:rPr>
              <w:t>见 </w:t>
            </w:r>
            <w:r>
              <w:rPr>
                <w:sz w:val="21"/>
              </w:rPr>
              <w:t>9</w:t>
            </w:r>
            <w:r>
              <w:rPr>
                <w:spacing w:val="-1"/>
                <w:sz w:val="21"/>
              </w:rPr>
              <w:t>.</w:t>
            </w:r>
            <w:r>
              <w:rPr>
                <w:sz w:val="21"/>
              </w:rPr>
              <w:t>1</w:t>
            </w:r>
            <w:r>
              <w:rPr>
                <w:spacing w:val="0"/>
                <w:sz w:val="21"/>
              </w:rPr>
              <w:t>3</w:t>
            </w:r>
            <w:r>
              <w:rPr>
                <w:sz w:val="21"/>
              </w:rPr>
              <w:t>）</w:t>
            </w:r>
            <w:r>
              <w:rPr>
                <w:spacing w:val="-9"/>
                <w:sz w:val="21"/>
              </w:rPr>
              <w:t>诊断初次发生“重大疾病”，我们按照基</w:t>
            </w:r>
            <w:r>
              <w:rPr>
                <w:spacing w:val="-7"/>
                <w:sz w:val="21"/>
              </w:rPr>
              <w:t>本保险金额给付“重大疾病保险金”，本主险合同终止。</w:t>
            </w:r>
          </w:p>
          <w:p>
            <w:pPr>
              <w:pStyle w:val="TableParagraph"/>
              <w:spacing w:line="273" w:lineRule="auto" w:before="7"/>
              <w:ind w:left="212" w:right="342"/>
              <w:rPr>
                <w:sz w:val="21"/>
              </w:rPr>
            </w:pPr>
            <w:r>
              <w:rPr>
                <w:spacing w:val="-7"/>
                <w:sz w:val="21"/>
              </w:rPr>
              <w:t>如被保险人在第 </w:t>
            </w:r>
            <w:r>
              <w:rPr>
                <w:sz w:val="21"/>
              </w:rPr>
              <w:t>1</w:t>
            </w:r>
            <w:r>
              <w:rPr>
                <w:spacing w:val="-2"/>
                <w:sz w:val="21"/>
              </w:rPr>
              <w:t>、</w:t>
            </w:r>
            <w:r>
              <w:rPr>
                <w:sz w:val="21"/>
              </w:rPr>
              <w:t>2</w:t>
            </w:r>
            <w:r>
              <w:rPr>
                <w:spacing w:val="-15"/>
                <w:sz w:val="21"/>
              </w:rPr>
              <w:t> 个保单年度初次发生“重大疾病”，上述“重大疾病保险金”将乘以下表所对应的比例给付：</w:t>
            </w:r>
          </w:p>
          <w:p>
            <w:pPr>
              <w:pStyle w:val="TableParagraph"/>
              <w:tabs>
                <w:tab w:pos="5251" w:val="left" w:leader="none"/>
              </w:tabs>
              <w:spacing w:before="7"/>
              <w:ind w:left="1262"/>
              <w:rPr>
                <w:sz w:val="21"/>
              </w:rPr>
            </w:pPr>
            <w:r>
              <w:rPr>
                <w:sz w:val="21"/>
              </w:rPr>
              <w:t>保单年度</w:t>
              <w:tab/>
            </w:r>
            <w:r>
              <w:rPr>
                <w:spacing w:val="-1"/>
                <w:sz w:val="21"/>
              </w:rPr>
              <w:t>给付</w:t>
            </w:r>
            <w:r>
              <w:rPr>
                <w:sz w:val="21"/>
              </w:rPr>
              <w:t>比例</w:t>
            </w:r>
          </w:p>
          <w:p>
            <w:pPr>
              <w:pStyle w:val="TableParagraph"/>
              <w:tabs>
                <w:tab w:pos="5565" w:val="left" w:leader="none"/>
              </w:tabs>
              <w:spacing w:before="36"/>
              <w:ind w:left="842"/>
              <w:rPr>
                <w:sz w:val="21"/>
              </w:rPr>
            </w:pPr>
            <w:r>
              <w:rPr>
                <w:sz w:val="21"/>
              </w:rPr>
              <w:t>第</w:t>
            </w:r>
            <w:r>
              <w:rPr>
                <w:spacing w:val="-54"/>
                <w:sz w:val="21"/>
              </w:rPr>
              <w:t> </w:t>
            </w:r>
            <w:r>
              <w:rPr>
                <w:sz w:val="21"/>
              </w:rPr>
              <w:t>1</w:t>
            </w:r>
            <w:r>
              <w:rPr>
                <w:spacing w:val="-53"/>
                <w:sz w:val="21"/>
              </w:rPr>
              <w:t> </w:t>
            </w:r>
            <w:r>
              <w:rPr>
                <w:sz w:val="21"/>
              </w:rPr>
              <w:t>个保单年度</w:t>
              <w:tab/>
              <w:t>25%</w:t>
            </w:r>
          </w:p>
          <w:p>
            <w:pPr>
              <w:pStyle w:val="TableParagraph"/>
              <w:tabs>
                <w:tab w:pos="5565" w:val="left" w:leader="none"/>
              </w:tabs>
              <w:spacing w:before="36"/>
              <w:ind w:left="842"/>
              <w:rPr>
                <w:sz w:val="21"/>
              </w:rPr>
            </w:pPr>
            <w:r>
              <w:rPr>
                <w:sz w:val="21"/>
              </w:rPr>
              <w:t>第</w:t>
            </w:r>
            <w:r>
              <w:rPr>
                <w:spacing w:val="-54"/>
                <w:sz w:val="21"/>
              </w:rPr>
              <w:t> </w:t>
            </w:r>
            <w:r>
              <w:rPr>
                <w:sz w:val="21"/>
              </w:rPr>
              <w:t>2</w:t>
            </w:r>
            <w:r>
              <w:rPr>
                <w:spacing w:val="-53"/>
                <w:sz w:val="21"/>
              </w:rPr>
              <w:t> </w:t>
            </w:r>
            <w:r>
              <w:rPr>
                <w:sz w:val="21"/>
              </w:rPr>
              <w:t>个保单年度</w:t>
              <w:tab/>
              <w:t>50%</w:t>
            </w:r>
          </w:p>
          <w:p>
            <w:pPr>
              <w:pStyle w:val="TableParagraph"/>
              <w:spacing w:line="273" w:lineRule="auto" w:before="36"/>
              <w:ind w:left="212" w:right="341"/>
              <w:rPr>
                <w:sz w:val="21"/>
              </w:rPr>
            </w:pPr>
            <w:r>
              <w:rPr>
                <w:sz w:val="21"/>
              </w:rPr>
              <w:t>趸交方式下，如上述“重大疾病保险金”小于所交保险费，我们无息返还所交保险费，本主险合同终止。</w:t>
            </w:r>
          </w:p>
        </w:tc>
      </w:tr>
      <w:tr>
        <w:trPr>
          <w:trHeight w:val="2731" w:hRule="atLeast"/>
        </w:trPr>
        <w:tc>
          <w:tcPr>
            <w:tcW w:w="679" w:type="dxa"/>
          </w:tcPr>
          <w:p>
            <w:pPr>
              <w:pStyle w:val="TableParagraph"/>
              <w:rPr>
                <w:rFonts w:ascii="Times New Roman"/>
                <w:sz w:val="20"/>
              </w:rPr>
            </w:pPr>
          </w:p>
        </w:tc>
        <w:tc>
          <w:tcPr>
            <w:tcW w:w="1576" w:type="dxa"/>
          </w:tcPr>
          <w:p>
            <w:pPr>
              <w:pStyle w:val="TableParagraph"/>
              <w:spacing w:before="76"/>
              <w:ind w:left="160"/>
              <w:rPr>
                <w:rFonts w:ascii="等线" w:eastAsia="等线" w:hint="eastAsia"/>
                <w:b/>
                <w:sz w:val="24"/>
              </w:rPr>
            </w:pPr>
            <w:r>
              <w:rPr>
                <w:rFonts w:ascii="等线" w:eastAsia="等线" w:hint="eastAsia"/>
                <w:b/>
                <w:sz w:val="24"/>
              </w:rPr>
              <w:t>身故保险金</w:t>
            </w:r>
          </w:p>
        </w:tc>
        <w:tc>
          <w:tcPr>
            <w:tcW w:w="8116" w:type="dxa"/>
          </w:tcPr>
          <w:p>
            <w:pPr>
              <w:pStyle w:val="TableParagraph"/>
              <w:spacing w:before="108"/>
              <w:ind w:left="213"/>
              <w:rPr>
                <w:sz w:val="21"/>
              </w:rPr>
            </w:pPr>
            <w:r>
              <w:rPr>
                <w:spacing w:val="-5"/>
                <w:sz w:val="21"/>
              </w:rPr>
              <w:t>被保险人身故，我们按照基本保险金额给付“身故保险金”，本主险合同终止。</w:t>
            </w:r>
          </w:p>
          <w:p>
            <w:pPr>
              <w:pStyle w:val="TableParagraph"/>
              <w:spacing w:line="273" w:lineRule="auto" w:before="37"/>
              <w:ind w:left="212" w:right="305"/>
              <w:rPr>
                <w:sz w:val="21"/>
              </w:rPr>
            </w:pPr>
            <w:r>
              <w:rPr>
                <w:spacing w:val="-7"/>
                <w:sz w:val="21"/>
              </w:rPr>
              <w:t>如被保险人在第 </w:t>
            </w:r>
            <w:r>
              <w:rPr>
                <w:sz w:val="21"/>
              </w:rPr>
              <w:t>1</w:t>
            </w:r>
            <w:r>
              <w:rPr>
                <w:spacing w:val="-19"/>
                <w:sz w:val="21"/>
              </w:rPr>
              <w:t>、</w:t>
            </w:r>
            <w:r>
              <w:rPr>
                <w:sz w:val="21"/>
              </w:rPr>
              <w:t>2</w:t>
            </w:r>
            <w:r>
              <w:rPr>
                <w:spacing w:val="-11"/>
                <w:sz w:val="21"/>
              </w:rPr>
              <w:t> 个保单年度身故，上述“身故保险金”将乘以下表所对应的比例给付：</w:t>
            </w:r>
          </w:p>
          <w:p>
            <w:pPr>
              <w:pStyle w:val="TableParagraph"/>
              <w:tabs>
                <w:tab w:pos="5460" w:val="left" w:leader="none"/>
              </w:tabs>
              <w:spacing w:before="7"/>
              <w:ind w:left="948"/>
              <w:rPr>
                <w:sz w:val="21"/>
              </w:rPr>
            </w:pPr>
            <w:r>
              <w:rPr>
                <w:sz w:val="21"/>
              </w:rPr>
              <w:t>保单年度</w:t>
              <w:tab/>
              <w:t>给付比例</w:t>
            </w:r>
          </w:p>
          <w:p>
            <w:pPr>
              <w:pStyle w:val="TableParagraph"/>
              <w:tabs>
                <w:tab w:pos="5670" w:val="left" w:leader="none"/>
              </w:tabs>
              <w:spacing w:before="36"/>
              <w:ind w:left="738"/>
              <w:rPr>
                <w:sz w:val="21"/>
              </w:rPr>
            </w:pPr>
            <w:r>
              <w:rPr>
                <w:sz w:val="21"/>
              </w:rPr>
              <w:t>第</w:t>
            </w:r>
            <w:r>
              <w:rPr>
                <w:spacing w:val="-54"/>
                <w:sz w:val="21"/>
              </w:rPr>
              <w:t> </w:t>
            </w:r>
            <w:r>
              <w:rPr>
                <w:sz w:val="21"/>
              </w:rPr>
              <w:t>1</w:t>
            </w:r>
            <w:r>
              <w:rPr>
                <w:spacing w:val="-53"/>
                <w:sz w:val="21"/>
              </w:rPr>
              <w:t> </w:t>
            </w:r>
            <w:r>
              <w:rPr>
                <w:sz w:val="21"/>
              </w:rPr>
              <w:t>个保单年度</w:t>
              <w:tab/>
              <w:t>25%</w:t>
            </w:r>
          </w:p>
          <w:p>
            <w:pPr>
              <w:pStyle w:val="TableParagraph"/>
              <w:tabs>
                <w:tab w:pos="5670" w:val="left" w:leader="none"/>
              </w:tabs>
              <w:spacing w:before="36"/>
              <w:ind w:left="738"/>
              <w:rPr>
                <w:sz w:val="21"/>
              </w:rPr>
            </w:pPr>
            <w:r>
              <w:rPr>
                <w:sz w:val="21"/>
              </w:rPr>
              <w:t>第</w:t>
            </w:r>
            <w:r>
              <w:rPr>
                <w:spacing w:val="-54"/>
                <w:sz w:val="21"/>
              </w:rPr>
              <w:t> </w:t>
            </w:r>
            <w:r>
              <w:rPr>
                <w:sz w:val="21"/>
              </w:rPr>
              <w:t>2</w:t>
            </w:r>
            <w:r>
              <w:rPr>
                <w:spacing w:val="-53"/>
                <w:sz w:val="21"/>
              </w:rPr>
              <w:t> </w:t>
            </w:r>
            <w:r>
              <w:rPr>
                <w:sz w:val="21"/>
              </w:rPr>
              <w:t>个保单年度</w:t>
              <w:tab/>
              <w:t>50%</w:t>
            </w:r>
          </w:p>
          <w:p>
            <w:pPr>
              <w:pStyle w:val="TableParagraph"/>
              <w:spacing w:line="273" w:lineRule="auto" w:before="36"/>
              <w:ind w:left="212" w:right="341"/>
              <w:rPr>
                <w:sz w:val="21"/>
              </w:rPr>
            </w:pPr>
            <w:r>
              <w:rPr>
                <w:sz w:val="21"/>
              </w:rPr>
              <w:t>趸交方式下，如上述“身故保险金”小于所交保险费，我们无息返还所交保险费， 本主险合同终止。</w:t>
            </w:r>
          </w:p>
        </w:tc>
      </w:tr>
      <w:tr>
        <w:trPr>
          <w:trHeight w:val="1162" w:hRule="atLeast"/>
        </w:trPr>
        <w:tc>
          <w:tcPr>
            <w:tcW w:w="679" w:type="dxa"/>
          </w:tcPr>
          <w:p>
            <w:pPr>
              <w:pStyle w:val="TableParagraph"/>
              <w:rPr>
                <w:rFonts w:ascii="Times New Roman"/>
                <w:sz w:val="20"/>
              </w:rPr>
            </w:pPr>
          </w:p>
        </w:tc>
        <w:tc>
          <w:tcPr>
            <w:tcW w:w="1576" w:type="dxa"/>
          </w:tcPr>
          <w:p>
            <w:pPr>
              <w:pStyle w:val="TableParagraph"/>
              <w:rPr>
                <w:rFonts w:ascii="Times New Roman"/>
                <w:sz w:val="20"/>
              </w:rPr>
            </w:pPr>
          </w:p>
        </w:tc>
        <w:tc>
          <w:tcPr>
            <w:tcW w:w="8116" w:type="dxa"/>
          </w:tcPr>
          <w:p>
            <w:pPr>
              <w:pStyle w:val="TableParagraph"/>
              <w:spacing w:line="273" w:lineRule="auto" w:before="99"/>
              <w:ind w:left="213" w:right="306"/>
              <w:jc w:val="both"/>
              <w:rPr>
                <w:sz w:val="21"/>
              </w:rPr>
            </w:pPr>
            <w:r>
              <w:rPr>
                <w:sz w:val="21"/>
              </w:rPr>
              <w:t>“所交保险费”按保险事故发生当时的基本保险金额所对应的趸交保险费计算。对</w:t>
            </w:r>
            <w:r>
              <w:rPr>
                <w:spacing w:val="-13"/>
                <w:sz w:val="21"/>
              </w:rPr>
              <w:t>于“重大疾病保险金”，保险事故发生当时是指“重大疾病”确诊日；对于“身故保</w:t>
            </w:r>
            <w:r>
              <w:rPr>
                <w:spacing w:val="-12"/>
                <w:sz w:val="21"/>
              </w:rPr>
              <w:t>险金”，保险事故发生当时是指身故日。</w:t>
            </w:r>
          </w:p>
        </w:tc>
      </w:tr>
      <w:tr>
        <w:trPr>
          <w:trHeight w:val="5990" w:hRule="atLeast"/>
        </w:trPr>
        <w:tc>
          <w:tcPr>
            <w:tcW w:w="679" w:type="dxa"/>
          </w:tcPr>
          <w:p>
            <w:pPr>
              <w:pStyle w:val="TableParagraph"/>
              <w:spacing w:before="99"/>
              <w:ind w:left="200"/>
              <w:rPr>
                <w:b/>
                <w:sz w:val="21"/>
              </w:rPr>
            </w:pPr>
            <w:r>
              <w:rPr>
                <w:b/>
                <w:sz w:val="21"/>
              </w:rPr>
              <w:t>2.3</w:t>
            </w:r>
          </w:p>
        </w:tc>
        <w:tc>
          <w:tcPr>
            <w:tcW w:w="1576" w:type="dxa"/>
          </w:tcPr>
          <w:p>
            <w:pPr>
              <w:pStyle w:val="TableParagraph"/>
              <w:spacing w:before="99"/>
              <w:ind w:left="160"/>
              <w:rPr>
                <w:b/>
                <w:sz w:val="21"/>
              </w:rPr>
            </w:pPr>
            <w:r>
              <w:rPr>
                <w:b/>
                <w:sz w:val="21"/>
              </w:rPr>
              <w:t>责任免除</w:t>
            </w:r>
          </w:p>
        </w:tc>
        <w:tc>
          <w:tcPr>
            <w:tcW w:w="8116" w:type="dxa"/>
          </w:tcPr>
          <w:p>
            <w:pPr>
              <w:pStyle w:val="TableParagraph"/>
              <w:spacing w:line="273" w:lineRule="auto" w:before="99"/>
              <w:ind w:left="213" w:right="230"/>
              <w:rPr>
                <w:sz w:val="21"/>
              </w:rPr>
            </w:pPr>
            <w:r>
              <w:rPr>
                <w:sz w:val="21"/>
                <w:shd w:fill="DADADA" w:color="auto" w:val="clear"/>
              </w:rPr>
              <w:t>因下列第（1）至第（7）项情形之一，导致被保险人身故的，我们不承担给付“身故保险金”的责任；因下列第（1）至第（10）项情形之一，导致被保险人初次发生</w:t>
            </w:r>
          </w:p>
          <w:p>
            <w:pPr>
              <w:pStyle w:val="TableParagraph"/>
              <w:spacing w:before="7"/>
              <w:ind w:left="213"/>
              <w:rPr>
                <w:sz w:val="21"/>
              </w:rPr>
            </w:pPr>
            <w:r>
              <w:rPr>
                <w:sz w:val="21"/>
                <w:shd w:fill="DADADA" w:color="auto" w:val="clear"/>
              </w:rPr>
              <w:t>“重大疾病”的，我们不承担给付“重大疾病保险金”的责任：</w:t>
            </w:r>
          </w:p>
          <w:p>
            <w:pPr>
              <w:pStyle w:val="TableParagraph"/>
              <w:spacing w:before="37"/>
              <w:ind w:left="213"/>
              <w:rPr>
                <w:sz w:val="21"/>
              </w:rPr>
            </w:pPr>
            <w:r>
              <w:rPr>
                <w:sz w:val="21"/>
                <w:shd w:fill="DADADA" w:color="auto" w:val="clear"/>
              </w:rPr>
              <w:t>（1）投保人对被保险人的故意杀害、故意伤害；</w:t>
            </w:r>
          </w:p>
          <w:p>
            <w:pPr>
              <w:pStyle w:val="TableParagraph"/>
              <w:spacing w:before="37"/>
              <w:ind w:left="213"/>
              <w:rPr>
                <w:sz w:val="21"/>
              </w:rPr>
            </w:pPr>
            <w:r>
              <w:rPr>
                <w:sz w:val="21"/>
                <w:shd w:fill="DADADA" w:color="auto" w:val="clear"/>
              </w:rPr>
              <w:t>（2）被保险人故意犯罪或者抗拒依法采取的刑事强制措施；</w:t>
            </w:r>
          </w:p>
          <w:p>
            <w:pPr>
              <w:pStyle w:val="TableParagraph"/>
              <w:spacing w:line="273" w:lineRule="auto" w:before="37"/>
              <w:ind w:left="738" w:right="304" w:hanging="526"/>
              <w:rPr>
                <w:sz w:val="21"/>
              </w:rPr>
            </w:pPr>
            <w:r>
              <w:rPr>
                <w:spacing w:val="-12"/>
                <w:sz w:val="21"/>
                <w:shd w:fill="DADADA" w:color="auto" w:val="clear"/>
              </w:rPr>
              <w:t>（3）</w:t>
            </w:r>
            <w:r>
              <w:rPr>
                <w:spacing w:val="-3"/>
                <w:sz w:val="21"/>
                <w:shd w:fill="DADADA" w:color="auto" w:val="clear"/>
              </w:rPr>
              <w:t>被保险人自本主险合同成立或者合同效力恢复之日起 </w:t>
            </w:r>
            <w:r>
              <w:rPr>
                <w:sz w:val="21"/>
                <w:shd w:fill="DADADA" w:color="auto" w:val="clear"/>
              </w:rPr>
              <w:t>2</w:t>
            </w:r>
            <w:r>
              <w:rPr>
                <w:spacing w:val="-10"/>
                <w:sz w:val="21"/>
                <w:shd w:fill="DADADA" w:color="auto" w:val="clear"/>
              </w:rPr>
              <w:t> 年内自杀，但被保险人</w:t>
            </w:r>
            <w:r>
              <w:rPr>
                <w:spacing w:val="-210"/>
                <w:sz w:val="21"/>
                <w:shd w:fill="DADADA" w:color="auto" w:val="clear"/>
              </w:rPr>
              <w:t>自</w:t>
            </w:r>
            <w:r>
              <w:rPr>
                <w:sz w:val="21"/>
                <w:shd w:fill="DADADA" w:color="auto" w:val="clear"/>
              </w:rPr>
              <w:t>杀时为无民事行为能力人的除外；</w:t>
            </w:r>
          </w:p>
          <w:p>
            <w:pPr>
              <w:pStyle w:val="TableParagraph"/>
              <w:spacing w:before="8"/>
              <w:ind w:left="213"/>
              <w:rPr>
                <w:sz w:val="21"/>
              </w:rPr>
            </w:pPr>
            <w:r>
              <w:rPr>
                <w:sz w:val="21"/>
                <w:shd w:fill="DADADA" w:color="auto" w:val="clear"/>
              </w:rPr>
              <w:t>（4）被保险人主动吸食或注射</w:t>
            </w:r>
            <w:r>
              <w:rPr>
                <w:rFonts w:ascii="黑体" w:eastAsia="黑体" w:hint="eastAsia"/>
                <w:b/>
                <w:sz w:val="21"/>
                <w:shd w:fill="DADADA" w:color="auto" w:val="clear"/>
              </w:rPr>
              <w:t>毒品</w:t>
            </w:r>
            <w:r>
              <w:rPr>
                <w:sz w:val="21"/>
                <w:shd w:fill="DADADA" w:color="auto" w:val="clear"/>
              </w:rPr>
              <w:t>（见 9.14）；</w:t>
            </w:r>
          </w:p>
          <w:p>
            <w:pPr>
              <w:pStyle w:val="TableParagraph"/>
              <w:spacing w:line="273" w:lineRule="auto" w:before="37"/>
              <w:ind w:left="716" w:right="331" w:hanging="504"/>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pacing w:val="-2"/>
                <w:sz w:val="21"/>
                <w:shd w:fill="DADADA" w:color="auto" w:val="clear"/>
              </w:rPr>
              <w:t>、</w:t>
            </w:r>
            <w:r>
              <w:rPr>
                <w:rFonts w:ascii="黑体" w:eastAsia="黑体" w:hint="eastAsia"/>
                <w:b/>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6</w:t>
            </w:r>
            <w:r>
              <w:rPr>
                <w:spacing w:val="-105"/>
                <w:sz w:val="21"/>
                <w:shd w:fill="DADADA" w:color="auto" w:val="clear"/>
              </w:rPr>
              <w:t>）</w:t>
            </w:r>
            <w:r>
              <w:rPr>
                <w:spacing w:val="-1"/>
                <w:sz w:val="21"/>
                <w:shd w:fill="DADADA" w:color="auto" w:val="clear"/>
              </w:rPr>
              <w:t>，或驾驶</w:t>
            </w:r>
            <w:r>
              <w:rPr>
                <w:rFonts w:ascii="黑体" w:eastAsia="黑体" w:hint="eastAsia"/>
                <w:b/>
                <w:w w:val="99"/>
                <w:sz w:val="21"/>
                <w:shd w:fill="DADADA" w:color="auto" w:val="clear"/>
              </w:rPr>
              <w:t>无</w:t>
            </w:r>
            <w:r>
              <w:rPr>
                <w:rFonts w:ascii="黑体" w:eastAsia="黑体" w:hint="eastAsia"/>
                <w:b/>
                <w:spacing w:val="-1"/>
                <w:w w:val="99"/>
                <w:sz w:val="21"/>
                <w:shd w:fill="DADADA" w:color="auto" w:val="clear"/>
              </w:rPr>
              <w:t>有效行驶证</w:t>
            </w:r>
            <w:r>
              <w:rPr>
                <w:spacing w:val="-202"/>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17</w:t>
            </w:r>
            <w:r>
              <w:rPr>
                <w:spacing w:val="-2"/>
                <w:sz w:val="21"/>
                <w:shd w:fill="DADADA" w:color="auto" w:val="clear"/>
              </w:rPr>
              <w:t>）</w:t>
            </w:r>
            <w:r>
              <w:rPr>
                <w:sz w:val="21"/>
                <w:shd w:fill="DADADA" w:color="auto" w:val="clear"/>
              </w:rPr>
              <w:t>的</w:t>
            </w:r>
            <w:r>
              <w:rPr>
                <w:rFonts w:ascii="黑体" w:eastAsia="黑体" w:hint="eastAsia"/>
                <w:b/>
                <w:spacing w:val="0"/>
                <w:w w:val="99"/>
                <w:sz w:val="21"/>
                <w:shd w:fill="DADADA" w:color="auto" w:val="clear"/>
              </w:rPr>
              <w:t>机动车</w:t>
            </w:r>
            <w:r>
              <w:rPr>
                <w:spacing w:val="-2"/>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8</w:t>
            </w:r>
            <w:r>
              <w:rPr>
                <w:spacing w:val="-105"/>
                <w:sz w:val="21"/>
                <w:shd w:fill="DADADA" w:color="auto" w:val="clear"/>
              </w:rPr>
              <w:t>）</w:t>
            </w:r>
            <w:r>
              <w:rPr>
                <w:sz w:val="21"/>
                <w:shd w:fill="DADADA" w:color="auto" w:val="clear"/>
              </w:rPr>
              <w:t>；</w:t>
            </w:r>
          </w:p>
          <w:p>
            <w:pPr>
              <w:pStyle w:val="TableParagraph"/>
              <w:spacing w:before="7"/>
              <w:ind w:left="213"/>
              <w:rPr>
                <w:sz w:val="21"/>
              </w:rPr>
            </w:pPr>
            <w:r>
              <w:rPr>
                <w:sz w:val="21"/>
                <w:shd w:fill="DADADA" w:color="auto" w:val="clear"/>
              </w:rPr>
              <w:t>（6）战争、军事冲突、暴乱或武装叛乱；</w:t>
            </w:r>
          </w:p>
          <w:p>
            <w:pPr>
              <w:pStyle w:val="TableParagraph"/>
              <w:spacing w:before="36"/>
              <w:ind w:left="213"/>
              <w:rPr>
                <w:sz w:val="21"/>
              </w:rPr>
            </w:pPr>
            <w:r>
              <w:rPr>
                <w:sz w:val="21"/>
                <w:shd w:fill="DADADA" w:color="auto" w:val="clear"/>
              </w:rPr>
              <w:t>（7）核爆炸、核辐射或核污染；</w:t>
            </w:r>
          </w:p>
          <w:p>
            <w:pPr>
              <w:pStyle w:val="TableParagraph"/>
              <w:spacing w:before="36"/>
              <w:ind w:left="213"/>
              <w:rPr>
                <w:sz w:val="21"/>
              </w:rPr>
            </w:pPr>
            <w:r>
              <w:rPr>
                <w:sz w:val="21"/>
                <w:shd w:fill="DADADA" w:color="auto" w:val="clear"/>
              </w:rPr>
              <w:t>（8）被保险人故意自伤；</w:t>
            </w:r>
          </w:p>
          <w:p>
            <w:pPr>
              <w:pStyle w:val="TableParagraph"/>
              <w:spacing w:before="36"/>
              <w:ind w:left="213"/>
              <w:rPr>
                <w:sz w:val="21"/>
              </w:rPr>
            </w:pPr>
            <w:r>
              <w:rPr>
                <w:sz w:val="21"/>
                <w:shd w:fill="DADADA" w:color="auto" w:val="clear"/>
              </w:rPr>
              <w:t>（9）被保险人</w:t>
            </w:r>
            <w:r>
              <w:rPr>
                <w:rFonts w:ascii="黑体" w:eastAsia="黑体" w:hint="eastAsia"/>
                <w:b/>
                <w:sz w:val="21"/>
                <w:shd w:fill="DADADA" w:color="auto" w:val="clear"/>
              </w:rPr>
              <w:t>感染艾滋病病毒或患艾滋病</w:t>
            </w:r>
            <w:r>
              <w:rPr>
                <w:sz w:val="21"/>
                <w:shd w:fill="DADADA" w:color="auto" w:val="clear"/>
              </w:rPr>
              <w:t>（见 9.19）；</w:t>
            </w:r>
          </w:p>
          <w:p>
            <w:pPr>
              <w:pStyle w:val="TableParagraph"/>
              <w:spacing w:line="273" w:lineRule="auto" w:before="36"/>
              <w:ind w:left="213" w:right="294"/>
              <w:rPr>
                <w:sz w:val="21"/>
              </w:rPr>
            </w:pPr>
            <w:r>
              <w:rPr>
                <w:sz w:val="21"/>
                <w:shd w:fill="DADADA" w:color="auto" w:val="clear"/>
              </w:rPr>
              <w:t>（10）</w:t>
            </w:r>
            <w:r>
              <w:rPr>
                <w:rFonts w:ascii="黑体" w:eastAsia="黑体" w:hint="eastAsia"/>
                <w:b/>
                <w:sz w:val="21"/>
                <w:shd w:fill="DADADA" w:color="auto" w:val="clear"/>
              </w:rPr>
              <w:t>遗传性疾病</w:t>
            </w:r>
            <w:r>
              <w:rPr>
                <w:sz w:val="21"/>
                <w:shd w:fill="DADADA" w:color="auto" w:val="clear"/>
              </w:rPr>
              <w:t>（见 9.20），</w:t>
            </w:r>
            <w:r>
              <w:rPr>
                <w:rFonts w:ascii="黑体" w:eastAsia="黑体" w:hint="eastAsia"/>
                <w:b/>
                <w:sz w:val="21"/>
                <w:shd w:fill="DADADA" w:color="auto" w:val="clear"/>
              </w:rPr>
              <w:t>先天性畸形、变形或染色体异常</w:t>
            </w:r>
            <w:r>
              <w:rPr>
                <w:sz w:val="21"/>
                <w:shd w:fill="DADADA" w:color="auto" w:val="clear"/>
              </w:rPr>
              <w:t>（见 9.21）。发生上述第１项情形导致被保险人身故的，本主险合同终止，我们向受益人退还本主险合同的现金价值。</w:t>
            </w:r>
          </w:p>
          <w:p>
            <w:pPr>
              <w:pStyle w:val="TableParagraph"/>
              <w:spacing w:line="312" w:lineRule="exact" w:before="3"/>
              <w:ind w:left="213" w:right="340"/>
              <w:rPr>
                <w:sz w:val="21"/>
              </w:rPr>
            </w:pPr>
            <w:r>
              <w:rPr>
                <w:spacing w:val="-9"/>
                <w:sz w:val="21"/>
                <w:shd w:fill="DADADA" w:color="auto" w:val="clear"/>
              </w:rPr>
              <w:t>发生上述第 </w:t>
            </w:r>
            <w:r>
              <w:rPr>
                <w:sz w:val="21"/>
                <w:shd w:fill="DADADA" w:color="auto" w:val="clear"/>
              </w:rPr>
              <w:t>2</w:t>
            </w:r>
            <w:r>
              <w:rPr>
                <w:spacing w:val="-37"/>
                <w:sz w:val="21"/>
                <w:shd w:fill="DADADA" w:color="auto" w:val="clear"/>
              </w:rPr>
              <w:t> 至 </w:t>
            </w:r>
            <w:r>
              <w:rPr>
                <w:sz w:val="21"/>
                <w:shd w:fill="DADADA" w:color="auto" w:val="clear"/>
              </w:rPr>
              <w:t>7</w:t>
            </w:r>
            <w:r>
              <w:rPr>
                <w:spacing w:val="-8"/>
                <w:sz w:val="21"/>
                <w:shd w:fill="DADADA" w:color="auto" w:val="clear"/>
              </w:rPr>
              <w:t> 项情形导致被保险人身故的，本主险合同终止，我们向您退还本</w:t>
            </w:r>
            <w:r>
              <w:rPr>
                <w:spacing w:val="-210"/>
                <w:sz w:val="21"/>
                <w:shd w:fill="DADADA" w:color="auto" w:val="clear"/>
              </w:rPr>
              <w:t>主</w:t>
            </w:r>
            <w:r>
              <w:rPr>
                <w:sz w:val="21"/>
                <w:shd w:fill="DADADA" w:color="auto" w:val="clear"/>
              </w:rPr>
              <w:t>险合同的现金价值。</w:t>
            </w:r>
          </w:p>
        </w:tc>
      </w:tr>
    </w:tbl>
    <w:p>
      <w:pPr>
        <w:spacing w:after="0" w:line="312" w:lineRule="exact"/>
        <w:rPr>
          <w:sz w:val="21"/>
        </w:rPr>
        <w:sectPr>
          <w:pgSz w:w="11910" w:h="16840"/>
          <w:pgMar w:top="1160" w:bottom="280" w:left="72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88"/>
        <w:gridCol w:w="7887"/>
      </w:tblGrid>
      <w:tr>
        <w:trPr>
          <w:trHeight w:val="522" w:hRule="atLeast"/>
        </w:trPr>
        <w:tc>
          <w:tcPr>
            <w:tcW w:w="606"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12"/>
              <w:ind w:left="141"/>
              <w:rPr>
                <w:b/>
                <w:sz w:val="24"/>
              </w:rPr>
            </w:pPr>
            <w:r>
              <w:rPr>
                <w:b/>
                <w:w w:val="95"/>
                <w:sz w:val="24"/>
              </w:rPr>
              <w:t>如何申请领取保险金</w:t>
            </w:r>
          </w:p>
        </w:tc>
      </w:tr>
      <w:tr>
        <w:trPr>
          <w:trHeight w:val="6248" w:hRule="atLeast"/>
        </w:trPr>
        <w:tc>
          <w:tcPr>
            <w:tcW w:w="606" w:type="dxa"/>
            <w:tcBorders>
              <w:top w:val="single" w:sz="8" w:space="0" w:color="000000"/>
            </w:tcBorders>
          </w:tcPr>
          <w:p>
            <w:pPr>
              <w:pStyle w:val="TableParagraph"/>
              <w:spacing w:before="5"/>
              <w:rPr>
                <w:sz w:val="14"/>
              </w:rPr>
            </w:pPr>
          </w:p>
          <w:p>
            <w:pPr>
              <w:pStyle w:val="TableParagraph"/>
              <w:ind w:left="89" w:right="159"/>
              <w:jc w:val="center"/>
              <w:rPr>
                <w:b/>
                <w:sz w:val="21"/>
              </w:rPr>
            </w:pPr>
            <w:r>
              <w:rPr>
                <w:b/>
                <w:sz w:val="21"/>
              </w:rPr>
              <w:t>3.1</w:t>
            </w:r>
          </w:p>
        </w:tc>
        <w:tc>
          <w:tcPr>
            <w:tcW w:w="1588" w:type="dxa"/>
            <w:tcBorders>
              <w:top w:val="single" w:sz="8" w:space="0" w:color="000000"/>
            </w:tcBorders>
          </w:tcPr>
          <w:p>
            <w:pPr>
              <w:pStyle w:val="TableParagraph"/>
              <w:spacing w:before="5"/>
              <w:rPr>
                <w:sz w:val="14"/>
              </w:rPr>
            </w:pPr>
          </w:p>
          <w:p>
            <w:pPr>
              <w:pStyle w:val="TableParagraph"/>
              <w:ind w:left="141"/>
              <w:rPr>
                <w:b/>
                <w:sz w:val="21"/>
              </w:rPr>
            </w:pPr>
            <w:r>
              <w:rPr>
                <w:b/>
                <w:sz w:val="21"/>
              </w:rPr>
              <w:t>受益人</w:t>
            </w:r>
          </w:p>
        </w:tc>
        <w:tc>
          <w:tcPr>
            <w:tcW w:w="7887" w:type="dxa"/>
            <w:tcBorders>
              <w:top w:val="single" w:sz="8" w:space="0" w:color="000000"/>
            </w:tcBorders>
          </w:tcPr>
          <w:p>
            <w:pPr>
              <w:pStyle w:val="TableParagraph"/>
              <w:spacing w:before="5"/>
              <w:rPr>
                <w:sz w:val="14"/>
              </w:rPr>
            </w:pPr>
          </w:p>
          <w:p>
            <w:pPr>
              <w:pStyle w:val="TableParagraph"/>
              <w:spacing w:line="273" w:lineRule="auto"/>
              <w:ind w:left="181" w:right="105"/>
              <w:jc w:val="both"/>
              <w:rPr>
                <w:sz w:val="21"/>
              </w:rPr>
            </w:pPr>
            <w:r>
              <w:rPr>
                <w:sz w:val="21"/>
              </w:rPr>
              <w:t>您或者被保险人可以指定一人或多人为身故保险金受益人。身故保险金受益人为多人时，可以确定受益顺序和受益份额；如果没有确定份额，各受益人按照相等份额享有受益权。</w:t>
            </w:r>
          </w:p>
          <w:p>
            <w:pPr>
              <w:pStyle w:val="TableParagraph"/>
              <w:spacing w:line="273" w:lineRule="auto" w:before="7"/>
              <w:ind w:left="181" w:right="105"/>
              <w:rPr>
                <w:sz w:val="21"/>
              </w:rPr>
            </w:pPr>
            <w:r>
              <w:rPr>
                <w:sz w:val="21"/>
              </w:rPr>
              <w:t>被保险人为无民事行为能力人或限制民事行为能力人的，可以由其监护人指定受益人。</w:t>
            </w:r>
          </w:p>
          <w:p>
            <w:pPr>
              <w:pStyle w:val="TableParagraph"/>
              <w:spacing w:line="273" w:lineRule="auto" w:before="7"/>
              <w:ind w:left="181" w:right="105"/>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7"/>
              <w:ind w:left="181"/>
              <w:rPr>
                <w:sz w:val="21"/>
              </w:rPr>
            </w:pPr>
            <w:r>
              <w:rPr>
                <w:sz w:val="21"/>
              </w:rPr>
              <w:t>您在指定和变更身故保险金受益人时，必须经过被保险人同意。</w:t>
            </w:r>
          </w:p>
          <w:p>
            <w:pPr>
              <w:pStyle w:val="TableParagraph"/>
              <w:spacing w:line="273" w:lineRule="auto" w:before="37"/>
              <w:ind w:left="181" w:right="105"/>
              <w:rPr>
                <w:sz w:val="21"/>
              </w:rPr>
            </w:pPr>
            <w:r>
              <w:rPr>
                <w:spacing w:val="-12"/>
                <w:sz w:val="21"/>
              </w:rPr>
              <w:t>被保险人身故后，有下列情形之一的，保险金作为被保险人的遗产，由我们依照《中华人民共和国继承法》的规定履行给付保险金的义务：</w:t>
            </w:r>
          </w:p>
          <w:p>
            <w:pPr>
              <w:pStyle w:val="TableParagraph"/>
              <w:spacing w:before="7"/>
              <w:ind w:left="181"/>
              <w:rPr>
                <w:sz w:val="21"/>
              </w:rPr>
            </w:pPr>
            <w:r>
              <w:rPr>
                <w:sz w:val="21"/>
              </w:rPr>
              <w:t>（1）没有指定身故保险金受益人，或者身故保险金受益人指定不明无法确定的；</w:t>
            </w:r>
          </w:p>
          <w:p>
            <w:pPr>
              <w:pStyle w:val="TableParagraph"/>
              <w:spacing w:before="36"/>
              <w:ind w:left="182"/>
              <w:rPr>
                <w:sz w:val="21"/>
              </w:rPr>
            </w:pPr>
            <w:r>
              <w:rPr>
                <w:sz w:val="21"/>
              </w:rPr>
              <w:t>（2）身故保险金受益人先于被保险人身故，没有其他身故保险金受益人的；</w:t>
            </w:r>
          </w:p>
          <w:p>
            <w:pPr>
              <w:pStyle w:val="TableParagraph"/>
              <w:spacing w:line="273" w:lineRule="auto" w:before="36"/>
              <w:ind w:left="182" w:right="32"/>
              <w:rPr>
                <w:sz w:val="21"/>
              </w:rPr>
            </w:pPr>
            <w:r>
              <w:rPr>
                <w:sz w:val="21"/>
              </w:rPr>
              <w:t>（3）身故保险金受益人依法丧失受益权或者放弃受益权，没有其他身故保险金受益人的。</w:t>
            </w:r>
          </w:p>
          <w:p>
            <w:pPr>
              <w:pStyle w:val="TableParagraph"/>
              <w:spacing w:line="273" w:lineRule="auto" w:before="7"/>
              <w:ind w:left="182" w:right="105"/>
              <w:rPr>
                <w:sz w:val="21"/>
              </w:rPr>
            </w:pPr>
            <w:r>
              <w:rPr>
                <w:sz w:val="21"/>
              </w:rPr>
              <w:t>身故保险金受益人与被保险人在同一事件中身故，且不能确定身故先后顺序的，推定受益人身故在先。</w:t>
            </w:r>
          </w:p>
          <w:p>
            <w:pPr>
              <w:pStyle w:val="TableParagraph"/>
              <w:spacing w:line="273" w:lineRule="auto" w:before="7"/>
              <w:ind w:left="182" w:right="105"/>
              <w:rPr>
                <w:sz w:val="21"/>
              </w:rPr>
            </w:pPr>
            <w:r>
              <w:rPr>
                <w:sz w:val="21"/>
              </w:rPr>
              <w:t>身故保险金受益人故意造成被保险人身故、伤残、疾病的，或者故意杀害被保险人未遂的，该受益人丧失受益权。</w:t>
            </w:r>
          </w:p>
          <w:p>
            <w:pPr>
              <w:pStyle w:val="TableParagraph"/>
              <w:spacing w:before="7"/>
              <w:ind w:left="182"/>
              <w:rPr>
                <w:sz w:val="21"/>
              </w:rPr>
            </w:pPr>
            <w:r>
              <w:rPr>
                <w:sz w:val="21"/>
              </w:rPr>
              <w:t>除另有约定外，重大疾病保险金受益人为被保险人本人。</w:t>
            </w:r>
          </w:p>
        </w:tc>
      </w:tr>
      <w:tr>
        <w:trPr>
          <w:trHeight w:val="1786" w:hRule="atLeast"/>
        </w:trPr>
        <w:tc>
          <w:tcPr>
            <w:tcW w:w="606" w:type="dxa"/>
          </w:tcPr>
          <w:p>
            <w:pPr>
              <w:pStyle w:val="TableParagraph"/>
              <w:spacing w:before="95"/>
              <w:ind w:left="89" w:right="159"/>
              <w:jc w:val="center"/>
              <w:rPr>
                <w:b/>
                <w:sz w:val="21"/>
              </w:rPr>
            </w:pPr>
            <w:r>
              <w:rPr>
                <w:b/>
                <w:sz w:val="21"/>
              </w:rPr>
              <w:t>3.2</w:t>
            </w:r>
          </w:p>
        </w:tc>
        <w:tc>
          <w:tcPr>
            <w:tcW w:w="1588" w:type="dxa"/>
          </w:tcPr>
          <w:p>
            <w:pPr>
              <w:pStyle w:val="TableParagraph"/>
              <w:spacing w:before="95"/>
              <w:ind w:left="141"/>
              <w:rPr>
                <w:b/>
                <w:sz w:val="21"/>
              </w:rPr>
            </w:pPr>
            <w:r>
              <w:rPr>
                <w:b/>
                <w:w w:val="95"/>
                <w:sz w:val="21"/>
              </w:rPr>
              <w:t>保险事故通知</w:t>
            </w:r>
          </w:p>
        </w:tc>
        <w:tc>
          <w:tcPr>
            <w:tcW w:w="7887" w:type="dxa"/>
          </w:tcPr>
          <w:p>
            <w:pPr>
              <w:pStyle w:val="TableParagraph"/>
              <w:spacing w:before="95"/>
              <w:ind w:left="181"/>
              <w:rPr>
                <w:sz w:val="21"/>
              </w:rPr>
            </w:pPr>
            <w:r>
              <w:rPr>
                <w:sz w:val="21"/>
              </w:rPr>
              <w:t>请您或受益人在知道保险事故发生后 10 日内通知我们。</w:t>
            </w:r>
          </w:p>
          <w:p>
            <w:pPr>
              <w:pStyle w:val="TableParagraph"/>
              <w:spacing w:line="273" w:lineRule="auto" w:before="36"/>
              <w:ind w:left="181" w:right="105"/>
              <w:jc w:val="both"/>
              <w:rPr>
                <w:sz w:val="21"/>
              </w:rPr>
            </w:pPr>
            <w:r>
              <w:rPr>
                <w:sz w:val="21"/>
                <w:shd w:fill="DADADA" w:color="auto" w:val="clear"/>
              </w:rPr>
              <w:t>如果您或受益人故意或者因重大过失未及时通知，致使保险事故的性质、原因、损失程度等难以确定的，我们对无法确定的部分，不承担给付保险金的责任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530" w:hRule="atLeast"/>
        </w:trPr>
        <w:tc>
          <w:tcPr>
            <w:tcW w:w="606" w:type="dxa"/>
          </w:tcPr>
          <w:p>
            <w:pPr>
              <w:pStyle w:val="TableParagraph"/>
              <w:spacing w:before="96"/>
              <w:ind w:left="89" w:right="159"/>
              <w:jc w:val="center"/>
              <w:rPr>
                <w:b/>
                <w:sz w:val="21"/>
              </w:rPr>
            </w:pPr>
            <w:r>
              <w:rPr>
                <w:b/>
                <w:sz w:val="21"/>
              </w:rPr>
              <w:t>3.3</w:t>
            </w:r>
          </w:p>
        </w:tc>
        <w:tc>
          <w:tcPr>
            <w:tcW w:w="1588" w:type="dxa"/>
          </w:tcPr>
          <w:p>
            <w:pPr>
              <w:pStyle w:val="TableParagraph"/>
              <w:spacing w:before="96"/>
              <w:ind w:left="141"/>
              <w:rPr>
                <w:b/>
                <w:sz w:val="21"/>
              </w:rPr>
            </w:pPr>
            <w:r>
              <w:rPr>
                <w:b/>
                <w:w w:val="95"/>
                <w:sz w:val="21"/>
              </w:rPr>
              <w:t>保险金申请</w:t>
            </w:r>
          </w:p>
        </w:tc>
        <w:tc>
          <w:tcPr>
            <w:tcW w:w="7887" w:type="dxa"/>
          </w:tcPr>
          <w:p>
            <w:pPr>
              <w:pStyle w:val="TableParagraph"/>
              <w:spacing w:before="96"/>
              <w:ind w:left="181"/>
              <w:rPr>
                <w:sz w:val="21"/>
              </w:rPr>
            </w:pPr>
            <w:r>
              <w:rPr>
                <w:sz w:val="21"/>
              </w:rPr>
              <w:t>在申请保险金时，请按照下列方式办理：</w:t>
            </w:r>
          </w:p>
        </w:tc>
      </w:tr>
      <w:tr>
        <w:trPr>
          <w:trHeight w:val="2099" w:hRule="atLeast"/>
        </w:trPr>
        <w:tc>
          <w:tcPr>
            <w:tcW w:w="606" w:type="dxa"/>
          </w:tcPr>
          <w:p>
            <w:pPr>
              <w:pStyle w:val="TableParagraph"/>
              <w:rPr>
                <w:rFonts w:ascii="Times New Roman"/>
                <w:sz w:val="20"/>
              </w:rPr>
            </w:pPr>
          </w:p>
        </w:tc>
        <w:tc>
          <w:tcPr>
            <w:tcW w:w="1588" w:type="dxa"/>
          </w:tcPr>
          <w:p>
            <w:pPr>
              <w:pStyle w:val="TableParagraph"/>
              <w:spacing w:line="232" w:lineRule="auto" w:before="83"/>
              <w:ind w:left="141" w:right="243"/>
              <w:rPr>
                <w:rFonts w:ascii="等线" w:eastAsia="等线" w:hint="eastAsia"/>
                <w:b/>
                <w:sz w:val="24"/>
              </w:rPr>
            </w:pPr>
            <w:r>
              <w:rPr>
                <w:rFonts w:ascii="等线" w:eastAsia="等线" w:hint="eastAsia"/>
                <w:b/>
                <w:sz w:val="24"/>
              </w:rPr>
              <w:t>重大疾病保险金申请</w:t>
            </w:r>
          </w:p>
        </w:tc>
        <w:tc>
          <w:tcPr>
            <w:tcW w:w="7887" w:type="dxa"/>
          </w:tcPr>
          <w:p>
            <w:pPr>
              <w:pStyle w:val="TableParagraph"/>
              <w:spacing w:before="105"/>
              <w:ind w:left="181"/>
              <w:rPr>
                <w:sz w:val="21"/>
              </w:rPr>
            </w:pPr>
            <w:r>
              <w:rPr>
                <w:sz w:val="21"/>
              </w:rPr>
              <w:t>由重大疾病保险金受益人填写保险金给付申请书，并提供下列证明和资料：</w:t>
            </w:r>
          </w:p>
          <w:p>
            <w:pPr>
              <w:pStyle w:val="TableParagraph"/>
              <w:spacing w:before="36"/>
              <w:ind w:left="181"/>
              <w:rPr>
                <w:sz w:val="21"/>
              </w:rPr>
            </w:pPr>
            <w:r>
              <w:rPr>
                <w:sz w:val="21"/>
              </w:rPr>
              <w:t>（1）保险合同；</w:t>
            </w:r>
          </w:p>
          <w:p>
            <w:pPr>
              <w:pStyle w:val="TableParagraph"/>
              <w:spacing w:before="36"/>
              <w:ind w:left="181"/>
              <w:rPr>
                <w:sz w:val="21"/>
              </w:rPr>
            </w:pPr>
            <w:r>
              <w:rPr>
                <w:sz w:val="21"/>
              </w:rPr>
              <w:t>（2）受益人的有效身份证件；</w:t>
            </w:r>
          </w:p>
          <w:p>
            <w:pPr>
              <w:pStyle w:val="TableParagraph"/>
              <w:spacing w:line="273" w:lineRule="auto" w:before="36"/>
              <w:ind w:left="721" w:right="107" w:hanging="524"/>
              <w:rPr>
                <w:sz w:val="21"/>
              </w:rPr>
            </w:pPr>
            <w:r>
              <w:rPr>
                <w:spacing w:val="-15"/>
                <w:sz w:val="21"/>
              </w:rPr>
              <w:t>（3）</w:t>
            </w:r>
            <w:r>
              <w:rPr>
                <w:spacing w:val="-3"/>
                <w:sz w:val="21"/>
              </w:rPr>
              <w:t>医院出具的附有病理显微镜检查、血液检验及其他科学方法检验报告的疾病诊断证明书；</w:t>
            </w:r>
          </w:p>
          <w:p>
            <w:pPr>
              <w:pStyle w:val="TableParagraph"/>
              <w:spacing w:before="7"/>
              <w:ind w:left="181"/>
              <w:rPr>
                <w:sz w:val="21"/>
              </w:rPr>
            </w:pPr>
            <w:r>
              <w:rPr>
                <w:sz w:val="21"/>
              </w:rPr>
              <w:t>（4）所能提供的与确认保险事故的性质、原因等有关的其他证明和资料。</w:t>
            </w:r>
          </w:p>
        </w:tc>
      </w:tr>
      <w:tr>
        <w:trPr>
          <w:trHeight w:val="2879" w:hRule="atLeast"/>
        </w:trPr>
        <w:tc>
          <w:tcPr>
            <w:tcW w:w="606" w:type="dxa"/>
          </w:tcPr>
          <w:p>
            <w:pPr>
              <w:pStyle w:val="TableParagraph"/>
              <w:rPr>
                <w:rFonts w:ascii="Times New Roman"/>
                <w:sz w:val="20"/>
              </w:rPr>
            </w:pPr>
          </w:p>
        </w:tc>
        <w:tc>
          <w:tcPr>
            <w:tcW w:w="1588" w:type="dxa"/>
          </w:tcPr>
          <w:p>
            <w:pPr>
              <w:pStyle w:val="TableParagraph"/>
              <w:spacing w:line="232" w:lineRule="auto" w:before="82"/>
              <w:ind w:left="141" w:right="243"/>
              <w:rPr>
                <w:rFonts w:ascii="等线" w:eastAsia="等线" w:hint="eastAsia"/>
                <w:b/>
                <w:sz w:val="24"/>
              </w:rPr>
            </w:pPr>
            <w:r>
              <w:rPr>
                <w:rFonts w:ascii="等线" w:eastAsia="等线" w:hint="eastAsia"/>
                <w:b/>
                <w:sz w:val="24"/>
              </w:rPr>
              <w:t>身故保险金申请</w:t>
            </w:r>
          </w:p>
        </w:tc>
        <w:tc>
          <w:tcPr>
            <w:tcW w:w="7887" w:type="dxa"/>
          </w:tcPr>
          <w:p>
            <w:pPr>
              <w:pStyle w:val="TableParagraph"/>
              <w:spacing w:before="105"/>
              <w:ind w:left="182"/>
              <w:rPr>
                <w:sz w:val="21"/>
              </w:rPr>
            </w:pPr>
            <w:r>
              <w:rPr>
                <w:sz w:val="21"/>
              </w:rPr>
              <w:t>由身故保险金受益人填写保险金给付申请书，并提供下列证明和资料：</w:t>
            </w:r>
          </w:p>
          <w:p>
            <w:pPr>
              <w:pStyle w:val="TableParagraph"/>
              <w:spacing w:before="37"/>
              <w:ind w:left="182"/>
              <w:rPr>
                <w:sz w:val="21"/>
              </w:rPr>
            </w:pPr>
            <w:r>
              <w:rPr>
                <w:sz w:val="21"/>
              </w:rPr>
              <w:t>（1）保险合同；</w:t>
            </w:r>
          </w:p>
          <w:p>
            <w:pPr>
              <w:pStyle w:val="TableParagraph"/>
              <w:spacing w:before="37"/>
              <w:ind w:left="182"/>
              <w:rPr>
                <w:sz w:val="21"/>
              </w:rPr>
            </w:pPr>
            <w:r>
              <w:rPr>
                <w:sz w:val="21"/>
              </w:rPr>
              <w:t>（2）受益人的有效身份证件；</w:t>
            </w:r>
          </w:p>
          <w:p>
            <w:pPr>
              <w:pStyle w:val="TableParagraph"/>
              <w:spacing w:line="273" w:lineRule="auto" w:before="37"/>
              <w:ind w:left="686" w:right="33" w:hanging="505"/>
              <w:rPr>
                <w:sz w:val="21"/>
              </w:rPr>
            </w:pPr>
            <w:r>
              <w:rPr>
                <w:sz w:val="21"/>
              </w:rPr>
              <w:t>（3）国家卫生行政部门认定的医疗机构、公安部门或其他相关机构出具的被保险人的死亡证明；</w:t>
            </w:r>
          </w:p>
          <w:p>
            <w:pPr>
              <w:pStyle w:val="TableParagraph"/>
              <w:spacing w:line="273" w:lineRule="auto" w:before="7"/>
              <w:ind w:left="182" w:right="772"/>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5"/>
              <w:rPr>
                <w:sz w:val="24"/>
              </w:rPr>
            </w:pPr>
          </w:p>
          <w:p>
            <w:pPr>
              <w:pStyle w:val="TableParagraph"/>
              <w:spacing w:line="258" w:lineRule="exact"/>
              <w:ind w:left="182"/>
              <w:rPr>
                <w:sz w:val="21"/>
              </w:rPr>
            </w:pPr>
            <w:r>
              <w:rPr>
                <w:sz w:val="21"/>
              </w:rPr>
              <w:t>以上证明和资料不完整的，我们将一次性通知受益人补充提供有关证明和资料。</w:t>
            </w:r>
          </w:p>
        </w:tc>
      </w:tr>
    </w:tbl>
    <w:p>
      <w:pPr>
        <w:spacing w:after="0" w:line="258" w:lineRule="exact"/>
        <w:rPr>
          <w:sz w:val="21"/>
        </w:rPr>
        <w:sectPr>
          <w:pgSz w:w="11910" w:h="16840"/>
          <w:pgMar w:top="1220" w:bottom="280" w:left="8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587"/>
        <w:gridCol w:w="7886"/>
      </w:tblGrid>
      <w:tr>
        <w:trPr>
          <w:trHeight w:val="2870" w:hRule="atLeast"/>
        </w:trPr>
        <w:tc>
          <w:tcPr>
            <w:tcW w:w="620" w:type="dxa"/>
          </w:tcPr>
          <w:p>
            <w:pPr>
              <w:pStyle w:val="TableParagraph"/>
              <w:spacing w:line="210" w:lineRule="exact"/>
              <w:ind w:left="103" w:right="158"/>
              <w:jc w:val="center"/>
              <w:rPr>
                <w:b/>
                <w:sz w:val="21"/>
              </w:rPr>
            </w:pPr>
            <w:r>
              <w:rPr>
                <w:b/>
                <w:sz w:val="21"/>
              </w:rPr>
              <w:t>3.4</w:t>
            </w:r>
          </w:p>
        </w:tc>
        <w:tc>
          <w:tcPr>
            <w:tcW w:w="1587" w:type="dxa"/>
          </w:tcPr>
          <w:p>
            <w:pPr>
              <w:pStyle w:val="TableParagraph"/>
              <w:spacing w:line="210" w:lineRule="exact"/>
              <w:ind w:left="142"/>
              <w:rPr>
                <w:b/>
                <w:sz w:val="21"/>
              </w:rPr>
            </w:pPr>
            <w:r>
              <w:rPr>
                <w:b/>
                <w:w w:val="95"/>
                <w:sz w:val="21"/>
              </w:rPr>
              <w:t>保险金的给付</w:t>
            </w:r>
          </w:p>
        </w:tc>
        <w:tc>
          <w:tcPr>
            <w:tcW w:w="7886" w:type="dxa"/>
          </w:tcPr>
          <w:p>
            <w:pPr>
              <w:pStyle w:val="TableParagraph"/>
              <w:spacing w:line="210" w:lineRule="exact"/>
              <w:ind w:left="183"/>
              <w:jc w:val="both"/>
              <w:rPr>
                <w:sz w:val="21"/>
              </w:rPr>
            </w:pPr>
            <w:r>
              <w:rPr>
                <w:sz w:val="21"/>
              </w:rPr>
              <w:t>我们在收到保险金给付申请书及上述有关证明和资料后，将在 5 日内作出核定；情</w:t>
            </w:r>
          </w:p>
          <w:p>
            <w:pPr>
              <w:pStyle w:val="TableParagraph"/>
              <w:spacing w:before="37"/>
              <w:ind w:left="183"/>
              <w:jc w:val="both"/>
              <w:rPr>
                <w:sz w:val="21"/>
              </w:rPr>
            </w:pPr>
            <w:r>
              <w:rPr>
                <w:sz w:val="21"/>
              </w:rPr>
              <w:t>形复杂的，在 30 日内作出核定。</w:t>
            </w:r>
          </w:p>
          <w:p>
            <w:pPr>
              <w:pStyle w:val="TableParagraph"/>
              <w:spacing w:before="37"/>
              <w:ind w:left="182"/>
              <w:jc w:val="both"/>
              <w:rPr>
                <w:sz w:val="21"/>
              </w:rPr>
            </w:pPr>
            <w:r>
              <w:rPr>
                <w:spacing w:val="-6"/>
                <w:sz w:val="21"/>
              </w:rPr>
              <w:t>对属于保险责任的，我们在与受益人达成给付保险金的协议后 </w:t>
            </w:r>
            <w:r>
              <w:rPr>
                <w:sz w:val="21"/>
              </w:rPr>
              <w:t>10</w:t>
            </w:r>
            <w:r>
              <w:rPr>
                <w:spacing w:val="-12"/>
                <w:sz w:val="21"/>
              </w:rPr>
              <w:t> 日内，履行给付保</w:t>
            </w:r>
          </w:p>
          <w:p>
            <w:pPr>
              <w:pStyle w:val="TableParagraph"/>
              <w:spacing w:before="37"/>
              <w:ind w:left="182"/>
              <w:jc w:val="both"/>
              <w:rPr>
                <w:sz w:val="21"/>
              </w:rPr>
            </w:pPr>
            <w:r>
              <w:rPr>
                <w:spacing w:val="-13"/>
                <w:sz w:val="21"/>
              </w:rPr>
              <w:t>险金义务；若我们在收齐相关证明和资料后第 </w:t>
            </w:r>
            <w:r>
              <w:rPr>
                <w:sz w:val="21"/>
              </w:rPr>
              <w:t>30</w:t>
            </w:r>
            <w:r>
              <w:rPr>
                <w:spacing w:val="-13"/>
                <w:sz w:val="21"/>
              </w:rPr>
              <w:t> 日仍未作出核定，除支付保险金外，</w:t>
            </w:r>
          </w:p>
          <w:p>
            <w:pPr>
              <w:pStyle w:val="TableParagraph"/>
              <w:spacing w:line="273" w:lineRule="auto" w:before="36"/>
              <w:ind w:left="183" w:right="105"/>
              <w:jc w:val="both"/>
              <w:rPr>
                <w:sz w:val="21"/>
              </w:rPr>
            </w:pPr>
            <w:r>
              <w:rPr>
                <w:spacing w:val="-10"/>
                <w:sz w:val="21"/>
              </w:rPr>
              <w:t>我们将从第 </w:t>
            </w:r>
            <w:r>
              <w:rPr>
                <w:sz w:val="21"/>
              </w:rPr>
              <w:t>31</w:t>
            </w:r>
            <w:r>
              <w:rPr>
                <w:spacing w:val="-11"/>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183" w:right="140"/>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2098" w:hRule="atLeast"/>
        </w:trPr>
        <w:tc>
          <w:tcPr>
            <w:tcW w:w="620" w:type="dxa"/>
          </w:tcPr>
          <w:p>
            <w:pPr>
              <w:pStyle w:val="TableParagraph"/>
              <w:spacing w:before="99"/>
              <w:ind w:left="103" w:right="158"/>
              <w:jc w:val="center"/>
              <w:rPr>
                <w:b/>
                <w:sz w:val="21"/>
              </w:rPr>
            </w:pPr>
            <w:r>
              <w:rPr>
                <w:b/>
                <w:sz w:val="21"/>
              </w:rPr>
              <w:t>3.5</w:t>
            </w:r>
          </w:p>
        </w:tc>
        <w:tc>
          <w:tcPr>
            <w:tcW w:w="1587" w:type="dxa"/>
          </w:tcPr>
          <w:p>
            <w:pPr>
              <w:pStyle w:val="TableParagraph"/>
              <w:spacing w:before="99"/>
              <w:ind w:left="142"/>
              <w:rPr>
                <w:b/>
                <w:sz w:val="21"/>
              </w:rPr>
            </w:pPr>
            <w:r>
              <w:rPr>
                <w:b/>
                <w:w w:val="95"/>
                <w:sz w:val="21"/>
              </w:rPr>
              <w:t>宣告死亡处理</w:t>
            </w:r>
          </w:p>
        </w:tc>
        <w:tc>
          <w:tcPr>
            <w:tcW w:w="7886" w:type="dxa"/>
          </w:tcPr>
          <w:p>
            <w:pPr>
              <w:pStyle w:val="TableParagraph"/>
              <w:spacing w:line="273" w:lineRule="auto" w:before="99"/>
              <w:ind w:left="183" w:right="102"/>
              <w:jc w:val="both"/>
              <w:rPr>
                <w:sz w:val="21"/>
              </w:rPr>
            </w:pPr>
            <w:r>
              <w:rPr>
                <w:sz w:val="21"/>
              </w:rPr>
              <w:t>在本主险合同有效期内，如果被保险人失踪且被法院宣告死亡，我们以法院判决宣告死亡之日作为被保险人的死亡时间，按本主险合同的约定给付身故保险金，本主险合同终止。</w:t>
            </w:r>
          </w:p>
          <w:p>
            <w:pPr>
              <w:pStyle w:val="TableParagraph"/>
              <w:spacing w:line="273" w:lineRule="auto" w:before="7"/>
              <w:ind w:left="183" w:right="105"/>
              <w:jc w:val="both"/>
              <w:rPr>
                <w:sz w:val="21"/>
              </w:rPr>
            </w:pPr>
            <w:r>
              <w:rPr>
                <w:sz w:val="21"/>
              </w:rPr>
              <w:t>如果被保险人在宣告死亡后重新出现或者身故保险金受益人确知其没有死亡的，身</w:t>
            </w:r>
            <w:r>
              <w:rPr>
                <w:spacing w:val="-5"/>
                <w:sz w:val="21"/>
              </w:rPr>
              <w:t>故保险金受益人应于知道后 </w:t>
            </w:r>
            <w:r>
              <w:rPr>
                <w:sz w:val="21"/>
              </w:rPr>
              <w:t>30</w:t>
            </w:r>
            <w:r>
              <w:rPr>
                <w:spacing w:val="-12"/>
                <w:sz w:val="21"/>
              </w:rPr>
              <w:t> 日内向我们退还已给付的保险金，本主险合同的效力依法确定。</w:t>
            </w:r>
          </w:p>
        </w:tc>
      </w:tr>
      <w:tr>
        <w:trPr>
          <w:trHeight w:val="1474" w:hRule="atLeast"/>
        </w:trPr>
        <w:tc>
          <w:tcPr>
            <w:tcW w:w="620" w:type="dxa"/>
          </w:tcPr>
          <w:p>
            <w:pPr>
              <w:pStyle w:val="TableParagraph"/>
              <w:spacing w:before="99"/>
              <w:ind w:left="103" w:right="158"/>
              <w:jc w:val="center"/>
              <w:rPr>
                <w:b/>
                <w:sz w:val="21"/>
              </w:rPr>
            </w:pPr>
            <w:r>
              <w:rPr>
                <w:b/>
                <w:sz w:val="21"/>
              </w:rPr>
              <w:t>3.6</w:t>
            </w:r>
          </w:p>
        </w:tc>
        <w:tc>
          <w:tcPr>
            <w:tcW w:w="1587" w:type="dxa"/>
          </w:tcPr>
          <w:p>
            <w:pPr>
              <w:pStyle w:val="TableParagraph"/>
              <w:spacing w:before="99"/>
              <w:ind w:left="142"/>
              <w:rPr>
                <w:b/>
                <w:sz w:val="21"/>
              </w:rPr>
            </w:pPr>
            <w:r>
              <w:rPr>
                <w:b/>
                <w:sz w:val="21"/>
              </w:rPr>
              <w:t>诉讼时效</w:t>
            </w:r>
          </w:p>
        </w:tc>
        <w:tc>
          <w:tcPr>
            <w:tcW w:w="7886" w:type="dxa"/>
          </w:tcPr>
          <w:p>
            <w:pPr>
              <w:pStyle w:val="TableParagraph"/>
              <w:spacing w:line="273" w:lineRule="auto" w:before="99"/>
              <w:ind w:left="183" w:right="140"/>
              <w:rPr>
                <w:sz w:val="21"/>
              </w:rPr>
            </w:pPr>
            <w:r>
              <w:rPr>
                <w:spacing w:val="-3"/>
                <w:sz w:val="21"/>
              </w:rPr>
              <w:t>受益人向我们请求给付身故保险金的诉讼时效期间为 </w:t>
            </w:r>
            <w:r>
              <w:rPr>
                <w:sz w:val="21"/>
              </w:rPr>
              <w:t>5</w:t>
            </w:r>
            <w:r>
              <w:rPr>
                <w:spacing w:val="-8"/>
                <w:sz w:val="21"/>
              </w:rPr>
              <w:t> 年，自其知道或者应当知道保险事故发生之日起计算。</w:t>
            </w:r>
          </w:p>
          <w:p>
            <w:pPr>
              <w:pStyle w:val="TableParagraph"/>
              <w:spacing w:line="273" w:lineRule="auto" w:before="7"/>
              <w:ind w:left="182" w:right="140"/>
              <w:rPr>
                <w:sz w:val="21"/>
              </w:rPr>
            </w:pPr>
            <w:r>
              <w:rPr>
                <w:spacing w:val="-3"/>
                <w:sz w:val="21"/>
              </w:rPr>
              <w:t>受益人向我们请求给付重大疾病保险金的诉讼时效期间为 </w:t>
            </w:r>
            <w:r>
              <w:rPr>
                <w:sz w:val="21"/>
              </w:rPr>
              <w:t>2</w:t>
            </w:r>
            <w:r>
              <w:rPr>
                <w:spacing w:val="-8"/>
                <w:sz w:val="21"/>
              </w:rPr>
              <w:t> 年，自其知道或者应当知道保险事故发生之日起计算。</w:t>
            </w:r>
          </w:p>
        </w:tc>
      </w:tr>
      <w:tr>
        <w:trPr>
          <w:trHeight w:val="1302" w:hRule="atLeast"/>
        </w:trPr>
        <w:tc>
          <w:tcPr>
            <w:tcW w:w="620" w:type="dxa"/>
          </w:tcPr>
          <w:p>
            <w:pPr>
              <w:pStyle w:val="TableParagraph"/>
              <w:spacing w:before="99"/>
              <w:ind w:left="103" w:right="158"/>
              <w:jc w:val="center"/>
              <w:rPr>
                <w:b/>
                <w:sz w:val="21"/>
              </w:rPr>
            </w:pPr>
            <w:r>
              <w:rPr>
                <w:b/>
                <w:sz w:val="21"/>
              </w:rPr>
              <w:t>3.7</w:t>
            </w:r>
          </w:p>
        </w:tc>
        <w:tc>
          <w:tcPr>
            <w:tcW w:w="1587" w:type="dxa"/>
          </w:tcPr>
          <w:p>
            <w:pPr>
              <w:pStyle w:val="TableParagraph"/>
              <w:spacing w:line="273" w:lineRule="auto" w:before="99"/>
              <w:ind w:left="142" w:right="179"/>
              <w:rPr>
                <w:b/>
                <w:sz w:val="21"/>
              </w:rPr>
            </w:pPr>
            <w:r>
              <w:rPr>
                <w:b/>
                <w:sz w:val="21"/>
              </w:rPr>
              <w:t>保险金领取方式选择权</w:t>
            </w:r>
          </w:p>
        </w:tc>
        <w:tc>
          <w:tcPr>
            <w:tcW w:w="7886" w:type="dxa"/>
          </w:tcPr>
          <w:p>
            <w:pPr>
              <w:pStyle w:val="TableParagraph"/>
              <w:spacing w:line="273" w:lineRule="auto" w:before="99"/>
              <w:ind w:left="183"/>
              <w:rPr>
                <w:sz w:val="21"/>
              </w:rPr>
            </w:pPr>
            <w:r>
              <w:rPr>
                <w:spacing w:val="-5"/>
                <w:sz w:val="21"/>
              </w:rPr>
              <w:t>受益人在领取身故保险金时，可以一次性领取，或者与我们签订转换年金保险合同， 将领取的保险金作为一次交清的保险费购买转换年金保险。转换年金保险的领取金额按照购买当时我们提供的年金领取标准确定。</w:t>
            </w:r>
          </w:p>
        </w:tc>
      </w:tr>
      <w:tr>
        <w:trPr>
          <w:trHeight w:val="826" w:hRule="atLeast"/>
        </w:trPr>
        <w:tc>
          <w:tcPr>
            <w:tcW w:w="620" w:type="dxa"/>
            <w:tcBorders>
              <w:bottom w:val="single" w:sz="8" w:space="0" w:color="000000"/>
            </w:tcBorders>
          </w:tcPr>
          <w:p>
            <w:pPr>
              <w:pStyle w:val="TableParagraph"/>
              <w:spacing w:before="265"/>
              <w:ind w:right="16"/>
              <w:jc w:val="center"/>
              <w:rPr>
                <w:rFonts w:ascii="Arial" w:hAnsi="Arial"/>
                <w:b/>
                <w:sz w:val="40"/>
              </w:rPr>
            </w:pPr>
            <w:r>
              <w:rPr>
                <w:rFonts w:ascii="Arial" w:hAnsi="Arial"/>
                <w:b/>
                <w:w w:val="118"/>
                <w:sz w:val="40"/>
              </w:rPr>
              <w:t></w:t>
            </w:r>
          </w:p>
        </w:tc>
        <w:tc>
          <w:tcPr>
            <w:tcW w:w="9473" w:type="dxa"/>
            <w:gridSpan w:val="2"/>
            <w:tcBorders>
              <w:bottom w:val="single" w:sz="8" w:space="0" w:color="000000"/>
            </w:tcBorders>
          </w:tcPr>
          <w:p>
            <w:pPr>
              <w:pStyle w:val="TableParagraph"/>
              <w:spacing w:before="5"/>
              <w:rPr>
                <w:sz w:val="24"/>
              </w:rPr>
            </w:pPr>
          </w:p>
          <w:p>
            <w:pPr>
              <w:pStyle w:val="TableParagraph"/>
              <w:ind w:left="142"/>
              <w:rPr>
                <w:b/>
                <w:sz w:val="24"/>
              </w:rPr>
            </w:pPr>
            <w:r>
              <w:rPr>
                <w:b/>
                <w:w w:val="95"/>
                <w:sz w:val="24"/>
              </w:rPr>
              <w:t>如何支付保险费</w:t>
            </w:r>
          </w:p>
        </w:tc>
      </w:tr>
      <w:tr>
        <w:trPr>
          <w:trHeight w:val="1255" w:hRule="atLeast"/>
        </w:trPr>
        <w:tc>
          <w:tcPr>
            <w:tcW w:w="620" w:type="dxa"/>
            <w:tcBorders>
              <w:top w:val="single" w:sz="8" w:space="0" w:color="000000"/>
            </w:tcBorders>
          </w:tcPr>
          <w:p>
            <w:pPr>
              <w:pStyle w:val="TableParagraph"/>
              <w:spacing w:before="9"/>
              <w:rPr>
                <w:sz w:val="14"/>
              </w:rPr>
            </w:pPr>
          </w:p>
          <w:p>
            <w:pPr>
              <w:pStyle w:val="TableParagraph"/>
              <w:ind w:left="103" w:right="158"/>
              <w:jc w:val="center"/>
              <w:rPr>
                <w:b/>
                <w:sz w:val="21"/>
              </w:rPr>
            </w:pPr>
            <w:r>
              <w:rPr>
                <w:b/>
                <w:sz w:val="21"/>
              </w:rPr>
              <w:t>4.1</w:t>
            </w:r>
          </w:p>
        </w:tc>
        <w:tc>
          <w:tcPr>
            <w:tcW w:w="1587" w:type="dxa"/>
            <w:tcBorders>
              <w:top w:val="single" w:sz="8" w:space="0" w:color="000000"/>
            </w:tcBorders>
          </w:tcPr>
          <w:p>
            <w:pPr>
              <w:pStyle w:val="TableParagraph"/>
              <w:spacing w:before="9"/>
              <w:rPr>
                <w:sz w:val="14"/>
              </w:rPr>
            </w:pPr>
          </w:p>
          <w:p>
            <w:pPr>
              <w:pStyle w:val="TableParagraph"/>
              <w:ind w:left="142"/>
              <w:rPr>
                <w:b/>
                <w:sz w:val="21"/>
              </w:rPr>
            </w:pPr>
            <w:r>
              <w:rPr>
                <w:b/>
                <w:w w:val="95"/>
                <w:sz w:val="21"/>
              </w:rPr>
              <w:t>保险费的支付</w:t>
            </w:r>
          </w:p>
        </w:tc>
        <w:tc>
          <w:tcPr>
            <w:tcW w:w="7886" w:type="dxa"/>
            <w:tcBorders>
              <w:top w:val="single" w:sz="8" w:space="0" w:color="000000"/>
            </w:tcBorders>
          </w:tcPr>
          <w:p>
            <w:pPr>
              <w:pStyle w:val="TableParagraph"/>
              <w:spacing w:before="9"/>
              <w:rPr>
                <w:sz w:val="14"/>
              </w:rPr>
            </w:pPr>
          </w:p>
          <w:p>
            <w:pPr>
              <w:pStyle w:val="TableParagraph"/>
              <w:ind w:left="183"/>
              <w:rPr>
                <w:sz w:val="21"/>
              </w:rPr>
            </w:pPr>
            <w:r>
              <w:rPr>
                <w:sz w:val="21"/>
              </w:rPr>
              <w:t>本主险合同的交费方式和交费期间由您和我们约定并在保险单上载明。</w:t>
            </w:r>
          </w:p>
          <w:p>
            <w:pPr>
              <w:pStyle w:val="TableParagraph"/>
              <w:spacing w:line="273" w:lineRule="auto" w:before="37"/>
              <w:ind w:left="183" w:right="140"/>
              <w:rPr>
                <w:sz w:val="21"/>
              </w:rPr>
            </w:pPr>
            <w:r>
              <w:rPr>
                <w:sz w:val="21"/>
              </w:rPr>
              <w:t>分期支付保险费的，在支付首期保险费后，您应当在保险费约定支付日支付其余各期的保险费。</w:t>
            </w:r>
          </w:p>
        </w:tc>
      </w:tr>
      <w:tr>
        <w:trPr>
          <w:trHeight w:val="1786" w:hRule="atLeast"/>
        </w:trPr>
        <w:tc>
          <w:tcPr>
            <w:tcW w:w="620" w:type="dxa"/>
          </w:tcPr>
          <w:p>
            <w:pPr>
              <w:pStyle w:val="TableParagraph"/>
              <w:spacing w:before="99"/>
              <w:ind w:left="103" w:right="158"/>
              <w:jc w:val="center"/>
              <w:rPr>
                <w:b/>
                <w:sz w:val="21"/>
              </w:rPr>
            </w:pPr>
            <w:r>
              <w:rPr>
                <w:b/>
                <w:sz w:val="21"/>
              </w:rPr>
              <w:t>4.2</w:t>
            </w:r>
          </w:p>
        </w:tc>
        <w:tc>
          <w:tcPr>
            <w:tcW w:w="1587" w:type="dxa"/>
          </w:tcPr>
          <w:p>
            <w:pPr>
              <w:pStyle w:val="TableParagraph"/>
              <w:spacing w:before="99"/>
              <w:ind w:left="142"/>
              <w:rPr>
                <w:b/>
                <w:sz w:val="21"/>
              </w:rPr>
            </w:pPr>
            <w:r>
              <w:rPr>
                <w:b/>
                <w:sz w:val="21"/>
              </w:rPr>
              <w:t>宽限期</w:t>
            </w:r>
          </w:p>
        </w:tc>
        <w:tc>
          <w:tcPr>
            <w:tcW w:w="7886" w:type="dxa"/>
          </w:tcPr>
          <w:p>
            <w:pPr>
              <w:pStyle w:val="TableParagraph"/>
              <w:spacing w:line="273" w:lineRule="auto" w:before="99"/>
              <w:ind w:left="183" w:right="102"/>
              <w:rPr>
                <w:sz w:val="21"/>
              </w:rPr>
            </w:pPr>
            <w:r>
              <w:rPr>
                <w:sz w:val="21"/>
              </w:rPr>
              <w:t>分期支付保险费的，在支付首期保险费后，除本主险合同另有约定外，如果您到期</w:t>
            </w:r>
            <w:r>
              <w:rPr>
                <w:spacing w:val="-8"/>
                <w:sz w:val="21"/>
              </w:rPr>
              <w:t>未支付保险费，自保险费约定支付日的次日零时起 </w:t>
            </w:r>
            <w:r>
              <w:rPr>
                <w:sz w:val="21"/>
              </w:rPr>
              <w:t>60</w:t>
            </w:r>
            <w:r>
              <w:rPr>
                <w:spacing w:val="-10"/>
                <w:sz w:val="21"/>
              </w:rPr>
              <w:t> 日为宽限期。宽限期内发生的保险事故，我们仍会承担保险责任，但在给付保险金时会扣减您欠交的保险费。 如果您宽限期结束之后仍未支付保险费，则本主险合同自宽限期满的次日零时起效力中止。</w:t>
            </w:r>
          </w:p>
        </w:tc>
      </w:tr>
      <w:tr>
        <w:trPr>
          <w:trHeight w:val="1926" w:hRule="atLeast"/>
        </w:trPr>
        <w:tc>
          <w:tcPr>
            <w:tcW w:w="620" w:type="dxa"/>
          </w:tcPr>
          <w:p>
            <w:pPr>
              <w:pStyle w:val="TableParagraph"/>
              <w:spacing w:before="99"/>
              <w:ind w:left="103" w:right="158"/>
              <w:jc w:val="center"/>
              <w:rPr>
                <w:b/>
                <w:sz w:val="21"/>
              </w:rPr>
            </w:pPr>
            <w:r>
              <w:rPr>
                <w:b/>
                <w:sz w:val="21"/>
              </w:rPr>
              <w:t>4.3</w:t>
            </w:r>
          </w:p>
        </w:tc>
        <w:tc>
          <w:tcPr>
            <w:tcW w:w="1587" w:type="dxa"/>
          </w:tcPr>
          <w:p>
            <w:pPr>
              <w:pStyle w:val="TableParagraph"/>
              <w:spacing w:before="99"/>
              <w:ind w:left="142"/>
              <w:rPr>
                <w:b/>
                <w:sz w:val="21"/>
              </w:rPr>
            </w:pPr>
            <w:r>
              <w:rPr>
                <w:b/>
                <w:w w:val="95"/>
                <w:sz w:val="21"/>
              </w:rPr>
              <w:t>保险费率调整</w:t>
            </w:r>
          </w:p>
        </w:tc>
        <w:tc>
          <w:tcPr>
            <w:tcW w:w="7886" w:type="dxa"/>
          </w:tcPr>
          <w:p>
            <w:pPr>
              <w:pStyle w:val="TableParagraph"/>
              <w:spacing w:line="273" w:lineRule="auto" w:before="99"/>
              <w:ind w:left="183" w:right="102"/>
              <w:jc w:val="both"/>
              <w:rPr>
                <w:sz w:val="21"/>
              </w:rPr>
            </w:pPr>
            <w:r>
              <w:rPr>
                <w:sz w:val="21"/>
              </w:rPr>
              <w:t>我们将根据本主险合同计算费率所用的重大疾病发生率与实际情况的偏差程度，决定保险费率是否调整。本主险合同的费率调整针对所有被保险人或同一投保年龄的所有被保险人。如果您不同意费率调整，可以申请解除合同。自我们收到解除合同申请书时起，本主险合同终止，我们向您退还本主险合同的现金价值。</w:t>
            </w:r>
          </w:p>
          <w:p>
            <w:pPr>
              <w:pStyle w:val="TableParagraph"/>
              <w:spacing w:before="7"/>
              <w:ind w:left="183"/>
              <w:jc w:val="both"/>
              <w:rPr>
                <w:sz w:val="21"/>
              </w:rPr>
            </w:pPr>
            <w:r>
              <w:rPr>
                <w:sz w:val="21"/>
              </w:rPr>
              <w:t>我们进行保险费率调整后，您须按调整后的保险费率支付续期保险费。</w:t>
            </w:r>
          </w:p>
        </w:tc>
      </w:tr>
      <w:tr>
        <w:trPr>
          <w:trHeight w:val="826" w:hRule="atLeast"/>
        </w:trPr>
        <w:tc>
          <w:tcPr>
            <w:tcW w:w="620" w:type="dxa"/>
            <w:tcBorders>
              <w:bottom w:val="single" w:sz="8" w:space="0" w:color="000000"/>
            </w:tcBorders>
          </w:tcPr>
          <w:p>
            <w:pPr>
              <w:pStyle w:val="TableParagraph"/>
              <w:spacing w:before="265"/>
              <w:ind w:right="16"/>
              <w:jc w:val="center"/>
              <w:rPr>
                <w:rFonts w:ascii="Arial" w:hAnsi="Arial"/>
                <w:b/>
                <w:sz w:val="40"/>
              </w:rPr>
            </w:pPr>
            <w:r>
              <w:rPr>
                <w:rFonts w:ascii="Arial" w:hAnsi="Arial"/>
                <w:b/>
                <w:w w:val="118"/>
                <w:sz w:val="40"/>
              </w:rPr>
              <w:t></w:t>
            </w:r>
          </w:p>
        </w:tc>
        <w:tc>
          <w:tcPr>
            <w:tcW w:w="1587" w:type="dxa"/>
            <w:tcBorders>
              <w:bottom w:val="single" w:sz="8" w:space="0" w:color="000000"/>
            </w:tcBorders>
          </w:tcPr>
          <w:p>
            <w:pPr>
              <w:pStyle w:val="TableParagraph"/>
              <w:spacing w:before="5"/>
              <w:rPr>
                <w:sz w:val="24"/>
              </w:rPr>
            </w:pPr>
          </w:p>
          <w:p>
            <w:pPr>
              <w:pStyle w:val="TableParagraph"/>
              <w:ind w:left="142"/>
              <w:rPr>
                <w:b/>
                <w:sz w:val="24"/>
              </w:rPr>
            </w:pPr>
            <w:r>
              <w:rPr>
                <w:b/>
                <w:w w:val="95"/>
                <w:sz w:val="24"/>
              </w:rPr>
              <w:t>现金价值权益</w:t>
            </w:r>
          </w:p>
        </w:tc>
        <w:tc>
          <w:tcPr>
            <w:tcW w:w="7886"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160" w:bottom="280" w:left="78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88"/>
        <w:gridCol w:w="7887"/>
      </w:tblGrid>
      <w:tr>
        <w:trPr>
          <w:trHeight w:val="943" w:hRule="atLeast"/>
        </w:trPr>
        <w:tc>
          <w:tcPr>
            <w:tcW w:w="606" w:type="dxa"/>
            <w:tcBorders>
              <w:top w:val="single" w:sz="8" w:space="0" w:color="000000"/>
            </w:tcBorders>
          </w:tcPr>
          <w:p>
            <w:pPr>
              <w:pStyle w:val="TableParagraph"/>
              <w:spacing w:before="4"/>
              <w:rPr>
                <w:sz w:val="14"/>
              </w:rPr>
            </w:pPr>
          </w:p>
          <w:p>
            <w:pPr>
              <w:pStyle w:val="TableParagraph"/>
              <w:ind w:left="89" w:right="159"/>
              <w:jc w:val="center"/>
              <w:rPr>
                <w:b/>
                <w:sz w:val="21"/>
              </w:rPr>
            </w:pPr>
            <w:r>
              <w:rPr>
                <w:b/>
                <w:sz w:val="21"/>
              </w:rPr>
              <w:t>5.1</w:t>
            </w:r>
          </w:p>
        </w:tc>
        <w:tc>
          <w:tcPr>
            <w:tcW w:w="1588" w:type="dxa"/>
            <w:tcBorders>
              <w:top w:val="single" w:sz="8" w:space="0" w:color="000000"/>
            </w:tcBorders>
          </w:tcPr>
          <w:p>
            <w:pPr>
              <w:pStyle w:val="TableParagraph"/>
              <w:spacing w:before="4"/>
              <w:rPr>
                <w:sz w:val="14"/>
              </w:rPr>
            </w:pPr>
          </w:p>
          <w:p>
            <w:pPr>
              <w:pStyle w:val="TableParagraph"/>
              <w:ind w:left="141"/>
              <w:rPr>
                <w:b/>
                <w:sz w:val="21"/>
              </w:rPr>
            </w:pPr>
            <w:r>
              <w:rPr>
                <w:b/>
                <w:sz w:val="21"/>
              </w:rPr>
              <w:t>现金价值</w:t>
            </w:r>
          </w:p>
        </w:tc>
        <w:tc>
          <w:tcPr>
            <w:tcW w:w="7887" w:type="dxa"/>
            <w:tcBorders>
              <w:top w:val="single" w:sz="8" w:space="0" w:color="000000"/>
            </w:tcBorders>
          </w:tcPr>
          <w:p>
            <w:pPr>
              <w:pStyle w:val="TableParagraph"/>
              <w:spacing w:before="4"/>
              <w:rPr>
                <w:sz w:val="14"/>
              </w:rPr>
            </w:pPr>
          </w:p>
          <w:p>
            <w:pPr>
              <w:pStyle w:val="TableParagraph"/>
              <w:spacing w:line="273" w:lineRule="auto"/>
              <w:ind w:left="181" w:right="105"/>
              <w:rPr>
                <w:sz w:val="21"/>
              </w:rPr>
            </w:pPr>
            <w:r>
              <w:rPr>
                <w:sz w:val="21"/>
              </w:rPr>
              <w:t>本主险合同保单年度末的现金价值会在保险单上载明。保单年度内的现金价值，您可以向我们咨询。</w:t>
            </w:r>
          </w:p>
        </w:tc>
      </w:tr>
      <w:tr>
        <w:trPr>
          <w:trHeight w:val="2722" w:hRule="atLeast"/>
        </w:trPr>
        <w:tc>
          <w:tcPr>
            <w:tcW w:w="606" w:type="dxa"/>
          </w:tcPr>
          <w:p>
            <w:pPr>
              <w:pStyle w:val="TableParagraph"/>
              <w:spacing w:before="95"/>
              <w:ind w:left="89" w:right="159"/>
              <w:jc w:val="center"/>
              <w:rPr>
                <w:b/>
                <w:sz w:val="21"/>
              </w:rPr>
            </w:pPr>
            <w:r>
              <w:rPr>
                <w:b/>
                <w:sz w:val="21"/>
              </w:rPr>
              <w:t>5.2</w:t>
            </w:r>
          </w:p>
        </w:tc>
        <w:tc>
          <w:tcPr>
            <w:tcW w:w="1588" w:type="dxa"/>
          </w:tcPr>
          <w:p>
            <w:pPr>
              <w:pStyle w:val="TableParagraph"/>
              <w:spacing w:before="95"/>
              <w:ind w:left="141"/>
              <w:rPr>
                <w:b/>
                <w:sz w:val="21"/>
              </w:rPr>
            </w:pPr>
            <w:r>
              <w:rPr>
                <w:b/>
                <w:sz w:val="21"/>
              </w:rPr>
              <w:t>自动垫交</w:t>
            </w:r>
          </w:p>
        </w:tc>
        <w:tc>
          <w:tcPr>
            <w:tcW w:w="7887" w:type="dxa"/>
          </w:tcPr>
          <w:p>
            <w:pPr>
              <w:pStyle w:val="TableParagraph"/>
              <w:spacing w:before="95"/>
              <w:ind w:left="181"/>
              <w:rPr>
                <w:sz w:val="21"/>
              </w:rPr>
            </w:pPr>
            <w:r>
              <w:rPr>
                <w:sz w:val="21"/>
              </w:rPr>
              <w:t>您可申请使用保险费自动垫交功能。</w:t>
            </w:r>
          </w:p>
          <w:p>
            <w:pPr>
              <w:pStyle w:val="TableParagraph"/>
              <w:spacing w:line="273" w:lineRule="auto" w:before="37"/>
              <w:ind w:left="181" w:right="105"/>
              <w:jc w:val="both"/>
              <w:rPr>
                <w:sz w:val="21"/>
              </w:rPr>
            </w:pPr>
            <w:r>
              <w:rPr>
                <w:sz w:val="21"/>
              </w:rPr>
              <w:t>即如果您在宽限期结束时仍未支付保险费，我们将以保险合同的现金价值扣除您尚未偿还的各项欠款之后的余额自动垫交到期应付的保险费，保险合同继续有效。所垫交的保险费视同贷款，按照保单贷款利率计算利息。</w:t>
            </w:r>
          </w:p>
          <w:p>
            <w:pPr>
              <w:pStyle w:val="TableParagraph"/>
              <w:spacing w:line="273" w:lineRule="auto" w:before="7"/>
              <w:ind w:left="181" w:right="105"/>
              <w:jc w:val="both"/>
              <w:rPr>
                <w:sz w:val="21"/>
              </w:rPr>
            </w:pPr>
            <w:r>
              <w:rPr>
                <w:sz w:val="21"/>
              </w:rPr>
              <w:t>当现金价值扣除各项欠款后的余额不足以垫交到期应付的保险费时，我们将根据现金价值的余额计算保险合同可以继续有效的天数，保险合同在此期间继续有效。当现金价值余额为零时，保险合同的效力中止。</w:t>
            </w:r>
          </w:p>
          <w:p>
            <w:pPr>
              <w:pStyle w:val="TableParagraph"/>
              <w:spacing w:before="7"/>
              <w:ind w:left="181"/>
              <w:jc w:val="both"/>
              <w:rPr>
                <w:sz w:val="21"/>
              </w:rPr>
            </w:pPr>
            <w:r>
              <w:rPr>
                <w:sz w:val="21"/>
              </w:rPr>
              <w:t>条款中所称的“保险合同”包括本主险合同及其附加险合同。</w:t>
            </w:r>
          </w:p>
        </w:tc>
      </w:tr>
      <w:tr>
        <w:trPr>
          <w:trHeight w:val="2411" w:hRule="atLeast"/>
        </w:trPr>
        <w:tc>
          <w:tcPr>
            <w:tcW w:w="606" w:type="dxa"/>
          </w:tcPr>
          <w:p>
            <w:pPr>
              <w:pStyle w:val="TableParagraph"/>
              <w:spacing w:before="95"/>
              <w:ind w:left="89" w:right="159"/>
              <w:jc w:val="center"/>
              <w:rPr>
                <w:b/>
                <w:sz w:val="21"/>
              </w:rPr>
            </w:pPr>
            <w:r>
              <w:rPr>
                <w:b/>
                <w:sz w:val="21"/>
              </w:rPr>
              <w:t>5.3</w:t>
            </w:r>
          </w:p>
        </w:tc>
        <w:tc>
          <w:tcPr>
            <w:tcW w:w="1588" w:type="dxa"/>
          </w:tcPr>
          <w:p>
            <w:pPr>
              <w:pStyle w:val="TableParagraph"/>
              <w:spacing w:before="95"/>
              <w:ind w:left="141"/>
              <w:rPr>
                <w:b/>
                <w:sz w:val="21"/>
              </w:rPr>
            </w:pPr>
            <w:r>
              <w:rPr>
                <w:b/>
                <w:sz w:val="21"/>
              </w:rPr>
              <w:t>减额交清</w:t>
            </w:r>
          </w:p>
        </w:tc>
        <w:tc>
          <w:tcPr>
            <w:tcW w:w="7887" w:type="dxa"/>
          </w:tcPr>
          <w:p>
            <w:pPr>
              <w:pStyle w:val="TableParagraph"/>
              <w:spacing w:before="95"/>
              <w:ind w:left="181"/>
              <w:rPr>
                <w:sz w:val="21"/>
              </w:rPr>
            </w:pPr>
            <w:r>
              <w:rPr>
                <w:sz w:val="21"/>
              </w:rPr>
              <w:t>您可申请使用减额交清功能。</w:t>
            </w:r>
          </w:p>
          <w:p>
            <w:pPr>
              <w:pStyle w:val="TableParagraph"/>
              <w:spacing w:line="273" w:lineRule="auto" w:before="37"/>
              <w:ind w:left="181" w:right="105"/>
              <w:jc w:val="both"/>
              <w:rPr>
                <w:sz w:val="21"/>
              </w:rPr>
            </w:pPr>
            <w:r>
              <w:rPr>
                <w:sz w:val="21"/>
              </w:rPr>
              <w:t>即如果您决定不再支付续期保险费，我们将以本主险合同宽限期开始前一日的现金价值扣除您尚未偿还的各项欠款之后的余额作为一次交清的</w:t>
            </w:r>
            <w:r>
              <w:rPr>
                <w:rFonts w:ascii="黑体" w:eastAsia="黑体" w:hint="eastAsia"/>
                <w:b/>
                <w:spacing w:val="0"/>
                <w:w w:val="99"/>
                <w:sz w:val="21"/>
              </w:rPr>
              <w:t>净保险费</w:t>
            </w:r>
            <w:r>
              <w:rPr>
                <w:spacing w:val="0"/>
                <w:sz w:val="21"/>
              </w:rPr>
              <w:t>（</w:t>
            </w:r>
            <w:r>
              <w:rPr>
                <w:sz w:val="21"/>
              </w:rPr>
              <w:t>见 9.</w:t>
            </w:r>
            <w:r>
              <w:rPr>
                <w:spacing w:val="-1"/>
                <w:sz w:val="21"/>
              </w:rPr>
              <w:t>2</w:t>
            </w:r>
            <w:r>
              <w:rPr>
                <w:spacing w:val="0"/>
                <w:sz w:val="21"/>
              </w:rPr>
              <w:t>2</w:t>
            </w:r>
            <w:r>
              <w:rPr>
                <w:spacing w:val="-106"/>
                <w:sz w:val="21"/>
              </w:rPr>
              <w:t>）</w:t>
            </w:r>
            <w:r>
              <w:rPr>
                <w:sz w:val="21"/>
              </w:rPr>
              <w:t>，重新计算本主险合同的基本保险金额。</w:t>
            </w:r>
          </w:p>
          <w:p>
            <w:pPr>
              <w:pStyle w:val="TableParagraph"/>
              <w:spacing w:line="273" w:lineRule="auto" w:before="7"/>
              <w:ind w:left="182" w:right="142"/>
              <w:rPr>
                <w:sz w:val="21"/>
              </w:rPr>
            </w:pPr>
            <w:r>
              <w:rPr>
                <w:sz w:val="21"/>
              </w:rPr>
              <w:t>减额交清后，本主险合同的基本保险金额会相应减少。您不需要再支付保险费，本主险合同继续有效, 重大疾病保险金相应调整成减额交清后的基本保险金额,身故保险金相应调整成减额交清后的基本保险金额。</w:t>
            </w:r>
          </w:p>
        </w:tc>
      </w:tr>
      <w:tr>
        <w:trPr>
          <w:trHeight w:val="3174" w:hRule="atLeast"/>
        </w:trPr>
        <w:tc>
          <w:tcPr>
            <w:tcW w:w="606" w:type="dxa"/>
          </w:tcPr>
          <w:p>
            <w:pPr>
              <w:pStyle w:val="TableParagraph"/>
              <w:spacing w:before="95"/>
              <w:ind w:left="89" w:right="159"/>
              <w:jc w:val="center"/>
              <w:rPr>
                <w:b/>
                <w:sz w:val="21"/>
              </w:rPr>
            </w:pPr>
            <w:r>
              <w:rPr>
                <w:b/>
                <w:sz w:val="21"/>
              </w:rPr>
              <w:t>5.4</w:t>
            </w:r>
          </w:p>
        </w:tc>
        <w:tc>
          <w:tcPr>
            <w:tcW w:w="1588" w:type="dxa"/>
          </w:tcPr>
          <w:p>
            <w:pPr>
              <w:pStyle w:val="TableParagraph"/>
              <w:spacing w:before="95"/>
              <w:ind w:left="141"/>
              <w:rPr>
                <w:b/>
                <w:sz w:val="21"/>
              </w:rPr>
            </w:pPr>
            <w:r>
              <w:rPr>
                <w:b/>
                <w:sz w:val="21"/>
              </w:rPr>
              <w:t>保单贷款</w:t>
            </w:r>
          </w:p>
        </w:tc>
        <w:tc>
          <w:tcPr>
            <w:tcW w:w="7887" w:type="dxa"/>
          </w:tcPr>
          <w:p>
            <w:pPr>
              <w:pStyle w:val="TableParagraph"/>
              <w:spacing w:before="95"/>
              <w:ind w:left="181"/>
              <w:rPr>
                <w:sz w:val="21"/>
              </w:rPr>
            </w:pPr>
            <w:r>
              <w:rPr>
                <w:sz w:val="21"/>
              </w:rPr>
              <w:t>您可申请使用保单贷款功能。</w:t>
            </w:r>
          </w:p>
          <w:p>
            <w:pPr>
              <w:pStyle w:val="TableParagraph"/>
              <w:spacing w:line="273" w:lineRule="auto" w:before="36"/>
              <w:ind w:left="181" w:right="104"/>
              <w:jc w:val="both"/>
              <w:rPr>
                <w:sz w:val="21"/>
              </w:rPr>
            </w:pPr>
            <w:r>
              <w:rPr>
                <w:sz w:val="21"/>
              </w:rPr>
              <w:t>在本主险合同有效期内，经我们审核同意后您可办理保单贷款。贷款金额不得超过</w:t>
            </w:r>
            <w:r>
              <w:rPr>
                <w:spacing w:val="-2"/>
                <w:sz w:val="21"/>
              </w:rPr>
              <w:t>保险合同现金价值扣除各项欠款后余额的 </w:t>
            </w:r>
            <w:r>
              <w:rPr>
                <w:sz w:val="21"/>
              </w:rPr>
              <w:t>80</w:t>
            </w:r>
            <w:r>
              <w:rPr>
                <w:spacing w:val="-2"/>
                <w:sz w:val="21"/>
              </w:rPr>
              <w:t>%，每次贷款期限最长不超过 </w:t>
            </w:r>
            <w:r>
              <w:rPr>
                <w:sz w:val="21"/>
              </w:rPr>
              <w:t>6</w:t>
            </w:r>
            <w:r>
              <w:rPr>
                <w:spacing w:val="-6"/>
                <w:sz w:val="21"/>
              </w:rPr>
              <w:t> 个月， 贷款利率按您与我们签订的贷款协议中约定的利率执行。贷款本息在贷款到期时一并归还。若您到期未能足额偿还贷款本息，则您所欠的贷款本金及利息将作为新的贷款本金计息。</w:t>
            </w:r>
          </w:p>
          <w:p>
            <w:pPr>
              <w:pStyle w:val="TableParagraph"/>
              <w:spacing w:line="273" w:lineRule="auto" w:before="7"/>
              <w:ind w:left="182" w:right="142"/>
              <w:jc w:val="both"/>
              <w:rPr>
                <w:sz w:val="21"/>
              </w:rPr>
            </w:pPr>
            <w:r>
              <w:rPr>
                <w:sz w:val="21"/>
              </w:rPr>
              <w:t>当未还贷款本金及利息加上其他各项欠款达到保险合同现金价值时，保险合同的效力中止。</w:t>
            </w:r>
          </w:p>
          <w:p>
            <w:pPr>
              <w:pStyle w:val="TableParagraph"/>
              <w:spacing w:before="7"/>
              <w:ind w:left="182"/>
              <w:jc w:val="both"/>
              <w:rPr>
                <w:sz w:val="21"/>
              </w:rPr>
            </w:pPr>
            <w:r>
              <w:rPr>
                <w:sz w:val="21"/>
              </w:rPr>
              <w:t>条款中所称的“保险合同”包括本主险合同及其附加险合同。</w:t>
            </w:r>
          </w:p>
        </w:tc>
      </w:tr>
      <w:tr>
        <w:trPr>
          <w:trHeight w:val="825" w:hRule="atLeast"/>
        </w:trPr>
        <w:tc>
          <w:tcPr>
            <w:tcW w:w="606" w:type="dxa"/>
            <w:tcBorders>
              <w:bottom w:val="single" w:sz="8" w:space="0" w:color="000000"/>
            </w:tcBorders>
          </w:tcPr>
          <w:p>
            <w:pPr>
              <w:pStyle w:val="TableParagraph"/>
              <w:spacing w:before="260"/>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rPr>
                <w:sz w:val="24"/>
              </w:rPr>
            </w:pPr>
          </w:p>
          <w:p>
            <w:pPr>
              <w:pStyle w:val="TableParagraph"/>
              <w:ind w:left="141"/>
              <w:rPr>
                <w:b/>
                <w:sz w:val="24"/>
              </w:rPr>
            </w:pPr>
            <w:r>
              <w:rPr>
                <w:b/>
                <w:w w:val="95"/>
                <w:sz w:val="24"/>
              </w:rPr>
              <w:t>合同效力的中止及恢复</w:t>
            </w:r>
          </w:p>
        </w:tc>
      </w:tr>
      <w:tr>
        <w:trPr>
          <w:trHeight w:val="631" w:hRule="atLeast"/>
        </w:trPr>
        <w:tc>
          <w:tcPr>
            <w:tcW w:w="606" w:type="dxa"/>
            <w:tcBorders>
              <w:top w:val="single" w:sz="8" w:space="0" w:color="000000"/>
            </w:tcBorders>
          </w:tcPr>
          <w:p>
            <w:pPr>
              <w:pStyle w:val="TableParagraph"/>
              <w:spacing w:before="4"/>
              <w:rPr>
                <w:sz w:val="14"/>
              </w:rPr>
            </w:pPr>
          </w:p>
          <w:p>
            <w:pPr>
              <w:pStyle w:val="TableParagraph"/>
              <w:ind w:left="89" w:right="159"/>
              <w:jc w:val="center"/>
              <w:rPr>
                <w:b/>
                <w:sz w:val="21"/>
              </w:rPr>
            </w:pPr>
            <w:r>
              <w:rPr>
                <w:b/>
                <w:sz w:val="21"/>
              </w:rPr>
              <w:t>6.1</w:t>
            </w:r>
          </w:p>
        </w:tc>
        <w:tc>
          <w:tcPr>
            <w:tcW w:w="1588" w:type="dxa"/>
            <w:tcBorders>
              <w:top w:val="single" w:sz="8" w:space="0" w:color="000000"/>
            </w:tcBorders>
          </w:tcPr>
          <w:p>
            <w:pPr>
              <w:pStyle w:val="TableParagraph"/>
              <w:spacing w:before="4"/>
              <w:rPr>
                <w:sz w:val="14"/>
              </w:rPr>
            </w:pPr>
          </w:p>
          <w:p>
            <w:pPr>
              <w:pStyle w:val="TableParagraph"/>
              <w:ind w:left="141"/>
              <w:rPr>
                <w:b/>
                <w:sz w:val="21"/>
              </w:rPr>
            </w:pPr>
            <w:r>
              <w:rPr>
                <w:b/>
                <w:sz w:val="21"/>
              </w:rPr>
              <w:t>效力中止</w:t>
            </w:r>
          </w:p>
        </w:tc>
        <w:tc>
          <w:tcPr>
            <w:tcW w:w="7887" w:type="dxa"/>
            <w:tcBorders>
              <w:top w:val="single" w:sz="8" w:space="0" w:color="000000"/>
            </w:tcBorders>
          </w:tcPr>
          <w:p>
            <w:pPr>
              <w:pStyle w:val="TableParagraph"/>
              <w:spacing w:before="4"/>
              <w:rPr>
                <w:sz w:val="14"/>
              </w:rPr>
            </w:pPr>
          </w:p>
          <w:p>
            <w:pPr>
              <w:pStyle w:val="TableParagraph"/>
              <w:ind w:left="181"/>
              <w:rPr>
                <w:sz w:val="21"/>
              </w:rPr>
            </w:pPr>
            <w:r>
              <w:rPr>
                <w:sz w:val="21"/>
              </w:rPr>
              <w:t>在本主险合同效力中止期间，我们不承担保险责任。</w:t>
            </w:r>
          </w:p>
        </w:tc>
      </w:tr>
      <w:tr>
        <w:trPr>
          <w:trHeight w:val="1614" w:hRule="atLeast"/>
        </w:trPr>
        <w:tc>
          <w:tcPr>
            <w:tcW w:w="606" w:type="dxa"/>
          </w:tcPr>
          <w:p>
            <w:pPr>
              <w:pStyle w:val="TableParagraph"/>
              <w:spacing w:before="95"/>
              <w:ind w:left="89" w:right="159"/>
              <w:jc w:val="center"/>
              <w:rPr>
                <w:b/>
                <w:sz w:val="21"/>
              </w:rPr>
            </w:pPr>
            <w:r>
              <w:rPr>
                <w:b/>
                <w:sz w:val="21"/>
              </w:rPr>
              <w:t>6.2</w:t>
            </w:r>
          </w:p>
        </w:tc>
        <w:tc>
          <w:tcPr>
            <w:tcW w:w="1588" w:type="dxa"/>
          </w:tcPr>
          <w:p>
            <w:pPr>
              <w:pStyle w:val="TableParagraph"/>
              <w:spacing w:before="95"/>
              <w:ind w:left="141"/>
              <w:rPr>
                <w:b/>
                <w:sz w:val="21"/>
              </w:rPr>
            </w:pPr>
            <w:r>
              <w:rPr>
                <w:b/>
                <w:sz w:val="21"/>
              </w:rPr>
              <w:t>效力恢复</w:t>
            </w:r>
          </w:p>
        </w:tc>
        <w:tc>
          <w:tcPr>
            <w:tcW w:w="7887" w:type="dxa"/>
          </w:tcPr>
          <w:p>
            <w:pPr>
              <w:pStyle w:val="TableParagraph"/>
              <w:spacing w:line="273" w:lineRule="auto" w:before="95"/>
              <w:ind w:left="181" w:right="143"/>
              <w:rPr>
                <w:sz w:val="21"/>
              </w:rPr>
            </w:pPr>
            <w:r>
              <w:rPr>
                <w:spacing w:val="-5"/>
                <w:sz w:val="21"/>
              </w:rPr>
              <w:t>本主险合同效力中止后 </w:t>
            </w:r>
            <w:r>
              <w:rPr>
                <w:sz w:val="21"/>
              </w:rPr>
              <w:t>2</w:t>
            </w:r>
            <w:r>
              <w:rPr>
                <w:spacing w:val="-8"/>
                <w:sz w:val="21"/>
              </w:rPr>
              <w:t> 年内，您可以申请恢复合同效力。经您与我们协商并达成协议，自您补交保险费之日起，合同效力恢复。</w:t>
            </w:r>
          </w:p>
          <w:p>
            <w:pPr>
              <w:pStyle w:val="TableParagraph"/>
              <w:spacing w:line="273" w:lineRule="auto" w:before="7"/>
              <w:ind w:left="181" w:right="143"/>
              <w:rPr>
                <w:sz w:val="21"/>
              </w:rPr>
            </w:pPr>
            <w:r>
              <w:rPr>
                <w:spacing w:val="-4"/>
                <w:sz w:val="21"/>
              </w:rPr>
              <w:t>自本主险合同效力中止之日起满 </w:t>
            </w:r>
            <w:r>
              <w:rPr>
                <w:sz w:val="21"/>
              </w:rPr>
              <w:t>2</w:t>
            </w:r>
            <w:r>
              <w:rPr>
                <w:spacing w:val="-8"/>
                <w:sz w:val="21"/>
              </w:rPr>
              <w:t> 年您和我们未达成协议的，我们有权解除合同。我们解除合同的，向您退还合同效力中止时本主险合同的现金价值。</w:t>
            </w:r>
          </w:p>
        </w:tc>
      </w:tr>
      <w:tr>
        <w:trPr>
          <w:trHeight w:val="826" w:hRule="atLeast"/>
        </w:trPr>
        <w:tc>
          <w:tcPr>
            <w:tcW w:w="606" w:type="dxa"/>
            <w:tcBorders>
              <w:bottom w:val="single" w:sz="8" w:space="0" w:color="000000"/>
            </w:tcBorders>
          </w:tcPr>
          <w:p>
            <w:pPr>
              <w:pStyle w:val="TableParagraph"/>
              <w:spacing w:before="261"/>
              <w:ind w:right="31"/>
              <w:jc w:val="center"/>
              <w:rPr>
                <w:rFonts w:ascii="Arial" w:hAnsi="Arial"/>
                <w:b/>
                <w:sz w:val="40"/>
              </w:rPr>
            </w:pPr>
            <w:r>
              <w:rPr>
                <w:rFonts w:ascii="Arial" w:hAnsi="Arial"/>
                <w:b/>
                <w:w w:val="118"/>
                <w:sz w:val="40"/>
              </w:rPr>
              <w:t></w:t>
            </w:r>
          </w:p>
        </w:tc>
        <w:tc>
          <w:tcPr>
            <w:tcW w:w="9475" w:type="dxa"/>
            <w:gridSpan w:val="2"/>
            <w:tcBorders>
              <w:bottom w:val="single" w:sz="8" w:space="0" w:color="000000"/>
            </w:tcBorders>
          </w:tcPr>
          <w:p>
            <w:pPr>
              <w:pStyle w:val="TableParagraph"/>
              <w:spacing w:before="1"/>
              <w:rPr>
                <w:sz w:val="24"/>
              </w:rPr>
            </w:pPr>
          </w:p>
          <w:p>
            <w:pPr>
              <w:pStyle w:val="TableParagraph"/>
              <w:ind w:left="141"/>
              <w:rPr>
                <w:b/>
                <w:sz w:val="24"/>
              </w:rPr>
            </w:pPr>
            <w:r>
              <w:rPr>
                <w:b/>
                <w:w w:val="95"/>
                <w:sz w:val="24"/>
              </w:rPr>
              <w:t>如何解除保险合同</w:t>
            </w:r>
          </w:p>
        </w:tc>
      </w:tr>
      <w:tr>
        <w:trPr>
          <w:trHeight w:val="1091" w:hRule="atLeast"/>
        </w:trPr>
        <w:tc>
          <w:tcPr>
            <w:tcW w:w="606" w:type="dxa"/>
            <w:tcBorders>
              <w:top w:val="single" w:sz="8" w:space="0" w:color="000000"/>
            </w:tcBorders>
          </w:tcPr>
          <w:p>
            <w:pPr>
              <w:pStyle w:val="TableParagraph"/>
              <w:spacing w:before="4"/>
              <w:rPr>
                <w:sz w:val="14"/>
              </w:rPr>
            </w:pPr>
          </w:p>
          <w:p>
            <w:pPr>
              <w:pStyle w:val="TableParagraph"/>
              <w:ind w:left="89" w:right="159"/>
              <w:jc w:val="center"/>
              <w:rPr>
                <w:b/>
                <w:sz w:val="21"/>
              </w:rPr>
            </w:pPr>
            <w:r>
              <w:rPr>
                <w:b/>
                <w:sz w:val="21"/>
              </w:rPr>
              <w:t>7.1</w:t>
            </w:r>
          </w:p>
        </w:tc>
        <w:tc>
          <w:tcPr>
            <w:tcW w:w="1588" w:type="dxa"/>
            <w:tcBorders>
              <w:top w:val="single" w:sz="8" w:space="0" w:color="000000"/>
            </w:tcBorders>
          </w:tcPr>
          <w:p>
            <w:pPr>
              <w:pStyle w:val="TableParagraph"/>
              <w:spacing w:before="4"/>
              <w:rPr>
                <w:sz w:val="14"/>
              </w:rPr>
            </w:pPr>
          </w:p>
          <w:p>
            <w:pPr>
              <w:pStyle w:val="TableParagraph"/>
              <w:spacing w:line="273" w:lineRule="auto"/>
              <w:ind w:left="141" w:right="180"/>
              <w:rPr>
                <w:b/>
                <w:sz w:val="21"/>
              </w:rPr>
            </w:pPr>
            <w:r>
              <w:rPr>
                <w:b/>
                <w:sz w:val="21"/>
              </w:rPr>
              <w:t>您解除合同的</w:t>
            </w:r>
            <w:r>
              <w:rPr>
                <w:b/>
                <w:w w:val="95"/>
                <w:sz w:val="21"/>
              </w:rPr>
              <w:t>手续及风险</w:t>
            </w:r>
          </w:p>
        </w:tc>
        <w:tc>
          <w:tcPr>
            <w:tcW w:w="7887" w:type="dxa"/>
            <w:tcBorders>
              <w:top w:val="single" w:sz="8" w:space="0" w:color="000000"/>
            </w:tcBorders>
          </w:tcPr>
          <w:p>
            <w:pPr>
              <w:pStyle w:val="TableParagraph"/>
              <w:spacing w:before="4"/>
              <w:rPr>
                <w:sz w:val="14"/>
              </w:rPr>
            </w:pPr>
          </w:p>
          <w:p>
            <w:pPr>
              <w:pStyle w:val="TableParagraph"/>
              <w:spacing w:line="273" w:lineRule="auto"/>
              <w:ind w:left="181" w:right="144"/>
              <w:rPr>
                <w:sz w:val="21"/>
              </w:rPr>
            </w:pPr>
            <w:r>
              <w:rPr>
                <w:sz w:val="21"/>
              </w:rPr>
              <w:t>您在犹豫期后可以申请解除本主险合同，请填写解除合同申请书并向我们提供下列资料：</w:t>
            </w:r>
          </w:p>
          <w:p>
            <w:pPr>
              <w:pStyle w:val="TableParagraph"/>
              <w:spacing w:line="259" w:lineRule="exact" w:before="7"/>
              <w:ind w:left="181"/>
              <w:rPr>
                <w:sz w:val="21"/>
              </w:rPr>
            </w:pPr>
            <w:r>
              <w:rPr>
                <w:sz w:val="21"/>
              </w:rPr>
              <w:t>（1）保险合同；</w:t>
            </w:r>
          </w:p>
        </w:tc>
      </w:tr>
    </w:tbl>
    <w:p>
      <w:pPr>
        <w:spacing w:after="0" w:line="259" w:lineRule="exact"/>
        <w:rPr>
          <w:sz w:val="21"/>
        </w:rPr>
        <w:sectPr>
          <w:pgSz w:w="11910" w:h="16840"/>
          <w:pgMar w:top="1120" w:bottom="280" w:left="800" w:right="800"/>
        </w:sectPr>
      </w:pPr>
    </w:p>
    <w:p>
      <w:pPr>
        <w:pStyle w:val="BodyText"/>
        <w:spacing w:before="20"/>
        <w:ind w:left="2489"/>
      </w:pPr>
      <w:r>
        <w:rPr/>
        <w:t>（2）您的有效身份证件。</w:t>
      </w:r>
    </w:p>
    <w:p>
      <w:pPr>
        <w:pStyle w:val="BodyText"/>
        <w:spacing w:line="273" w:lineRule="auto" w:before="36"/>
        <w:ind w:left="2489" w:right="255"/>
      </w:pPr>
      <w:r>
        <w:rPr/>
        <w:t>自我们收到解除合同申请书时起，本主险合同终止。我们自收到解除合同申请书之日起 30 日内向您退还本主险合同的现金价值。</w:t>
      </w:r>
    </w:p>
    <w:p>
      <w:pPr>
        <w:pStyle w:val="BodyText"/>
        <w:spacing w:before="7"/>
        <w:ind w:left="2488"/>
      </w:pPr>
      <w:r>
        <w:rPr/>
        <w:t>您在犹豫期后解除合同会遭受一定损失。</w:t>
      </w:r>
    </w:p>
    <w:p>
      <w:pPr>
        <w:pStyle w:val="BodyText"/>
        <w:rPr>
          <w:sz w:val="20"/>
        </w:rPr>
      </w:pPr>
    </w:p>
    <w:p>
      <w:pPr>
        <w:pStyle w:val="BodyText"/>
        <w:spacing w:before="4"/>
        <w:rPr>
          <w:sz w:val="23"/>
        </w:rPr>
      </w:pPr>
    </w:p>
    <w:p>
      <w:pPr>
        <w:tabs>
          <w:tab w:pos="860" w:val="left" w:leader="none"/>
        </w:tabs>
        <w:spacing w:before="0"/>
        <w:ind w:left="221" w:right="0" w:firstLine="0"/>
        <w:jc w:val="left"/>
        <w:rPr>
          <w:b/>
          <w:sz w:val="24"/>
        </w:rPr>
      </w:pPr>
      <w:r>
        <w:rPr/>
        <w:pict>
          <v:group style="position:absolute;margin-left:45.66pt;margin-top:28.099794pt;width:504pt;height:1pt;mso-position-horizontal-relative:page;mso-position-vertical-relative:paragraph;z-index:1072;mso-wrap-distance-left:0;mso-wrap-distance-right:0" coordorigin="913,562" coordsize="10080,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181,572" stroked="true" strokeweight=".96pt" strokecolor="#000000">
              <v:stroke dashstyle="solid"/>
            </v:line>
            <v:rect style="position:absolute;left:3181;top:561;width:20;height:20" filled="true" fillcolor="#000000" stroked="false">
              <v:fill type="solid"/>
            </v:rect>
            <v:line style="position:absolute" from="3200,572" to="10993,572" stroked="true" strokeweight=".96pt" strokecolor="#000000">
              <v:stroke dashstyle="solid"/>
            </v:line>
            <w10:wrap type="topAndBottom"/>
          </v:group>
        </w:pict>
      </w:r>
      <w:r>
        <w:rPr>
          <w:rFonts w:ascii="Arial" w:hAnsi="Arial" w:eastAsia="Arial"/>
          <w:b/>
          <w:position w:val="-3"/>
          <w:sz w:val="40"/>
        </w:rPr>
        <w:t></w:t>
        <w:tab/>
      </w:r>
      <w:r>
        <w:rPr>
          <w:b/>
          <w:w w:val="95"/>
          <w:sz w:val="24"/>
        </w:rPr>
        <w:t>其他需要关注的事项</w:t>
      </w:r>
    </w:p>
    <w:p>
      <w:pPr>
        <w:pStyle w:val="BodyText"/>
        <w:spacing w:before="10"/>
        <w:rPr>
          <w:b/>
          <w:sz w:val="9"/>
        </w:rPr>
      </w:pPr>
    </w:p>
    <w:p>
      <w:pPr>
        <w:spacing w:after="0"/>
        <w:rPr>
          <w:sz w:val="9"/>
        </w:rPr>
        <w:sectPr>
          <w:pgSz w:w="11910" w:h="16840"/>
          <w:pgMar w:top="1080" w:bottom="280" w:left="800" w:right="800"/>
        </w:sectPr>
      </w:pPr>
    </w:p>
    <w:p>
      <w:pPr>
        <w:pStyle w:val="Heading2"/>
        <w:numPr>
          <w:ilvl w:val="1"/>
          <w:numId w:val="8"/>
        </w:numPr>
        <w:tabs>
          <w:tab w:pos="860" w:val="left" w:leader="none"/>
          <w:tab w:pos="861" w:val="left" w:leader="none"/>
        </w:tabs>
        <w:spacing w:line="273" w:lineRule="auto" w:before="35" w:after="0"/>
        <w:ind w:left="860" w:right="0" w:hanging="639"/>
        <w:jc w:val="left"/>
      </w:pPr>
      <w:r>
        <w:rPr>
          <w:w w:val="95"/>
        </w:rPr>
        <w:t>明确说明与如</w:t>
      </w:r>
      <w:r>
        <w:rPr/>
        <w:t>实告知</w:t>
      </w:r>
    </w:p>
    <w:p>
      <w:pPr>
        <w:pStyle w:val="BodyText"/>
        <w:spacing w:line="273" w:lineRule="auto" w:before="35"/>
        <w:ind w:left="221" w:right="255"/>
        <w:jc w:val="both"/>
      </w:pPr>
      <w:r>
        <w:rPr/>
        <w:br w:type="column"/>
      </w:r>
      <w:r>
        <w:rPr/>
        <w:t>订立本主险合同时，我们会向您说明本主险合同的内容。对本主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221"/>
      </w:pPr>
      <w:r>
        <w:rPr/>
        <w:t>我们就您和被保险人的有关情况提出询问，您应当如实告知。</w:t>
      </w:r>
    </w:p>
    <w:p>
      <w:pPr>
        <w:pStyle w:val="BodyText"/>
        <w:spacing w:line="273" w:lineRule="auto" w:before="36"/>
        <w:ind w:left="221" w:right="255"/>
      </w:pPr>
      <w:r>
        <w:rPr>
          <w:shd w:fill="DADADA" w:color="auto" w:val="clear"/>
        </w:rPr>
        <w:t>如果您故意或者因重大过失未履行前款规定的如实告知义务，足以影响我们决定是</w:t>
      </w:r>
      <w:r>
        <w:rPr>
          <w:spacing w:val="-210"/>
          <w:shd w:fill="DADADA" w:color="auto" w:val="clear"/>
        </w:rPr>
        <w:t>否</w:t>
      </w:r>
      <w:r>
        <w:rPr>
          <w:shd w:fill="DADADA" w:color="auto" w:val="clear"/>
        </w:rPr>
        <w:t>同意承保或者提高保险费率的，我们有权解除本主险合同。</w:t>
      </w:r>
    </w:p>
    <w:p>
      <w:pPr>
        <w:pStyle w:val="BodyText"/>
        <w:spacing w:line="273" w:lineRule="auto" w:before="7"/>
        <w:ind w:left="221" w:right="255"/>
      </w:pPr>
      <w:r>
        <w:rPr>
          <w:shd w:fill="DADADA" w:color="auto" w:val="clear"/>
        </w:rPr>
        <w:t>如果您故意不履行如实告知义务，对于本主险合同解除前发生的保险事故，我们不承担给付保险金的责任，并不退还保险费。</w:t>
      </w:r>
    </w:p>
    <w:p>
      <w:pPr>
        <w:pStyle w:val="BodyText"/>
        <w:spacing w:line="273" w:lineRule="auto" w:before="7"/>
        <w:ind w:left="221" w:right="114"/>
      </w:pPr>
      <w:r>
        <w:rPr>
          <w:shd w:fill="DADADA" w:color="auto" w:val="clear"/>
        </w:rPr>
        <w:t>如果您因重大过失未履行如实告知义务，对保险事故的发生有严重影响的，对于本</w:t>
      </w:r>
      <w:r>
        <w:rPr>
          <w:spacing w:val="-5"/>
          <w:shd w:fill="DADADA" w:color="auto" w:val="clear"/>
        </w:rPr>
        <w:t>主险合同解除前发生的保险事故，我们不承担给付保险金的责任，但会退还保险费。</w:t>
      </w:r>
      <w:r>
        <w:rPr>
          <w:spacing w:val="-5"/>
        </w:rPr>
        <w:t>我们在合同订立时已经知道您未如实告知的情况的，我们不得解除合同；发生保险事故的，我们承担给付保险金的责任。</w:t>
      </w:r>
    </w:p>
    <w:p>
      <w:pPr>
        <w:spacing w:after="0" w:line="273" w:lineRule="auto"/>
        <w:sectPr>
          <w:type w:val="continuous"/>
          <w:pgSz w:w="11910" w:h="16840"/>
          <w:pgMar w:top="580" w:bottom="280" w:left="800" w:right="800"/>
          <w:cols w:num="2" w:equalWidth="0">
            <w:col w:w="2125" w:space="143"/>
            <w:col w:w="8042"/>
          </w:cols>
        </w:sectPr>
      </w:pPr>
    </w:p>
    <w:p>
      <w:pPr>
        <w:pStyle w:val="BodyText"/>
        <w:spacing w:before="3"/>
        <w:rPr>
          <w:sz w:val="15"/>
        </w:rPr>
      </w:pPr>
    </w:p>
    <w:p>
      <w:pPr>
        <w:spacing w:after="0"/>
        <w:rPr>
          <w:sz w:val="15"/>
        </w:rPr>
        <w:sectPr>
          <w:type w:val="continuous"/>
          <w:pgSz w:w="11910" w:h="16840"/>
          <w:pgMar w:top="580" w:bottom="280" w:left="800" w:right="800"/>
        </w:sectPr>
      </w:pPr>
    </w:p>
    <w:p>
      <w:pPr>
        <w:pStyle w:val="Heading2"/>
        <w:numPr>
          <w:ilvl w:val="1"/>
          <w:numId w:val="8"/>
        </w:numPr>
        <w:tabs>
          <w:tab w:pos="860" w:val="left" w:leader="none"/>
          <w:tab w:pos="861" w:val="left" w:leader="none"/>
        </w:tabs>
        <w:spacing w:line="240" w:lineRule="auto" w:before="36" w:after="0"/>
        <w:ind w:left="860" w:right="0" w:hanging="639"/>
        <w:jc w:val="left"/>
      </w:pPr>
      <w:r>
        <w:rPr>
          <w:w w:val="95"/>
        </w:rPr>
        <w:t>本公司合同解</w:t>
      </w:r>
    </w:p>
    <w:p>
      <w:pPr>
        <w:spacing w:before="37"/>
        <w:ind w:left="860" w:right="0" w:firstLine="0"/>
        <w:jc w:val="left"/>
        <w:rPr>
          <w:b/>
          <w:sz w:val="21"/>
        </w:rPr>
      </w:pPr>
      <w:r>
        <w:rPr>
          <w:b/>
          <w:w w:val="95"/>
          <w:sz w:val="21"/>
        </w:rPr>
        <w:t>除权的限制</w:t>
      </w:r>
    </w:p>
    <w:p>
      <w:pPr>
        <w:pStyle w:val="BodyText"/>
        <w:spacing w:before="36"/>
        <w:ind w:left="221"/>
      </w:pPr>
      <w:r>
        <w:rPr/>
        <w:br w:type="column"/>
      </w:r>
      <w:r>
        <w:rPr/>
        <w:t>前条规定的合同解除权，自我们知道有解除事由之日起，超过 30 日不行使而消灭。</w:t>
      </w:r>
    </w:p>
    <w:p>
      <w:pPr>
        <w:pStyle w:val="BodyText"/>
        <w:spacing w:line="273" w:lineRule="auto" w:before="37"/>
        <w:ind w:left="221" w:right="147"/>
      </w:pPr>
      <w:r>
        <w:rPr/>
        <w:t>自本主险合同成立之日起超过 2 年的，我们不得解除合同；发生保险事故的，我们承担给付保险金的责任。</w:t>
      </w:r>
    </w:p>
    <w:p>
      <w:pPr>
        <w:spacing w:after="0" w:line="273" w:lineRule="auto"/>
        <w:sectPr>
          <w:type w:val="continuous"/>
          <w:pgSz w:w="11910" w:h="16840"/>
          <w:pgMar w:top="580" w:bottom="280" w:left="800" w:right="800"/>
          <w:cols w:num="2" w:equalWidth="0">
            <w:col w:w="2125" w:space="143"/>
            <w:col w:w="8042"/>
          </w:cols>
        </w:sectPr>
      </w:pPr>
    </w:p>
    <w:p>
      <w:pPr>
        <w:pStyle w:val="BodyText"/>
        <w:spacing w:before="2"/>
        <w:rPr>
          <w:sz w:val="15"/>
        </w:rPr>
      </w:pPr>
    </w:p>
    <w:p>
      <w:pPr>
        <w:pStyle w:val="ListParagraph"/>
        <w:numPr>
          <w:ilvl w:val="1"/>
          <w:numId w:val="8"/>
        </w:numPr>
        <w:tabs>
          <w:tab w:pos="860" w:val="left" w:leader="none"/>
          <w:tab w:pos="861" w:val="left" w:leader="none"/>
          <w:tab w:pos="2491" w:val="left" w:leader="none"/>
        </w:tabs>
        <w:spacing w:line="273" w:lineRule="auto" w:before="35" w:after="0"/>
        <w:ind w:left="2489" w:right="113" w:hanging="2268"/>
        <w:jc w:val="left"/>
        <w:rPr>
          <w:sz w:val="21"/>
        </w:rPr>
      </w:pPr>
      <w:r>
        <w:rPr>
          <w:b/>
          <w:sz w:val="21"/>
        </w:rPr>
        <w:t>年龄错误</w:t>
        <w:tab/>
        <w:tab/>
      </w:r>
      <w:r>
        <w:rPr>
          <w:spacing w:val="-1"/>
          <w:sz w:val="21"/>
        </w:rPr>
        <w:t>您</w:t>
      </w:r>
      <w:r>
        <w:rPr>
          <w:sz w:val="21"/>
        </w:rPr>
        <w:t>在申请投保时</w:t>
      </w:r>
      <w:r>
        <w:rPr>
          <w:spacing w:val="-71"/>
          <w:sz w:val="21"/>
        </w:rPr>
        <w:t>，</w:t>
      </w:r>
      <w:r>
        <w:rPr>
          <w:sz w:val="21"/>
        </w:rPr>
        <w:t>应将与有效身份证件相符的被保险人的出生日期在投保书上填明，如果发生错误按照下列方式办理：</w:t>
      </w:r>
    </w:p>
    <w:p>
      <w:pPr>
        <w:pStyle w:val="BodyText"/>
        <w:spacing w:line="273" w:lineRule="auto" w:before="7"/>
        <w:ind w:left="2993" w:right="218" w:hanging="504"/>
        <w:jc w:val="both"/>
      </w:pPr>
      <w:r>
        <w:rPr>
          <w:spacing w:val="-12"/>
        </w:rPr>
        <w:t>（1）</w:t>
      </w:r>
      <w:r>
        <w:rPr>
          <w:spacing w:val="-3"/>
          <w:shd w:fill="DADADA" w:color="auto" w:val="clear"/>
        </w:rPr>
        <w:t>您申报的被保险人年龄不真实，并且其真实年龄不符合本主险合同约定投保年</w:t>
      </w:r>
      <w:r>
        <w:rPr>
          <w:spacing w:val="-6"/>
          <w:shd w:fill="DADADA" w:color="auto" w:val="clear"/>
        </w:rPr>
        <w:t>龄限制的，我们有权解除合同，并向您退还</w:t>
      </w:r>
      <w:r>
        <w:rPr>
          <w:spacing w:val="-23"/>
          <w:shd w:fill="DADADA" w:color="auto" w:val="clear"/>
        </w:rPr>
        <w:t>本主险合同的现金价值。</w:t>
      </w:r>
      <w:r>
        <w:rPr/>
        <w:t>我们行使合同解除权适用“8.2</w:t>
      </w:r>
      <w:r>
        <w:rPr>
          <w:spacing w:val="-8"/>
        </w:rPr>
        <w:t> 本公司合同解除权的限制”的规定。</w:t>
      </w:r>
    </w:p>
    <w:p>
      <w:pPr>
        <w:pStyle w:val="BodyText"/>
        <w:spacing w:line="273" w:lineRule="auto" w:before="7"/>
        <w:ind w:left="2993" w:right="219" w:hanging="504"/>
        <w:jc w:val="both"/>
      </w:pPr>
      <w:r>
        <w:rPr>
          <w:spacing w:val="-8"/>
        </w:rPr>
        <w:t>（2）</w:t>
      </w:r>
      <w:r>
        <w:rPr>
          <w:spacing w:val="-3"/>
        </w:rPr>
        <w:t>您申报的被保险人年龄不真实，致使您实付保险费少于应付保险费的，我们有</w:t>
      </w:r>
      <w:r>
        <w:rPr>
          <w:spacing w:val="-6"/>
        </w:rPr>
        <w:t>权更正并要求您补交保险费。若已经发生保险事故，在给付保险金时按实付保险费和应付保险费的比例给付。</w:t>
      </w:r>
    </w:p>
    <w:p>
      <w:pPr>
        <w:pStyle w:val="BodyText"/>
        <w:spacing w:line="273" w:lineRule="auto" w:before="7"/>
        <w:ind w:left="2993" w:right="219" w:hanging="504"/>
        <w:jc w:val="both"/>
      </w:pPr>
      <w:r>
        <w:rPr>
          <w:spacing w:val="-8"/>
        </w:rPr>
        <w:t>（3）</w:t>
      </w:r>
      <w:r>
        <w:rPr>
          <w:spacing w:val="-3"/>
        </w:rPr>
        <w:t>您申报的被保险人年龄不真实，致使您实付保险费多于应付保险费的，我们会将多收的保险费退还给您。</w:t>
      </w:r>
    </w:p>
    <w:p>
      <w:pPr>
        <w:pStyle w:val="BodyText"/>
        <w:spacing w:before="11"/>
        <w:rPr>
          <w:sz w:val="17"/>
        </w:rPr>
      </w:pPr>
    </w:p>
    <w:p>
      <w:pPr>
        <w:pStyle w:val="ListParagraph"/>
        <w:numPr>
          <w:ilvl w:val="1"/>
          <w:numId w:val="8"/>
        </w:numPr>
        <w:tabs>
          <w:tab w:pos="861" w:val="left" w:leader="none"/>
        </w:tabs>
        <w:spacing w:line="273" w:lineRule="auto" w:before="0" w:after="0"/>
        <w:ind w:left="2489" w:right="217" w:hanging="2268"/>
        <w:jc w:val="both"/>
        <w:rPr>
          <w:sz w:val="21"/>
        </w:rPr>
      </w:pPr>
      <w:r>
        <w:rPr>
          <w:b/>
          <w:spacing w:val="6"/>
          <w:sz w:val="21"/>
        </w:rPr>
        <w:t>未还款项      </w:t>
      </w:r>
      <w:r>
        <w:rPr>
          <w:sz w:val="21"/>
        </w:rPr>
        <w:t>我们在给付各项保险金、退还现金价值或返还保险费时，如果您有欠交的保险费或其他未还清款项，我们会在扣除上述欠款及应付利息后给付。</w:t>
      </w:r>
    </w:p>
    <w:p>
      <w:pPr>
        <w:pStyle w:val="BodyText"/>
        <w:spacing w:before="11"/>
        <w:rPr>
          <w:sz w:val="17"/>
        </w:rPr>
      </w:pPr>
    </w:p>
    <w:p>
      <w:pPr>
        <w:pStyle w:val="ListParagraph"/>
        <w:numPr>
          <w:ilvl w:val="1"/>
          <w:numId w:val="8"/>
        </w:numPr>
        <w:tabs>
          <w:tab w:pos="861" w:val="left" w:leader="none"/>
        </w:tabs>
        <w:spacing w:line="273" w:lineRule="auto" w:before="0" w:after="0"/>
        <w:ind w:left="2489" w:right="217" w:hanging="2268"/>
        <w:jc w:val="both"/>
        <w:rPr>
          <w:sz w:val="21"/>
        </w:rPr>
      </w:pPr>
      <w:r>
        <w:rPr>
          <w:b/>
          <w:spacing w:val="8"/>
          <w:sz w:val="21"/>
        </w:rPr>
        <w:t>合同内容变更  </w:t>
      </w:r>
      <w:r>
        <w:rPr>
          <w:sz w:val="21"/>
        </w:rPr>
        <w:t>在本主险合同有效期内，经您与我们协商一致，可以变更本主险合同的有关内容。变更本主险合同的，应当由我们在保险单或者其他保险凭证上批注或者附贴批单， 或者由您与我们订立书面的变更协议。</w:t>
      </w:r>
    </w:p>
    <w:p>
      <w:pPr>
        <w:pStyle w:val="BodyText"/>
        <w:spacing w:before="11"/>
        <w:rPr>
          <w:sz w:val="17"/>
        </w:rPr>
      </w:pPr>
    </w:p>
    <w:p>
      <w:pPr>
        <w:pStyle w:val="ListParagraph"/>
        <w:numPr>
          <w:ilvl w:val="1"/>
          <w:numId w:val="8"/>
        </w:numPr>
        <w:tabs>
          <w:tab w:pos="861" w:val="left" w:leader="none"/>
        </w:tabs>
        <w:spacing w:line="273" w:lineRule="auto" w:before="0" w:after="0"/>
        <w:ind w:left="2489" w:right="255" w:hanging="2268"/>
        <w:jc w:val="both"/>
        <w:rPr>
          <w:sz w:val="21"/>
        </w:rPr>
      </w:pPr>
      <w:r>
        <w:rPr>
          <w:b/>
          <w:spacing w:val="5"/>
          <w:sz w:val="21"/>
        </w:rPr>
        <w:t>联系方式变更  </w:t>
      </w:r>
      <w:r>
        <w:rPr>
          <w:sz w:val="21"/>
        </w:rPr>
        <w:t>为了保障您的合法权益，您的住所、通讯地址或电话等联系方式变更时，请及时以书面形式或双方认可的其他形式通知我们。若您未以书面形式或双方认可的其他形</w:t>
      </w:r>
    </w:p>
    <w:p>
      <w:pPr>
        <w:spacing w:after="0" w:line="273" w:lineRule="auto"/>
        <w:jc w:val="both"/>
        <w:rPr>
          <w:sz w:val="21"/>
        </w:rPr>
        <w:sectPr>
          <w:type w:val="continuous"/>
          <w:pgSz w:w="11910" w:h="16840"/>
          <w:pgMar w:top="5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88"/>
        <w:gridCol w:w="7887"/>
      </w:tblGrid>
      <w:tr>
        <w:trPr>
          <w:trHeight w:val="261" w:hRule="atLeast"/>
        </w:trPr>
        <w:tc>
          <w:tcPr>
            <w:tcW w:w="2194" w:type="dxa"/>
            <w:gridSpan w:val="2"/>
            <w:vMerge w:val="restart"/>
          </w:tcPr>
          <w:p>
            <w:pPr>
              <w:pStyle w:val="TableParagraph"/>
              <w:rPr>
                <w:rFonts w:ascii="Times New Roman"/>
                <w:sz w:val="20"/>
              </w:rPr>
            </w:pPr>
          </w:p>
        </w:tc>
        <w:tc>
          <w:tcPr>
            <w:tcW w:w="7887" w:type="dxa"/>
          </w:tcPr>
          <w:p>
            <w:pPr>
              <w:pStyle w:val="TableParagraph"/>
              <w:spacing w:line="210" w:lineRule="exact"/>
              <w:ind w:left="181"/>
              <w:rPr>
                <w:sz w:val="21"/>
              </w:rPr>
            </w:pPr>
            <w:r>
              <w:rPr>
                <w:sz w:val="21"/>
              </w:rPr>
              <w:t>式通知我们，我们按本主险合同载明的最后住所或通讯地址所发送的有关通知，均</w:t>
            </w:r>
          </w:p>
        </w:tc>
      </w:tr>
      <w:tr>
        <w:trPr>
          <w:trHeight w:val="425" w:hRule="atLeast"/>
        </w:trPr>
        <w:tc>
          <w:tcPr>
            <w:tcW w:w="2194" w:type="dxa"/>
            <w:gridSpan w:val="2"/>
            <w:vMerge/>
            <w:tcBorders>
              <w:top w:val="nil"/>
            </w:tcBorders>
          </w:tcPr>
          <w:p>
            <w:pPr>
              <w:rPr>
                <w:sz w:val="2"/>
                <w:szCs w:val="2"/>
              </w:rPr>
            </w:pPr>
          </w:p>
        </w:tc>
        <w:tc>
          <w:tcPr>
            <w:tcW w:w="7887" w:type="dxa"/>
          </w:tcPr>
          <w:p>
            <w:pPr>
              <w:pStyle w:val="TableParagraph"/>
              <w:spacing w:line="261" w:lineRule="exact"/>
              <w:ind w:left="181"/>
              <w:rPr>
                <w:sz w:val="21"/>
              </w:rPr>
            </w:pPr>
            <w:r>
              <w:rPr>
                <w:sz w:val="21"/>
              </w:rPr>
              <w:t>视为已送达给您。</w:t>
            </w:r>
          </w:p>
        </w:tc>
      </w:tr>
      <w:tr>
        <w:trPr>
          <w:trHeight w:val="425" w:hRule="atLeast"/>
        </w:trPr>
        <w:tc>
          <w:tcPr>
            <w:tcW w:w="606" w:type="dxa"/>
          </w:tcPr>
          <w:p>
            <w:pPr>
              <w:pStyle w:val="TableParagraph"/>
              <w:spacing w:before="99"/>
              <w:ind w:left="89" w:right="159"/>
              <w:jc w:val="center"/>
              <w:rPr>
                <w:b/>
                <w:sz w:val="21"/>
              </w:rPr>
            </w:pPr>
            <w:r>
              <w:rPr>
                <w:b/>
                <w:sz w:val="21"/>
              </w:rPr>
              <w:t>8.7</w:t>
            </w:r>
          </w:p>
        </w:tc>
        <w:tc>
          <w:tcPr>
            <w:tcW w:w="1588" w:type="dxa"/>
          </w:tcPr>
          <w:p>
            <w:pPr>
              <w:pStyle w:val="TableParagraph"/>
              <w:spacing w:before="99"/>
              <w:ind w:left="141"/>
              <w:rPr>
                <w:b/>
                <w:sz w:val="21"/>
              </w:rPr>
            </w:pPr>
            <w:r>
              <w:rPr>
                <w:b/>
                <w:sz w:val="21"/>
              </w:rPr>
              <w:t>争议处理</w:t>
            </w:r>
          </w:p>
        </w:tc>
        <w:tc>
          <w:tcPr>
            <w:tcW w:w="7887" w:type="dxa"/>
          </w:tcPr>
          <w:p>
            <w:pPr>
              <w:pStyle w:val="TableParagraph"/>
              <w:spacing w:before="99"/>
              <w:ind w:left="181"/>
              <w:rPr>
                <w:sz w:val="21"/>
              </w:rPr>
            </w:pPr>
            <w:r>
              <w:rPr>
                <w:sz w:val="21"/>
              </w:rPr>
              <w:t>本主险合同履行过程中，双方发生争议不能协商解决的，可以达成仲裁协议通过仲</w:t>
            </w:r>
          </w:p>
        </w:tc>
      </w:tr>
      <w:tr>
        <w:trPr>
          <w:trHeight w:val="564"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rPr>
              <w:t>裁解决，也可依法直接向法院提起诉讼。</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588" w:type="dxa"/>
            <w:tcBorders>
              <w:bottom w:val="single" w:sz="8" w:space="0" w:color="000000"/>
            </w:tcBorders>
          </w:tcPr>
          <w:p>
            <w:pPr>
              <w:pStyle w:val="TableParagraph"/>
              <w:spacing w:before="5"/>
              <w:rPr>
                <w:sz w:val="24"/>
              </w:rPr>
            </w:pPr>
          </w:p>
          <w:p>
            <w:pPr>
              <w:pStyle w:val="TableParagraph"/>
              <w:ind w:left="141"/>
              <w:rPr>
                <w:b/>
                <w:sz w:val="24"/>
              </w:rPr>
            </w:pPr>
            <w:r>
              <w:rPr>
                <w:b/>
                <w:sz w:val="24"/>
              </w:rPr>
              <w:t>释义</w:t>
            </w:r>
          </w:p>
        </w:tc>
        <w:tc>
          <w:tcPr>
            <w:tcW w:w="7887" w:type="dxa"/>
            <w:tcBorders>
              <w:bottom w:val="single" w:sz="8" w:space="0" w:color="000000"/>
            </w:tcBorders>
          </w:tcPr>
          <w:p>
            <w:pPr>
              <w:pStyle w:val="TableParagraph"/>
              <w:rPr>
                <w:rFonts w:ascii="Times New Roman"/>
                <w:sz w:val="20"/>
              </w:rPr>
            </w:pPr>
          </w:p>
        </w:tc>
      </w:tr>
      <w:tr>
        <w:trPr>
          <w:trHeight w:val="519" w:hRule="atLeast"/>
        </w:trPr>
        <w:tc>
          <w:tcPr>
            <w:tcW w:w="606" w:type="dxa"/>
            <w:tcBorders>
              <w:top w:val="single" w:sz="8" w:space="0" w:color="000000"/>
            </w:tcBorders>
          </w:tcPr>
          <w:p>
            <w:pPr>
              <w:pStyle w:val="TableParagraph"/>
              <w:spacing w:before="10"/>
              <w:rPr>
                <w:sz w:val="14"/>
              </w:rPr>
            </w:pPr>
          </w:p>
          <w:p>
            <w:pPr>
              <w:pStyle w:val="TableParagraph"/>
              <w:ind w:left="89" w:right="159"/>
              <w:jc w:val="center"/>
              <w:rPr>
                <w:b/>
                <w:sz w:val="21"/>
              </w:rPr>
            </w:pPr>
            <w:r>
              <w:rPr>
                <w:b/>
                <w:sz w:val="21"/>
              </w:rPr>
              <w:t>9.1</w:t>
            </w:r>
          </w:p>
        </w:tc>
        <w:tc>
          <w:tcPr>
            <w:tcW w:w="1588" w:type="dxa"/>
            <w:tcBorders>
              <w:top w:val="single" w:sz="8" w:space="0" w:color="000000"/>
            </w:tcBorders>
          </w:tcPr>
          <w:p>
            <w:pPr>
              <w:pStyle w:val="TableParagraph"/>
              <w:spacing w:before="10"/>
              <w:rPr>
                <w:sz w:val="14"/>
              </w:rPr>
            </w:pPr>
          </w:p>
          <w:p>
            <w:pPr>
              <w:pStyle w:val="TableParagraph"/>
              <w:ind w:left="141"/>
              <w:rPr>
                <w:b/>
                <w:sz w:val="21"/>
              </w:rPr>
            </w:pPr>
            <w:r>
              <w:rPr>
                <w:b/>
                <w:sz w:val="21"/>
              </w:rPr>
              <w:t>保单年度</w:t>
            </w:r>
          </w:p>
        </w:tc>
        <w:tc>
          <w:tcPr>
            <w:tcW w:w="7887" w:type="dxa"/>
            <w:tcBorders>
              <w:top w:val="single" w:sz="8" w:space="0" w:color="000000"/>
            </w:tcBorders>
          </w:tcPr>
          <w:p>
            <w:pPr>
              <w:pStyle w:val="TableParagraph"/>
              <w:spacing w:before="10"/>
              <w:rPr>
                <w:sz w:val="14"/>
              </w:rPr>
            </w:pPr>
          </w:p>
          <w:p>
            <w:pPr>
              <w:pStyle w:val="TableParagraph"/>
              <w:ind w:left="181"/>
              <w:rPr>
                <w:sz w:val="21"/>
              </w:rPr>
            </w:pPr>
            <w:r>
              <w:rPr>
                <w:sz w:val="21"/>
              </w:rPr>
              <w:t>指从保险合同生效日或生效对应日零时起至下一年度保险合同生效对应日零时止的</w:t>
            </w:r>
          </w:p>
        </w:tc>
      </w:tr>
      <w:tr>
        <w:trPr>
          <w:trHeight w:val="425"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rPr>
              <w:t>期间为一个保单年度。</w:t>
            </w:r>
          </w:p>
        </w:tc>
      </w:tr>
      <w:tr>
        <w:trPr>
          <w:trHeight w:val="425" w:hRule="atLeast"/>
        </w:trPr>
        <w:tc>
          <w:tcPr>
            <w:tcW w:w="606" w:type="dxa"/>
          </w:tcPr>
          <w:p>
            <w:pPr>
              <w:pStyle w:val="TableParagraph"/>
              <w:spacing w:before="99"/>
              <w:ind w:left="89" w:right="159"/>
              <w:jc w:val="center"/>
              <w:rPr>
                <w:b/>
                <w:sz w:val="21"/>
              </w:rPr>
            </w:pPr>
            <w:r>
              <w:rPr>
                <w:b/>
                <w:sz w:val="21"/>
              </w:rPr>
              <w:t>9.2</w:t>
            </w:r>
          </w:p>
        </w:tc>
        <w:tc>
          <w:tcPr>
            <w:tcW w:w="1588" w:type="dxa"/>
          </w:tcPr>
          <w:p>
            <w:pPr>
              <w:pStyle w:val="TableParagraph"/>
              <w:spacing w:before="99"/>
              <w:ind w:left="141"/>
              <w:rPr>
                <w:b/>
                <w:sz w:val="21"/>
              </w:rPr>
            </w:pPr>
            <w:r>
              <w:rPr>
                <w:b/>
                <w:w w:val="95"/>
                <w:sz w:val="21"/>
              </w:rPr>
              <w:t>保险费约定支</w:t>
            </w:r>
          </w:p>
        </w:tc>
        <w:tc>
          <w:tcPr>
            <w:tcW w:w="7887" w:type="dxa"/>
          </w:tcPr>
          <w:p>
            <w:pPr>
              <w:pStyle w:val="TableParagraph"/>
              <w:spacing w:before="99"/>
              <w:ind w:left="182"/>
              <w:rPr>
                <w:sz w:val="21"/>
              </w:rPr>
            </w:pPr>
            <w:r>
              <w:rPr>
                <w:sz w:val="21"/>
              </w:rPr>
              <w:t>指保险合同生效日在每月、每季、每半年或每年（根据交费方式确定）的对应日。</w:t>
            </w:r>
          </w:p>
        </w:tc>
      </w:tr>
      <w:tr>
        <w:trPr>
          <w:trHeight w:val="425" w:hRule="atLeast"/>
        </w:trPr>
        <w:tc>
          <w:tcPr>
            <w:tcW w:w="606" w:type="dxa"/>
          </w:tcPr>
          <w:p>
            <w:pPr>
              <w:pStyle w:val="TableParagraph"/>
              <w:rPr>
                <w:rFonts w:ascii="Times New Roman"/>
                <w:sz w:val="20"/>
              </w:rPr>
            </w:pPr>
          </w:p>
        </w:tc>
        <w:tc>
          <w:tcPr>
            <w:tcW w:w="1588" w:type="dxa"/>
          </w:tcPr>
          <w:p>
            <w:pPr>
              <w:pStyle w:val="TableParagraph"/>
              <w:spacing w:line="261" w:lineRule="exact"/>
              <w:ind w:left="141"/>
              <w:rPr>
                <w:b/>
                <w:sz w:val="21"/>
              </w:rPr>
            </w:pPr>
            <w:r>
              <w:rPr>
                <w:b/>
                <w:sz w:val="21"/>
              </w:rPr>
              <w:t>付日</w:t>
            </w:r>
          </w:p>
        </w:tc>
        <w:tc>
          <w:tcPr>
            <w:tcW w:w="7887" w:type="dxa"/>
          </w:tcPr>
          <w:p>
            <w:pPr>
              <w:pStyle w:val="TableParagraph"/>
              <w:spacing w:line="261" w:lineRule="exact"/>
              <w:ind w:left="182"/>
              <w:rPr>
                <w:sz w:val="21"/>
              </w:rPr>
            </w:pPr>
            <w:r>
              <w:rPr>
                <w:sz w:val="21"/>
              </w:rPr>
              <w:t>如果当月无对应的同一日，则以该月最后一日为对应日。</w:t>
            </w:r>
          </w:p>
        </w:tc>
      </w:tr>
      <w:tr>
        <w:trPr>
          <w:trHeight w:val="425" w:hRule="atLeast"/>
        </w:trPr>
        <w:tc>
          <w:tcPr>
            <w:tcW w:w="606" w:type="dxa"/>
          </w:tcPr>
          <w:p>
            <w:pPr>
              <w:pStyle w:val="TableParagraph"/>
              <w:spacing w:before="99"/>
              <w:ind w:left="89" w:right="159"/>
              <w:jc w:val="center"/>
              <w:rPr>
                <w:b/>
                <w:sz w:val="21"/>
              </w:rPr>
            </w:pPr>
            <w:r>
              <w:rPr>
                <w:b/>
                <w:sz w:val="21"/>
              </w:rPr>
              <w:t>9.3</w:t>
            </w:r>
          </w:p>
        </w:tc>
        <w:tc>
          <w:tcPr>
            <w:tcW w:w="1588" w:type="dxa"/>
          </w:tcPr>
          <w:p>
            <w:pPr>
              <w:pStyle w:val="TableParagraph"/>
              <w:spacing w:before="99"/>
              <w:ind w:left="141"/>
              <w:rPr>
                <w:b/>
                <w:sz w:val="21"/>
              </w:rPr>
            </w:pPr>
            <w:r>
              <w:rPr>
                <w:b/>
                <w:sz w:val="21"/>
              </w:rPr>
              <w:t>周岁</w:t>
            </w:r>
          </w:p>
        </w:tc>
        <w:tc>
          <w:tcPr>
            <w:tcW w:w="7887" w:type="dxa"/>
          </w:tcPr>
          <w:p>
            <w:pPr>
              <w:pStyle w:val="TableParagraph"/>
              <w:spacing w:before="99"/>
              <w:ind w:left="182"/>
              <w:rPr>
                <w:sz w:val="21"/>
              </w:rPr>
            </w:pPr>
            <w:r>
              <w:rPr>
                <w:sz w:val="21"/>
              </w:rPr>
              <w:t>指按有效身份证件中记载的出生日期计算的年龄，自出生之日起为零周岁，每经过</w:t>
            </w:r>
          </w:p>
        </w:tc>
      </w:tr>
      <w:tr>
        <w:trPr>
          <w:trHeight w:val="425"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2"/>
              <w:rPr>
                <w:sz w:val="21"/>
              </w:rPr>
            </w:pPr>
            <w:r>
              <w:rPr>
                <w:sz w:val="21"/>
              </w:rPr>
              <w:t>一年增加一岁，不足一年的不计。</w:t>
            </w:r>
          </w:p>
        </w:tc>
      </w:tr>
      <w:tr>
        <w:trPr>
          <w:trHeight w:val="425" w:hRule="atLeast"/>
        </w:trPr>
        <w:tc>
          <w:tcPr>
            <w:tcW w:w="606" w:type="dxa"/>
          </w:tcPr>
          <w:p>
            <w:pPr>
              <w:pStyle w:val="TableParagraph"/>
              <w:spacing w:before="99"/>
              <w:ind w:left="89" w:right="159"/>
              <w:jc w:val="center"/>
              <w:rPr>
                <w:b/>
                <w:sz w:val="21"/>
              </w:rPr>
            </w:pPr>
            <w:r>
              <w:rPr>
                <w:b/>
                <w:sz w:val="21"/>
              </w:rPr>
              <w:t>9.4</w:t>
            </w:r>
          </w:p>
        </w:tc>
        <w:tc>
          <w:tcPr>
            <w:tcW w:w="1588" w:type="dxa"/>
          </w:tcPr>
          <w:p>
            <w:pPr>
              <w:pStyle w:val="TableParagraph"/>
              <w:spacing w:before="99"/>
              <w:ind w:left="141"/>
              <w:rPr>
                <w:b/>
                <w:sz w:val="21"/>
              </w:rPr>
            </w:pPr>
            <w:r>
              <w:rPr>
                <w:b/>
                <w:w w:val="95"/>
                <w:sz w:val="21"/>
              </w:rPr>
              <w:t>有效身份证件</w:t>
            </w:r>
          </w:p>
        </w:tc>
        <w:tc>
          <w:tcPr>
            <w:tcW w:w="7887" w:type="dxa"/>
          </w:tcPr>
          <w:p>
            <w:pPr>
              <w:pStyle w:val="TableParagraph"/>
              <w:spacing w:before="99"/>
              <w:ind w:left="181"/>
              <w:rPr>
                <w:sz w:val="21"/>
              </w:rPr>
            </w:pPr>
            <w:r>
              <w:rPr>
                <w:sz w:val="21"/>
              </w:rPr>
              <w:t>指由政府主管部门规定的证明个人身份的证件，如：居民身份证、按规定可使用的</w:t>
            </w:r>
          </w:p>
        </w:tc>
      </w:tr>
      <w:tr>
        <w:trPr>
          <w:trHeight w:val="425"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rPr>
              <w:t>有效护照、军官证、警官证、士兵证等证件。</w:t>
            </w:r>
          </w:p>
        </w:tc>
      </w:tr>
      <w:tr>
        <w:trPr>
          <w:trHeight w:val="437" w:hRule="atLeast"/>
        </w:trPr>
        <w:tc>
          <w:tcPr>
            <w:tcW w:w="606" w:type="dxa"/>
          </w:tcPr>
          <w:p>
            <w:pPr>
              <w:pStyle w:val="TableParagraph"/>
              <w:spacing w:before="99"/>
              <w:ind w:left="89" w:right="159"/>
              <w:jc w:val="center"/>
              <w:rPr>
                <w:b/>
                <w:sz w:val="21"/>
              </w:rPr>
            </w:pPr>
            <w:r>
              <w:rPr>
                <w:b/>
                <w:sz w:val="21"/>
              </w:rPr>
              <w:t>9.5</w:t>
            </w:r>
          </w:p>
        </w:tc>
        <w:tc>
          <w:tcPr>
            <w:tcW w:w="1588" w:type="dxa"/>
          </w:tcPr>
          <w:p>
            <w:pPr>
              <w:pStyle w:val="TableParagraph"/>
              <w:spacing w:before="124"/>
              <w:ind w:left="141"/>
              <w:rPr>
                <w:b/>
                <w:sz w:val="21"/>
              </w:rPr>
            </w:pPr>
            <w:r>
              <w:rPr>
                <w:b/>
                <w:sz w:val="21"/>
              </w:rPr>
              <w:t>重大疾病</w:t>
            </w:r>
          </w:p>
        </w:tc>
        <w:tc>
          <w:tcPr>
            <w:tcW w:w="7887" w:type="dxa"/>
          </w:tcPr>
          <w:p>
            <w:pPr>
              <w:pStyle w:val="TableParagraph"/>
              <w:spacing w:before="99"/>
              <w:ind w:left="181"/>
              <w:rPr>
                <w:sz w:val="21"/>
              </w:rPr>
            </w:pPr>
            <w:r>
              <w:rPr>
                <w:sz w:val="21"/>
              </w:rPr>
              <w:t>重大疾病是指被保险人初次发生符合下列定义的疾病，或初次接受符合下列定义的</w:t>
            </w:r>
          </w:p>
        </w:tc>
      </w:tr>
      <w:tr>
        <w:trPr>
          <w:trHeight w:val="412"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48" w:lineRule="exact"/>
              <w:ind w:left="181"/>
              <w:rPr>
                <w:sz w:val="21"/>
              </w:rPr>
            </w:pPr>
            <w:r>
              <w:rPr>
                <w:sz w:val="21"/>
              </w:rPr>
              <w:t>手术。该疾病或手术应当由</w:t>
            </w:r>
            <w:r>
              <w:rPr>
                <w:rFonts w:ascii="黑体" w:eastAsia="黑体" w:hint="eastAsia"/>
                <w:b/>
                <w:sz w:val="21"/>
              </w:rPr>
              <w:t>专科医Th</w:t>
            </w:r>
            <w:r>
              <w:rPr>
                <w:sz w:val="21"/>
              </w:rPr>
              <w:t>（见 9.6）明确诊断。</w:t>
            </w:r>
          </w:p>
        </w:tc>
      </w:tr>
      <w:tr>
        <w:trPr>
          <w:trHeight w:val="534"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before="99"/>
              <w:ind w:left="181"/>
              <w:rPr>
                <w:sz w:val="21"/>
              </w:rPr>
            </w:pPr>
            <w:r>
              <w:rPr>
                <w:sz w:val="21"/>
              </w:rPr>
              <w:t>以下重大疾病是中国保险行业协会与中国医师协会制定了规范定义的疾病。</w:t>
            </w:r>
          </w:p>
        </w:tc>
      </w:tr>
      <w:tr>
        <w:trPr>
          <w:trHeight w:val="448" w:hRule="atLeast"/>
        </w:trPr>
        <w:tc>
          <w:tcPr>
            <w:tcW w:w="606" w:type="dxa"/>
          </w:tcPr>
          <w:p>
            <w:pPr>
              <w:pStyle w:val="TableParagraph"/>
              <w:rPr>
                <w:rFonts w:ascii="Times New Roman"/>
                <w:sz w:val="20"/>
              </w:rPr>
            </w:pPr>
          </w:p>
        </w:tc>
        <w:tc>
          <w:tcPr>
            <w:tcW w:w="1588" w:type="dxa"/>
          </w:tcPr>
          <w:p>
            <w:pPr>
              <w:pStyle w:val="TableParagraph"/>
              <w:spacing w:before="80"/>
              <w:ind w:left="141"/>
              <w:rPr>
                <w:rFonts w:ascii="等线" w:eastAsia="等线" w:hint="eastAsia"/>
                <w:b/>
                <w:sz w:val="24"/>
              </w:rPr>
            </w:pPr>
            <w:r>
              <w:rPr>
                <w:rFonts w:ascii="等线" w:eastAsia="等线" w:hint="eastAsia"/>
                <w:b/>
                <w:sz w:val="24"/>
              </w:rPr>
              <w:t>恶性肿瘤</w:t>
            </w:r>
          </w:p>
        </w:tc>
        <w:tc>
          <w:tcPr>
            <w:tcW w:w="7887" w:type="dxa"/>
          </w:tcPr>
          <w:p>
            <w:pPr>
              <w:pStyle w:val="TableParagraph"/>
              <w:spacing w:before="112"/>
              <w:ind w:left="181"/>
              <w:rPr>
                <w:sz w:val="21"/>
              </w:rPr>
            </w:pPr>
            <w:r>
              <w:rPr>
                <w:spacing w:val="-4"/>
                <w:sz w:val="21"/>
              </w:rPr>
              <w:t>指恶性细胞不受控制的进行性增长和扩散，浸润和破坏周围正常组织，可以经血管、</w:t>
            </w:r>
          </w:p>
        </w:tc>
      </w:tr>
      <w:tr>
        <w:trPr>
          <w:trHeight w:val="301"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50" w:lineRule="exact"/>
              <w:ind w:left="181"/>
              <w:rPr>
                <w:sz w:val="21"/>
              </w:rPr>
            </w:pPr>
            <w:r>
              <w:rPr>
                <w:sz w:val="21"/>
              </w:rPr>
              <w:t>淋巴管和体腔扩散转移到身体其它部位的疾病。经病理学检查结果明确诊断，临床</w:t>
            </w:r>
          </w:p>
        </w:tc>
      </w:tr>
      <w:tr>
        <w:trPr>
          <w:trHeight w:val="312"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pacing w:val="-3"/>
                <w:sz w:val="21"/>
              </w:rPr>
              <w:t>诊断属于世界卫生组织《疾病和有关健康问题的国际统计分类</w:t>
            </w:r>
            <w:r>
              <w:rPr>
                <w:spacing w:val="-128"/>
                <w:sz w:val="21"/>
              </w:rPr>
              <w:t>》</w:t>
            </w:r>
            <w:r>
              <w:rPr>
                <w:spacing w:val="-4"/>
                <w:sz w:val="21"/>
              </w:rPr>
              <w:t>（ICD-10）</w:t>
            </w:r>
            <w:r>
              <w:rPr>
                <w:sz w:val="21"/>
              </w:rPr>
              <w:t>的恶性肿</w:t>
            </w:r>
          </w:p>
        </w:tc>
      </w:tr>
      <w:tr>
        <w:trPr>
          <w:trHeight w:val="311"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rPr>
              <w:t>瘤范畴。</w:t>
            </w:r>
            <w:r>
              <w:rPr>
                <w:sz w:val="21"/>
                <w:shd w:fill="DADADA" w:color="auto" w:val="clear"/>
              </w:rPr>
              <w:t>下列疾病不在保障范围内： </w:t>
            </w:r>
          </w:p>
        </w:tc>
      </w:tr>
      <w:tr>
        <w:trPr>
          <w:trHeight w:val="311"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shd w:fill="DADADA" w:color="auto" w:val="clear"/>
              </w:rPr>
              <w:t>（1）原位癌； </w:t>
            </w:r>
          </w:p>
        </w:tc>
      </w:tr>
      <w:tr>
        <w:trPr>
          <w:trHeight w:val="312"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shd w:fill="DADADA" w:color="auto" w:val="clear"/>
              </w:rPr>
              <w:t>（2）相当于Binet 分期方案 A 期程度的慢性淋巴细胞白血病； </w:t>
            </w:r>
          </w:p>
        </w:tc>
      </w:tr>
      <w:tr>
        <w:trPr>
          <w:trHeight w:val="311"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shd w:fill="DADADA" w:color="auto" w:val="clear"/>
              </w:rPr>
              <w:t>（3）相当于Ann Arbor 分期方案 I 期程度的何杰金氏病； </w:t>
            </w:r>
          </w:p>
        </w:tc>
      </w:tr>
      <w:tr>
        <w:trPr>
          <w:trHeight w:val="312"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r>
              <w:rPr>
                <w:spacing w:val="-1"/>
                <w:sz w:val="21"/>
                <w:shd w:fill="DADADA" w:color="auto" w:val="clear"/>
              </w:rPr>
              <w:t> </w:t>
            </w:r>
          </w:p>
        </w:tc>
      </w:tr>
      <w:tr>
        <w:trPr>
          <w:trHeight w:val="312"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 </w:t>
            </w:r>
          </w:p>
        </w:tc>
      </w:tr>
      <w:tr>
        <w:trPr>
          <w:trHeight w:val="416"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shd w:fill="DADADA" w:color="auto" w:val="clear"/>
              </w:rPr>
              <w:t>（6）感染艾滋病病毒或患艾滋病期间所患恶性肿瘤。</w:t>
            </w:r>
          </w:p>
        </w:tc>
      </w:tr>
      <w:tr>
        <w:trPr>
          <w:trHeight w:val="759" w:hRule="atLeast"/>
        </w:trPr>
        <w:tc>
          <w:tcPr>
            <w:tcW w:w="606" w:type="dxa"/>
          </w:tcPr>
          <w:p>
            <w:pPr>
              <w:pStyle w:val="TableParagraph"/>
              <w:rPr>
                <w:rFonts w:ascii="Times New Roman"/>
                <w:sz w:val="20"/>
              </w:rPr>
            </w:pPr>
          </w:p>
        </w:tc>
        <w:tc>
          <w:tcPr>
            <w:tcW w:w="1588" w:type="dxa"/>
          </w:tcPr>
          <w:p>
            <w:pPr>
              <w:pStyle w:val="TableParagraph"/>
              <w:spacing w:line="232" w:lineRule="auto" w:before="86"/>
              <w:ind w:left="141" w:right="243"/>
              <w:rPr>
                <w:rFonts w:ascii="等线" w:eastAsia="等线" w:hint="eastAsia"/>
                <w:b/>
                <w:sz w:val="24"/>
              </w:rPr>
            </w:pPr>
            <w:r>
              <w:rPr>
                <w:rFonts w:ascii="等线" w:eastAsia="等线" w:hint="eastAsia"/>
                <w:b/>
                <w:w w:val="105"/>
                <w:sz w:val="24"/>
              </w:rPr>
              <w:t>急性心ft梗</w:t>
            </w:r>
            <w:r>
              <w:rPr>
                <w:rFonts w:ascii="等线" w:eastAsia="等线" w:hint="eastAsia"/>
                <w:b/>
                <w:w w:val="110"/>
                <w:sz w:val="24"/>
              </w:rPr>
              <w:t>塞</w:t>
            </w:r>
          </w:p>
        </w:tc>
        <w:tc>
          <w:tcPr>
            <w:tcW w:w="7887" w:type="dxa"/>
          </w:tcPr>
          <w:p>
            <w:pPr>
              <w:pStyle w:val="TableParagraph"/>
              <w:spacing w:line="273" w:lineRule="auto" w:before="108"/>
              <w:ind w:left="181" w:right="144"/>
              <w:rPr>
                <w:sz w:val="21"/>
              </w:rPr>
            </w:pPr>
            <w:r>
              <w:rPr>
                <w:sz w:val="21"/>
              </w:rPr>
              <w:t>指因冠状动脉阻塞导致的相应区域供血不足造成部分心肌坏死。须满足下列至少三项条件：</w:t>
            </w:r>
          </w:p>
        </w:tc>
      </w:tr>
      <w:tr>
        <w:trPr>
          <w:trHeight w:val="298"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48" w:lineRule="exact"/>
              <w:ind w:left="181"/>
              <w:rPr>
                <w:sz w:val="21"/>
              </w:rPr>
            </w:pPr>
            <w:r>
              <w:rPr>
                <w:sz w:val="21"/>
              </w:rPr>
              <w:t>（1）典型临床表现，例如急性胸痛等；</w:t>
            </w:r>
          </w:p>
        </w:tc>
      </w:tr>
      <w:tr>
        <w:trPr>
          <w:trHeight w:val="312"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rPr>
              <w:t>（2）新近的心电图改变提示急性心肌梗塞；</w:t>
            </w:r>
          </w:p>
        </w:tc>
      </w:tr>
      <w:tr>
        <w:trPr>
          <w:trHeight w:val="311" w:hRule="atLeast"/>
        </w:trPr>
        <w:tc>
          <w:tcPr>
            <w:tcW w:w="606" w:type="dxa"/>
          </w:tcPr>
          <w:p>
            <w:pPr>
              <w:pStyle w:val="TableParagraph"/>
              <w:rPr>
                <w:rFonts w:ascii="Times New Roman"/>
                <w:sz w:val="20"/>
              </w:rPr>
            </w:pPr>
          </w:p>
        </w:tc>
        <w:tc>
          <w:tcPr>
            <w:tcW w:w="1588" w:type="dxa"/>
          </w:tcPr>
          <w:p>
            <w:pPr>
              <w:pStyle w:val="TableParagraph"/>
              <w:rPr>
                <w:rFonts w:ascii="Times New Roman"/>
                <w:sz w:val="20"/>
              </w:rPr>
            </w:pPr>
          </w:p>
        </w:tc>
        <w:tc>
          <w:tcPr>
            <w:tcW w:w="7887" w:type="dxa"/>
          </w:tcPr>
          <w:p>
            <w:pPr>
              <w:pStyle w:val="TableParagraph"/>
              <w:spacing w:line="261" w:lineRule="exact"/>
              <w:ind w:left="181"/>
              <w:rPr>
                <w:sz w:val="21"/>
              </w:rPr>
            </w:pPr>
            <w:r>
              <w:rPr>
                <w:sz w:val="21"/>
              </w:rPr>
              <w:t>（3）心肌酶或肌钙蛋白有诊断意义的升高，或呈符合急性心肌梗塞的动态性变化；</w:t>
            </w:r>
          </w:p>
        </w:tc>
      </w:tr>
      <w:tr>
        <w:trPr>
          <w:trHeight w:val="260" w:hRule="atLeast"/>
        </w:trPr>
        <w:tc>
          <w:tcPr>
            <w:tcW w:w="606" w:type="dxa"/>
          </w:tcPr>
          <w:p>
            <w:pPr>
              <w:pStyle w:val="TableParagraph"/>
              <w:rPr>
                <w:rFonts w:ascii="Times New Roman"/>
                <w:sz w:val="18"/>
              </w:rPr>
            </w:pPr>
          </w:p>
        </w:tc>
        <w:tc>
          <w:tcPr>
            <w:tcW w:w="1588" w:type="dxa"/>
          </w:tcPr>
          <w:p>
            <w:pPr>
              <w:pStyle w:val="TableParagraph"/>
              <w:rPr>
                <w:rFonts w:ascii="Times New Roman"/>
                <w:sz w:val="18"/>
              </w:rPr>
            </w:pPr>
          </w:p>
        </w:tc>
        <w:tc>
          <w:tcPr>
            <w:tcW w:w="7887" w:type="dxa"/>
          </w:tcPr>
          <w:p>
            <w:pPr>
              <w:pStyle w:val="TableParagraph"/>
              <w:spacing w:line="241" w:lineRule="exact"/>
              <w:ind w:left="181"/>
              <w:rPr>
                <w:sz w:val="21"/>
              </w:rPr>
            </w:pPr>
            <w:r>
              <w:rPr>
                <w:sz w:val="21"/>
              </w:rPr>
              <w:t>（4）发病 90 日后，经检查证实左心室功能降低，如左心室射血分数低于 50%。</w:t>
            </w:r>
          </w:p>
        </w:tc>
      </w:tr>
    </w:tbl>
    <w:p>
      <w:pPr>
        <w:spacing w:after="0" w:line="241" w:lineRule="exact"/>
        <w:rPr>
          <w:sz w:val="21"/>
        </w:rPr>
        <w:sectPr>
          <w:pgSz w:w="11910" w:h="16840"/>
          <w:pgMar w:top="116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8011"/>
      </w:tblGrid>
      <w:tr>
        <w:trPr>
          <w:trHeight w:val="2255" w:hRule="atLeast"/>
        </w:trPr>
        <w:tc>
          <w:tcPr>
            <w:tcW w:w="1720" w:type="dxa"/>
          </w:tcPr>
          <w:p>
            <w:pPr>
              <w:pStyle w:val="TableParagraph"/>
              <w:spacing w:line="243" w:lineRule="exact"/>
              <w:ind w:left="200"/>
              <w:rPr>
                <w:rFonts w:ascii="等线" w:eastAsia="等线" w:hint="eastAsia"/>
                <w:b/>
                <w:sz w:val="24"/>
              </w:rPr>
            </w:pPr>
            <w:r>
              <w:rPr>
                <w:rFonts w:ascii="等线" w:eastAsia="等线" w:hint="eastAsia"/>
                <w:b/>
                <w:sz w:val="24"/>
              </w:rPr>
              <w:t>脑中风后遗</w:t>
            </w:r>
          </w:p>
          <w:p>
            <w:pPr>
              <w:pStyle w:val="TableParagraph"/>
              <w:spacing w:line="323" w:lineRule="exact"/>
              <w:ind w:left="200"/>
              <w:rPr>
                <w:rFonts w:ascii="等线" w:eastAsia="等线" w:hint="eastAsia"/>
                <w:b/>
                <w:sz w:val="24"/>
              </w:rPr>
            </w:pPr>
            <w:r>
              <w:rPr>
                <w:rFonts w:ascii="等线" w:eastAsia="等线" w:hint="eastAsia"/>
                <w:b/>
                <w:sz w:val="24"/>
              </w:rPr>
              <w:t>症</w:t>
            </w:r>
          </w:p>
        </w:tc>
        <w:tc>
          <w:tcPr>
            <w:tcW w:w="8011" w:type="dxa"/>
          </w:tcPr>
          <w:p>
            <w:pPr>
              <w:pStyle w:val="TableParagraph"/>
              <w:spacing w:line="228" w:lineRule="exact"/>
              <w:ind w:left="108"/>
              <w:rPr>
                <w:sz w:val="21"/>
              </w:rPr>
            </w:pPr>
            <w:r>
              <w:rPr>
                <w:sz w:val="21"/>
              </w:rPr>
              <w:t>指因脑血管的突发病变引起脑血管出血、栓塞或梗塞，并导致神经系统永久性的功</w:t>
            </w:r>
          </w:p>
          <w:p>
            <w:pPr>
              <w:pStyle w:val="TableParagraph"/>
              <w:spacing w:line="273" w:lineRule="auto" w:before="37"/>
              <w:ind w:left="108" w:right="340"/>
              <w:rPr>
                <w:sz w:val="21"/>
              </w:rPr>
            </w:pPr>
            <w:r>
              <w:rPr>
                <w:spacing w:val="-3"/>
                <w:sz w:val="21"/>
              </w:rPr>
              <w:t>能障碍。神经系统永久性的功能障碍，指疾病确诊 </w:t>
            </w:r>
            <w:r>
              <w:rPr>
                <w:sz w:val="21"/>
              </w:rPr>
              <w:t>180</w:t>
            </w:r>
            <w:r>
              <w:rPr>
                <w:spacing w:val="-8"/>
                <w:sz w:val="21"/>
              </w:rPr>
              <w:t> 日后，仍遗留下列一种或一种以上障碍：</w:t>
            </w:r>
          </w:p>
          <w:p>
            <w:pPr>
              <w:pStyle w:val="TableParagraph"/>
              <w:spacing w:before="7"/>
              <w:ind w:left="108"/>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7</w:t>
            </w:r>
            <w:r>
              <w:rPr>
                <w:spacing w:val="-105"/>
                <w:sz w:val="21"/>
              </w:rPr>
              <w:t>）；</w:t>
            </w:r>
          </w:p>
          <w:p>
            <w:pPr>
              <w:pStyle w:val="TableParagraph"/>
              <w:spacing w:before="36"/>
              <w:ind w:left="108"/>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8</w:t>
            </w:r>
            <w:r>
              <w:rPr>
                <w:spacing w:val="-105"/>
                <w:sz w:val="21"/>
              </w:rPr>
              <w:t>）；</w:t>
            </w:r>
          </w:p>
          <w:p>
            <w:pPr>
              <w:pStyle w:val="TableParagraph"/>
              <w:spacing w:line="273" w:lineRule="auto" w:before="36"/>
              <w:ind w:left="633" w:right="226" w:hanging="526"/>
              <w:rPr>
                <w:sz w:val="21"/>
              </w:rPr>
            </w:pPr>
            <w:r>
              <w:rPr>
                <w:sz w:val="21"/>
              </w:rPr>
              <w:t>（3）自主生活能力完全丧失，无法独立完成</w:t>
            </w:r>
            <w:r>
              <w:rPr>
                <w:rFonts w:ascii="黑体" w:eastAsia="黑体" w:hint="eastAsia"/>
                <w:b/>
                <w:sz w:val="21"/>
              </w:rPr>
              <w:t>六项基本日常Th活活动</w:t>
            </w:r>
            <w:r>
              <w:rPr>
                <w:sz w:val="21"/>
              </w:rPr>
              <w:t>（见 9.9）中的三项或三项以上。</w:t>
            </w:r>
          </w:p>
        </w:tc>
      </w:tr>
      <w:tr>
        <w:trPr>
          <w:trHeight w:val="1511" w:hRule="atLeast"/>
        </w:trPr>
        <w:tc>
          <w:tcPr>
            <w:tcW w:w="1720" w:type="dxa"/>
          </w:tcPr>
          <w:p>
            <w:pPr>
              <w:pStyle w:val="TableParagraph"/>
              <w:spacing w:line="232" w:lineRule="auto" w:before="86"/>
              <w:ind w:left="200" w:right="316"/>
              <w:jc w:val="both"/>
              <w:rPr>
                <w:rFonts w:ascii="等线" w:eastAsia="等线" w:hint="eastAsia"/>
                <w:b/>
                <w:sz w:val="24"/>
              </w:rPr>
            </w:pPr>
            <w:r>
              <w:rPr>
                <w:rFonts w:ascii="等线" w:eastAsia="等线" w:hint="eastAsia"/>
                <w:b/>
                <w:sz w:val="24"/>
              </w:rPr>
              <w:t>重大器官移植术或造血干细胞移植术</w:t>
            </w:r>
          </w:p>
        </w:tc>
        <w:tc>
          <w:tcPr>
            <w:tcW w:w="8011" w:type="dxa"/>
          </w:tcPr>
          <w:p>
            <w:pPr>
              <w:pStyle w:val="TableParagraph"/>
              <w:spacing w:line="273" w:lineRule="auto" w:before="108"/>
              <w:ind w:left="108" w:right="340"/>
              <w:rPr>
                <w:sz w:val="21"/>
              </w:rPr>
            </w:pPr>
            <w:r>
              <w:rPr>
                <w:sz w:val="21"/>
              </w:rPr>
              <w:t>重大器官移植术，指因相应器官功能衰竭，已经实施了肾脏、肝脏、心脏或肺脏的异体移植手术。</w:t>
            </w:r>
          </w:p>
          <w:p>
            <w:pPr>
              <w:pStyle w:val="TableParagraph"/>
              <w:spacing w:line="273" w:lineRule="auto" w:before="7"/>
              <w:ind w:left="108" w:right="198"/>
              <w:rPr>
                <w:sz w:val="21"/>
              </w:rPr>
            </w:pPr>
            <w:r>
              <w:rPr>
                <w:sz w:val="21"/>
              </w:rPr>
              <w:t>造血干细胞移植术，指因造血功能损害或造血系统恶性肿瘤，已经实施了造血干细</w:t>
            </w:r>
            <w:r>
              <w:rPr>
                <w:spacing w:val="-23"/>
                <w:sz w:val="21"/>
              </w:rPr>
              <w:t>胞</w:t>
            </w:r>
            <w:r>
              <w:rPr>
                <w:sz w:val="21"/>
              </w:rPr>
              <w:t>（</w:t>
            </w:r>
            <w:r>
              <w:rPr>
                <w:spacing w:val="-3"/>
                <w:sz w:val="21"/>
              </w:rPr>
              <w:t>包括骨髓造血干细胞、外周血造血干细胞和脐血造血干细胞</w:t>
            </w:r>
            <w:r>
              <w:rPr>
                <w:spacing w:val="-23"/>
                <w:sz w:val="21"/>
              </w:rPr>
              <w:t>）</w:t>
            </w:r>
            <w:r>
              <w:rPr>
                <w:sz w:val="21"/>
              </w:rPr>
              <w:t>的异体移植手术。</w:t>
            </w:r>
          </w:p>
        </w:tc>
      </w:tr>
      <w:tr>
        <w:trPr>
          <w:trHeight w:val="1509" w:hRule="atLeast"/>
        </w:trPr>
        <w:tc>
          <w:tcPr>
            <w:tcW w:w="1720" w:type="dxa"/>
          </w:tcPr>
          <w:p>
            <w:pPr>
              <w:pStyle w:val="TableParagraph"/>
              <w:spacing w:line="232" w:lineRule="auto" w:before="85"/>
              <w:ind w:left="200" w:right="106"/>
              <w:rPr>
                <w:rFonts w:ascii="等线" w:eastAsia="等线" w:hint="eastAsia"/>
                <w:b/>
                <w:sz w:val="24"/>
              </w:rPr>
            </w:pPr>
            <w:r>
              <w:rPr>
                <w:rFonts w:ascii="等线" w:eastAsia="等线" w:hint="eastAsia"/>
                <w:b/>
                <w:sz w:val="24"/>
              </w:rPr>
              <w:t>冠状动脉搭</w:t>
            </w:r>
            <w:r>
              <w:rPr>
                <w:rFonts w:ascii="等线" w:eastAsia="等线" w:hint="eastAsia"/>
                <w:b/>
                <w:spacing w:val="-15"/>
                <w:sz w:val="24"/>
              </w:rPr>
              <w:t>桥术</w:t>
            </w:r>
            <w:r>
              <w:rPr>
                <w:rFonts w:ascii="等线" w:eastAsia="等线" w:hint="eastAsia"/>
                <w:b/>
                <w:sz w:val="24"/>
              </w:rPr>
              <w:t>（或称冠状动脉旁路移植术）</w:t>
            </w:r>
          </w:p>
        </w:tc>
        <w:tc>
          <w:tcPr>
            <w:tcW w:w="8011" w:type="dxa"/>
          </w:tcPr>
          <w:p>
            <w:pPr>
              <w:pStyle w:val="TableParagraph"/>
              <w:spacing w:before="107"/>
              <w:ind w:left="108"/>
              <w:rPr>
                <w:sz w:val="21"/>
              </w:rPr>
            </w:pPr>
            <w:r>
              <w:rPr>
                <w:sz w:val="21"/>
              </w:rPr>
              <w:t>指为治疗严重的冠心病，实际实施了开胸进行的冠状动脉血管旁路移植的手术。</w:t>
            </w:r>
          </w:p>
          <w:p>
            <w:pPr>
              <w:pStyle w:val="TableParagraph"/>
              <w:spacing w:line="273" w:lineRule="auto" w:before="36"/>
              <w:ind w:left="108" w:right="200"/>
              <w:rPr>
                <w:sz w:val="21"/>
              </w:rPr>
            </w:pPr>
            <w:r>
              <w:rPr>
                <w:spacing w:val="-6"/>
                <w:sz w:val="21"/>
                <w:shd w:fill="DADADA" w:color="auto" w:val="clear"/>
              </w:rPr>
              <w:t>冠状动脉支架植入术、心导管球囊扩张术、激光射频技术及其它非开胸的介入手术、腔镜手术不在保障范围内。</w:t>
            </w:r>
          </w:p>
        </w:tc>
      </w:tr>
      <w:tr>
        <w:trPr>
          <w:trHeight w:val="1504" w:hRule="atLeast"/>
        </w:trPr>
        <w:tc>
          <w:tcPr>
            <w:tcW w:w="1720" w:type="dxa"/>
          </w:tcPr>
          <w:p>
            <w:pPr>
              <w:pStyle w:val="TableParagraph"/>
              <w:spacing w:line="323" w:lineRule="exact" w:before="75"/>
              <w:ind w:left="200"/>
              <w:rPr>
                <w:rFonts w:ascii="等线" w:eastAsia="等线" w:hint="eastAsia"/>
                <w:b/>
                <w:sz w:val="24"/>
              </w:rPr>
            </w:pPr>
            <w:r>
              <w:rPr>
                <w:rFonts w:ascii="等线" w:eastAsia="等线" w:hint="eastAsia"/>
                <w:b/>
                <w:sz w:val="24"/>
              </w:rPr>
              <w:t>终末期肾病</w:t>
            </w:r>
          </w:p>
          <w:p>
            <w:pPr>
              <w:pStyle w:val="TableParagraph"/>
              <w:spacing w:line="232" w:lineRule="auto" w:before="5"/>
              <w:ind w:left="200" w:right="316"/>
              <w:jc w:val="both"/>
              <w:rPr>
                <w:rFonts w:ascii="等线" w:eastAsia="等线" w:hint="eastAsia"/>
                <w:b/>
                <w:sz w:val="24"/>
              </w:rPr>
            </w:pPr>
            <w:r>
              <w:rPr>
                <w:rFonts w:ascii="等线" w:eastAsia="等线" w:hint="eastAsia"/>
                <w:b/>
                <w:sz w:val="24"/>
              </w:rPr>
              <w:t>（或称慢性肾功能衰竭尿毒症期）</w:t>
            </w:r>
          </w:p>
        </w:tc>
        <w:tc>
          <w:tcPr>
            <w:tcW w:w="8011" w:type="dxa"/>
          </w:tcPr>
          <w:p>
            <w:pPr>
              <w:pStyle w:val="TableParagraph"/>
              <w:spacing w:line="273" w:lineRule="auto" w:before="107"/>
              <w:ind w:left="108" w:right="304"/>
              <w:rPr>
                <w:sz w:val="21"/>
              </w:rPr>
            </w:pPr>
            <w:r>
              <w:rPr>
                <w:spacing w:val="-7"/>
                <w:sz w:val="21"/>
              </w:rPr>
              <w:t>指双肾功能慢性不可逆性衰竭，达到尿毒症期，经诊断后已经进行了至少 </w:t>
            </w:r>
            <w:r>
              <w:rPr>
                <w:sz w:val="21"/>
              </w:rPr>
              <w:t>90</w:t>
            </w:r>
            <w:r>
              <w:rPr>
                <w:spacing w:val="-14"/>
                <w:sz w:val="21"/>
              </w:rPr>
              <w:t> 日的规律性透析治疗或实施了肾脏移植手术。</w:t>
            </w:r>
          </w:p>
        </w:tc>
      </w:tr>
      <w:tr>
        <w:trPr>
          <w:trHeight w:val="855" w:hRule="atLeast"/>
        </w:trPr>
        <w:tc>
          <w:tcPr>
            <w:tcW w:w="1720" w:type="dxa"/>
          </w:tcPr>
          <w:p>
            <w:pPr>
              <w:pStyle w:val="TableParagraph"/>
              <w:spacing w:line="232" w:lineRule="auto" w:before="78"/>
              <w:ind w:left="200" w:right="316"/>
              <w:rPr>
                <w:rFonts w:ascii="等线" w:eastAsia="等线" w:hint="eastAsia"/>
                <w:b/>
                <w:sz w:val="24"/>
              </w:rPr>
            </w:pPr>
            <w:r>
              <w:rPr>
                <w:rFonts w:ascii="等线" w:eastAsia="等线" w:hint="eastAsia"/>
                <w:b/>
                <w:sz w:val="24"/>
              </w:rPr>
              <w:t>多个肢体缺失</w:t>
            </w:r>
          </w:p>
        </w:tc>
        <w:tc>
          <w:tcPr>
            <w:tcW w:w="8011" w:type="dxa"/>
          </w:tcPr>
          <w:p>
            <w:pPr>
              <w:pStyle w:val="TableParagraph"/>
              <w:spacing w:line="273" w:lineRule="auto" w:before="101"/>
              <w:ind w:left="108" w:right="126"/>
              <w:rPr>
                <w:sz w:val="21"/>
              </w:rPr>
            </w:pPr>
            <w:r>
              <w:rPr>
                <w:sz w:val="21"/>
              </w:rPr>
              <w:t>指因疾病或意外伤害导致两个或两个以上肢体自腕关节或踝关节近端（靠近躯干端） 以上完全性断离。</w:t>
            </w:r>
          </w:p>
        </w:tc>
      </w:tr>
      <w:tr>
        <w:trPr>
          <w:trHeight w:val="2084" w:hRule="atLeast"/>
        </w:trPr>
        <w:tc>
          <w:tcPr>
            <w:tcW w:w="1720" w:type="dxa"/>
          </w:tcPr>
          <w:p>
            <w:pPr>
              <w:pStyle w:val="TableParagraph"/>
              <w:spacing w:line="232" w:lineRule="auto" w:before="71"/>
              <w:ind w:left="200" w:right="316"/>
              <w:rPr>
                <w:rFonts w:ascii="等线" w:eastAsia="等线" w:hint="eastAsia"/>
                <w:b/>
                <w:sz w:val="24"/>
              </w:rPr>
            </w:pPr>
            <w:r>
              <w:rPr>
                <w:rFonts w:ascii="等线" w:eastAsia="等线" w:hint="eastAsia"/>
                <w:b/>
                <w:sz w:val="24"/>
              </w:rPr>
              <w:t>急性或亚急性重症肝炎</w:t>
            </w:r>
          </w:p>
        </w:tc>
        <w:tc>
          <w:tcPr>
            <w:tcW w:w="8011" w:type="dxa"/>
          </w:tcPr>
          <w:p>
            <w:pPr>
              <w:pStyle w:val="TableParagraph"/>
              <w:spacing w:line="273" w:lineRule="auto" w:before="94"/>
              <w:ind w:left="108" w:right="340"/>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8"/>
              <w:rPr>
                <w:sz w:val="21"/>
              </w:rPr>
            </w:pPr>
            <w:r>
              <w:rPr>
                <w:sz w:val="21"/>
              </w:rPr>
              <w:t>（1）重度黄疸或黄疸迅速加重；</w:t>
            </w:r>
          </w:p>
          <w:p>
            <w:pPr>
              <w:pStyle w:val="TableParagraph"/>
              <w:spacing w:before="36"/>
              <w:ind w:left="108"/>
              <w:rPr>
                <w:sz w:val="21"/>
              </w:rPr>
            </w:pPr>
            <w:r>
              <w:rPr>
                <w:sz w:val="21"/>
              </w:rPr>
              <w:t>（2）肝性脑病；</w:t>
            </w:r>
          </w:p>
          <w:p>
            <w:pPr>
              <w:pStyle w:val="TableParagraph"/>
              <w:spacing w:before="36"/>
              <w:ind w:left="108"/>
              <w:rPr>
                <w:sz w:val="21"/>
              </w:rPr>
            </w:pPr>
            <w:r>
              <w:rPr>
                <w:sz w:val="21"/>
              </w:rPr>
              <w:t>（3）B 超或其它影像学检查显示肝脏体积急速萎缩；</w:t>
            </w:r>
          </w:p>
          <w:p>
            <w:pPr>
              <w:pStyle w:val="TableParagraph"/>
              <w:spacing w:before="36"/>
              <w:ind w:left="108"/>
              <w:rPr>
                <w:sz w:val="21"/>
              </w:rPr>
            </w:pPr>
            <w:r>
              <w:rPr>
                <w:sz w:val="21"/>
              </w:rPr>
              <w:t>（4）肝功能指标进行性恶化。</w:t>
            </w:r>
          </w:p>
        </w:tc>
      </w:tr>
      <w:tr>
        <w:trPr>
          <w:trHeight w:val="2098" w:hRule="atLeast"/>
        </w:trPr>
        <w:tc>
          <w:tcPr>
            <w:tcW w:w="1720" w:type="dxa"/>
          </w:tcPr>
          <w:p>
            <w:pPr>
              <w:pStyle w:val="TableParagraph"/>
              <w:spacing w:before="76"/>
              <w:ind w:left="200"/>
              <w:rPr>
                <w:rFonts w:ascii="等线" w:eastAsia="等线" w:hint="eastAsia"/>
                <w:b/>
                <w:sz w:val="24"/>
              </w:rPr>
            </w:pPr>
            <w:r>
              <w:rPr>
                <w:rFonts w:ascii="等线" w:eastAsia="等线" w:hint="eastAsia"/>
                <w:b/>
                <w:sz w:val="24"/>
              </w:rPr>
              <w:t>良性脑肿瘤</w:t>
            </w:r>
          </w:p>
        </w:tc>
        <w:tc>
          <w:tcPr>
            <w:tcW w:w="8011" w:type="dxa"/>
          </w:tcPr>
          <w:p>
            <w:pPr>
              <w:pStyle w:val="TableParagraph"/>
              <w:spacing w:line="273" w:lineRule="auto" w:before="108"/>
              <w:ind w:left="108" w:right="200"/>
              <w:rPr>
                <w:sz w:val="21"/>
              </w:rPr>
            </w:pPr>
            <w:r>
              <w:rPr>
                <w:sz w:val="21"/>
              </w:rPr>
              <w:t>指脑的良性肿瘤，已经引起颅内压增高，临床表现为视神经乳头水肿、精神症状、</w:t>
            </w:r>
            <w:r>
              <w:rPr>
                <w:spacing w:val="-11"/>
                <w:sz w:val="21"/>
              </w:rPr>
              <w:t>癫痫及运动感觉障碍等，并危及生命。须由头颅断层扫描</w:t>
            </w:r>
            <w:r>
              <w:rPr>
                <w:sz w:val="21"/>
              </w:rPr>
              <w:t>（</w:t>
            </w:r>
            <w:r>
              <w:rPr>
                <w:spacing w:val="-1"/>
                <w:sz w:val="21"/>
              </w:rPr>
              <w:t>C</w:t>
            </w:r>
            <w:r>
              <w:rPr>
                <w:sz w:val="21"/>
              </w:rPr>
              <w:t>T</w:t>
            </w:r>
            <w:r>
              <w:rPr>
                <w:spacing w:val="-106"/>
                <w:sz w:val="21"/>
              </w:rPr>
              <w:t>）</w:t>
            </w:r>
            <w:r>
              <w:rPr>
                <w:spacing w:val="-18"/>
                <w:sz w:val="21"/>
              </w:rPr>
              <w:t>、核磁共振检查</w:t>
            </w:r>
            <w:r>
              <w:rPr>
                <w:sz w:val="21"/>
              </w:rPr>
              <w:t>（</w:t>
            </w:r>
            <w:r>
              <w:rPr>
                <w:spacing w:val="-1"/>
                <w:sz w:val="21"/>
              </w:rPr>
              <w:t>M</w:t>
            </w:r>
            <w:r>
              <w:rPr>
                <w:sz w:val="21"/>
              </w:rPr>
              <w:t>RI）</w:t>
            </w:r>
            <w:r>
              <w:rPr>
                <w:spacing w:val="-1"/>
                <w:sz w:val="21"/>
              </w:rPr>
              <w:t>或正电子发射断层扫描</w:t>
            </w:r>
            <w:r>
              <w:rPr>
                <w:sz w:val="21"/>
              </w:rPr>
              <w:t>（PET）等影像学检查证实，并须满足下列至少一项条件：</w:t>
            </w:r>
          </w:p>
          <w:p>
            <w:pPr>
              <w:pStyle w:val="TableParagraph"/>
              <w:spacing w:before="7"/>
              <w:ind w:left="108"/>
              <w:rPr>
                <w:sz w:val="21"/>
              </w:rPr>
            </w:pPr>
            <w:r>
              <w:rPr>
                <w:sz w:val="21"/>
              </w:rPr>
              <w:t>（1）实际实施了开颅进行的脑肿瘤完全切除或部分切除的手术；</w:t>
            </w:r>
          </w:p>
          <w:p>
            <w:pPr>
              <w:pStyle w:val="TableParagraph"/>
              <w:spacing w:before="36"/>
              <w:ind w:left="108"/>
              <w:rPr>
                <w:sz w:val="21"/>
              </w:rPr>
            </w:pPr>
            <w:r>
              <w:rPr>
                <w:sz w:val="21"/>
              </w:rPr>
              <w:t>（2）实际实施了对脑肿瘤进行的放射治疗。</w:t>
            </w:r>
          </w:p>
          <w:p>
            <w:pPr>
              <w:pStyle w:val="TableParagraph"/>
              <w:spacing w:before="36"/>
              <w:ind w:left="108"/>
              <w:rPr>
                <w:sz w:val="21"/>
              </w:rPr>
            </w:pPr>
            <w:r>
              <w:rPr>
                <w:sz w:val="21"/>
                <w:shd w:fill="DADADA" w:color="auto" w:val="clear"/>
              </w:rPr>
              <w:t>脑垂体瘤、脑囊肿、脑血管性疾病不在保障范围内。</w:t>
            </w:r>
          </w:p>
        </w:tc>
      </w:tr>
      <w:tr>
        <w:trPr>
          <w:trHeight w:val="1943" w:hRule="atLeast"/>
        </w:trPr>
        <w:tc>
          <w:tcPr>
            <w:tcW w:w="1720" w:type="dxa"/>
          </w:tcPr>
          <w:p>
            <w:pPr>
              <w:pStyle w:val="TableParagraph"/>
              <w:spacing w:line="232" w:lineRule="auto" w:before="86"/>
              <w:ind w:left="200" w:right="316"/>
              <w:jc w:val="both"/>
              <w:rPr>
                <w:rFonts w:ascii="等线" w:eastAsia="等线" w:hint="eastAsia"/>
                <w:b/>
                <w:sz w:val="24"/>
              </w:rPr>
            </w:pPr>
            <w:r>
              <w:rPr>
                <w:rFonts w:ascii="等线" w:eastAsia="等线" w:hint="eastAsia"/>
                <w:b/>
                <w:sz w:val="24"/>
              </w:rPr>
              <w:t>慢性肝功能衰竭失代偿期</w:t>
            </w:r>
          </w:p>
        </w:tc>
        <w:tc>
          <w:tcPr>
            <w:tcW w:w="8011" w:type="dxa"/>
          </w:tcPr>
          <w:p>
            <w:pPr>
              <w:pStyle w:val="TableParagraph"/>
              <w:spacing w:before="108"/>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p>
            <w:pPr>
              <w:pStyle w:val="TableParagraph"/>
              <w:spacing w:before="37"/>
              <w:ind w:left="108"/>
              <w:rPr>
                <w:sz w:val="21"/>
              </w:rPr>
            </w:pPr>
            <w:r>
              <w:rPr>
                <w:sz w:val="21"/>
              </w:rPr>
              <w:t>（2）腹水；</w:t>
            </w:r>
          </w:p>
          <w:p>
            <w:pPr>
              <w:pStyle w:val="TableParagraph"/>
              <w:spacing w:before="37"/>
              <w:ind w:left="108"/>
              <w:rPr>
                <w:sz w:val="21"/>
              </w:rPr>
            </w:pPr>
            <w:r>
              <w:rPr>
                <w:sz w:val="21"/>
              </w:rPr>
              <w:t>（3）肝性脑病；</w:t>
            </w:r>
          </w:p>
          <w:p>
            <w:pPr>
              <w:pStyle w:val="TableParagraph"/>
              <w:spacing w:line="310" w:lineRule="atLeast" w:before="2"/>
              <w:ind w:left="108" w:right="2756"/>
              <w:rPr>
                <w:sz w:val="21"/>
              </w:rPr>
            </w:pPr>
            <w:r>
              <w:rPr>
                <w:sz w:val="21"/>
              </w:rPr>
              <w:t>（4）充血性脾肿大伴脾功能亢进或食管胃底静脉曲张。</w:t>
            </w:r>
            <w:r>
              <w:rPr>
                <w:sz w:val="21"/>
                <w:shd w:fill="DADADA" w:color="auto" w:val="clear"/>
              </w:rPr>
              <w:t>因酗酒或药物滥用导致的肝功能衰竭不在保障范围内。</w:t>
            </w:r>
          </w:p>
        </w:tc>
      </w:tr>
    </w:tbl>
    <w:p>
      <w:pPr>
        <w:spacing w:after="0" w:line="310" w:lineRule="atLeast"/>
        <w:rPr>
          <w:sz w:val="21"/>
        </w:rPr>
        <w:sectPr>
          <w:pgSz w:w="11910" w:h="16840"/>
          <w:pgMar w:top="114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8116"/>
      </w:tblGrid>
      <w:tr>
        <w:trPr>
          <w:trHeight w:val="1943" w:hRule="atLeast"/>
        </w:trPr>
        <w:tc>
          <w:tcPr>
            <w:tcW w:w="1615" w:type="dxa"/>
          </w:tcPr>
          <w:p>
            <w:pPr>
              <w:pStyle w:val="TableParagraph"/>
              <w:spacing w:line="243" w:lineRule="exact"/>
              <w:ind w:left="200"/>
              <w:rPr>
                <w:rFonts w:ascii="等线" w:eastAsia="等线" w:hint="eastAsia"/>
                <w:b/>
                <w:sz w:val="24"/>
              </w:rPr>
            </w:pPr>
            <w:r>
              <w:rPr>
                <w:rFonts w:ascii="等线" w:eastAsia="等线" w:hint="eastAsia"/>
                <w:b/>
                <w:sz w:val="24"/>
              </w:rPr>
              <w:t>脑炎后遗症</w:t>
            </w:r>
          </w:p>
          <w:p>
            <w:pPr>
              <w:pStyle w:val="TableParagraph"/>
              <w:spacing w:line="232" w:lineRule="auto" w:before="5"/>
              <w:ind w:left="200" w:right="211"/>
              <w:rPr>
                <w:rFonts w:ascii="等线" w:eastAsia="等线" w:hint="eastAsia"/>
                <w:b/>
                <w:sz w:val="24"/>
              </w:rPr>
            </w:pPr>
            <w:r>
              <w:rPr>
                <w:rFonts w:ascii="等线" w:eastAsia="等线" w:hint="eastAsia"/>
                <w:b/>
                <w:sz w:val="24"/>
              </w:rPr>
              <w:t>或脑膜炎后遗症</w:t>
            </w:r>
          </w:p>
        </w:tc>
        <w:tc>
          <w:tcPr>
            <w:tcW w:w="8116" w:type="dxa"/>
          </w:tcPr>
          <w:p>
            <w:pPr>
              <w:pStyle w:val="TableParagraph"/>
              <w:spacing w:line="228" w:lineRule="exact"/>
              <w:ind w:left="213"/>
              <w:rPr>
                <w:sz w:val="21"/>
              </w:rPr>
            </w:pPr>
            <w:r>
              <w:rPr>
                <w:sz w:val="21"/>
              </w:rPr>
              <w:t>指因患脑炎或脑膜炎导致的神经系统永久性的功能障碍。神经系统永久性的功能障</w:t>
            </w:r>
          </w:p>
          <w:p>
            <w:pPr>
              <w:pStyle w:val="TableParagraph"/>
              <w:spacing w:before="37"/>
              <w:ind w:left="213"/>
              <w:rPr>
                <w:sz w:val="21"/>
              </w:rPr>
            </w:pPr>
            <w:r>
              <w:rPr>
                <w:sz w:val="21"/>
              </w:rPr>
              <w:t>碍，指疾病确诊 180 日后，仍遗留下列一种或一种以上障碍：</w:t>
            </w:r>
          </w:p>
          <w:p>
            <w:pPr>
              <w:pStyle w:val="TableParagraph"/>
              <w:spacing w:before="37"/>
              <w:ind w:left="213"/>
              <w:rPr>
                <w:sz w:val="21"/>
              </w:rPr>
            </w:pPr>
            <w:r>
              <w:rPr>
                <w:sz w:val="21"/>
              </w:rPr>
              <w:t>（1）一肢或一肢以上肢体机能完全丧失；</w:t>
            </w:r>
          </w:p>
          <w:p>
            <w:pPr>
              <w:pStyle w:val="TableParagraph"/>
              <w:spacing w:before="37"/>
              <w:ind w:left="213"/>
              <w:rPr>
                <w:sz w:val="21"/>
              </w:rPr>
            </w:pPr>
            <w:r>
              <w:rPr>
                <w:sz w:val="21"/>
              </w:rPr>
              <w:t>（2）语言能力或咀嚼吞咽能力完全丧失；</w:t>
            </w:r>
          </w:p>
          <w:p>
            <w:pPr>
              <w:pStyle w:val="TableParagraph"/>
              <w:spacing w:line="273" w:lineRule="auto" w:before="37"/>
              <w:ind w:left="738" w:right="231" w:hanging="526"/>
              <w:rPr>
                <w:sz w:val="21"/>
              </w:rPr>
            </w:pPr>
            <w:r>
              <w:rPr>
                <w:sz w:val="21"/>
              </w:rPr>
              <w:t>（3）自主生活能力完全丧失，无法独立完成六项基本日常生活活动中的三项或三项以上。</w:t>
            </w:r>
          </w:p>
        </w:tc>
      </w:tr>
      <w:tr>
        <w:trPr>
          <w:trHeight w:val="1474" w:hRule="atLeast"/>
        </w:trPr>
        <w:tc>
          <w:tcPr>
            <w:tcW w:w="1615" w:type="dxa"/>
          </w:tcPr>
          <w:p>
            <w:pPr>
              <w:pStyle w:val="TableParagraph"/>
              <w:spacing w:before="76"/>
              <w:ind w:left="200"/>
              <w:rPr>
                <w:rFonts w:ascii="等线" w:eastAsia="等线" w:hint="eastAsia"/>
                <w:b/>
                <w:sz w:val="24"/>
              </w:rPr>
            </w:pPr>
            <w:r>
              <w:rPr>
                <w:rFonts w:ascii="等线" w:eastAsia="等线" w:hint="eastAsia"/>
                <w:b/>
                <w:sz w:val="24"/>
              </w:rPr>
              <w:t>深度昏迷</w:t>
            </w:r>
          </w:p>
        </w:tc>
        <w:tc>
          <w:tcPr>
            <w:tcW w:w="8116" w:type="dxa"/>
          </w:tcPr>
          <w:p>
            <w:pPr>
              <w:pStyle w:val="TableParagraph"/>
              <w:spacing w:line="273" w:lineRule="auto" w:before="108"/>
              <w:ind w:left="213" w:right="340"/>
              <w:jc w:val="both"/>
              <w:rPr>
                <w:sz w:val="21"/>
              </w:rPr>
            </w:pPr>
            <w:r>
              <w:rPr>
                <w:sz w:val="21"/>
              </w:rPr>
              <w:t>指因疾病或意外伤害导致意识丧失，对外界刺激和体内需求均无反应，昏迷程度按照格拉斯哥昏迷分级（Glasgow coma scale）</w:t>
            </w:r>
            <w:r>
              <w:rPr>
                <w:spacing w:val="-14"/>
                <w:sz w:val="21"/>
              </w:rPr>
              <w:t>结果为 </w:t>
            </w:r>
            <w:r>
              <w:rPr>
                <w:sz w:val="21"/>
              </w:rPr>
              <w:t>5</w:t>
            </w:r>
            <w:r>
              <w:rPr>
                <w:spacing w:val="-28"/>
                <w:sz w:val="21"/>
              </w:rPr>
              <w:t> 分或 </w:t>
            </w:r>
            <w:r>
              <w:rPr>
                <w:sz w:val="21"/>
              </w:rPr>
              <w:t>5</w:t>
            </w:r>
            <w:r>
              <w:rPr>
                <w:spacing w:val="-8"/>
                <w:sz w:val="21"/>
              </w:rPr>
              <w:t> 分以下，且已经持续</w:t>
            </w:r>
            <w:r>
              <w:rPr>
                <w:spacing w:val="-12"/>
                <w:sz w:val="21"/>
              </w:rPr>
              <w:t>使用呼吸机及其它生命维持系统 </w:t>
            </w:r>
            <w:r>
              <w:rPr>
                <w:sz w:val="21"/>
              </w:rPr>
              <w:t>96</w:t>
            </w:r>
            <w:r>
              <w:rPr>
                <w:spacing w:val="-10"/>
                <w:sz w:val="21"/>
              </w:rPr>
              <w:t> 小时以上。</w:t>
            </w:r>
          </w:p>
          <w:p>
            <w:pPr>
              <w:pStyle w:val="TableParagraph"/>
              <w:spacing w:before="7"/>
              <w:ind w:left="213"/>
              <w:jc w:val="both"/>
              <w:rPr>
                <w:sz w:val="21"/>
              </w:rPr>
            </w:pPr>
            <w:r>
              <w:rPr>
                <w:sz w:val="21"/>
                <w:shd w:fill="DADADA" w:color="auto" w:val="clear"/>
              </w:rPr>
              <w:t>因酗酒或药物滥用导致的深度昏迷不在保障范围内。</w:t>
            </w:r>
          </w:p>
        </w:tc>
      </w:tr>
      <w:tr>
        <w:trPr>
          <w:trHeight w:val="1169" w:hRule="atLeast"/>
        </w:trPr>
        <w:tc>
          <w:tcPr>
            <w:tcW w:w="1615" w:type="dxa"/>
          </w:tcPr>
          <w:p>
            <w:pPr>
              <w:pStyle w:val="TableParagraph"/>
              <w:spacing w:before="76"/>
              <w:ind w:left="200"/>
              <w:rPr>
                <w:rFonts w:ascii="等线" w:eastAsia="等线" w:hint="eastAsia"/>
                <w:b/>
                <w:sz w:val="24"/>
              </w:rPr>
            </w:pPr>
            <w:r>
              <w:rPr>
                <w:rFonts w:ascii="等线" w:eastAsia="等线" w:hint="eastAsia"/>
                <w:b/>
                <w:sz w:val="24"/>
              </w:rPr>
              <w:t>双耳失聪</w:t>
            </w:r>
          </w:p>
        </w:tc>
        <w:tc>
          <w:tcPr>
            <w:tcW w:w="8116" w:type="dxa"/>
          </w:tcPr>
          <w:p>
            <w:pPr>
              <w:pStyle w:val="TableParagraph"/>
              <w:spacing w:line="273" w:lineRule="auto" w:before="108"/>
              <w:ind w:left="213" w:right="304"/>
              <w:jc w:val="both"/>
              <w:rPr>
                <w:sz w:val="21"/>
              </w:rPr>
            </w:pPr>
            <w:r>
              <w:rPr>
                <w:sz w:val="21"/>
              </w:rPr>
              <w:t>指因疾病或意外伤害导致双耳听力</w:t>
            </w:r>
            <w:r>
              <w:rPr>
                <w:rFonts w:ascii="黑体" w:eastAsia="黑体" w:hint="eastAsia"/>
                <w:b/>
                <w:spacing w:val="-4"/>
                <w:sz w:val="21"/>
              </w:rPr>
              <w:t>永久不可逆</w:t>
            </w:r>
            <w:r>
              <w:rPr>
                <w:sz w:val="21"/>
              </w:rPr>
              <w:t>（见</w:t>
            </w:r>
            <w:r>
              <w:rPr>
                <w:spacing w:val="-5"/>
                <w:sz w:val="21"/>
              </w:rPr>
              <w:t>9.10）</w:t>
            </w:r>
            <w:r>
              <w:rPr>
                <w:spacing w:val="-4"/>
                <w:sz w:val="21"/>
              </w:rPr>
              <w:t>性丧失，在</w:t>
            </w:r>
            <w:r>
              <w:rPr>
                <w:sz w:val="21"/>
              </w:rPr>
              <w:t>500</w:t>
            </w:r>
            <w:r>
              <w:rPr>
                <w:spacing w:val="-7"/>
                <w:sz w:val="21"/>
              </w:rPr>
              <w:t>赫兹、</w:t>
            </w:r>
            <w:r>
              <w:rPr>
                <w:sz w:val="21"/>
              </w:rPr>
              <w:t>1000 赫兹和2000赫兹语音频率下，平均听阈大于90分贝，且经纯音听力测试、声导抗检测或听觉诱发电位检测等证实。</w:t>
            </w:r>
          </w:p>
        </w:tc>
      </w:tr>
      <w:tr>
        <w:trPr>
          <w:trHeight w:val="1793" w:hRule="atLeast"/>
        </w:trPr>
        <w:tc>
          <w:tcPr>
            <w:tcW w:w="1615" w:type="dxa"/>
          </w:tcPr>
          <w:p>
            <w:pPr>
              <w:pStyle w:val="TableParagraph"/>
              <w:spacing w:before="82"/>
              <w:ind w:left="200"/>
              <w:rPr>
                <w:rFonts w:ascii="等线" w:eastAsia="等线" w:hint="eastAsia"/>
                <w:b/>
                <w:sz w:val="24"/>
              </w:rPr>
            </w:pPr>
            <w:r>
              <w:rPr>
                <w:rFonts w:ascii="等线" w:eastAsia="等线" w:hint="eastAsia"/>
                <w:b/>
                <w:sz w:val="24"/>
              </w:rPr>
              <w:t>双目失明</w:t>
            </w:r>
          </w:p>
        </w:tc>
        <w:tc>
          <w:tcPr>
            <w:tcW w:w="8116" w:type="dxa"/>
          </w:tcPr>
          <w:p>
            <w:pPr>
              <w:pStyle w:val="TableParagraph"/>
              <w:spacing w:line="273" w:lineRule="auto" w:before="115"/>
              <w:ind w:left="213" w:right="340"/>
              <w:rPr>
                <w:sz w:val="21"/>
              </w:rPr>
            </w:pPr>
            <w:r>
              <w:rPr>
                <w:sz w:val="21"/>
              </w:rPr>
              <w:t>指因疾病或意外伤害导致双眼视力永久不可逆性丧失，双眼中较好眼须满足下列至少一项条件：</w:t>
            </w:r>
          </w:p>
          <w:p>
            <w:pPr>
              <w:pStyle w:val="TableParagraph"/>
              <w:spacing w:before="8"/>
              <w:ind w:left="213"/>
              <w:rPr>
                <w:sz w:val="21"/>
              </w:rPr>
            </w:pPr>
            <w:r>
              <w:rPr>
                <w:sz w:val="21"/>
              </w:rPr>
              <w:t>（1）眼球缺失或摘除；</w:t>
            </w:r>
          </w:p>
          <w:p>
            <w:pPr>
              <w:pStyle w:val="TableParagraph"/>
              <w:spacing w:before="37"/>
              <w:ind w:left="213"/>
              <w:rPr>
                <w:sz w:val="21"/>
              </w:rPr>
            </w:pPr>
            <w:r>
              <w:rPr>
                <w:sz w:val="21"/>
              </w:rPr>
              <w:t>（2</w:t>
            </w:r>
            <w:r>
              <w:rPr>
                <w:spacing w:val="-41"/>
                <w:sz w:val="21"/>
              </w:rPr>
              <w:t>）</w:t>
            </w:r>
            <w:r>
              <w:rPr>
                <w:spacing w:val="-8"/>
                <w:sz w:val="21"/>
              </w:rPr>
              <w:t>矫正视力低于 </w:t>
            </w:r>
            <w:r>
              <w:rPr>
                <w:sz w:val="21"/>
              </w:rPr>
              <w:t>0</w:t>
            </w:r>
            <w:r>
              <w:rPr>
                <w:spacing w:val="-1"/>
                <w:sz w:val="21"/>
              </w:rPr>
              <w:t>.</w:t>
            </w:r>
            <w:r>
              <w:rPr>
                <w:sz w:val="21"/>
              </w:rPr>
              <w:t>0</w:t>
            </w:r>
            <w:r>
              <w:rPr>
                <w:spacing w:val="-42"/>
                <w:sz w:val="21"/>
              </w:rPr>
              <w:t>2</w:t>
            </w:r>
            <w:r>
              <w:rPr>
                <w:sz w:val="21"/>
              </w:rPr>
              <w:t>（</w:t>
            </w:r>
            <w:r>
              <w:rPr>
                <w:spacing w:val="-5"/>
                <w:sz w:val="21"/>
              </w:rPr>
              <w:t>采用国际标准视力表，如果使用其它视力表应进行换算</w:t>
            </w:r>
            <w:r>
              <w:rPr>
                <w:spacing w:val="-105"/>
                <w:sz w:val="21"/>
              </w:rPr>
              <w:t>）</w:t>
            </w:r>
            <w:r>
              <w:rPr>
                <w:sz w:val="21"/>
              </w:rPr>
              <w:t>；</w:t>
            </w:r>
          </w:p>
          <w:p>
            <w:pPr>
              <w:pStyle w:val="TableParagraph"/>
              <w:spacing w:before="36"/>
              <w:ind w:left="213"/>
              <w:rPr>
                <w:sz w:val="21"/>
              </w:rPr>
            </w:pPr>
            <w:r>
              <w:rPr>
                <w:sz w:val="21"/>
              </w:rPr>
              <w:t>（3）视野半径小于 5 度。</w:t>
            </w:r>
          </w:p>
        </w:tc>
      </w:tr>
      <w:tr>
        <w:trPr>
          <w:trHeight w:val="1163" w:hRule="atLeast"/>
        </w:trPr>
        <w:tc>
          <w:tcPr>
            <w:tcW w:w="1615" w:type="dxa"/>
          </w:tcPr>
          <w:p>
            <w:pPr>
              <w:pStyle w:val="TableParagraph"/>
              <w:spacing w:before="76"/>
              <w:ind w:left="200"/>
              <w:rPr>
                <w:rFonts w:ascii="等线" w:eastAsia="等线" w:hint="eastAsia"/>
                <w:b/>
                <w:sz w:val="24"/>
              </w:rPr>
            </w:pPr>
            <w:r>
              <w:rPr>
                <w:rFonts w:ascii="等线" w:eastAsia="等线" w:hint="eastAsia"/>
                <w:b/>
                <w:sz w:val="24"/>
              </w:rPr>
              <w:t>瘫痪</w:t>
            </w:r>
          </w:p>
        </w:tc>
        <w:tc>
          <w:tcPr>
            <w:tcW w:w="8116" w:type="dxa"/>
          </w:tcPr>
          <w:p>
            <w:pPr>
              <w:pStyle w:val="TableParagraph"/>
              <w:spacing w:line="273" w:lineRule="auto" w:before="108"/>
              <w:ind w:left="213" w:right="340"/>
              <w:jc w:val="both"/>
              <w:rPr>
                <w:sz w:val="21"/>
              </w:rPr>
            </w:pPr>
            <w:r>
              <w:rPr>
                <w:sz w:val="21"/>
              </w:rPr>
              <w:t>指因疾病或意外伤害导致两肢或两肢以上肢体机能永久完全丧失。肢体机能永久完</w:t>
            </w:r>
            <w:r>
              <w:rPr>
                <w:spacing w:val="-6"/>
                <w:sz w:val="21"/>
              </w:rPr>
              <w:t>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869" w:hRule="atLeast"/>
        </w:trPr>
        <w:tc>
          <w:tcPr>
            <w:tcW w:w="1615" w:type="dxa"/>
          </w:tcPr>
          <w:p>
            <w:pPr>
              <w:pStyle w:val="TableParagraph"/>
              <w:spacing w:line="232" w:lineRule="auto" w:before="86"/>
              <w:ind w:left="200" w:right="211"/>
              <w:rPr>
                <w:rFonts w:ascii="等线" w:eastAsia="等线" w:hint="eastAsia"/>
                <w:b/>
                <w:sz w:val="24"/>
              </w:rPr>
            </w:pPr>
            <w:r>
              <w:rPr>
                <w:rFonts w:ascii="等线" w:eastAsia="等线" w:hint="eastAsia"/>
                <w:b/>
                <w:sz w:val="24"/>
              </w:rPr>
              <w:t>心脏瓣膜手术</w:t>
            </w:r>
          </w:p>
        </w:tc>
        <w:tc>
          <w:tcPr>
            <w:tcW w:w="8116" w:type="dxa"/>
          </w:tcPr>
          <w:p>
            <w:pPr>
              <w:pStyle w:val="TableParagraph"/>
              <w:spacing w:before="109"/>
              <w:ind w:left="213"/>
              <w:rPr>
                <w:sz w:val="21"/>
              </w:rPr>
            </w:pPr>
            <w:r>
              <w:rPr>
                <w:sz w:val="21"/>
              </w:rPr>
              <w:t>指为治疗心脏瓣膜疾病，实际实施了开胸进行的心脏瓣膜置换或修复的手术。</w:t>
            </w:r>
          </w:p>
        </w:tc>
      </w:tr>
      <w:tr>
        <w:trPr>
          <w:trHeight w:val="2091" w:hRule="atLeast"/>
        </w:trPr>
        <w:tc>
          <w:tcPr>
            <w:tcW w:w="1615" w:type="dxa"/>
          </w:tcPr>
          <w:p>
            <w:pPr>
              <w:pStyle w:val="TableParagraph"/>
              <w:spacing w:line="232" w:lineRule="auto" w:before="78"/>
              <w:ind w:left="200" w:right="211"/>
              <w:rPr>
                <w:rFonts w:ascii="等线" w:eastAsia="等线" w:hint="eastAsia"/>
                <w:b/>
                <w:sz w:val="24"/>
              </w:rPr>
            </w:pPr>
            <w:r>
              <w:rPr>
                <w:rFonts w:ascii="等线" w:eastAsia="等线" w:hint="eastAsia"/>
                <w:b/>
                <w:sz w:val="24"/>
              </w:rPr>
              <w:t>严重阿尔茨海默病</w:t>
            </w:r>
          </w:p>
        </w:tc>
        <w:tc>
          <w:tcPr>
            <w:tcW w:w="8116" w:type="dxa"/>
          </w:tcPr>
          <w:p>
            <w:pPr>
              <w:pStyle w:val="TableParagraph"/>
              <w:spacing w:line="273" w:lineRule="auto" w:before="100"/>
              <w:ind w:left="213" w:right="302"/>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3"/>
                <w:sz w:val="21"/>
              </w:rPr>
              <w:t>颅断层扫描</w:t>
            </w:r>
            <w:r>
              <w:rPr>
                <w:sz w:val="21"/>
              </w:rPr>
              <w:t>（CT</w:t>
            </w:r>
            <w:r>
              <w:rPr>
                <w:spacing w:val="-105"/>
                <w:sz w:val="21"/>
              </w:rPr>
              <w:t>）</w:t>
            </w:r>
            <w:r>
              <w:rPr>
                <w:spacing w:val="-6"/>
                <w:sz w:val="21"/>
              </w:rPr>
              <w:t>、核磁共振检查</w:t>
            </w:r>
            <w:r>
              <w:rPr>
                <w:sz w:val="21"/>
              </w:rPr>
              <w:t>（MRI</w:t>
            </w:r>
            <w:r>
              <w:rPr>
                <w:spacing w:val="-13"/>
                <w:sz w:val="21"/>
              </w:rPr>
              <w:t>）</w:t>
            </w:r>
            <w:r>
              <w:rPr>
                <w:spacing w:val="-3"/>
                <w:sz w:val="21"/>
              </w:rPr>
              <w:t>或正电子发射断层扫描</w:t>
            </w:r>
            <w:r>
              <w:rPr>
                <w:sz w:val="21"/>
              </w:rPr>
              <w:t>（PET</w:t>
            </w:r>
            <w:r>
              <w:rPr>
                <w:spacing w:val="-14"/>
                <w:sz w:val="21"/>
              </w:rPr>
              <w:t>）</w:t>
            </w:r>
            <w:r>
              <w:rPr>
                <w:sz w:val="21"/>
              </w:rPr>
              <w:t>等影像学检查证实，且自主生活能力完全丧失，无法独立完成六项基本日常生活活动中的三项或三项以上。</w:t>
            </w:r>
          </w:p>
          <w:p>
            <w:pPr>
              <w:pStyle w:val="TableParagraph"/>
              <w:spacing w:before="7"/>
              <w:ind w:left="213"/>
              <w:jc w:val="both"/>
              <w:rPr>
                <w:sz w:val="21"/>
              </w:rPr>
            </w:pPr>
            <w:r>
              <w:rPr>
                <w:sz w:val="21"/>
                <w:shd w:fill="DADADA" w:color="auto" w:val="clear"/>
              </w:rPr>
              <w:t>神经官能症和精神疾病不在保障范围内。</w:t>
            </w:r>
          </w:p>
        </w:tc>
      </w:tr>
      <w:tr>
        <w:trPr>
          <w:trHeight w:val="2567" w:hRule="atLeast"/>
        </w:trPr>
        <w:tc>
          <w:tcPr>
            <w:tcW w:w="1615" w:type="dxa"/>
          </w:tcPr>
          <w:p>
            <w:pPr>
              <w:pStyle w:val="TableParagraph"/>
              <w:spacing w:before="76"/>
              <w:ind w:left="200"/>
              <w:rPr>
                <w:rFonts w:ascii="等线" w:eastAsia="等线" w:hint="eastAsia"/>
                <w:b/>
                <w:sz w:val="24"/>
              </w:rPr>
            </w:pPr>
            <w:r>
              <w:rPr>
                <w:rFonts w:ascii="等线" w:eastAsia="等线" w:hint="eastAsia"/>
                <w:b/>
                <w:sz w:val="24"/>
              </w:rPr>
              <w:t>严重脑损伤</w:t>
            </w:r>
          </w:p>
        </w:tc>
        <w:tc>
          <w:tcPr>
            <w:tcW w:w="8116" w:type="dxa"/>
          </w:tcPr>
          <w:p>
            <w:pPr>
              <w:pStyle w:val="TableParagraph"/>
              <w:spacing w:line="273" w:lineRule="auto" w:before="108"/>
              <w:ind w:left="213" w:right="200"/>
              <w:rPr>
                <w:sz w:val="21"/>
              </w:rPr>
            </w:pPr>
            <w:r>
              <w:rPr>
                <w:spacing w:val="-5"/>
                <w:sz w:val="21"/>
              </w:rPr>
              <w:t>指因头部遭受机械性外力，引起脑重要部位损伤，导致神经系统永久性的功能障碍。</w:t>
            </w:r>
            <w:r>
              <w:rPr>
                <w:spacing w:val="-6"/>
                <w:sz w:val="21"/>
              </w:rPr>
              <w:t>须由头颅断层扫描</w:t>
            </w:r>
            <w:r>
              <w:rPr>
                <w:spacing w:val="-1"/>
                <w:sz w:val="21"/>
              </w:rPr>
              <w:t>（</w:t>
            </w:r>
            <w:r>
              <w:rPr>
                <w:sz w:val="21"/>
              </w:rPr>
              <w:t>CT</w:t>
            </w:r>
            <w:r>
              <w:rPr>
                <w:spacing w:val="-106"/>
                <w:sz w:val="21"/>
              </w:rPr>
              <w:t>）</w:t>
            </w:r>
            <w:r>
              <w:rPr>
                <w:spacing w:val="-6"/>
                <w:sz w:val="21"/>
              </w:rPr>
              <w:t>、核磁共振检查</w:t>
            </w:r>
            <w:r>
              <w:rPr>
                <w:sz w:val="21"/>
              </w:rPr>
              <w:t>（MRI</w:t>
            </w:r>
            <w:r>
              <w:rPr>
                <w:spacing w:val="-14"/>
                <w:sz w:val="21"/>
              </w:rPr>
              <w:t>）</w:t>
            </w:r>
            <w:r>
              <w:rPr>
                <w:spacing w:val="-2"/>
                <w:sz w:val="21"/>
              </w:rPr>
              <w:t>或正电子发射断层扫描</w:t>
            </w:r>
            <w:r>
              <w:rPr>
                <w:sz w:val="21"/>
              </w:rPr>
              <w:t>（PET</w:t>
            </w:r>
            <w:r>
              <w:rPr>
                <w:spacing w:val="-12"/>
                <w:sz w:val="21"/>
              </w:rPr>
              <w:t>）</w:t>
            </w:r>
            <w:r>
              <w:rPr>
                <w:sz w:val="21"/>
              </w:rPr>
              <w:t>等影</w:t>
            </w:r>
            <w:r>
              <w:rPr>
                <w:spacing w:val="-2"/>
                <w:sz w:val="21"/>
              </w:rPr>
              <w:t>像学检查证实。神经系统永久性的功能障碍，指脑损伤 </w:t>
            </w:r>
            <w:r>
              <w:rPr>
                <w:sz w:val="21"/>
              </w:rPr>
              <w:t>180</w:t>
            </w:r>
            <w:r>
              <w:rPr>
                <w:spacing w:val="-6"/>
                <w:sz w:val="21"/>
              </w:rPr>
              <w:t> 日后，仍遗留下列一种或一种以上障碍：</w:t>
            </w:r>
          </w:p>
          <w:p>
            <w:pPr>
              <w:pStyle w:val="TableParagraph"/>
              <w:spacing w:before="7"/>
              <w:ind w:left="213"/>
              <w:rPr>
                <w:sz w:val="21"/>
              </w:rPr>
            </w:pPr>
            <w:r>
              <w:rPr>
                <w:sz w:val="21"/>
              </w:rPr>
              <w:t>（1）一肢或一肢以上肢体机能完全丧失；</w:t>
            </w:r>
          </w:p>
          <w:p>
            <w:pPr>
              <w:pStyle w:val="TableParagraph"/>
              <w:spacing w:before="36"/>
              <w:ind w:left="213"/>
              <w:rPr>
                <w:sz w:val="21"/>
              </w:rPr>
            </w:pPr>
            <w:r>
              <w:rPr>
                <w:sz w:val="21"/>
              </w:rPr>
              <w:t>（2）语言能力或咀嚼吞咽能力完全丧失；</w:t>
            </w:r>
          </w:p>
          <w:p>
            <w:pPr>
              <w:pStyle w:val="TableParagraph"/>
              <w:spacing w:line="310" w:lineRule="atLeast" w:before="1"/>
              <w:ind w:left="738" w:right="231"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4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8010"/>
      </w:tblGrid>
      <w:tr>
        <w:trPr>
          <w:trHeight w:val="1943" w:hRule="atLeast"/>
        </w:trPr>
        <w:tc>
          <w:tcPr>
            <w:tcW w:w="1615" w:type="dxa"/>
          </w:tcPr>
          <w:p>
            <w:pPr>
              <w:pStyle w:val="TableParagraph"/>
              <w:spacing w:line="243" w:lineRule="exact"/>
              <w:ind w:left="200"/>
              <w:rPr>
                <w:rFonts w:ascii="等线" w:eastAsia="等线" w:hint="eastAsia"/>
                <w:b/>
                <w:sz w:val="24"/>
              </w:rPr>
            </w:pPr>
            <w:r>
              <w:rPr>
                <w:rFonts w:ascii="等线" w:eastAsia="等线" w:hint="eastAsia"/>
                <w:b/>
                <w:sz w:val="24"/>
              </w:rPr>
              <w:t>严重帕金森</w:t>
            </w:r>
          </w:p>
          <w:p>
            <w:pPr>
              <w:pStyle w:val="TableParagraph"/>
              <w:spacing w:line="323" w:lineRule="exact"/>
              <w:ind w:left="200"/>
              <w:rPr>
                <w:rFonts w:ascii="等线" w:eastAsia="等线" w:hint="eastAsia"/>
                <w:b/>
                <w:sz w:val="24"/>
              </w:rPr>
            </w:pPr>
            <w:r>
              <w:rPr>
                <w:rFonts w:ascii="等线" w:eastAsia="等线" w:hint="eastAsia"/>
                <w:b/>
                <w:sz w:val="24"/>
              </w:rPr>
              <w:t>病</w:t>
            </w:r>
          </w:p>
        </w:tc>
        <w:tc>
          <w:tcPr>
            <w:tcW w:w="8010" w:type="dxa"/>
          </w:tcPr>
          <w:p>
            <w:pPr>
              <w:pStyle w:val="TableParagraph"/>
              <w:spacing w:line="228" w:lineRule="exact"/>
              <w:ind w:left="213"/>
              <w:rPr>
                <w:sz w:val="21"/>
              </w:rPr>
            </w:pPr>
            <w:r>
              <w:rPr>
                <w:sz w:val="21"/>
              </w:rPr>
              <w:t>是一种中枢神经系统的退行性疾病，临床表现为震颤麻痹、共济失调等。须满足下</w:t>
            </w:r>
          </w:p>
          <w:p>
            <w:pPr>
              <w:pStyle w:val="TableParagraph"/>
              <w:spacing w:before="37"/>
              <w:ind w:left="213"/>
              <w:rPr>
                <w:sz w:val="21"/>
              </w:rPr>
            </w:pPr>
            <w:r>
              <w:rPr>
                <w:sz w:val="21"/>
              </w:rPr>
              <w:t>列全部条件：</w:t>
            </w:r>
          </w:p>
          <w:p>
            <w:pPr>
              <w:pStyle w:val="TableParagraph"/>
              <w:spacing w:before="37"/>
              <w:ind w:left="213"/>
              <w:rPr>
                <w:sz w:val="21"/>
              </w:rPr>
            </w:pPr>
            <w:r>
              <w:rPr>
                <w:sz w:val="21"/>
              </w:rPr>
              <w:t>（1）药物治疗无法控制病情；</w:t>
            </w:r>
          </w:p>
          <w:p>
            <w:pPr>
              <w:pStyle w:val="TableParagraph"/>
              <w:spacing w:line="273" w:lineRule="auto" w:before="37"/>
              <w:ind w:left="739" w:right="124" w:hanging="526"/>
              <w:rPr>
                <w:sz w:val="21"/>
              </w:rPr>
            </w:pPr>
            <w:r>
              <w:rPr>
                <w:sz w:val="21"/>
              </w:rPr>
              <w:t>（2）自主生活能力完全丧失，无法独立完成六项基本日常生活活动中的三项或三项以上。</w:t>
            </w:r>
          </w:p>
          <w:p>
            <w:pPr>
              <w:pStyle w:val="TableParagraph"/>
              <w:spacing w:before="7"/>
              <w:ind w:left="213"/>
              <w:rPr>
                <w:sz w:val="21"/>
              </w:rPr>
            </w:pPr>
            <w:r>
              <w:rPr>
                <w:sz w:val="21"/>
                <w:shd w:fill="DADADA" w:color="auto" w:val="clear"/>
              </w:rPr>
              <w:t>继发性帕金森综合征不在保障范围内。</w:t>
            </w:r>
          </w:p>
        </w:tc>
      </w:tr>
      <w:tr>
        <w:trPr>
          <w:trHeight w:val="870" w:hRule="atLeast"/>
        </w:trPr>
        <w:tc>
          <w:tcPr>
            <w:tcW w:w="1615" w:type="dxa"/>
          </w:tcPr>
          <w:p>
            <w:pPr>
              <w:pStyle w:val="TableParagraph"/>
              <w:spacing w:line="232" w:lineRule="auto" w:before="86"/>
              <w:ind w:left="200" w:right="211"/>
              <w:rPr>
                <w:rFonts w:ascii="等线" w:hAnsi="等线" w:eastAsia="等线" w:hint="eastAsia"/>
                <w:b/>
                <w:sz w:val="24"/>
              </w:rPr>
            </w:pPr>
            <w:r>
              <w:rPr>
                <w:rFonts w:ascii="等线" w:hAnsi="等线" w:eastAsia="等线" w:hint="eastAsia"/>
                <w:b/>
                <w:sz w:val="24"/>
              </w:rPr>
              <w:t>严重Ⅲ度烧伤</w:t>
            </w:r>
          </w:p>
        </w:tc>
        <w:tc>
          <w:tcPr>
            <w:tcW w:w="8010" w:type="dxa"/>
          </w:tcPr>
          <w:p>
            <w:pPr>
              <w:pStyle w:val="TableParagraph"/>
              <w:spacing w:line="273" w:lineRule="auto" w:before="108"/>
              <w:ind w:left="213" w:right="199" w:hanging="1"/>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6"/>
                <w:sz w:val="21"/>
              </w:rPr>
              <w:t>%以上。体表面积根据《中国新九分法》计算。</w:t>
            </w:r>
          </w:p>
        </w:tc>
      </w:tr>
      <w:tr>
        <w:trPr>
          <w:trHeight w:val="1155" w:hRule="atLeast"/>
        </w:trPr>
        <w:tc>
          <w:tcPr>
            <w:tcW w:w="1615" w:type="dxa"/>
          </w:tcPr>
          <w:p>
            <w:pPr>
              <w:pStyle w:val="TableParagraph"/>
              <w:spacing w:line="232" w:lineRule="auto" w:before="78"/>
              <w:ind w:left="200" w:right="211"/>
              <w:rPr>
                <w:rFonts w:ascii="等线" w:eastAsia="等线" w:hint="eastAsia"/>
                <w:b/>
                <w:sz w:val="24"/>
              </w:rPr>
            </w:pPr>
            <w:r>
              <w:rPr>
                <w:rFonts w:ascii="等线" w:eastAsia="等线" w:hint="eastAsia"/>
                <w:b/>
                <w:sz w:val="24"/>
              </w:rPr>
              <w:t>严重原发性肺动脉高压</w:t>
            </w:r>
          </w:p>
        </w:tc>
        <w:tc>
          <w:tcPr>
            <w:tcW w:w="8010" w:type="dxa"/>
          </w:tcPr>
          <w:p>
            <w:pPr>
              <w:pStyle w:val="TableParagraph"/>
              <w:spacing w:line="273" w:lineRule="auto" w:before="101"/>
              <w:ind w:left="213" w:right="234"/>
              <w:rPr>
                <w:sz w:val="21"/>
              </w:rPr>
            </w:pPr>
            <w:r>
              <w:rPr>
                <w:sz w:val="21"/>
              </w:rPr>
              <w:t>指不明原因的肺动脉压力持续性增高，进行性发展而导致的慢性疾病，已经造成永久不可逆性的体力活动能力受限，达到美国纽约心脏病学会</w:t>
            </w:r>
            <w:r>
              <w:rPr>
                <w:b/>
                <w:sz w:val="21"/>
              </w:rPr>
              <w:t>心功能状态分级</w:t>
            </w:r>
            <w:r>
              <w:rPr>
                <w:sz w:val="21"/>
              </w:rPr>
              <w:t>（见</w:t>
            </w:r>
          </w:p>
          <w:p>
            <w:pPr>
              <w:pStyle w:val="TableParagraph"/>
              <w:spacing w:before="8"/>
              <w:ind w:left="213"/>
              <w:rPr>
                <w:sz w:val="21"/>
              </w:rPr>
            </w:pPr>
            <w:r>
              <w:rPr>
                <w:sz w:val="21"/>
              </w:rPr>
              <w:t>9.11）IV 级，且静息状态下肺动脉平均压超过 30mmHg。</w:t>
            </w:r>
          </w:p>
        </w:tc>
      </w:tr>
      <w:tr>
        <w:trPr>
          <w:trHeight w:val="1162" w:hRule="atLeast"/>
        </w:trPr>
        <w:tc>
          <w:tcPr>
            <w:tcW w:w="1615" w:type="dxa"/>
          </w:tcPr>
          <w:p>
            <w:pPr>
              <w:pStyle w:val="TableParagraph"/>
              <w:spacing w:line="232" w:lineRule="auto" w:before="86"/>
              <w:ind w:left="200" w:right="211"/>
              <w:rPr>
                <w:rFonts w:ascii="等线" w:eastAsia="等线" w:hint="eastAsia"/>
                <w:b/>
                <w:sz w:val="24"/>
              </w:rPr>
            </w:pPr>
            <w:r>
              <w:rPr>
                <w:rFonts w:ascii="等线" w:eastAsia="等线" w:hint="eastAsia"/>
                <w:b/>
                <w:sz w:val="24"/>
              </w:rPr>
              <w:t>严重运动神经元病</w:t>
            </w:r>
          </w:p>
        </w:tc>
        <w:tc>
          <w:tcPr>
            <w:tcW w:w="8010" w:type="dxa"/>
          </w:tcPr>
          <w:p>
            <w:pPr>
              <w:pStyle w:val="TableParagraph"/>
              <w:spacing w:line="273" w:lineRule="auto" w:before="108"/>
              <w:ind w:left="213" w:right="23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62" w:hRule="atLeast"/>
        </w:trPr>
        <w:tc>
          <w:tcPr>
            <w:tcW w:w="1615" w:type="dxa"/>
          </w:tcPr>
          <w:p>
            <w:pPr>
              <w:pStyle w:val="TableParagraph"/>
              <w:spacing w:line="232" w:lineRule="auto" w:before="86"/>
              <w:ind w:left="200" w:right="211"/>
              <w:rPr>
                <w:rFonts w:ascii="等线" w:eastAsia="等线" w:hint="eastAsia"/>
                <w:b/>
                <w:sz w:val="24"/>
              </w:rPr>
            </w:pPr>
            <w:r>
              <w:rPr>
                <w:rFonts w:ascii="等线" w:eastAsia="等线" w:hint="eastAsia"/>
                <w:b/>
                <w:sz w:val="24"/>
              </w:rPr>
              <w:t>语言能力丧失</w:t>
            </w:r>
          </w:p>
        </w:tc>
        <w:tc>
          <w:tcPr>
            <w:tcW w:w="8010" w:type="dxa"/>
          </w:tcPr>
          <w:p>
            <w:pPr>
              <w:pStyle w:val="TableParagraph"/>
              <w:spacing w:line="273" w:lineRule="auto" w:before="108"/>
              <w:ind w:left="213" w:right="199"/>
              <w:rPr>
                <w:sz w:val="21"/>
              </w:rPr>
            </w:pPr>
            <w:r>
              <w:rPr>
                <w:spacing w:val="-4"/>
                <w:sz w:val="21"/>
              </w:rPr>
              <w:t>指因疾病或意外伤害导致完全丧失语言能力，经过积极治疗至少 </w:t>
            </w:r>
            <w:r>
              <w:rPr>
                <w:sz w:val="21"/>
              </w:rPr>
              <w:t>12</w:t>
            </w:r>
            <w:r>
              <w:rPr>
                <w:spacing w:val="-3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213"/>
              <w:rPr>
                <w:sz w:val="21"/>
              </w:rPr>
            </w:pPr>
            <w:r>
              <w:rPr>
                <w:sz w:val="21"/>
                <w:shd w:fill="DADADA" w:color="auto" w:val="clear"/>
              </w:rPr>
              <w:t>精神心理因素所致的语言能力丧失不在保障范围内。</w:t>
            </w:r>
          </w:p>
        </w:tc>
      </w:tr>
      <w:tr>
        <w:trPr>
          <w:trHeight w:val="2410" w:hRule="atLeast"/>
        </w:trPr>
        <w:tc>
          <w:tcPr>
            <w:tcW w:w="1615" w:type="dxa"/>
          </w:tcPr>
          <w:p>
            <w:pPr>
              <w:pStyle w:val="TableParagraph"/>
              <w:spacing w:line="232" w:lineRule="auto" w:before="86"/>
              <w:ind w:left="200" w:right="211"/>
              <w:rPr>
                <w:rFonts w:ascii="等线" w:eastAsia="等线" w:hint="eastAsia"/>
                <w:b/>
                <w:sz w:val="24"/>
              </w:rPr>
            </w:pPr>
            <w:r>
              <w:rPr>
                <w:rFonts w:ascii="等线" w:eastAsia="等线" w:hint="eastAsia"/>
                <w:b/>
                <w:sz w:val="24"/>
              </w:rPr>
              <w:t>重型再生障碍性贫血</w:t>
            </w:r>
          </w:p>
        </w:tc>
        <w:tc>
          <w:tcPr>
            <w:tcW w:w="8010" w:type="dxa"/>
          </w:tcPr>
          <w:p>
            <w:pPr>
              <w:pStyle w:val="TableParagraph"/>
              <w:spacing w:line="273" w:lineRule="auto" w:before="108"/>
              <w:ind w:left="213" w:right="234"/>
              <w:rPr>
                <w:sz w:val="21"/>
              </w:rPr>
            </w:pPr>
            <w:r>
              <w:rPr>
                <w:sz w:val="21"/>
              </w:rPr>
              <w:t>指因骨髓造血功能慢性持续性衰竭导致的贫血、中性粒细胞减少及血小板减少。须满足下列全部条件：</w:t>
            </w:r>
          </w:p>
          <w:p>
            <w:pPr>
              <w:pStyle w:val="TableParagraph"/>
              <w:spacing w:before="7"/>
              <w:ind w:left="213"/>
              <w:rPr>
                <w:sz w:val="21"/>
              </w:rPr>
            </w:pPr>
            <w:r>
              <w:rPr>
                <w:sz w:val="21"/>
              </w:rPr>
              <w:t>（1）骨髓穿刺检查或骨髓活检结果支持诊断；</w:t>
            </w:r>
          </w:p>
          <w:p>
            <w:pPr>
              <w:pStyle w:val="TableParagraph"/>
              <w:spacing w:before="36"/>
              <w:ind w:left="213"/>
              <w:rPr>
                <w:sz w:val="21"/>
              </w:rPr>
            </w:pPr>
            <w:r>
              <w:rPr>
                <w:sz w:val="21"/>
              </w:rPr>
              <w:t>（2）外周血象须具备以下三项条件：</w:t>
            </w:r>
          </w:p>
          <w:p>
            <w:pPr>
              <w:pStyle w:val="TableParagraph"/>
              <w:spacing w:before="36"/>
              <w:ind w:left="423"/>
              <w:rPr>
                <w:sz w:val="21"/>
              </w:rPr>
            </w:pPr>
            <w:r>
              <w:rPr>
                <w:sz w:val="21"/>
              </w:rPr>
              <w:t>① 中性粒细胞绝对值≤0.5×10</w:t>
            </w:r>
            <w:r>
              <w:rPr>
                <w:position w:val="11"/>
                <w:sz w:val="11"/>
              </w:rPr>
              <w:t>9</w:t>
            </w:r>
            <w:r>
              <w:rPr>
                <w:sz w:val="21"/>
              </w:rPr>
              <w:t>/L ；</w:t>
            </w:r>
          </w:p>
          <w:p>
            <w:pPr>
              <w:pStyle w:val="TableParagraph"/>
              <w:spacing w:before="36"/>
              <w:ind w:left="423"/>
              <w:rPr>
                <w:sz w:val="21"/>
              </w:rPr>
            </w:pPr>
            <w:r>
              <w:rPr>
                <w:sz w:val="21"/>
              </w:rPr>
              <w:t>② 网织红细胞＜1%；</w:t>
            </w:r>
          </w:p>
          <w:p>
            <w:pPr>
              <w:pStyle w:val="TableParagraph"/>
              <w:spacing w:before="36"/>
              <w:ind w:left="423"/>
              <w:rPr>
                <w:sz w:val="21"/>
              </w:rPr>
            </w:pPr>
            <w:r>
              <w:rPr>
                <w:sz w:val="21"/>
              </w:rPr>
              <w:t>③ 血小板绝对值≤20×10</w:t>
            </w:r>
            <w:r>
              <w:rPr>
                <w:position w:val="11"/>
                <w:sz w:val="11"/>
              </w:rPr>
              <w:t>9</w:t>
            </w:r>
            <w:r>
              <w:rPr>
                <w:sz w:val="21"/>
              </w:rPr>
              <w:t>/L。</w:t>
            </w:r>
          </w:p>
        </w:tc>
      </w:tr>
      <w:tr>
        <w:trPr>
          <w:trHeight w:val="1483" w:hRule="atLeast"/>
        </w:trPr>
        <w:tc>
          <w:tcPr>
            <w:tcW w:w="1615" w:type="dxa"/>
          </w:tcPr>
          <w:p>
            <w:pPr>
              <w:pStyle w:val="TableParagraph"/>
              <w:spacing w:before="76"/>
              <w:ind w:left="200"/>
              <w:rPr>
                <w:rFonts w:ascii="等线" w:eastAsia="等线" w:hint="eastAsia"/>
                <w:b/>
                <w:sz w:val="24"/>
              </w:rPr>
            </w:pPr>
            <w:r>
              <w:rPr>
                <w:rFonts w:ascii="等线" w:eastAsia="等线" w:hint="eastAsia"/>
                <w:b/>
                <w:sz w:val="24"/>
              </w:rPr>
              <w:t>主动脉手术</w:t>
            </w:r>
          </w:p>
        </w:tc>
        <w:tc>
          <w:tcPr>
            <w:tcW w:w="8010" w:type="dxa"/>
          </w:tcPr>
          <w:p>
            <w:pPr>
              <w:pStyle w:val="TableParagraph"/>
              <w:spacing w:line="273" w:lineRule="auto" w:before="108"/>
              <w:ind w:left="213" w:right="23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213"/>
              <w:jc w:val="both"/>
              <w:rPr>
                <w:sz w:val="21"/>
              </w:rPr>
            </w:pPr>
            <w:r>
              <w:rPr>
                <w:sz w:val="21"/>
                <w:shd w:fill="DADADA" w:color="auto" w:val="clear"/>
              </w:rPr>
              <w:t>动脉内血管成形术不在保障范围内。</w:t>
            </w:r>
          </w:p>
        </w:tc>
      </w:tr>
      <w:tr>
        <w:trPr>
          <w:trHeight w:val="842" w:hRule="atLeast"/>
        </w:trPr>
        <w:tc>
          <w:tcPr>
            <w:tcW w:w="1615" w:type="dxa"/>
          </w:tcPr>
          <w:p>
            <w:pPr>
              <w:pStyle w:val="TableParagraph"/>
              <w:rPr>
                <w:rFonts w:ascii="Times New Roman"/>
                <w:sz w:val="20"/>
              </w:rPr>
            </w:pPr>
          </w:p>
        </w:tc>
        <w:tc>
          <w:tcPr>
            <w:tcW w:w="8010" w:type="dxa"/>
          </w:tcPr>
          <w:p>
            <w:pPr>
              <w:pStyle w:val="TableParagraph"/>
              <w:spacing w:line="273" w:lineRule="auto" w:before="99"/>
              <w:ind w:left="213" w:right="234"/>
              <w:rPr>
                <w:sz w:val="21"/>
              </w:rPr>
            </w:pPr>
            <w:r>
              <w:rPr>
                <w:sz w:val="21"/>
              </w:rPr>
              <w:t>以下重大疾病是本公司在中国保险行业协会与中国医师协会制定了规范定义的疾病范围之外增加的疾病。</w:t>
            </w:r>
          </w:p>
        </w:tc>
      </w:tr>
      <w:tr>
        <w:trPr>
          <w:trHeight w:val="2255" w:hRule="atLeast"/>
        </w:trPr>
        <w:tc>
          <w:tcPr>
            <w:tcW w:w="1615" w:type="dxa"/>
          </w:tcPr>
          <w:p>
            <w:pPr>
              <w:pStyle w:val="TableParagraph"/>
              <w:spacing w:line="232" w:lineRule="auto" w:before="86"/>
              <w:ind w:left="200" w:right="211"/>
              <w:rPr>
                <w:rFonts w:ascii="等线" w:eastAsia="等线" w:hint="eastAsia"/>
                <w:b/>
                <w:sz w:val="24"/>
              </w:rPr>
            </w:pPr>
            <w:r>
              <w:rPr>
                <w:rFonts w:ascii="等线" w:eastAsia="等线" w:hint="eastAsia"/>
                <w:b/>
                <w:sz w:val="24"/>
              </w:rPr>
              <w:t>严重的多发性硬化</w:t>
            </w:r>
          </w:p>
        </w:tc>
        <w:tc>
          <w:tcPr>
            <w:tcW w:w="8010" w:type="dxa"/>
          </w:tcPr>
          <w:p>
            <w:pPr>
              <w:pStyle w:val="TableParagraph"/>
              <w:spacing w:line="273" w:lineRule="auto" w:before="108"/>
              <w:ind w:left="213" w:right="199"/>
              <w:jc w:val="both"/>
              <w:rPr>
                <w:sz w:val="21"/>
              </w:rPr>
            </w:pPr>
            <w:r>
              <w:rPr>
                <w:sz w:val="21"/>
              </w:rPr>
              <w:t>指因中枢神经系统脱髓鞘而导致的不可逆的身体部位的功能障碍，需由神经科专科</w:t>
            </w:r>
            <w:r>
              <w:rPr>
                <w:spacing w:val="-9"/>
                <w:sz w:val="21"/>
              </w:rPr>
              <w:t>医生提供明确诊断，并有 </w:t>
            </w:r>
            <w:r>
              <w:rPr>
                <w:sz w:val="21"/>
              </w:rPr>
              <w:t>CT</w:t>
            </w:r>
            <w:r>
              <w:rPr>
                <w:spacing w:val="-10"/>
                <w:sz w:val="21"/>
              </w:rPr>
              <w:t> 或核磁共振检查结果诊断报告。不可逆的身体部位功能</w:t>
            </w:r>
            <w:r>
              <w:rPr>
                <w:spacing w:val="-13"/>
                <w:sz w:val="21"/>
              </w:rPr>
              <w:t>障碍指诊断为功能障碍后需已经持续 </w:t>
            </w:r>
            <w:r>
              <w:rPr>
                <w:sz w:val="21"/>
              </w:rPr>
              <w:t>180</w:t>
            </w:r>
            <w:r>
              <w:rPr>
                <w:spacing w:val="-12"/>
                <w:sz w:val="21"/>
              </w:rPr>
              <w:t> 日以上。</w:t>
            </w:r>
          </w:p>
          <w:p>
            <w:pPr>
              <w:pStyle w:val="TableParagraph"/>
              <w:spacing w:before="7"/>
              <w:ind w:left="213"/>
              <w:jc w:val="both"/>
              <w:rPr>
                <w:sz w:val="21"/>
              </w:rPr>
            </w:pPr>
            <w:r>
              <w:rPr>
                <w:sz w:val="21"/>
              </w:rPr>
              <w:t>由神经科专科医生提供的明确诊断必须同时包含下列内容：</w:t>
            </w:r>
          </w:p>
          <w:p>
            <w:pPr>
              <w:pStyle w:val="TableParagraph"/>
              <w:spacing w:before="36"/>
              <w:ind w:left="213"/>
              <w:jc w:val="both"/>
              <w:rPr>
                <w:sz w:val="21"/>
              </w:rPr>
            </w:pPr>
            <w:r>
              <w:rPr>
                <w:sz w:val="21"/>
              </w:rPr>
              <w:t>（1）明确出现因视神经、脑干和脊髓损伤而导致的临床表现；</w:t>
            </w:r>
          </w:p>
          <w:p>
            <w:pPr>
              <w:pStyle w:val="TableParagraph"/>
              <w:spacing w:before="36"/>
              <w:ind w:left="213"/>
              <w:jc w:val="both"/>
              <w:rPr>
                <w:sz w:val="21"/>
              </w:rPr>
            </w:pPr>
            <w:r>
              <w:rPr>
                <w:sz w:val="21"/>
              </w:rPr>
              <w:t>（2）神经系统散在的多部位病变；</w:t>
            </w:r>
          </w:p>
          <w:p>
            <w:pPr>
              <w:pStyle w:val="TableParagraph"/>
              <w:spacing w:line="255" w:lineRule="exact" w:before="36"/>
              <w:ind w:left="213"/>
              <w:jc w:val="both"/>
              <w:rPr>
                <w:sz w:val="21"/>
              </w:rPr>
            </w:pPr>
            <w:r>
              <w:rPr>
                <w:sz w:val="21"/>
              </w:rPr>
              <w:t>（3）有明确的上述症状及神经损伤反复恶化、减轻的病史纪录。</w:t>
            </w:r>
          </w:p>
        </w:tc>
      </w:tr>
    </w:tbl>
    <w:p>
      <w:pPr>
        <w:spacing w:after="0" w:line="255" w:lineRule="exact"/>
        <w:jc w:val="both"/>
        <w:rPr>
          <w:sz w:val="21"/>
        </w:rPr>
        <w:sectPr>
          <w:pgSz w:w="11910" w:h="16840"/>
          <w:pgMar w:top="1140" w:bottom="280" w:left="136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681"/>
        <w:gridCol w:w="8011"/>
      </w:tblGrid>
      <w:tr>
        <w:trPr>
          <w:trHeight w:val="2255" w:hRule="atLeast"/>
        </w:trPr>
        <w:tc>
          <w:tcPr>
            <w:tcW w:w="679" w:type="dxa"/>
          </w:tcPr>
          <w:p>
            <w:pPr>
              <w:pStyle w:val="TableParagraph"/>
              <w:rPr>
                <w:rFonts w:ascii="Times New Roman"/>
                <w:sz w:val="20"/>
              </w:rPr>
            </w:pPr>
          </w:p>
        </w:tc>
        <w:tc>
          <w:tcPr>
            <w:tcW w:w="1681" w:type="dxa"/>
          </w:tcPr>
          <w:p>
            <w:pPr>
              <w:pStyle w:val="TableParagraph"/>
              <w:spacing w:line="243" w:lineRule="exact"/>
              <w:ind w:left="160"/>
              <w:rPr>
                <w:rFonts w:ascii="等线" w:eastAsia="等线" w:hint="eastAsia"/>
                <w:b/>
                <w:sz w:val="24"/>
              </w:rPr>
            </w:pPr>
            <w:r>
              <w:rPr>
                <w:rFonts w:ascii="等线" w:eastAsia="等线" w:hint="eastAsia"/>
                <w:b/>
                <w:sz w:val="24"/>
              </w:rPr>
              <w:t>严重的 1 型糖</w:t>
            </w:r>
          </w:p>
          <w:p>
            <w:pPr>
              <w:pStyle w:val="TableParagraph"/>
              <w:spacing w:line="323" w:lineRule="exact"/>
              <w:ind w:left="160"/>
              <w:rPr>
                <w:rFonts w:ascii="等线" w:eastAsia="等线" w:hint="eastAsia"/>
                <w:b/>
                <w:sz w:val="24"/>
              </w:rPr>
            </w:pPr>
            <w:r>
              <w:rPr>
                <w:rFonts w:ascii="等线" w:eastAsia="等线" w:hint="eastAsia"/>
                <w:b/>
                <w:sz w:val="24"/>
              </w:rPr>
              <w:t>尿病</w:t>
            </w:r>
          </w:p>
        </w:tc>
        <w:tc>
          <w:tcPr>
            <w:tcW w:w="8011" w:type="dxa"/>
          </w:tcPr>
          <w:p>
            <w:pPr>
              <w:pStyle w:val="TableParagraph"/>
              <w:spacing w:line="228" w:lineRule="exact"/>
              <w:ind w:left="108"/>
              <w:rPr>
                <w:sz w:val="21"/>
              </w:rPr>
            </w:pPr>
            <w:r>
              <w:rPr>
                <w:sz w:val="21"/>
              </w:rPr>
              <w:t>严重的 1 型糖尿病为由于胰岛素分泌绝对不足引起的慢性血糖升高，且已经持续性</w:t>
            </w:r>
          </w:p>
          <w:p>
            <w:pPr>
              <w:pStyle w:val="TableParagraph"/>
              <w:spacing w:line="273" w:lineRule="auto" w:before="37"/>
              <w:ind w:left="107" w:right="341"/>
              <w:jc w:val="both"/>
              <w:rPr>
                <w:sz w:val="21"/>
              </w:rPr>
            </w:pPr>
            <w:r>
              <w:rPr>
                <w:spacing w:val="-5"/>
                <w:sz w:val="21"/>
              </w:rPr>
              <w:t>地依赖外源性胰岛素维持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8"/>
                <w:sz w:val="21"/>
              </w:rPr>
              <w:t> 肽测定，结果异常，并由内分泌科专科医生明确诊断。并须在本主险合同有效期内，满</w:t>
            </w:r>
            <w:r>
              <w:rPr>
                <w:spacing w:val="-24"/>
                <w:sz w:val="21"/>
              </w:rPr>
              <w:t>足下述至少 </w:t>
            </w:r>
            <w:r>
              <w:rPr>
                <w:sz w:val="21"/>
              </w:rPr>
              <w:t>1</w:t>
            </w:r>
            <w:r>
              <w:rPr>
                <w:spacing w:val="-12"/>
                <w:sz w:val="21"/>
              </w:rPr>
              <w:t> 个条件：</w:t>
            </w:r>
          </w:p>
          <w:p>
            <w:pPr>
              <w:pStyle w:val="TableParagraph"/>
              <w:spacing w:before="7"/>
              <w:ind w:left="107"/>
              <w:jc w:val="both"/>
              <w:rPr>
                <w:sz w:val="21"/>
              </w:rPr>
            </w:pPr>
            <w:r>
              <w:rPr>
                <w:sz w:val="21"/>
              </w:rPr>
              <w:t>（1）已出现增殖性视网膜病变；</w:t>
            </w:r>
          </w:p>
          <w:p>
            <w:pPr>
              <w:pStyle w:val="TableParagraph"/>
              <w:spacing w:before="36"/>
              <w:ind w:left="107"/>
              <w:jc w:val="both"/>
              <w:rPr>
                <w:sz w:val="21"/>
              </w:rPr>
            </w:pPr>
            <w:r>
              <w:rPr>
                <w:sz w:val="21"/>
              </w:rPr>
              <w:t>（2）须植入心脏起搏器治疗心脏病；</w:t>
            </w:r>
          </w:p>
          <w:p>
            <w:pPr>
              <w:pStyle w:val="TableParagraph"/>
              <w:spacing w:before="36"/>
              <w:ind w:left="107"/>
              <w:jc w:val="both"/>
              <w:rPr>
                <w:sz w:val="21"/>
              </w:rPr>
            </w:pPr>
            <w:r>
              <w:rPr>
                <w:sz w:val="21"/>
              </w:rPr>
              <w:t>（3）因坏疽需切除至少一个脚趾。</w:t>
            </w:r>
          </w:p>
        </w:tc>
      </w:tr>
      <w:tr>
        <w:trPr>
          <w:trHeight w:val="1186" w:hRule="atLeast"/>
        </w:trPr>
        <w:tc>
          <w:tcPr>
            <w:tcW w:w="679" w:type="dxa"/>
          </w:tcPr>
          <w:p>
            <w:pPr>
              <w:pStyle w:val="TableParagraph"/>
              <w:rPr>
                <w:rFonts w:ascii="Times New Roman"/>
                <w:sz w:val="20"/>
              </w:rPr>
            </w:pPr>
          </w:p>
        </w:tc>
        <w:tc>
          <w:tcPr>
            <w:tcW w:w="1681" w:type="dxa"/>
          </w:tcPr>
          <w:p>
            <w:pPr>
              <w:pStyle w:val="TableParagraph"/>
              <w:spacing w:line="232" w:lineRule="auto" w:before="85"/>
              <w:ind w:left="160" w:right="107"/>
              <w:rPr>
                <w:rFonts w:ascii="等线" w:eastAsia="等线" w:hint="eastAsia"/>
                <w:b/>
                <w:sz w:val="24"/>
              </w:rPr>
            </w:pPr>
            <w:r>
              <w:rPr>
                <w:rFonts w:ascii="等线" w:eastAsia="等线" w:hint="eastAsia"/>
                <w:b/>
                <w:sz w:val="24"/>
              </w:rPr>
              <w:t>侵蚀性葡萄 </w:t>
            </w:r>
            <w:r>
              <w:rPr>
                <w:rFonts w:ascii="等线" w:eastAsia="等线" w:hint="eastAsia"/>
                <w:b/>
                <w:spacing w:val="-29"/>
                <w:sz w:val="24"/>
              </w:rPr>
              <w:t>胎</w:t>
            </w:r>
            <w:r>
              <w:rPr>
                <w:rFonts w:ascii="等线" w:eastAsia="等线" w:hint="eastAsia"/>
                <w:b/>
                <w:sz w:val="24"/>
              </w:rPr>
              <w:t>（或称恶性葡萄胎）</w:t>
            </w:r>
          </w:p>
        </w:tc>
        <w:tc>
          <w:tcPr>
            <w:tcW w:w="8011" w:type="dxa"/>
          </w:tcPr>
          <w:p>
            <w:pPr>
              <w:pStyle w:val="TableParagraph"/>
              <w:spacing w:line="273" w:lineRule="auto" w:before="108"/>
              <w:ind w:left="108" w:right="342"/>
              <w:rPr>
                <w:sz w:val="21"/>
              </w:rPr>
            </w:pPr>
            <w:r>
              <w:rPr>
                <w:sz w:val="21"/>
              </w:rPr>
              <w:t>该类疾病是指异常增生的绒毛组织浸润性生长浸入子宫肌层或转移至其他器官或组织的葡萄胎，并已经进行化疗或手术治疗的。</w:t>
            </w:r>
          </w:p>
        </w:tc>
      </w:tr>
      <w:tr>
        <w:trPr>
          <w:trHeight w:val="6147" w:hRule="atLeast"/>
        </w:trPr>
        <w:tc>
          <w:tcPr>
            <w:tcW w:w="679" w:type="dxa"/>
          </w:tcPr>
          <w:p>
            <w:pPr>
              <w:pStyle w:val="TableParagraph"/>
              <w:rPr>
                <w:rFonts w:ascii="Times New Roman"/>
                <w:sz w:val="20"/>
              </w:rPr>
            </w:pPr>
          </w:p>
        </w:tc>
        <w:tc>
          <w:tcPr>
            <w:tcW w:w="1681" w:type="dxa"/>
          </w:tcPr>
          <w:p>
            <w:pPr>
              <w:pStyle w:val="TableParagraph"/>
              <w:spacing w:line="232" w:lineRule="auto" w:before="78"/>
              <w:ind w:left="160" w:right="317"/>
              <w:jc w:val="both"/>
              <w:rPr>
                <w:rFonts w:ascii="等线" w:eastAsia="等线" w:hint="eastAsia"/>
                <w:b/>
                <w:sz w:val="24"/>
              </w:rPr>
            </w:pPr>
            <w:r>
              <w:rPr>
                <w:rFonts w:ascii="等线" w:eastAsia="等线" w:hint="eastAsia"/>
                <w:b/>
                <w:sz w:val="24"/>
              </w:rPr>
              <w:t>系统性红斑狼疮并发重度的肾功能损害</w:t>
            </w:r>
          </w:p>
        </w:tc>
        <w:tc>
          <w:tcPr>
            <w:tcW w:w="8011" w:type="dxa"/>
          </w:tcPr>
          <w:p>
            <w:pPr>
              <w:pStyle w:val="TableParagraph"/>
              <w:spacing w:before="101"/>
              <w:ind w:left="108"/>
              <w:rPr>
                <w:sz w:val="21"/>
              </w:rPr>
            </w:pPr>
            <w:r>
              <w:rPr>
                <w:sz w:val="21"/>
              </w:rPr>
              <w:t>该类疾病保障仅限于女性。</w:t>
            </w:r>
          </w:p>
          <w:p>
            <w:pPr>
              <w:pStyle w:val="TableParagraph"/>
              <w:spacing w:line="273" w:lineRule="auto" w:before="37"/>
              <w:ind w:left="108" w:right="303"/>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108"/>
              <w:jc w:val="both"/>
              <w:rPr>
                <w:sz w:val="21"/>
              </w:rPr>
            </w:pPr>
            <w:r>
              <w:rPr>
                <w:sz w:val="21"/>
              </w:rPr>
              <w:t>（1）临床表现至少具备下列条件中的 4 个：</w:t>
            </w:r>
          </w:p>
          <w:p>
            <w:pPr>
              <w:pStyle w:val="TableParagraph"/>
              <w:spacing w:before="37"/>
              <w:ind w:left="317"/>
              <w:rPr>
                <w:sz w:val="21"/>
              </w:rPr>
            </w:pPr>
            <w:r>
              <w:rPr>
                <w:sz w:val="21"/>
              </w:rPr>
              <w:t>① 蝶形红斑或盘形红斑；</w:t>
            </w:r>
          </w:p>
          <w:p>
            <w:pPr>
              <w:pStyle w:val="TableParagraph"/>
              <w:spacing w:before="37"/>
              <w:ind w:left="317"/>
              <w:rPr>
                <w:sz w:val="21"/>
              </w:rPr>
            </w:pPr>
            <w:r>
              <w:rPr>
                <w:sz w:val="21"/>
              </w:rPr>
              <w:t>② 光敏感；</w:t>
            </w:r>
          </w:p>
          <w:p>
            <w:pPr>
              <w:pStyle w:val="TableParagraph"/>
              <w:spacing w:before="37"/>
              <w:ind w:left="317"/>
              <w:rPr>
                <w:sz w:val="21"/>
              </w:rPr>
            </w:pPr>
            <w:r>
              <w:rPr>
                <w:sz w:val="21"/>
              </w:rPr>
              <w:t>③ 口鼻腔黏膜溃疡；</w:t>
            </w:r>
          </w:p>
          <w:p>
            <w:pPr>
              <w:pStyle w:val="TableParagraph"/>
              <w:spacing w:before="37"/>
              <w:ind w:left="317"/>
              <w:rPr>
                <w:sz w:val="21"/>
              </w:rPr>
            </w:pPr>
            <w:r>
              <w:rPr>
                <w:sz w:val="21"/>
              </w:rPr>
              <w:t>④ 非畸形性关节炎或多关节痛；</w:t>
            </w:r>
          </w:p>
          <w:p>
            <w:pPr>
              <w:pStyle w:val="TableParagraph"/>
              <w:spacing w:before="37"/>
              <w:ind w:left="317"/>
              <w:rPr>
                <w:sz w:val="21"/>
              </w:rPr>
            </w:pPr>
            <w:r>
              <w:rPr>
                <w:sz w:val="21"/>
              </w:rPr>
              <w:t>⑤ 胸膜炎或心包炎；</w:t>
            </w:r>
          </w:p>
          <w:p>
            <w:pPr>
              <w:pStyle w:val="TableParagraph"/>
              <w:spacing w:before="37"/>
              <w:ind w:left="317"/>
              <w:rPr>
                <w:sz w:val="21"/>
              </w:rPr>
            </w:pPr>
            <w:r>
              <w:rPr>
                <w:spacing w:val="-1"/>
                <w:sz w:val="21"/>
              </w:rPr>
              <w:t>⑥ 神经系统损伤</w:t>
            </w:r>
            <w:r>
              <w:rPr>
                <w:sz w:val="21"/>
              </w:rPr>
              <w:t>（癫痫或精神症状</w:t>
            </w:r>
            <w:r>
              <w:rPr>
                <w:spacing w:val="-106"/>
                <w:sz w:val="21"/>
              </w:rPr>
              <w:t>）</w:t>
            </w:r>
            <w:r>
              <w:rPr>
                <w:sz w:val="21"/>
              </w:rPr>
              <w:t>；</w:t>
            </w:r>
          </w:p>
          <w:p>
            <w:pPr>
              <w:pStyle w:val="TableParagraph"/>
              <w:spacing w:before="37"/>
              <w:ind w:left="317"/>
              <w:rPr>
                <w:sz w:val="21"/>
              </w:rPr>
            </w:pPr>
            <w:r>
              <w:rPr>
                <w:spacing w:val="-2"/>
                <w:sz w:val="21"/>
              </w:rPr>
              <w:t>⑦ 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9"/>
                <w:sz w:val="21"/>
              </w:rPr>
              <w:t> 或溶血性贫血</w:t>
            </w:r>
            <w:r>
              <w:rPr>
                <w:spacing w:val="-105"/>
                <w:sz w:val="21"/>
              </w:rPr>
              <w:t>）</w:t>
            </w:r>
            <w:r>
              <w:rPr>
                <w:sz w:val="21"/>
              </w:rPr>
              <w:t>。</w:t>
            </w:r>
          </w:p>
          <w:p>
            <w:pPr>
              <w:pStyle w:val="TableParagraph"/>
              <w:spacing w:before="37"/>
              <w:ind w:left="107"/>
              <w:jc w:val="both"/>
              <w:rPr>
                <w:sz w:val="21"/>
              </w:rPr>
            </w:pPr>
            <w:r>
              <w:rPr>
                <w:sz w:val="21"/>
              </w:rPr>
              <w:t>（2）检测结果至少具备下列条件中的 2 个：</w:t>
            </w:r>
          </w:p>
          <w:p>
            <w:pPr>
              <w:pStyle w:val="TableParagraph"/>
              <w:spacing w:before="37"/>
              <w:ind w:left="317"/>
              <w:rPr>
                <w:sz w:val="21"/>
              </w:rPr>
            </w:pPr>
            <w:r>
              <w:rPr>
                <w:sz w:val="21"/>
              </w:rPr>
              <w:t>① 抗 dsDNA 抗体阳性；</w:t>
            </w:r>
          </w:p>
          <w:p>
            <w:pPr>
              <w:pStyle w:val="TableParagraph"/>
              <w:spacing w:before="37"/>
              <w:ind w:left="317"/>
              <w:rPr>
                <w:sz w:val="21"/>
              </w:rPr>
            </w:pPr>
            <w:r>
              <w:rPr>
                <w:sz w:val="21"/>
              </w:rPr>
              <w:t>② 抗 Sm 抗体阳性；</w:t>
            </w:r>
          </w:p>
          <w:p>
            <w:pPr>
              <w:pStyle w:val="TableParagraph"/>
              <w:spacing w:before="37"/>
              <w:ind w:left="317"/>
              <w:rPr>
                <w:sz w:val="21"/>
              </w:rPr>
            </w:pPr>
            <w:r>
              <w:rPr>
                <w:sz w:val="21"/>
              </w:rPr>
              <w:t>③ 抗核抗体阳性；</w:t>
            </w:r>
          </w:p>
          <w:p>
            <w:pPr>
              <w:pStyle w:val="TableParagraph"/>
              <w:spacing w:before="37"/>
              <w:ind w:left="317"/>
              <w:rPr>
                <w:sz w:val="21"/>
              </w:rPr>
            </w:pPr>
            <w:r>
              <w:rPr>
                <w:sz w:val="21"/>
              </w:rPr>
              <w:t>④ 皮肤狼疮带试验（非病损部位）或肾活检阳性；</w:t>
            </w:r>
          </w:p>
          <w:p>
            <w:pPr>
              <w:pStyle w:val="TableParagraph"/>
              <w:spacing w:before="37"/>
              <w:ind w:left="317"/>
              <w:rPr>
                <w:sz w:val="21"/>
              </w:rPr>
            </w:pPr>
            <w:r>
              <w:rPr>
                <w:sz w:val="21"/>
              </w:rPr>
              <w:t>⑤ C3 低于正常值。</w:t>
            </w:r>
          </w:p>
          <w:p>
            <w:pPr>
              <w:pStyle w:val="TableParagraph"/>
              <w:spacing w:before="37"/>
              <w:ind w:left="107"/>
              <w:jc w:val="both"/>
              <w:rPr>
                <w:sz w:val="21"/>
              </w:rPr>
            </w:pPr>
            <w:r>
              <w:rPr>
                <w:sz w:val="21"/>
              </w:rPr>
              <w:t>（3）狼疮肾炎致使肾功能减弱，内生肌酐清除率低于每分钟 30ml。</w:t>
            </w:r>
          </w:p>
        </w:tc>
      </w:tr>
      <w:tr>
        <w:trPr>
          <w:trHeight w:val="2107" w:hRule="atLeast"/>
        </w:trPr>
        <w:tc>
          <w:tcPr>
            <w:tcW w:w="679" w:type="dxa"/>
          </w:tcPr>
          <w:p>
            <w:pPr>
              <w:pStyle w:val="TableParagraph"/>
              <w:rPr>
                <w:rFonts w:ascii="Times New Roman"/>
                <w:sz w:val="20"/>
              </w:rPr>
            </w:pPr>
          </w:p>
        </w:tc>
        <w:tc>
          <w:tcPr>
            <w:tcW w:w="1681" w:type="dxa"/>
          </w:tcPr>
          <w:p>
            <w:pPr>
              <w:pStyle w:val="TableParagraph"/>
              <w:spacing w:line="232" w:lineRule="auto" w:before="85"/>
              <w:ind w:left="160" w:right="317"/>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8011" w:type="dxa"/>
          </w:tcPr>
          <w:p>
            <w:pPr>
              <w:pStyle w:val="TableParagraph"/>
              <w:spacing w:line="273" w:lineRule="auto" w:before="108"/>
              <w:ind w:left="107" w:right="306"/>
              <w:jc w:val="both"/>
              <w:rPr>
                <w:sz w:val="21"/>
              </w:rPr>
            </w:pPr>
            <w:r>
              <w:rPr>
                <w:sz w:val="21"/>
              </w:rPr>
              <w:t>指不明原因引起的一类心肌病变，包括原发性扩张型心肌病、原发性肥厚型心肌病及原发性限制型心肌病三种，病变必须已造成事实上心室功能障碍而出现明显的心</w:t>
            </w:r>
            <w:r>
              <w:rPr>
                <w:spacing w:val="-9"/>
                <w:sz w:val="21"/>
              </w:rPr>
              <w:t>功能衰竭</w:t>
            </w:r>
            <w:r>
              <w:rPr>
                <w:sz w:val="21"/>
              </w:rPr>
              <w:t>（</w:t>
            </w:r>
            <w:r>
              <w:rPr>
                <w:spacing w:val="-4"/>
                <w:sz w:val="21"/>
              </w:rPr>
              <w:t>指按照美国纽约心脏协会心功能分类标准判定，心功能状态已达 </w:t>
            </w:r>
            <w:r>
              <w:rPr>
                <w:sz w:val="21"/>
              </w:rPr>
              <w:t>IV</w:t>
            </w:r>
            <w:r>
              <w:rPr>
                <w:spacing w:val="-27"/>
                <w:sz w:val="21"/>
              </w:rPr>
              <w:t> 级</w:t>
            </w:r>
            <w:r>
              <w:rPr>
                <w:spacing w:val="-106"/>
                <w:sz w:val="21"/>
              </w:rPr>
              <w:t>），</w:t>
            </w:r>
            <w:r>
              <w:rPr>
                <w:spacing w:val="-103"/>
                <w:sz w:val="21"/>
              </w:rPr>
              <w:t> </w:t>
            </w:r>
            <w:r>
              <w:rPr>
                <w:spacing w:val="-5"/>
                <w:sz w:val="21"/>
              </w:rPr>
              <w:t>且有相关住院医疗记录显示 </w:t>
            </w:r>
            <w:r>
              <w:rPr>
                <w:sz w:val="21"/>
              </w:rPr>
              <w:t>IV</w:t>
            </w:r>
            <w:r>
              <w:rPr>
                <w:spacing w:val="-12"/>
                <w:sz w:val="21"/>
              </w:rPr>
              <w:t> 级心功能衰竭状态已持续至少 </w:t>
            </w:r>
            <w:r>
              <w:rPr>
                <w:sz w:val="21"/>
              </w:rPr>
              <w:t>180</w:t>
            </w:r>
            <w:r>
              <w:rPr>
                <w:spacing w:val="-18"/>
                <w:sz w:val="21"/>
              </w:rPr>
              <w:t> 日。</w:t>
            </w:r>
          </w:p>
          <w:p>
            <w:pPr>
              <w:pStyle w:val="TableParagraph"/>
              <w:spacing w:line="273" w:lineRule="auto" w:before="7"/>
              <w:ind w:left="108" w:right="342"/>
              <w:jc w:val="both"/>
              <w:rPr>
                <w:sz w:val="21"/>
              </w:rPr>
            </w:pPr>
            <w:r>
              <w:rPr>
                <w:sz w:val="21"/>
              </w:rPr>
              <w:t>本病须经专科医生明确诊断。</w:t>
            </w:r>
            <w:r>
              <w:rPr>
                <w:sz w:val="21"/>
                <w:shd w:fill="DADADA" w:color="auto" w:val="clear"/>
              </w:rPr>
              <w:t>继发于全身性疾病或其它器官系统疾病造成的心肌病变不在保障范围内。</w:t>
            </w:r>
          </w:p>
        </w:tc>
      </w:tr>
      <w:tr>
        <w:trPr>
          <w:trHeight w:val="1787" w:hRule="atLeast"/>
        </w:trPr>
        <w:tc>
          <w:tcPr>
            <w:tcW w:w="679" w:type="dxa"/>
          </w:tcPr>
          <w:p>
            <w:pPr>
              <w:pStyle w:val="TableParagraph"/>
              <w:spacing w:before="99"/>
              <w:ind w:right="159"/>
              <w:jc w:val="right"/>
              <w:rPr>
                <w:b/>
                <w:sz w:val="21"/>
              </w:rPr>
            </w:pPr>
            <w:r>
              <w:rPr>
                <w:b/>
                <w:w w:val="95"/>
                <w:sz w:val="21"/>
              </w:rPr>
              <w:t>9.6</w:t>
            </w:r>
          </w:p>
        </w:tc>
        <w:tc>
          <w:tcPr>
            <w:tcW w:w="1681" w:type="dxa"/>
          </w:tcPr>
          <w:p>
            <w:pPr>
              <w:pStyle w:val="TableParagraph"/>
              <w:spacing w:before="99"/>
              <w:ind w:left="160"/>
              <w:rPr>
                <w:b/>
                <w:sz w:val="21"/>
              </w:rPr>
            </w:pPr>
            <w:r>
              <w:rPr>
                <w:b/>
                <w:sz w:val="21"/>
              </w:rPr>
              <w:t>专科医生</w:t>
            </w:r>
          </w:p>
        </w:tc>
        <w:tc>
          <w:tcPr>
            <w:tcW w:w="8011" w:type="dxa"/>
          </w:tcPr>
          <w:p>
            <w:pPr>
              <w:pStyle w:val="TableParagraph"/>
              <w:spacing w:before="99"/>
              <w:ind w:left="108"/>
              <w:rPr>
                <w:sz w:val="21"/>
              </w:rPr>
            </w:pPr>
            <w:r>
              <w:rPr>
                <w:sz w:val="21"/>
              </w:rPr>
              <w:t>专科医生应当同时满足以下四项资格条件：</w:t>
            </w:r>
          </w:p>
          <w:p>
            <w:pPr>
              <w:pStyle w:val="TableParagraph"/>
              <w:spacing w:before="36"/>
              <w:ind w:left="108"/>
              <w:rPr>
                <w:sz w:val="21"/>
              </w:rPr>
            </w:pPr>
            <w:r>
              <w:rPr>
                <w:sz w:val="21"/>
              </w:rPr>
              <w:t>（1）具有有效的中华人民共和国《医师资格证书》；</w:t>
            </w:r>
          </w:p>
          <w:p>
            <w:pPr>
              <w:pStyle w:val="TableParagraph"/>
              <w:spacing w:before="36"/>
              <w:ind w:left="107"/>
              <w:rPr>
                <w:sz w:val="21"/>
              </w:rPr>
            </w:pPr>
            <w:r>
              <w:rPr>
                <w:sz w:val="21"/>
              </w:rPr>
              <w:t>（2）具有有效的中华人民共和国《医师执业证书》，并按期到相关部门登记注册；</w:t>
            </w:r>
          </w:p>
          <w:p>
            <w:pPr>
              <w:pStyle w:val="TableParagraph"/>
              <w:spacing w:before="36"/>
              <w:ind w:left="107"/>
              <w:rPr>
                <w:sz w:val="21"/>
              </w:rPr>
            </w:pPr>
            <w:r>
              <w:rPr>
                <w:sz w:val="21"/>
              </w:rPr>
              <w:t>（3）具有有效的中华人民共和国主治医师或主治医师以上职称的《医师职称证书》；</w:t>
            </w:r>
          </w:p>
          <w:p>
            <w:pPr>
              <w:pStyle w:val="TableParagraph"/>
              <w:spacing w:before="36"/>
              <w:ind w:left="108"/>
              <w:rPr>
                <w:sz w:val="21"/>
              </w:rPr>
            </w:pPr>
            <w:r>
              <w:rPr>
                <w:sz w:val="21"/>
              </w:rPr>
              <w:t>（4）在二级或二级以上医院的相应科室从事临床工作三年以上。</w:t>
            </w:r>
          </w:p>
        </w:tc>
      </w:tr>
      <w:tr>
        <w:trPr>
          <w:trHeight w:val="687" w:hRule="atLeast"/>
        </w:trPr>
        <w:tc>
          <w:tcPr>
            <w:tcW w:w="679" w:type="dxa"/>
          </w:tcPr>
          <w:p>
            <w:pPr>
              <w:pStyle w:val="TableParagraph"/>
              <w:spacing w:before="100"/>
              <w:ind w:right="159"/>
              <w:jc w:val="right"/>
              <w:rPr>
                <w:b/>
                <w:sz w:val="21"/>
              </w:rPr>
            </w:pPr>
            <w:r>
              <w:rPr>
                <w:b/>
                <w:w w:val="95"/>
                <w:sz w:val="21"/>
              </w:rPr>
              <w:t>9.7</w:t>
            </w:r>
          </w:p>
        </w:tc>
        <w:tc>
          <w:tcPr>
            <w:tcW w:w="1681" w:type="dxa"/>
          </w:tcPr>
          <w:p>
            <w:pPr>
              <w:pStyle w:val="TableParagraph"/>
              <w:spacing w:line="310" w:lineRule="atLeast" w:before="65"/>
              <w:ind w:left="160" w:right="254"/>
              <w:rPr>
                <w:b/>
                <w:sz w:val="21"/>
              </w:rPr>
            </w:pPr>
            <w:r>
              <w:rPr>
                <w:b/>
                <w:sz w:val="21"/>
              </w:rPr>
              <w:t>肢体机能完全丧失</w:t>
            </w:r>
          </w:p>
        </w:tc>
        <w:tc>
          <w:tcPr>
            <w:tcW w:w="8011" w:type="dxa"/>
          </w:tcPr>
          <w:p>
            <w:pPr>
              <w:pStyle w:val="TableParagraph"/>
              <w:spacing w:line="310" w:lineRule="atLeast" w:before="65"/>
              <w:ind w:left="108" w:right="342"/>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top="1140" w:bottom="280" w:left="72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554"/>
        <w:gridCol w:w="8085"/>
      </w:tblGrid>
      <w:tr>
        <w:trPr>
          <w:trHeight w:val="1306" w:hRule="atLeast"/>
        </w:trPr>
        <w:tc>
          <w:tcPr>
            <w:tcW w:w="732" w:type="dxa"/>
          </w:tcPr>
          <w:p>
            <w:pPr>
              <w:pStyle w:val="TableParagraph"/>
              <w:spacing w:line="210" w:lineRule="exact"/>
              <w:ind w:left="200"/>
              <w:rPr>
                <w:b/>
                <w:sz w:val="21"/>
              </w:rPr>
            </w:pPr>
            <w:r>
              <w:rPr>
                <w:b/>
                <w:sz w:val="21"/>
              </w:rPr>
              <w:t>9.8</w:t>
            </w:r>
          </w:p>
        </w:tc>
        <w:tc>
          <w:tcPr>
            <w:tcW w:w="1554" w:type="dxa"/>
          </w:tcPr>
          <w:p>
            <w:pPr>
              <w:pStyle w:val="TableParagraph"/>
              <w:spacing w:line="210" w:lineRule="exact"/>
              <w:ind w:left="107"/>
              <w:rPr>
                <w:b/>
                <w:sz w:val="21"/>
              </w:rPr>
            </w:pPr>
            <w:r>
              <w:rPr>
                <w:b/>
                <w:w w:val="95"/>
                <w:sz w:val="21"/>
              </w:rPr>
              <w:t>语言能力或咀</w:t>
            </w:r>
          </w:p>
          <w:p>
            <w:pPr>
              <w:pStyle w:val="TableParagraph"/>
              <w:spacing w:line="273" w:lineRule="auto" w:before="37"/>
              <w:ind w:left="107" w:right="180"/>
              <w:rPr>
                <w:b/>
                <w:sz w:val="21"/>
              </w:rPr>
            </w:pPr>
            <w:r>
              <w:rPr>
                <w:b/>
                <w:sz w:val="21"/>
              </w:rPr>
              <w:t>嚼吞咽能力完全丧失</w:t>
            </w:r>
          </w:p>
        </w:tc>
        <w:tc>
          <w:tcPr>
            <w:tcW w:w="8085" w:type="dxa"/>
          </w:tcPr>
          <w:p>
            <w:pPr>
              <w:pStyle w:val="TableParagraph"/>
              <w:spacing w:line="210" w:lineRule="exact"/>
              <w:ind w:left="181"/>
              <w:rPr>
                <w:sz w:val="21"/>
              </w:rPr>
            </w:pPr>
            <w:r>
              <w:rPr>
                <w:sz w:val="21"/>
              </w:rPr>
              <w:t>语言能力完全丧失，指无法发出四种语音（包括口唇音、齿舌音、口盖音和喉头音）</w:t>
            </w:r>
          </w:p>
          <w:p>
            <w:pPr>
              <w:pStyle w:val="TableParagraph"/>
              <w:spacing w:before="37"/>
              <w:ind w:left="181"/>
              <w:rPr>
                <w:sz w:val="21"/>
              </w:rPr>
            </w:pPr>
            <w:r>
              <w:rPr>
                <w:sz w:val="21"/>
              </w:rPr>
              <w:t>中的任何三种、或声带全部切除，或因大脑语言中枢受伤害而患失语症。</w:t>
            </w:r>
          </w:p>
          <w:p>
            <w:pPr>
              <w:pStyle w:val="TableParagraph"/>
              <w:spacing w:line="273" w:lineRule="auto" w:before="37"/>
              <w:ind w:left="181" w:right="342"/>
              <w:rPr>
                <w:sz w:val="21"/>
              </w:rPr>
            </w:pPr>
            <w:r>
              <w:rPr>
                <w:sz w:val="21"/>
              </w:rPr>
              <w:t>咀嚼吞咽能力完全丧失，指因牙齿以外的原因导致器质障碍或机能障碍，以致不能作咀嚼吞咽运动，除流质食物外不能摄取或吞咽的状态。</w:t>
            </w:r>
          </w:p>
        </w:tc>
      </w:tr>
      <w:tr>
        <w:trPr>
          <w:trHeight w:val="2406" w:hRule="atLeast"/>
        </w:trPr>
        <w:tc>
          <w:tcPr>
            <w:tcW w:w="732" w:type="dxa"/>
          </w:tcPr>
          <w:p>
            <w:pPr>
              <w:pStyle w:val="TableParagraph"/>
              <w:spacing w:before="95"/>
              <w:ind w:left="200"/>
              <w:rPr>
                <w:b/>
                <w:sz w:val="21"/>
              </w:rPr>
            </w:pPr>
            <w:r>
              <w:rPr>
                <w:b/>
                <w:sz w:val="21"/>
              </w:rPr>
              <w:t>9.9</w:t>
            </w:r>
          </w:p>
        </w:tc>
        <w:tc>
          <w:tcPr>
            <w:tcW w:w="1554" w:type="dxa"/>
          </w:tcPr>
          <w:p>
            <w:pPr>
              <w:pStyle w:val="TableParagraph"/>
              <w:spacing w:line="273" w:lineRule="auto" w:before="95"/>
              <w:ind w:left="107" w:right="180"/>
              <w:rPr>
                <w:b/>
                <w:sz w:val="21"/>
              </w:rPr>
            </w:pPr>
            <w:r>
              <w:rPr>
                <w:b/>
                <w:sz w:val="21"/>
              </w:rPr>
              <w:t>六项基本日常生活活动</w:t>
            </w:r>
          </w:p>
        </w:tc>
        <w:tc>
          <w:tcPr>
            <w:tcW w:w="8085" w:type="dxa"/>
          </w:tcPr>
          <w:p>
            <w:pPr>
              <w:pStyle w:val="TableParagraph"/>
              <w:spacing w:before="95"/>
              <w:ind w:left="181"/>
              <w:rPr>
                <w:sz w:val="21"/>
              </w:rPr>
            </w:pPr>
            <w:r>
              <w:rPr>
                <w:sz w:val="21"/>
              </w:rPr>
              <w:t>六项基本日常生活活动是指：</w:t>
            </w:r>
          </w:p>
          <w:p>
            <w:pPr>
              <w:pStyle w:val="TableParagraph"/>
              <w:spacing w:before="37"/>
              <w:ind w:left="181"/>
              <w:rPr>
                <w:sz w:val="21"/>
              </w:rPr>
            </w:pPr>
            <w:r>
              <w:rPr>
                <w:sz w:val="21"/>
              </w:rPr>
              <w:t>（1）穿衣：自己能够穿衣及脱衣；</w:t>
            </w:r>
          </w:p>
          <w:p>
            <w:pPr>
              <w:pStyle w:val="TableParagraph"/>
              <w:spacing w:before="37"/>
              <w:ind w:left="181"/>
              <w:rPr>
                <w:sz w:val="21"/>
              </w:rPr>
            </w:pPr>
            <w:r>
              <w:rPr>
                <w:sz w:val="21"/>
              </w:rPr>
              <w:t>（2）移动：自己从一个房间到另一个房间；</w:t>
            </w:r>
          </w:p>
          <w:p>
            <w:pPr>
              <w:pStyle w:val="TableParagraph"/>
              <w:spacing w:before="37"/>
              <w:ind w:left="181"/>
              <w:rPr>
                <w:sz w:val="21"/>
              </w:rPr>
            </w:pPr>
            <w:r>
              <w:rPr>
                <w:sz w:val="21"/>
              </w:rPr>
              <w:t>（3）行动：自己上下床或上下轮椅；</w:t>
            </w:r>
          </w:p>
          <w:p>
            <w:pPr>
              <w:pStyle w:val="TableParagraph"/>
              <w:spacing w:before="37"/>
              <w:ind w:left="181"/>
              <w:rPr>
                <w:sz w:val="21"/>
              </w:rPr>
            </w:pPr>
            <w:r>
              <w:rPr>
                <w:sz w:val="21"/>
              </w:rPr>
              <w:t>（4）如厕：自己控制进行大小便；</w:t>
            </w:r>
          </w:p>
          <w:p>
            <w:pPr>
              <w:pStyle w:val="TableParagraph"/>
              <w:spacing w:before="37"/>
              <w:ind w:left="181"/>
              <w:rPr>
                <w:sz w:val="21"/>
              </w:rPr>
            </w:pPr>
            <w:r>
              <w:rPr>
                <w:sz w:val="21"/>
              </w:rPr>
              <w:t>（5）进食：自己从已准备好的碗或碟中取食物放入口中；</w:t>
            </w:r>
          </w:p>
          <w:p>
            <w:pPr>
              <w:pStyle w:val="TableParagraph"/>
              <w:spacing w:before="37"/>
              <w:ind w:left="181"/>
              <w:rPr>
                <w:sz w:val="21"/>
              </w:rPr>
            </w:pPr>
            <w:r>
              <w:rPr>
                <w:sz w:val="21"/>
              </w:rPr>
              <w:t>（6）洗澡：自己进行淋浴或盆浴。</w:t>
            </w:r>
          </w:p>
        </w:tc>
      </w:tr>
      <w:tr>
        <w:trPr>
          <w:trHeight w:val="850" w:hRule="atLeast"/>
        </w:trPr>
        <w:tc>
          <w:tcPr>
            <w:tcW w:w="732" w:type="dxa"/>
          </w:tcPr>
          <w:p>
            <w:pPr>
              <w:pStyle w:val="TableParagraph"/>
              <w:spacing w:before="99"/>
              <w:ind w:left="200"/>
              <w:rPr>
                <w:b/>
                <w:sz w:val="21"/>
              </w:rPr>
            </w:pPr>
            <w:r>
              <w:rPr>
                <w:b/>
                <w:sz w:val="21"/>
              </w:rPr>
              <w:t>9.10</w:t>
            </w:r>
          </w:p>
        </w:tc>
        <w:tc>
          <w:tcPr>
            <w:tcW w:w="1554" w:type="dxa"/>
          </w:tcPr>
          <w:p>
            <w:pPr>
              <w:pStyle w:val="TableParagraph"/>
              <w:spacing w:before="99"/>
              <w:ind w:left="107"/>
              <w:rPr>
                <w:b/>
                <w:sz w:val="21"/>
              </w:rPr>
            </w:pPr>
            <w:r>
              <w:rPr>
                <w:b/>
                <w:w w:val="95"/>
                <w:sz w:val="21"/>
              </w:rPr>
              <w:t>永久不可逆</w:t>
            </w:r>
          </w:p>
        </w:tc>
        <w:tc>
          <w:tcPr>
            <w:tcW w:w="8085" w:type="dxa"/>
          </w:tcPr>
          <w:p>
            <w:pPr>
              <w:pStyle w:val="TableParagraph"/>
              <w:spacing w:line="273" w:lineRule="auto" w:before="99"/>
              <w:ind w:left="182" w:right="342"/>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r>
        <w:trPr>
          <w:trHeight w:val="2098" w:hRule="atLeast"/>
        </w:trPr>
        <w:tc>
          <w:tcPr>
            <w:tcW w:w="732" w:type="dxa"/>
          </w:tcPr>
          <w:p>
            <w:pPr>
              <w:pStyle w:val="TableParagraph"/>
              <w:spacing w:before="99"/>
              <w:ind w:left="200"/>
              <w:rPr>
                <w:b/>
                <w:sz w:val="21"/>
              </w:rPr>
            </w:pPr>
            <w:r>
              <w:rPr>
                <w:b/>
                <w:sz w:val="21"/>
              </w:rPr>
              <w:t>9.11</w:t>
            </w:r>
          </w:p>
        </w:tc>
        <w:tc>
          <w:tcPr>
            <w:tcW w:w="1554" w:type="dxa"/>
          </w:tcPr>
          <w:p>
            <w:pPr>
              <w:pStyle w:val="TableParagraph"/>
              <w:spacing w:line="273" w:lineRule="auto" w:before="99"/>
              <w:ind w:left="107" w:right="180"/>
              <w:rPr>
                <w:b/>
                <w:sz w:val="21"/>
              </w:rPr>
            </w:pPr>
            <w:r>
              <w:rPr>
                <w:b/>
                <w:sz w:val="21"/>
              </w:rPr>
              <w:t>心功能状态分级</w:t>
            </w:r>
          </w:p>
        </w:tc>
        <w:tc>
          <w:tcPr>
            <w:tcW w:w="8085" w:type="dxa"/>
          </w:tcPr>
          <w:p>
            <w:pPr>
              <w:pStyle w:val="TableParagraph"/>
              <w:spacing w:before="99"/>
              <w:ind w:left="181"/>
              <w:rPr>
                <w:sz w:val="21"/>
              </w:rPr>
            </w:pPr>
            <w:r>
              <w:rPr>
                <w:sz w:val="21"/>
              </w:rPr>
              <w:t>指美国纽约心脏协会心功能状态的分级标准：</w:t>
            </w:r>
          </w:p>
          <w:p>
            <w:pPr>
              <w:pStyle w:val="TableParagraph"/>
              <w:numPr>
                <w:ilvl w:val="0"/>
                <w:numId w:val="9"/>
              </w:numPr>
              <w:tabs>
                <w:tab w:pos="341" w:val="left" w:leader="none"/>
              </w:tabs>
              <w:spacing w:line="240" w:lineRule="auto" w:before="36" w:after="0"/>
              <w:ind w:left="917" w:right="0" w:hanging="735"/>
              <w:jc w:val="left"/>
              <w:rPr>
                <w:sz w:val="21"/>
              </w:rPr>
            </w:pPr>
            <w:r>
              <w:rPr>
                <w:spacing w:val="-4"/>
                <w:sz w:val="21"/>
              </w:rPr>
              <w:t>级：体力活动不受限制，日常活动不引起乏力、心悸、呼吸困难或心绞痛等症状。</w:t>
            </w:r>
          </w:p>
          <w:p>
            <w:pPr>
              <w:pStyle w:val="TableParagraph"/>
              <w:numPr>
                <w:ilvl w:val="0"/>
                <w:numId w:val="9"/>
              </w:numPr>
              <w:tabs>
                <w:tab w:pos="447" w:val="left" w:leader="none"/>
              </w:tabs>
              <w:spacing w:line="273" w:lineRule="auto" w:before="36" w:after="0"/>
              <w:ind w:left="917" w:right="306" w:hanging="735"/>
              <w:jc w:val="left"/>
              <w:rPr>
                <w:sz w:val="21"/>
              </w:rPr>
            </w:pPr>
            <w:r>
              <w:rPr>
                <w:spacing w:val="-4"/>
                <w:sz w:val="21"/>
              </w:rPr>
              <w:t>级：体力活动轻度受限，休息时无症状，日常活动即可引起乏力、心悸、呼吸困难或心绞痛。</w:t>
            </w:r>
          </w:p>
          <w:p>
            <w:pPr>
              <w:pStyle w:val="TableParagraph"/>
              <w:numPr>
                <w:ilvl w:val="0"/>
                <w:numId w:val="9"/>
              </w:numPr>
              <w:tabs>
                <w:tab w:pos="551" w:val="left" w:leader="none"/>
              </w:tabs>
              <w:spacing w:line="240" w:lineRule="auto" w:before="7" w:after="0"/>
              <w:ind w:left="550" w:right="0" w:hanging="368"/>
              <w:jc w:val="left"/>
              <w:rPr>
                <w:sz w:val="21"/>
              </w:rPr>
            </w:pPr>
            <w:r>
              <w:rPr>
                <w:spacing w:val="-1"/>
                <w:sz w:val="21"/>
              </w:rPr>
              <w:t>级：体力活动明显受限，休息时无症状，轻于日常的活动即可引起上述症状。</w:t>
            </w:r>
          </w:p>
          <w:p>
            <w:pPr>
              <w:pStyle w:val="TableParagraph"/>
              <w:numPr>
                <w:ilvl w:val="0"/>
                <w:numId w:val="9"/>
              </w:numPr>
              <w:tabs>
                <w:tab w:pos="447" w:val="left" w:leader="none"/>
              </w:tabs>
              <w:spacing w:line="240" w:lineRule="auto" w:before="37" w:after="0"/>
              <w:ind w:left="446" w:right="0" w:hanging="264"/>
              <w:jc w:val="left"/>
              <w:rPr>
                <w:sz w:val="21"/>
              </w:rPr>
            </w:pPr>
            <w:r>
              <w:rPr>
                <w:spacing w:val="-1"/>
                <w:sz w:val="21"/>
              </w:rPr>
              <w:t>级：不能从事任何体力活动，休息时亦有症状，体力活动后加重。</w:t>
            </w:r>
          </w:p>
        </w:tc>
      </w:tr>
      <w:tr>
        <w:trPr>
          <w:trHeight w:val="538" w:hRule="atLeast"/>
        </w:trPr>
        <w:tc>
          <w:tcPr>
            <w:tcW w:w="732" w:type="dxa"/>
          </w:tcPr>
          <w:p>
            <w:pPr>
              <w:pStyle w:val="TableParagraph"/>
              <w:spacing w:before="99"/>
              <w:ind w:left="200"/>
              <w:rPr>
                <w:b/>
                <w:sz w:val="21"/>
              </w:rPr>
            </w:pPr>
            <w:r>
              <w:rPr>
                <w:b/>
                <w:sz w:val="21"/>
              </w:rPr>
              <w:t>9.12</w:t>
            </w:r>
          </w:p>
        </w:tc>
        <w:tc>
          <w:tcPr>
            <w:tcW w:w="1554" w:type="dxa"/>
          </w:tcPr>
          <w:p>
            <w:pPr>
              <w:pStyle w:val="TableParagraph"/>
              <w:spacing w:before="99"/>
              <w:ind w:left="107"/>
              <w:rPr>
                <w:b/>
                <w:sz w:val="21"/>
              </w:rPr>
            </w:pPr>
            <w:r>
              <w:rPr>
                <w:b/>
                <w:sz w:val="21"/>
              </w:rPr>
              <w:t>意外伤害</w:t>
            </w:r>
          </w:p>
        </w:tc>
        <w:tc>
          <w:tcPr>
            <w:tcW w:w="8085" w:type="dxa"/>
          </w:tcPr>
          <w:p>
            <w:pPr>
              <w:pStyle w:val="TableParagraph"/>
              <w:spacing w:before="99"/>
              <w:ind w:left="181"/>
              <w:rPr>
                <w:sz w:val="21"/>
              </w:rPr>
            </w:pPr>
            <w:r>
              <w:rPr>
                <w:sz w:val="21"/>
              </w:rPr>
              <w:t>指遭受外来的、突发的、非本意的、非疾病的使身体受到伤害的客观事件。</w:t>
            </w:r>
          </w:p>
        </w:tc>
      </w:tr>
      <w:tr>
        <w:trPr>
          <w:trHeight w:val="1474" w:hRule="atLeast"/>
        </w:trPr>
        <w:tc>
          <w:tcPr>
            <w:tcW w:w="732" w:type="dxa"/>
          </w:tcPr>
          <w:p>
            <w:pPr>
              <w:pStyle w:val="TableParagraph"/>
              <w:spacing w:before="99"/>
              <w:ind w:left="200"/>
              <w:rPr>
                <w:b/>
                <w:sz w:val="21"/>
              </w:rPr>
            </w:pPr>
            <w:r>
              <w:rPr>
                <w:b/>
                <w:sz w:val="21"/>
              </w:rPr>
              <w:t>9.13</w:t>
            </w:r>
          </w:p>
        </w:tc>
        <w:tc>
          <w:tcPr>
            <w:tcW w:w="1554" w:type="dxa"/>
          </w:tcPr>
          <w:p>
            <w:pPr>
              <w:pStyle w:val="TableParagraph"/>
              <w:spacing w:before="99"/>
              <w:ind w:left="107"/>
              <w:rPr>
                <w:b/>
                <w:sz w:val="21"/>
              </w:rPr>
            </w:pPr>
            <w:r>
              <w:rPr>
                <w:b/>
                <w:sz w:val="21"/>
              </w:rPr>
              <w:t>医院</w:t>
            </w:r>
          </w:p>
        </w:tc>
        <w:tc>
          <w:tcPr>
            <w:tcW w:w="8085" w:type="dxa"/>
          </w:tcPr>
          <w:p>
            <w:pPr>
              <w:pStyle w:val="TableParagraph"/>
              <w:spacing w:line="273" w:lineRule="auto" w:before="99"/>
              <w:ind w:left="181" w:right="342"/>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163" w:hRule="atLeast"/>
        </w:trPr>
        <w:tc>
          <w:tcPr>
            <w:tcW w:w="732" w:type="dxa"/>
          </w:tcPr>
          <w:p>
            <w:pPr>
              <w:pStyle w:val="TableParagraph"/>
              <w:spacing w:before="99"/>
              <w:ind w:left="200"/>
              <w:rPr>
                <w:b/>
                <w:sz w:val="21"/>
              </w:rPr>
            </w:pPr>
            <w:r>
              <w:rPr>
                <w:b/>
                <w:sz w:val="21"/>
              </w:rPr>
              <w:t>9.14</w:t>
            </w:r>
          </w:p>
        </w:tc>
        <w:tc>
          <w:tcPr>
            <w:tcW w:w="1554" w:type="dxa"/>
          </w:tcPr>
          <w:p>
            <w:pPr>
              <w:pStyle w:val="TableParagraph"/>
              <w:spacing w:before="99"/>
              <w:ind w:left="107"/>
              <w:rPr>
                <w:b/>
                <w:sz w:val="21"/>
              </w:rPr>
            </w:pPr>
            <w:r>
              <w:rPr>
                <w:b/>
                <w:sz w:val="21"/>
              </w:rPr>
              <w:t>毒品</w:t>
            </w:r>
          </w:p>
        </w:tc>
        <w:tc>
          <w:tcPr>
            <w:tcW w:w="8085" w:type="dxa"/>
          </w:tcPr>
          <w:p>
            <w:pPr>
              <w:pStyle w:val="TableParagraph"/>
              <w:spacing w:line="273" w:lineRule="auto" w:before="99"/>
              <w:ind w:left="181" w:right="305"/>
              <w:jc w:val="both"/>
              <w:rPr>
                <w:sz w:val="21"/>
              </w:rPr>
            </w:pP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tc>
      </w:tr>
      <w:tr>
        <w:trPr>
          <w:trHeight w:val="1163" w:hRule="atLeast"/>
        </w:trPr>
        <w:tc>
          <w:tcPr>
            <w:tcW w:w="732" w:type="dxa"/>
          </w:tcPr>
          <w:p>
            <w:pPr>
              <w:pStyle w:val="TableParagraph"/>
              <w:spacing w:before="100"/>
              <w:ind w:left="200"/>
              <w:rPr>
                <w:b/>
                <w:sz w:val="21"/>
              </w:rPr>
            </w:pPr>
            <w:r>
              <w:rPr>
                <w:b/>
                <w:sz w:val="21"/>
              </w:rPr>
              <w:t>9.15</w:t>
            </w:r>
          </w:p>
        </w:tc>
        <w:tc>
          <w:tcPr>
            <w:tcW w:w="1554" w:type="dxa"/>
          </w:tcPr>
          <w:p>
            <w:pPr>
              <w:pStyle w:val="TableParagraph"/>
              <w:spacing w:before="100"/>
              <w:ind w:left="107"/>
              <w:rPr>
                <w:b/>
                <w:sz w:val="21"/>
              </w:rPr>
            </w:pPr>
            <w:r>
              <w:rPr>
                <w:b/>
                <w:sz w:val="21"/>
              </w:rPr>
              <w:t>酒后驾驶</w:t>
            </w:r>
          </w:p>
        </w:tc>
        <w:tc>
          <w:tcPr>
            <w:tcW w:w="8085" w:type="dxa"/>
          </w:tcPr>
          <w:p>
            <w:pPr>
              <w:pStyle w:val="TableParagraph"/>
              <w:spacing w:line="273" w:lineRule="auto" w:before="100"/>
              <w:ind w:left="181" w:right="34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732" w:type="dxa"/>
          </w:tcPr>
          <w:p>
            <w:pPr>
              <w:pStyle w:val="TableParagraph"/>
              <w:spacing w:before="99"/>
              <w:ind w:left="200"/>
              <w:rPr>
                <w:b/>
                <w:sz w:val="21"/>
              </w:rPr>
            </w:pPr>
            <w:r>
              <w:rPr>
                <w:b/>
                <w:sz w:val="21"/>
              </w:rPr>
              <w:t>9.16</w:t>
            </w:r>
          </w:p>
        </w:tc>
        <w:tc>
          <w:tcPr>
            <w:tcW w:w="1554" w:type="dxa"/>
          </w:tcPr>
          <w:p>
            <w:pPr>
              <w:pStyle w:val="TableParagraph"/>
              <w:spacing w:line="273" w:lineRule="auto" w:before="99"/>
              <w:ind w:left="107" w:right="180"/>
              <w:rPr>
                <w:b/>
                <w:sz w:val="21"/>
              </w:rPr>
            </w:pPr>
            <w:r>
              <w:rPr>
                <w:b/>
                <w:sz w:val="21"/>
              </w:rPr>
              <w:t>无合法有效驾驶证驾驶</w:t>
            </w:r>
          </w:p>
        </w:tc>
        <w:tc>
          <w:tcPr>
            <w:tcW w:w="8085" w:type="dxa"/>
          </w:tcPr>
          <w:p>
            <w:pPr>
              <w:pStyle w:val="TableParagraph"/>
              <w:spacing w:before="99"/>
              <w:ind w:left="181"/>
              <w:rPr>
                <w:sz w:val="21"/>
              </w:rPr>
            </w:pPr>
            <w:r>
              <w:rPr>
                <w:sz w:val="21"/>
              </w:rPr>
              <w:t>指下列情形之一：</w:t>
            </w:r>
          </w:p>
          <w:p>
            <w:pPr>
              <w:pStyle w:val="TableParagraph"/>
              <w:spacing w:before="36"/>
              <w:ind w:left="181"/>
              <w:rPr>
                <w:sz w:val="21"/>
              </w:rPr>
            </w:pPr>
            <w:r>
              <w:rPr>
                <w:sz w:val="21"/>
              </w:rPr>
              <w:t>（1）没有取得驾驶资格；</w:t>
            </w:r>
          </w:p>
          <w:p>
            <w:pPr>
              <w:pStyle w:val="TableParagraph"/>
              <w:spacing w:before="36"/>
              <w:ind w:left="181"/>
              <w:rPr>
                <w:sz w:val="21"/>
              </w:rPr>
            </w:pPr>
            <w:r>
              <w:rPr>
                <w:sz w:val="21"/>
              </w:rPr>
              <w:t>（2）驾驶与驾驶证准驾车型不相符合的车辆；</w:t>
            </w:r>
          </w:p>
          <w:p>
            <w:pPr>
              <w:pStyle w:val="TableParagraph"/>
              <w:spacing w:before="36"/>
              <w:ind w:left="181"/>
              <w:rPr>
                <w:sz w:val="21"/>
              </w:rPr>
            </w:pPr>
            <w:r>
              <w:rPr>
                <w:sz w:val="21"/>
              </w:rPr>
              <w:t>（3）持审验不合格的驾驶证驾驶；</w:t>
            </w:r>
          </w:p>
          <w:p>
            <w:pPr>
              <w:pStyle w:val="TableParagraph"/>
              <w:spacing w:line="273" w:lineRule="auto" w:before="36"/>
              <w:ind w:left="707" w:right="230" w:hanging="526"/>
              <w:rPr>
                <w:sz w:val="21"/>
              </w:rPr>
            </w:pPr>
            <w:r>
              <w:rPr>
                <w:sz w:val="21"/>
              </w:rPr>
              <w:t>（4）持学习驾驶证学习驾车时，无教练员随车指导，或不按指定时间、路线学习驾车。</w:t>
            </w:r>
          </w:p>
        </w:tc>
      </w:tr>
      <w:tr>
        <w:trPr>
          <w:trHeight w:val="1310" w:hRule="atLeast"/>
        </w:trPr>
        <w:tc>
          <w:tcPr>
            <w:tcW w:w="732" w:type="dxa"/>
          </w:tcPr>
          <w:p>
            <w:pPr>
              <w:pStyle w:val="TableParagraph"/>
              <w:spacing w:before="99"/>
              <w:ind w:left="200"/>
              <w:rPr>
                <w:b/>
                <w:sz w:val="21"/>
              </w:rPr>
            </w:pPr>
            <w:r>
              <w:rPr>
                <w:b/>
                <w:sz w:val="21"/>
              </w:rPr>
              <w:t>9.17</w:t>
            </w:r>
          </w:p>
        </w:tc>
        <w:tc>
          <w:tcPr>
            <w:tcW w:w="1554" w:type="dxa"/>
          </w:tcPr>
          <w:p>
            <w:pPr>
              <w:pStyle w:val="TableParagraph"/>
              <w:spacing w:before="99"/>
              <w:ind w:left="107"/>
              <w:rPr>
                <w:b/>
                <w:sz w:val="21"/>
              </w:rPr>
            </w:pPr>
            <w:r>
              <w:rPr>
                <w:b/>
                <w:w w:val="95"/>
                <w:sz w:val="21"/>
              </w:rPr>
              <w:t>无有效行驶证</w:t>
            </w:r>
          </w:p>
        </w:tc>
        <w:tc>
          <w:tcPr>
            <w:tcW w:w="8085" w:type="dxa"/>
          </w:tcPr>
          <w:p>
            <w:pPr>
              <w:pStyle w:val="TableParagraph"/>
              <w:spacing w:before="99"/>
              <w:ind w:left="181"/>
              <w:rPr>
                <w:sz w:val="21"/>
              </w:rPr>
            </w:pPr>
            <w:r>
              <w:rPr>
                <w:sz w:val="21"/>
              </w:rPr>
              <w:t>指下列情形之一：</w:t>
            </w:r>
          </w:p>
          <w:p>
            <w:pPr>
              <w:pStyle w:val="TableParagraph"/>
              <w:spacing w:before="37"/>
              <w:ind w:left="181"/>
              <w:rPr>
                <w:sz w:val="21"/>
              </w:rPr>
            </w:pPr>
            <w:r>
              <w:rPr>
                <w:sz w:val="21"/>
              </w:rPr>
              <w:t>（1）未取得行驶证；</w:t>
            </w:r>
          </w:p>
          <w:p>
            <w:pPr>
              <w:pStyle w:val="TableParagraph"/>
              <w:spacing w:before="37"/>
              <w:ind w:left="181"/>
              <w:rPr>
                <w:sz w:val="21"/>
              </w:rPr>
            </w:pPr>
            <w:r>
              <w:rPr>
                <w:sz w:val="21"/>
              </w:rPr>
              <w:t>（2）机动车被依法注销登记的；</w:t>
            </w:r>
          </w:p>
          <w:p>
            <w:pPr>
              <w:pStyle w:val="TableParagraph"/>
              <w:spacing w:line="255" w:lineRule="exact" w:before="37"/>
              <w:ind w:left="181"/>
              <w:rPr>
                <w:sz w:val="21"/>
              </w:rPr>
            </w:pPr>
            <w:r>
              <w:rPr>
                <w:sz w:val="21"/>
              </w:rPr>
              <w:t>（3）未依法按时进行或通过机动车安全技术检验。</w:t>
            </w:r>
          </w:p>
        </w:tc>
      </w:tr>
    </w:tbl>
    <w:p>
      <w:pPr>
        <w:spacing w:after="0" w:line="255" w:lineRule="exact"/>
        <w:rPr>
          <w:sz w:val="21"/>
        </w:rPr>
        <w:sectPr>
          <w:pgSz w:w="11910" w:h="16840"/>
          <w:pgMar w:top="1160" w:bottom="280" w:left="72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628"/>
        <w:gridCol w:w="8010"/>
      </w:tblGrid>
      <w:tr>
        <w:trPr>
          <w:trHeight w:val="686" w:hRule="atLeast"/>
        </w:trPr>
        <w:tc>
          <w:tcPr>
            <w:tcW w:w="732" w:type="dxa"/>
          </w:tcPr>
          <w:p>
            <w:pPr>
              <w:pStyle w:val="TableParagraph"/>
              <w:spacing w:line="202" w:lineRule="exact"/>
              <w:ind w:right="108"/>
              <w:jc w:val="right"/>
              <w:rPr>
                <w:b/>
                <w:sz w:val="21"/>
              </w:rPr>
            </w:pPr>
            <w:r>
              <w:rPr>
                <w:b/>
                <w:w w:val="95"/>
                <w:sz w:val="21"/>
              </w:rPr>
              <w:t>9.18</w:t>
            </w:r>
          </w:p>
        </w:tc>
        <w:tc>
          <w:tcPr>
            <w:tcW w:w="1628" w:type="dxa"/>
          </w:tcPr>
          <w:p>
            <w:pPr>
              <w:pStyle w:val="TableParagraph"/>
              <w:spacing w:line="202" w:lineRule="exact"/>
              <w:ind w:left="107"/>
              <w:rPr>
                <w:b/>
                <w:sz w:val="21"/>
              </w:rPr>
            </w:pPr>
            <w:r>
              <w:rPr>
                <w:b/>
                <w:sz w:val="21"/>
              </w:rPr>
              <w:t>机动车</w:t>
            </w:r>
          </w:p>
        </w:tc>
        <w:tc>
          <w:tcPr>
            <w:tcW w:w="8010" w:type="dxa"/>
          </w:tcPr>
          <w:p>
            <w:pPr>
              <w:pStyle w:val="TableParagraph"/>
              <w:spacing w:line="202" w:lineRule="exact"/>
              <w:ind w:left="108"/>
              <w:rPr>
                <w:sz w:val="21"/>
              </w:rPr>
            </w:pPr>
            <w:r>
              <w:rPr>
                <w:sz w:val="21"/>
              </w:rPr>
              <w:t>指以动力装置驱动或者牵引，上道路行驶的供人员乘用或者用于运送物品以及进行</w:t>
            </w:r>
          </w:p>
          <w:p>
            <w:pPr>
              <w:pStyle w:val="TableParagraph"/>
              <w:spacing w:before="37"/>
              <w:ind w:left="108"/>
              <w:rPr>
                <w:sz w:val="21"/>
              </w:rPr>
            </w:pPr>
            <w:r>
              <w:rPr>
                <w:sz w:val="21"/>
              </w:rPr>
              <w:t>工程专项作业的轮式车辆。</w:t>
            </w:r>
          </w:p>
        </w:tc>
      </w:tr>
      <w:tr>
        <w:trPr>
          <w:trHeight w:val="1474" w:hRule="atLeast"/>
        </w:trPr>
        <w:tc>
          <w:tcPr>
            <w:tcW w:w="732" w:type="dxa"/>
          </w:tcPr>
          <w:p>
            <w:pPr>
              <w:pStyle w:val="TableParagraph"/>
              <w:spacing w:before="92"/>
              <w:ind w:right="108"/>
              <w:jc w:val="right"/>
              <w:rPr>
                <w:b/>
                <w:sz w:val="21"/>
              </w:rPr>
            </w:pPr>
            <w:r>
              <w:rPr>
                <w:b/>
                <w:w w:val="95"/>
                <w:sz w:val="21"/>
              </w:rPr>
              <w:t>9.19</w:t>
            </w:r>
          </w:p>
        </w:tc>
        <w:tc>
          <w:tcPr>
            <w:tcW w:w="1628" w:type="dxa"/>
          </w:tcPr>
          <w:p>
            <w:pPr>
              <w:pStyle w:val="TableParagraph"/>
              <w:spacing w:line="273" w:lineRule="auto" w:before="92"/>
              <w:ind w:left="107" w:right="254"/>
              <w:rPr>
                <w:b/>
                <w:sz w:val="21"/>
              </w:rPr>
            </w:pPr>
            <w:r>
              <w:rPr>
                <w:b/>
                <w:sz w:val="21"/>
              </w:rPr>
              <w:t>感染艾滋病病</w:t>
            </w:r>
            <w:r>
              <w:rPr>
                <w:b/>
                <w:w w:val="95"/>
                <w:sz w:val="21"/>
              </w:rPr>
              <w:t>毒或患艾滋病</w:t>
            </w:r>
          </w:p>
        </w:tc>
        <w:tc>
          <w:tcPr>
            <w:tcW w:w="8010" w:type="dxa"/>
          </w:tcPr>
          <w:p>
            <w:pPr>
              <w:pStyle w:val="TableParagraph"/>
              <w:spacing w:line="273" w:lineRule="auto" w:before="92"/>
              <w:ind w:left="107" w:right="327"/>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08" w:right="198"/>
              <w:rPr>
                <w:sz w:val="21"/>
              </w:rPr>
            </w:pPr>
            <w:r>
              <w:rPr>
                <w:sz w:val="21"/>
              </w:rPr>
              <w:t>在人体血液或其它样本中检测到艾滋病病毒或其抗体呈阳性，没有出现临床症状或</w:t>
            </w:r>
            <w:r>
              <w:rPr>
                <w:spacing w:val="-8"/>
                <w:sz w:val="21"/>
              </w:rPr>
              <w:t>体征的，为感染艾滋病病毒；如果同时出现了明显临床症状或体征的，为患艾滋病。</w:t>
            </w:r>
          </w:p>
        </w:tc>
      </w:tr>
      <w:tr>
        <w:trPr>
          <w:trHeight w:val="851" w:hRule="atLeast"/>
        </w:trPr>
        <w:tc>
          <w:tcPr>
            <w:tcW w:w="732" w:type="dxa"/>
          </w:tcPr>
          <w:p>
            <w:pPr>
              <w:pStyle w:val="TableParagraph"/>
              <w:spacing w:before="92"/>
              <w:ind w:right="106"/>
              <w:jc w:val="right"/>
              <w:rPr>
                <w:b/>
                <w:sz w:val="21"/>
              </w:rPr>
            </w:pPr>
            <w:r>
              <w:rPr>
                <w:b/>
                <w:w w:val="95"/>
                <w:sz w:val="21"/>
              </w:rPr>
              <w:t>9.20</w:t>
            </w:r>
          </w:p>
        </w:tc>
        <w:tc>
          <w:tcPr>
            <w:tcW w:w="1628" w:type="dxa"/>
          </w:tcPr>
          <w:p>
            <w:pPr>
              <w:pStyle w:val="TableParagraph"/>
              <w:spacing w:before="92"/>
              <w:ind w:left="107"/>
              <w:rPr>
                <w:b/>
                <w:sz w:val="21"/>
              </w:rPr>
            </w:pPr>
            <w:r>
              <w:rPr>
                <w:b/>
                <w:w w:val="95"/>
                <w:sz w:val="21"/>
              </w:rPr>
              <w:t>遗传性疾病</w:t>
            </w:r>
          </w:p>
        </w:tc>
        <w:tc>
          <w:tcPr>
            <w:tcW w:w="8010" w:type="dxa"/>
          </w:tcPr>
          <w:p>
            <w:pPr>
              <w:pStyle w:val="TableParagraph"/>
              <w:spacing w:line="273" w:lineRule="auto" w:before="92"/>
              <w:ind w:left="108" w:right="341"/>
              <w:rPr>
                <w:sz w:val="21"/>
              </w:rPr>
            </w:pPr>
            <w:r>
              <w:rPr>
                <w:sz w:val="21"/>
              </w:rPr>
              <w:t>指生殖细胞或受精卵的遗传物质（染色体和基因）发生突变或畸变所引起的疾病，通常具有由亲代传至后代的垂直传递的特征。</w:t>
            </w:r>
          </w:p>
        </w:tc>
      </w:tr>
      <w:tr>
        <w:trPr>
          <w:trHeight w:val="1163" w:hRule="atLeast"/>
        </w:trPr>
        <w:tc>
          <w:tcPr>
            <w:tcW w:w="732" w:type="dxa"/>
          </w:tcPr>
          <w:p>
            <w:pPr>
              <w:pStyle w:val="TableParagraph"/>
              <w:spacing w:before="92"/>
              <w:ind w:right="108"/>
              <w:jc w:val="right"/>
              <w:rPr>
                <w:b/>
                <w:sz w:val="21"/>
              </w:rPr>
            </w:pPr>
            <w:r>
              <w:rPr>
                <w:b/>
                <w:w w:val="95"/>
                <w:sz w:val="21"/>
              </w:rPr>
              <w:t>9.21</w:t>
            </w:r>
          </w:p>
        </w:tc>
        <w:tc>
          <w:tcPr>
            <w:tcW w:w="1628" w:type="dxa"/>
          </w:tcPr>
          <w:p>
            <w:pPr>
              <w:pStyle w:val="TableParagraph"/>
              <w:spacing w:line="273" w:lineRule="auto" w:before="92"/>
              <w:ind w:left="107" w:right="35"/>
              <w:rPr>
                <w:b/>
                <w:sz w:val="21"/>
              </w:rPr>
            </w:pPr>
            <w:r>
              <w:rPr>
                <w:b/>
                <w:sz w:val="21"/>
              </w:rPr>
              <w:t>先天性畸形、变形或染色体异常</w:t>
            </w:r>
          </w:p>
        </w:tc>
        <w:tc>
          <w:tcPr>
            <w:tcW w:w="8010" w:type="dxa"/>
          </w:tcPr>
          <w:p>
            <w:pPr>
              <w:pStyle w:val="TableParagraph"/>
              <w:spacing w:line="273" w:lineRule="auto" w:before="92"/>
              <w:ind w:left="108" w:right="341"/>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374" w:hRule="atLeast"/>
        </w:trPr>
        <w:tc>
          <w:tcPr>
            <w:tcW w:w="732" w:type="dxa"/>
          </w:tcPr>
          <w:p>
            <w:pPr>
              <w:pStyle w:val="TableParagraph"/>
              <w:spacing w:line="262" w:lineRule="exact" w:before="92"/>
              <w:ind w:right="108"/>
              <w:jc w:val="right"/>
              <w:rPr>
                <w:b/>
                <w:sz w:val="21"/>
              </w:rPr>
            </w:pPr>
            <w:r>
              <w:rPr>
                <w:b/>
                <w:w w:val="95"/>
                <w:sz w:val="21"/>
              </w:rPr>
              <w:t>9.22</w:t>
            </w:r>
          </w:p>
        </w:tc>
        <w:tc>
          <w:tcPr>
            <w:tcW w:w="1628" w:type="dxa"/>
          </w:tcPr>
          <w:p>
            <w:pPr>
              <w:pStyle w:val="TableParagraph"/>
              <w:spacing w:line="262" w:lineRule="exact" w:before="92"/>
              <w:ind w:left="107"/>
              <w:rPr>
                <w:b/>
                <w:sz w:val="21"/>
              </w:rPr>
            </w:pPr>
            <w:r>
              <w:rPr>
                <w:b/>
                <w:sz w:val="21"/>
              </w:rPr>
              <w:t>净保险费</w:t>
            </w:r>
          </w:p>
        </w:tc>
        <w:tc>
          <w:tcPr>
            <w:tcW w:w="8010" w:type="dxa"/>
          </w:tcPr>
          <w:p>
            <w:pPr>
              <w:pStyle w:val="TableParagraph"/>
              <w:spacing w:line="262" w:lineRule="exact" w:before="92"/>
              <w:ind w:left="108"/>
              <w:rPr>
                <w:sz w:val="21"/>
              </w:rPr>
            </w:pPr>
            <w:r>
              <w:rPr>
                <w:sz w:val="21"/>
              </w:rPr>
              <w:t>指不包含公司营业费用、佣金等其他费用的保险费。</w:t>
            </w:r>
          </w:p>
        </w:tc>
      </w:tr>
    </w:tbl>
    <w:sectPr>
      <w:pgSz w:w="11910" w:h="16840"/>
      <w:pgMar w:top="14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917" w:hanging="159"/>
        <w:jc w:val="left"/>
      </w:pPr>
      <w:rPr>
        <w:rFonts w:hint="default" w:ascii="宋体" w:hAnsi="宋体" w:eastAsia="宋体" w:cs="宋体"/>
        <w:w w:val="100"/>
        <w:sz w:val="21"/>
        <w:szCs w:val="21"/>
      </w:rPr>
    </w:lvl>
    <w:lvl w:ilvl="1">
      <w:start w:val="0"/>
      <w:numFmt w:val="bullet"/>
      <w:lvlText w:val="•"/>
      <w:lvlJc w:val="left"/>
      <w:pPr>
        <w:ind w:left="1636" w:hanging="159"/>
      </w:pPr>
      <w:rPr>
        <w:rFonts w:hint="default"/>
      </w:rPr>
    </w:lvl>
    <w:lvl w:ilvl="2">
      <w:start w:val="0"/>
      <w:numFmt w:val="bullet"/>
      <w:lvlText w:val="•"/>
      <w:lvlJc w:val="left"/>
      <w:pPr>
        <w:ind w:left="2353" w:hanging="159"/>
      </w:pPr>
      <w:rPr>
        <w:rFonts w:hint="default"/>
      </w:rPr>
    </w:lvl>
    <w:lvl w:ilvl="3">
      <w:start w:val="0"/>
      <w:numFmt w:val="bullet"/>
      <w:lvlText w:val="•"/>
      <w:lvlJc w:val="left"/>
      <w:pPr>
        <w:ind w:left="3069" w:hanging="159"/>
      </w:pPr>
      <w:rPr>
        <w:rFonts w:hint="default"/>
      </w:rPr>
    </w:lvl>
    <w:lvl w:ilvl="4">
      <w:start w:val="0"/>
      <w:numFmt w:val="bullet"/>
      <w:lvlText w:val="•"/>
      <w:lvlJc w:val="left"/>
      <w:pPr>
        <w:ind w:left="3786" w:hanging="159"/>
      </w:pPr>
      <w:rPr>
        <w:rFonts w:hint="default"/>
      </w:rPr>
    </w:lvl>
    <w:lvl w:ilvl="5">
      <w:start w:val="0"/>
      <w:numFmt w:val="bullet"/>
      <w:lvlText w:val="•"/>
      <w:lvlJc w:val="left"/>
      <w:pPr>
        <w:ind w:left="4502" w:hanging="159"/>
      </w:pPr>
      <w:rPr>
        <w:rFonts w:hint="default"/>
      </w:rPr>
    </w:lvl>
    <w:lvl w:ilvl="6">
      <w:start w:val="0"/>
      <w:numFmt w:val="bullet"/>
      <w:lvlText w:val="•"/>
      <w:lvlJc w:val="left"/>
      <w:pPr>
        <w:ind w:left="5219" w:hanging="159"/>
      </w:pPr>
      <w:rPr>
        <w:rFonts w:hint="default"/>
      </w:rPr>
    </w:lvl>
    <w:lvl w:ilvl="7">
      <w:start w:val="0"/>
      <w:numFmt w:val="bullet"/>
      <w:lvlText w:val="•"/>
      <w:lvlJc w:val="left"/>
      <w:pPr>
        <w:ind w:left="5935" w:hanging="159"/>
      </w:pPr>
      <w:rPr>
        <w:rFonts w:hint="default"/>
      </w:rPr>
    </w:lvl>
    <w:lvl w:ilvl="8">
      <w:start w:val="0"/>
      <w:numFmt w:val="bullet"/>
      <w:lvlText w:val="•"/>
      <w:lvlJc w:val="left"/>
      <w:pPr>
        <w:ind w:left="6652" w:hanging="159"/>
      </w:pPr>
      <w:rPr>
        <w:rFonts w:hint="default"/>
      </w:rPr>
    </w:lvl>
  </w:abstractNum>
  <w:abstractNum w:abstractNumId="7">
    <w:multiLevelType w:val="hybridMultilevel"/>
    <w:lvl w:ilvl="0">
      <w:start w:val="8"/>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1112" w:hanging="640"/>
      </w:pPr>
      <w:rPr>
        <w:rFonts w:hint="default"/>
      </w:rPr>
    </w:lvl>
    <w:lvl w:ilvl="3">
      <w:start w:val="0"/>
      <w:numFmt w:val="bullet"/>
      <w:lvlText w:val="•"/>
      <w:lvlJc w:val="left"/>
      <w:pPr>
        <w:ind w:left="1239" w:hanging="640"/>
      </w:pPr>
      <w:rPr>
        <w:rFonts w:hint="default"/>
      </w:rPr>
    </w:lvl>
    <w:lvl w:ilvl="4">
      <w:start w:val="0"/>
      <w:numFmt w:val="bullet"/>
      <w:lvlText w:val="•"/>
      <w:lvlJc w:val="left"/>
      <w:pPr>
        <w:ind w:left="1365" w:hanging="640"/>
      </w:pPr>
      <w:rPr>
        <w:rFonts w:hint="default"/>
      </w:rPr>
    </w:lvl>
    <w:lvl w:ilvl="5">
      <w:start w:val="0"/>
      <w:numFmt w:val="bullet"/>
      <w:lvlText w:val="•"/>
      <w:lvlJc w:val="left"/>
      <w:pPr>
        <w:ind w:left="1492" w:hanging="640"/>
      </w:pPr>
      <w:rPr>
        <w:rFonts w:hint="default"/>
      </w:rPr>
    </w:lvl>
    <w:lvl w:ilvl="6">
      <w:start w:val="0"/>
      <w:numFmt w:val="bullet"/>
      <w:lvlText w:val="•"/>
      <w:lvlJc w:val="left"/>
      <w:pPr>
        <w:ind w:left="1618" w:hanging="640"/>
      </w:pPr>
      <w:rPr>
        <w:rFonts w:hint="default"/>
      </w:rPr>
    </w:lvl>
    <w:lvl w:ilvl="7">
      <w:start w:val="0"/>
      <w:numFmt w:val="bullet"/>
      <w:lvlText w:val="•"/>
      <w:lvlJc w:val="left"/>
      <w:pPr>
        <w:ind w:left="1745" w:hanging="640"/>
      </w:pPr>
      <w:rPr>
        <w:rFonts w:hint="default"/>
      </w:rPr>
    </w:lvl>
    <w:lvl w:ilvl="8">
      <w:start w:val="0"/>
      <w:numFmt w:val="bullet"/>
      <w:lvlText w:val="•"/>
      <w:lvlJc w:val="left"/>
      <w:pPr>
        <w:ind w:left="1871" w:hanging="640"/>
      </w:pPr>
      <w:rPr>
        <w:rFonts w:hint="default"/>
      </w:rPr>
    </w:lvl>
  </w:abstractNum>
  <w:abstractNum w:abstractNumId="6">
    <w:multiLevelType w:val="hybridMultilevel"/>
    <w:lvl w:ilvl="0">
      <w:start w:val="9"/>
      <w:numFmt w:val="decimal"/>
      <w:lvlText w:val="%1"/>
      <w:lvlJc w:val="left"/>
      <w:pPr>
        <w:ind w:left="741" w:hanging="420"/>
        <w:jc w:val="left"/>
      </w:pPr>
      <w:rPr>
        <w:rFonts w:hint="default"/>
      </w:rPr>
    </w:lvl>
    <w:lvl w:ilvl="1">
      <w:start w:val="1"/>
      <w:numFmt w:val="decimal"/>
      <w:lvlText w:val="%1.%2"/>
      <w:lvlJc w:val="left"/>
      <w:pPr>
        <w:ind w:left="795" w:hanging="420"/>
        <w:jc w:val="left"/>
      </w:pPr>
      <w:rPr>
        <w:rFonts w:hint="default" w:ascii="宋体" w:hAnsi="宋体" w:eastAsia="宋体" w:cs="宋体"/>
        <w:spacing w:val="-1"/>
        <w:w w:val="100"/>
        <w:sz w:val="21"/>
        <w:szCs w:val="21"/>
      </w:rPr>
    </w:lvl>
    <w:lvl w:ilvl="2">
      <w:start w:val="0"/>
      <w:numFmt w:val="bullet"/>
      <w:lvlText w:val="•"/>
      <w:lvlJc w:val="left"/>
      <w:pPr>
        <w:ind w:left="1050"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50" w:hanging="420"/>
      </w:pPr>
      <w:rPr>
        <w:rFonts w:hint="default"/>
      </w:rPr>
    </w:lvl>
    <w:lvl w:ilvl="5">
      <w:start w:val="0"/>
      <w:numFmt w:val="bullet"/>
      <w:lvlText w:val="•"/>
      <w:lvlJc w:val="left"/>
      <w:pPr>
        <w:ind w:left="1800" w:hanging="420"/>
      </w:pPr>
      <w:rPr>
        <w:rFonts w:hint="default"/>
      </w:rPr>
    </w:lvl>
    <w:lvl w:ilvl="6">
      <w:start w:val="0"/>
      <w:numFmt w:val="bullet"/>
      <w:lvlText w:val="•"/>
      <w:lvlJc w:val="left"/>
      <w:pPr>
        <w:ind w:left="2050" w:hanging="420"/>
      </w:pPr>
      <w:rPr>
        <w:rFonts w:hint="default"/>
      </w:rPr>
    </w:lvl>
    <w:lvl w:ilvl="7">
      <w:start w:val="0"/>
      <w:numFmt w:val="bullet"/>
      <w:lvlText w:val="•"/>
      <w:lvlJc w:val="left"/>
      <w:pPr>
        <w:ind w:left="2300" w:hanging="420"/>
      </w:pPr>
      <w:rPr>
        <w:rFonts w:hint="default"/>
      </w:rPr>
    </w:lvl>
    <w:lvl w:ilvl="8">
      <w:start w:val="0"/>
      <w:numFmt w:val="bullet"/>
      <w:lvlText w:val="•"/>
      <w:lvlJc w:val="left"/>
      <w:pPr>
        <w:ind w:left="2550" w:hanging="420"/>
      </w:pPr>
      <w:rPr>
        <w:rFonts w:hint="default"/>
      </w:rPr>
    </w:lvl>
  </w:abstractNum>
  <w:abstractNum w:abstractNumId="5">
    <w:multiLevelType w:val="hybridMultilevel"/>
    <w:lvl w:ilvl="0">
      <w:start w:val="8"/>
      <w:numFmt w:val="decimal"/>
      <w:lvlText w:val="%1"/>
      <w:lvlJc w:val="left"/>
      <w:pPr>
        <w:ind w:left="741" w:hanging="420"/>
        <w:jc w:val="left"/>
      </w:pPr>
      <w:rPr>
        <w:rFonts w:hint="default"/>
      </w:rPr>
    </w:lvl>
    <w:lvl w:ilvl="1">
      <w:start w:val="1"/>
      <w:numFmt w:val="decimal"/>
      <w:lvlText w:val="%1.%2"/>
      <w:lvlJc w:val="left"/>
      <w:pPr>
        <w:ind w:left="741" w:hanging="420"/>
        <w:jc w:val="left"/>
      </w:pPr>
      <w:rPr>
        <w:rFonts w:hint="default" w:ascii="宋体" w:hAnsi="宋体" w:eastAsia="宋体" w:cs="宋体"/>
        <w:spacing w:val="-1"/>
        <w:w w:val="100"/>
        <w:sz w:val="21"/>
        <w:szCs w:val="21"/>
      </w:rPr>
    </w:lvl>
    <w:lvl w:ilvl="2">
      <w:start w:val="0"/>
      <w:numFmt w:val="bullet"/>
      <w:lvlText w:val="•"/>
      <w:lvlJc w:val="left"/>
      <w:pPr>
        <w:ind w:left="1202" w:hanging="420"/>
      </w:pPr>
      <w:rPr>
        <w:rFonts w:hint="default"/>
      </w:rPr>
    </w:lvl>
    <w:lvl w:ilvl="3">
      <w:start w:val="0"/>
      <w:numFmt w:val="bullet"/>
      <w:lvlText w:val="•"/>
      <w:lvlJc w:val="left"/>
      <w:pPr>
        <w:ind w:left="1433" w:hanging="420"/>
      </w:pPr>
      <w:rPr>
        <w:rFonts w:hint="default"/>
      </w:rPr>
    </w:lvl>
    <w:lvl w:ilvl="4">
      <w:start w:val="0"/>
      <w:numFmt w:val="bullet"/>
      <w:lvlText w:val="•"/>
      <w:lvlJc w:val="left"/>
      <w:pPr>
        <w:ind w:left="1664" w:hanging="420"/>
      </w:pPr>
      <w:rPr>
        <w:rFonts w:hint="default"/>
      </w:rPr>
    </w:lvl>
    <w:lvl w:ilvl="5">
      <w:start w:val="0"/>
      <w:numFmt w:val="bullet"/>
      <w:lvlText w:val="•"/>
      <w:lvlJc w:val="left"/>
      <w:pPr>
        <w:ind w:left="1895" w:hanging="420"/>
      </w:pPr>
      <w:rPr>
        <w:rFonts w:hint="default"/>
      </w:rPr>
    </w:lvl>
    <w:lvl w:ilvl="6">
      <w:start w:val="0"/>
      <w:numFmt w:val="bullet"/>
      <w:lvlText w:val="•"/>
      <w:lvlJc w:val="left"/>
      <w:pPr>
        <w:ind w:left="2126" w:hanging="420"/>
      </w:pPr>
      <w:rPr>
        <w:rFonts w:hint="default"/>
      </w:rPr>
    </w:lvl>
    <w:lvl w:ilvl="7">
      <w:start w:val="0"/>
      <w:numFmt w:val="bullet"/>
      <w:lvlText w:val="•"/>
      <w:lvlJc w:val="left"/>
      <w:pPr>
        <w:ind w:left="2357" w:hanging="420"/>
      </w:pPr>
      <w:rPr>
        <w:rFonts w:hint="default"/>
      </w:rPr>
    </w:lvl>
    <w:lvl w:ilvl="8">
      <w:start w:val="0"/>
      <w:numFmt w:val="bullet"/>
      <w:lvlText w:val="•"/>
      <w:lvlJc w:val="left"/>
      <w:pPr>
        <w:ind w:left="2588" w:hanging="420"/>
      </w:pPr>
      <w:rPr>
        <w:rFonts w:hint="default"/>
      </w:rPr>
    </w:lvl>
  </w:abstractNum>
  <w:abstractNum w:abstractNumId="4">
    <w:multiLevelType w:val="hybridMultilevel"/>
    <w:lvl w:ilvl="0">
      <w:start w:val="4"/>
      <w:numFmt w:val="decimal"/>
      <w:lvlText w:val="%1."/>
      <w:lvlJc w:val="left"/>
      <w:pPr>
        <w:ind w:left="1296" w:hanging="317"/>
        <w:jc w:val="right"/>
      </w:pPr>
      <w:rPr>
        <w:rFonts w:hint="default" w:ascii="宋体" w:hAnsi="宋体" w:eastAsia="宋体" w:cs="宋体"/>
        <w:b/>
        <w:bCs/>
        <w:w w:val="99"/>
        <w:sz w:val="21"/>
        <w:szCs w:val="21"/>
      </w:rPr>
    </w:lvl>
    <w:lvl w:ilvl="1">
      <w:start w:val="1"/>
      <w:numFmt w:val="decimal"/>
      <w:lvlText w:val="%1.%2"/>
      <w:lvlJc w:val="left"/>
      <w:pPr>
        <w:ind w:left="1610" w:hanging="420"/>
        <w:jc w:val="left"/>
      </w:pPr>
      <w:rPr>
        <w:rFonts w:hint="default" w:ascii="宋体" w:hAnsi="宋体" w:eastAsia="宋体" w:cs="宋体"/>
        <w:spacing w:val="-1"/>
        <w:w w:val="100"/>
        <w:sz w:val="21"/>
        <w:szCs w:val="21"/>
      </w:rPr>
    </w:lvl>
    <w:lvl w:ilvl="2">
      <w:start w:val="0"/>
      <w:numFmt w:val="bullet"/>
      <w:lvlText w:val="•"/>
      <w:lvlJc w:val="left"/>
      <w:pPr>
        <w:ind w:left="1620" w:hanging="420"/>
      </w:pPr>
      <w:rPr>
        <w:rFonts w:hint="default"/>
      </w:rPr>
    </w:lvl>
    <w:lvl w:ilvl="3">
      <w:start w:val="0"/>
      <w:numFmt w:val="bullet"/>
      <w:lvlText w:val="•"/>
      <w:lvlJc w:val="left"/>
      <w:pPr>
        <w:ind w:left="1412" w:hanging="420"/>
      </w:pPr>
      <w:rPr>
        <w:rFonts w:hint="default"/>
      </w:rPr>
    </w:lvl>
    <w:lvl w:ilvl="4">
      <w:start w:val="0"/>
      <w:numFmt w:val="bullet"/>
      <w:lvlText w:val="•"/>
      <w:lvlJc w:val="left"/>
      <w:pPr>
        <w:ind w:left="1205" w:hanging="420"/>
      </w:pPr>
      <w:rPr>
        <w:rFonts w:hint="default"/>
      </w:rPr>
    </w:lvl>
    <w:lvl w:ilvl="5">
      <w:start w:val="0"/>
      <w:numFmt w:val="bullet"/>
      <w:lvlText w:val="•"/>
      <w:lvlJc w:val="left"/>
      <w:pPr>
        <w:ind w:left="997" w:hanging="420"/>
      </w:pPr>
      <w:rPr>
        <w:rFonts w:hint="default"/>
      </w:rPr>
    </w:lvl>
    <w:lvl w:ilvl="6">
      <w:start w:val="0"/>
      <w:numFmt w:val="bullet"/>
      <w:lvlText w:val="•"/>
      <w:lvlJc w:val="left"/>
      <w:pPr>
        <w:ind w:left="790" w:hanging="420"/>
      </w:pPr>
      <w:rPr>
        <w:rFonts w:hint="default"/>
      </w:rPr>
    </w:lvl>
    <w:lvl w:ilvl="7">
      <w:start w:val="0"/>
      <w:numFmt w:val="bullet"/>
      <w:lvlText w:val="•"/>
      <w:lvlJc w:val="left"/>
      <w:pPr>
        <w:ind w:left="582" w:hanging="420"/>
      </w:pPr>
      <w:rPr>
        <w:rFonts w:hint="default"/>
      </w:rPr>
    </w:lvl>
    <w:lvl w:ilvl="8">
      <w:start w:val="0"/>
      <w:numFmt w:val="bullet"/>
      <w:lvlText w:val="•"/>
      <w:lvlJc w:val="left"/>
      <w:pPr>
        <w:ind w:left="375" w:hanging="420"/>
      </w:pPr>
      <w:rPr>
        <w:rFonts w:hint="default"/>
      </w:rPr>
    </w:lvl>
  </w:abstractNum>
  <w:abstractNum w:abstractNumId="3">
    <w:multiLevelType w:val="hybridMultilevel"/>
    <w:lvl w:ilvl="0">
      <w:start w:val="3"/>
      <w:numFmt w:val="decimal"/>
      <w:lvlText w:val="%1"/>
      <w:lvlJc w:val="left"/>
      <w:pPr>
        <w:ind w:left="1610" w:hanging="420"/>
        <w:jc w:val="left"/>
      </w:pPr>
      <w:rPr>
        <w:rFonts w:hint="default"/>
      </w:rPr>
    </w:lvl>
    <w:lvl w:ilvl="1">
      <w:start w:val="1"/>
      <w:numFmt w:val="decimal"/>
      <w:lvlText w:val="%1.%2"/>
      <w:lvlJc w:val="left"/>
      <w:pPr>
        <w:ind w:left="1610" w:hanging="420"/>
        <w:jc w:val="left"/>
      </w:pPr>
      <w:rPr>
        <w:rFonts w:hint="default" w:ascii="宋体" w:hAnsi="宋体" w:eastAsia="宋体" w:cs="宋体"/>
        <w:spacing w:val="-1"/>
        <w:w w:val="100"/>
        <w:sz w:val="21"/>
        <w:szCs w:val="21"/>
      </w:rPr>
    </w:lvl>
    <w:lvl w:ilvl="2">
      <w:start w:val="0"/>
      <w:numFmt w:val="bullet"/>
      <w:lvlText w:val="•"/>
      <w:lvlJc w:val="left"/>
      <w:pPr>
        <w:ind w:left="1822" w:hanging="420"/>
      </w:pPr>
      <w:rPr>
        <w:rFonts w:hint="default"/>
      </w:rPr>
    </w:lvl>
    <w:lvl w:ilvl="3">
      <w:start w:val="0"/>
      <w:numFmt w:val="bullet"/>
      <w:lvlText w:val="•"/>
      <w:lvlJc w:val="left"/>
      <w:pPr>
        <w:ind w:left="2025" w:hanging="420"/>
      </w:pPr>
      <w:rPr>
        <w:rFonts w:hint="default"/>
      </w:rPr>
    </w:lvl>
    <w:lvl w:ilvl="4">
      <w:start w:val="0"/>
      <w:numFmt w:val="bullet"/>
      <w:lvlText w:val="•"/>
      <w:lvlJc w:val="left"/>
      <w:pPr>
        <w:ind w:left="2227" w:hanging="420"/>
      </w:pPr>
      <w:rPr>
        <w:rFonts w:hint="default"/>
      </w:rPr>
    </w:lvl>
    <w:lvl w:ilvl="5">
      <w:start w:val="0"/>
      <w:numFmt w:val="bullet"/>
      <w:lvlText w:val="•"/>
      <w:lvlJc w:val="left"/>
      <w:pPr>
        <w:ind w:left="2430" w:hanging="420"/>
      </w:pPr>
      <w:rPr>
        <w:rFonts w:hint="default"/>
      </w:rPr>
    </w:lvl>
    <w:lvl w:ilvl="6">
      <w:start w:val="0"/>
      <w:numFmt w:val="bullet"/>
      <w:lvlText w:val="•"/>
      <w:lvlJc w:val="left"/>
      <w:pPr>
        <w:ind w:left="2633" w:hanging="420"/>
      </w:pPr>
      <w:rPr>
        <w:rFonts w:hint="default"/>
      </w:rPr>
    </w:lvl>
    <w:lvl w:ilvl="7">
      <w:start w:val="0"/>
      <w:numFmt w:val="bullet"/>
      <w:lvlText w:val="•"/>
      <w:lvlJc w:val="left"/>
      <w:pPr>
        <w:ind w:left="2835" w:hanging="420"/>
      </w:pPr>
      <w:rPr>
        <w:rFonts w:hint="default"/>
      </w:rPr>
    </w:lvl>
    <w:lvl w:ilvl="8">
      <w:start w:val="0"/>
      <w:numFmt w:val="bullet"/>
      <w:lvlText w:val="•"/>
      <w:lvlJc w:val="left"/>
      <w:pPr>
        <w:ind w:left="3038" w:hanging="420"/>
      </w:pPr>
      <w:rPr>
        <w:rFonts w:hint="default"/>
      </w:rPr>
    </w:lvl>
  </w:abstractNum>
  <w:abstractNum w:abstractNumId="2">
    <w:multiLevelType w:val="hybridMultilevel"/>
    <w:lvl w:ilvl="0">
      <w:start w:val="2"/>
      <w:numFmt w:val="decimal"/>
      <w:lvlText w:val="%1"/>
      <w:lvlJc w:val="left"/>
      <w:pPr>
        <w:ind w:left="1610" w:hanging="420"/>
        <w:jc w:val="left"/>
      </w:pPr>
      <w:rPr>
        <w:rFonts w:hint="default"/>
      </w:rPr>
    </w:lvl>
    <w:lvl w:ilvl="1">
      <w:start w:val="1"/>
      <w:numFmt w:val="decimal"/>
      <w:lvlText w:val="%1.%2"/>
      <w:lvlJc w:val="left"/>
      <w:pPr>
        <w:ind w:left="1610" w:hanging="420"/>
        <w:jc w:val="left"/>
      </w:pPr>
      <w:rPr>
        <w:rFonts w:hint="default" w:ascii="宋体" w:hAnsi="宋体" w:eastAsia="宋体" w:cs="宋体"/>
        <w:spacing w:val="-1"/>
        <w:w w:val="100"/>
        <w:sz w:val="21"/>
        <w:szCs w:val="21"/>
      </w:rPr>
    </w:lvl>
    <w:lvl w:ilvl="2">
      <w:start w:val="0"/>
      <w:numFmt w:val="bullet"/>
      <w:lvlText w:val="•"/>
      <w:lvlJc w:val="left"/>
      <w:pPr>
        <w:ind w:left="1984" w:hanging="420"/>
      </w:pPr>
      <w:rPr>
        <w:rFonts w:hint="default"/>
      </w:rPr>
    </w:lvl>
    <w:lvl w:ilvl="3">
      <w:start w:val="0"/>
      <w:numFmt w:val="bullet"/>
      <w:lvlText w:val="•"/>
      <w:lvlJc w:val="left"/>
      <w:pPr>
        <w:ind w:left="2167" w:hanging="420"/>
      </w:pPr>
      <w:rPr>
        <w:rFonts w:hint="default"/>
      </w:rPr>
    </w:lvl>
    <w:lvl w:ilvl="4">
      <w:start w:val="0"/>
      <w:numFmt w:val="bullet"/>
      <w:lvlText w:val="•"/>
      <w:lvlJc w:val="left"/>
      <w:pPr>
        <w:ind w:left="2349" w:hanging="420"/>
      </w:pPr>
      <w:rPr>
        <w:rFonts w:hint="default"/>
      </w:rPr>
    </w:lvl>
    <w:lvl w:ilvl="5">
      <w:start w:val="0"/>
      <w:numFmt w:val="bullet"/>
      <w:lvlText w:val="•"/>
      <w:lvlJc w:val="left"/>
      <w:pPr>
        <w:ind w:left="2531" w:hanging="420"/>
      </w:pPr>
      <w:rPr>
        <w:rFonts w:hint="default"/>
      </w:rPr>
    </w:lvl>
    <w:lvl w:ilvl="6">
      <w:start w:val="0"/>
      <w:numFmt w:val="bullet"/>
      <w:lvlText w:val="•"/>
      <w:lvlJc w:val="left"/>
      <w:pPr>
        <w:ind w:left="2714" w:hanging="420"/>
      </w:pPr>
      <w:rPr>
        <w:rFonts w:hint="default"/>
      </w:rPr>
    </w:lvl>
    <w:lvl w:ilvl="7">
      <w:start w:val="0"/>
      <w:numFmt w:val="bullet"/>
      <w:lvlText w:val="•"/>
      <w:lvlJc w:val="left"/>
      <w:pPr>
        <w:ind w:left="2896" w:hanging="420"/>
      </w:pPr>
      <w:rPr>
        <w:rFonts w:hint="default"/>
      </w:rPr>
    </w:lvl>
    <w:lvl w:ilvl="8">
      <w:start w:val="0"/>
      <w:numFmt w:val="bullet"/>
      <w:lvlText w:val="•"/>
      <w:lvlJc w:val="left"/>
      <w:pPr>
        <w:ind w:left="3078" w:hanging="420"/>
      </w:pPr>
      <w:rPr>
        <w:rFonts w:hint="default"/>
      </w:rPr>
    </w:lvl>
  </w:abstractNum>
  <w:abstractNum w:abstractNumId="1">
    <w:multiLevelType w:val="hybridMultilevel"/>
    <w:lvl w:ilvl="0">
      <w:start w:val="1"/>
      <w:numFmt w:val="decimal"/>
      <w:lvlText w:val="%1"/>
      <w:lvlJc w:val="left"/>
      <w:pPr>
        <w:ind w:left="1557" w:hanging="368"/>
        <w:jc w:val="left"/>
      </w:pPr>
      <w:rPr>
        <w:rFonts w:hint="default"/>
      </w:rPr>
    </w:lvl>
    <w:lvl w:ilvl="1">
      <w:start w:val="1"/>
      <w:numFmt w:val="decimal"/>
      <w:lvlText w:val="%1.%2"/>
      <w:lvlJc w:val="left"/>
      <w:pPr>
        <w:ind w:left="1557" w:hanging="368"/>
        <w:jc w:val="left"/>
      </w:pPr>
      <w:rPr>
        <w:rFonts w:hint="default" w:ascii="宋体" w:hAnsi="宋体" w:eastAsia="宋体" w:cs="宋体"/>
        <w:spacing w:val="-1"/>
        <w:w w:val="100"/>
        <w:sz w:val="21"/>
        <w:szCs w:val="21"/>
      </w:rPr>
    </w:lvl>
    <w:lvl w:ilvl="2">
      <w:start w:val="0"/>
      <w:numFmt w:val="bullet"/>
      <w:lvlText w:val="•"/>
      <w:lvlJc w:val="left"/>
      <w:pPr>
        <w:ind w:left="1936" w:hanging="368"/>
      </w:pPr>
      <w:rPr>
        <w:rFonts w:hint="default"/>
      </w:rPr>
    </w:lvl>
    <w:lvl w:ilvl="3">
      <w:start w:val="0"/>
      <w:numFmt w:val="bullet"/>
      <w:lvlText w:val="•"/>
      <w:lvlJc w:val="left"/>
      <w:pPr>
        <w:ind w:left="2125" w:hanging="368"/>
      </w:pPr>
      <w:rPr>
        <w:rFonts w:hint="default"/>
      </w:rPr>
    </w:lvl>
    <w:lvl w:ilvl="4">
      <w:start w:val="0"/>
      <w:numFmt w:val="bullet"/>
      <w:lvlText w:val="•"/>
      <w:lvlJc w:val="left"/>
      <w:pPr>
        <w:ind w:left="2313" w:hanging="368"/>
      </w:pPr>
      <w:rPr>
        <w:rFonts w:hint="default"/>
      </w:rPr>
    </w:lvl>
    <w:lvl w:ilvl="5">
      <w:start w:val="0"/>
      <w:numFmt w:val="bullet"/>
      <w:lvlText w:val="•"/>
      <w:lvlJc w:val="left"/>
      <w:pPr>
        <w:ind w:left="2501" w:hanging="368"/>
      </w:pPr>
      <w:rPr>
        <w:rFonts w:hint="default"/>
      </w:rPr>
    </w:lvl>
    <w:lvl w:ilvl="6">
      <w:start w:val="0"/>
      <w:numFmt w:val="bullet"/>
      <w:lvlText w:val="•"/>
      <w:lvlJc w:val="left"/>
      <w:pPr>
        <w:ind w:left="2690" w:hanging="368"/>
      </w:pPr>
      <w:rPr>
        <w:rFonts w:hint="default"/>
      </w:rPr>
    </w:lvl>
    <w:lvl w:ilvl="7">
      <w:start w:val="0"/>
      <w:numFmt w:val="bullet"/>
      <w:lvlText w:val="•"/>
      <w:lvlJc w:val="left"/>
      <w:pPr>
        <w:ind w:left="2878" w:hanging="368"/>
      </w:pPr>
      <w:rPr>
        <w:rFonts w:hint="default"/>
      </w:rPr>
    </w:lvl>
    <w:lvl w:ilvl="8">
      <w:start w:val="0"/>
      <w:numFmt w:val="bullet"/>
      <w:lvlText w:val="•"/>
      <w:lvlJc w:val="left"/>
      <w:pPr>
        <w:ind w:left="3066" w:hanging="368"/>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4" w:hanging="420"/>
      </w:pPr>
      <w:rPr>
        <w:rFonts w:hint="default"/>
      </w:rPr>
    </w:lvl>
    <w:lvl w:ilvl="2">
      <w:start w:val="0"/>
      <w:numFmt w:val="bullet"/>
      <w:lvlText w:val="•"/>
      <w:lvlJc w:val="left"/>
      <w:pPr>
        <w:ind w:left="3349" w:hanging="420"/>
      </w:pPr>
      <w:rPr>
        <w:rFonts w:hint="default"/>
      </w:rPr>
    </w:lvl>
    <w:lvl w:ilvl="3">
      <w:start w:val="0"/>
      <w:numFmt w:val="bullet"/>
      <w:lvlText w:val="•"/>
      <w:lvlJc w:val="left"/>
      <w:pPr>
        <w:ind w:left="4203" w:hanging="420"/>
      </w:pPr>
      <w:rPr>
        <w:rFonts w:hint="default"/>
      </w:rPr>
    </w:lvl>
    <w:lvl w:ilvl="4">
      <w:start w:val="0"/>
      <w:numFmt w:val="bullet"/>
      <w:lvlText w:val="•"/>
      <w:lvlJc w:val="left"/>
      <w:pPr>
        <w:ind w:left="5058" w:hanging="420"/>
      </w:pPr>
      <w:rPr>
        <w:rFonts w:hint="default"/>
      </w:rPr>
    </w:lvl>
    <w:lvl w:ilvl="5">
      <w:start w:val="0"/>
      <w:numFmt w:val="bullet"/>
      <w:lvlText w:val="•"/>
      <w:lvlJc w:val="left"/>
      <w:pPr>
        <w:ind w:left="5913" w:hanging="420"/>
      </w:pPr>
      <w:rPr>
        <w:rFonts w:hint="default"/>
      </w:rPr>
    </w:lvl>
    <w:lvl w:ilvl="6">
      <w:start w:val="0"/>
      <w:numFmt w:val="bullet"/>
      <w:lvlText w:val="•"/>
      <w:lvlJc w:val="left"/>
      <w:pPr>
        <w:ind w:left="6767" w:hanging="420"/>
      </w:pPr>
      <w:rPr>
        <w:rFonts w:hint="default"/>
      </w:rPr>
    </w:lvl>
    <w:lvl w:ilvl="7">
      <w:start w:val="0"/>
      <w:numFmt w:val="bullet"/>
      <w:lvlText w:val="•"/>
      <w:lvlJc w:val="left"/>
      <w:pPr>
        <w:ind w:left="7622" w:hanging="420"/>
      </w:pPr>
      <w:rPr>
        <w:rFonts w:hint="default"/>
      </w:rPr>
    </w:lvl>
    <w:lvl w:ilvl="8">
      <w:start w:val="0"/>
      <w:numFmt w:val="bullet"/>
      <w:lvlText w:val="•"/>
      <w:lvlJc w:val="left"/>
      <w:pPr>
        <w:ind w:left="847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285" w:lineRule="exact"/>
      <w:ind w:left="111"/>
      <w:outlineLvl w:val="2"/>
    </w:pPr>
    <w:rPr>
      <w:rFonts w:ascii="宋体" w:hAnsi="宋体" w:eastAsia="宋体" w:cs="宋体"/>
      <w:b/>
      <w:bCs/>
      <w:sz w:val="21"/>
      <w:szCs w:val="21"/>
    </w:rPr>
  </w:style>
  <w:style w:styleId="ListParagraph" w:type="paragraph">
    <w:name w:val="List Paragraph"/>
    <w:basedOn w:val="Normal"/>
    <w:uiPriority w:val="1"/>
    <w:qFormat/>
    <w:pPr>
      <w:spacing w:line="240" w:lineRule="exact"/>
      <w:ind w:left="161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2018-10-20T04:31:53Z</dcterms:created>
  <dcterms:modified xsi:type="dcterms:W3CDTF">2018-10-20T04:31:53Z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