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after="13"/>
        <w:ind w:left="0" w:right="104" w:firstLine="0"/>
        <w:jc w:val="right"/>
        <w:rPr>
          <w:sz w:val="18"/>
        </w:rPr>
      </w:pPr>
      <w:r>
        <w:rPr>
          <w:sz w:val="18"/>
        </w:rPr>
        <w:t>工银安盛人寿〔</w:t>
      </w:r>
      <w:r>
        <w:rPr>
          <w:rFonts w:ascii="Times New Roman" w:eastAsia="Times New Roman"/>
          <w:sz w:val="18"/>
        </w:rPr>
        <w:t>2014</w:t>
      </w:r>
      <w:r>
        <w:rPr>
          <w:sz w:val="18"/>
        </w:rPr>
        <w:t>〕疾病保险 </w:t>
      </w:r>
      <w:r>
        <w:rPr>
          <w:rFonts w:ascii="Times New Roman" w:eastAsia="Times New Roman"/>
          <w:sz w:val="18"/>
        </w:rPr>
        <w:t>013 </w:t>
      </w:r>
      <w:r>
        <w:rPr>
          <w:sz w:val="18"/>
        </w:rPr>
        <w:t>号</w:t>
      </w:r>
    </w:p>
    <w:p>
      <w:pPr>
        <w:pStyle w:val="BodyText"/>
        <w:ind w:left="8613"/>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footerReference w:type="default" r:id="rId5"/>
          <w:type w:val="continuous"/>
          <w:pgSz w:w="11900" w:h="16840"/>
          <w:pgMar w:footer="514" w:top="800" w:bottom="700" w:left="1020" w:right="1020"/>
          <w:pgNumType w:start="1"/>
        </w:sectPr>
      </w:pPr>
    </w:p>
    <w:p>
      <w:pPr>
        <w:spacing w:before="182"/>
        <w:ind w:left="3004" w:right="0" w:firstLine="0"/>
        <w:jc w:val="left"/>
        <w:rPr>
          <w:rFonts w:ascii="Microsoft JhengHei" w:eastAsia="Microsoft JhengHei" w:hint="eastAsia"/>
          <w:b/>
          <w:sz w:val="32"/>
        </w:rPr>
      </w:pPr>
      <w:r>
        <w:rPr>
          <w:rFonts w:ascii="Microsoft JhengHei" w:eastAsia="Microsoft JhengHei" w:hint="eastAsia"/>
          <w:b/>
          <w:sz w:val="32"/>
        </w:rPr>
        <w:t>工银安盛人寿保险有限公司</w:t>
      </w:r>
    </w:p>
    <w:p>
      <w:pPr>
        <w:spacing w:line="203" w:lineRule="exact" w:before="0"/>
        <w:ind w:left="1052" w:right="0" w:firstLine="0"/>
        <w:jc w:val="left"/>
        <w:rPr>
          <w:sz w:val="18"/>
        </w:rPr>
      </w:pPr>
      <w:r>
        <w:rPr/>
        <w:br w:type="column"/>
      </w:r>
      <w:r>
        <w:rPr>
          <w:w w:val="95"/>
          <w:sz w:val="18"/>
        </w:rPr>
        <w:t>请扫描以查询验证条款</w:t>
      </w:r>
    </w:p>
    <w:p>
      <w:pPr>
        <w:spacing w:after="0" w:line="203" w:lineRule="exact"/>
        <w:jc w:val="left"/>
        <w:rPr>
          <w:sz w:val="18"/>
        </w:rPr>
        <w:sectPr>
          <w:type w:val="continuous"/>
          <w:pgSz w:w="11900" w:h="16840"/>
          <w:pgMar w:top="800" w:bottom="700" w:left="1020" w:right="1020"/>
          <w:cols w:num="2" w:equalWidth="0">
            <w:col w:w="6860" w:space="40"/>
            <w:col w:w="2960"/>
          </w:cols>
        </w:sectPr>
      </w:pPr>
    </w:p>
    <w:p>
      <w:pPr>
        <w:pStyle w:val="BodyText"/>
        <w:spacing w:before="11"/>
        <w:ind w:left="0"/>
        <w:rPr>
          <w:sz w:val="12"/>
        </w:rPr>
      </w:pPr>
    </w:p>
    <w:p>
      <w:pPr>
        <w:spacing w:line="456" w:lineRule="exact" w:before="0"/>
        <w:ind w:left="1710" w:right="1709" w:firstLine="0"/>
        <w:jc w:val="center"/>
        <w:rPr>
          <w:rFonts w:ascii="Microsoft JhengHei" w:eastAsia="Microsoft JhengHei" w:hint="eastAsia"/>
          <w:b/>
          <w:sz w:val="32"/>
        </w:rPr>
      </w:pPr>
      <w:r>
        <w:rPr>
          <w:rFonts w:ascii="Microsoft JhengHei" w:eastAsia="Microsoft JhengHei" w:hint="eastAsia"/>
          <w:b/>
          <w:sz w:val="32"/>
        </w:rPr>
        <w:t>工银安盛人寿附加盛世如意重大疾病保险条款</w:t>
      </w:r>
    </w:p>
    <w:p>
      <w:pPr>
        <w:pStyle w:val="BodyText"/>
        <w:ind w:left="0"/>
        <w:rPr>
          <w:rFonts w:ascii="Microsoft JhengHei"/>
          <w:b/>
          <w:sz w:val="32"/>
        </w:rPr>
      </w:pPr>
    </w:p>
    <w:p>
      <w:pPr>
        <w:pStyle w:val="BodyText"/>
        <w:spacing w:before="6"/>
        <w:ind w:left="0"/>
        <w:rPr>
          <w:rFonts w:ascii="Microsoft JhengHei"/>
          <w:b/>
          <w:sz w:val="28"/>
        </w:rPr>
      </w:pPr>
    </w:p>
    <w:p>
      <w:pPr>
        <w:pStyle w:val="Heading1"/>
        <w:ind w:left="1710" w:right="1707"/>
      </w:pPr>
      <w:r>
        <w:rPr/>
        <w:t>目录</w:t>
      </w:r>
    </w:p>
    <w:p>
      <w:pPr>
        <w:pStyle w:val="BodyText"/>
        <w:spacing w:before="4"/>
        <w:ind w:left="0"/>
        <w:rPr>
          <w:rFonts w:ascii="Microsoft JhengHei"/>
          <w:b/>
          <w:sz w:val="25"/>
        </w:rPr>
      </w:pPr>
    </w:p>
    <w:p>
      <w:pPr>
        <w:pStyle w:val="BodyText"/>
        <w:ind w:left="112"/>
      </w:pPr>
      <w:r>
        <w:rPr/>
        <w:t>感谢您</w:t>
      </w:r>
      <w:r>
        <w:rPr>
          <w:position w:val="11"/>
          <w:sz w:val="11"/>
        </w:rPr>
        <w:t>（1）</w:t>
      </w:r>
      <w:r>
        <w:rPr/>
        <w:t>选择了我们-工银安盛人寿保险有限公司。</w:t>
      </w:r>
    </w:p>
    <w:p>
      <w:pPr>
        <w:pStyle w:val="BodyText"/>
        <w:spacing w:line="232" w:lineRule="exact" w:before="37"/>
        <w:ind w:left="112"/>
      </w:pPr>
      <w:r>
        <w:rPr/>
        <w:t>在您阅读本条款之前，请浏览一下目录，对条款结构有一个大致的了解。</w:t>
      </w:r>
    </w:p>
    <w:p>
      <w:pPr>
        <w:tabs>
          <w:tab w:pos="1094" w:val="left" w:leader="none"/>
        </w:tabs>
        <w:spacing w:line="433" w:lineRule="exact" w:before="0"/>
        <w:ind w:left="119" w:right="0" w:firstLine="0"/>
        <w:jc w:val="left"/>
        <w:rPr>
          <w:sz w:val="21"/>
        </w:rPr>
      </w:pPr>
      <w:r>
        <w:rPr>
          <w:rFonts w:ascii="Microsoft JhengHei" w:eastAsia="Microsoft JhengHei" w:hint="eastAsia"/>
          <w:b/>
          <w:sz w:val="24"/>
        </w:rPr>
        <w:t>第一章</w:t>
        <w:tab/>
        <w:t>保险责任条款</w:t>
      </w:r>
      <w:r>
        <w:rPr>
          <w:rFonts w:ascii="Microsoft JhengHei" w:eastAsia="Microsoft JhengHei" w:hint="eastAsia"/>
          <w:b/>
          <w:sz w:val="28"/>
        </w:rPr>
        <w:t>：</w:t>
      </w:r>
      <w:r>
        <w:rPr>
          <w:sz w:val="21"/>
        </w:rPr>
        <w:t>向您介绍本附加合同的基本构成，以及您通过本附加合同所获得</w:t>
      </w:r>
    </w:p>
    <w:p>
      <w:pPr>
        <w:pStyle w:val="BodyText"/>
        <w:spacing w:line="261" w:lineRule="exact"/>
        <w:ind w:left="2803"/>
      </w:pPr>
      <w:r>
        <w:rPr/>
        <w:t>的保障及给付利益。</w:t>
      </w:r>
    </w:p>
    <w:p>
      <w:pPr>
        <w:pStyle w:val="BodyText"/>
        <w:tabs>
          <w:tab w:pos="2488" w:val="left" w:leader="none"/>
        </w:tabs>
        <w:spacing w:line="273" w:lineRule="exact"/>
        <w:ind w:left="854"/>
      </w:pPr>
      <w:r>
        <w:rPr/>
        <w:t>第一条</w:t>
        <w:tab/>
        <w:t>合同</w:t>
      </w:r>
      <w:r>
        <w:rPr>
          <w:spacing w:val="-3"/>
        </w:rPr>
        <w:t>的</w:t>
      </w:r>
      <w:r>
        <w:rPr/>
        <w:t>构成</w:t>
      </w:r>
    </w:p>
    <w:p>
      <w:pPr>
        <w:pStyle w:val="BodyText"/>
        <w:tabs>
          <w:tab w:pos="2488" w:val="left" w:leader="none"/>
        </w:tabs>
        <w:spacing w:before="90"/>
        <w:ind w:left="854"/>
      </w:pPr>
      <w:r>
        <w:rPr/>
        <w:t>第二条</w:t>
        <w:tab/>
        <w:t>投保</w:t>
      </w:r>
      <w:r>
        <w:rPr>
          <w:spacing w:val="-3"/>
        </w:rPr>
        <w:t>范</w:t>
      </w:r>
      <w:r>
        <w:rPr/>
        <w:t>围</w:t>
      </w:r>
    </w:p>
    <w:p>
      <w:pPr>
        <w:pStyle w:val="BodyText"/>
        <w:tabs>
          <w:tab w:pos="2488" w:val="left" w:leader="none"/>
        </w:tabs>
        <w:spacing w:before="87"/>
        <w:ind w:left="854"/>
      </w:pPr>
      <w:r>
        <w:rPr/>
        <w:t>第三条</w:t>
        <w:tab/>
        <w:t>保险</w:t>
      </w:r>
      <w:r>
        <w:rPr>
          <w:spacing w:val="-3"/>
        </w:rPr>
        <w:t>期</w:t>
      </w:r>
      <w:r>
        <w:rPr/>
        <w:t>间</w:t>
      </w:r>
    </w:p>
    <w:p>
      <w:pPr>
        <w:pStyle w:val="BodyText"/>
        <w:tabs>
          <w:tab w:pos="2488" w:val="left" w:leader="none"/>
        </w:tabs>
        <w:spacing w:before="87"/>
        <w:ind w:left="854"/>
      </w:pPr>
      <w:r>
        <w:rPr/>
        <w:t>第四条</w:t>
        <w:tab/>
        <w:t>犹豫期</w:t>
      </w:r>
    </w:p>
    <w:p>
      <w:pPr>
        <w:pStyle w:val="BodyText"/>
        <w:tabs>
          <w:tab w:pos="2488" w:val="left" w:leader="none"/>
        </w:tabs>
        <w:spacing w:before="90"/>
        <w:ind w:left="854"/>
      </w:pPr>
      <w:r>
        <w:rPr/>
        <w:t>第五条</w:t>
        <w:tab/>
        <w:t>保险</w:t>
      </w:r>
      <w:r>
        <w:rPr>
          <w:spacing w:val="-3"/>
        </w:rPr>
        <w:t>金</w:t>
      </w:r>
      <w:r>
        <w:rPr/>
        <w:t>额</w:t>
      </w:r>
    </w:p>
    <w:p>
      <w:pPr>
        <w:pStyle w:val="BodyText"/>
        <w:tabs>
          <w:tab w:pos="2488" w:val="left" w:leader="none"/>
        </w:tabs>
        <w:spacing w:before="87"/>
        <w:ind w:left="854"/>
      </w:pPr>
      <w:r>
        <w:rPr/>
        <w:t>第六条</w:t>
        <w:tab/>
        <w:t>保险</w:t>
      </w:r>
      <w:r>
        <w:rPr>
          <w:spacing w:val="-3"/>
        </w:rPr>
        <w:t>责</w:t>
      </w:r>
      <w:r>
        <w:rPr/>
        <w:t>任</w:t>
      </w:r>
    </w:p>
    <w:p>
      <w:pPr>
        <w:pStyle w:val="BodyText"/>
        <w:tabs>
          <w:tab w:pos="2488" w:val="left" w:leader="none"/>
        </w:tabs>
        <w:spacing w:line="269" w:lineRule="exact" w:before="87"/>
        <w:ind w:left="854"/>
      </w:pPr>
      <w:r>
        <w:rPr/>
        <w:t>第七条</w:t>
        <w:tab/>
        <w:t>责任</w:t>
      </w:r>
      <w:r>
        <w:rPr>
          <w:spacing w:val="-3"/>
        </w:rPr>
        <w:t>免</w:t>
      </w:r>
      <w:r>
        <w:rPr/>
        <w:t>除</w:t>
      </w:r>
    </w:p>
    <w:p>
      <w:pPr>
        <w:pStyle w:val="BodyText"/>
        <w:tabs>
          <w:tab w:pos="1084" w:val="left" w:leader="none"/>
        </w:tabs>
        <w:spacing w:line="223" w:lineRule="auto" w:before="28"/>
        <w:ind w:left="2287" w:right="1093" w:hanging="2168"/>
      </w:pPr>
      <w:r>
        <w:rPr>
          <w:rFonts w:ascii="Microsoft JhengHei" w:eastAsia="Microsoft JhengHei" w:hint="eastAsia"/>
          <w:b/>
          <w:sz w:val="24"/>
        </w:rPr>
        <w:t>第二章</w:t>
        <w:tab/>
        <w:t>一般条款</w:t>
      </w:r>
      <w:r>
        <w:rPr>
          <w:rFonts w:ascii="Microsoft JhengHei" w:eastAsia="Microsoft JhengHei" w:hint="eastAsia"/>
          <w:b/>
          <w:spacing w:val="-51"/>
          <w:sz w:val="28"/>
        </w:rPr>
        <w:t>：</w:t>
      </w:r>
      <w:r>
        <w:rPr>
          <w:spacing w:val="-3"/>
        </w:rPr>
        <w:t>向</w:t>
      </w:r>
      <w:r>
        <w:rPr/>
        <w:t>您介</w:t>
      </w:r>
      <w:r>
        <w:rPr>
          <w:spacing w:val="-3"/>
        </w:rPr>
        <w:t>绍</w:t>
      </w:r>
      <w:r>
        <w:rPr/>
        <w:t>您</w:t>
      </w:r>
      <w:r>
        <w:rPr>
          <w:spacing w:val="-3"/>
        </w:rPr>
        <w:t>对</w:t>
      </w:r>
      <w:r>
        <w:rPr/>
        <w:t>本</w:t>
      </w:r>
      <w:r>
        <w:rPr>
          <w:spacing w:val="-3"/>
        </w:rPr>
        <w:t>附</w:t>
      </w:r>
      <w:r>
        <w:rPr/>
        <w:t>加</w:t>
      </w:r>
      <w:r>
        <w:rPr>
          <w:spacing w:val="-3"/>
        </w:rPr>
        <w:t>合</w:t>
      </w:r>
      <w:r>
        <w:rPr/>
        <w:t>同</w:t>
      </w:r>
      <w:r>
        <w:rPr>
          <w:spacing w:val="-3"/>
        </w:rPr>
        <w:t>所</w:t>
      </w:r>
      <w:r>
        <w:rPr/>
        <w:t>拥有</w:t>
      </w:r>
      <w:r>
        <w:rPr>
          <w:spacing w:val="-3"/>
        </w:rPr>
        <w:t>的</w:t>
      </w:r>
      <w:r>
        <w:rPr/>
        <w:t>权</w:t>
      </w:r>
      <w:r>
        <w:rPr>
          <w:spacing w:val="-3"/>
        </w:rPr>
        <w:t>益</w:t>
      </w:r>
      <w:r>
        <w:rPr/>
        <w:t>和</w:t>
      </w:r>
      <w:r>
        <w:rPr>
          <w:spacing w:val="-3"/>
        </w:rPr>
        <w:t>义</w:t>
      </w:r>
      <w:r>
        <w:rPr/>
        <w:t>务</w:t>
      </w:r>
      <w:r>
        <w:rPr>
          <w:spacing w:val="-17"/>
        </w:rPr>
        <w:t>，</w:t>
      </w:r>
      <w:r>
        <w:rPr/>
        <w:t>以</w:t>
      </w:r>
      <w:r>
        <w:rPr>
          <w:spacing w:val="-3"/>
        </w:rPr>
        <w:t>及</w:t>
      </w:r>
      <w:r>
        <w:rPr/>
        <w:t>保单</w:t>
      </w:r>
      <w:r>
        <w:rPr>
          <w:spacing w:val="-3"/>
        </w:rPr>
        <w:t>服</w:t>
      </w:r>
      <w:r>
        <w:rPr/>
        <w:t>务</w:t>
      </w:r>
      <w:r>
        <w:rPr>
          <w:spacing w:val="-17"/>
        </w:rPr>
        <w:t>、</w:t>
      </w:r>
      <w:r>
        <w:rPr/>
        <w:t>理</w:t>
      </w:r>
      <w:r>
        <w:rPr>
          <w:spacing w:val="-3"/>
        </w:rPr>
        <w:t>赔</w:t>
      </w:r>
      <w:r>
        <w:rPr/>
        <w:t>的 具体</w:t>
      </w:r>
      <w:r>
        <w:rPr>
          <w:spacing w:val="-3"/>
        </w:rPr>
        <w:t>要</w:t>
      </w:r>
      <w:r>
        <w:rPr/>
        <w:t>求。</w:t>
      </w:r>
    </w:p>
    <w:p>
      <w:pPr>
        <w:pStyle w:val="BodyText"/>
        <w:tabs>
          <w:tab w:pos="2488" w:val="left" w:leader="none"/>
        </w:tabs>
        <w:spacing w:line="271" w:lineRule="exact"/>
        <w:ind w:left="854"/>
      </w:pPr>
      <w:r>
        <w:rPr/>
        <w:t>第八条</w:t>
        <w:tab/>
        <w:t>保险</w:t>
      </w:r>
      <w:r>
        <w:rPr>
          <w:spacing w:val="-3"/>
        </w:rPr>
        <w:t>费</w:t>
      </w:r>
      <w:r>
        <w:rPr/>
        <w:t>的</w:t>
      </w:r>
      <w:r>
        <w:rPr>
          <w:spacing w:val="-3"/>
        </w:rPr>
        <w:t>交</w:t>
      </w:r>
      <w:r>
        <w:rPr/>
        <w:t>付</w:t>
      </w:r>
      <w:r>
        <w:rPr>
          <w:spacing w:val="-3"/>
        </w:rPr>
        <w:t>及</w:t>
      </w:r>
      <w:r>
        <w:rPr/>
        <w:t>宽</w:t>
      </w:r>
      <w:r>
        <w:rPr>
          <w:spacing w:val="-3"/>
        </w:rPr>
        <w:t>限</w:t>
      </w:r>
      <w:r>
        <w:rPr/>
        <w:t>期</w:t>
      </w:r>
    </w:p>
    <w:p>
      <w:pPr>
        <w:pStyle w:val="BodyText"/>
        <w:tabs>
          <w:tab w:pos="2488" w:val="left" w:leader="none"/>
        </w:tabs>
        <w:spacing w:before="90"/>
        <w:ind w:left="854"/>
      </w:pPr>
      <w:r>
        <w:rPr/>
        <w:t>第九条</w:t>
        <w:tab/>
        <w:t>保险</w:t>
      </w:r>
      <w:r>
        <w:rPr>
          <w:spacing w:val="-3"/>
        </w:rPr>
        <w:t>费</w:t>
      </w:r>
      <w:r>
        <w:rPr/>
        <w:t>率</w:t>
      </w:r>
      <w:r>
        <w:rPr>
          <w:spacing w:val="-3"/>
        </w:rPr>
        <w:t>的</w:t>
      </w:r>
      <w:r>
        <w:rPr/>
        <w:t>调整</w:t>
      </w:r>
    </w:p>
    <w:p>
      <w:pPr>
        <w:pStyle w:val="BodyText"/>
        <w:tabs>
          <w:tab w:pos="2488" w:val="left" w:leader="none"/>
        </w:tabs>
        <w:spacing w:before="87"/>
        <w:ind w:left="854"/>
      </w:pPr>
      <w:r>
        <w:rPr/>
        <w:t>第十条</w:t>
        <w:tab/>
        <w:t>合同</w:t>
      </w:r>
      <w:r>
        <w:rPr>
          <w:spacing w:val="-3"/>
        </w:rPr>
        <w:t>效</w:t>
      </w:r>
      <w:r>
        <w:rPr/>
        <w:t>力</w:t>
      </w:r>
      <w:r>
        <w:rPr>
          <w:spacing w:val="-3"/>
        </w:rPr>
        <w:t>的</w:t>
      </w:r>
      <w:r>
        <w:rPr/>
        <w:t>中止</w:t>
      </w:r>
    </w:p>
    <w:p>
      <w:pPr>
        <w:pStyle w:val="BodyText"/>
        <w:tabs>
          <w:tab w:pos="2488" w:val="left" w:leader="none"/>
        </w:tabs>
        <w:spacing w:before="87"/>
        <w:ind w:left="854"/>
      </w:pPr>
      <w:r>
        <w:rPr/>
        <w:t>第十</w:t>
      </w:r>
      <w:r>
        <w:rPr>
          <w:spacing w:val="-3"/>
        </w:rPr>
        <w:t>一</w:t>
      </w:r>
      <w:r>
        <w:rPr/>
        <w:t>条</w:t>
        <w:tab/>
        <w:t>合同</w:t>
      </w:r>
      <w:r>
        <w:rPr>
          <w:spacing w:val="-3"/>
        </w:rPr>
        <w:t>效</w:t>
      </w:r>
      <w:r>
        <w:rPr/>
        <w:t>力</w:t>
      </w:r>
      <w:r>
        <w:rPr>
          <w:spacing w:val="-3"/>
        </w:rPr>
        <w:t>的</w:t>
      </w:r>
      <w:r>
        <w:rPr/>
        <w:t>恢复</w:t>
      </w:r>
    </w:p>
    <w:p>
      <w:pPr>
        <w:pStyle w:val="BodyText"/>
        <w:tabs>
          <w:tab w:pos="2488" w:val="left" w:leader="none"/>
        </w:tabs>
        <w:spacing w:before="89"/>
        <w:ind w:left="854"/>
      </w:pPr>
      <w:r>
        <w:rPr/>
        <w:t>第十</w:t>
      </w:r>
      <w:r>
        <w:rPr>
          <w:spacing w:val="-3"/>
        </w:rPr>
        <w:t>二</w:t>
      </w:r>
      <w:r>
        <w:rPr/>
        <w:t>条</w:t>
        <w:tab/>
        <w:t>合同</w:t>
      </w:r>
      <w:r>
        <w:rPr>
          <w:spacing w:val="-3"/>
        </w:rPr>
        <w:t>的</w:t>
      </w:r>
      <w:r>
        <w:rPr/>
        <w:t>解除</w:t>
      </w:r>
    </w:p>
    <w:p>
      <w:pPr>
        <w:pStyle w:val="BodyText"/>
        <w:tabs>
          <w:tab w:pos="2488" w:val="left" w:leader="none"/>
        </w:tabs>
        <w:spacing w:before="87"/>
        <w:ind w:left="854"/>
      </w:pPr>
      <w:r>
        <w:rPr/>
        <w:t>第十</w:t>
      </w:r>
      <w:r>
        <w:rPr>
          <w:spacing w:val="-3"/>
        </w:rPr>
        <w:t>三</w:t>
      </w:r>
      <w:r>
        <w:rPr/>
        <w:t>条</w:t>
        <w:tab/>
        <w:t>合同</w:t>
      </w:r>
      <w:r>
        <w:rPr>
          <w:spacing w:val="-3"/>
        </w:rPr>
        <w:t>效</w:t>
      </w:r>
      <w:r>
        <w:rPr/>
        <w:t>力</w:t>
      </w:r>
      <w:r>
        <w:rPr>
          <w:spacing w:val="-3"/>
        </w:rPr>
        <w:t>的</w:t>
      </w:r>
      <w:r>
        <w:rPr/>
        <w:t>终止</w:t>
      </w:r>
    </w:p>
    <w:p>
      <w:pPr>
        <w:pStyle w:val="BodyText"/>
        <w:tabs>
          <w:tab w:pos="2488" w:val="left" w:leader="none"/>
        </w:tabs>
        <w:spacing w:before="87"/>
        <w:ind w:left="854"/>
      </w:pPr>
      <w:r>
        <w:rPr/>
        <w:t>第十</w:t>
      </w:r>
      <w:r>
        <w:rPr>
          <w:spacing w:val="-3"/>
        </w:rPr>
        <w:t>四</w:t>
      </w:r>
      <w:r>
        <w:rPr/>
        <w:t>条</w:t>
        <w:tab/>
        <w:t>受益</w:t>
      </w:r>
      <w:r>
        <w:rPr>
          <w:spacing w:val="-3"/>
        </w:rPr>
        <w:t>人</w:t>
      </w:r>
      <w:r>
        <w:rPr/>
        <w:t>的</w:t>
      </w:r>
      <w:r>
        <w:rPr>
          <w:spacing w:val="-3"/>
        </w:rPr>
        <w:t>指</w:t>
      </w:r>
      <w:r>
        <w:rPr/>
        <w:t>定</w:t>
      </w:r>
      <w:r>
        <w:rPr>
          <w:spacing w:val="-3"/>
        </w:rPr>
        <w:t>和</w:t>
      </w:r>
      <w:r>
        <w:rPr/>
        <w:t>变更</w:t>
      </w:r>
    </w:p>
    <w:p>
      <w:pPr>
        <w:pStyle w:val="BodyText"/>
        <w:tabs>
          <w:tab w:pos="2488" w:val="left" w:leader="none"/>
        </w:tabs>
        <w:spacing w:before="87"/>
        <w:ind w:left="854"/>
      </w:pPr>
      <w:r>
        <w:rPr/>
        <w:t>第十</w:t>
      </w:r>
      <w:r>
        <w:rPr>
          <w:spacing w:val="-3"/>
        </w:rPr>
        <w:t>五</w:t>
      </w:r>
      <w:r>
        <w:rPr/>
        <w:t>条</w:t>
        <w:tab/>
        <w:t>保险</w:t>
      </w:r>
      <w:r>
        <w:rPr>
          <w:spacing w:val="-3"/>
        </w:rPr>
        <w:t>事</w:t>
      </w:r>
      <w:r>
        <w:rPr/>
        <w:t>故</w:t>
      </w:r>
      <w:r>
        <w:rPr>
          <w:spacing w:val="-3"/>
        </w:rPr>
        <w:t>的</w:t>
      </w:r>
      <w:r>
        <w:rPr/>
        <w:t>通知</w:t>
      </w:r>
    </w:p>
    <w:p>
      <w:pPr>
        <w:pStyle w:val="BodyText"/>
        <w:tabs>
          <w:tab w:pos="2488" w:val="left" w:leader="none"/>
        </w:tabs>
        <w:spacing w:before="90"/>
        <w:ind w:left="854"/>
      </w:pPr>
      <w:r>
        <w:rPr/>
        <w:t>第十</w:t>
      </w:r>
      <w:r>
        <w:rPr>
          <w:spacing w:val="-3"/>
        </w:rPr>
        <w:t>六</w:t>
      </w:r>
      <w:r>
        <w:rPr/>
        <w:t>条</w:t>
        <w:tab/>
        <w:t>保险</w:t>
      </w:r>
      <w:r>
        <w:rPr>
          <w:spacing w:val="-3"/>
        </w:rPr>
        <w:t>金</w:t>
      </w:r>
      <w:r>
        <w:rPr/>
        <w:t>的</w:t>
      </w:r>
      <w:r>
        <w:rPr>
          <w:spacing w:val="-3"/>
        </w:rPr>
        <w:t>申</w:t>
      </w:r>
      <w:r>
        <w:rPr/>
        <w:t>请</w:t>
      </w:r>
    </w:p>
    <w:p>
      <w:pPr>
        <w:pStyle w:val="BodyText"/>
        <w:tabs>
          <w:tab w:pos="2488" w:val="left" w:leader="none"/>
        </w:tabs>
        <w:spacing w:before="87"/>
        <w:ind w:left="854"/>
      </w:pPr>
      <w:r>
        <w:rPr/>
        <w:t>第十</w:t>
      </w:r>
      <w:r>
        <w:rPr>
          <w:spacing w:val="-3"/>
        </w:rPr>
        <w:t>七</w:t>
      </w:r>
      <w:r>
        <w:rPr/>
        <w:t>条</w:t>
        <w:tab/>
        <w:t>未还</w:t>
      </w:r>
      <w:r>
        <w:rPr>
          <w:spacing w:val="-3"/>
        </w:rPr>
        <w:t>款</w:t>
      </w:r>
      <w:r>
        <w:rPr/>
        <w:t>项</w:t>
      </w:r>
      <w:r>
        <w:rPr>
          <w:spacing w:val="-3"/>
        </w:rPr>
        <w:t>的</w:t>
      </w:r>
      <w:r>
        <w:rPr/>
        <w:t>扣除</w:t>
      </w:r>
    </w:p>
    <w:p>
      <w:pPr>
        <w:pStyle w:val="BodyText"/>
        <w:tabs>
          <w:tab w:pos="2488" w:val="left" w:leader="none"/>
        </w:tabs>
        <w:spacing w:before="87"/>
        <w:ind w:left="854"/>
      </w:pPr>
      <w:r>
        <w:rPr/>
        <w:t>第十</w:t>
      </w:r>
      <w:r>
        <w:rPr>
          <w:spacing w:val="-3"/>
        </w:rPr>
        <w:t>八</w:t>
      </w:r>
      <w:r>
        <w:rPr/>
        <w:t>条</w:t>
        <w:tab/>
        <w:t>如实</w:t>
      </w:r>
      <w:r>
        <w:rPr>
          <w:spacing w:val="-3"/>
        </w:rPr>
        <w:t>告</w:t>
      </w:r>
      <w:r>
        <w:rPr/>
        <w:t>知</w:t>
      </w:r>
    </w:p>
    <w:p>
      <w:pPr>
        <w:pStyle w:val="BodyText"/>
        <w:tabs>
          <w:tab w:pos="2488" w:val="left" w:leader="none"/>
        </w:tabs>
        <w:spacing w:before="90"/>
        <w:ind w:left="854"/>
      </w:pPr>
      <w:r>
        <w:rPr/>
        <w:t>第十</w:t>
      </w:r>
      <w:r>
        <w:rPr>
          <w:spacing w:val="-3"/>
        </w:rPr>
        <w:t>九</w:t>
      </w:r>
      <w:r>
        <w:rPr/>
        <w:t>条</w:t>
        <w:tab/>
        <w:t>合同</w:t>
      </w:r>
      <w:r>
        <w:rPr>
          <w:spacing w:val="-3"/>
        </w:rPr>
        <w:t>解</w:t>
      </w:r>
      <w:r>
        <w:rPr/>
        <w:t>除</w:t>
      </w:r>
      <w:r>
        <w:rPr>
          <w:spacing w:val="-3"/>
        </w:rPr>
        <w:t>权</w:t>
      </w:r>
      <w:r>
        <w:rPr/>
        <w:t>的</w:t>
      </w:r>
      <w:r>
        <w:rPr>
          <w:spacing w:val="-3"/>
        </w:rPr>
        <w:t>限</w:t>
      </w:r>
      <w:r>
        <w:rPr/>
        <w:t>制</w:t>
      </w:r>
    </w:p>
    <w:p>
      <w:pPr>
        <w:pStyle w:val="BodyText"/>
        <w:tabs>
          <w:tab w:pos="2488" w:val="left" w:leader="none"/>
        </w:tabs>
        <w:spacing w:line="316" w:lineRule="auto" w:before="87"/>
        <w:ind w:left="854" w:right="4635"/>
      </w:pPr>
      <w:r>
        <w:rPr/>
        <w:t>第二</w:t>
      </w:r>
      <w:r>
        <w:rPr>
          <w:spacing w:val="-3"/>
        </w:rPr>
        <w:t>十</w:t>
      </w:r>
      <w:r>
        <w:rPr/>
        <w:t>条</w:t>
        <w:tab/>
        <w:t>年龄</w:t>
      </w:r>
      <w:r>
        <w:rPr>
          <w:spacing w:val="-3"/>
        </w:rPr>
        <w:t>及</w:t>
      </w:r>
      <w:r>
        <w:rPr/>
        <w:t>性</w:t>
      </w:r>
      <w:r>
        <w:rPr>
          <w:spacing w:val="-3"/>
        </w:rPr>
        <w:t>别</w:t>
      </w:r>
      <w:r>
        <w:rPr/>
        <w:t>的</w:t>
      </w:r>
      <w:r>
        <w:rPr>
          <w:spacing w:val="-3"/>
        </w:rPr>
        <w:t>确</w:t>
      </w:r>
      <w:r>
        <w:rPr/>
        <w:t>定</w:t>
      </w:r>
      <w:r>
        <w:rPr>
          <w:spacing w:val="-3"/>
        </w:rPr>
        <w:t>与</w:t>
      </w:r>
      <w:r>
        <w:rPr/>
        <w:t>错</w:t>
      </w:r>
      <w:r>
        <w:rPr>
          <w:spacing w:val="-3"/>
        </w:rPr>
        <w:t>误</w:t>
      </w:r>
      <w:r>
        <w:rPr/>
        <w:t>处理 第二</w:t>
      </w:r>
      <w:r>
        <w:rPr>
          <w:spacing w:val="-3"/>
        </w:rPr>
        <w:t>十</w:t>
      </w:r>
      <w:r>
        <w:rPr/>
        <w:t>一条</w:t>
        <w:tab/>
        <w:t>合同</w:t>
      </w:r>
      <w:r>
        <w:rPr>
          <w:spacing w:val="-3"/>
        </w:rPr>
        <w:t>内</w:t>
      </w:r>
      <w:r>
        <w:rPr/>
        <w:t>容</w:t>
      </w:r>
      <w:r>
        <w:rPr>
          <w:spacing w:val="-3"/>
        </w:rPr>
        <w:t>的</w:t>
      </w:r>
      <w:r>
        <w:rPr/>
        <w:t>变更</w:t>
      </w:r>
    </w:p>
    <w:p>
      <w:pPr>
        <w:pStyle w:val="BodyText"/>
        <w:tabs>
          <w:tab w:pos="2488" w:val="left" w:leader="none"/>
        </w:tabs>
        <w:spacing w:line="316" w:lineRule="auto" w:before="22"/>
        <w:ind w:left="854" w:right="5895"/>
      </w:pPr>
      <w:r>
        <w:rPr/>
        <w:t>第二</w:t>
      </w:r>
      <w:r>
        <w:rPr>
          <w:spacing w:val="-3"/>
        </w:rPr>
        <w:t>十</w:t>
      </w:r>
      <w:r>
        <w:rPr/>
        <w:t>二条</w:t>
        <w:tab/>
        <w:t>联系</w:t>
      </w:r>
      <w:r>
        <w:rPr>
          <w:spacing w:val="-3"/>
        </w:rPr>
        <w:t>方</w:t>
      </w:r>
      <w:r>
        <w:rPr/>
        <w:t>式</w:t>
      </w:r>
      <w:r>
        <w:rPr>
          <w:spacing w:val="-3"/>
        </w:rPr>
        <w:t>的</w:t>
      </w:r>
      <w:r>
        <w:rPr/>
        <w:t>变更 第二</w:t>
      </w:r>
      <w:r>
        <w:rPr>
          <w:spacing w:val="-3"/>
        </w:rPr>
        <w:t>十</w:t>
      </w:r>
      <w:r>
        <w:rPr/>
        <w:t>三条</w:t>
        <w:tab/>
        <w:t>争议</w:t>
      </w:r>
      <w:r>
        <w:rPr>
          <w:spacing w:val="-3"/>
        </w:rPr>
        <w:t>处</w:t>
      </w:r>
      <w:r>
        <w:rPr/>
        <w:t>理</w:t>
      </w:r>
    </w:p>
    <w:p>
      <w:pPr>
        <w:spacing w:after="0" w:line="316" w:lineRule="auto"/>
        <w:sectPr>
          <w:type w:val="continuous"/>
          <w:pgSz w:w="11900" w:h="16840"/>
          <w:pgMar w:top="800" w:bottom="700" w:left="1020" w:right="1020"/>
        </w:sectPr>
      </w:pPr>
    </w:p>
    <w:p>
      <w:pPr>
        <w:pStyle w:val="BodyText"/>
        <w:spacing w:before="11"/>
        <w:ind w:left="0"/>
        <w:rPr>
          <w:sz w:val="19"/>
        </w:rPr>
      </w:pPr>
    </w:p>
    <w:p>
      <w:pPr>
        <w:tabs>
          <w:tab w:pos="1104" w:val="left" w:leader="none"/>
        </w:tabs>
        <w:spacing w:line="356" w:lineRule="exact" w:before="0"/>
        <w:ind w:left="139" w:right="0" w:firstLine="0"/>
        <w:jc w:val="left"/>
        <w:rPr>
          <w:sz w:val="21"/>
        </w:rPr>
      </w:pPr>
      <w:r>
        <w:rPr>
          <w:rFonts w:ascii="Microsoft JhengHei" w:eastAsia="Microsoft JhengHei" w:hint="eastAsia"/>
          <w:b/>
          <w:sz w:val="24"/>
        </w:rPr>
        <w:t>第三章</w:t>
        <w:tab/>
        <w:t>名词释义</w:t>
      </w:r>
      <w:r>
        <w:rPr>
          <w:rFonts w:ascii="Microsoft JhengHei" w:eastAsia="Microsoft JhengHei" w:hint="eastAsia"/>
          <w:b/>
          <w:spacing w:val="-27"/>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2"/>
          <w:sz w:val="21"/>
        </w:rPr>
        <w:t>，</w:t>
      </w:r>
      <w:r>
        <w:rPr>
          <w:sz w:val="21"/>
        </w:rPr>
        <w:t>便于</w:t>
      </w:r>
      <w:r>
        <w:rPr>
          <w:spacing w:val="-3"/>
          <w:sz w:val="21"/>
        </w:rPr>
        <w:t>您</w:t>
      </w:r>
      <w:r>
        <w:rPr>
          <w:sz w:val="21"/>
        </w:rPr>
        <w:t>更</w:t>
      </w:r>
      <w:r>
        <w:rPr>
          <w:spacing w:val="-3"/>
          <w:sz w:val="21"/>
        </w:rPr>
        <w:t>好</w:t>
      </w:r>
      <w:r>
        <w:rPr>
          <w:sz w:val="21"/>
        </w:rPr>
        <w:t>的</w:t>
      </w:r>
      <w:r>
        <w:rPr>
          <w:spacing w:val="-3"/>
          <w:sz w:val="21"/>
        </w:rPr>
        <w:t>理</w:t>
      </w:r>
      <w:r>
        <w:rPr>
          <w:sz w:val="21"/>
        </w:rPr>
        <w:t>解</w:t>
      </w:r>
    </w:p>
    <w:p>
      <w:pPr>
        <w:pStyle w:val="BodyText"/>
        <w:spacing w:line="263" w:lineRule="exact"/>
        <w:ind w:left="2307"/>
      </w:pPr>
      <w:r>
        <w:rPr/>
        <w:t>本附加合同。</w:t>
      </w:r>
    </w:p>
    <w:p>
      <w:pPr>
        <w:spacing w:after="0" w:line="263" w:lineRule="exact"/>
        <w:sectPr>
          <w:headerReference w:type="default" r:id="rId7"/>
          <w:pgSz w:w="11900" w:h="16840"/>
          <w:pgMar w:header="892" w:footer="514" w:top="1080" w:bottom="760" w:left="1000" w:right="1000"/>
        </w:sectPr>
      </w:pPr>
    </w:p>
    <w:p>
      <w:pPr>
        <w:pStyle w:val="BodyText"/>
        <w:ind w:left="0"/>
        <w:rPr>
          <w:sz w:val="20"/>
        </w:rPr>
      </w:pPr>
    </w:p>
    <w:p>
      <w:pPr>
        <w:pStyle w:val="Heading1"/>
        <w:tabs>
          <w:tab w:pos="1132" w:val="left" w:leader="none"/>
        </w:tabs>
        <w:spacing w:before="61"/>
        <w:ind w:right="94"/>
      </w:pPr>
      <w:r>
        <w:rPr/>
        <w:t>第一章</w:t>
        <w:tab/>
        <w:t>保险责任条款</w:t>
      </w:r>
    </w:p>
    <w:p>
      <w:pPr>
        <w:pStyle w:val="BodyText"/>
        <w:spacing w:before="2"/>
        <w:ind w:left="0"/>
        <w:rPr>
          <w:rFonts w:ascii="Microsoft JhengHei"/>
          <w:b/>
          <w:sz w:val="22"/>
        </w:rPr>
      </w:pPr>
    </w:p>
    <w:p>
      <w:pPr>
        <w:pStyle w:val="Heading2"/>
        <w:tabs>
          <w:tab w:pos="1265" w:val="left" w:leader="none"/>
        </w:tabs>
        <w:spacing w:line="368" w:lineRule="exact"/>
      </w:pPr>
      <w:r>
        <w:rPr/>
        <w:t>第一条</w:t>
        <w:tab/>
        <w:t>合同的构成</w:t>
      </w:r>
    </w:p>
    <w:p>
      <w:pPr>
        <w:pStyle w:val="BodyText"/>
        <w:spacing w:before="15"/>
        <w:ind w:left="0"/>
        <w:rPr>
          <w:rFonts w:ascii="Microsoft JhengHei"/>
          <w:b/>
          <w:sz w:val="16"/>
        </w:rPr>
      </w:pPr>
    </w:p>
    <w:p>
      <w:pPr>
        <w:pStyle w:val="BodyText"/>
        <w:spacing w:line="314" w:lineRule="auto"/>
        <w:ind w:left="132" w:right="222" w:firstLine="419"/>
      </w:pPr>
      <w:r>
        <w:rPr>
          <w:spacing w:val="-3"/>
        </w:rPr>
        <w:t>《工银安盛人寿附加盛世如意重大疾病保险合同</w:t>
      </w:r>
      <w:r>
        <w:rPr>
          <w:spacing w:val="-154"/>
        </w:rPr>
        <w:t>》</w:t>
      </w:r>
      <w:r>
        <w:rPr>
          <w:spacing w:val="-3"/>
        </w:rPr>
        <w:t>（</w:t>
      </w:r>
      <w:r>
        <w:rPr>
          <w:spacing w:val="-15"/>
        </w:rPr>
        <w:t>以下简称“本附加合同”</w:t>
      </w:r>
      <w:r>
        <w:rPr>
          <w:spacing w:val="-77"/>
        </w:rPr>
        <w:t>）</w:t>
      </w:r>
      <w:r>
        <w:rPr>
          <w:spacing w:val="-12"/>
        </w:rPr>
        <w:t>依您的申请，附加于《工</w:t>
      </w:r>
      <w:r>
        <w:rPr>
          <w:spacing w:val="-13"/>
          <w:w w:val="100"/>
        </w:rPr>
        <w:t>银安盛人寿盛世如意两全保险合同》</w:t>
      </w:r>
      <w:r>
        <w:rPr>
          <w:w w:val="100"/>
        </w:rPr>
        <w:t>（</w:t>
      </w:r>
      <w:r>
        <w:rPr>
          <w:spacing w:val="-15"/>
          <w:w w:val="100"/>
        </w:rPr>
        <w:t>以下简称“主合同”</w:t>
      </w:r>
      <w:r>
        <w:rPr>
          <w:spacing w:val="-108"/>
          <w:w w:val="100"/>
        </w:rPr>
        <w:t>）</w:t>
      </w:r>
      <w:r>
        <w:rPr>
          <w:spacing w:val="-3"/>
          <w:w w:val="100"/>
        </w:rPr>
        <w:t>，并成为其不可分割的组成部分。</w:t>
      </w:r>
    </w:p>
    <w:p>
      <w:pPr>
        <w:pStyle w:val="BodyText"/>
        <w:spacing w:before="11"/>
        <w:ind w:left="0"/>
        <w:rPr>
          <w:sz w:val="28"/>
        </w:rPr>
      </w:pPr>
    </w:p>
    <w:p>
      <w:pPr>
        <w:pStyle w:val="BodyText"/>
        <w:spacing w:line="312" w:lineRule="auto"/>
        <w:ind w:left="132" w:right="222" w:firstLine="419"/>
      </w:pPr>
      <w:r>
        <w:rPr>
          <w:spacing w:val="-5"/>
        </w:rPr>
        <w:t>若上述构成本附加合同的文件正本需留我们存档，则其复印件或电子影像印刷件效力与正本相同；若</w:t>
      </w:r>
      <w:r>
        <w:rPr>
          <w:spacing w:val="-4"/>
        </w:rPr>
        <w:t>复印件或电子影像印刷件的内容与正本不同，则以正本为准。</w:t>
      </w:r>
    </w:p>
    <w:p>
      <w:pPr>
        <w:pStyle w:val="BodyText"/>
        <w:ind w:left="0"/>
        <w:rPr>
          <w:sz w:val="29"/>
        </w:rPr>
      </w:pPr>
    </w:p>
    <w:p>
      <w:pPr>
        <w:pStyle w:val="BodyText"/>
        <w:ind w:left="552"/>
      </w:pPr>
      <w:r>
        <w:rPr/>
        <w:t>本附加合同的英文简称 TRCIR。</w:t>
      </w:r>
    </w:p>
    <w:p>
      <w:pPr>
        <w:pStyle w:val="BodyText"/>
        <w:spacing w:before="7"/>
        <w:ind w:left="0"/>
        <w:rPr>
          <w:sz w:val="20"/>
        </w:rPr>
      </w:pPr>
    </w:p>
    <w:p>
      <w:pPr>
        <w:pStyle w:val="Heading2"/>
        <w:tabs>
          <w:tab w:pos="1265" w:val="left" w:leader="none"/>
        </w:tabs>
      </w:pPr>
      <w:r>
        <w:rPr/>
        <w:t>第二条</w:t>
        <w:tab/>
        <w:t>投保范围</w:t>
      </w:r>
    </w:p>
    <w:p>
      <w:pPr>
        <w:pStyle w:val="BodyText"/>
        <w:spacing w:before="15"/>
        <w:ind w:left="0"/>
        <w:rPr>
          <w:rFonts w:ascii="Microsoft JhengHei"/>
          <w:b/>
          <w:sz w:val="18"/>
        </w:rPr>
      </w:pPr>
    </w:p>
    <w:p>
      <w:pPr>
        <w:pStyle w:val="BodyText"/>
        <w:spacing w:before="1"/>
        <w:ind w:left="552"/>
      </w:pPr>
      <w:r>
        <w:rPr/>
        <w:t>凡出生满 30 天至 50 周岁</w:t>
      </w:r>
      <w:r>
        <w:rPr>
          <w:position w:val="12"/>
          <w:sz w:val="12"/>
        </w:rPr>
        <w:t>（2）</w:t>
      </w:r>
      <w:r>
        <w:rPr/>
        <w:t>且身体健康的人，可作为被保险人参加本保险。</w:t>
      </w:r>
    </w:p>
    <w:p>
      <w:pPr>
        <w:pStyle w:val="BodyText"/>
        <w:spacing w:before="1"/>
        <w:ind w:left="0"/>
        <w:rPr>
          <w:sz w:val="33"/>
        </w:rPr>
      </w:pPr>
    </w:p>
    <w:p>
      <w:pPr>
        <w:pStyle w:val="BodyText"/>
        <w:spacing w:line="312" w:lineRule="auto"/>
        <w:ind w:left="132" w:right="222" w:firstLine="419"/>
      </w:pPr>
      <w:r>
        <w:rPr>
          <w:spacing w:val="-5"/>
        </w:rPr>
        <w:t>对于未满 </w:t>
      </w:r>
      <w:r>
        <w:rPr/>
        <w:t>18</w:t>
      </w:r>
      <w:r>
        <w:rPr>
          <w:spacing w:val="-7"/>
        </w:rPr>
        <w:t> 周岁的被保险人，应由其父母作为投保人向我们投保本保险。对于 </w:t>
      </w:r>
      <w:r>
        <w:rPr/>
        <w:t>18</w:t>
      </w:r>
      <w:r>
        <w:rPr>
          <w:spacing w:val="-7"/>
        </w:rPr>
        <w:t> 周岁以上</w:t>
      </w:r>
      <w:r>
        <w:rPr/>
        <w:t>（</w:t>
      </w:r>
      <w:r>
        <w:rPr>
          <w:spacing w:val="-9"/>
        </w:rPr>
        <w:t>含 </w:t>
      </w:r>
      <w:r>
        <w:rPr/>
        <w:t>18 周岁</w:t>
      </w:r>
      <w:r>
        <w:rPr>
          <w:spacing w:val="-3"/>
        </w:rPr>
        <w:t>）的被保险人，可由其本人或对其有保险利益的人向我们投保。</w:t>
      </w:r>
    </w:p>
    <w:p>
      <w:pPr>
        <w:pStyle w:val="BodyText"/>
        <w:spacing w:before="9"/>
        <w:ind w:left="0"/>
        <w:rPr>
          <w:sz w:val="15"/>
        </w:rPr>
      </w:pPr>
    </w:p>
    <w:p>
      <w:pPr>
        <w:pStyle w:val="Heading2"/>
        <w:tabs>
          <w:tab w:pos="1265" w:val="left" w:leader="none"/>
        </w:tabs>
      </w:pPr>
      <w:r>
        <w:rPr/>
        <w:t>第三条</w:t>
        <w:tab/>
        <w:t>保险期间</w:t>
      </w:r>
    </w:p>
    <w:p>
      <w:pPr>
        <w:pStyle w:val="BodyText"/>
        <w:spacing w:before="15"/>
        <w:ind w:left="0"/>
        <w:rPr>
          <w:rFonts w:ascii="Microsoft JhengHei"/>
          <w:b/>
          <w:sz w:val="16"/>
        </w:rPr>
      </w:pPr>
    </w:p>
    <w:p>
      <w:pPr>
        <w:pStyle w:val="BodyText"/>
        <w:spacing w:line="314" w:lineRule="auto"/>
        <w:ind w:left="132" w:right="222" w:firstLine="420"/>
      </w:pPr>
      <w:r>
        <w:rPr>
          <w:spacing w:val="-6"/>
        </w:rPr>
        <w:t>本附加合同的保险期间同主合同。本附加合同生效日期在保险单上载明，保单年度、保险费约定支付</w:t>
      </w:r>
      <w:r>
        <w:rPr>
          <w:spacing w:val="-4"/>
        </w:rPr>
        <w:t>日均以该日期计算。</w:t>
      </w:r>
    </w:p>
    <w:p>
      <w:pPr>
        <w:pStyle w:val="BodyText"/>
        <w:spacing w:before="11"/>
        <w:ind w:left="0"/>
        <w:rPr>
          <w:sz w:val="28"/>
        </w:rPr>
      </w:pPr>
    </w:p>
    <w:p>
      <w:pPr>
        <w:pStyle w:val="BodyText"/>
        <w:ind w:left="552"/>
      </w:pPr>
      <w:r>
        <w:rPr/>
        <w:t>除非有另外的约定，本附加合同的保险期间自主合同保险单所载的生效日当日 24 时起至本附加合同</w:t>
      </w:r>
    </w:p>
    <w:p>
      <w:pPr>
        <w:pStyle w:val="BodyText"/>
        <w:spacing w:before="82"/>
        <w:ind w:left="132"/>
      </w:pPr>
      <w:r>
        <w:rPr/>
        <w:t>约定的任一种终止情况发生之日 24 时为止。</w:t>
      </w:r>
    </w:p>
    <w:p>
      <w:pPr>
        <w:pStyle w:val="BodyText"/>
        <w:ind w:left="0"/>
        <w:rPr>
          <w:sz w:val="15"/>
        </w:rPr>
      </w:pPr>
    </w:p>
    <w:p>
      <w:pPr>
        <w:pStyle w:val="Heading2"/>
        <w:tabs>
          <w:tab w:pos="1265" w:val="left" w:leader="none"/>
        </w:tabs>
      </w:pPr>
      <w:r>
        <w:rPr/>
        <w:t>第四条</w:t>
        <w:tab/>
        <w:t>犹豫期</w:t>
      </w:r>
    </w:p>
    <w:p>
      <w:pPr>
        <w:pStyle w:val="BodyText"/>
        <w:spacing w:before="3"/>
        <w:ind w:left="0"/>
        <w:rPr>
          <w:rFonts w:ascii="Microsoft JhengHei"/>
          <w:b/>
          <w:sz w:val="19"/>
        </w:rPr>
      </w:pPr>
    </w:p>
    <w:p>
      <w:pPr>
        <w:pStyle w:val="BodyText"/>
        <w:ind w:left="552"/>
      </w:pPr>
      <w:r>
        <w:rPr/>
        <w:t>我们给予您 15 日的犹豫期，自您签收保险合同之日起算。</w:t>
      </w:r>
    </w:p>
    <w:p>
      <w:pPr>
        <w:pStyle w:val="BodyText"/>
        <w:ind w:left="0"/>
        <w:rPr>
          <w:sz w:val="20"/>
        </w:rPr>
      </w:pPr>
    </w:p>
    <w:p>
      <w:pPr>
        <w:pStyle w:val="BodyText"/>
        <w:spacing w:before="10"/>
        <w:ind w:left="0"/>
        <w:rPr>
          <w:sz w:val="13"/>
        </w:rPr>
      </w:pPr>
    </w:p>
    <w:p>
      <w:pPr>
        <w:pStyle w:val="BodyText"/>
        <w:spacing w:line="314" w:lineRule="auto"/>
        <w:ind w:left="132" w:right="222" w:firstLine="419"/>
        <w:jc w:val="both"/>
      </w:pPr>
      <w:r>
        <w:rPr>
          <w:spacing w:val="-5"/>
        </w:rPr>
        <w:t>在此期间如果您确定此保险合同与您的需求不相符，可向我们书面提出解除合同的申请，并将本附加</w:t>
      </w:r>
      <w:r>
        <w:rPr>
          <w:spacing w:val="-7"/>
        </w:rPr>
        <w:t>合同退还我们。本附加合同自我们收到书面申请当日起正式解除，我们自始不承担保险责任，并无息退还</w:t>
      </w:r>
      <w:r>
        <w:rPr>
          <w:spacing w:val="-5"/>
        </w:rPr>
        <w:t>已收本附加合同全部保险费。</w:t>
      </w:r>
    </w:p>
    <w:p>
      <w:pPr>
        <w:pStyle w:val="BodyText"/>
        <w:spacing w:line="660" w:lineRule="atLeast" w:before="6"/>
        <w:ind w:left="552" w:right="104"/>
      </w:pPr>
      <w:r>
        <w:rPr>
          <w:spacing w:val="-16"/>
        </w:rPr>
        <w:t>但如果您、被保险人或受益人曾向我们提出理赔申请，则不得在上述规定的犹豫期内行使合同解除</w:t>
      </w:r>
      <w:r>
        <w:rPr>
          <w:sz w:val="24"/>
        </w:rPr>
        <w:t>权。</w:t>
      </w:r>
      <w:r>
        <w:rPr>
          <w:spacing w:val="-3"/>
        </w:rPr>
        <w:t>您要求解除合同时，应提供下列证明、资料：</w:t>
      </w:r>
    </w:p>
    <w:p>
      <w:pPr>
        <w:pStyle w:val="ListParagraph"/>
        <w:numPr>
          <w:ilvl w:val="0"/>
          <w:numId w:val="1"/>
        </w:numPr>
        <w:tabs>
          <w:tab w:pos="972" w:val="left" w:leader="none"/>
          <w:tab w:pos="973" w:val="left" w:leader="none"/>
        </w:tabs>
        <w:spacing w:line="240" w:lineRule="auto" w:before="83" w:after="0"/>
        <w:ind w:left="972" w:right="0" w:hanging="420"/>
        <w:jc w:val="left"/>
        <w:rPr>
          <w:sz w:val="21"/>
        </w:rPr>
      </w:pPr>
      <w:r>
        <w:rPr>
          <w:spacing w:val="-2"/>
          <w:sz w:val="21"/>
        </w:rPr>
        <w:t>保险合同原件；</w:t>
      </w:r>
    </w:p>
    <w:p>
      <w:pPr>
        <w:pStyle w:val="ListParagraph"/>
        <w:numPr>
          <w:ilvl w:val="0"/>
          <w:numId w:val="1"/>
        </w:numPr>
        <w:tabs>
          <w:tab w:pos="972" w:val="left" w:leader="none"/>
          <w:tab w:pos="973" w:val="left" w:leader="none"/>
        </w:tabs>
        <w:spacing w:line="240" w:lineRule="auto" w:before="85" w:after="0"/>
        <w:ind w:left="972" w:right="0" w:hanging="420"/>
        <w:jc w:val="left"/>
        <w:rPr>
          <w:sz w:val="21"/>
        </w:rPr>
      </w:pPr>
      <w:r>
        <w:rPr>
          <w:spacing w:val="-3"/>
          <w:sz w:val="21"/>
        </w:rPr>
        <w:t>解除合同申请书；</w:t>
      </w:r>
    </w:p>
    <w:p>
      <w:pPr>
        <w:pStyle w:val="ListParagraph"/>
        <w:numPr>
          <w:ilvl w:val="0"/>
          <w:numId w:val="1"/>
        </w:numPr>
        <w:tabs>
          <w:tab w:pos="972" w:val="left" w:leader="none"/>
          <w:tab w:pos="973" w:val="left" w:leader="none"/>
        </w:tabs>
        <w:spacing w:line="240" w:lineRule="auto" w:before="82" w:after="0"/>
        <w:ind w:left="972" w:right="0" w:hanging="420"/>
        <w:jc w:val="left"/>
        <w:rPr>
          <w:sz w:val="21"/>
        </w:rPr>
      </w:pPr>
      <w:r>
        <w:rPr>
          <w:spacing w:val="-3"/>
          <w:sz w:val="21"/>
        </w:rPr>
        <w:t>您的有效身份证件。</w:t>
      </w:r>
    </w:p>
    <w:p>
      <w:pPr>
        <w:spacing w:after="0" w:line="240" w:lineRule="auto"/>
        <w:jc w:val="left"/>
        <w:rPr>
          <w:sz w:val="21"/>
        </w:rPr>
        <w:sectPr>
          <w:pgSz w:w="11900" w:h="16840"/>
          <w:pgMar w:header="892" w:footer="514" w:top="1080" w:bottom="760" w:left="1000" w:right="900"/>
        </w:sectPr>
      </w:pPr>
    </w:p>
    <w:p>
      <w:pPr>
        <w:pStyle w:val="BodyText"/>
        <w:spacing w:before="2"/>
        <w:ind w:left="0"/>
      </w:pPr>
    </w:p>
    <w:p>
      <w:pPr>
        <w:pStyle w:val="Heading3"/>
        <w:spacing w:line="336" w:lineRule="exact"/>
        <w:ind w:left="555"/>
      </w:pPr>
      <w:r>
        <w:rPr/>
        <w:t>特别提示您，本附加合同被解除时，其所属主合同同时被解除。</w:t>
      </w:r>
    </w:p>
    <w:p>
      <w:pPr>
        <w:pStyle w:val="BodyText"/>
        <w:spacing w:before="12"/>
        <w:ind w:left="0"/>
        <w:rPr>
          <w:rFonts w:ascii="Microsoft JhengHei"/>
          <w:b/>
          <w:sz w:val="12"/>
        </w:rPr>
      </w:pPr>
    </w:p>
    <w:p>
      <w:pPr>
        <w:tabs>
          <w:tab w:pos="1265" w:val="left" w:leader="none"/>
        </w:tabs>
        <w:spacing w:before="0"/>
        <w:ind w:left="132" w:right="0" w:firstLine="0"/>
        <w:jc w:val="left"/>
        <w:rPr>
          <w:rFonts w:ascii="Microsoft JhengHei" w:eastAsia="Microsoft JhengHei" w:hint="eastAsia"/>
          <w:b/>
          <w:sz w:val="24"/>
        </w:rPr>
      </w:pPr>
      <w:r>
        <w:rPr>
          <w:rFonts w:ascii="Microsoft JhengHei" w:eastAsia="Microsoft JhengHei" w:hint="eastAsia"/>
          <w:b/>
          <w:sz w:val="24"/>
        </w:rPr>
        <w:t>第五条</w:t>
        <w:tab/>
        <w:t>保险金额</w:t>
      </w:r>
    </w:p>
    <w:p>
      <w:pPr>
        <w:pStyle w:val="BodyText"/>
        <w:spacing w:before="3"/>
        <w:ind w:left="0"/>
        <w:rPr>
          <w:rFonts w:ascii="Microsoft JhengHei"/>
          <w:b/>
          <w:sz w:val="19"/>
        </w:rPr>
      </w:pPr>
    </w:p>
    <w:p>
      <w:pPr>
        <w:pStyle w:val="BodyText"/>
        <w:ind w:left="552"/>
      </w:pPr>
      <w:r>
        <w:rPr/>
        <w:t>本附加合同保险金额与主合同保险金额相同，并随您申请主合同保险金额的变更而变更。</w:t>
      </w:r>
    </w:p>
    <w:p>
      <w:pPr>
        <w:pStyle w:val="BodyText"/>
        <w:spacing w:before="4"/>
        <w:ind w:left="0"/>
        <w:rPr>
          <w:sz w:val="20"/>
        </w:rPr>
      </w:pPr>
    </w:p>
    <w:p>
      <w:pPr>
        <w:pStyle w:val="Heading2"/>
        <w:tabs>
          <w:tab w:pos="1265" w:val="left" w:leader="none"/>
        </w:tabs>
      </w:pPr>
      <w:r>
        <w:rPr/>
        <w:t>第六条</w:t>
        <w:tab/>
        <w:t>保险责任</w:t>
      </w:r>
    </w:p>
    <w:p>
      <w:pPr>
        <w:pStyle w:val="BodyText"/>
        <w:spacing w:before="10"/>
        <w:ind w:left="0"/>
        <w:rPr>
          <w:rFonts w:ascii="Microsoft JhengHei"/>
          <w:b/>
          <w:sz w:val="16"/>
        </w:rPr>
      </w:pPr>
    </w:p>
    <w:p>
      <w:pPr>
        <w:pStyle w:val="BodyText"/>
        <w:ind w:left="552"/>
      </w:pPr>
      <w:r>
        <w:rPr/>
        <w:t>一、重大疾病保险金：</w:t>
      </w:r>
    </w:p>
    <w:p>
      <w:pPr>
        <w:pStyle w:val="BodyText"/>
        <w:spacing w:before="5"/>
        <w:ind w:left="0"/>
        <w:rPr>
          <w:sz w:val="29"/>
        </w:rPr>
      </w:pPr>
    </w:p>
    <w:p>
      <w:pPr>
        <w:pStyle w:val="BodyText"/>
        <w:spacing w:line="312" w:lineRule="auto"/>
        <w:ind w:left="132" w:right="202" w:firstLine="419"/>
        <w:jc w:val="both"/>
      </w:pPr>
      <w:r>
        <w:rPr>
          <w:spacing w:val="-3"/>
        </w:rPr>
        <w:t>如果被保险人于本附加合同生效日或复效日（以较迟者为准）</w:t>
      </w:r>
      <w:r>
        <w:rPr>
          <w:spacing w:val="3"/>
        </w:rPr>
        <w:t>起 </w:t>
      </w:r>
      <w:r>
        <w:rPr/>
        <w:t>90</w:t>
      </w:r>
      <w:r>
        <w:rPr>
          <w:spacing w:val="-3"/>
        </w:rPr>
        <w:t> 天后，按本附加合同约定的五十种重大疾病</w:t>
      </w:r>
      <w:r>
        <w:rPr>
          <w:position w:val="11"/>
          <w:sz w:val="11"/>
        </w:rPr>
        <w:t>（3）</w:t>
      </w:r>
      <w:r>
        <w:rPr>
          <w:spacing w:val="-7"/>
        </w:rPr>
        <w:t>的定义和诊断标准，被专科医生</w:t>
      </w:r>
      <w:r>
        <w:rPr>
          <w:position w:val="11"/>
          <w:sz w:val="11"/>
        </w:rPr>
        <w:t>（4）</w:t>
      </w:r>
      <w:r>
        <w:rPr/>
        <w:t>或符合条件的医疗机构</w:t>
      </w:r>
      <w:r>
        <w:rPr>
          <w:position w:val="11"/>
          <w:sz w:val="11"/>
        </w:rPr>
        <w:t>（5）</w:t>
      </w:r>
      <w:r>
        <w:rPr>
          <w:spacing w:val="-4"/>
        </w:rPr>
        <w:t>首次诊断为患有重大疾病</w:t>
      </w:r>
      <w:r>
        <w:rPr/>
        <w:t>（无</w:t>
      </w:r>
      <w:r>
        <w:rPr>
          <w:spacing w:val="-2"/>
          <w:w w:val="100"/>
        </w:rPr>
        <w:t>论一种或多种</w:t>
      </w:r>
      <w:r>
        <w:rPr>
          <w:spacing w:val="-108"/>
          <w:w w:val="100"/>
        </w:rPr>
        <w:t>）</w:t>
      </w:r>
      <w:r>
        <w:rPr>
          <w:spacing w:val="-3"/>
          <w:w w:val="100"/>
        </w:rPr>
        <w:t>，且自首次诊断日起生存</w:t>
      </w:r>
      <w:r>
        <w:rPr>
          <w:spacing w:val="-43"/>
        </w:rPr>
        <w:t> </w:t>
      </w:r>
      <w:r>
        <w:rPr>
          <w:w w:val="100"/>
        </w:rPr>
        <w:t>28</w:t>
      </w:r>
      <w:r>
        <w:rPr>
          <w:spacing w:val="-45"/>
        </w:rPr>
        <w:t> </w:t>
      </w:r>
      <w:r>
        <w:rPr>
          <w:spacing w:val="-3"/>
          <w:w w:val="100"/>
        </w:rPr>
        <w:t>天或以上的，我们将按本附加合同约定的保险金额的</w:t>
      </w:r>
      <w:r>
        <w:rPr>
          <w:spacing w:val="-43"/>
        </w:rPr>
        <w:t> </w:t>
      </w:r>
      <w:r>
        <w:rPr>
          <w:w w:val="100"/>
        </w:rPr>
        <w:t>1</w:t>
      </w:r>
      <w:r>
        <w:rPr>
          <w:spacing w:val="-3"/>
          <w:w w:val="100"/>
        </w:rPr>
        <w:t>0</w:t>
      </w:r>
      <w:r>
        <w:rPr>
          <w:w w:val="100"/>
        </w:rPr>
        <w:t>0</w:t>
      </w:r>
      <w:r>
        <w:rPr>
          <w:spacing w:val="-2"/>
          <w:w w:val="100"/>
        </w:rPr>
        <w:t>％给</w:t>
      </w:r>
      <w:r>
        <w:rPr>
          <w:spacing w:val="-12"/>
          <w:w w:val="100"/>
        </w:rPr>
        <w:t>付“重大疾病保险金”，本附加合同和本附加合同的主合同责任同时终止。</w:t>
      </w:r>
    </w:p>
    <w:p>
      <w:pPr>
        <w:pStyle w:val="BodyText"/>
        <w:spacing w:before="12"/>
        <w:ind w:left="0"/>
        <w:rPr>
          <w:sz w:val="28"/>
        </w:rPr>
      </w:pPr>
    </w:p>
    <w:p>
      <w:pPr>
        <w:pStyle w:val="BodyText"/>
        <w:spacing w:line="314" w:lineRule="auto"/>
        <w:ind w:left="132" w:right="137" w:firstLine="420"/>
      </w:pPr>
      <w:r>
        <w:rPr>
          <w:spacing w:val="-3"/>
          <w:w w:val="100"/>
        </w:rPr>
        <w:t>如果被保险人于本附加合同生效日或复效日（以较迟者为准）</w:t>
      </w:r>
      <w:r>
        <w:rPr>
          <w:w w:val="100"/>
        </w:rPr>
        <w:t>起</w:t>
      </w:r>
      <w:r>
        <w:rPr/>
        <w:t> </w:t>
      </w:r>
      <w:r>
        <w:rPr>
          <w:w w:val="100"/>
        </w:rPr>
        <w:t>90</w:t>
      </w:r>
      <w:r>
        <w:rPr/>
        <w:t> </w:t>
      </w:r>
      <w:r>
        <w:rPr>
          <w:spacing w:val="-2"/>
          <w:w w:val="100"/>
        </w:rPr>
        <w:t>天内</w:t>
      </w:r>
      <w:r>
        <w:rPr>
          <w:spacing w:val="-3"/>
          <w:w w:val="100"/>
        </w:rPr>
        <w:t>（</w:t>
      </w:r>
      <w:r>
        <w:rPr>
          <w:w w:val="100"/>
        </w:rPr>
        <w:t>含</w:t>
      </w:r>
      <w:r>
        <w:rPr/>
        <w:t> </w:t>
      </w:r>
      <w:r>
        <w:rPr>
          <w:spacing w:val="-3"/>
          <w:w w:val="100"/>
        </w:rPr>
        <w:t>9</w:t>
      </w:r>
      <w:r>
        <w:rPr>
          <w:w w:val="100"/>
        </w:rPr>
        <w:t>0</w:t>
      </w:r>
      <w:r>
        <w:rPr/>
        <w:t> </w:t>
      </w:r>
      <w:r>
        <w:rPr>
          <w:spacing w:val="-3"/>
          <w:w w:val="100"/>
        </w:rPr>
        <w:t>天</w:t>
      </w:r>
      <w:r>
        <w:rPr>
          <w:spacing w:val="-106"/>
          <w:w w:val="100"/>
        </w:rPr>
        <w:t>）</w:t>
      </w:r>
      <w:r>
        <w:rPr>
          <w:spacing w:val="-3"/>
          <w:w w:val="100"/>
        </w:rPr>
        <w:t>，按本附加合同</w:t>
      </w:r>
      <w:r>
        <w:rPr>
          <w:spacing w:val="-5"/>
        </w:rPr>
        <w:t>约定的五十种重大疾病的定义和诊断标准，被专科医生或符合条件的医疗机构首次诊断为患有重大疾病的</w:t>
      </w:r>
    </w:p>
    <w:p>
      <w:pPr>
        <w:pStyle w:val="BodyText"/>
        <w:spacing w:line="314" w:lineRule="auto" w:before="17"/>
        <w:ind w:left="132" w:right="204" w:hanging="1"/>
      </w:pPr>
      <w:r>
        <w:rPr>
          <w:spacing w:val="1"/>
          <w:w w:val="100"/>
        </w:rPr>
        <w:t>（</w:t>
      </w:r>
      <w:r>
        <w:rPr>
          <w:w w:val="100"/>
        </w:rPr>
        <w:t>无论一种或多种</w:t>
      </w:r>
      <w:r>
        <w:rPr>
          <w:spacing w:val="-106"/>
          <w:w w:val="100"/>
        </w:rPr>
        <w:t>）</w:t>
      </w:r>
      <w:r>
        <w:rPr>
          <w:w w:val="100"/>
        </w:rPr>
        <w:t>，我们不承担保险责任并无息返还本附加合同和本附加合同的主合同的已交保险费，</w:t>
      </w:r>
      <w:r>
        <w:rPr>
          <w:spacing w:val="-3"/>
        </w:rPr>
        <w:t>本附加合同和本附加合同的主合同的责任同时终止。</w:t>
      </w:r>
    </w:p>
    <w:p>
      <w:pPr>
        <w:pStyle w:val="BodyText"/>
        <w:spacing w:before="11"/>
        <w:ind w:left="0"/>
        <w:rPr>
          <w:sz w:val="28"/>
        </w:rPr>
      </w:pPr>
    </w:p>
    <w:p>
      <w:pPr>
        <w:pStyle w:val="BodyText"/>
        <w:spacing w:line="547" w:lineRule="auto"/>
        <w:ind w:left="552" w:right="2952" w:hanging="1"/>
      </w:pPr>
      <w:r>
        <w:rPr>
          <w:spacing w:val="-3"/>
        </w:rPr>
        <w:t>被保险人因遭受意外伤害</w:t>
      </w:r>
      <w:r>
        <w:rPr>
          <w:position w:val="11"/>
          <w:sz w:val="11"/>
        </w:rPr>
        <w:t>（6）</w:t>
      </w:r>
      <w:r>
        <w:rPr>
          <w:spacing w:val="-6"/>
        </w:rPr>
        <w:t>事故导致重大疾病的，不受 </w:t>
      </w:r>
      <w:r>
        <w:rPr/>
        <w:t>90</w:t>
      </w:r>
      <w:r>
        <w:rPr>
          <w:spacing w:val="-10"/>
        </w:rPr>
        <w:t> 天的限制。</w:t>
      </w:r>
      <w:r>
        <w:rPr>
          <w:spacing w:val="-3"/>
        </w:rPr>
        <w:t>二、特定重大疾病额外给付保险金</w:t>
      </w:r>
    </w:p>
    <w:p>
      <w:pPr>
        <w:pStyle w:val="BodyText"/>
        <w:spacing w:line="312" w:lineRule="auto" w:before="133"/>
        <w:ind w:left="132" w:right="202" w:firstLine="419"/>
        <w:jc w:val="both"/>
      </w:pPr>
      <w:r>
        <w:rPr>
          <w:spacing w:val="-3"/>
        </w:rPr>
        <w:t>如果被保险人于本附加合同生效日或复效日（以较迟者为准）</w:t>
      </w:r>
      <w:r>
        <w:rPr>
          <w:spacing w:val="3"/>
        </w:rPr>
        <w:t>起 </w:t>
      </w:r>
      <w:r>
        <w:rPr/>
        <w:t>90</w:t>
      </w:r>
      <w:r>
        <w:rPr>
          <w:spacing w:val="-3"/>
        </w:rPr>
        <w:t> 天后，按本附加合同约定的八种特定重大疾病</w:t>
      </w:r>
      <w:r>
        <w:rPr>
          <w:position w:val="11"/>
          <w:sz w:val="11"/>
        </w:rPr>
        <w:t>（7）</w:t>
      </w:r>
      <w:r>
        <w:rPr>
          <w:spacing w:val="-10"/>
        </w:rPr>
        <w:t>的定义和诊断标准，被专科医生或符合条件的医疗机构首次诊断为患有特定重大疾病</w:t>
      </w:r>
      <w:r>
        <w:rPr/>
        <w:t>（无</w:t>
      </w:r>
      <w:r>
        <w:rPr>
          <w:spacing w:val="-2"/>
          <w:w w:val="100"/>
        </w:rPr>
        <w:t>论一种或多种</w:t>
      </w:r>
      <w:r>
        <w:rPr>
          <w:spacing w:val="-106"/>
          <w:w w:val="100"/>
        </w:rPr>
        <w:t>）</w:t>
      </w:r>
      <w:r>
        <w:rPr>
          <w:spacing w:val="-5"/>
          <w:w w:val="100"/>
        </w:rPr>
        <w:t>，且自首次诊断日起生存</w:t>
      </w:r>
      <w:r>
        <w:rPr>
          <w:spacing w:val="-5"/>
        </w:rPr>
        <w:t> </w:t>
      </w:r>
      <w:r>
        <w:rPr>
          <w:spacing w:val="-3"/>
          <w:w w:val="100"/>
        </w:rPr>
        <w:t>2</w:t>
      </w:r>
      <w:r>
        <w:rPr>
          <w:w w:val="100"/>
        </w:rPr>
        <w:t>8</w:t>
      </w:r>
      <w:r>
        <w:rPr>
          <w:spacing w:val="-53"/>
        </w:rPr>
        <w:t> </w:t>
      </w:r>
      <w:r>
        <w:rPr>
          <w:spacing w:val="-5"/>
          <w:w w:val="100"/>
        </w:rPr>
        <w:t>天或以上的，我们在按上述第一项规定给付重大疾病保险金的</w:t>
      </w:r>
      <w:r>
        <w:rPr>
          <w:spacing w:val="-5"/>
        </w:rPr>
        <w:t>同时，额外按本附加合同约定的保险金额的 </w:t>
      </w:r>
      <w:r>
        <w:rPr/>
        <w:t>20</w:t>
      </w:r>
      <w:r>
        <w:rPr>
          <w:spacing w:val="-9"/>
        </w:rPr>
        <w:t>％给付“特定重大疾病额外给付保险金”。</w:t>
      </w:r>
    </w:p>
    <w:p>
      <w:pPr>
        <w:pStyle w:val="BodyText"/>
        <w:spacing w:before="7"/>
        <w:ind w:left="0"/>
        <w:rPr>
          <w:sz w:val="25"/>
        </w:rPr>
      </w:pPr>
    </w:p>
    <w:p>
      <w:pPr>
        <w:pStyle w:val="BodyText"/>
        <w:ind w:left="552"/>
      </w:pPr>
      <w:r>
        <w:rPr/>
        <w:t>三、轻症保险金</w:t>
      </w:r>
    </w:p>
    <w:p>
      <w:pPr>
        <w:pStyle w:val="BodyText"/>
        <w:ind w:left="0"/>
        <w:rPr>
          <w:sz w:val="20"/>
        </w:rPr>
      </w:pPr>
    </w:p>
    <w:p>
      <w:pPr>
        <w:pStyle w:val="BodyText"/>
        <w:spacing w:line="314" w:lineRule="auto" w:before="140"/>
        <w:ind w:left="132" w:right="98" w:firstLine="419"/>
      </w:pPr>
      <w:r>
        <w:rPr>
          <w:spacing w:val="-3"/>
        </w:rPr>
        <w:t>如果被保险人于本附加合同生效日或复效日（以较迟者为准）</w:t>
      </w:r>
      <w:r>
        <w:rPr/>
        <w:t>起 90</w:t>
      </w:r>
      <w:r>
        <w:rPr>
          <w:spacing w:val="-3"/>
        </w:rPr>
        <w:t> 天后，按本附加合同约定的十二</w:t>
      </w:r>
      <w:r>
        <w:rPr>
          <w:spacing w:val="-19"/>
          <w:w w:val="100"/>
        </w:rPr>
        <w:t>种轻症</w:t>
      </w:r>
      <w:r>
        <w:rPr>
          <w:w w:val="100"/>
          <w:position w:val="11"/>
          <w:sz w:val="11"/>
        </w:rPr>
        <w:t>（8</w:t>
      </w:r>
      <w:r>
        <w:rPr>
          <w:spacing w:val="-51"/>
          <w:w w:val="100"/>
          <w:position w:val="11"/>
          <w:sz w:val="11"/>
        </w:rPr>
        <w:t>）</w:t>
      </w:r>
      <w:r>
        <w:rPr>
          <w:spacing w:val="-15"/>
          <w:w w:val="100"/>
        </w:rPr>
        <w:t>的定义和诊断标准，被专科医生或符合条件的医疗机构首次诊断为患有轻症的</w:t>
      </w:r>
      <w:r>
        <w:rPr>
          <w:w w:val="100"/>
        </w:rPr>
        <w:t>（</w:t>
      </w:r>
      <w:r>
        <w:rPr>
          <w:spacing w:val="-3"/>
          <w:w w:val="100"/>
        </w:rPr>
        <w:t>无论一种或多种</w:t>
      </w:r>
      <w:r>
        <w:rPr>
          <w:spacing w:val="-108"/>
          <w:w w:val="100"/>
        </w:rPr>
        <w:t>）</w:t>
      </w:r>
      <w:r>
        <w:rPr>
          <w:w w:val="100"/>
        </w:rPr>
        <w:t>，</w:t>
      </w:r>
      <w:r>
        <w:rPr>
          <w:spacing w:val="-4"/>
        </w:rPr>
        <w:t>我们将按本附加合同约定的保险金额的 </w:t>
      </w:r>
      <w:r>
        <w:rPr/>
        <w:t>20%</w:t>
      </w:r>
      <w:r>
        <w:rPr>
          <w:spacing w:val="-3"/>
        </w:rPr>
        <w:t>给付轻症保险金，本项保险责任终止。</w:t>
      </w:r>
    </w:p>
    <w:p>
      <w:pPr>
        <w:pStyle w:val="BodyText"/>
        <w:spacing w:before="4"/>
        <w:ind w:left="0"/>
        <w:rPr>
          <w:sz w:val="24"/>
        </w:rPr>
      </w:pPr>
    </w:p>
    <w:p>
      <w:pPr>
        <w:pStyle w:val="Heading3"/>
        <w:spacing w:line="235" w:lineRule="auto"/>
        <w:ind w:left="132" w:right="206" w:firstLine="422"/>
      </w:pPr>
      <w:r>
        <w:rPr>
          <w:spacing w:val="-5"/>
        </w:rPr>
        <w:t>若我们已给付工银安盛人寿盛世如意两全保险合同的身故保险金或满期保险金，则不再给付本附加合同各项保险金。</w:t>
      </w:r>
    </w:p>
    <w:p>
      <w:pPr>
        <w:pStyle w:val="BodyText"/>
        <w:spacing w:before="12"/>
        <w:ind w:left="0"/>
        <w:rPr>
          <w:rFonts w:ascii="Microsoft JhengHei"/>
          <w:b/>
          <w:sz w:val="11"/>
        </w:rPr>
      </w:pPr>
    </w:p>
    <w:p>
      <w:pPr>
        <w:tabs>
          <w:tab w:pos="1265" w:val="left" w:leader="none"/>
        </w:tabs>
        <w:spacing w:before="1"/>
        <w:ind w:left="132" w:right="0" w:firstLine="0"/>
        <w:jc w:val="left"/>
        <w:rPr>
          <w:rFonts w:ascii="Microsoft JhengHei" w:eastAsia="Microsoft JhengHei" w:hint="eastAsia"/>
          <w:b/>
          <w:sz w:val="24"/>
        </w:rPr>
      </w:pPr>
      <w:r>
        <w:rPr>
          <w:rFonts w:ascii="Microsoft JhengHei" w:eastAsia="Microsoft JhengHei" w:hint="eastAsia"/>
          <w:b/>
          <w:sz w:val="24"/>
        </w:rPr>
        <w:t>第七条</w:t>
        <w:tab/>
        <w:t>责任免除</w:t>
      </w:r>
    </w:p>
    <w:p>
      <w:pPr>
        <w:spacing w:line="410" w:lineRule="auto" w:before="203"/>
        <w:ind w:left="581" w:right="523" w:hanging="27"/>
        <w:jc w:val="left"/>
        <w:rPr>
          <w:rFonts w:ascii="Microsoft JhengHei" w:eastAsia="Microsoft JhengHei" w:hint="eastAsia"/>
          <w:b/>
          <w:sz w:val="21"/>
        </w:rPr>
      </w:pPr>
      <w:r>
        <w:rPr>
          <w:rFonts w:ascii="Microsoft JhengHei" w:eastAsia="Microsoft JhengHei" w:hint="eastAsia"/>
          <w:b/>
          <w:sz w:val="21"/>
        </w:rPr>
        <w:t>因下列情形之一，导致被保险人发Th疾病、达到疾病状态或进行手术的，我们不承担保险责任： 一、您对被保险人的故意杀害、故意伤害；</w:t>
      </w:r>
    </w:p>
    <w:p>
      <w:pPr>
        <w:spacing w:after="0" w:line="410" w:lineRule="auto"/>
        <w:jc w:val="left"/>
        <w:rPr>
          <w:rFonts w:ascii="Microsoft JhengHei" w:eastAsia="Microsoft JhengHei" w:hint="eastAsia"/>
          <w:sz w:val="21"/>
        </w:rPr>
        <w:sectPr>
          <w:pgSz w:w="11900" w:h="16840"/>
          <w:pgMar w:header="892" w:footer="514" w:top="1080" w:bottom="760" w:left="1000" w:right="920"/>
        </w:sectPr>
      </w:pPr>
    </w:p>
    <w:p>
      <w:pPr>
        <w:pStyle w:val="BodyText"/>
        <w:spacing w:before="16"/>
        <w:ind w:left="0"/>
        <w:rPr>
          <w:rFonts w:ascii="Microsoft JhengHei"/>
          <w:b/>
          <w:sz w:val="15"/>
        </w:rPr>
      </w:pPr>
    </w:p>
    <w:p>
      <w:pPr>
        <w:spacing w:line="204" w:lineRule="auto" w:before="25"/>
        <w:ind w:left="581" w:right="2778" w:firstLine="0"/>
        <w:jc w:val="left"/>
        <w:rPr>
          <w:rFonts w:ascii="Microsoft JhengHei" w:eastAsia="Microsoft JhengHei" w:hint="eastAsia"/>
          <w:b/>
          <w:sz w:val="21"/>
        </w:rPr>
      </w:pPr>
      <w:r>
        <w:rPr>
          <w:rFonts w:ascii="Microsoft JhengHei" w:eastAsia="Microsoft JhengHei" w:hint="eastAsia"/>
          <w:b/>
          <w:spacing w:val="-3"/>
          <w:sz w:val="21"/>
        </w:rPr>
        <w:t>二、被保险人故意自伤、故意犯罪或者抗拒依法采取的刑事强制措施； </w:t>
      </w:r>
      <w:r>
        <w:rPr>
          <w:rFonts w:ascii="Microsoft JhengHei" w:eastAsia="Microsoft JhengHei" w:hint="eastAsia"/>
          <w:b/>
          <w:spacing w:val="-3"/>
          <w:w w:val="100"/>
          <w:sz w:val="21"/>
        </w:rPr>
        <w:t>三、被保险人主动吸食或注射毒品</w:t>
      </w:r>
      <w:r>
        <w:rPr>
          <w:rFonts w:ascii="Microsoft JhengHei" w:eastAsia="Microsoft JhengHei" w:hint="eastAsia"/>
          <w:b/>
          <w:w w:val="100"/>
          <w:position w:val="11"/>
          <w:sz w:val="11"/>
        </w:rPr>
        <w:t>（</w:t>
      </w:r>
      <w:r>
        <w:rPr>
          <w:rFonts w:ascii="Microsoft JhengHei" w:eastAsia="Microsoft JhengHei" w:hint="eastAsia"/>
          <w:b/>
          <w:w w:val="84"/>
          <w:position w:val="11"/>
          <w:sz w:val="11"/>
        </w:rPr>
        <w:t>9</w:t>
      </w:r>
      <w:r>
        <w:rPr>
          <w:rFonts w:ascii="Microsoft JhengHei" w:eastAsia="Microsoft JhengHei" w:hint="eastAsia"/>
          <w:b/>
          <w:spacing w:val="-56"/>
          <w:w w:val="100"/>
          <w:position w:val="11"/>
          <w:sz w:val="11"/>
        </w:rPr>
        <w:t>）</w:t>
      </w:r>
      <w:r>
        <w:rPr>
          <w:rFonts w:ascii="Microsoft JhengHei" w:eastAsia="Microsoft JhengHei" w:hint="eastAsia"/>
          <w:b/>
          <w:w w:val="100"/>
          <w:sz w:val="21"/>
        </w:rPr>
        <w:t>；</w:t>
      </w:r>
    </w:p>
    <w:p>
      <w:pPr>
        <w:spacing w:line="204" w:lineRule="auto" w:before="1"/>
        <w:ind w:left="581" w:right="839" w:hanging="1"/>
        <w:jc w:val="left"/>
        <w:rPr>
          <w:rFonts w:ascii="Microsoft JhengHei" w:eastAsia="Microsoft JhengHei" w:hint="eastAsia"/>
          <w:b/>
          <w:sz w:val="21"/>
        </w:rPr>
      </w:pPr>
      <w:r>
        <w:rPr>
          <w:rFonts w:ascii="Microsoft JhengHei" w:eastAsia="Microsoft JhengHei" w:hint="eastAsia"/>
          <w:b/>
          <w:spacing w:val="-1"/>
          <w:w w:val="100"/>
          <w:sz w:val="21"/>
        </w:rPr>
        <w:t>四、被保险人酒后驾驶</w:t>
      </w:r>
      <w:r>
        <w:rPr>
          <w:rFonts w:ascii="Microsoft JhengHei" w:eastAsia="Microsoft JhengHei" w:hint="eastAsia"/>
          <w:b/>
          <w:w w:val="100"/>
          <w:position w:val="11"/>
          <w:sz w:val="11"/>
        </w:rPr>
        <w:t>（</w:t>
      </w:r>
      <w:r>
        <w:rPr>
          <w:rFonts w:ascii="Microsoft JhengHei" w:eastAsia="Microsoft JhengHei" w:hint="eastAsia"/>
          <w:b/>
          <w:w w:val="84"/>
          <w:position w:val="11"/>
          <w:sz w:val="11"/>
        </w:rPr>
        <w:t>10</w:t>
      </w:r>
      <w:r>
        <w:rPr>
          <w:rFonts w:ascii="Microsoft JhengHei" w:eastAsia="Microsoft JhengHei" w:hint="eastAsia"/>
          <w:b/>
          <w:spacing w:val="-56"/>
          <w:w w:val="100"/>
          <w:position w:val="11"/>
          <w:sz w:val="11"/>
        </w:rPr>
        <w:t>）</w:t>
      </w:r>
      <w:r>
        <w:rPr>
          <w:rFonts w:ascii="Microsoft JhengHei" w:eastAsia="Microsoft JhengHei" w:hint="eastAsia"/>
          <w:b/>
          <w:spacing w:val="-1"/>
          <w:w w:val="100"/>
          <w:sz w:val="21"/>
        </w:rPr>
        <w:t>、无合法有效驾驶证驾驶</w:t>
      </w:r>
      <w:r>
        <w:rPr>
          <w:rFonts w:ascii="Microsoft JhengHei" w:eastAsia="Microsoft JhengHei" w:hint="eastAsia"/>
          <w:b/>
          <w:spacing w:val="-3"/>
          <w:w w:val="100"/>
          <w:position w:val="11"/>
          <w:sz w:val="11"/>
        </w:rPr>
        <w:t>（</w:t>
      </w:r>
      <w:r>
        <w:rPr>
          <w:rFonts w:ascii="Microsoft JhengHei" w:eastAsia="Microsoft JhengHei" w:hint="eastAsia"/>
          <w:b/>
          <w:w w:val="84"/>
          <w:position w:val="11"/>
          <w:sz w:val="11"/>
        </w:rPr>
        <w:t>11</w:t>
      </w:r>
      <w:r>
        <w:rPr>
          <w:rFonts w:ascii="Microsoft JhengHei" w:eastAsia="Microsoft JhengHei" w:hint="eastAsia"/>
          <w:b/>
          <w:spacing w:val="-56"/>
          <w:w w:val="100"/>
          <w:position w:val="11"/>
          <w:sz w:val="11"/>
        </w:rPr>
        <w:t>）</w:t>
      </w:r>
      <w:r>
        <w:rPr>
          <w:rFonts w:ascii="Microsoft JhengHei" w:eastAsia="Microsoft JhengHei" w:hint="eastAsia"/>
          <w:b/>
          <w:w w:val="100"/>
          <w:sz w:val="21"/>
        </w:rPr>
        <w:t>，或驾驶无有效行驶证</w:t>
      </w:r>
      <w:r>
        <w:rPr>
          <w:rFonts w:ascii="Microsoft JhengHei" w:eastAsia="Microsoft JhengHei" w:hint="eastAsia"/>
          <w:b/>
          <w:w w:val="100"/>
          <w:position w:val="11"/>
          <w:sz w:val="11"/>
        </w:rPr>
        <w:t>（</w:t>
      </w:r>
      <w:r>
        <w:rPr>
          <w:rFonts w:ascii="Microsoft JhengHei" w:eastAsia="Microsoft JhengHei" w:hint="eastAsia"/>
          <w:b/>
          <w:spacing w:val="-3"/>
          <w:w w:val="84"/>
          <w:position w:val="11"/>
          <w:sz w:val="11"/>
        </w:rPr>
        <w:t>1</w:t>
      </w:r>
      <w:r>
        <w:rPr>
          <w:rFonts w:ascii="Microsoft JhengHei" w:eastAsia="Microsoft JhengHei" w:hint="eastAsia"/>
          <w:b/>
          <w:w w:val="84"/>
          <w:position w:val="11"/>
          <w:sz w:val="11"/>
        </w:rPr>
        <w:t>2</w:t>
      </w:r>
      <w:r>
        <w:rPr>
          <w:rFonts w:ascii="Microsoft JhengHei" w:eastAsia="Microsoft JhengHei" w:hint="eastAsia"/>
          <w:b/>
          <w:w w:val="100"/>
          <w:position w:val="11"/>
          <w:sz w:val="11"/>
        </w:rPr>
        <w:t>）</w:t>
      </w:r>
      <w:r>
        <w:rPr>
          <w:rFonts w:ascii="Microsoft JhengHei" w:eastAsia="Microsoft JhengHei" w:hint="eastAsia"/>
          <w:b/>
          <w:w w:val="100"/>
          <w:sz w:val="21"/>
        </w:rPr>
        <w:t>的机动车；</w:t>
      </w:r>
      <w:r>
        <w:rPr>
          <w:rFonts w:ascii="Microsoft JhengHei" w:eastAsia="Microsoft JhengHei" w:hint="eastAsia"/>
          <w:b/>
          <w:spacing w:val="-2"/>
          <w:w w:val="100"/>
          <w:sz w:val="21"/>
        </w:rPr>
        <w:t>五、被保险人感染艾滋病病毒或患艾滋病</w:t>
      </w:r>
      <w:r>
        <w:rPr>
          <w:rFonts w:ascii="Microsoft JhengHei" w:eastAsia="Microsoft JhengHei" w:hint="eastAsia"/>
          <w:b/>
          <w:w w:val="100"/>
          <w:position w:val="11"/>
          <w:sz w:val="11"/>
        </w:rPr>
        <w:t>（</w:t>
      </w:r>
      <w:r>
        <w:rPr>
          <w:rFonts w:ascii="Microsoft JhengHei" w:eastAsia="Microsoft JhengHei" w:hint="eastAsia"/>
          <w:b/>
          <w:w w:val="84"/>
          <w:position w:val="11"/>
          <w:sz w:val="11"/>
        </w:rPr>
        <w:t>13</w:t>
      </w:r>
      <w:r>
        <w:rPr>
          <w:rFonts w:ascii="Microsoft JhengHei" w:eastAsia="Microsoft JhengHei" w:hint="eastAsia"/>
          <w:b/>
          <w:spacing w:val="-56"/>
          <w:w w:val="100"/>
          <w:position w:val="11"/>
          <w:sz w:val="11"/>
        </w:rPr>
        <w:t>）</w:t>
      </w:r>
      <w:r>
        <w:rPr>
          <w:rFonts w:ascii="Microsoft JhengHei" w:eastAsia="Microsoft JhengHei" w:hint="eastAsia"/>
          <w:b/>
          <w:w w:val="100"/>
          <w:sz w:val="21"/>
        </w:rPr>
        <w:t>；</w:t>
      </w:r>
    </w:p>
    <w:p>
      <w:pPr>
        <w:pStyle w:val="Heading3"/>
        <w:spacing w:line="204" w:lineRule="auto" w:before="1"/>
        <w:ind w:left="581" w:right="5519" w:hanging="1"/>
      </w:pPr>
      <w:r>
        <w:rPr/>
        <w:t>六、战争、军事冲突、暴乱或武装叛乱； 七、核爆炸、核辐射或核污染；</w:t>
      </w:r>
    </w:p>
    <w:p>
      <w:pPr>
        <w:spacing w:line="312" w:lineRule="exact" w:before="0"/>
        <w:ind w:left="555" w:right="0" w:firstLine="0"/>
        <w:jc w:val="left"/>
        <w:rPr>
          <w:rFonts w:ascii="Microsoft JhengHei" w:eastAsia="Microsoft JhengHei" w:hint="eastAsia"/>
          <w:b/>
          <w:sz w:val="21"/>
        </w:rPr>
      </w:pPr>
      <w:r>
        <w:rPr>
          <w:rFonts w:ascii="Microsoft JhengHei" w:eastAsia="Microsoft JhengHei" w:hint="eastAsia"/>
          <w:b/>
          <w:w w:val="100"/>
          <w:sz w:val="21"/>
        </w:rPr>
        <w:t>八、遗传性疾病</w:t>
      </w:r>
      <w:r>
        <w:rPr>
          <w:rFonts w:ascii="Microsoft JhengHei" w:eastAsia="Microsoft JhengHei" w:hint="eastAsia"/>
          <w:b/>
          <w:w w:val="100"/>
          <w:position w:val="11"/>
          <w:sz w:val="11"/>
        </w:rPr>
        <w:t>（</w:t>
      </w:r>
      <w:r>
        <w:rPr>
          <w:rFonts w:ascii="Microsoft JhengHei" w:eastAsia="Microsoft JhengHei" w:hint="eastAsia"/>
          <w:b/>
          <w:w w:val="84"/>
          <w:position w:val="11"/>
          <w:sz w:val="11"/>
        </w:rPr>
        <w:t>14</w:t>
      </w:r>
      <w:r>
        <w:rPr>
          <w:rFonts w:ascii="Microsoft JhengHei" w:eastAsia="Microsoft JhengHei" w:hint="eastAsia"/>
          <w:b/>
          <w:spacing w:val="-56"/>
          <w:w w:val="100"/>
          <w:position w:val="11"/>
          <w:sz w:val="11"/>
        </w:rPr>
        <w:t>）</w:t>
      </w:r>
      <w:r>
        <w:rPr>
          <w:rFonts w:ascii="Microsoft JhengHei" w:eastAsia="Microsoft JhengHei" w:hint="eastAsia"/>
          <w:b/>
          <w:spacing w:val="-3"/>
          <w:w w:val="100"/>
          <w:sz w:val="21"/>
        </w:rPr>
        <w:t>，先天性畸形、变形或染色体异常</w:t>
      </w:r>
      <w:r>
        <w:rPr>
          <w:rFonts w:ascii="Microsoft JhengHei" w:eastAsia="Microsoft JhengHei" w:hint="eastAsia"/>
          <w:b/>
          <w:w w:val="100"/>
          <w:position w:val="11"/>
          <w:sz w:val="11"/>
        </w:rPr>
        <w:t>（</w:t>
      </w:r>
      <w:r>
        <w:rPr>
          <w:rFonts w:ascii="Microsoft JhengHei" w:eastAsia="Microsoft JhengHei" w:hint="eastAsia"/>
          <w:b/>
          <w:w w:val="84"/>
          <w:position w:val="11"/>
          <w:sz w:val="11"/>
        </w:rPr>
        <w:t>15</w:t>
      </w:r>
      <w:r>
        <w:rPr>
          <w:rFonts w:ascii="Microsoft JhengHei" w:eastAsia="Microsoft JhengHei" w:hint="eastAsia"/>
          <w:b/>
          <w:spacing w:val="-56"/>
          <w:w w:val="100"/>
          <w:position w:val="11"/>
          <w:sz w:val="11"/>
        </w:rPr>
        <w:t>）</w:t>
      </w:r>
      <w:r>
        <w:rPr>
          <w:rFonts w:ascii="Microsoft JhengHei" w:eastAsia="Microsoft JhengHei" w:hint="eastAsia"/>
          <w:b/>
          <w:w w:val="100"/>
          <w:sz w:val="21"/>
        </w:rPr>
        <w:t>。</w:t>
      </w:r>
    </w:p>
    <w:p>
      <w:pPr>
        <w:pStyle w:val="BodyText"/>
        <w:spacing w:before="14"/>
        <w:ind w:left="0"/>
        <w:rPr>
          <w:rFonts w:ascii="Microsoft JhengHei"/>
          <w:b/>
          <w:sz w:val="14"/>
        </w:rPr>
      </w:pPr>
    </w:p>
    <w:p>
      <w:pPr>
        <w:pStyle w:val="Heading3"/>
        <w:spacing w:line="339" w:lineRule="exact"/>
        <w:ind w:left="555"/>
      </w:pPr>
      <w:r>
        <w:rPr>
          <w:w w:val="95"/>
        </w:rPr>
        <w:t>发Th上述第一项情形导致被保险人发Th本附加合同所指特定疾病的，本附加合同效力终止，您已交足</w:t>
      </w:r>
    </w:p>
    <w:p>
      <w:pPr>
        <w:spacing w:line="312" w:lineRule="exact" w:before="0"/>
        <w:ind w:left="132" w:right="0" w:firstLine="0"/>
        <w:jc w:val="left"/>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sz w:val="21"/>
        </w:rPr>
        <w:t> </w:t>
      </w:r>
      <w:r>
        <w:rPr>
          <w:rFonts w:ascii="Microsoft JhengHei" w:eastAsia="Microsoft JhengHei" w:hint="eastAsia"/>
          <w:b/>
          <w:spacing w:val="-3"/>
          <w:w w:val="100"/>
          <w:sz w:val="21"/>
        </w:rPr>
        <w:t>年以上保险费的，我们将向未丧失受益权的受益人退还本附加合同的现金价值</w:t>
      </w:r>
      <w:r>
        <w:rPr>
          <w:rFonts w:ascii="Microsoft JhengHei" w:eastAsia="Microsoft JhengHei" w:hint="eastAsia"/>
          <w:b/>
          <w:w w:val="100"/>
          <w:position w:val="11"/>
          <w:sz w:val="11"/>
        </w:rPr>
        <w:t>（</w:t>
      </w:r>
      <w:r>
        <w:rPr>
          <w:rFonts w:ascii="Microsoft JhengHei" w:eastAsia="Microsoft JhengHei" w:hint="eastAsia"/>
          <w:b/>
          <w:w w:val="84"/>
          <w:position w:val="11"/>
          <w:sz w:val="11"/>
        </w:rPr>
        <w:t>16</w:t>
      </w:r>
      <w:r>
        <w:rPr>
          <w:rFonts w:ascii="Microsoft JhengHei" w:eastAsia="Microsoft JhengHei" w:hint="eastAsia"/>
          <w:b/>
          <w:spacing w:val="-56"/>
          <w:w w:val="100"/>
          <w:position w:val="11"/>
          <w:sz w:val="11"/>
        </w:rPr>
        <w:t>）</w:t>
      </w:r>
      <w:r>
        <w:rPr>
          <w:rFonts w:ascii="Microsoft JhengHei" w:eastAsia="Microsoft JhengHei" w:hint="eastAsia"/>
          <w:b/>
          <w:w w:val="100"/>
          <w:sz w:val="21"/>
        </w:rPr>
        <w:t>。</w:t>
      </w:r>
    </w:p>
    <w:p>
      <w:pPr>
        <w:spacing w:line="204" w:lineRule="auto" w:before="28"/>
        <w:ind w:left="132" w:right="124" w:firstLine="422"/>
        <w:jc w:val="left"/>
        <w:rPr>
          <w:rFonts w:ascii="Microsoft JhengHei" w:eastAsia="Microsoft JhengHei" w:hint="eastAsia"/>
          <w:b/>
          <w:sz w:val="21"/>
        </w:rPr>
      </w:pPr>
      <w:r>
        <w:rPr>
          <w:rFonts w:ascii="Microsoft JhengHei" w:eastAsia="Microsoft JhengHei" w:hint="eastAsia"/>
          <w:b/>
          <w:w w:val="95"/>
          <w:sz w:val="21"/>
        </w:rPr>
        <w:t>发Th</w:t>
      </w:r>
      <w:r>
        <w:rPr>
          <w:rFonts w:ascii="Microsoft JhengHei" w:eastAsia="Microsoft JhengHei" w:hint="eastAsia"/>
          <w:b/>
          <w:spacing w:val="-2"/>
          <w:w w:val="95"/>
          <w:sz w:val="21"/>
        </w:rPr>
        <w:t>上述其他情形导致被保险人发</w:t>
      </w:r>
      <w:r>
        <w:rPr>
          <w:rFonts w:ascii="Microsoft JhengHei" w:eastAsia="Microsoft JhengHei" w:hint="eastAsia"/>
          <w:b/>
          <w:w w:val="95"/>
          <w:sz w:val="21"/>
        </w:rPr>
        <w:t>Th</w:t>
      </w:r>
      <w:r>
        <w:rPr>
          <w:rFonts w:ascii="Microsoft JhengHei" w:eastAsia="Microsoft JhengHei" w:hint="eastAsia"/>
          <w:b/>
          <w:spacing w:val="-7"/>
          <w:w w:val="95"/>
          <w:sz w:val="21"/>
        </w:rPr>
        <w:t>本附加合同所指特定疾病的，本附加合同效力终止，我们将向您     </w:t>
      </w:r>
      <w:r>
        <w:rPr>
          <w:rFonts w:ascii="Microsoft JhengHei" w:eastAsia="Microsoft JhengHei" w:hint="eastAsia"/>
          <w:b/>
          <w:spacing w:val="-7"/>
          <w:sz w:val="21"/>
        </w:rPr>
        <w:t>退还本附加合同的现金价值。</w:t>
      </w:r>
    </w:p>
    <w:p>
      <w:pPr>
        <w:pStyle w:val="BodyText"/>
        <w:spacing w:before="14"/>
        <w:ind w:left="0"/>
        <w:rPr>
          <w:rFonts w:ascii="Microsoft JhengHei"/>
          <w:b/>
          <w:sz w:val="14"/>
        </w:rPr>
      </w:pPr>
    </w:p>
    <w:p>
      <w:pPr>
        <w:spacing w:before="0"/>
        <w:ind w:left="555" w:right="0" w:firstLine="0"/>
        <w:jc w:val="left"/>
        <w:rPr>
          <w:rFonts w:ascii="Microsoft JhengHei" w:eastAsia="Microsoft JhengHei" w:hint="eastAsia"/>
          <w:b/>
          <w:sz w:val="21"/>
        </w:rPr>
      </w:pPr>
      <w:r>
        <w:rPr>
          <w:rFonts w:ascii="Microsoft JhengHei" w:eastAsia="Microsoft JhengHei" w:hint="eastAsia"/>
          <w:b/>
          <w:sz w:val="21"/>
        </w:rPr>
        <w:t>特别提示您，本附加合同终止时，其所属主合同同时终止。</w:t>
      </w:r>
    </w:p>
    <w:p>
      <w:pPr>
        <w:spacing w:after="0"/>
        <w:jc w:val="left"/>
        <w:rPr>
          <w:rFonts w:ascii="Microsoft JhengHei" w:eastAsia="Microsoft JhengHei" w:hint="eastAsia"/>
          <w:sz w:val="21"/>
        </w:rPr>
        <w:sectPr>
          <w:pgSz w:w="11900" w:h="16840"/>
          <w:pgMar w:header="892" w:footer="514" w:top="1080" w:bottom="760" w:left="1000" w:right="1000"/>
        </w:sectPr>
      </w:pPr>
    </w:p>
    <w:p>
      <w:pPr>
        <w:pStyle w:val="BodyText"/>
        <w:spacing w:before="4"/>
        <w:ind w:left="0"/>
        <w:rPr>
          <w:rFonts w:ascii="Microsoft JhengHei"/>
          <w:b/>
          <w:sz w:val="15"/>
        </w:rPr>
      </w:pPr>
    </w:p>
    <w:p>
      <w:pPr>
        <w:tabs>
          <w:tab w:pos="1695" w:val="left" w:leader="none"/>
        </w:tabs>
        <w:spacing w:line="413" w:lineRule="exact" w:before="0"/>
        <w:ind w:left="421" w:right="0" w:firstLine="0"/>
        <w:jc w:val="center"/>
        <w:rPr>
          <w:rFonts w:ascii="Microsoft JhengHei" w:eastAsia="Microsoft JhengHei" w:hint="eastAsia"/>
          <w:b/>
          <w:sz w:val="28"/>
        </w:rPr>
      </w:pPr>
      <w:r>
        <w:rPr>
          <w:rFonts w:ascii="Microsoft JhengHei" w:eastAsia="Microsoft JhengHei" w:hint="eastAsia"/>
          <w:b/>
          <w:sz w:val="28"/>
        </w:rPr>
        <w:t>第二章</w:t>
        <w:tab/>
        <w:t>一般条款</w:t>
      </w:r>
    </w:p>
    <w:p>
      <w:pPr>
        <w:pStyle w:val="BodyText"/>
        <w:ind w:left="0"/>
        <w:rPr>
          <w:rFonts w:ascii="Microsoft JhengHei"/>
          <w:b/>
          <w:sz w:val="20"/>
        </w:rPr>
      </w:pPr>
    </w:p>
    <w:p>
      <w:pPr>
        <w:pStyle w:val="BodyText"/>
        <w:spacing w:before="9"/>
        <w:ind w:left="0"/>
        <w:rPr>
          <w:rFonts w:ascii="Microsoft JhengHei"/>
          <w:b/>
          <w:sz w:val="15"/>
        </w:rPr>
      </w:pPr>
    </w:p>
    <w:p>
      <w:pPr>
        <w:tabs>
          <w:tab w:pos="1265" w:val="left" w:leader="none"/>
        </w:tabs>
        <w:spacing w:line="368" w:lineRule="exact" w:before="0"/>
        <w:ind w:left="132" w:right="0" w:firstLine="0"/>
        <w:jc w:val="left"/>
        <w:rPr>
          <w:rFonts w:ascii="Microsoft JhengHei" w:eastAsia="Microsoft JhengHei" w:hint="eastAsia"/>
          <w:b/>
          <w:sz w:val="24"/>
        </w:rPr>
      </w:pPr>
      <w:r>
        <w:rPr>
          <w:rFonts w:ascii="Microsoft JhengHei" w:eastAsia="Microsoft JhengHei" w:hint="eastAsia"/>
          <w:b/>
          <w:sz w:val="24"/>
        </w:rPr>
        <w:t>第八条</w:t>
        <w:tab/>
        <w:t>保险费的交付及宽限期</w:t>
      </w:r>
    </w:p>
    <w:p>
      <w:pPr>
        <w:pStyle w:val="BodyText"/>
        <w:spacing w:before="16"/>
        <w:ind w:left="0"/>
        <w:rPr>
          <w:rFonts w:ascii="Microsoft JhengHei"/>
          <w:b/>
        </w:rPr>
      </w:pPr>
    </w:p>
    <w:p>
      <w:pPr>
        <w:pStyle w:val="BodyText"/>
        <w:spacing w:before="1"/>
        <w:ind w:left="552"/>
      </w:pPr>
      <w:r>
        <w:rPr/>
        <w:t>本附加合同的交费方式及交费期限同主合同。</w:t>
      </w:r>
    </w:p>
    <w:p>
      <w:pPr>
        <w:pStyle w:val="BodyText"/>
        <w:ind w:left="0"/>
        <w:rPr>
          <w:sz w:val="20"/>
        </w:rPr>
      </w:pPr>
    </w:p>
    <w:p>
      <w:pPr>
        <w:pStyle w:val="BodyText"/>
        <w:spacing w:before="11"/>
        <w:ind w:left="0"/>
        <w:rPr>
          <w:sz w:val="13"/>
        </w:rPr>
      </w:pPr>
    </w:p>
    <w:p>
      <w:pPr>
        <w:pStyle w:val="BodyText"/>
        <w:spacing w:line="312" w:lineRule="auto"/>
        <w:ind w:left="132" w:right="122" w:firstLine="420"/>
      </w:pPr>
      <w:r>
        <w:rPr>
          <w:spacing w:val="-5"/>
        </w:rPr>
        <w:t>续期保险费应按本附加合同约定的方法及日期交付。如到期未交付的，自保险合同生效日的对应日当</w:t>
      </w:r>
      <w:r>
        <w:rPr>
          <w:spacing w:val="-28"/>
        </w:rPr>
        <w:t>日 </w:t>
      </w:r>
      <w:r>
        <w:rPr/>
        <w:t>24</w:t>
      </w:r>
      <w:r>
        <w:rPr>
          <w:spacing w:val="-27"/>
        </w:rPr>
        <w:t> 时起 </w:t>
      </w:r>
      <w:r>
        <w:rPr/>
        <w:t>60</w:t>
      </w:r>
      <w:r>
        <w:rPr>
          <w:spacing w:val="-10"/>
        </w:rPr>
        <w:t> 日为宽限期。</w:t>
      </w:r>
    </w:p>
    <w:p>
      <w:pPr>
        <w:pStyle w:val="BodyText"/>
        <w:ind w:left="0"/>
        <w:rPr>
          <w:sz w:val="29"/>
        </w:rPr>
      </w:pPr>
    </w:p>
    <w:p>
      <w:pPr>
        <w:pStyle w:val="BodyText"/>
        <w:spacing w:line="314" w:lineRule="auto"/>
        <w:ind w:left="132" w:right="122" w:firstLine="419"/>
      </w:pPr>
      <w:r>
        <w:rPr/>
        <w:t>宽限期内被保险人发生保险事故</w:t>
      </w:r>
      <w:r>
        <w:rPr>
          <w:position w:val="11"/>
          <w:sz w:val="11"/>
        </w:rPr>
        <w:t>（17）</w:t>
      </w:r>
      <w:r>
        <w:rPr/>
        <w:t>的，我们仍承担保险责任，但将从所给付的保险金中扣除该保险单年度应交的保险费。</w:t>
      </w:r>
    </w:p>
    <w:p>
      <w:pPr>
        <w:pStyle w:val="BodyText"/>
        <w:ind w:left="0"/>
        <w:rPr>
          <w:sz w:val="19"/>
        </w:rPr>
      </w:pPr>
    </w:p>
    <w:p>
      <w:pPr>
        <w:pStyle w:val="Heading2"/>
        <w:tabs>
          <w:tab w:pos="1265" w:val="left" w:leader="none"/>
        </w:tabs>
      </w:pPr>
      <w:r>
        <w:rPr/>
        <w:t>第九条</w:t>
        <w:tab/>
        <w:t>保险费率的调整</w:t>
      </w:r>
    </w:p>
    <w:p>
      <w:pPr>
        <w:pStyle w:val="BodyText"/>
        <w:spacing w:before="3"/>
        <w:ind w:left="0"/>
        <w:rPr>
          <w:rFonts w:ascii="Microsoft JhengHei"/>
          <w:b/>
          <w:sz w:val="19"/>
        </w:rPr>
      </w:pPr>
    </w:p>
    <w:p>
      <w:pPr>
        <w:pStyle w:val="BodyText"/>
        <w:spacing w:line="626" w:lineRule="auto"/>
        <w:ind w:left="552" w:right="5560"/>
      </w:pPr>
      <w:r>
        <w:rPr>
          <w:spacing w:val="-3"/>
        </w:rPr>
        <w:t>我们保留提高或降低保险费率的权利。 保险费率的调整将向保险监管机关备案。</w:t>
      </w:r>
    </w:p>
    <w:p>
      <w:pPr>
        <w:pStyle w:val="BodyText"/>
        <w:spacing w:line="314" w:lineRule="auto" w:before="104"/>
        <w:ind w:left="132" w:right="122" w:firstLine="420"/>
        <w:jc w:val="both"/>
      </w:pPr>
      <w:r>
        <w:rPr>
          <w:spacing w:val="-6"/>
        </w:rPr>
        <w:t>本保险的费率调整针对所有被保险人或相同性别、年龄所有被保险人。我们进行保险费率调整后，您须按调整后的保险费率交纳续期保险费，保险费率调整前已经到期的保险费</w:t>
      </w:r>
      <w:r>
        <w:rPr/>
        <w:t>（</w:t>
      </w:r>
      <w:r>
        <w:rPr>
          <w:spacing w:val="-3"/>
        </w:rPr>
        <w:t>包括您已经交纳和欠交的保险费）不受影响。</w:t>
      </w:r>
    </w:p>
    <w:p>
      <w:pPr>
        <w:pStyle w:val="BodyText"/>
        <w:spacing w:before="10"/>
        <w:ind w:left="0"/>
        <w:rPr>
          <w:sz w:val="28"/>
        </w:rPr>
      </w:pPr>
    </w:p>
    <w:p>
      <w:pPr>
        <w:pStyle w:val="BodyText"/>
        <w:spacing w:before="1"/>
        <w:ind w:left="552"/>
      </w:pPr>
      <w:r>
        <w:rPr/>
        <w:t>若本附加合同保险费的调整引起现金价值发生变化，则我们将书面通知您。</w:t>
      </w:r>
    </w:p>
    <w:p>
      <w:pPr>
        <w:pStyle w:val="BodyText"/>
        <w:spacing w:before="5"/>
        <w:ind w:left="0"/>
        <w:rPr>
          <w:sz w:val="20"/>
        </w:rPr>
      </w:pPr>
    </w:p>
    <w:p>
      <w:pPr>
        <w:pStyle w:val="Heading2"/>
        <w:tabs>
          <w:tab w:pos="1265" w:val="left" w:leader="none"/>
        </w:tabs>
      </w:pPr>
      <w:r>
        <w:rPr/>
        <w:t>第十条</w:t>
        <w:tab/>
        <w:t>合同效力的中止</w:t>
      </w:r>
    </w:p>
    <w:p>
      <w:pPr>
        <w:pStyle w:val="BodyText"/>
        <w:spacing w:before="10"/>
        <w:ind w:left="0"/>
        <w:rPr>
          <w:rFonts w:ascii="Microsoft JhengHei"/>
          <w:b/>
          <w:sz w:val="16"/>
        </w:rPr>
      </w:pPr>
    </w:p>
    <w:p>
      <w:pPr>
        <w:pStyle w:val="BodyText"/>
        <w:ind w:left="552"/>
      </w:pPr>
      <w:r>
        <w:rPr/>
        <w:t>本附加合同效力中止的规定同主合同。</w:t>
      </w:r>
    </w:p>
    <w:p>
      <w:pPr>
        <w:pStyle w:val="BodyText"/>
        <w:spacing w:before="6"/>
        <w:ind w:left="0"/>
        <w:rPr>
          <w:sz w:val="20"/>
        </w:rPr>
      </w:pPr>
    </w:p>
    <w:p>
      <w:pPr>
        <w:pStyle w:val="Heading2"/>
        <w:spacing w:before="1"/>
      </w:pPr>
      <w:r>
        <w:rPr/>
        <w:t>第十一条  合同效力的恢复</w:t>
      </w:r>
    </w:p>
    <w:p>
      <w:pPr>
        <w:pStyle w:val="BodyText"/>
        <w:spacing w:before="6"/>
        <w:ind w:left="0"/>
        <w:rPr>
          <w:rFonts w:ascii="Microsoft JhengHei"/>
          <w:b/>
          <w:sz w:val="14"/>
        </w:rPr>
      </w:pPr>
    </w:p>
    <w:p>
      <w:pPr>
        <w:pStyle w:val="BodyText"/>
        <w:spacing w:before="1"/>
        <w:ind w:left="552"/>
      </w:pPr>
      <w:r>
        <w:rPr/>
        <w:t>本附加合同效力恢复的规定同主合同。</w:t>
      </w:r>
    </w:p>
    <w:p>
      <w:pPr>
        <w:pStyle w:val="BodyText"/>
        <w:ind w:left="0"/>
        <w:rPr>
          <w:sz w:val="24"/>
        </w:rPr>
      </w:pPr>
    </w:p>
    <w:p>
      <w:pPr>
        <w:pStyle w:val="Heading2"/>
      </w:pPr>
      <w:r>
        <w:rPr/>
        <w:t>第十二条  合同的解除</w:t>
      </w:r>
    </w:p>
    <w:p>
      <w:pPr>
        <w:pStyle w:val="BodyText"/>
        <w:spacing w:before="9"/>
        <w:ind w:left="0"/>
        <w:rPr>
          <w:rFonts w:ascii="Microsoft JhengHei"/>
          <w:b/>
          <w:sz w:val="16"/>
        </w:rPr>
      </w:pPr>
    </w:p>
    <w:p>
      <w:pPr>
        <w:pStyle w:val="BodyText"/>
        <w:ind w:left="552"/>
      </w:pPr>
      <w:r>
        <w:rPr/>
        <w:t>本附加合同的解除规定同主合同。</w:t>
      </w:r>
    </w:p>
    <w:p>
      <w:pPr>
        <w:pStyle w:val="BodyText"/>
        <w:spacing w:before="3"/>
        <w:ind w:left="0"/>
        <w:rPr>
          <w:sz w:val="20"/>
        </w:rPr>
      </w:pPr>
    </w:p>
    <w:p>
      <w:pPr>
        <w:pStyle w:val="Heading3"/>
        <w:ind w:left="555"/>
      </w:pPr>
      <w:r>
        <w:rPr/>
        <w:t>特别提示您，如您申请解除本附加合同，其所属主合同将同时被解除。</w:t>
      </w:r>
    </w:p>
    <w:p>
      <w:pPr>
        <w:pStyle w:val="BodyText"/>
        <w:spacing w:before="12"/>
        <w:ind w:left="0"/>
        <w:rPr>
          <w:rFonts w:ascii="Microsoft JhengHei"/>
          <w:b/>
          <w:sz w:val="12"/>
        </w:rPr>
      </w:pPr>
    </w:p>
    <w:p>
      <w:pPr>
        <w:spacing w:before="0"/>
        <w:ind w:left="132" w:right="0" w:firstLine="0"/>
        <w:jc w:val="left"/>
        <w:rPr>
          <w:rFonts w:ascii="Microsoft JhengHei" w:eastAsia="Microsoft JhengHei" w:hint="eastAsia"/>
          <w:b/>
          <w:sz w:val="24"/>
        </w:rPr>
      </w:pPr>
      <w:r>
        <w:rPr>
          <w:rFonts w:ascii="Microsoft JhengHei" w:eastAsia="Microsoft JhengHei" w:hint="eastAsia"/>
          <w:b/>
          <w:sz w:val="24"/>
        </w:rPr>
        <w:t>第十三条  合同效力的终止</w:t>
      </w:r>
    </w:p>
    <w:p>
      <w:pPr>
        <w:pStyle w:val="BodyText"/>
        <w:spacing w:before="10"/>
        <w:ind w:left="0"/>
        <w:rPr>
          <w:rFonts w:ascii="Microsoft JhengHei"/>
          <w:b/>
          <w:sz w:val="16"/>
        </w:rPr>
      </w:pPr>
    </w:p>
    <w:p>
      <w:pPr>
        <w:pStyle w:val="BodyText"/>
        <w:ind w:left="552"/>
      </w:pPr>
      <w:r>
        <w:rPr/>
        <w:t>发生下列情况之一时，本附加合同效力终止：</w:t>
      </w:r>
    </w:p>
    <w:p>
      <w:pPr>
        <w:pStyle w:val="ListParagraph"/>
        <w:numPr>
          <w:ilvl w:val="0"/>
          <w:numId w:val="2"/>
        </w:numPr>
        <w:tabs>
          <w:tab w:pos="972" w:val="left" w:leader="none"/>
          <w:tab w:pos="973" w:val="left" w:leader="none"/>
        </w:tabs>
        <w:spacing w:line="240" w:lineRule="auto" w:before="82" w:after="0"/>
        <w:ind w:left="972" w:right="0" w:hanging="427"/>
        <w:jc w:val="left"/>
        <w:rPr>
          <w:sz w:val="21"/>
        </w:rPr>
      </w:pPr>
      <w:r>
        <w:rPr>
          <w:spacing w:val="-3"/>
          <w:sz w:val="21"/>
        </w:rPr>
        <w:t>主合同效力终止；</w:t>
      </w:r>
    </w:p>
    <w:p>
      <w:pPr>
        <w:spacing w:after="0" w:line="240" w:lineRule="auto"/>
        <w:jc w:val="left"/>
        <w:rPr>
          <w:sz w:val="21"/>
        </w:rPr>
        <w:sectPr>
          <w:pgSz w:w="11900" w:h="16840"/>
          <w:pgMar w:header="892" w:footer="514" w:top="1080" w:bottom="760" w:left="1000" w:right="1000"/>
        </w:sectPr>
      </w:pPr>
    </w:p>
    <w:p>
      <w:pPr>
        <w:pStyle w:val="BodyText"/>
        <w:ind w:left="0"/>
        <w:rPr>
          <w:sz w:val="23"/>
        </w:rPr>
      </w:pPr>
    </w:p>
    <w:p>
      <w:pPr>
        <w:pStyle w:val="ListParagraph"/>
        <w:numPr>
          <w:ilvl w:val="0"/>
          <w:numId w:val="2"/>
        </w:numPr>
        <w:tabs>
          <w:tab w:pos="972" w:val="left" w:leader="none"/>
          <w:tab w:pos="973" w:val="left" w:leader="none"/>
        </w:tabs>
        <w:spacing w:line="240" w:lineRule="auto" w:before="37" w:after="0"/>
        <w:ind w:left="972" w:right="0" w:hanging="427"/>
        <w:jc w:val="left"/>
        <w:rPr>
          <w:sz w:val="21"/>
        </w:rPr>
      </w:pPr>
      <w:r>
        <w:rPr>
          <w:spacing w:val="-3"/>
          <w:sz w:val="21"/>
        </w:rPr>
        <w:t>我们给付重大疾病保险金时；</w:t>
      </w:r>
    </w:p>
    <w:p>
      <w:pPr>
        <w:pStyle w:val="ListParagraph"/>
        <w:numPr>
          <w:ilvl w:val="0"/>
          <w:numId w:val="2"/>
        </w:numPr>
        <w:tabs>
          <w:tab w:pos="972" w:val="left" w:leader="none"/>
          <w:tab w:pos="973" w:val="left" w:leader="none"/>
        </w:tabs>
        <w:spacing w:line="240" w:lineRule="auto" w:before="83" w:after="0"/>
        <w:ind w:left="972" w:right="0" w:hanging="427"/>
        <w:jc w:val="left"/>
        <w:rPr>
          <w:sz w:val="21"/>
        </w:rPr>
      </w:pPr>
      <w:r>
        <w:rPr>
          <w:spacing w:val="-3"/>
          <w:sz w:val="21"/>
        </w:rPr>
        <w:t>您于合同有效期内向我们申请解除合同；</w:t>
      </w:r>
    </w:p>
    <w:p>
      <w:pPr>
        <w:pStyle w:val="ListParagraph"/>
        <w:numPr>
          <w:ilvl w:val="0"/>
          <w:numId w:val="2"/>
        </w:numPr>
        <w:tabs>
          <w:tab w:pos="972" w:val="left" w:leader="none"/>
          <w:tab w:pos="973" w:val="left" w:leader="none"/>
        </w:tabs>
        <w:spacing w:line="240" w:lineRule="auto" w:before="60" w:after="0"/>
        <w:ind w:left="972" w:right="0" w:hanging="427"/>
        <w:jc w:val="left"/>
        <w:rPr>
          <w:sz w:val="24"/>
        </w:rPr>
      </w:pPr>
      <w:r>
        <w:rPr>
          <w:spacing w:val="-3"/>
          <w:sz w:val="21"/>
        </w:rPr>
        <w:t>本附加合同效力中止且未能按本附加合同第十一条办理复效的</w:t>
      </w:r>
      <w:r>
        <w:rPr>
          <w:sz w:val="24"/>
        </w:rPr>
        <w:t>；</w:t>
      </w:r>
    </w:p>
    <w:p>
      <w:pPr>
        <w:pStyle w:val="ListParagraph"/>
        <w:numPr>
          <w:ilvl w:val="0"/>
          <w:numId w:val="2"/>
        </w:numPr>
        <w:tabs>
          <w:tab w:pos="972" w:val="left" w:leader="none"/>
          <w:tab w:pos="973" w:val="left" w:leader="none"/>
        </w:tabs>
        <w:spacing w:line="240" w:lineRule="auto" w:before="69" w:after="0"/>
        <w:ind w:left="972" w:right="0" w:hanging="427"/>
        <w:jc w:val="left"/>
        <w:rPr>
          <w:sz w:val="21"/>
        </w:rPr>
      </w:pPr>
      <w:r>
        <w:rPr>
          <w:spacing w:val="-3"/>
          <w:sz w:val="21"/>
        </w:rPr>
        <w:t>本附加合同约定的其它效力终止的情况。</w:t>
      </w:r>
    </w:p>
    <w:p>
      <w:pPr>
        <w:pStyle w:val="BodyText"/>
        <w:spacing w:before="11"/>
        <w:ind w:left="0"/>
        <w:rPr>
          <w:sz w:val="26"/>
        </w:rPr>
      </w:pPr>
    </w:p>
    <w:p>
      <w:pPr>
        <w:pStyle w:val="Heading3"/>
        <w:ind w:left="555"/>
      </w:pPr>
      <w:r>
        <w:rPr/>
        <w:t>特别提示您，本附加合同终止时，其所属主合同同时终止。</w:t>
      </w:r>
    </w:p>
    <w:p>
      <w:pPr>
        <w:pStyle w:val="BodyText"/>
        <w:spacing w:before="11"/>
        <w:ind w:left="0"/>
        <w:rPr>
          <w:rFonts w:ascii="Microsoft JhengHei"/>
          <w:b/>
          <w:sz w:val="12"/>
        </w:rPr>
      </w:pPr>
    </w:p>
    <w:p>
      <w:pPr>
        <w:spacing w:before="0"/>
        <w:ind w:left="132" w:right="0" w:firstLine="0"/>
        <w:jc w:val="left"/>
        <w:rPr>
          <w:rFonts w:ascii="Microsoft JhengHei" w:eastAsia="Microsoft JhengHei" w:hint="eastAsia"/>
          <w:b/>
          <w:sz w:val="24"/>
        </w:rPr>
      </w:pPr>
      <w:r>
        <w:rPr>
          <w:rFonts w:ascii="Microsoft JhengHei" w:eastAsia="Microsoft JhengHei" w:hint="eastAsia"/>
          <w:b/>
          <w:sz w:val="24"/>
        </w:rPr>
        <w:t>第十四条  受益人的指定和变更</w:t>
      </w:r>
    </w:p>
    <w:p>
      <w:pPr>
        <w:pStyle w:val="BodyText"/>
        <w:spacing w:before="3"/>
        <w:ind w:left="0"/>
        <w:rPr>
          <w:rFonts w:ascii="Microsoft JhengHei"/>
          <w:b/>
          <w:sz w:val="19"/>
        </w:rPr>
      </w:pPr>
    </w:p>
    <w:p>
      <w:pPr>
        <w:pStyle w:val="BodyText"/>
        <w:spacing w:line="314" w:lineRule="auto"/>
        <w:ind w:left="132" w:right="122" w:firstLine="419"/>
      </w:pPr>
      <w:r>
        <w:rPr>
          <w:spacing w:val="-6"/>
        </w:rPr>
        <w:t>除有特殊约定，本附加合同保险金的受益人为被保险人本人。若被保险人身故，本附加合同受益人为</w:t>
      </w:r>
      <w:r>
        <w:rPr>
          <w:spacing w:val="-4"/>
        </w:rPr>
        <w:t>主合同身故保险金受益人。</w:t>
      </w:r>
    </w:p>
    <w:p>
      <w:pPr>
        <w:pStyle w:val="BodyText"/>
        <w:ind w:left="0"/>
        <w:rPr>
          <w:sz w:val="19"/>
        </w:rPr>
      </w:pPr>
    </w:p>
    <w:p>
      <w:pPr>
        <w:pStyle w:val="Heading2"/>
      </w:pPr>
      <w:r>
        <w:rPr/>
        <w:t>第十五条  保险事故的通知</w:t>
      </w:r>
    </w:p>
    <w:p>
      <w:pPr>
        <w:pStyle w:val="BodyText"/>
        <w:spacing w:before="1"/>
        <w:ind w:left="0"/>
        <w:rPr>
          <w:rFonts w:ascii="Microsoft JhengHei"/>
          <w:b/>
          <w:sz w:val="17"/>
        </w:rPr>
      </w:pPr>
    </w:p>
    <w:p>
      <w:pPr>
        <w:pStyle w:val="Heading3"/>
        <w:spacing w:line="204" w:lineRule="auto" w:before="1"/>
        <w:ind w:left="132" w:right="126" w:firstLine="422"/>
        <w:jc w:val="both"/>
      </w:pPr>
      <w:r>
        <w:rPr>
          <w:spacing w:val="-2"/>
        </w:rPr>
        <w:t>您、被保险人或受益人应于知道保险事故发</w:t>
      </w:r>
      <w:r>
        <w:rPr/>
        <w:t>Th</w:t>
      </w:r>
      <w:r>
        <w:rPr>
          <w:spacing w:val="-1"/>
        </w:rPr>
        <w:t>之日起 </w:t>
      </w:r>
      <w:r>
        <w:rPr/>
        <w:t>10</w:t>
      </w:r>
      <w:r>
        <w:rPr>
          <w:spacing w:val="-3"/>
        </w:rPr>
        <w:t> 日内通知我们。如果您、被保险人或受益人</w:t>
      </w:r>
      <w:r>
        <w:rPr>
          <w:spacing w:val="-7"/>
        </w:rPr>
        <w:t>故意或者因重大过失未及时通知，致使保险事故的性质、原因、损失程度等难以确定的，我们对无法确定</w:t>
      </w:r>
      <w:r>
        <w:rPr>
          <w:spacing w:val="-10"/>
        </w:rPr>
        <w:t>的部分，不承担给付保险金的责任，但我们通过其他途径已经及时知道或者应当及时知道保险事故发</w:t>
      </w:r>
      <w:r>
        <w:rPr/>
        <w:t>Th或</w:t>
      </w:r>
      <w:r>
        <w:rPr>
          <w:spacing w:val="-3"/>
        </w:rPr>
        <w:t>者虽未及时通知但不影响我们确定保险事故的性质、原因、损失程度的除外。</w:t>
      </w:r>
    </w:p>
    <w:p>
      <w:pPr>
        <w:pStyle w:val="BodyText"/>
        <w:spacing w:before="12"/>
        <w:ind w:left="0"/>
        <w:rPr>
          <w:rFonts w:ascii="Microsoft JhengHei"/>
          <w:b/>
          <w:sz w:val="12"/>
        </w:rPr>
      </w:pPr>
    </w:p>
    <w:p>
      <w:pPr>
        <w:spacing w:before="0"/>
        <w:ind w:left="132" w:right="0" w:firstLine="0"/>
        <w:jc w:val="left"/>
        <w:rPr>
          <w:rFonts w:ascii="Microsoft JhengHei" w:eastAsia="Microsoft JhengHei" w:hint="eastAsia"/>
          <w:b/>
          <w:sz w:val="24"/>
        </w:rPr>
      </w:pPr>
      <w:r>
        <w:rPr>
          <w:rFonts w:ascii="Microsoft JhengHei" w:eastAsia="Microsoft JhengHei" w:hint="eastAsia"/>
          <w:b/>
          <w:sz w:val="24"/>
        </w:rPr>
        <w:t>第十六条  保险金的申请</w:t>
      </w:r>
    </w:p>
    <w:p>
      <w:pPr>
        <w:pStyle w:val="BodyText"/>
        <w:spacing w:before="10"/>
        <w:ind w:left="0"/>
        <w:rPr>
          <w:rFonts w:ascii="Microsoft JhengHei"/>
          <w:b/>
          <w:sz w:val="16"/>
        </w:rPr>
      </w:pPr>
    </w:p>
    <w:p>
      <w:pPr>
        <w:pStyle w:val="BodyText"/>
        <w:spacing w:line="273" w:lineRule="auto"/>
        <w:ind w:left="1378" w:right="122" w:hanging="826"/>
        <w:jc w:val="both"/>
      </w:pPr>
      <w:r>
        <w:rPr>
          <w:spacing w:val="-4"/>
        </w:rPr>
        <w:t>一、   在本附加合同有效期内被保险人被诊断为患有本附加合同所指定的重大疾病、特定重大疾病或轻症的，由被保险人</w:t>
      </w:r>
      <w:r>
        <w:rPr>
          <w:spacing w:val="-3"/>
        </w:rPr>
        <w:t>（或被保险人的委托代理人或法定代理人</w:t>
      </w:r>
      <w:r>
        <w:rPr>
          <w:spacing w:val="-5"/>
        </w:rPr>
        <w:t>）</w:t>
      </w:r>
      <w:r>
        <w:rPr>
          <w:spacing w:val="-3"/>
        </w:rPr>
        <w:t>作为申请人填写保险金给付申请书，并凭下列证明、资料原件向我们申请给付保险金：</w:t>
      </w:r>
    </w:p>
    <w:p>
      <w:pPr>
        <w:pStyle w:val="BodyText"/>
        <w:spacing w:before="8"/>
        <w:ind w:left="0"/>
        <w:rPr>
          <w:sz w:val="24"/>
        </w:rPr>
      </w:pPr>
    </w:p>
    <w:p>
      <w:pPr>
        <w:pStyle w:val="ListParagraph"/>
        <w:numPr>
          <w:ilvl w:val="1"/>
          <w:numId w:val="2"/>
        </w:numPr>
        <w:tabs>
          <w:tab w:pos="1841" w:val="left" w:leader="none"/>
          <w:tab w:pos="1842" w:val="left" w:leader="none"/>
        </w:tabs>
        <w:spacing w:line="240" w:lineRule="auto" w:before="0" w:after="0"/>
        <w:ind w:left="1841" w:right="0" w:hanging="516"/>
        <w:jc w:val="left"/>
        <w:rPr>
          <w:sz w:val="21"/>
        </w:rPr>
      </w:pPr>
      <w:r>
        <w:rPr>
          <w:spacing w:val="-1"/>
          <w:sz w:val="21"/>
        </w:rPr>
        <w:t>保险合同；</w:t>
      </w:r>
    </w:p>
    <w:p>
      <w:pPr>
        <w:pStyle w:val="ListParagraph"/>
        <w:numPr>
          <w:ilvl w:val="1"/>
          <w:numId w:val="2"/>
        </w:numPr>
        <w:tabs>
          <w:tab w:pos="1841" w:val="left" w:leader="none"/>
          <w:tab w:pos="1842" w:val="left" w:leader="none"/>
        </w:tabs>
        <w:spacing w:line="240" w:lineRule="auto" w:before="37" w:after="0"/>
        <w:ind w:left="1841" w:right="0" w:hanging="516"/>
        <w:jc w:val="left"/>
        <w:rPr>
          <w:sz w:val="21"/>
        </w:rPr>
      </w:pPr>
      <w:r>
        <w:rPr>
          <w:spacing w:val="-3"/>
          <w:sz w:val="21"/>
        </w:rPr>
        <w:t>被保险人的有效身份证件；</w:t>
      </w:r>
    </w:p>
    <w:p>
      <w:pPr>
        <w:pStyle w:val="ListParagraph"/>
        <w:numPr>
          <w:ilvl w:val="1"/>
          <w:numId w:val="2"/>
        </w:numPr>
        <w:tabs>
          <w:tab w:pos="1841" w:val="left" w:leader="none"/>
          <w:tab w:pos="1842" w:val="left" w:leader="none"/>
        </w:tabs>
        <w:spacing w:line="273" w:lineRule="auto" w:before="39" w:after="0"/>
        <w:ind w:left="1841" w:right="122" w:hanging="516"/>
        <w:jc w:val="left"/>
        <w:rPr>
          <w:sz w:val="21"/>
        </w:rPr>
      </w:pPr>
      <w:r>
        <w:rPr>
          <w:sz w:val="21"/>
        </w:rPr>
        <w:t>被保险人的委托代理人或法定代理人的有效身份证件及委托授权书或法定代理关系证明；</w:t>
      </w:r>
    </w:p>
    <w:p>
      <w:pPr>
        <w:pStyle w:val="ListParagraph"/>
        <w:numPr>
          <w:ilvl w:val="1"/>
          <w:numId w:val="2"/>
        </w:numPr>
        <w:tabs>
          <w:tab w:pos="1841" w:val="left" w:leader="none"/>
          <w:tab w:pos="1842" w:val="left" w:leader="none"/>
        </w:tabs>
        <w:spacing w:line="273" w:lineRule="auto" w:before="9" w:after="0"/>
        <w:ind w:left="1841" w:right="122" w:hanging="516"/>
        <w:jc w:val="left"/>
        <w:rPr>
          <w:sz w:val="21"/>
        </w:rPr>
      </w:pPr>
      <w:r>
        <w:rPr>
          <w:spacing w:val="-6"/>
          <w:sz w:val="21"/>
        </w:rPr>
        <w:t>专科医生或符合条件的医疗机构出具的病历、必要病理检验、血液检验及其他科学诊断</w:t>
      </w:r>
      <w:r>
        <w:rPr>
          <w:spacing w:val="-4"/>
          <w:sz w:val="21"/>
        </w:rPr>
        <w:t>报告、诊断书；</w:t>
      </w:r>
    </w:p>
    <w:p>
      <w:pPr>
        <w:pStyle w:val="ListParagraph"/>
        <w:numPr>
          <w:ilvl w:val="1"/>
          <w:numId w:val="2"/>
        </w:numPr>
        <w:tabs>
          <w:tab w:pos="1841" w:val="left" w:leader="none"/>
          <w:tab w:pos="1842" w:val="left" w:leader="none"/>
        </w:tabs>
        <w:spacing w:line="273" w:lineRule="auto" w:before="9" w:after="0"/>
        <w:ind w:left="1841" w:right="122" w:hanging="516"/>
        <w:jc w:val="left"/>
        <w:rPr>
          <w:sz w:val="21"/>
        </w:rPr>
      </w:pPr>
      <w:r>
        <w:rPr>
          <w:spacing w:val="-5"/>
          <w:sz w:val="21"/>
        </w:rPr>
        <w:t>被保险人或其委托代理人或法定代理人所能提供的与确认保险事故的性质、原因、伤害</w:t>
      </w:r>
      <w:r>
        <w:rPr>
          <w:spacing w:val="-4"/>
          <w:sz w:val="21"/>
        </w:rPr>
        <w:t>程度等有关的其他证明、资料。</w:t>
      </w:r>
    </w:p>
    <w:p>
      <w:pPr>
        <w:pStyle w:val="BodyText"/>
        <w:spacing w:before="7"/>
        <w:ind w:left="0"/>
        <w:rPr>
          <w:sz w:val="24"/>
        </w:rPr>
      </w:pPr>
    </w:p>
    <w:p>
      <w:pPr>
        <w:pStyle w:val="BodyText"/>
        <w:tabs>
          <w:tab w:pos="1378" w:val="left" w:leader="none"/>
        </w:tabs>
        <w:ind w:left="552"/>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spacing w:before="10"/>
        <w:ind w:left="0"/>
        <w:rPr>
          <w:sz w:val="26"/>
        </w:rPr>
      </w:pPr>
    </w:p>
    <w:p>
      <w:pPr>
        <w:pStyle w:val="BodyText"/>
        <w:tabs>
          <w:tab w:pos="1378" w:val="left" w:leader="none"/>
        </w:tabs>
        <w:spacing w:line="273" w:lineRule="auto"/>
        <w:ind w:left="1378" w:right="122"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5"/>
        </w:rPr>
        <w:t>，</w:t>
      </w:r>
      <w:r>
        <w:rPr>
          <w:spacing w:val="-3"/>
        </w:rPr>
        <w:t>将</w:t>
      </w:r>
      <w:r>
        <w:rPr/>
        <w:t>在</w:t>
      </w:r>
      <w:r>
        <w:rPr>
          <w:spacing w:val="-32"/>
        </w:rPr>
        <w:t> </w:t>
      </w:r>
      <w:r>
        <w:rPr/>
        <w:t>5</w:t>
      </w:r>
      <w:r>
        <w:rPr>
          <w:spacing w:val="-32"/>
        </w:rPr>
        <w:t> </w:t>
      </w:r>
      <w:r>
        <w:rPr>
          <w:spacing w:val="-3"/>
        </w:rPr>
        <w:t>日</w:t>
      </w:r>
      <w:r>
        <w:rPr/>
        <w:t>内</w:t>
      </w:r>
      <w:r>
        <w:rPr>
          <w:spacing w:val="-3"/>
        </w:rPr>
        <w:t>作出</w:t>
      </w:r>
      <w:r>
        <w:rPr/>
        <w:t>核</w:t>
      </w:r>
      <w:r>
        <w:rPr>
          <w:spacing w:val="-3"/>
        </w:rPr>
        <w:t>定；情</w:t>
      </w:r>
      <w:r>
        <w:rPr/>
        <w:t>形</w:t>
      </w:r>
      <w:r>
        <w:rPr>
          <w:spacing w:val="-3"/>
        </w:rPr>
        <w:t>复</w:t>
      </w:r>
      <w:r>
        <w:rPr/>
        <w:t>杂的</w:t>
      </w:r>
      <w:r>
        <w:rPr>
          <w:spacing w:val="-3"/>
        </w:rPr>
        <w:t>，</w:t>
      </w:r>
      <w:r>
        <w:rPr/>
        <w:t>在</w:t>
      </w:r>
      <w:r>
        <w:rPr>
          <w:spacing w:val="-34"/>
        </w:rPr>
        <w:t> </w:t>
      </w:r>
      <w:r>
        <w:rPr/>
        <w:t>30</w:t>
      </w:r>
      <w:r>
        <w:rPr>
          <w:spacing w:val="-31"/>
        </w:rPr>
        <w:t> </w:t>
      </w:r>
      <w:r>
        <w:rPr>
          <w:spacing w:val="-3"/>
        </w:rPr>
        <w:t>日</w:t>
      </w:r>
      <w:r>
        <w:rPr/>
        <w:t>内</w:t>
      </w:r>
      <w:r>
        <w:rPr>
          <w:spacing w:val="-3"/>
        </w:rPr>
        <w:t>作</w:t>
      </w:r>
      <w:r>
        <w:rPr/>
        <w:t>出</w:t>
      </w:r>
      <w:r>
        <w:rPr>
          <w:spacing w:val="-3"/>
        </w:rPr>
        <w:t>核定（</w:t>
      </w:r>
      <w:r>
        <w:rPr/>
        <w:t>若需</w:t>
      </w:r>
      <w:r>
        <w:rPr>
          <w:spacing w:val="-3"/>
        </w:rPr>
        <w:t>补</w:t>
      </w:r>
      <w:r>
        <w:rPr/>
        <w:t>交</w:t>
      </w:r>
      <w:r>
        <w:rPr>
          <w:spacing w:val="-3"/>
        </w:rPr>
        <w:t>资</w:t>
      </w:r>
      <w:r>
        <w:rPr/>
        <w:t>料</w:t>
      </w:r>
      <w:r>
        <w:rPr>
          <w:spacing w:val="-5"/>
        </w:rPr>
        <w:t>，</w:t>
      </w:r>
      <w:r>
        <w:rPr/>
        <w:t>以</w:t>
      </w:r>
      <w:r>
        <w:rPr>
          <w:spacing w:val="-3"/>
        </w:rPr>
        <w:t>我</w:t>
      </w:r>
      <w:r>
        <w:rPr/>
        <w:t>们</w:t>
      </w:r>
      <w:r>
        <w:rPr>
          <w:spacing w:val="-3"/>
        </w:rPr>
        <w:t>收</w:t>
      </w:r>
      <w:r>
        <w:rPr/>
        <w:t>到补</w:t>
      </w:r>
      <w:r>
        <w:rPr>
          <w:spacing w:val="-3"/>
        </w:rPr>
        <w:t>充</w:t>
      </w:r>
      <w:r>
        <w:rPr/>
        <w:t>资</w:t>
      </w:r>
      <w:r>
        <w:rPr>
          <w:spacing w:val="-3"/>
        </w:rPr>
        <w:t>料</w:t>
      </w:r>
      <w:r>
        <w:rPr/>
        <w:t>之</w:t>
      </w:r>
      <w:r>
        <w:rPr>
          <w:spacing w:val="-3"/>
        </w:rPr>
        <w:t>日</w:t>
      </w:r>
      <w:r>
        <w:rPr/>
        <w:t>起</w:t>
      </w:r>
      <w:r>
        <w:rPr>
          <w:spacing w:val="-3"/>
        </w:rPr>
        <w:t>算</w:t>
      </w:r>
      <w:r>
        <w:rPr>
          <w:spacing w:val="-106"/>
        </w:rPr>
        <w:t>）</w:t>
      </w:r>
      <w:r>
        <w:rPr>
          <w:spacing w:val="-3"/>
        </w:rPr>
        <w:t>。对</w:t>
      </w:r>
      <w:r>
        <w:rPr/>
        <w:t>属于</w:t>
      </w:r>
      <w:r>
        <w:rPr>
          <w:spacing w:val="-3"/>
        </w:rPr>
        <w:t>保</w:t>
      </w:r>
      <w:r>
        <w:rPr/>
        <w:t>险</w:t>
      </w:r>
      <w:r>
        <w:rPr>
          <w:spacing w:val="-3"/>
        </w:rPr>
        <w:t>责</w:t>
      </w:r>
      <w:r>
        <w:rPr/>
        <w:t>任</w:t>
      </w:r>
    </w:p>
    <w:p>
      <w:pPr>
        <w:pStyle w:val="BodyText"/>
        <w:spacing w:before="7"/>
        <w:ind w:left="1378"/>
      </w:pPr>
      <w:r>
        <w:rPr/>
        <w:t>的，我们在与受益人达成给付保险金的协议后 10 日内，履行给付保险金义务。</w:t>
      </w:r>
    </w:p>
    <w:p>
      <w:pPr>
        <w:pStyle w:val="BodyText"/>
        <w:ind w:left="0"/>
        <w:rPr>
          <w:sz w:val="20"/>
        </w:rPr>
      </w:pPr>
    </w:p>
    <w:p>
      <w:pPr>
        <w:pStyle w:val="BodyText"/>
        <w:spacing w:before="10"/>
        <w:ind w:left="0"/>
        <w:rPr>
          <w:sz w:val="13"/>
        </w:rPr>
      </w:pPr>
    </w:p>
    <w:p>
      <w:pPr>
        <w:pStyle w:val="BodyText"/>
        <w:spacing w:before="1"/>
        <w:ind w:left="1368"/>
      </w:pPr>
      <w:r>
        <w:rPr/>
        <w:t>我们未及时履行前款规定义务的，除支付保险金外，应当赔偿受益人因此受到的损失。</w:t>
      </w:r>
    </w:p>
    <w:p>
      <w:pPr>
        <w:pStyle w:val="BodyText"/>
        <w:spacing w:before="11"/>
        <w:ind w:left="0"/>
        <w:rPr>
          <w:sz w:val="26"/>
        </w:rPr>
      </w:pPr>
    </w:p>
    <w:p>
      <w:pPr>
        <w:pStyle w:val="BodyText"/>
        <w:spacing w:line="273" w:lineRule="auto"/>
        <w:ind w:left="1368" w:right="122"/>
      </w:pPr>
      <w:r>
        <w:rPr>
          <w:spacing w:val="-5"/>
        </w:rPr>
        <w:t>对不属于保险责任的，我们自作出核定之日起 </w:t>
      </w:r>
      <w:r>
        <w:rPr/>
        <w:t>3</w:t>
      </w:r>
      <w:r>
        <w:rPr>
          <w:spacing w:val="-7"/>
        </w:rPr>
        <w:t> 日内向受益人发出拒绝给付保险金通知书并</w:t>
      </w:r>
      <w:r>
        <w:rPr>
          <w:spacing w:val="-4"/>
        </w:rPr>
        <w:t>说明理由。</w:t>
      </w:r>
    </w:p>
    <w:p>
      <w:pPr>
        <w:spacing w:after="0" w:line="273" w:lineRule="auto"/>
        <w:sectPr>
          <w:pgSz w:w="11900" w:h="16840"/>
          <w:pgMar w:header="892" w:footer="514" w:top="1080" w:bottom="760" w:left="1000" w:right="1000"/>
        </w:sectPr>
      </w:pPr>
    </w:p>
    <w:p>
      <w:pPr>
        <w:pStyle w:val="BodyText"/>
        <w:spacing w:before="7"/>
        <w:ind w:left="0"/>
        <w:rPr>
          <w:sz w:val="19"/>
        </w:rPr>
      </w:pPr>
    </w:p>
    <w:p>
      <w:pPr>
        <w:pStyle w:val="BodyText"/>
        <w:spacing w:line="273" w:lineRule="auto" w:before="36"/>
        <w:ind w:left="1368" w:right="122"/>
        <w:jc w:val="both"/>
      </w:pPr>
      <w:r>
        <w:rPr>
          <w:spacing w:val="-5"/>
        </w:rPr>
        <w:t>我们在收到保险金给付申请书及有关证明和资料之日起 </w:t>
      </w:r>
      <w:r>
        <w:rPr/>
        <w:t>60</w:t>
      </w:r>
      <w:r>
        <w:rPr>
          <w:spacing w:val="-14"/>
        </w:rPr>
        <w:t> 日内，对属于保险责任而给付保险</w:t>
      </w:r>
      <w:r>
        <w:rPr>
          <w:spacing w:val="-7"/>
        </w:rPr>
        <w:t>金的数额不能确定的，根据已有证明和资料，在扣除该年年度未交保险费后按可以确定的最</w:t>
      </w:r>
      <w:r>
        <w:rPr>
          <w:spacing w:val="-5"/>
        </w:rPr>
        <w:t>低数额先予以支付；我们最终确定给付保险金的数额后，将支付相应的差额。</w:t>
      </w:r>
    </w:p>
    <w:p>
      <w:pPr>
        <w:pStyle w:val="BodyText"/>
        <w:spacing w:before="7"/>
        <w:ind w:left="0"/>
        <w:rPr>
          <w:sz w:val="24"/>
        </w:rPr>
      </w:pPr>
    </w:p>
    <w:p>
      <w:pPr>
        <w:pStyle w:val="BodyText"/>
        <w:tabs>
          <w:tab w:pos="1407" w:val="left" w:leader="none"/>
        </w:tabs>
        <w:ind w:left="552"/>
      </w:pPr>
      <w:r>
        <w:rPr/>
        <w:t>四、</w:t>
        <w:tab/>
        <w:t>被保</w:t>
      </w:r>
      <w:r>
        <w:rPr>
          <w:spacing w:val="-3"/>
        </w:rPr>
        <w:t>险</w:t>
      </w:r>
      <w:r>
        <w:rPr/>
        <w:t>人</w:t>
      </w:r>
      <w:r>
        <w:rPr>
          <w:spacing w:val="-3"/>
        </w:rPr>
        <w:t>未</w:t>
      </w:r>
      <w:r>
        <w:rPr/>
        <w:t>满</w:t>
      </w:r>
      <w:r>
        <w:rPr>
          <w:spacing w:val="-36"/>
        </w:rPr>
        <w:t> </w:t>
      </w:r>
      <w:r>
        <w:rPr/>
        <w:t>18</w:t>
      </w:r>
      <w:r>
        <w:rPr>
          <w:spacing w:val="-36"/>
        </w:rPr>
        <w:t> </w:t>
      </w:r>
      <w:r>
        <w:rPr>
          <w:spacing w:val="-3"/>
        </w:rPr>
        <w:t>周</w:t>
      </w:r>
      <w:r>
        <w:rPr/>
        <w:t>岁</w:t>
      </w:r>
      <w:r>
        <w:rPr>
          <w:spacing w:val="-3"/>
        </w:rPr>
        <w:t>的，</w:t>
      </w:r>
      <w:r>
        <w:rPr/>
        <w:t>由其</w:t>
      </w:r>
      <w:r>
        <w:rPr>
          <w:spacing w:val="-3"/>
        </w:rPr>
        <w:t>父</w:t>
      </w:r>
      <w:r>
        <w:rPr/>
        <w:t>母</w:t>
      </w:r>
      <w:r>
        <w:rPr>
          <w:spacing w:val="-3"/>
        </w:rPr>
        <w:t>或</w:t>
      </w:r>
      <w:r>
        <w:rPr/>
        <w:t>监</w:t>
      </w:r>
      <w:r>
        <w:rPr>
          <w:spacing w:val="-3"/>
        </w:rPr>
        <w:t>护</w:t>
      </w:r>
      <w:r>
        <w:rPr/>
        <w:t>人</w:t>
      </w:r>
      <w:r>
        <w:rPr>
          <w:spacing w:val="-3"/>
        </w:rPr>
        <w:t>作</w:t>
      </w:r>
      <w:r>
        <w:rPr/>
        <w:t>为</w:t>
      </w:r>
      <w:r>
        <w:rPr>
          <w:spacing w:val="-3"/>
        </w:rPr>
        <w:t>申</w:t>
      </w:r>
      <w:r>
        <w:rPr/>
        <w:t>请人</w:t>
      </w:r>
      <w:r>
        <w:rPr>
          <w:spacing w:val="-3"/>
        </w:rPr>
        <w:t>向</w:t>
      </w:r>
      <w:r>
        <w:rPr/>
        <w:t>我</w:t>
      </w:r>
      <w:r>
        <w:rPr>
          <w:spacing w:val="-3"/>
        </w:rPr>
        <w:t>们</w:t>
      </w:r>
      <w:r>
        <w:rPr/>
        <w:t>申</w:t>
      </w:r>
      <w:r>
        <w:rPr>
          <w:spacing w:val="-3"/>
        </w:rPr>
        <w:t>请</w:t>
      </w:r>
      <w:r>
        <w:rPr/>
        <w:t>给</w:t>
      </w:r>
      <w:r>
        <w:rPr>
          <w:spacing w:val="-3"/>
        </w:rPr>
        <w:t>付</w:t>
      </w:r>
      <w:r>
        <w:rPr/>
        <w:t>保</w:t>
      </w:r>
      <w:r>
        <w:rPr>
          <w:spacing w:val="-3"/>
        </w:rPr>
        <w:t>险</w:t>
      </w:r>
      <w:r>
        <w:rPr/>
        <w:t>金。</w:t>
      </w:r>
    </w:p>
    <w:p>
      <w:pPr>
        <w:pStyle w:val="BodyText"/>
        <w:ind w:left="0"/>
        <w:rPr>
          <w:sz w:val="20"/>
        </w:rPr>
      </w:pPr>
    </w:p>
    <w:p>
      <w:pPr>
        <w:pStyle w:val="BodyText"/>
        <w:tabs>
          <w:tab w:pos="1378" w:val="left" w:leader="none"/>
        </w:tabs>
        <w:spacing w:line="273" w:lineRule="auto" w:before="132"/>
        <w:ind w:left="1378" w:right="122" w:hanging="826"/>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32"/>
        </w:rPr>
        <w:t> </w:t>
      </w:r>
      <w:r>
        <w:rPr/>
        <w:t>2</w:t>
      </w:r>
      <w:r>
        <w:rPr>
          <w:spacing w:val="-32"/>
        </w:rPr>
        <w:t> </w:t>
      </w:r>
      <w:r>
        <w:rPr>
          <w:spacing w:val="-3"/>
        </w:rPr>
        <w:t>年</w:t>
      </w:r>
      <w:r>
        <w:rPr>
          <w:spacing w:val="-8"/>
        </w:rPr>
        <w:t>，</w:t>
      </w:r>
      <w:r>
        <w:rPr>
          <w:spacing w:val="-3"/>
        </w:rPr>
        <w:t>自</w:t>
      </w:r>
      <w:r>
        <w:rPr/>
        <w:t>其</w:t>
      </w:r>
      <w:r>
        <w:rPr>
          <w:spacing w:val="-3"/>
        </w:rPr>
        <w:t>知</w:t>
      </w:r>
      <w:r>
        <w:rPr/>
        <w:t>道</w:t>
      </w:r>
      <w:r>
        <w:rPr>
          <w:spacing w:val="-3"/>
        </w:rPr>
        <w:t>或</w:t>
      </w:r>
      <w:r>
        <w:rPr/>
        <w:t>者</w:t>
      </w:r>
      <w:r>
        <w:rPr>
          <w:spacing w:val="-3"/>
        </w:rPr>
        <w:t>应</w:t>
      </w:r>
      <w:r>
        <w:rPr/>
        <w:t>当知</w:t>
      </w:r>
      <w:r>
        <w:rPr>
          <w:spacing w:val="-3"/>
        </w:rPr>
        <w:t>道</w:t>
      </w:r>
      <w:r>
        <w:rPr/>
        <w:t>保</w:t>
      </w:r>
      <w:r>
        <w:rPr>
          <w:spacing w:val="-3"/>
        </w:rPr>
        <w:t>险事</w:t>
      </w:r>
      <w:r>
        <w:rPr/>
        <w:t>故发生</w:t>
      </w:r>
      <w:r>
        <w:rPr>
          <w:spacing w:val="-3"/>
        </w:rPr>
        <w:t>之</w:t>
      </w:r>
      <w:r>
        <w:rPr/>
        <w:t>日</w:t>
      </w:r>
      <w:r>
        <w:rPr>
          <w:spacing w:val="-3"/>
        </w:rPr>
        <w:t>起</w:t>
      </w:r>
      <w:r>
        <w:rPr/>
        <w:t>计</w:t>
      </w:r>
      <w:r>
        <w:rPr>
          <w:spacing w:val="-3"/>
        </w:rPr>
        <w:t>算</w:t>
      </w:r>
      <w:r>
        <w:rPr/>
        <w:t>。</w:t>
      </w:r>
    </w:p>
    <w:p>
      <w:pPr>
        <w:pStyle w:val="BodyText"/>
        <w:spacing w:before="9"/>
        <w:ind w:left="0"/>
      </w:pPr>
    </w:p>
    <w:p>
      <w:pPr>
        <w:pStyle w:val="Heading2"/>
      </w:pPr>
      <w:r>
        <w:rPr/>
        <w:t>第十七条  未还款项的扣除</w:t>
      </w:r>
    </w:p>
    <w:p>
      <w:pPr>
        <w:pStyle w:val="BodyText"/>
        <w:spacing w:before="3"/>
        <w:ind w:left="0"/>
        <w:rPr>
          <w:rFonts w:ascii="Microsoft JhengHei"/>
          <w:b/>
          <w:sz w:val="19"/>
        </w:rPr>
      </w:pPr>
    </w:p>
    <w:p>
      <w:pPr>
        <w:pStyle w:val="BodyText"/>
        <w:ind w:left="552"/>
      </w:pPr>
      <w:r>
        <w:rPr/>
        <w:t>本附加合同未还款项的扣除的规定同主合同。</w:t>
      </w:r>
    </w:p>
    <w:p>
      <w:pPr>
        <w:pStyle w:val="BodyText"/>
        <w:ind w:left="0"/>
        <w:rPr>
          <w:sz w:val="24"/>
        </w:rPr>
      </w:pPr>
    </w:p>
    <w:p>
      <w:pPr>
        <w:pStyle w:val="Heading2"/>
      </w:pPr>
      <w:r>
        <w:rPr/>
        <w:t>第十八条  如实告知</w:t>
      </w:r>
    </w:p>
    <w:p>
      <w:pPr>
        <w:pStyle w:val="BodyText"/>
        <w:spacing w:before="3"/>
        <w:ind w:left="0"/>
        <w:rPr>
          <w:rFonts w:ascii="Microsoft JhengHei"/>
          <w:b/>
          <w:sz w:val="19"/>
        </w:rPr>
      </w:pPr>
    </w:p>
    <w:p>
      <w:pPr>
        <w:pStyle w:val="BodyText"/>
        <w:ind w:left="552"/>
      </w:pPr>
      <w:r>
        <w:rPr/>
        <w:t>本附加合同如实告知的规定同主合同。</w:t>
      </w:r>
    </w:p>
    <w:p>
      <w:pPr>
        <w:pStyle w:val="BodyText"/>
        <w:ind w:left="0"/>
        <w:rPr>
          <w:sz w:val="24"/>
        </w:rPr>
      </w:pPr>
    </w:p>
    <w:p>
      <w:pPr>
        <w:pStyle w:val="Heading2"/>
      </w:pPr>
      <w:r>
        <w:rPr/>
        <w:t>第十九条  合同解除权的限制</w:t>
      </w:r>
    </w:p>
    <w:p>
      <w:pPr>
        <w:pStyle w:val="BodyText"/>
        <w:spacing w:before="3"/>
        <w:ind w:left="0"/>
        <w:rPr>
          <w:rFonts w:ascii="Microsoft JhengHei"/>
          <w:b/>
          <w:sz w:val="19"/>
        </w:rPr>
      </w:pPr>
    </w:p>
    <w:p>
      <w:pPr>
        <w:pStyle w:val="BodyText"/>
        <w:ind w:left="552"/>
      </w:pPr>
      <w:r>
        <w:rPr/>
        <w:t>本附加合同解除权的限制的规定同主合同。</w:t>
      </w:r>
    </w:p>
    <w:p>
      <w:pPr>
        <w:pStyle w:val="BodyText"/>
        <w:spacing w:before="2"/>
        <w:ind w:left="0"/>
        <w:rPr>
          <w:sz w:val="23"/>
        </w:rPr>
      </w:pPr>
    </w:p>
    <w:p>
      <w:pPr>
        <w:pStyle w:val="Heading3"/>
        <w:ind w:left="555"/>
      </w:pPr>
      <w:r>
        <w:rPr/>
        <w:t>特别提示您，若本附加合同解除，其所属主合同将同时被解除。</w:t>
      </w:r>
    </w:p>
    <w:p>
      <w:pPr>
        <w:pStyle w:val="BodyText"/>
        <w:spacing w:before="7"/>
        <w:ind w:left="0"/>
        <w:rPr>
          <w:rFonts w:ascii="Microsoft JhengHei"/>
          <w:b/>
          <w:sz w:val="15"/>
        </w:rPr>
      </w:pPr>
    </w:p>
    <w:p>
      <w:pPr>
        <w:spacing w:before="0"/>
        <w:ind w:left="132" w:right="0" w:firstLine="0"/>
        <w:jc w:val="left"/>
        <w:rPr>
          <w:rFonts w:ascii="Microsoft JhengHei" w:eastAsia="Microsoft JhengHei" w:hint="eastAsia"/>
          <w:b/>
          <w:sz w:val="24"/>
        </w:rPr>
      </w:pPr>
      <w:r>
        <w:rPr>
          <w:rFonts w:ascii="Microsoft JhengHei" w:eastAsia="Microsoft JhengHei" w:hint="eastAsia"/>
          <w:b/>
          <w:sz w:val="24"/>
        </w:rPr>
        <w:t>第二十条  年龄及性别的确定与错误处理</w:t>
      </w:r>
    </w:p>
    <w:p>
      <w:pPr>
        <w:pStyle w:val="BodyText"/>
        <w:spacing w:before="3"/>
        <w:ind w:left="0"/>
        <w:rPr>
          <w:rFonts w:ascii="Microsoft JhengHei"/>
          <w:b/>
          <w:sz w:val="19"/>
        </w:rPr>
      </w:pPr>
    </w:p>
    <w:p>
      <w:pPr>
        <w:pStyle w:val="BodyText"/>
        <w:ind w:left="552"/>
      </w:pPr>
      <w:r>
        <w:rPr/>
        <w:t>本附加合同年龄及性别的确定与错误处理的规定同主合同。</w:t>
      </w:r>
    </w:p>
    <w:p>
      <w:pPr>
        <w:pStyle w:val="BodyText"/>
        <w:ind w:left="0"/>
        <w:rPr>
          <w:sz w:val="24"/>
        </w:rPr>
      </w:pPr>
    </w:p>
    <w:p>
      <w:pPr>
        <w:pStyle w:val="Heading2"/>
      </w:pPr>
      <w:r>
        <w:rPr/>
        <w:t>第二十一条   合同内容的变更</w:t>
      </w:r>
    </w:p>
    <w:p>
      <w:pPr>
        <w:pStyle w:val="BodyText"/>
        <w:spacing w:before="3"/>
        <w:ind w:left="0"/>
        <w:rPr>
          <w:rFonts w:ascii="Microsoft JhengHei"/>
          <w:b/>
          <w:sz w:val="19"/>
        </w:rPr>
      </w:pPr>
    </w:p>
    <w:p>
      <w:pPr>
        <w:pStyle w:val="BodyText"/>
        <w:ind w:left="552"/>
      </w:pPr>
      <w:r>
        <w:rPr/>
        <w:t>本附加合同内容变更的规定同主合同。</w:t>
      </w:r>
    </w:p>
    <w:p>
      <w:pPr>
        <w:pStyle w:val="BodyText"/>
        <w:ind w:left="0"/>
        <w:rPr>
          <w:sz w:val="24"/>
        </w:rPr>
      </w:pPr>
    </w:p>
    <w:p>
      <w:pPr>
        <w:pStyle w:val="Heading2"/>
      </w:pPr>
      <w:r>
        <w:rPr/>
        <w:t>第二十二条   联系方式的变更</w:t>
      </w:r>
    </w:p>
    <w:p>
      <w:pPr>
        <w:pStyle w:val="BodyText"/>
        <w:spacing w:before="3"/>
        <w:ind w:left="0"/>
        <w:rPr>
          <w:rFonts w:ascii="Microsoft JhengHei"/>
          <w:b/>
          <w:sz w:val="19"/>
        </w:rPr>
      </w:pPr>
    </w:p>
    <w:p>
      <w:pPr>
        <w:pStyle w:val="BodyText"/>
        <w:ind w:left="552"/>
      </w:pPr>
      <w:r>
        <w:rPr/>
        <w:t>本附加合同联系方式变更的规定同主合同。</w:t>
      </w:r>
    </w:p>
    <w:p>
      <w:pPr>
        <w:pStyle w:val="BodyText"/>
        <w:spacing w:before="12"/>
        <w:ind w:left="0"/>
        <w:rPr>
          <w:sz w:val="23"/>
        </w:rPr>
      </w:pPr>
    </w:p>
    <w:p>
      <w:pPr>
        <w:pStyle w:val="Heading2"/>
        <w:spacing w:before="1"/>
      </w:pPr>
      <w:r>
        <w:rPr/>
        <w:t>第二十三条   争议处理</w:t>
      </w:r>
    </w:p>
    <w:p>
      <w:pPr>
        <w:pStyle w:val="BodyText"/>
        <w:spacing w:before="3"/>
        <w:ind w:left="0"/>
        <w:rPr>
          <w:rFonts w:ascii="Microsoft JhengHei"/>
          <w:b/>
          <w:sz w:val="19"/>
        </w:rPr>
      </w:pPr>
    </w:p>
    <w:p>
      <w:pPr>
        <w:pStyle w:val="BodyText"/>
        <w:spacing w:before="1"/>
        <w:ind w:left="552"/>
      </w:pPr>
      <w:r>
        <w:rPr/>
        <w:t>在本附加合同履行过程中发生任何争议，其解决方式同主合同。</w:t>
      </w:r>
    </w:p>
    <w:p>
      <w:pPr>
        <w:spacing w:after="0"/>
        <w:sectPr>
          <w:pgSz w:w="11900" w:h="16840"/>
          <w:pgMar w:header="892" w:footer="514" w:top="1080" w:bottom="760" w:left="1000" w:right="1000"/>
        </w:sectPr>
      </w:pPr>
    </w:p>
    <w:p>
      <w:pPr>
        <w:pStyle w:val="BodyText"/>
        <w:ind w:left="0"/>
        <w:rPr>
          <w:sz w:val="20"/>
        </w:rPr>
      </w:pPr>
    </w:p>
    <w:p>
      <w:pPr>
        <w:pStyle w:val="BodyText"/>
        <w:ind w:left="0"/>
        <w:rPr>
          <w:sz w:val="20"/>
        </w:rPr>
      </w:pPr>
    </w:p>
    <w:p>
      <w:pPr>
        <w:pStyle w:val="Heading1"/>
        <w:tabs>
          <w:tab w:pos="1126" w:val="left" w:leader="none"/>
        </w:tabs>
        <w:spacing w:before="71"/>
        <w:ind w:left="1"/>
      </w:pPr>
      <w:r>
        <w:rPr/>
        <w:t>第三章</w:t>
        <w:tab/>
        <w:t>名词释义</w:t>
      </w:r>
    </w:p>
    <w:p>
      <w:pPr>
        <w:tabs>
          <w:tab w:pos="2199" w:val="left" w:leader="none"/>
        </w:tabs>
        <w:spacing w:before="106"/>
        <w:ind w:left="243" w:right="0" w:firstLine="0"/>
        <w:jc w:val="left"/>
        <w:rPr>
          <w:sz w:val="21"/>
        </w:rPr>
      </w:pPr>
      <w:r>
        <w:rPr>
          <w:sz w:val="21"/>
        </w:rPr>
        <w:t>您</w:t>
      </w:r>
      <w:r>
        <w:rPr>
          <w:position w:val="11"/>
          <w:sz w:val="11"/>
        </w:rPr>
        <w:t>（1）</w:t>
        <w:tab/>
      </w:r>
      <w:r>
        <w:rPr>
          <w:sz w:val="21"/>
        </w:rPr>
        <w:t>：保</w:t>
      </w:r>
      <w:r>
        <w:rPr>
          <w:spacing w:val="-3"/>
          <w:sz w:val="21"/>
        </w:rPr>
        <w:t>险</w:t>
      </w:r>
      <w:r>
        <w:rPr>
          <w:sz w:val="21"/>
        </w:rPr>
        <w:t>合</w:t>
      </w:r>
      <w:r>
        <w:rPr>
          <w:spacing w:val="-3"/>
          <w:sz w:val="21"/>
        </w:rPr>
        <w:t>同</w:t>
      </w:r>
      <w:r>
        <w:rPr>
          <w:sz w:val="21"/>
        </w:rPr>
        <w:t>中</w:t>
      </w:r>
      <w:r>
        <w:rPr>
          <w:spacing w:val="-3"/>
          <w:sz w:val="21"/>
        </w:rPr>
        <w:t>所</w:t>
      </w:r>
      <w:r>
        <w:rPr>
          <w:sz w:val="21"/>
        </w:rPr>
        <w:t>载</w:t>
      </w:r>
      <w:r>
        <w:rPr>
          <w:spacing w:val="-3"/>
          <w:sz w:val="21"/>
        </w:rPr>
        <w:t>明</w:t>
      </w:r>
      <w:r>
        <w:rPr>
          <w:sz w:val="21"/>
        </w:rPr>
        <w:t>的</w:t>
      </w:r>
      <w:r>
        <w:rPr>
          <w:spacing w:val="-3"/>
          <w:sz w:val="21"/>
        </w:rPr>
        <w:t>投</w:t>
      </w:r>
      <w:r>
        <w:rPr>
          <w:sz w:val="21"/>
        </w:rPr>
        <w:t>保人。</w:t>
      </w:r>
    </w:p>
    <w:p>
      <w:pPr>
        <w:tabs>
          <w:tab w:pos="2199" w:val="left" w:leader="none"/>
        </w:tabs>
        <w:spacing w:line="220" w:lineRule="auto" w:before="64"/>
        <w:ind w:left="243" w:right="3074" w:hanging="1"/>
        <w:jc w:val="left"/>
        <w:rPr>
          <w:rFonts w:ascii="Microsoft JhengHei" w:eastAsia="Microsoft JhengHei" w:hint="eastAsia"/>
          <w:b/>
          <w:sz w:val="21"/>
        </w:rPr>
      </w:pPr>
      <w:r>
        <w:rPr>
          <w:sz w:val="21"/>
        </w:rPr>
        <w:t>周岁</w:t>
      </w:r>
      <w:r>
        <w:rPr>
          <w:position w:val="11"/>
          <w:sz w:val="11"/>
        </w:rPr>
        <w:t>（2）</w:t>
        <w:tab/>
      </w:r>
      <w:r>
        <w:rPr>
          <w:sz w:val="21"/>
        </w:rPr>
        <w:t>：以</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为</w:t>
      </w:r>
      <w:r>
        <w:rPr>
          <w:spacing w:val="-3"/>
          <w:sz w:val="21"/>
        </w:rPr>
        <w:t>计</w:t>
      </w:r>
      <w:r>
        <w:rPr>
          <w:sz w:val="21"/>
        </w:rPr>
        <w:t>算</w:t>
      </w:r>
      <w:r>
        <w:rPr>
          <w:spacing w:val="-3"/>
          <w:sz w:val="21"/>
        </w:rPr>
        <w:t>基</w:t>
      </w:r>
      <w:r>
        <w:rPr>
          <w:sz w:val="21"/>
        </w:rPr>
        <w:t>础。 五十</w:t>
      </w:r>
      <w:r>
        <w:rPr>
          <w:spacing w:val="-3"/>
          <w:sz w:val="21"/>
        </w:rPr>
        <w:t>种</w:t>
      </w:r>
      <w:r>
        <w:rPr>
          <w:sz w:val="21"/>
        </w:rPr>
        <w:t>重</w:t>
      </w:r>
      <w:r>
        <w:rPr>
          <w:spacing w:val="-3"/>
          <w:sz w:val="21"/>
        </w:rPr>
        <w:t>大</w:t>
      </w:r>
      <w:r>
        <w:rPr>
          <w:sz w:val="21"/>
        </w:rPr>
        <w:t>疾</w:t>
      </w:r>
      <w:r>
        <w:rPr>
          <w:spacing w:val="-3"/>
          <w:sz w:val="21"/>
        </w:rPr>
        <w:t>病</w:t>
      </w:r>
      <w:r>
        <w:rPr>
          <w:position w:val="11"/>
          <w:sz w:val="11"/>
        </w:rPr>
        <w:t>（3）</w:t>
        <w:tab/>
      </w:r>
      <w:r>
        <w:rPr>
          <w:rFonts w:ascii="Microsoft JhengHei" w:eastAsia="Microsoft JhengHei" w:hint="eastAsia"/>
          <w:b/>
          <w:spacing w:val="-1"/>
          <w:sz w:val="21"/>
        </w:rPr>
        <w:t>：</w:t>
      </w:r>
      <w:r>
        <w:rPr>
          <w:rFonts w:ascii="Arial" w:eastAsia="Arial"/>
          <w:b/>
          <w:spacing w:val="-1"/>
          <w:sz w:val="21"/>
        </w:rPr>
        <w:t>1.</w:t>
      </w:r>
      <w:r>
        <w:rPr>
          <w:rFonts w:ascii="Microsoft JhengHei" w:eastAsia="Microsoft JhengHei" w:hint="eastAsia"/>
          <w:b/>
          <w:sz w:val="21"/>
        </w:rPr>
        <w:t>恶性肿瘤</w:t>
      </w:r>
    </w:p>
    <w:p>
      <w:pPr>
        <w:pStyle w:val="BodyText"/>
        <w:spacing w:line="232" w:lineRule="auto" w:before="57"/>
        <w:ind w:right="117"/>
      </w:pPr>
      <w:r>
        <w:rPr>
          <w:spacing w:val="-12"/>
        </w:rPr>
        <w:t>指恶性细胞不受控制的进行性增长和扩散，浸润和破坏周围正常组织，可以经血管、</w:t>
      </w:r>
      <w:r>
        <w:rPr>
          <w:spacing w:val="-10"/>
        </w:rPr>
        <w:t>淋巴管和体腔扩散转移到身体其它部位的疾病。经病理学检查结果明确诊断，临床诊断属于世界卫生组织《疾病和有关健康问题的国际统计分类》</w:t>
      </w:r>
      <w:r>
        <w:rPr/>
        <w:t>（</w:t>
      </w:r>
      <w:r>
        <w:rPr>
          <w:rFonts w:ascii="Arial" w:eastAsia="Arial"/>
        </w:rPr>
        <w:t>ICD-10</w:t>
      </w:r>
      <w:r>
        <w:rPr/>
        <w:t>）</w:t>
      </w:r>
      <w:r>
        <w:rPr>
          <w:spacing w:val="-2"/>
        </w:rPr>
        <w:t>的恶性</w:t>
      </w:r>
      <w:r>
        <w:rPr>
          <w:spacing w:val="-3"/>
        </w:rPr>
        <w:t>肿瘤范畴。</w:t>
      </w:r>
    </w:p>
    <w:p>
      <w:pPr>
        <w:pStyle w:val="Heading3"/>
        <w:spacing w:line="358" w:lineRule="exact" w:before="8"/>
      </w:pPr>
      <w:r>
        <w:rPr/>
        <w:t>下列疾病不在保障范围内：</w:t>
      </w:r>
    </w:p>
    <w:p>
      <w:pPr>
        <w:tabs>
          <w:tab w:pos="2947" w:val="left" w:leader="none"/>
        </w:tabs>
        <w:spacing w:line="350" w:lineRule="exact" w:before="0"/>
        <w:ind w:left="2199" w:right="0" w:firstLine="0"/>
        <w:jc w:val="left"/>
        <w:rPr>
          <w:rFonts w:ascii="Microsoft JhengHei" w:eastAsia="Microsoft JhengHei" w:hint="eastAsia"/>
          <w:b/>
          <w:sz w:val="21"/>
        </w:rPr>
      </w:pPr>
      <w:r>
        <w:rPr>
          <w:rFonts w:ascii="Microsoft JhengHei" w:eastAsia="Microsoft JhengHei" w:hint="eastAsia"/>
          <w:b/>
          <w:spacing w:val="1"/>
          <w:w w:val="100"/>
          <w:sz w:val="21"/>
        </w:rPr>
        <w:t>（</w:t>
      </w:r>
      <w:r>
        <w:rPr>
          <w:rFonts w:ascii="Arial" w:eastAsia="Arial"/>
          <w:b/>
          <w:spacing w:val="-3"/>
          <w:w w:val="100"/>
          <w:sz w:val="21"/>
        </w:rPr>
        <w:t>1</w:t>
      </w:r>
      <w:r>
        <w:rPr>
          <w:rFonts w:ascii="Microsoft JhengHei" w:eastAsia="Microsoft JhengHei" w:hint="eastAsia"/>
          <w:b/>
          <w:w w:val="100"/>
          <w:sz w:val="21"/>
        </w:rPr>
        <w:t>）</w:t>
      </w:r>
      <w:r>
        <w:rPr>
          <w:rFonts w:ascii="Microsoft JhengHei" w:eastAsia="Microsoft JhengHei" w:hint="eastAsia"/>
          <w:b/>
          <w:sz w:val="21"/>
        </w:rPr>
        <w:tab/>
      </w:r>
      <w:r>
        <w:rPr>
          <w:rFonts w:ascii="Microsoft JhengHei" w:eastAsia="Microsoft JhengHei" w:hint="eastAsia"/>
          <w:b/>
          <w:w w:val="100"/>
          <w:sz w:val="21"/>
        </w:rPr>
        <w:t>原位癌</w:t>
      </w:r>
      <w:r>
        <w:rPr>
          <w:rFonts w:ascii="Microsoft JhengHei" w:eastAsia="Microsoft JhengHei" w:hint="eastAsia"/>
          <w:b/>
          <w:w w:val="100"/>
          <w:position w:val="11"/>
          <w:sz w:val="11"/>
        </w:rPr>
        <w:t>（</w:t>
      </w:r>
      <w:r>
        <w:rPr>
          <w:rFonts w:ascii="Microsoft JhengHei" w:eastAsia="Microsoft JhengHei" w:hint="eastAsia"/>
          <w:b/>
          <w:w w:val="84"/>
          <w:position w:val="11"/>
          <w:sz w:val="11"/>
        </w:rPr>
        <w:t>18</w:t>
      </w:r>
      <w:r>
        <w:rPr>
          <w:rFonts w:ascii="Microsoft JhengHei" w:eastAsia="Microsoft JhengHei" w:hint="eastAsia"/>
          <w:b/>
          <w:spacing w:val="-56"/>
          <w:w w:val="100"/>
          <w:position w:val="11"/>
          <w:sz w:val="11"/>
        </w:rPr>
        <w:t>）</w:t>
      </w:r>
      <w:r>
        <w:rPr>
          <w:rFonts w:ascii="Microsoft JhengHei" w:eastAsia="Microsoft JhengHei" w:hint="eastAsia"/>
          <w:b/>
          <w:w w:val="100"/>
          <w:sz w:val="21"/>
        </w:rPr>
        <w:t>；</w:t>
      </w:r>
    </w:p>
    <w:p>
      <w:pPr>
        <w:pStyle w:val="Heading3"/>
        <w:numPr>
          <w:ilvl w:val="2"/>
          <w:numId w:val="2"/>
        </w:numPr>
        <w:tabs>
          <w:tab w:pos="2947" w:val="left" w:leader="none"/>
          <w:tab w:pos="2948" w:val="left" w:leader="none"/>
        </w:tabs>
        <w:spacing w:line="350" w:lineRule="exact" w:before="0" w:after="0"/>
        <w:ind w:left="2947" w:right="0" w:hanging="748"/>
        <w:jc w:val="left"/>
      </w:pPr>
      <w:r>
        <w:rPr>
          <w:spacing w:val="0"/>
        </w:rPr>
        <w:t>相当于 </w:t>
      </w:r>
      <w:r>
        <w:rPr>
          <w:rFonts w:ascii="Arial" w:eastAsia="Arial"/>
        </w:rPr>
        <w:t>Binet</w:t>
      </w:r>
      <w:r>
        <w:rPr>
          <w:rFonts w:ascii="Arial" w:eastAsia="Arial"/>
          <w:spacing w:val="-3"/>
        </w:rPr>
        <w:t> </w:t>
      </w:r>
      <w:r>
        <w:rPr>
          <w:spacing w:val="0"/>
        </w:rPr>
        <w:t>分期方案 </w:t>
      </w:r>
      <w:r>
        <w:rPr>
          <w:rFonts w:ascii="Arial" w:eastAsia="Arial"/>
        </w:rPr>
        <w:t>A</w:t>
      </w:r>
      <w:r>
        <w:rPr>
          <w:rFonts w:ascii="Arial" w:eastAsia="Arial"/>
          <w:spacing w:val="-7"/>
        </w:rPr>
        <w:t> </w:t>
      </w:r>
      <w:r>
        <w:rPr>
          <w:spacing w:val="-1"/>
        </w:rPr>
        <w:t>期程度的慢性淋巴细胞白血病；</w:t>
      </w:r>
    </w:p>
    <w:p>
      <w:pPr>
        <w:pStyle w:val="ListParagraph"/>
        <w:numPr>
          <w:ilvl w:val="2"/>
          <w:numId w:val="2"/>
        </w:numPr>
        <w:tabs>
          <w:tab w:pos="2947" w:val="left" w:leader="none"/>
          <w:tab w:pos="2948" w:val="left" w:leader="none"/>
        </w:tabs>
        <w:spacing w:line="350" w:lineRule="exact" w:before="0" w:after="0"/>
        <w:ind w:left="2947" w:right="0" w:hanging="748"/>
        <w:jc w:val="left"/>
        <w:rPr>
          <w:rFonts w:ascii="Microsoft JhengHei" w:eastAsia="Microsoft JhengHei" w:hint="eastAsia"/>
          <w:b/>
          <w:sz w:val="21"/>
        </w:rPr>
      </w:pPr>
      <w:r>
        <w:rPr>
          <w:rFonts w:ascii="Microsoft JhengHei" w:eastAsia="Microsoft JhengHei" w:hint="eastAsia"/>
          <w:b/>
          <w:sz w:val="21"/>
        </w:rPr>
        <w:t>相当于 </w:t>
      </w:r>
      <w:r>
        <w:rPr>
          <w:rFonts w:ascii="Arial" w:eastAsia="Arial"/>
          <w:b/>
          <w:sz w:val="21"/>
        </w:rPr>
        <w:t>Ann</w:t>
      </w:r>
      <w:r>
        <w:rPr>
          <w:rFonts w:ascii="Arial" w:eastAsia="Arial"/>
          <w:b/>
          <w:spacing w:val="-3"/>
          <w:sz w:val="21"/>
        </w:rPr>
        <w:t> </w:t>
      </w:r>
      <w:r>
        <w:rPr>
          <w:rFonts w:ascii="Arial" w:eastAsia="Arial"/>
          <w:b/>
          <w:sz w:val="21"/>
        </w:rPr>
        <w:t>Arbor</w:t>
      </w:r>
      <w:r>
        <w:rPr>
          <w:rFonts w:ascii="Arial" w:eastAsia="Arial"/>
          <w:b/>
          <w:spacing w:val="-5"/>
          <w:sz w:val="21"/>
        </w:rPr>
        <w:t> </w:t>
      </w:r>
      <w:r>
        <w:rPr>
          <w:rFonts w:ascii="Microsoft JhengHei" w:eastAsia="Microsoft JhengHei" w:hint="eastAsia"/>
          <w:b/>
          <w:sz w:val="21"/>
        </w:rPr>
        <w:t>分期方案 </w:t>
      </w:r>
      <w:r>
        <w:rPr>
          <w:rFonts w:ascii="Arial" w:eastAsia="Arial"/>
          <w:b/>
          <w:sz w:val="21"/>
        </w:rPr>
        <w:t>I</w:t>
      </w:r>
      <w:r>
        <w:rPr>
          <w:rFonts w:ascii="Arial" w:eastAsia="Arial"/>
          <w:b/>
          <w:spacing w:val="-7"/>
          <w:sz w:val="21"/>
        </w:rPr>
        <w:t> </w:t>
      </w:r>
      <w:r>
        <w:rPr>
          <w:rFonts w:ascii="Microsoft JhengHei" w:eastAsia="Microsoft JhengHei" w:hint="eastAsia"/>
          <w:b/>
          <w:spacing w:val="-1"/>
          <w:sz w:val="21"/>
        </w:rPr>
        <w:t>期程度的何杰金氏病；</w:t>
      </w:r>
    </w:p>
    <w:p>
      <w:pPr>
        <w:pStyle w:val="ListParagraph"/>
        <w:numPr>
          <w:ilvl w:val="2"/>
          <w:numId w:val="2"/>
        </w:numPr>
        <w:tabs>
          <w:tab w:pos="2947" w:val="left" w:leader="none"/>
          <w:tab w:pos="2948" w:val="left" w:leader="none"/>
        </w:tabs>
        <w:spacing w:line="350" w:lineRule="exact" w:before="0" w:after="0"/>
        <w:ind w:left="2947" w:right="0" w:hanging="748"/>
        <w:jc w:val="left"/>
        <w:rPr>
          <w:rFonts w:ascii="Microsoft JhengHei" w:eastAsia="Microsoft JhengHei" w:hint="eastAsia"/>
          <w:b/>
          <w:sz w:val="21"/>
        </w:rPr>
      </w:pPr>
      <w:r>
        <w:rPr>
          <w:rFonts w:ascii="Microsoft JhengHei" w:eastAsia="Microsoft JhengHei" w:hint="eastAsia"/>
          <w:b/>
          <w:w w:val="100"/>
          <w:sz w:val="21"/>
        </w:rPr>
        <w:t>皮肤癌（</w:t>
      </w:r>
      <w:r>
        <w:rPr>
          <w:rFonts w:ascii="Microsoft JhengHei" w:eastAsia="Microsoft JhengHei" w:hint="eastAsia"/>
          <w:b/>
          <w:spacing w:val="-1"/>
          <w:w w:val="100"/>
          <w:sz w:val="21"/>
        </w:rPr>
        <w:t>不包括恶性黑色素瘤及已发</w:t>
      </w:r>
      <w:r>
        <w:rPr>
          <w:rFonts w:ascii="Microsoft JhengHei" w:eastAsia="Microsoft JhengHei" w:hint="eastAsia"/>
          <w:b/>
          <w:w w:val="82"/>
          <w:sz w:val="21"/>
        </w:rPr>
        <w:t>T</w:t>
      </w:r>
      <w:r>
        <w:rPr>
          <w:rFonts w:ascii="Microsoft JhengHei" w:eastAsia="Microsoft JhengHei" w:hint="eastAsia"/>
          <w:b/>
          <w:spacing w:val="-3"/>
          <w:w w:val="82"/>
          <w:sz w:val="21"/>
        </w:rPr>
        <w:t>h</w:t>
      </w:r>
      <w:r>
        <w:rPr>
          <w:rFonts w:ascii="Microsoft JhengHei" w:eastAsia="Microsoft JhengHei" w:hint="eastAsia"/>
          <w:b/>
          <w:spacing w:val="-2"/>
          <w:w w:val="100"/>
          <w:sz w:val="21"/>
        </w:rPr>
        <w:t>转移的皮肤癌</w:t>
      </w:r>
      <w:r>
        <w:rPr>
          <w:rFonts w:ascii="Microsoft JhengHei" w:eastAsia="Microsoft JhengHei" w:hint="eastAsia"/>
          <w:b/>
          <w:spacing w:val="-106"/>
          <w:w w:val="100"/>
          <w:sz w:val="21"/>
        </w:rPr>
        <w:t>）</w:t>
      </w:r>
      <w:r>
        <w:rPr>
          <w:rFonts w:ascii="Microsoft JhengHei" w:eastAsia="Microsoft JhengHei" w:hint="eastAsia"/>
          <w:b/>
          <w:w w:val="100"/>
          <w:sz w:val="21"/>
        </w:rPr>
        <w:t>；</w:t>
      </w:r>
    </w:p>
    <w:p>
      <w:pPr>
        <w:pStyle w:val="ListParagraph"/>
        <w:numPr>
          <w:ilvl w:val="2"/>
          <w:numId w:val="2"/>
        </w:numPr>
        <w:tabs>
          <w:tab w:pos="2950" w:val="left" w:leader="none"/>
          <w:tab w:pos="2951" w:val="left" w:leader="none"/>
        </w:tabs>
        <w:spacing w:line="312" w:lineRule="exact" w:before="0" w:after="0"/>
        <w:ind w:left="2950" w:right="0" w:hanging="751"/>
        <w:jc w:val="left"/>
        <w:rPr>
          <w:rFonts w:ascii="Microsoft JhengHei" w:eastAsia="Microsoft JhengHei" w:hint="eastAsia"/>
          <w:b/>
          <w:sz w:val="21"/>
        </w:rPr>
      </w:pPr>
      <w:r>
        <w:rPr>
          <w:rFonts w:ascii="Arial" w:eastAsia="Arial"/>
          <w:b/>
          <w:sz w:val="21"/>
        </w:rPr>
        <w:t>TNM </w:t>
      </w:r>
      <w:r>
        <w:rPr>
          <w:rFonts w:ascii="Microsoft JhengHei" w:eastAsia="Microsoft JhengHei" w:hint="eastAsia"/>
          <w:b/>
          <w:spacing w:val="-1"/>
          <w:sz w:val="21"/>
        </w:rPr>
        <w:t>分期为 </w:t>
      </w:r>
      <w:r>
        <w:rPr>
          <w:rFonts w:ascii="Arial" w:eastAsia="Arial"/>
          <w:b/>
          <w:sz w:val="21"/>
        </w:rPr>
        <w:t>T1N0M0</w:t>
      </w:r>
      <w:r>
        <w:rPr>
          <w:rFonts w:ascii="Arial" w:eastAsia="Arial"/>
          <w:b/>
          <w:spacing w:val="-4"/>
          <w:sz w:val="21"/>
        </w:rPr>
        <w:t> </w:t>
      </w:r>
      <w:r>
        <w:rPr>
          <w:rFonts w:ascii="Microsoft JhengHei" w:eastAsia="Microsoft JhengHei" w:hint="eastAsia"/>
          <w:b/>
          <w:spacing w:val="-2"/>
          <w:sz w:val="21"/>
        </w:rPr>
        <w:t>期或更轻分期的前列腺癌；</w:t>
      </w:r>
    </w:p>
    <w:p>
      <w:pPr>
        <w:pStyle w:val="ListParagraph"/>
        <w:numPr>
          <w:ilvl w:val="2"/>
          <w:numId w:val="2"/>
        </w:numPr>
        <w:tabs>
          <w:tab w:pos="2947" w:val="left" w:leader="none"/>
          <w:tab w:pos="2948" w:val="left" w:leader="none"/>
        </w:tabs>
        <w:spacing w:line="320" w:lineRule="exact" w:before="0" w:after="0"/>
        <w:ind w:left="2947" w:right="0" w:hanging="748"/>
        <w:jc w:val="left"/>
        <w:rPr>
          <w:rFonts w:ascii="Microsoft JhengHei" w:eastAsia="Microsoft JhengHei" w:hint="eastAsia"/>
          <w:b/>
          <w:sz w:val="21"/>
        </w:rPr>
      </w:pPr>
      <w:r>
        <w:rPr>
          <w:rFonts w:ascii="Microsoft JhengHei" w:eastAsia="Microsoft JhengHei" w:hint="eastAsia"/>
          <w:b/>
          <w:spacing w:val="-3"/>
          <w:sz w:val="21"/>
        </w:rPr>
        <w:t>感染艾滋病病毒或患艾滋病期间所患恶性肿瘤。</w:t>
      </w:r>
    </w:p>
    <w:p>
      <w:pPr>
        <w:spacing w:before="148"/>
        <w:ind w:left="2199" w:right="0" w:firstLine="0"/>
        <w:jc w:val="left"/>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BodyText"/>
        <w:spacing w:before="49"/>
        <w:ind w:right="222"/>
      </w:pPr>
      <w:r>
        <w:rPr>
          <w:spacing w:val="-7"/>
        </w:rPr>
        <w:t>指因冠状动脉阻塞导致的相应区域供血不足造成部分心肌坏死。须满足下列至少三</w:t>
      </w:r>
      <w:r>
        <w:rPr>
          <w:spacing w:val="-5"/>
        </w:rPr>
        <w:t>项条件：</w:t>
      </w:r>
    </w:p>
    <w:p>
      <w:pPr>
        <w:pStyle w:val="ListParagraph"/>
        <w:numPr>
          <w:ilvl w:val="0"/>
          <w:numId w:val="3"/>
        </w:numPr>
        <w:tabs>
          <w:tab w:pos="2945" w:val="left" w:leader="none"/>
          <w:tab w:pos="2946" w:val="left" w:leader="none"/>
        </w:tabs>
        <w:spacing w:line="240" w:lineRule="auto" w:before="75" w:after="0"/>
        <w:ind w:left="2899" w:right="0" w:hanging="700"/>
        <w:jc w:val="left"/>
        <w:rPr>
          <w:sz w:val="21"/>
        </w:rPr>
      </w:pPr>
      <w:r>
        <w:rPr>
          <w:spacing w:val="-3"/>
          <w:sz w:val="21"/>
        </w:rPr>
        <w:t>典型临床表现，例如急性胸痛等；</w:t>
      </w:r>
    </w:p>
    <w:p>
      <w:pPr>
        <w:pStyle w:val="ListParagraph"/>
        <w:numPr>
          <w:ilvl w:val="0"/>
          <w:numId w:val="3"/>
        </w:numPr>
        <w:tabs>
          <w:tab w:pos="2945" w:val="left" w:leader="none"/>
          <w:tab w:pos="2946" w:val="left" w:leader="none"/>
        </w:tabs>
        <w:spacing w:line="240" w:lineRule="auto" w:before="60" w:after="0"/>
        <w:ind w:left="2899" w:right="0" w:hanging="700"/>
        <w:jc w:val="left"/>
        <w:rPr>
          <w:sz w:val="21"/>
        </w:rPr>
      </w:pPr>
      <w:r>
        <w:rPr>
          <w:spacing w:val="-3"/>
          <w:sz w:val="21"/>
        </w:rPr>
        <w:t>新近的心电图改变提示急性心肌梗塞；</w:t>
      </w:r>
    </w:p>
    <w:p>
      <w:pPr>
        <w:pStyle w:val="ListParagraph"/>
        <w:numPr>
          <w:ilvl w:val="0"/>
          <w:numId w:val="3"/>
        </w:numPr>
        <w:tabs>
          <w:tab w:pos="2926" w:val="left" w:leader="none"/>
          <w:tab w:pos="2927" w:val="left" w:leader="none"/>
        </w:tabs>
        <w:spacing w:line="225" w:lineRule="auto" w:before="77" w:after="0"/>
        <w:ind w:left="2899" w:right="246" w:hanging="720"/>
        <w:jc w:val="left"/>
        <w:rPr>
          <w:sz w:val="21"/>
        </w:rPr>
      </w:pPr>
      <w:r>
        <w:rPr>
          <w:spacing w:val="-3"/>
          <w:sz w:val="21"/>
        </w:rPr>
        <w:t>心肌酶或肌钙蛋白有诊断意义的升高，或呈符合急性心肌梗塞的动态性变化；</w:t>
      </w:r>
    </w:p>
    <w:p>
      <w:pPr>
        <w:pStyle w:val="ListParagraph"/>
        <w:numPr>
          <w:ilvl w:val="0"/>
          <w:numId w:val="3"/>
        </w:numPr>
        <w:tabs>
          <w:tab w:pos="2922" w:val="left" w:leader="none"/>
        </w:tabs>
        <w:spacing w:line="289" w:lineRule="exact" w:before="0" w:after="0"/>
        <w:ind w:left="2921" w:right="0" w:hanging="722"/>
        <w:jc w:val="left"/>
        <w:rPr>
          <w:sz w:val="21"/>
        </w:rPr>
      </w:pPr>
      <w:r>
        <w:rPr>
          <w:spacing w:val="-15"/>
          <w:sz w:val="21"/>
        </w:rPr>
        <w:t>发病 </w:t>
      </w:r>
      <w:r>
        <w:rPr>
          <w:rFonts w:ascii="Arial" w:eastAsia="Arial"/>
          <w:sz w:val="21"/>
        </w:rPr>
        <w:t>90</w:t>
      </w:r>
      <w:r>
        <w:rPr>
          <w:rFonts w:ascii="Arial" w:eastAsia="Arial"/>
          <w:spacing w:val="1"/>
          <w:sz w:val="21"/>
        </w:rPr>
        <w:t> </w:t>
      </w:r>
      <w:r>
        <w:rPr>
          <w:spacing w:val="-11"/>
          <w:sz w:val="21"/>
        </w:rPr>
        <w:t>天后，经检查证实左心室功能降低，如左心室射血分数低于 </w:t>
      </w:r>
      <w:r>
        <w:rPr>
          <w:rFonts w:ascii="Arial" w:eastAsia="Arial"/>
          <w:sz w:val="21"/>
        </w:rPr>
        <w:t>50%</w:t>
      </w:r>
      <w:r>
        <w:rPr>
          <w:sz w:val="21"/>
        </w:rPr>
        <w:t>。</w:t>
      </w:r>
    </w:p>
    <w:p>
      <w:pPr>
        <w:pStyle w:val="Heading3"/>
        <w:spacing w:before="157"/>
      </w:pPr>
      <w:r>
        <w:rPr>
          <w:rFonts w:ascii="Arial" w:eastAsia="Arial"/>
        </w:rPr>
        <w:t>3.</w:t>
      </w:r>
      <w:r>
        <w:rPr/>
        <w:t>脑中风后遗症</w:t>
      </w:r>
    </w:p>
    <w:p>
      <w:pPr>
        <w:pStyle w:val="BodyText"/>
        <w:spacing w:line="230" w:lineRule="auto" w:before="62"/>
        <w:ind w:right="222" w:hanging="1"/>
      </w:pPr>
      <w:r>
        <w:rPr>
          <w:spacing w:val="-8"/>
        </w:rPr>
        <w:t>指因脑血管的突发病变引起脑血管出血、栓塞或梗塞，并导致神经系统永久性的功</w:t>
      </w:r>
      <w:r>
        <w:rPr>
          <w:spacing w:val="-7"/>
        </w:rPr>
        <w:t>能障碍。神经系统永久性的功能障碍，指疾病确诊 </w:t>
      </w:r>
      <w:r>
        <w:rPr>
          <w:rFonts w:ascii="Arial" w:eastAsia="Arial"/>
        </w:rPr>
        <w:t>180 </w:t>
      </w:r>
      <w:r>
        <w:rPr>
          <w:spacing w:val="-3"/>
        </w:rPr>
        <w:t>天后，仍遗留下列一种或一种以上障碍：</w:t>
      </w:r>
    </w:p>
    <w:p>
      <w:pPr>
        <w:pStyle w:val="ListParagraph"/>
        <w:numPr>
          <w:ilvl w:val="0"/>
          <w:numId w:val="4"/>
        </w:numPr>
        <w:tabs>
          <w:tab w:pos="2945" w:val="left" w:leader="none"/>
          <w:tab w:pos="2946" w:val="left" w:leader="none"/>
        </w:tabs>
        <w:spacing w:line="358" w:lineRule="exact" w:before="6" w:after="0"/>
        <w:ind w:left="2919" w:right="0" w:hanging="720"/>
        <w:jc w:val="left"/>
        <w:rPr>
          <w:sz w:val="21"/>
        </w:rPr>
      </w:pPr>
      <w:r>
        <w:rPr>
          <w:spacing w:val="-3"/>
          <w:w w:val="100"/>
          <w:sz w:val="21"/>
        </w:rPr>
        <w:t>一肢或一肢以上</w:t>
      </w:r>
      <w:r>
        <w:rPr>
          <w:rFonts w:ascii="Microsoft JhengHei" w:eastAsia="Microsoft JhengHei" w:hint="eastAsia"/>
          <w:b/>
          <w:w w:val="100"/>
          <w:sz w:val="21"/>
        </w:rPr>
        <w:t>肢体机能完全丧失</w:t>
      </w:r>
      <w:r>
        <w:rPr>
          <w:w w:val="100"/>
          <w:position w:val="11"/>
          <w:sz w:val="11"/>
        </w:rPr>
        <w:t>（19</w:t>
      </w:r>
      <w:r>
        <w:rPr>
          <w:spacing w:val="-58"/>
          <w:w w:val="100"/>
          <w:position w:val="11"/>
          <w:sz w:val="11"/>
        </w:rPr>
        <w:t>）</w:t>
      </w:r>
      <w:r>
        <w:rPr>
          <w:w w:val="100"/>
          <w:sz w:val="21"/>
        </w:rPr>
        <w:t>；</w:t>
      </w:r>
    </w:p>
    <w:p>
      <w:pPr>
        <w:pStyle w:val="ListParagraph"/>
        <w:numPr>
          <w:ilvl w:val="0"/>
          <w:numId w:val="4"/>
        </w:numPr>
        <w:tabs>
          <w:tab w:pos="2945" w:val="left" w:leader="none"/>
          <w:tab w:pos="2946" w:val="left" w:leader="none"/>
        </w:tabs>
        <w:spacing w:line="350" w:lineRule="exact" w:before="0" w:after="0"/>
        <w:ind w:left="2919" w:right="0" w:hanging="720"/>
        <w:jc w:val="left"/>
        <w:rPr>
          <w:sz w:val="21"/>
        </w:rPr>
      </w:pPr>
      <w:r>
        <w:rPr>
          <w:rFonts w:ascii="Microsoft JhengHei" w:eastAsia="Microsoft JhengHei" w:hint="eastAsia"/>
          <w:b/>
          <w:spacing w:val="-1"/>
          <w:w w:val="100"/>
          <w:sz w:val="21"/>
        </w:rPr>
        <w:t>语言能力或咀嚼吞咽能力完全丧失</w:t>
      </w:r>
      <w:r>
        <w:rPr>
          <w:w w:val="100"/>
          <w:position w:val="11"/>
          <w:sz w:val="11"/>
        </w:rPr>
        <w:t>（20</w:t>
      </w:r>
      <w:r>
        <w:rPr>
          <w:spacing w:val="-58"/>
          <w:w w:val="100"/>
          <w:position w:val="11"/>
          <w:sz w:val="11"/>
        </w:rPr>
        <w:t>）</w:t>
      </w:r>
      <w:r>
        <w:rPr>
          <w:w w:val="100"/>
          <w:sz w:val="21"/>
        </w:rPr>
        <w:t>；</w:t>
      </w:r>
    </w:p>
    <w:p>
      <w:pPr>
        <w:pStyle w:val="ListParagraph"/>
        <w:numPr>
          <w:ilvl w:val="0"/>
          <w:numId w:val="4"/>
        </w:numPr>
        <w:tabs>
          <w:tab w:pos="2950" w:val="left" w:leader="none"/>
          <w:tab w:pos="2951" w:val="left" w:leader="none"/>
        </w:tabs>
        <w:spacing w:line="220" w:lineRule="auto" w:before="22" w:after="0"/>
        <w:ind w:left="2919" w:right="311" w:hanging="720"/>
        <w:jc w:val="left"/>
        <w:rPr>
          <w:rFonts w:ascii="Microsoft JhengHei" w:eastAsia="Microsoft JhengHei" w:hint="eastAsia"/>
          <w:sz w:val="21"/>
        </w:rPr>
      </w:pPr>
      <w:r>
        <w:rPr>
          <w:spacing w:val="-3"/>
          <w:sz w:val="21"/>
        </w:rPr>
        <w:t>自主生活能力完全丧失，无法独立完成</w:t>
      </w:r>
      <w:r>
        <w:rPr>
          <w:rFonts w:ascii="Microsoft JhengHei" w:eastAsia="Microsoft JhengHei" w:hint="eastAsia"/>
          <w:b/>
          <w:spacing w:val="-2"/>
          <w:sz w:val="21"/>
        </w:rPr>
        <w:t>六项基本日常生活活动</w:t>
      </w:r>
      <w:r>
        <w:rPr>
          <w:position w:val="11"/>
          <w:sz w:val="11"/>
        </w:rPr>
        <w:t>（21）</w:t>
      </w:r>
      <w:r>
        <w:rPr>
          <w:spacing w:val="-2"/>
          <w:sz w:val="21"/>
        </w:rPr>
        <w:t>中的三</w:t>
      </w:r>
      <w:r>
        <w:rPr>
          <w:spacing w:val="-3"/>
          <w:sz w:val="21"/>
        </w:rPr>
        <w:t>项或三项以上。</w:t>
      </w:r>
    </w:p>
    <w:p>
      <w:pPr>
        <w:pStyle w:val="BodyText"/>
        <w:spacing w:before="2"/>
        <w:ind w:left="0"/>
        <w:rPr>
          <w:sz w:val="19"/>
        </w:rPr>
      </w:pPr>
    </w:p>
    <w:p>
      <w:pPr>
        <w:pStyle w:val="Heading3"/>
      </w:pPr>
      <w:r>
        <w:rPr>
          <w:rFonts w:ascii="Arial" w:eastAsia="Arial"/>
        </w:rPr>
        <w:t>4.</w:t>
      </w:r>
      <w:r>
        <w:rPr/>
        <w:t>重大器官移植术或造血干细胞移植术</w:t>
      </w:r>
    </w:p>
    <w:p>
      <w:pPr>
        <w:pStyle w:val="BodyText"/>
        <w:spacing w:before="48"/>
        <w:ind w:right="225"/>
      </w:pPr>
      <w:r>
        <w:rPr>
          <w:spacing w:val="-9"/>
        </w:rPr>
        <w:t>重大器官移植术，指因相应器官功能衰竭，已经实施了肾脏、肝脏、心脏或肺脏的</w:t>
      </w:r>
      <w:r>
        <w:rPr>
          <w:spacing w:val="-5"/>
        </w:rPr>
        <w:t>异体移植手术。</w:t>
      </w:r>
    </w:p>
    <w:p>
      <w:pPr>
        <w:pStyle w:val="BodyText"/>
        <w:spacing w:before="75"/>
        <w:ind w:right="119"/>
      </w:pPr>
      <w:r>
        <w:rPr>
          <w:spacing w:val="-10"/>
        </w:rPr>
        <w:t>造血干细胞移植术，指因造血功能损害或造血系统恶性肿瘤，已经实施了造血干细 </w:t>
      </w:r>
      <w:r>
        <w:rPr>
          <w:spacing w:val="-65"/>
        </w:rPr>
        <w:t>胞</w:t>
      </w:r>
      <w:r>
        <w:rPr/>
        <w:t>（</w:t>
      </w:r>
      <w:r>
        <w:rPr>
          <w:spacing w:val="-10"/>
        </w:rPr>
        <w:t>包括骨髓造血干细胞、外周血造血干细胞和脐血造血干细胞</w:t>
      </w:r>
      <w:r>
        <w:rPr>
          <w:spacing w:val="-65"/>
        </w:rPr>
        <w:t>）</w:t>
      </w:r>
      <w:r>
        <w:rPr>
          <w:spacing w:val="-3"/>
        </w:rPr>
        <w:t>的异体移植手术。</w:t>
      </w:r>
    </w:p>
    <w:p>
      <w:pPr>
        <w:pStyle w:val="BodyText"/>
        <w:ind w:left="0"/>
        <w:rPr>
          <w:sz w:val="19"/>
        </w:rPr>
      </w:pPr>
    </w:p>
    <w:p>
      <w:pPr>
        <w:pStyle w:val="Heading3"/>
      </w:pPr>
      <w:r>
        <w:rPr>
          <w:rFonts w:ascii="Arial" w:eastAsia="Arial"/>
        </w:rPr>
        <w:t>5.</w:t>
      </w:r>
      <w:r>
        <w:rPr/>
        <w:t>冠状动脉搭桥术（或称冠状动脉旁路移植术）</w:t>
      </w:r>
    </w:p>
    <w:p>
      <w:pPr>
        <w:spacing w:line="184" w:lineRule="auto" w:before="114"/>
        <w:ind w:left="2199" w:right="225" w:firstLine="0"/>
        <w:jc w:val="left"/>
        <w:rPr>
          <w:rFonts w:ascii="Microsoft JhengHei" w:eastAsia="Microsoft JhengHei" w:hint="eastAsia"/>
          <w:b/>
          <w:sz w:val="21"/>
        </w:rPr>
      </w:pPr>
      <w:r>
        <w:rPr>
          <w:spacing w:val="-3"/>
          <w:sz w:val="21"/>
        </w:rPr>
        <w:t>指为治疗严重的冠心病，实际实施了开胸进行的冠状动脉血管旁路移植的手术。</w:t>
      </w:r>
      <w:r>
        <w:rPr>
          <w:rFonts w:ascii="Microsoft JhengHei" w:eastAsia="Microsoft JhengHei" w:hint="eastAsia"/>
          <w:b/>
          <w:spacing w:val="-3"/>
          <w:sz w:val="21"/>
        </w:rPr>
        <w:t>冠状动脉支架植入术、心导管球囊扩张术、激光射频技术及其它非开胸的介入手术、腔镜手术不在保障范围内。</w:t>
      </w:r>
    </w:p>
    <w:p>
      <w:pPr>
        <w:pStyle w:val="Heading3"/>
        <w:spacing w:before="150"/>
      </w:pPr>
      <w:r>
        <w:rPr>
          <w:rFonts w:ascii="Arial" w:eastAsia="Arial"/>
        </w:rPr>
        <w:t>6.</w:t>
      </w:r>
      <w:r>
        <w:rPr/>
        <w:t>终末期肾病（或称慢性肾功能衰竭尿毒症期）</w:t>
      </w:r>
    </w:p>
    <w:p>
      <w:pPr>
        <w:spacing w:after="0"/>
        <w:sectPr>
          <w:pgSz w:w="11900" w:h="16840"/>
          <w:pgMar w:header="892" w:footer="514" w:top="1080" w:bottom="700" w:left="1000" w:right="1000"/>
        </w:sectPr>
      </w:pPr>
    </w:p>
    <w:p>
      <w:pPr>
        <w:pStyle w:val="BodyText"/>
        <w:spacing w:before="2"/>
        <w:ind w:left="0"/>
        <w:rPr>
          <w:rFonts w:ascii="Microsoft JhengHei"/>
          <w:b/>
          <w:sz w:val="14"/>
        </w:rPr>
      </w:pPr>
    </w:p>
    <w:p>
      <w:pPr>
        <w:pStyle w:val="BodyText"/>
        <w:spacing w:line="225" w:lineRule="auto" w:before="64"/>
        <w:ind w:right="152"/>
      </w:pPr>
      <w:r>
        <w:rPr/>
        <w:t>指双肾功能慢性不可逆性衰竭，达到尿毒症期，经诊断后已经进行了至少 </w:t>
      </w:r>
      <w:r>
        <w:rPr>
          <w:rFonts w:ascii="Arial" w:eastAsia="Arial"/>
        </w:rPr>
        <w:t>90 </w:t>
      </w:r>
      <w:r>
        <w:rPr/>
        <w:t>天的规律性透析治疗或实施了肾脏移植手术。</w:t>
      </w:r>
    </w:p>
    <w:p>
      <w:pPr>
        <w:pStyle w:val="Heading3"/>
        <w:spacing w:line="353" w:lineRule="exact" w:before="172"/>
      </w:pPr>
      <w:r>
        <w:rPr>
          <w:rFonts w:ascii="Arial" w:eastAsia="Arial"/>
        </w:rPr>
        <w:t>7.</w:t>
      </w:r>
      <w:r>
        <w:rPr/>
        <w:t>多个肢体缺失</w:t>
      </w:r>
    </w:p>
    <w:p>
      <w:pPr>
        <w:pStyle w:val="BodyText"/>
        <w:spacing w:line="237" w:lineRule="auto"/>
        <w:ind w:right="225"/>
      </w:pPr>
      <w:r>
        <w:rPr/>
        <w:t>指因疾病或意外伤害导致两个或两个以上肢体自腕关节或踝关节近端（靠近躯干端）以上完全性断离。</w:t>
      </w:r>
    </w:p>
    <w:p>
      <w:pPr>
        <w:pStyle w:val="BodyText"/>
        <w:spacing w:before="11"/>
        <w:ind w:left="0"/>
        <w:rPr>
          <w:sz w:val="13"/>
        </w:rPr>
      </w:pPr>
    </w:p>
    <w:p>
      <w:pPr>
        <w:pStyle w:val="Heading3"/>
      </w:pPr>
      <w:r>
        <w:rPr>
          <w:rFonts w:ascii="Arial" w:eastAsia="Arial"/>
        </w:rPr>
        <w:t>8.</w:t>
      </w:r>
      <w:r>
        <w:rPr/>
        <w:t>急性或亚急性重症肝炎</w:t>
      </w:r>
    </w:p>
    <w:p>
      <w:pPr>
        <w:pStyle w:val="BodyText"/>
        <w:spacing w:before="51"/>
        <w:ind w:right="222" w:hanging="1"/>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0"/>
          <w:numId w:val="5"/>
        </w:numPr>
        <w:tabs>
          <w:tab w:pos="2945" w:val="left" w:leader="none"/>
          <w:tab w:pos="2946" w:val="left" w:leader="none"/>
        </w:tabs>
        <w:spacing w:line="240" w:lineRule="auto" w:before="73" w:after="0"/>
        <w:ind w:left="2945" w:right="0" w:hanging="746"/>
        <w:jc w:val="left"/>
        <w:rPr>
          <w:sz w:val="21"/>
        </w:rPr>
      </w:pPr>
      <w:r>
        <w:rPr>
          <w:spacing w:val="-3"/>
          <w:sz w:val="21"/>
        </w:rPr>
        <w:t>重度黄疸或黄疸迅速加重；</w:t>
      </w:r>
    </w:p>
    <w:p>
      <w:pPr>
        <w:pStyle w:val="ListParagraph"/>
        <w:numPr>
          <w:ilvl w:val="0"/>
          <w:numId w:val="5"/>
        </w:numPr>
        <w:tabs>
          <w:tab w:pos="2945" w:val="left" w:leader="none"/>
          <w:tab w:pos="2946" w:val="left" w:leader="none"/>
        </w:tabs>
        <w:spacing w:line="240" w:lineRule="auto" w:before="60" w:after="0"/>
        <w:ind w:left="2945" w:right="0" w:hanging="746"/>
        <w:jc w:val="left"/>
        <w:rPr>
          <w:sz w:val="21"/>
        </w:rPr>
      </w:pPr>
      <w:r>
        <w:rPr>
          <w:spacing w:val="-1"/>
          <w:sz w:val="21"/>
        </w:rPr>
        <w:t>肝性脑病；</w:t>
      </w:r>
    </w:p>
    <w:p>
      <w:pPr>
        <w:pStyle w:val="ListParagraph"/>
        <w:numPr>
          <w:ilvl w:val="0"/>
          <w:numId w:val="5"/>
        </w:numPr>
        <w:tabs>
          <w:tab w:pos="2945" w:val="left" w:leader="none"/>
          <w:tab w:pos="2946" w:val="left" w:leader="none"/>
        </w:tabs>
        <w:spacing w:line="240" w:lineRule="auto" w:before="60" w:after="0"/>
        <w:ind w:left="2945" w:right="0" w:hanging="746"/>
        <w:jc w:val="left"/>
        <w:rPr>
          <w:sz w:val="21"/>
        </w:rPr>
      </w:pPr>
      <w:r>
        <w:rPr>
          <w:rFonts w:ascii="Arial" w:eastAsia="Arial"/>
          <w:sz w:val="21"/>
        </w:rPr>
        <w:t>B</w:t>
      </w:r>
      <w:r>
        <w:rPr>
          <w:rFonts w:ascii="Arial" w:eastAsia="Arial"/>
          <w:spacing w:val="16"/>
          <w:sz w:val="21"/>
        </w:rPr>
        <w:t> </w:t>
      </w:r>
      <w:r>
        <w:rPr>
          <w:spacing w:val="-3"/>
          <w:sz w:val="21"/>
        </w:rPr>
        <w:t>超或其它影像学检查显示肝脏体积急速萎缩；</w:t>
      </w:r>
    </w:p>
    <w:p>
      <w:pPr>
        <w:pStyle w:val="ListParagraph"/>
        <w:numPr>
          <w:ilvl w:val="0"/>
          <w:numId w:val="5"/>
        </w:numPr>
        <w:tabs>
          <w:tab w:pos="2945" w:val="left" w:leader="none"/>
          <w:tab w:pos="2946" w:val="left" w:leader="none"/>
        </w:tabs>
        <w:spacing w:line="240" w:lineRule="auto" w:before="60" w:after="0"/>
        <w:ind w:left="2945" w:right="0" w:hanging="746"/>
        <w:jc w:val="left"/>
        <w:rPr>
          <w:sz w:val="21"/>
        </w:rPr>
      </w:pPr>
      <w:r>
        <w:rPr>
          <w:spacing w:val="-3"/>
          <w:sz w:val="21"/>
        </w:rPr>
        <w:t>肝功能指标进行性恶化。</w:t>
      </w:r>
    </w:p>
    <w:p>
      <w:pPr>
        <w:pStyle w:val="Heading3"/>
        <w:spacing w:before="159"/>
      </w:pPr>
      <w:r>
        <w:rPr>
          <w:rFonts w:ascii="Arial" w:eastAsia="Arial"/>
        </w:rPr>
        <w:t>9.</w:t>
      </w:r>
      <w:r>
        <w:rPr/>
        <w:t>良性脑肿瘤</w:t>
      </w:r>
    </w:p>
    <w:p>
      <w:pPr>
        <w:pStyle w:val="BodyText"/>
        <w:spacing w:before="49"/>
        <w:ind w:right="134"/>
      </w:pPr>
      <w:r>
        <w:rPr>
          <w:spacing w:val="-3"/>
        </w:rPr>
        <w:t>指脑的良性肿瘤，已经引起颅内压增高，临床表现为视神经乳头水肿、精神症状、</w:t>
      </w:r>
      <w:r>
        <w:rPr>
          <w:spacing w:val="-3"/>
          <w:w w:val="100"/>
        </w:rPr>
        <w:t>癫痫及运动感觉障碍等，并危及生命。须由头颅断层扫描（</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ind w:right="164"/>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6"/>
        </w:numPr>
        <w:tabs>
          <w:tab w:pos="2945" w:val="left" w:leader="none"/>
          <w:tab w:pos="2946" w:val="left" w:leader="none"/>
        </w:tabs>
        <w:spacing w:line="240" w:lineRule="auto" w:before="75" w:after="0"/>
        <w:ind w:left="2945" w:right="0" w:hanging="746"/>
        <w:jc w:val="left"/>
        <w:rPr>
          <w:sz w:val="21"/>
        </w:rPr>
      </w:pPr>
      <w:r>
        <w:rPr>
          <w:spacing w:val="-3"/>
          <w:sz w:val="21"/>
        </w:rPr>
        <w:t>实际实施了开颅进行的脑肿瘤完全切除或部分切除的手术；</w:t>
      </w:r>
    </w:p>
    <w:p>
      <w:pPr>
        <w:pStyle w:val="ListParagraph"/>
        <w:numPr>
          <w:ilvl w:val="0"/>
          <w:numId w:val="6"/>
        </w:numPr>
        <w:tabs>
          <w:tab w:pos="2945" w:val="left" w:leader="none"/>
          <w:tab w:pos="2946" w:val="left" w:leader="none"/>
        </w:tabs>
        <w:spacing w:line="248" w:lineRule="exact" w:before="61" w:after="0"/>
        <w:ind w:left="2945" w:right="0" w:hanging="746"/>
        <w:jc w:val="left"/>
        <w:rPr>
          <w:sz w:val="21"/>
        </w:rPr>
      </w:pPr>
      <w:r>
        <w:rPr>
          <w:spacing w:val="-3"/>
          <w:sz w:val="21"/>
        </w:rPr>
        <w:t>实际实施了对脑肿瘤进行的放射治疗。</w:t>
      </w:r>
    </w:p>
    <w:p>
      <w:pPr>
        <w:pStyle w:val="Heading3"/>
        <w:spacing w:line="324" w:lineRule="exact"/>
      </w:pPr>
      <w:r>
        <w:rPr/>
        <w:t>脑垂体瘤、脑囊肿、脑血管性疾病不在保障范围内。</w:t>
      </w:r>
    </w:p>
    <w:p>
      <w:pPr>
        <w:spacing w:before="148"/>
        <w:ind w:left="2199"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49"/>
      </w:pPr>
      <w:r>
        <w:rPr/>
        <w:t>指因慢性肝脏疾病导致肝功能衰竭。须满足下列全部条件：</w:t>
      </w:r>
    </w:p>
    <w:p>
      <w:pPr>
        <w:pStyle w:val="ListParagraph"/>
        <w:numPr>
          <w:ilvl w:val="0"/>
          <w:numId w:val="7"/>
        </w:numPr>
        <w:tabs>
          <w:tab w:pos="2945" w:val="left" w:leader="none"/>
          <w:tab w:pos="2946" w:val="left" w:leader="none"/>
        </w:tabs>
        <w:spacing w:line="240" w:lineRule="auto" w:before="75" w:after="0"/>
        <w:ind w:left="2945" w:right="0" w:hanging="746"/>
        <w:jc w:val="left"/>
        <w:rPr>
          <w:sz w:val="21"/>
        </w:rPr>
      </w:pPr>
      <w:r>
        <w:rPr>
          <w:spacing w:val="-2"/>
          <w:sz w:val="21"/>
        </w:rPr>
        <w:t>持续性黄疸；</w:t>
      </w:r>
    </w:p>
    <w:p>
      <w:pPr>
        <w:pStyle w:val="ListParagraph"/>
        <w:numPr>
          <w:ilvl w:val="0"/>
          <w:numId w:val="7"/>
        </w:numPr>
        <w:tabs>
          <w:tab w:pos="2945" w:val="left" w:leader="none"/>
          <w:tab w:pos="2946" w:val="left" w:leader="none"/>
        </w:tabs>
        <w:spacing w:line="240" w:lineRule="auto" w:before="60" w:after="0"/>
        <w:ind w:left="2945" w:right="0" w:hanging="746"/>
        <w:jc w:val="left"/>
        <w:rPr>
          <w:sz w:val="21"/>
        </w:rPr>
      </w:pPr>
      <w:r>
        <w:rPr>
          <w:sz w:val="21"/>
        </w:rPr>
        <w:t>腹水；</w:t>
      </w:r>
    </w:p>
    <w:p>
      <w:pPr>
        <w:pStyle w:val="ListParagraph"/>
        <w:numPr>
          <w:ilvl w:val="0"/>
          <w:numId w:val="7"/>
        </w:numPr>
        <w:tabs>
          <w:tab w:pos="2945" w:val="left" w:leader="none"/>
          <w:tab w:pos="2946" w:val="left" w:leader="none"/>
        </w:tabs>
        <w:spacing w:line="240" w:lineRule="auto" w:before="60" w:after="0"/>
        <w:ind w:left="2945" w:right="0" w:hanging="746"/>
        <w:jc w:val="left"/>
        <w:rPr>
          <w:sz w:val="21"/>
        </w:rPr>
      </w:pPr>
      <w:r>
        <w:rPr>
          <w:spacing w:val="-1"/>
          <w:sz w:val="21"/>
        </w:rPr>
        <w:t>肝性脑病；</w:t>
      </w:r>
    </w:p>
    <w:p>
      <w:pPr>
        <w:pStyle w:val="ListParagraph"/>
        <w:numPr>
          <w:ilvl w:val="0"/>
          <w:numId w:val="7"/>
        </w:numPr>
        <w:tabs>
          <w:tab w:pos="2945" w:val="left" w:leader="none"/>
          <w:tab w:pos="2946" w:val="left" w:leader="none"/>
        </w:tabs>
        <w:spacing w:line="248" w:lineRule="exact" w:before="60" w:after="0"/>
        <w:ind w:left="2945" w:right="0" w:hanging="746"/>
        <w:jc w:val="left"/>
        <w:rPr>
          <w:sz w:val="21"/>
        </w:rPr>
      </w:pPr>
      <w:r>
        <w:rPr>
          <w:spacing w:val="-3"/>
          <w:sz w:val="21"/>
        </w:rPr>
        <w:t>充血性脾肿大伴脾功能亢进或食管胃底静脉曲张。</w:t>
      </w:r>
    </w:p>
    <w:p>
      <w:pPr>
        <w:pStyle w:val="Heading3"/>
        <w:spacing w:line="324" w:lineRule="exact"/>
      </w:pPr>
      <w:r>
        <w:rPr/>
        <w:t>因酗酒或药物滥用导致的肝功能衰竭不在保障范围内。</w:t>
      </w:r>
    </w:p>
    <w:p>
      <w:pPr>
        <w:spacing w:before="148"/>
        <w:ind w:left="2199"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before="51"/>
        <w:ind w:right="222"/>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8"/>
        </w:numPr>
        <w:tabs>
          <w:tab w:pos="2945" w:val="left" w:leader="none"/>
          <w:tab w:pos="2946" w:val="left" w:leader="none"/>
        </w:tabs>
        <w:spacing w:line="240" w:lineRule="auto" w:before="58" w:after="0"/>
        <w:ind w:left="2933" w:right="0" w:hanging="734"/>
        <w:jc w:val="left"/>
        <w:rPr>
          <w:sz w:val="21"/>
        </w:rPr>
      </w:pPr>
      <w:r>
        <w:rPr>
          <w:spacing w:val="-3"/>
          <w:sz w:val="21"/>
        </w:rPr>
        <w:t>一肢或一肢以上肢体机能完全丧失；</w:t>
      </w:r>
    </w:p>
    <w:p>
      <w:pPr>
        <w:pStyle w:val="ListParagraph"/>
        <w:numPr>
          <w:ilvl w:val="0"/>
          <w:numId w:val="8"/>
        </w:numPr>
        <w:tabs>
          <w:tab w:pos="2945" w:val="left" w:leader="none"/>
          <w:tab w:pos="2946" w:val="left" w:leader="none"/>
        </w:tabs>
        <w:spacing w:line="282" w:lineRule="exact" w:before="60" w:after="0"/>
        <w:ind w:left="2933" w:right="0" w:hanging="734"/>
        <w:jc w:val="left"/>
        <w:rPr>
          <w:sz w:val="21"/>
        </w:rPr>
      </w:pPr>
      <w:r>
        <w:rPr>
          <w:spacing w:val="-3"/>
          <w:sz w:val="21"/>
        </w:rPr>
        <w:t>语言能力或咀嚼吞咽能力完全丧失；</w:t>
      </w:r>
    </w:p>
    <w:p>
      <w:pPr>
        <w:pStyle w:val="ListParagraph"/>
        <w:numPr>
          <w:ilvl w:val="0"/>
          <w:numId w:val="8"/>
        </w:numPr>
        <w:tabs>
          <w:tab w:pos="2947" w:val="left" w:leader="none"/>
          <w:tab w:pos="2948" w:val="left" w:leader="none"/>
        </w:tabs>
        <w:spacing w:line="225" w:lineRule="auto" w:before="8" w:after="0"/>
        <w:ind w:left="2933" w:right="225" w:hanging="734"/>
        <w:jc w:val="left"/>
        <w:rPr>
          <w:sz w:val="21"/>
        </w:rPr>
      </w:pPr>
      <w:r>
        <w:rPr>
          <w:spacing w:val="-3"/>
          <w:sz w:val="21"/>
        </w:rPr>
        <w:t>自主生活能力完全丧失，无法独立完成六项基本日常生活活动中的三项或三项以上。</w:t>
      </w:r>
    </w:p>
    <w:p>
      <w:pPr>
        <w:pStyle w:val="Heading3"/>
        <w:spacing w:line="352" w:lineRule="exact" w:before="171"/>
      </w:pPr>
      <w:r>
        <w:rPr>
          <w:rFonts w:ascii="Arial" w:eastAsia="Arial"/>
        </w:rPr>
        <w:t>12.</w:t>
      </w:r>
      <w:r>
        <w:rPr/>
        <w:t>深度昏迷</w:t>
      </w:r>
    </w:p>
    <w:p>
      <w:pPr>
        <w:pStyle w:val="BodyText"/>
        <w:spacing w:line="225" w:lineRule="auto" w:before="3"/>
        <w:ind w:right="223"/>
        <w:jc w:val="both"/>
      </w:pPr>
      <w:r>
        <w:rPr>
          <w:spacing w:val="-3"/>
        </w:rPr>
        <w:t>指因疾病或意外伤害导致意识丧失</w:t>
      </w:r>
      <w:r>
        <w:rPr>
          <w:rFonts w:ascii="Arial" w:eastAsia="Arial"/>
        </w:rPr>
        <w:t>,</w:t>
      </w:r>
      <w:r>
        <w:rPr>
          <w:spacing w:val="-3"/>
        </w:rPr>
        <w:t>对外界刺激和体内需求均无反应</w:t>
      </w:r>
      <w:r>
        <w:rPr>
          <w:rFonts w:ascii="Arial" w:eastAsia="Arial"/>
        </w:rPr>
        <w:t>,</w:t>
      </w:r>
      <w:r>
        <w:rPr>
          <w:spacing w:val="-3"/>
        </w:rPr>
        <w:t>昏迷程度按照格拉斯哥昏迷分级</w:t>
      </w:r>
      <w:r>
        <w:rPr/>
        <w:t>（</w:t>
      </w:r>
      <w:r>
        <w:rPr>
          <w:rFonts w:ascii="Arial" w:eastAsia="Arial"/>
        </w:rPr>
        <w:t>Glasgow coma scale</w:t>
      </w:r>
      <w:r>
        <w:rPr/>
        <w:t>）</w:t>
      </w:r>
      <w:r>
        <w:rPr>
          <w:spacing w:val="-15"/>
        </w:rPr>
        <w:t>结果为 </w:t>
      </w:r>
      <w:r>
        <w:rPr>
          <w:rFonts w:ascii="Arial" w:eastAsia="Arial"/>
        </w:rPr>
        <w:t>5 </w:t>
      </w:r>
      <w:r>
        <w:rPr>
          <w:spacing w:val="-19"/>
        </w:rPr>
        <w:t>分或 </w:t>
      </w:r>
      <w:r>
        <w:rPr>
          <w:rFonts w:ascii="Arial" w:eastAsia="Arial"/>
        </w:rPr>
        <w:t>5 </w:t>
      </w:r>
      <w:r>
        <w:rPr>
          <w:spacing w:val="-3"/>
        </w:rPr>
        <w:t>分以下，且已经持续</w:t>
      </w:r>
      <w:r>
        <w:rPr>
          <w:spacing w:val="-6"/>
        </w:rPr>
        <w:t>使用呼吸机及其它生命维持系统 </w:t>
      </w:r>
      <w:r>
        <w:rPr>
          <w:rFonts w:ascii="Arial" w:eastAsia="Arial"/>
        </w:rPr>
        <w:t>96 </w:t>
      </w:r>
      <w:r>
        <w:rPr>
          <w:spacing w:val="-3"/>
        </w:rPr>
        <w:t>小时以上。</w:t>
      </w:r>
    </w:p>
    <w:p>
      <w:pPr>
        <w:pStyle w:val="Heading3"/>
        <w:spacing w:before="72"/>
      </w:pPr>
      <w:r>
        <w:rPr/>
        <w:t>因酗酒或药物滥用导致的深度昏迷不在保障范围内。</w:t>
      </w:r>
    </w:p>
    <w:p>
      <w:pPr>
        <w:spacing w:line="318" w:lineRule="exact" w:before="147"/>
        <w:ind w:left="2199"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spacing w:line="306" w:lineRule="exact" w:before="0"/>
        <w:ind w:left="2199" w:right="0" w:firstLine="0"/>
        <w:jc w:val="left"/>
        <w:rPr>
          <w:sz w:val="21"/>
        </w:rPr>
      </w:pPr>
      <w:r>
        <w:rPr>
          <w:sz w:val="21"/>
        </w:rPr>
        <w:t>指因疾病或意外伤害导致双耳听力</w:t>
      </w:r>
      <w:r>
        <w:rPr>
          <w:rFonts w:ascii="Microsoft JhengHei" w:eastAsia="Microsoft JhengHei" w:hint="eastAsia"/>
          <w:b/>
          <w:sz w:val="21"/>
        </w:rPr>
        <w:t>永久不可逆</w:t>
      </w:r>
      <w:r>
        <w:rPr>
          <w:position w:val="11"/>
          <w:sz w:val="11"/>
        </w:rPr>
        <w:t>（22）</w:t>
      </w:r>
      <w:r>
        <w:rPr>
          <w:sz w:val="21"/>
        </w:rPr>
        <w:t>性丧失，在 </w:t>
      </w:r>
      <w:r>
        <w:rPr>
          <w:rFonts w:ascii="Arial" w:eastAsia="Arial"/>
          <w:sz w:val="21"/>
        </w:rPr>
        <w:t>500 </w:t>
      </w:r>
      <w:r>
        <w:rPr>
          <w:sz w:val="21"/>
        </w:rPr>
        <w:t>赫兹、</w:t>
      </w:r>
      <w:r>
        <w:rPr>
          <w:rFonts w:ascii="Arial" w:eastAsia="Arial"/>
          <w:sz w:val="21"/>
        </w:rPr>
        <w:t>1000 </w:t>
      </w:r>
      <w:r>
        <w:rPr>
          <w:sz w:val="21"/>
        </w:rPr>
        <w:t>赫</w:t>
      </w:r>
    </w:p>
    <w:p>
      <w:pPr>
        <w:pStyle w:val="BodyText"/>
        <w:spacing w:line="277" w:lineRule="exact"/>
      </w:pPr>
      <w:r>
        <w:rPr/>
        <w:t>兹和 </w:t>
      </w:r>
      <w:r>
        <w:rPr>
          <w:rFonts w:ascii="Arial" w:eastAsia="Arial"/>
        </w:rPr>
        <w:t>2000 </w:t>
      </w:r>
      <w:r>
        <w:rPr/>
        <w:t>赫兹语音频率下，平均听阈大于 </w:t>
      </w:r>
      <w:r>
        <w:rPr>
          <w:rFonts w:ascii="Arial" w:eastAsia="Arial"/>
        </w:rPr>
        <w:t>90 </w:t>
      </w:r>
      <w:r>
        <w:rPr/>
        <w:t>分贝，且经纯音听力测试、声导抗</w:t>
      </w:r>
    </w:p>
    <w:p>
      <w:pPr>
        <w:spacing w:after="0" w:line="277" w:lineRule="exact"/>
        <w:sectPr>
          <w:footerReference w:type="default" r:id="rId8"/>
          <w:pgSz w:w="11900" w:h="16840"/>
          <w:pgMar w:footer="549" w:header="892" w:top="1080" w:bottom="740" w:left="1000" w:right="1000"/>
          <w:pgNumType w:start="10"/>
        </w:sectPr>
      </w:pPr>
    </w:p>
    <w:p>
      <w:pPr>
        <w:pStyle w:val="BodyText"/>
        <w:spacing w:before="7"/>
        <w:ind w:left="0"/>
        <w:rPr>
          <w:sz w:val="19"/>
        </w:rPr>
      </w:pPr>
    </w:p>
    <w:p>
      <w:pPr>
        <w:pStyle w:val="BodyText"/>
        <w:spacing w:before="36"/>
      </w:pPr>
      <w:r>
        <w:rPr/>
        <w:t>检测或听觉诱发电位检测等证实。</w:t>
      </w:r>
    </w:p>
    <w:p>
      <w:pPr>
        <w:pStyle w:val="Heading3"/>
        <w:spacing w:before="171"/>
      </w:pPr>
      <w:r>
        <w:rPr>
          <w:rFonts w:ascii="Arial" w:eastAsia="Arial"/>
        </w:rPr>
        <w:t>14.</w:t>
      </w:r>
      <w:r>
        <w:rPr/>
        <w:t>双目失明</w:t>
      </w:r>
    </w:p>
    <w:p>
      <w:pPr>
        <w:pStyle w:val="BodyText"/>
        <w:spacing w:before="49"/>
        <w:ind w:right="222"/>
      </w:pPr>
      <w:r>
        <w:rPr>
          <w:spacing w:val="-7"/>
        </w:rPr>
        <w:t>指因疾病或意外伤害导致双眼视力永久不可逆性丧失，双眼中较好眼须满足下列至</w:t>
      </w:r>
      <w:r>
        <w:rPr>
          <w:spacing w:val="-5"/>
        </w:rPr>
        <w:t>少一项条件：</w:t>
      </w:r>
    </w:p>
    <w:p>
      <w:pPr>
        <w:pStyle w:val="ListParagraph"/>
        <w:numPr>
          <w:ilvl w:val="0"/>
          <w:numId w:val="9"/>
        </w:numPr>
        <w:tabs>
          <w:tab w:pos="2945" w:val="left" w:leader="none"/>
          <w:tab w:pos="2946" w:val="left" w:leader="none"/>
        </w:tabs>
        <w:spacing w:line="240" w:lineRule="auto" w:before="75" w:after="0"/>
        <w:ind w:left="2919" w:right="0" w:hanging="720"/>
        <w:jc w:val="left"/>
        <w:rPr>
          <w:sz w:val="21"/>
        </w:rPr>
      </w:pPr>
      <w:r>
        <w:rPr>
          <w:spacing w:val="-3"/>
          <w:sz w:val="21"/>
        </w:rPr>
        <w:t>眼球缺失或摘除；</w:t>
      </w:r>
    </w:p>
    <w:p>
      <w:pPr>
        <w:pStyle w:val="ListParagraph"/>
        <w:numPr>
          <w:ilvl w:val="0"/>
          <w:numId w:val="9"/>
        </w:numPr>
        <w:tabs>
          <w:tab w:pos="2934" w:val="left" w:leader="none"/>
        </w:tabs>
        <w:spacing w:line="225" w:lineRule="auto" w:before="77" w:after="0"/>
        <w:ind w:left="2919" w:right="222" w:hanging="720"/>
        <w:jc w:val="left"/>
        <w:rPr>
          <w:sz w:val="21"/>
        </w:rPr>
      </w:pPr>
      <w:r>
        <w:rPr>
          <w:spacing w:val="-6"/>
          <w:sz w:val="21"/>
        </w:rPr>
        <w:t>矫正视力低于 </w:t>
      </w:r>
      <w:r>
        <w:rPr>
          <w:rFonts w:ascii="Arial" w:eastAsia="Arial"/>
          <w:spacing w:val="-4"/>
          <w:sz w:val="21"/>
        </w:rPr>
        <w:t>0.02</w:t>
      </w:r>
      <w:r>
        <w:rPr>
          <w:spacing w:val="-4"/>
          <w:sz w:val="21"/>
        </w:rPr>
        <w:t>（</w:t>
      </w:r>
      <w:r>
        <w:rPr>
          <w:spacing w:val="-5"/>
          <w:sz w:val="21"/>
        </w:rPr>
        <w:t>采用国际标准视力表，如果使用其它视力表应进行换</w:t>
      </w:r>
      <w:r>
        <w:rPr>
          <w:spacing w:val="-5"/>
          <w:w w:val="100"/>
          <w:sz w:val="21"/>
        </w:rPr>
        <w:t>算</w:t>
      </w:r>
      <w:r>
        <w:rPr>
          <w:spacing w:val="-106"/>
          <w:w w:val="100"/>
          <w:sz w:val="21"/>
        </w:rPr>
        <w:t>）</w:t>
      </w:r>
      <w:r>
        <w:rPr>
          <w:w w:val="100"/>
          <w:sz w:val="21"/>
        </w:rPr>
        <w:t>；</w:t>
      </w:r>
    </w:p>
    <w:p>
      <w:pPr>
        <w:pStyle w:val="ListParagraph"/>
        <w:numPr>
          <w:ilvl w:val="0"/>
          <w:numId w:val="9"/>
        </w:numPr>
        <w:tabs>
          <w:tab w:pos="2945" w:val="left" w:leader="none"/>
          <w:tab w:pos="2946" w:val="left" w:leader="none"/>
        </w:tabs>
        <w:spacing w:line="286" w:lineRule="exact" w:before="0" w:after="0"/>
        <w:ind w:left="2919" w:right="0" w:hanging="720"/>
        <w:jc w:val="left"/>
        <w:rPr>
          <w:sz w:val="21"/>
        </w:rPr>
      </w:pPr>
      <w:r>
        <w:rPr>
          <w:spacing w:val="-9"/>
          <w:sz w:val="21"/>
        </w:rPr>
        <w:t>视野半径小于 </w:t>
      </w:r>
      <w:r>
        <w:rPr>
          <w:rFonts w:ascii="Arial" w:eastAsia="Arial"/>
          <w:sz w:val="21"/>
        </w:rPr>
        <w:t>5</w:t>
      </w:r>
      <w:r>
        <w:rPr>
          <w:rFonts w:ascii="Arial" w:eastAsia="Arial"/>
          <w:spacing w:val="-4"/>
          <w:sz w:val="21"/>
        </w:rPr>
        <w:t> </w:t>
      </w:r>
      <w:r>
        <w:rPr>
          <w:spacing w:val="-2"/>
          <w:sz w:val="21"/>
        </w:rPr>
        <w:t>度。</w:t>
      </w:r>
    </w:p>
    <w:p>
      <w:pPr>
        <w:pStyle w:val="Heading3"/>
        <w:spacing w:line="353" w:lineRule="exact" w:before="157"/>
      </w:pPr>
      <w:r>
        <w:rPr>
          <w:rFonts w:ascii="Arial" w:eastAsia="Arial"/>
        </w:rPr>
        <w:t>15.</w:t>
      </w:r>
      <w:r>
        <w:rPr/>
        <w:t>瘫痪</w:t>
      </w:r>
    </w:p>
    <w:p>
      <w:pPr>
        <w:pStyle w:val="BodyText"/>
        <w:spacing w:line="230" w:lineRule="auto"/>
        <w:ind w:right="222"/>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Heading3"/>
        <w:spacing w:line="352" w:lineRule="exact" w:before="174"/>
      </w:pPr>
      <w:r>
        <w:rPr>
          <w:rFonts w:ascii="Arial" w:eastAsia="Arial"/>
        </w:rPr>
        <w:t>16.</w:t>
      </w:r>
      <w:r>
        <w:rPr/>
        <w:t>心脏瓣膜手术</w:t>
      </w:r>
    </w:p>
    <w:p>
      <w:pPr>
        <w:pStyle w:val="BodyText"/>
        <w:spacing w:line="261" w:lineRule="exact"/>
      </w:pPr>
      <w:r>
        <w:rPr/>
        <w:t>指为治疗心脏瓣膜疾病，实际实施了开胸进行的心脏瓣膜置换或修复的手术。</w:t>
      </w:r>
    </w:p>
    <w:p>
      <w:pPr>
        <w:pStyle w:val="Heading3"/>
        <w:spacing w:before="172"/>
      </w:pPr>
      <w:r>
        <w:rPr>
          <w:rFonts w:ascii="Arial" w:eastAsia="Arial"/>
        </w:rPr>
        <w:t>17.</w:t>
      </w:r>
      <w:r>
        <w:rPr/>
        <w:t>严重阿尔茨海默病</w:t>
      </w:r>
    </w:p>
    <w:p>
      <w:pPr>
        <w:pStyle w:val="BodyText"/>
        <w:spacing w:line="235" w:lineRule="auto" w:before="57"/>
        <w:ind w:right="222"/>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spacing w:val="-3"/>
          <w:w w:val="100"/>
        </w:rPr>
        <w:t>）</w:t>
      </w:r>
      <w:r>
        <w:rPr>
          <w:w w:val="100"/>
        </w:rPr>
        <w:t>等影像</w:t>
      </w:r>
      <w:r>
        <w:rPr>
          <w:spacing w:val="-10"/>
        </w:rPr>
        <w:t>学检查证实，且自主生活能力完全丧失，无法独立完成六项基本日常生活活动中的</w:t>
      </w:r>
      <w:r>
        <w:rPr>
          <w:spacing w:val="-5"/>
        </w:rPr>
        <w:t>三项或三项以上。</w:t>
      </w:r>
    </w:p>
    <w:p>
      <w:pPr>
        <w:pStyle w:val="Heading3"/>
        <w:spacing w:line="320" w:lineRule="exact" w:before="8"/>
      </w:pPr>
      <w:r>
        <w:rPr/>
        <w:t>神经官能症和精神疾病不在保障范围内。</w:t>
      </w:r>
    </w:p>
    <w:p>
      <w:pPr>
        <w:spacing w:line="320" w:lineRule="exact" w:before="0"/>
        <w:ind w:left="2199" w:right="0" w:firstLine="0"/>
        <w:jc w:val="left"/>
        <w:rPr>
          <w:rFonts w:ascii="Microsoft JhengHei" w:eastAsia="Microsoft JhengHei" w:hint="eastAsia"/>
          <w:b/>
          <w:sz w:val="21"/>
        </w:rPr>
      </w:pPr>
      <w:r>
        <w:rPr>
          <w:rFonts w:ascii="Microsoft JhengHei" w:eastAsia="Microsoft JhengHei" w:hint="eastAsia"/>
          <w:b/>
          <w:sz w:val="21"/>
        </w:rPr>
        <w:t>我们只对被保险人在 </w:t>
      </w:r>
      <w:r>
        <w:rPr>
          <w:rFonts w:ascii="Arial" w:eastAsia="Arial"/>
          <w:b/>
          <w:sz w:val="21"/>
        </w:rPr>
        <w:t>70 </w:t>
      </w:r>
      <w:r>
        <w:rPr>
          <w:rFonts w:ascii="Microsoft JhengHei" w:eastAsia="Microsoft JhengHei" w:hint="eastAsia"/>
          <w:b/>
          <w:sz w:val="21"/>
        </w:rPr>
        <w:t>周岁前被确诊患有本病承担保险责任。</w:t>
      </w:r>
    </w:p>
    <w:p>
      <w:pPr>
        <w:spacing w:before="148"/>
        <w:ind w:left="2199"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line="230" w:lineRule="auto" w:before="59"/>
        <w:ind w:right="117"/>
      </w:pPr>
      <w:r>
        <w:rPr>
          <w:spacing w:val="-15"/>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ET</w:t>
      </w:r>
      <w:r>
        <w:rPr>
          <w:w w:val="100"/>
        </w:rPr>
        <w:t>）</w:t>
      </w:r>
      <w:r>
        <w:rPr>
          <w:spacing w:val="-5"/>
        </w:rPr>
        <w:t>等影像学检查证实。神经系统永久性的功能障碍，指脑损伤 </w:t>
      </w:r>
      <w:r>
        <w:rPr>
          <w:rFonts w:ascii="Arial" w:eastAsia="Arial"/>
        </w:rPr>
        <w:t>180 </w:t>
      </w:r>
      <w:r>
        <w:rPr>
          <w:spacing w:val="-3"/>
        </w:rPr>
        <w:t>天后，仍遗留下列一种或一种以上障碍：</w:t>
      </w:r>
    </w:p>
    <w:p>
      <w:pPr>
        <w:pStyle w:val="ListParagraph"/>
        <w:numPr>
          <w:ilvl w:val="0"/>
          <w:numId w:val="10"/>
        </w:numPr>
        <w:tabs>
          <w:tab w:pos="2945" w:val="left" w:leader="none"/>
          <w:tab w:pos="2946" w:val="left" w:leader="none"/>
        </w:tabs>
        <w:spacing w:line="240" w:lineRule="auto" w:before="75" w:after="0"/>
        <w:ind w:left="2933" w:right="0" w:hanging="734"/>
        <w:jc w:val="left"/>
        <w:rPr>
          <w:sz w:val="21"/>
        </w:rPr>
      </w:pPr>
      <w:r>
        <w:rPr>
          <w:spacing w:val="-3"/>
          <w:sz w:val="21"/>
        </w:rPr>
        <w:t>一肢或一肢以上肢体机能完全丧失；</w:t>
      </w:r>
    </w:p>
    <w:p>
      <w:pPr>
        <w:pStyle w:val="ListParagraph"/>
        <w:numPr>
          <w:ilvl w:val="0"/>
          <w:numId w:val="10"/>
        </w:numPr>
        <w:tabs>
          <w:tab w:pos="2945" w:val="left" w:leader="none"/>
          <w:tab w:pos="2946" w:val="left" w:leader="none"/>
        </w:tabs>
        <w:spacing w:line="282" w:lineRule="exact" w:before="60" w:after="0"/>
        <w:ind w:left="2933" w:right="0" w:hanging="734"/>
        <w:jc w:val="left"/>
        <w:rPr>
          <w:sz w:val="21"/>
        </w:rPr>
      </w:pPr>
      <w:r>
        <w:rPr>
          <w:spacing w:val="-3"/>
          <w:sz w:val="21"/>
        </w:rPr>
        <w:t>语言能力或咀嚼吞咽能力完全丧失；</w:t>
      </w:r>
    </w:p>
    <w:p>
      <w:pPr>
        <w:pStyle w:val="ListParagraph"/>
        <w:numPr>
          <w:ilvl w:val="0"/>
          <w:numId w:val="10"/>
        </w:numPr>
        <w:tabs>
          <w:tab w:pos="2947" w:val="left" w:leader="none"/>
          <w:tab w:pos="2949" w:val="left" w:leader="none"/>
        </w:tabs>
        <w:spacing w:line="225" w:lineRule="auto" w:before="8" w:after="0"/>
        <w:ind w:left="2933" w:right="225" w:hanging="734"/>
        <w:jc w:val="left"/>
        <w:rPr>
          <w:sz w:val="21"/>
        </w:rPr>
      </w:pPr>
      <w:r>
        <w:rPr>
          <w:spacing w:val="-3"/>
          <w:sz w:val="21"/>
        </w:rPr>
        <w:t>自主生活能力完全丧失，无法独立完成六项基本日常生活活动中的三项或三项以上。</w:t>
      </w:r>
    </w:p>
    <w:p>
      <w:pPr>
        <w:pStyle w:val="Heading3"/>
        <w:spacing w:before="171"/>
      </w:pPr>
      <w:r>
        <w:rPr>
          <w:rFonts w:ascii="Arial" w:eastAsia="Arial"/>
        </w:rPr>
        <w:t>19.</w:t>
      </w:r>
      <w:r>
        <w:rPr/>
        <w:t>严重帕金森病</w:t>
      </w:r>
    </w:p>
    <w:p>
      <w:pPr>
        <w:pStyle w:val="BodyText"/>
        <w:spacing w:before="51"/>
        <w:ind w:right="222"/>
      </w:pPr>
      <w:r>
        <w:rPr>
          <w:spacing w:val="-8"/>
        </w:rPr>
        <w:t>是一种中枢神经系统的退行性疾病，临床表现为震颤麻痹、共济失调等。须满足下</w:t>
      </w:r>
      <w:r>
        <w:rPr>
          <w:spacing w:val="-5"/>
        </w:rPr>
        <w:t>列全部条件：</w:t>
      </w:r>
    </w:p>
    <w:p>
      <w:pPr>
        <w:pStyle w:val="ListParagraph"/>
        <w:numPr>
          <w:ilvl w:val="0"/>
          <w:numId w:val="11"/>
        </w:numPr>
        <w:tabs>
          <w:tab w:pos="2945" w:val="left" w:leader="none"/>
          <w:tab w:pos="2946" w:val="left" w:leader="none"/>
        </w:tabs>
        <w:spacing w:line="240" w:lineRule="auto" w:before="73" w:after="0"/>
        <w:ind w:left="2919" w:right="0" w:hanging="720"/>
        <w:jc w:val="left"/>
        <w:rPr>
          <w:sz w:val="21"/>
        </w:rPr>
      </w:pPr>
      <w:r>
        <w:rPr>
          <w:spacing w:val="-3"/>
          <w:sz w:val="21"/>
        </w:rPr>
        <w:t>药物治疗无法控制病情；</w:t>
      </w:r>
    </w:p>
    <w:p>
      <w:pPr>
        <w:pStyle w:val="ListParagraph"/>
        <w:numPr>
          <w:ilvl w:val="0"/>
          <w:numId w:val="11"/>
        </w:numPr>
        <w:tabs>
          <w:tab w:pos="2945" w:val="left" w:leader="none"/>
          <w:tab w:pos="2946" w:val="left" w:leader="none"/>
        </w:tabs>
        <w:spacing w:line="225" w:lineRule="auto" w:before="78" w:after="0"/>
        <w:ind w:left="2919" w:right="227" w:hanging="720"/>
        <w:jc w:val="left"/>
        <w:rPr>
          <w:sz w:val="21"/>
        </w:rPr>
      </w:pPr>
      <w:r>
        <w:rPr>
          <w:spacing w:val="-3"/>
          <w:sz w:val="21"/>
        </w:rPr>
        <w:t>自主生活能力完全丧失，无法独立完成六项基本日常生活活动中的三项或三项以上。</w:t>
      </w:r>
    </w:p>
    <w:p>
      <w:pPr>
        <w:pStyle w:val="Heading3"/>
        <w:spacing w:line="320" w:lineRule="exact" w:before="8"/>
      </w:pPr>
      <w:r>
        <w:rPr/>
        <w:t>继发性帕金森综合征不在保障范围内。</w:t>
      </w:r>
    </w:p>
    <w:p>
      <w:pPr>
        <w:spacing w:line="320" w:lineRule="exact" w:before="0"/>
        <w:ind w:left="2199" w:right="0" w:firstLine="0"/>
        <w:jc w:val="left"/>
        <w:rPr>
          <w:rFonts w:ascii="Microsoft JhengHei" w:eastAsia="Microsoft JhengHei" w:hint="eastAsia"/>
          <w:b/>
          <w:sz w:val="21"/>
        </w:rPr>
      </w:pPr>
      <w:r>
        <w:rPr>
          <w:rFonts w:ascii="Microsoft JhengHei" w:eastAsia="Microsoft JhengHei" w:hint="eastAsia"/>
          <w:b/>
          <w:sz w:val="21"/>
        </w:rPr>
        <w:t>我们只对被保险人在 </w:t>
      </w:r>
      <w:r>
        <w:rPr>
          <w:rFonts w:ascii="Arial" w:eastAsia="Arial"/>
          <w:b/>
          <w:sz w:val="21"/>
        </w:rPr>
        <w:t>70 </w:t>
      </w:r>
      <w:r>
        <w:rPr>
          <w:rFonts w:ascii="Microsoft JhengHei" w:eastAsia="Microsoft JhengHei" w:hint="eastAsia"/>
          <w:b/>
          <w:sz w:val="21"/>
        </w:rPr>
        <w:t>周岁前被确诊患有本病承担保险责任。</w:t>
      </w:r>
    </w:p>
    <w:p>
      <w:pPr>
        <w:spacing w:line="352" w:lineRule="exact" w:before="148"/>
        <w:ind w:left="2199"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严重Ⅲ度烧伤</w:t>
      </w:r>
    </w:p>
    <w:p>
      <w:pPr>
        <w:pStyle w:val="BodyText"/>
        <w:spacing w:line="225" w:lineRule="auto" w:before="3"/>
        <w:ind w:right="225"/>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5"/>
        </w:rPr>
        <w:t>％以上。体</w:t>
      </w:r>
      <w:r>
        <w:rPr>
          <w:spacing w:val="-4"/>
        </w:rPr>
        <w:t>表面积根据《中国新九分法》计算。</w:t>
      </w:r>
    </w:p>
    <w:p>
      <w:pPr>
        <w:pStyle w:val="Heading3"/>
        <w:spacing w:before="172"/>
      </w:pPr>
      <w:r>
        <w:rPr>
          <w:rFonts w:ascii="Arial" w:eastAsia="Arial"/>
        </w:rPr>
        <w:t>21.</w:t>
      </w:r>
      <w:r>
        <w:rPr/>
        <w:t>严重原发性肺动脉高压</w:t>
      </w:r>
    </w:p>
    <w:p>
      <w:pPr>
        <w:spacing w:after="0"/>
        <w:sectPr>
          <w:pgSz w:w="11900" w:h="16840"/>
          <w:pgMar w:header="892" w:footer="549" w:top="1080" w:bottom="760" w:left="1000" w:right="1000"/>
        </w:sectPr>
      </w:pPr>
    </w:p>
    <w:p>
      <w:pPr>
        <w:pStyle w:val="BodyText"/>
        <w:spacing w:before="12"/>
        <w:ind w:left="0"/>
        <w:rPr>
          <w:rFonts w:ascii="Microsoft JhengHei"/>
          <w:b/>
          <w:sz w:val="14"/>
        </w:rPr>
      </w:pPr>
    </w:p>
    <w:p>
      <w:pPr>
        <w:pStyle w:val="BodyText"/>
        <w:spacing w:line="230" w:lineRule="auto" w:before="47"/>
        <w:ind w:right="117"/>
      </w:pPr>
      <w:r>
        <w:rPr>
          <w:spacing w:val="-8"/>
        </w:rPr>
        <w:t>指不明原因的肺动脉压力持续性增高，进行性发展而导致的慢性疾病，已经造成永</w:t>
      </w:r>
      <w:r>
        <w:rPr>
          <w:spacing w:val="-11"/>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pStyle w:val="Heading3"/>
        <w:spacing w:line="352" w:lineRule="exact" w:before="156"/>
      </w:pPr>
      <w:r>
        <w:rPr>
          <w:rFonts w:ascii="Arial" w:eastAsia="Arial"/>
        </w:rPr>
        <w:t>22.</w:t>
      </w:r>
      <w:r>
        <w:rPr/>
        <w:t>严重运动神经元病</w:t>
      </w:r>
    </w:p>
    <w:p>
      <w:pPr>
        <w:pStyle w:val="BodyText"/>
        <w:spacing w:line="237" w:lineRule="auto"/>
        <w:ind w:right="222"/>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ind w:left="0"/>
        <w:rPr>
          <w:sz w:val="14"/>
        </w:rPr>
      </w:pPr>
    </w:p>
    <w:p>
      <w:pPr>
        <w:pStyle w:val="Heading3"/>
      </w:pPr>
      <w:r>
        <w:rPr>
          <w:rFonts w:ascii="Arial" w:eastAsia="Arial"/>
        </w:rPr>
        <w:t>23.</w:t>
      </w:r>
      <w:r>
        <w:rPr/>
        <w:t>语言能力丧失</w:t>
      </w:r>
    </w:p>
    <w:p>
      <w:pPr>
        <w:pStyle w:val="BodyText"/>
        <w:spacing w:line="225" w:lineRule="auto" w:before="69"/>
        <w:ind w:right="222" w:hanging="1"/>
      </w:pPr>
      <w:r>
        <w:rPr>
          <w:spacing w:val="-5"/>
        </w:rPr>
        <w:t>指因疾病或意外伤害导致完全丧失语言能力，经过积极治疗至少 </w:t>
      </w:r>
      <w:r>
        <w:rPr>
          <w:rFonts w:ascii="Arial" w:eastAsia="Arial"/>
        </w:rPr>
        <w:t>12 </w:t>
      </w:r>
      <w:r>
        <w:rPr>
          <w:spacing w:val="-4"/>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95" w:lineRule="exact"/>
      </w:pPr>
      <w:r>
        <w:rPr/>
        <w:t>精神心理因素所致的语言能力丧失不在保障范围内。</w:t>
      </w:r>
    </w:p>
    <w:p>
      <w:pPr>
        <w:spacing w:before="148"/>
        <w:ind w:left="2199"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before="51"/>
        <w:ind w:right="222"/>
      </w:pPr>
      <w:r>
        <w:rPr>
          <w:spacing w:val="-8"/>
        </w:rPr>
        <w:t>指因骨髓造血功能慢性持续性衰竭导致的贫血、中性粒细胞减少及血小板减少。须</w:t>
      </w:r>
      <w:r>
        <w:rPr>
          <w:spacing w:val="-5"/>
        </w:rPr>
        <w:t>满足下列全部条件：</w:t>
      </w:r>
    </w:p>
    <w:p>
      <w:pPr>
        <w:pStyle w:val="ListParagraph"/>
        <w:numPr>
          <w:ilvl w:val="0"/>
          <w:numId w:val="12"/>
        </w:numPr>
        <w:tabs>
          <w:tab w:pos="2945" w:val="left" w:leader="none"/>
          <w:tab w:pos="2946" w:val="left" w:leader="none"/>
        </w:tabs>
        <w:spacing w:line="240" w:lineRule="auto" w:before="72" w:after="0"/>
        <w:ind w:left="2945" w:right="0" w:hanging="746"/>
        <w:jc w:val="left"/>
        <w:rPr>
          <w:sz w:val="21"/>
        </w:rPr>
      </w:pPr>
      <w:r>
        <w:rPr>
          <w:spacing w:val="-3"/>
          <w:sz w:val="21"/>
        </w:rPr>
        <w:t>骨髓穿刺检查或骨髓活检结果支持诊断；</w:t>
      </w:r>
    </w:p>
    <w:p>
      <w:pPr>
        <w:pStyle w:val="ListParagraph"/>
        <w:numPr>
          <w:ilvl w:val="0"/>
          <w:numId w:val="12"/>
        </w:numPr>
        <w:tabs>
          <w:tab w:pos="2945" w:val="left" w:leader="none"/>
          <w:tab w:pos="2946" w:val="left" w:leader="none"/>
        </w:tabs>
        <w:spacing w:line="240" w:lineRule="auto" w:before="60" w:after="0"/>
        <w:ind w:left="2945" w:right="0" w:hanging="746"/>
        <w:jc w:val="left"/>
        <w:rPr>
          <w:sz w:val="21"/>
        </w:rPr>
      </w:pPr>
      <w:r>
        <w:rPr>
          <w:spacing w:val="-3"/>
          <w:sz w:val="21"/>
        </w:rPr>
        <w:t>外周血象须具备以下三项条件：</w:t>
      </w:r>
    </w:p>
    <w:p>
      <w:pPr>
        <w:pStyle w:val="BodyText"/>
        <w:spacing w:before="60"/>
        <w:ind w:left="3039"/>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line="282" w:lineRule="exact" w:before="60"/>
        <w:ind w:left="421" w:right="2150"/>
        <w:jc w:val="center"/>
      </w:pPr>
      <w:r>
        <w:rPr/>
        <w:t>② 网织红细胞＜</w:t>
      </w:r>
      <w:r>
        <w:rPr>
          <w:rFonts w:ascii="Arial" w:hAnsi="Arial" w:eastAsia="Arial"/>
        </w:rPr>
        <w:t>1%</w:t>
      </w:r>
      <w:r>
        <w:rPr/>
        <w:t>；</w:t>
      </w:r>
    </w:p>
    <w:p>
      <w:pPr>
        <w:pStyle w:val="BodyText"/>
        <w:spacing w:line="282" w:lineRule="exact"/>
        <w:ind w:left="3039"/>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Heading3"/>
        <w:spacing w:before="157"/>
      </w:pPr>
      <w:r>
        <w:rPr>
          <w:rFonts w:ascii="Arial" w:eastAsia="Arial"/>
        </w:rPr>
        <w:t>25.</w:t>
      </w:r>
      <w:r>
        <w:rPr/>
        <w:t>主动脉手术</w:t>
      </w:r>
    </w:p>
    <w:p>
      <w:pPr>
        <w:pStyle w:val="BodyText"/>
        <w:spacing w:line="237" w:lineRule="auto" w:before="54"/>
        <w:ind w:right="222" w:hanging="1"/>
        <w:jc w:val="both"/>
      </w:pPr>
      <w:r>
        <w:rPr>
          <w:spacing w:val="-8"/>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297" w:lineRule="exact"/>
      </w:pPr>
      <w:r>
        <w:rPr/>
        <w:t>动脉内血管成形术不在保障范围内。</w:t>
      </w:r>
    </w:p>
    <w:p>
      <w:pPr>
        <w:spacing w:line="352" w:lineRule="exact" w:before="148"/>
        <w:ind w:left="2199"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spacing w:line="274" w:lineRule="exact" w:before="12"/>
        <w:ind w:right="222"/>
      </w:pPr>
      <w:r>
        <w:rPr>
          <w:spacing w:val="-5"/>
        </w:rPr>
        <w:t>被保险人因脑及脊髓内的脱髓鞘病变而出现神经系统多灶性</w:t>
      </w:r>
      <w:r>
        <w:rPr/>
        <w:t>（</w:t>
      </w:r>
      <w:r>
        <w:rPr>
          <w:spacing w:val="-3"/>
        </w:rPr>
        <w:t>多发性</w:t>
      </w:r>
      <w:r>
        <w:rPr>
          <w:spacing w:val="-29"/>
        </w:rPr>
        <w:t>）</w:t>
      </w:r>
      <w:r>
        <w:rPr>
          <w:spacing w:val="-12"/>
        </w:rPr>
        <w:t>多时相</w:t>
      </w:r>
      <w:r>
        <w:rPr>
          <w:spacing w:val="-3"/>
        </w:rPr>
        <w:t>（</w:t>
      </w:r>
      <w:r>
        <w:rPr/>
        <w:t>至</w:t>
      </w:r>
      <w:r>
        <w:rPr>
          <w:spacing w:val="7"/>
        </w:rPr>
        <w:t>少 </w:t>
      </w:r>
      <w:r>
        <w:rPr>
          <w:rFonts w:ascii="Arial" w:eastAsia="Arial"/>
        </w:rPr>
        <w:t>6</w:t>
      </w:r>
      <w:r>
        <w:rPr>
          <w:rFonts w:ascii="Arial" w:eastAsia="Arial"/>
          <w:spacing w:val="0"/>
        </w:rPr>
        <w:t>  </w:t>
      </w:r>
      <w:r>
        <w:rPr>
          <w:spacing w:val="-3"/>
        </w:rPr>
        <w:t>个月以内有一次以上</w:t>
      </w:r>
      <w:r>
        <w:rPr/>
        <w:t>（</w:t>
      </w:r>
      <w:r>
        <w:rPr>
          <w:spacing w:val="-3"/>
        </w:rPr>
        <w:t>不包含一次</w:t>
      </w:r>
      <w:r>
        <w:rPr/>
        <w:t>）</w:t>
      </w:r>
      <w:r>
        <w:rPr>
          <w:spacing w:val="-3"/>
        </w:rPr>
        <w:t>的发作）的病变，须由计算机断层扫描</w:t>
      </w:r>
    </w:p>
    <w:p>
      <w:pPr>
        <w:pStyle w:val="BodyText"/>
        <w:spacing w:line="253" w:lineRule="exact"/>
      </w:pPr>
      <w:r>
        <w:rPr>
          <w:w w:val="100"/>
        </w:rPr>
        <w:t>（</w:t>
      </w:r>
      <w:r>
        <w:rPr>
          <w:rFonts w:ascii="Arial" w:eastAsia="Arial"/>
          <w:spacing w:val="-2"/>
          <w:w w:val="100"/>
        </w:rPr>
        <w:t>C</w:t>
      </w:r>
      <w:r>
        <w:rPr>
          <w:rFonts w:ascii="Arial" w:eastAsia="Arial"/>
          <w:w w:val="100"/>
        </w:rPr>
        <w:t>T</w:t>
      </w:r>
      <w:r>
        <w:rPr>
          <w:spacing w:val="-108"/>
          <w:w w:val="100"/>
        </w:rPr>
        <w:t>）</w:t>
      </w:r>
      <w:r>
        <w:rPr>
          <w:spacing w:val="-10"/>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24"/>
          <w:w w:val="100"/>
        </w:rPr>
        <w:t>）</w:t>
      </w:r>
      <w:r>
        <w:rPr>
          <w:spacing w:val="-5"/>
          <w:w w:val="100"/>
        </w:rPr>
        <w:t>或正电子发射断层扫描</w:t>
      </w:r>
      <w:r>
        <w:rPr>
          <w:spacing w:val="-3"/>
          <w:w w:val="100"/>
        </w:rPr>
        <w:t>（</w:t>
      </w:r>
      <w:r>
        <w:rPr>
          <w:rFonts w:ascii="Arial" w:eastAsia="Arial"/>
          <w:spacing w:val="-2"/>
          <w:w w:val="100"/>
        </w:rPr>
        <w:t>P</w:t>
      </w:r>
      <w:r>
        <w:rPr>
          <w:rFonts w:ascii="Arial" w:eastAsia="Arial"/>
          <w:w w:val="100"/>
        </w:rPr>
        <w:t>E</w:t>
      </w:r>
      <w:r>
        <w:rPr>
          <w:rFonts w:ascii="Arial" w:eastAsia="Arial"/>
          <w:spacing w:val="-2"/>
          <w:w w:val="100"/>
        </w:rPr>
        <w:t>T</w:t>
      </w:r>
      <w:r>
        <w:rPr>
          <w:spacing w:val="-22"/>
          <w:w w:val="100"/>
        </w:rPr>
        <w:t>）</w:t>
      </w:r>
      <w:r>
        <w:rPr>
          <w:spacing w:val="-3"/>
          <w:w w:val="100"/>
        </w:rPr>
        <w:t>等影像学检查证实，</w:t>
      </w:r>
    </w:p>
    <w:p>
      <w:pPr>
        <w:pStyle w:val="BodyText"/>
        <w:spacing w:line="237" w:lineRule="auto"/>
        <w:ind w:right="222"/>
      </w:pPr>
      <w:r>
        <w:rPr>
          <w:spacing w:val="-9"/>
        </w:rPr>
        <w:t>且已经造成自主生活能力完全丧失，无法独立完成六项基本日常生活活动中的三项或三项以上，持续至少 </w:t>
      </w:r>
      <w:r>
        <w:rPr>
          <w:rFonts w:ascii="Arial" w:eastAsia="Arial"/>
        </w:rPr>
        <w:t>180 </w:t>
      </w:r>
      <w:r>
        <w:rPr/>
        <w:t>天。</w:t>
      </w:r>
    </w:p>
    <w:p>
      <w:pPr>
        <w:pStyle w:val="Heading3"/>
        <w:spacing w:before="162"/>
      </w:pPr>
      <w:r>
        <w:rPr>
          <w:rFonts w:ascii="Arial" w:eastAsia="Arial"/>
        </w:rPr>
        <w:t>27.</w:t>
      </w:r>
      <w:r>
        <w:rPr/>
        <w:t>慢性呼吸功能衰竭</w:t>
      </w:r>
    </w:p>
    <w:p>
      <w:pPr>
        <w:pStyle w:val="BodyText"/>
        <w:spacing w:before="51"/>
        <w:ind w:right="222"/>
      </w:pPr>
      <w:r>
        <w:rPr>
          <w:spacing w:val="-7"/>
        </w:rPr>
        <w:t>慢性肺部疾病导致永久不可逆性的慢性呼吸功能衰竭。慢性呼吸功能衰竭必须明确</w:t>
      </w:r>
      <w:r>
        <w:rPr>
          <w:spacing w:val="-5"/>
        </w:rPr>
        <w:t>诊断并满足下列全部条件：</w:t>
      </w:r>
    </w:p>
    <w:p>
      <w:pPr>
        <w:pStyle w:val="BodyText"/>
        <w:spacing w:line="279" w:lineRule="exact"/>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line="282" w:lineRule="exact"/>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line="282" w:lineRule="exact" w:before="57"/>
      </w:pPr>
      <w:r>
        <w:rPr/>
        <w:t>（</w:t>
      </w:r>
      <w:r>
        <w:rPr>
          <w:rFonts w:ascii="Arial" w:eastAsia="Arial"/>
        </w:rPr>
        <w:t>3</w:t>
      </w:r>
      <w:r>
        <w:rPr/>
        <w:t>）因缺氧必须接受持续的输氧治疗。</w:t>
      </w:r>
    </w:p>
    <w:p>
      <w:pPr>
        <w:pStyle w:val="BodyText"/>
        <w:spacing w:line="267" w:lineRule="exact"/>
      </w:pPr>
      <w:r>
        <w:rPr/>
        <w:t>理赔时必须提供以上三项相应的证明文件或检查报告。</w:t>
      </w:r>
    </w:p>
    <w:p>
      <w:pPr>
        <w:pStyle w:val="Heading3"/>
        <w:spacing w:before="172"/>
      </w:pPr>
      <w:r>
        <w:rPr>
          <w:rFonts w:ascii="Arial" w:eastAsia="Arial"/>
        </w:rPr>
        <w:t>28.</w:t>
      </w:r>
      <w:r>
        <w:rPr/>
        <w:t>颅脑手术</w:t>
      </w:r>
    </w:p>
    <w:p>
      <w:pPr>
        <w:pStyle w:val="BodyText"/>
        <w:spacing w:before="51"/>
      </w:pPr>
      <w:r>
        <w:rPr>
          <w:spacing w:val="-9"/>
        </w:rPr>
        <w:t>被保险人确已实施全麻下的开颅手术</w:t>
      </w:r>
      <w:r>
        <w:rPr/>
        <w:t>（</w:t>
      </w:r>
      <w:r>
        <w:rPr>
          <w:spacing w:val="-3"/>
        </w:rPr>
        <w:t>不包括颅骨钻孔手术和经鼻蝶窦入颅手术</w:t>
      </w:r>
      <w:r>
        <w:rPr>
          <w:spacing w:val="-108"/>
        </w:rPr>
        <w:t>）</w:t>
      </w:r>
      <w:r>
        <w:rPr/>
        <w:t>。</w:t>
      </w:r>
    </w:p>
    <w:p>
      <w:pPr>
        <w:pStyle w:val="Heading3"/>
        <w:spacing w:line="353" w:lineRule="exact" w:before="8"/>
      </w:pPr>
      <w:r>
        <w:rPr/>
        <w:t>因外伤而实施的脑外科手术不在保障范围之内。</w:t>
      </w:r>
    </w:p>
    <w:p>
      <w:pPr>
        <w:pStyle w:val="BodyText"/>
        <w:spacing w:line="262" w:lineRule="exact"/>
      </w:pPr>
      <w:r>
        <w:rPr/>
        <w:t>理赔时必须提供由神经外科医生出具的诊断书及手术报告。</w:t>
      </w:r>
    </w:p>
    <w:p>
      <w:pPr>
        <w:pStyle w:val="Heading3"/>
        <w:spacing w:before="172"/>
      </w:pPr>
      <w:r>
        <w:rPr>
          <w:rFonts w:ascii="Arial" w:eastAsia="Arial"/>
        </w:rPr>
        <w:t>29.</w:t>
      </w:r>
      <w:r>
        <w:rPr/>
        <w:t>严重类风湿性关节炎</w:t>
      </w:r>
    </w:p>
    <w:p>
      <w:pPr>
        <w:pStyle w:val="BodyText"/>
        <w:spacing w:before="49"/>
      </w:pPr>
      <w:r>
        <w:rPr/>
        <w:t>类风湿性关节炎为广泛分布的慢性进行性多关节病变，表现为关节严重变形，侵犯</w:t>
      </w:r>
    </w:p>
    <w:p>
      <w:pPr>
        <w:spacing w:after="0"/>
        <w:sectPr>
          <w:pgSz w:w="11900" w:h="16840"/>
          <w:pgMar w:header="892" w:footer="549" w:top="1080" w:bottom="760" w:left="1000" w:right="1000"/>
        </w:sectPr>
      </w:pPr>
    </w:p>
    <w:p>
      <w:pPr>
        <w:pStyle w:val="BodyText"/>
        <w:spacing w:before="7"/>
        <w:ind w:left="0"/>
        <w:rPr>
          <w:sz w:val="19"/>
        </w:rPr>
      </w:pPr>
    </w:p>
    <w:p>
      <w:pPr>
        <w:pStyle w:val="BodyText"/>
        <w:spacing w:line="232" w:lineRule="auto" w:before="45"/>
        <w:ind w:right="222" w:hanging="1"/>
        <w:jc w:val="both"/>
      </w:pPr>
      <w:r>
        <w:rPr>
          <w:spacing w:val="-4"/>
        </w:rPr>
        <w:t>至少三个主要关节或关节组</w:t>
      </w:r>
      <w:r>
        <w:rPr/>
        <w:t>（</w:t>
      </w:r>
      <w:r>
        <w:rPr>
          <w:spacing w:val="-8"/>
        </w:rPr>
        <w:t>如：双手</w:t>
      </w:r>
      <w:r>
        <w:rPr>
          <w:spacing w:val="-3"/>
        </w:rPr>
        <w:t>（</w:t>
      </w:r>
      <w:r>
        <w:rPr>
          <w:spacing w:val="-2"/>
        </w:rPr>
        <w:t>多手指</w:t>
      </w:r>
      <w:r>
        <w:rPr>
          <w:spacing w:val="-15"/>
        </w:rPr>
        <w:t>）</w:t>
      </w:r>
      <w:r>
        <w:rPr>
          <w:spacing w:val="-6"/>
        </w:rPr>
        <w:t>关节、双足</w:t>
      </w:r>
      <w:r>
        <w:rPr>
          <w:spacing w:val="-3"/>
        </w:rPr>
        <w:t>（</w:t>
      </w:r>
      <w:r>
        <w:rPr>
          <w:spacing w:val="-2"/>
        </w:rPr>
        <w:t>多足趾</w:t>
      </w:r>
      <w:r>
        <w:rPr>
          <w:spacing w:val="-12"/>
        </w:rPr>
        <w:t>）</w:t>
      </w:r>
      <w:r>
        <w:rPr>
          <w:spacing w:val="-5"/>
        </w:rPr>
        <w:t>关节、双</w:t>
      </w:r>
      <w:r>
        <w:rPr>
          <w:spacing w:val="-4"/>
        </w:rPr>
        <w:t>腕关节、双膝关节和双髋关节</w:t>
      </w:r>
      <w:r>
        <w:rPr>
          <w:spacing w:val="-108"/>
        </w:rPr>
        <w:t>）</w:t>
      </w:r>
      <w:r>
        <w:rPr>
          <w:spacing w:val="-3"/>
        </w:rPr>
        <w:t>。类风湿性关节炎必须明确诊断并且已经达到类风</w:t>
      </w:r>
      <w:r>
        <w:rPr>
          <w:spacing w:val="-7"/>
        </w:rPr>
        <w:t>湿性关节炎功能分级 </w:t>
      </w:r>
      <w:r>
        <w:rPr>
          <w:rFonts w:ascii="Arial" w:eastAsia="Arial"/>
        </w:rPr>
        <w:t>III </w:t>
      </w:r>
      <w:r>
        <w:rPr>
          <w:spacing w:val="-3"/>
        </w:rPr>
        <w:t>级以上的功能障碍</w:t>
      </w:r>
      <w:r>
        <w:rPr/>
        <w:t>（</w:t>
      </w:r>
      <w:r>
        <w:rPr>
          <w:spacing w:val="-3"/>
        </w:rPr>
        <w:t>关节活动严重限制，不能完成大部分的日常工作和活动）并且满足下列全部条件：</w:t>
      </w:r>
    </w:p>
    <w:p>
      <w:pPr>
        <w:pStyle w:val="BodyText"/>
        <w:spacing w:before="75"/>
      </w:pPr>
      <w:r>
        <w:rPr/>
        <w:t>（</w:t>
      </w:r>
      <w:r>
        <w:rPr>
          <w:rFonts w:ascii="Arial" w:eastAsia="Arial"/>
        </w:rPr>
        <w:t>1</w:t>
      </w:r>
      <w:r>
        <w:rPr/>
        <w:t>）晨僵；</w:t>
      </w:r>
    </w:p>
    <w:p>
      <w:pPr>
        <w:pStyle w:val="BodyText"/>
        <w:spacing w:before="60"/>
      </w:pPr>
      <w:r>
        <w:rPr/>
        <w:t>（</w:t>
      </w:r>
      <w:r>
        <w:rPr>
          <w:rFonts w:ascii="Arial" w:eastAsia="Arial"/>
        </w:rPr>
        <w:t>2</w:t>
      </w:r>
      <w:r>
        <w:rPr/>
        <w:t>）对称性关节炎；</w:t>
      </w:r>
    </w:p>
    <w:p>
      <w:pPr>
        <w:pStyle w:val="BodyText"/>
        <w:spacing w:line="282" w:lineRule="exact" w:before="60"/>
      </w:pPr>
      <w:r>
        <w:rPr/>
        <w:t>（</w:t>
      </w:r>
      <w:r>
        <w:rPr>
          <w:rFonts w:ascii="Arial" w:eastAsia="Arial"/>
        </w:rPr>
        <w:t>3</w:t>
      </w:r>
      <w:r>
        <w:rPr/>
        <w:t>）类风湿性皮下结节；</w:t>
      </w:r>
    </w:p>
    <w:p>
      <w:pPr>
        <w:pStyle w:val="BodyText"/>
        <w:spacing w:line="282" w:lineRule="exact"/>
      </w:pPr>
      <w:r>
        <w:rPr/>
        <w:t>（</w:t>
      </w:r>
      <w:r>
        <w:rPr>
          <w:rFonts w:ascii="Arial" w:eastAsia="Arial"/>
        </w:rPr>
        <w:t>4</w:t>
      </w:r>
      <w:r>
        <w:rPr/>
        <w:t>）类风湿因子滴度升高。</w:t>
      </w:r>
    </w:p>
    <w:p>
      <w:pPr>
        <w:pStyle w:val="Heading3"/>
        <w:numPr>
          <w:ilvl w:val="0"/>
          <w:numId w:val="13"/>
        </w:numPr>
        <w:tabs>
          <w:tab w:pos="2596" w:val="left" w:leader="none"/>
        </w:tabs>
        <w:spacing w:line="352" w:lineRule="exact" w:before="157" w:after="0"/>
        <w:ind w:left="2595" w:right="0" w:hanging="396"/>
        <w:jc w:val="left"/>
      </w:pPr>
      <w:r>
        <w:rPr/>
        <w:t>严重冠心病</w:t>
      </w:r>
    </w:p>
    <w:p>
      <w:pPr>
        <w:pStyle w:val="BodyText"/>
        <w:spacing w:line="225" w:lineRule="auto" w:before="3"/>
        <w:ind w:right="195" w:hanging="1"/>
      </w:pPr>
      <w:r>
        <w:rPr/>
        <w:t>指根据冠状动脉造影检查结果确诊的三支主要血管</w:t>
      </w:r>
      <w:r>
        <w:rPr>
          <w:rFonts w:ascii="Arial" w:eastAsia="Arial"/>
        </w:rPr>
        <w:t>(</w:t>
      </w:r>
      <w:r>
        <w:rPr/>
        <w:t>左冠状动脉主干和右冠状动脉，或前降支、左旋支和右冠状动脉</w:t>
      </w:r>
      <w:r>
        <w:rPr>
          <w:rFonts w:ascii="Arial" w:eastAsia="Arial"/>
        </w:rPr>
        <w:t>)</w:t>
      </w:r>
      <w:r>
        <w:rPr/>
        <w:t>严重狭窄性病变</w:t>
      </w:r>
      <w:r>
        <w:rPr>
          <w:rFonts w:ascii="Arial" w:eastAsia="Arial"/>
        </w:rPr>
        <w:t>(</w:t>
      </w:r>
      <w:r>
        <w:rPr/>
        <w:t>至少一支血管管腔直径减少</w:t>
      </w:r>
    </w:p>
    <w:p>
      <w:pPr>
        <w:pStyle w:val="BodyText"/>
        <w:spacing w:line="225" w:lineRule="auto"/>
        <w:ind w:right="158"/>
      </w:pPr>
      <w:r>
        <w:rPr>
          <w:rFonts w:ascii="Arial" w:eastAsia="Arial"/>
        </w:rPr>
        <w:t>75%</w:t>
      </w:r>
      <w:r>
        <w:rPr/>
        <w:t>以上和其他两支血管管腔直径减少 </w:t>
      </w:r>
      <w:r>
        <w:rPr>
          <w:rFonts w:ascii="Arial" w:eastAsia="Arial"/>
        </w:rPr>
        <w:t>60%</w:t>
      </w:r>
      <w:r>
        <w:rPr/>
        <w:t>以上</w:t>
      </w:r>
      <w:r>
        <w:rPr>
          <w:rFonts w:ascii="Arial" w:eastAsia="Arial"/>
        </w:rPr>
        <w:t>)</w:t>
      </w:r>
      <w:r>
        <w:rPr/>
        <w:t>。前降支、左旋支及右冠状动脉的分支血管的狭窄不作为本保障的衡量指标。</w:t>
      </w:r>
    </w:p>
    <w:p>
      <w:pPr>
        <w:pStyle w:val="Heading3"/>
        <w:spacing w:line="352" w:lineRule="exact" w:before="173"/>
      </w:pPr>
      <w:r>
        <w:rPr>
          <w:rFonts w:ascii="Arial" w:eastAsia="Arial"/>
        </w:rPr>
        <w:t>31.</w:t>
      </w:r>
      <w:r>
        <w:rPr/>
        <w:t>急性出血坏死性胰腺炎</w:t>
      </w:r>
    </w:p>
    <w:p>
      <w:pPr>
        <w:pStyle w:val="BodyText"/>
        <w:spacing w:line="274" w:lineRule="exact" w:before="12"/>
        <w:ind w:right="222"/>
      </w:pPr>
      <w:r>
        <w:rPr>
          <w:spacing w:val="-6"/>
        </w:rPr>
        <w:t>指被保险人因为急性出血坏死性胰腺炎已经接受了外科开腹手术治疗，以进行坏死</w:t>
      </w:r>
      <w:r>
        <w:rPr>
          <w:spacing w:val="-4"/>
        </w:rPr>
        <w:t>组织清除、坏死病灶切除或胰腺切除。</w:t>
      </w:r>
    </w:p>
    <w:p>
      <w:pPr>
        <w:pStyle w:val="Heading3"/>
        <w:spacing w:line="180" w:lineRule="auto"/>
        <w:ind w:right="222"/>
      </w:pPr>
      <w:r>
        <w:rPr/>
        <w:t>因饮酒所致的急性出血坏死性胰腺炎或经腹腔镜手术进行的治疗不在保障范围内。</w:t>
      </w:r>
    </w:p>
    <w:p>
      <w:pPr>
        <w:spacing w:before="152"/>
        <w:ind w:left="2199"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z w:val="21"/>
        </w:rPr>
        <w:t>系统性红斑狼疮</w:t>
      </w:r>
      <w:r>
        <w:rPr>
          <w:rFonts w:ascii="Arial" w:eastAsia="Arial"/>
          <w:b/>
          <w:sz w:val="21"/>
        </w:rPr>
        <w:t>-III</w:t>
      </w:r>
      <w:r>
        <w:rPr>
          <w:rFonts w:ascii="Arial" w:eastAsia="Arial"/>
          <w:b/>
          <w:spacing w:val="55"/>
          <w:sz w:val="21"/>
        </w:rPr>
        <w:t> </w:t>
      </w:r>
      <w:r>
        <w:rPr>
          <w:rFonts w:ascii="Microsoft JhengHei" w:eastAsia="Microsoft JhengHei" w:hint="eastAsia"/>
          <w:b/>
          <w:sz w:val="21"/>
        </w:rPr>
        <w:t>型或以上狼疮性肾炎</w:t>
      </w:r>
    </w:p>
    <w:p>
      <w:pPr>
        <w:pStyle w:val="BodyText"/>
        <w:spacing w:before="128"/>
        <w:ind w:right="222"/>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2"/>
        <w:ind w:left="0"/>
        <w:rPr>
          <w:sz w:val="17"/>
        </w:rPr>
      </w:pPr>
    </w:p>
    <w:p>
      <w:pPr>
        <w:spacing w:line="180" w:lineRule="auto" w:before="0"/>
        <w:ind w:left="2199" w:right="122" w:firstLine="0"/>
        <w:jc w:val="left"/>
        <w:rPr>
          <w:rFonts w:ascii="Microsoft JhengHei" w:eastAsia="Microsoft JhengHei" w:hint="eastAsia"/>
          <w:b/>
          <w:sz w:val="21"/>
        </w:rPr>
      </w:pPr>
      <w:r>
        <w:rPr>
          <w:spacing w:val="-5"/>
          <w:sz w:val="21"/>
        </w:rPr>
        <w:t>本保单所指的系统性红斑狼疮仅限于累及肾脏</w:t>
      </w:r>
      <w:r>
        <w:rPr>
          <w:sz w:val="21"/>
        </w:rPr>
        <w:t>（</w:t>
      </w:r>
      <w:r>
        <w:rPr>
          <w:spacing w:val="-11"/>
          <w:sz w:val="21"/>
        </w:rPr>
        <w:t>经肾脏活检确认的，符合 </w:t>
      </w:r>
      <w:r>
        <w:rPr>
          <w:rFonts w:ascii="Arial" w:eastAsia="Arial"/>
          <w:sz w:val="21"/>
        </w:rPr>
        <w:t>WHO </w:t>
      </w:r>
      <w:r>
        <w:rPr>
          <w:sz w:val="21"/>
        </w:rPr>
        <w:t>诊</w:t>
      </w:r>
      <w:r>
        <w:rPr>
          <w:spacing w:val="-10"/>
          <w:sz w:val="21"/>
        </w:rPr>
        <w:t>断标准定义 </w:t>
      </w:r>
      <w:r>
        <w:rPr>
          <w:rFonts w:ascii="Arial" w:eastAsia="Arial"/>
          <w:sz w:val="21"/>
        </w:rPr>
        <w:t>III </w:t>
      </w:r>
      <w:r>
        <w:rPr>
          <w:spacing w:val="-16"/>
          <w:sz w:val="21"/>
        </w:rPr>
        <w:t>型至 </w:t>
      </w:r>
      <w:r>
        <w:rPr>
          <w:rFonts w:ascii="Arial" w:eastAsia="Arial"/>
          <w:sz w:val="21"/>
        </w:rPr>
        <w:t>V </w:t>
      </w:r>
      <w:r>
        <w:rPr>
          <w:spacing w:val="-3"/>
          <w:sz w:val="21"/>
        </w:rPr>
        <w:t>型狼疮性肾炎</w:t>
      </w:r>
      <w:r>
        <w:rPr>
          <w:spacing w:val="-48"/>
          <w:sz w:val="21"/>
        </w:rPr>
        <w:t>）</w:t>
      </w:r>
      <w:r>
        <w:rPr>
          <w:spacing w:val="-9"/>
          <w:sz w:val="21"/>
        </w:rPr>
        <w:t>的系统性红斑狼疮。</w:t>
      </w:r>
      <w:r>
        <w:rPr>
          <w:rFonts w:ascii="Microsoft JhengHei" w:eastAsia="Microsoft JhengHei" w:hint="eastAsia"/>
          <w:b/>
          <w:spacing w:val="-1"/>
          <w:sz w:val="21"/>
        </w:rPr>
        <w:t>其他类型的红斑性狼疮， </w:t>
      </w:r>
      <w:r>
        <w:rPr>
          <w:rFonts w:ascii="Microsoft JhengHei" w:eastAsia="Microsoft JhengHei" w:hint="eastAsia"/>
          <w:b/>
          <w:spacing w:val="-3"/>
          <w:sz w:val="21"/>
        </w:rPr>
        <w:t>如盘状狼疮、仅累及血液及关节的狼疮不在本保单保障范围內。</w:t>
      </w:r>
    </w:p>
    <w:p>
      <w:pPr>
        <w:pStyle w:val="BodyText"/>
        <w:spacing w:line="372" w:lineRule="auto" w:before="130"/>
        <w:ind w:right="3822"/>
      </w:pPr>
      <w:r>
        <w:rPr/>
        <w:t>本病必须由免疫和风湿科专家医师确诊。</w:t>
      </w:r>
      <w:r>
        <w:rPr>
          <w:u w:val="single"/>
        </w:rPr>
        <w:t>世界卫生组织（</w:t>
      </w:r>
      <w:r>
        <w:rPr>
          <w:rFonts w:ascii="Arial" w:eastAsia="Arial"/>
          <w:u w:val="single"/>
        </w:rPr>
        <w:t>WHO</w:t>
      </w:r>
      <w:r>
        <w:rPr>
          <w:u w:val="single"/>
        </w:rPr>
        <w:t>）狼疮性肾炎分型：</w:t>
      </w:r>
    </w:p>
    <w:p>
      <w:pPr>
        <w:pStyle w:val="ListParagraph"/>
        <w:numPr>
          <w:ilvl w:val="1"/>
          <w:numId w:val="13"/>
        </w:numPr>
        <w:tabs>
          <w:tab w:pos="3606" w:val="left" w:leader="none"/>
          <w:tab w:pos="6015" w:val="left" w:leader="none"/>
        </w:tabs>
        <w:spacing w:line="280" w:lineRule="exact" w:before="10" w:after="0"/>
        <w:ind w:left="3605" w:right="0" w:hanging="110"/>
        <w:jc w:val="left"/>
        <w:rPr>
          <w:sz w:val="21"/>
        </w:rPr>
      </w:pPr>
      <w:r>
        <w:rPr>
          <w:sz w:val="21"/>
        </w:rPr>
        <w:t>型（</w:t>
      </w:r>
      <w:r>
        <w:rPr>
          <w:spacing w:val="-3"/>
          <w:sz w:val="21"/>
        </w:rPr>
        <w:t>微</w:t>
      </w:r>
      <w:r>
        <w:rPr>
          <w:sz w:val="21"/>
        </w:rPr>
        <w:t>小</w:t>
      </w:r>
      <w:r>
        <w:rPr>
          <w:spacing w:val="-3"/>
          <w:sz w:val="21"/>
        </w:rPr>
        <w:t>病</w:t>
      </w:r>
      <w:r>
        <w:rPr>
          <w:sz w:val="21"/>
        </w:rPr>
        <w:t>变</w:t>
      </w:r>
      <w:r>
        <w:rPr>
          <w:spacing w:val="-3"/>
          <w:sz w:val="21"/>
        </w:rPr>
        <w:t>型</w:t>
      </w:r>
      <w:r>
        <w:rPr>
          <w:sz w:val="21"/>
        </w:rPr>
        <w:t>）</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ListParagraph"/>
        <w:numPr>
          <w:ilvl w:val="1"/>
          <w:numId w:val="13"/>
        </w:numPr>
        <w:tabs>
          <w:tab w:pos="3664" w:val="left" w:leader="none"/>
          <w:tab w:pos="6015" w:val="left" w:leader="none"/>
        </w:tabs>
        <w:spacing w:line="272" w:lineRule="exact" w:before="0" w:after="0"/>
        <w:ind w:left="3663" w:right="0" w:hanging="168"/>
        <w:jc w:val="left"/>
        <w:rPr>
          <w:sz w:val="21"/>
        </w:rPr>
      </w:pPr>
      <w:r>
        <w:rPr>
          <w:sz w:val="21"/>
        </w:rPr>
        <w:t>型（系</w:t>
      </w:r>
      <w:r>
        <w:rPr>
          <w:spacing w:val="-3"/>
          <w:sz w:val="21"/>
        </w:rPr>
        <w:t>膜</w:t>
      </w:r>
      <w:r>
        <w:rPr>
          <w:sz w:val="21"/>
        </w:rPr>
        <w:t>病</w:t>
      </w:r>
      <w:r>
        <w:rPr>
          <w:spacing w:val="-3"/>
          <w:sz w:val="21"/>
        </w:rPr>
        <w:t>变</w:t>
      </w:r>
      <w:r>
        <w:rPr>
          <w:sz w:val="21"/>
        </w:rPr>
        <w:t>型）</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ListParagraph"/>
        <w:numPr>
          <w:ilvl w:val="1"/>
          <w:numId w:val="13"/>
        </w:numPr>
        <w:tabs>
          <w:tab w:pos="3697" w:val="left" w:leader="none"/>
        </w:tabs>
        <w:spacing w:line="272" w:lineRule="exact" w:before="0" w:after="0"/>
        <w:ind w:left="3696" w:right="0" w:hanging="201"/>
        <w:jc w:val="left"/>
        <w:rPr>
          <w:sz w:val="21"/>
        </w:rPr>
      </w:pPr>
      <w:r>
        <w:rPr>
          <w:spacing w:val="-106"/>
          <w:sz w:val="21"/>
        </w:rPr>
        <w:t>型</w:t>
      </w:r>
      <w:r>
        <w:rPr>
          <w:sz w:val="21"/>
        </w:rPr>
        <w:t>（</w:t>
      </w:r>
      <w:r>
        <w:rPr>
          <w:spacing w:val="-3"/>
          <w:sz w:val="21"/>
        </w:rPr>
        <w:t>局灶及节段增生型</w:t>
      </w:r>
      <w:r>
        <w:rPr>
          <w:sz w:val="21"/>
        </w:rPr>
        <w:t>）</w:t>
      </w:r>
      <w:r>
        <w:rPr>
          <w:spacing w:val="-1"/>
          <w:sz w:val="21"/>
        </w:rPr>
        <w:t> 蛋白尿，尿沉渣改变</w:t>
      </w:r>
    </w:p>
    <w:p>
      <w:pPr>
        <w:pStyle w:val="ListParagraph"/>
        <w:numPr>
          <w:ilvl w:val="1"/>
          <w:numId w:val="13"/>
        </w:numPr>
        <w:tabs>
          <w:tab w:pos="3748" w:val="left" w:leader="none"/>
          <w:tab w:pos="6015" w:val="left" w:leader="none"/>
        </w:tabs>
        <w:spacing w:line="271" w:lineRule="exact" w:before="0" w:after="0"/>
        <w:ind w:left="3747" w:right="0" w:hanging="252"/>
        <w:jc w:val="left"/>
        <w:rPr>
          <w:sz w:val="21"/>
        </w:rPr>
      </w:pPr>
      <w:r>
        <w:rPr>
          <w:sz w:val="21"/>
        </w:rPr>
        <w:t>型</w:t>
      </w:r>
      <w:r>
        <w:rPr>
          <w:spacing w:val="-3"/>
          <w:sz w:val="21"/>
        </w:rPr>
        <w:t>（</w:t>
      </w:r>
      <w:r>
        <w:rPr>
          <w:sz w:val="21"/>
        </w:rPr>
        <w:t>弥</w:t>
      </w:r>
      <w:r>
        <w:rPr>
          <w:spacing w:val="-3"/>
          <w:sz w:val="21"/>
        </w:rPr>
        <w:t>漫</w:t>
      </w:r>
      <w:r>
        <w:rPr>
          <w:sz w:val="21"/>
        </w:rPr>
        <w:t>增</w:t>
      </w:r>
      <w:r>
        <w:rPr>
          <w:spacing w:val="-3"/>
          <w:sz w:val="21"/>
        </w:rPr>
        <w:t>生</w:t>
      </w:r>
      <w:r>
        <w:rPr>
          <w:sz w:val="21"/>
        </w:rPr>
        <w:t>型）</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综合</w:t>
      </w:r>
    </w:p>
    <w:p>
      <w:pPr>
        <w:pStyle w:val="ListParagraph"/>
        <w:numPr>
          <w:ilvl w:val="1"/>
          <w:numId w:val="13"/>
        </w:numPr>
        <w:tabs>
          <w:tab w:pos="3688" w:val="left" w:leader="none"/>
          <w:tab w:pos="5907" w:val="left" w:leader="none"/>
        </w:tabs>
        <w:spacing w:line="280" w:lineRule="exact" w:before="0" w:after="0"/>
        <w:ind w:left="3687" w:right="0" w:hanging="195"/>
        <w:jc w:val="left"/>
        <w:rPr>
          <w:sz w:val="21"/>
        </w:rPr>
      </w:pPr>
      <w:r>
        <w:rPr>
          <w:spacing w:val="-3"/>
          <w:sz w:val="21"/>
        </w:rPr>
        <w:t>型</w:t>
      </w:r>
      <w:r>
        <w:rPr>
          <w:sz w:val="21"/>
        </w:rPr>
        <w:t>（</w:t>
      </w:r>
      <w:r>
        <w:rPr>
          <w:spacing w:val="-3"/>
          <w:sz w:val="21"/>
        </w:rPr>
        <w:t>膜</w:t>
      </w:r>
      <w:r>
        <w:rPr>
          <w:sz w:val="21"/>
        </w:rPr>
        <w:t>型）</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p>
      <w:pPr>
        <w:pStyle w:val="Heading3"/>
        <w:spacing w:before="159"/>
      </w:pPr>
      <w:r>
        <w:rPr>
          <w:rFonts w:ascii="Arial" w:eastAsia="Arial"/>
        </w:rPr>
        <w:t>33.</w:t>
      </w:r>
      <w:r>
        <w:rPr/>
        <w:t>经输血导致的人类免疫缺陷病毒感染（</w:t>
      </w:r>
      <w:r>
        <w:rPr>
          <w:rFonts w:ascii="Arial" w:eastAsia="Arial"/>
        </w:rPr>
        <w:t>HIV</w:t>
      </w:r>
      <w:r>
        <w:rPr/>
        <w:t>）</w:t>
      </w:r>
    </w:p>
    <w:p>
      <w:pPr>
        <w:pStyle w:val="BodyText"/>
        <w:spacing w:before="49"/>
      </w:pPr>
      <w:r>
        <w:rPr/>
        <w:t>是指被保险人感染上人类免疫缺陷病毒并且符合下列所有条件：</w:t>
      </w:r>
    </w:p>
    <w:p>
      <w:pPr>
        <w:pStyle w:val="BodyText"/>
        <w:spacing w:line="225" w:lineRule="auto" w:before="92"/>
        <w:ind w:right="227"/>
      </w:pPr>
      <w:r>
        <w:rPr/>
        <w:t>（</w:t>
      </w:r>
      <w:r>
        <w:rPr>
          <w:rFonts w:ascii="Arial" w:eastAsia="Arial"/>
        </w:rPr>
        <w:t>1</w:t>
      </w:r>
      <w:r>
        <w:rPr/>
        <w:t>）在保障起始日或复效日之后，被保险人因治疗必需而接受输血，并且因输血而感染人类免疫缺陷病毒；</w:t>
      </w:r>
    </w:p>
    <w:p>
      <w:pPr>
        <w:pStyle w:val="BodyText"/>
        <w:spacing w:line="225" w:lineRule="auto" w:before="90"/>
        <w:ind w:right="227"/>
      </w:pPr>
      <w:r>
        <w:rPr/>
        <w:t>（</w:t>
      </w:r>
      <w:r>
        <w:rPr>
          <w:rFonts w:ascii="Arial" w:eastAsia="Arial"/>
        </w:rPr>
        <w:t>2</w:t>
      </w:r>
      <w:r>
        <w:rPr/>
        <w:t>）提供输血治疗的输血中心或医院出具该项输血感染属医疗责任事故的报告， 或者法院终审裁定为医疗责任并且不准上诉；</w:t>
      </w:r>
    </w:p>
    <w:p>
      <w:pPr>
        <w:pStyle w:val="BodyText"/>
        <w:spacing w:before="75"/>
      </w:pPr>
      <w:r>
        <w:rPr/>
        <w:t>（</w:t>
      </w:r>
      <w:r>
        <w:rPr>
          <w:rFonts w:ascii="Arial" w:eastAsia="Arial"/>
        </w:rPr>
        <w:t>3</w:t>
      </w:r>
      <w:r>
        <w:rPr/>
        <w:t>）提供输血治疗的输血中心或医院必须拥有合法经营执照；</w:t>
      </w:r>
    </w:p>
    <w:p>
      <w:pPr>
        <w:pStyle w:val="BodyText"/>
        <w:spacing w:line="248" w:lineRule="exact" w:before="60"/>
      </w:pPr>
      <w:r>
        <w:rPr/>
        <w:t>（</w:t>
      </w:r>
      <w:r>
        <w:rPr>
          <w:rFonts w:ascii="Arial" w:eastAsia="Arial"/>
        </w:rPr>
        <w:t>4</w:t>
      </w:r>
      <w:r>
        <w:rPr/>
        <w:t>）受感染的被保险人不是血友病患者；</w:t>
      </w:r>
    </w:p>
    <w:p>
      <w:pPr>
        <w:pStyle w:val="Heading3"/>
        <w:spacing w:line="177" w:lineRule="auto" w:before="53"/>
        <w:ind w:right="225"/>
      </w:pPr>
      <w:r>
        <w:rPr/>
        <w:t>在任何治愈艾滋病或阻止人类免疫缺陷病毒病毒作用的疗法被发现以后，或能防</w:t>
      </w:r>
      <w:r>
        <w:rPr>
          <w:w w:val="95"/>
        </w:rPr>
        <w:t>止艾滋病发Th的医疗方法被研究出来以后，本保障将不再予以赔付。</w:t>
      </w:r>
    </w:p>
    <w:p>
      <w:pPr>
        <w:spacing w:line="177" w:lineRule="auto" w:before="2"/>
        <w:ind w:left="2199" w:right="225" w:hanging="1"/>
        <w:jc w:val="left"/>
        <w:rPr>
          <w:rFonts w:ascii="Microsoft JhengHei" w:eastAsia="Microsoft JhengHei" w:hint="eastAsia"/>
          <w:b/>
          <w:sz w:val="21"/>
        </w:rPr>
      </w:pPr>
      <w:r>
        <w:rPr>
          <w:rFonts w:ascii="Microsoft JhengHei" w:eastAsia="Microsoft JhengHei" w:hint="eastAsia"/>
          <w:b/>
          <w:sz w:val="21"/>
        </w:rPr>
        <w:t>任何因其他传播方式（包括：性传播或静脉注射毒品）导致的人类免疫缺陷病毒感染不在本附加合同保障范围内。</w:t>
      </w:r>
    </w:p>
    <w:p>
      <w:pPr>
        <w:pStyle w:val="BodyText"/>
        <w:spacing w:line="272" w:lineRule="exact" w:before="2"/>
        <w:ind w:right="225"/>
      </w:pPr>
      <w:r>
        <w:rPr/>
        <w:t>我们拥有获得使用被保险人的血液样本的权利和能够对这些样本进行独立检验的权利。</w:t>
      </w:r>
    </w:p>
    <w:p>
      <w:pPr>
        <w:spacing w:after="0" w:line="272" w:lineRule="exact"/>
        <w:sectPr>
          <w:pgSz w:w="11900" w:h="16840"/>
          <w:pgMar w:header="892" w:footer="549" w:top="1080" w:bottom="740" w:left="1000" w:right="1000"/>
        </w:sectPr>
      </w:pPr>
    </w:p>
    <w:p>
      <w:pPr>
        <w:pStyle w:val="BodyText"/>
        <w:spacing w:before="10"/>
        <w:ind w:left="0"/>
        <w:rPr>
          <w:sz w:val="18"/>
        </w:rPr>
      </w:pPr>
    </w:p>
    <w:p>
      <w:pPr>
        <w:pStyle w:val="Heading3"/>
        <w:spacing w:line="345" w:lineRule="exact"/>
      </w:pPr>
      <w:r>
        <w:rPr>
          <w:rFonts w:ascii="Arial" w:eastAsia="Arial"/>
        </w:rPr>
        <w:t>34.</w:t>
      </w:r>
      <w:r>
        <w:rPr/>
        <w:t>系统性硬皮病</w:t>
      </w:r>
    </w:p>
    <w:p>
      <w:pPr>
        <w:pStyle w:val="BodyText"/>
        <w:spacing w:before="49"/>
        <w:ind w:right="225" w:hanging="1"/>
        <w:jc w:val="both"/>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w:t>
      </w:r>
      <w:r>
        <w:rPr>
          <w:spacing w:val="-10"/>
        </w:rPr>
        <w:t>管、内脏器官异常纤维化为特征的结缔组织病。本病须经专科医师明确诊断，并须</w:t>
      </w:r>
      <w:r>
        <w:rPr>
          <w:spacing w:val="-5"/>
        </w:rPr>
        <w:t>满足下列至少一项条件：</w:t>
      </w:r>
    </w:p>
    <w:p>
      <w:pPr>
        <w:pStyle w:val="ListParagraph"/>
        <w:numPr>
          <w:ilvl w:val="0"/>
          <w:numId w:val="14"/>
        </w:numPr>
        <w:tabs>
          <w:tab w:pos="2946" w:val="left" w:leader="none"/>
        </w:tabs>
        <w:spacing w:line="240" w:lineRule="auto" w:before="73" w:after="0"/>
        <w:ind w:left="2945" w:right="0" w:hanging="746"/>
        <w:jc w:val="both"/>
        <w:rPr>
          <w:sz w:val="21"/>
        </w:rPr>
      </w:pPr>
      <w:r>
        <w:rPr>
          <w:spacing w:val="-3"/>
          <w:sz w:val="21"/>
        </w:rPr>
        <w:t>肺脏：肺部病变进而发展为肺间质纤维化和肺动脉高压；</w:t>
      </w:r>
    </w:p>
    <w:p>
      <w:pPr>
        <w:pStyle w:val="ListParagraph"/>
        <w:numPr>
          <w:ilvl w:val="0"/>
          <w:numId w:val="14"/>
        </w:numPr>
        <w:tabs>
          <w:tab w:pos="2946" w:val="left" w:leader="none"/>
        </w:tabs>
        <w:spacing w:line="282" w:lineRule="exact" w:before="60" w:after="0"/>
        <w:ind w:left="2945" w:right="0" w:hanging="746"/>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5"/>
          <w:sz w:val="21"/>
        </w:rPr>
        <w:t> </w:t>
      </w:r>
      <w:r>
        <w:rPr>
          <w:sz w:val="21"/>
        </w:rPr>
        <w:t>级；</w:t>
      </w:r>
    </w:p>
    <w:p>
      <w:pPr>
        <w:pStyle w:val="ListParagraph"/>
        <w:numPr>
          <w:ilvl w:val="0"/>
          <w:numId w:val="14"/>
        </w:numPr>
        <w:tabs>
          <w:tab w:pos="2946" w:val="left" w:leader="none"/>
        </w:tabs>
        <w:spacing w:line="282" w:lineRule="exact" w:before="0" w:after="0"/>
        <w:ind w:left="2945" w:right="0" w:hanging="746"/>
        <w:jc w:val="both"/>
        <w:rPr>
          <w:sz w:val="21"/>
        </w:rPr>
      </w:pPr>
      <w:r>
        <w:rPr>
          <w:spacing w:val="-3"/>
          <w:sz w:val="21"/>
        </w:rPr>
        <w:t>肾脏：肾脏受损导致双肾功能慢性不可逆衰竭，达到尿毒症期。</w:t>
      </w:r>
    </w:p>
    <w:p>
      <w:pPr>
        <w:pStyle w:val="Heading3"/>
        <w:spacing w:before="157"/>
        <w:jc w:val="both"/>
      </w:pPr>
      <w:r>
        <w:rPr>
          <w:rFonts w:ascii="Arial" w:eastAsia="Arial"/>
        </w:rPr>
        <w:t>35.</w:t>
      </w:r>
      <w:r>
        <w:rPr/>
        <w:t>重症肌无力</w:t>
      </w:r>
    </w:p>
    <w:p>
      <w:pPr>
        <w:pStyle w:val="BodyText"/>
        <w:spacing w:line="237" w:lineRule="auto" w:before="53"/>
        <w:ind w:right="222"/>
        <w:jc w:val="both"/>
      </w:pPr>
      <w:r>
        <w:rPr>
          <w:spacing w:val="-7"/>
        </w:rPr>
        <w:t>是指一种神经与肌肉接头部位传递障碍的自身免疫性疾病，临床特征是局部或全身</w:t>
      </w:r>
      <w:r>
        <w:rPr>
          <w:spacing w:val="-9"/>
        </w:rPr>
        <w:t>横纹肌于活动时易于疲劳无力，颅神经眼外肌最易累及，也可涉及呼吸肌、下肢近</w:t>
      </w:r>
      <w:r>
        <w:rPr>
          <w:spacing w:val="-12"/>
        </w:rPr>
        <w:t>端肌群以至全身肌肉，须经本公司认可的神经科医师确诊。其诊断必须同时具有下</w:t>
      </w:r>
      <w:r>
        <w:rPr>
          <w:spacing w:val="-7"/>
        </w:rPr>
        <w:t>列情况：</w:t>
      </w:r>
    </w:p>
    <w:p>
      <w:pPr>
        <w:pStyle w:val="ListParagraph"/>
        <w:numPr>
          <w:ilvl w:val="0"/>
          <w:numId w:val="15"/>
        </w:numPr>
        <w:tabs>
          <w:tab w:pos="2945" w:val="left" w:leader="none"/>
          <w:tab w:pos="2946" w:val="left" w:leader="none"/>
        </w:tabs>
        <w:spacing w:line="240" w:lineRule="auto" w:before="72" w:after="0"/>
        <w:ind w:left="2933" w:right="0" w:hanging="734"/>
        <w:jc w:val="left"/>
        <w:rPr>
          <w:sz w:val="21"/>
        </w:rPr>
      </w:pPr>
      <w:r>
        <w:rPr>
          <w:spacing w:val="-3"/>
          <w:sz w:val="21"/>
        </w:rPr>
        <w:t>经药物、胸腺手术治疗一年以上无法控制病情，丧失正常工作能力；</w:t>
      </w:r>
    </w:p>
    <w:p>
      <w:pPr>
        <w:pStyle w:val="ListParagraph"/>
        <w:numPr>
          <w:ilvl w:val="0"/>
          <w:numId w:val="15"/>
        </w:numPr>
        <w:tabs>
          <w:tab w:pos="2927" w:val="left" w:leader="none"/>
        </w:tabs>
        <w:spacing w:line="225" w:lineRule="auto" w:before="77" w:after="0"/>
        <w:ind w:left="2933" w:right="222" w:hanging="734"/>
        <w:jc w:val="left"/>
        <w:rPr>
          <w:sz w:val="21"/>
        </w:rPr>
      </w:pPr>
      <w:r>
        <w:rPr>
          <w:spacing w:val="-6"/>
          <w:sz w:val="21"/>
        </w:rPr>
        <w:t>出现眼睑下垂，或延髓肌受累引起的构音困难、进食呛咳</w:t>
      </w:r>
      <w:r>
        <w:rPr>
          <w:rFonts w:ascii="Arial" w:eastAsia="Arial"/>
          <w:spacing w:val="-4"/>
          <w:sz w:val="21"/>
        </w:rPr>
        <w:t>,</w:t>
      </w:r>
      <w:r>
        <w:rPr>
          <w:spacing w:val="-3"/>
          <w:sz w:val="21"/>
        </w:rPr>
        <w:t>或由于肌无力累及延髓肌、呼吸肌而致机体呼吸功能不正常的危急状态即肌无力危象；</w:t>
      </w:r>
    </w:p>
    <w:p>
      <w:pPr>
        <w:pStyle w:val="ListParagraph"/>
        <w:numPr>
          <w:ilvl w:val="0"/>
          <w:numId w:val="15"/>
        </w:numPr>
        <w:tabs>
          <w:tab w:pos="2947" w:val="left" w:leader="none"/>
          <w:tab w:pos="2949" w:val="left" w:leader="none"/>
        </w:tabs>
        <w:spacing w:line="225" w:lineRule="auto" w:before="15" w:after="0"/>
        <w:ind w:left="2933" w:right="225" w:hanging="734"/>
        <w:jc w:val="left"/>
        <w:rPr>
          <w:sz w:val="21"/>
        </w:rPr>
      </w:pPr>
      <w:r>
        <w:rPr>
          <w:spacing w:val="-3"/>
          <w:sz w:val="21"/>
        </w:rPr>
        <w:t>症状缓解、复发及恶化交替出现，临床接受新斯的明等抗胆碱酯酶药物治疗的病史。</w:t>
      </w:r>
    </w:p>
    <w:p>
      <w:pPr>
        <w:pStyle w:val="Heading3"/>
        <w:spacing w:line="353" w:lineRule="exact" w:before="171"/>
      </w:pPr>
      <w:r>
        <w:rPr>
          <w:rFonts w:ascii="Arial" w:eastAsia="Arial"/>
        </w:rPr>
        <w:t>36.</w:t>
      </w:r>
      <w:r>
        <w:rPr/>
        <w:t>严重心肌病</w:t>
      </w:r>
    </w:p>
    <w:p>
      <w:pPr>
        <w:pStyle w:val="BodyText"/>
        <w:spacing w:line="237" w:lineRule="auto"/>
        <w:ind w:right="222"/>
        <w:jc w:val="both"/>
      </w:pPr>
      <w:r>
        <w:rPr>
          <w:spacing w:val="-8"/>
        </w:rPr>
        <w:t>指不明原因引起的一类心肌病变，包括原发性扩张型心肌病、原发性肥厚型心肌病</w:t>
      </w:r>
      <w:r>
        <w:rPr>
          <w:spacing w:val="-12"/>
        </w:rPr>
        <w:t>及原发性限制型心肌病三种，病变必须已造成事实上心室功能障碍而出现明显的心</w:t>
      </w:r>
      <w:r>
        <w:rPr>
          <w:spacing w:val="-7"/>
          <w:w w:val="100"/>
        </w:rPr>
        <w:t>功能衰竭</w:t>
      </w:r>
      <w:r>
        <w:rPr>
          <w:spacing w:val="-3"/>
          <w:w w:val="100"/>
        </w:rPr>
        <w:t>（美国纽约心脏协会心功能分类标准心功能达四级</w:t>
      </w:r>
      <w:r>
        <w:rPr>
          <w:spacing w:val="-108"/>
          <w:w w:val="100"/>
        </w:rPr>
        <w:t>）</w:t>
      </w:r>
      <w:r>
        <w:rPr>
          <w:spacing w:val="-3"/>
          <w:w w:val="100"/>
        </w:rPr>
        <w:t>，且有相关住院医疗</w:t>
      </w:r>
      <w:r>
        <w:rPr>
          <w:spacing w:val="-3"/>
        </w:rPr>
        <w:t>记录显示四级心功能衰竭状态持续至少一百八十天。</w:t>
      </w:r>
    </w:p>
    <w:p>
      <w:pPr>
        <w:pStyle w:val="BodyText"/>
        <w:spacing w:line="237" w:lineRule="auto" w:before="11"/>
        <w:ind w:right="239" w:firstLine="103"/>
      </w:pPr>
      <w:r>
        <w:rPr/>
        <w:t>本病须经专科医生明确诊断。继发于全身性疾病或其它器官系统疾病造成的心肌病变除外。</w:t>
      </w:r>
    </w:p>
    <w:p>
      <w:pPr>
        <w:pStyle w:val="BodyText"/>
        <w:spacing w:before="2"/>
        <w:ind w:left="0"/>
        <w:rPr>
          <w:sz w:val="18"/>
        </w:rPr>
      </w:pPr>
    </w:p>
    <w:p>
      <w:pPr>
        <w:pStyle w:val="BodyText"/>
        <w:ind w:right="225"/>
      </w:pPr>
      <w:r>
        <w:rPr/>
        <w:t>美国纽约心脏协会分类标准心功能四级是指有医院的医疗记录显示病人不能进行任何活动，休息时仍有心悸、呼吸困难等心力衰竭表现。</w:t>
      </w:r>
    </w:p>
    <w:p>
      <w:pPr>
        <w:pStyle w:val="Heading3"/>
        <w:spacing w:line="283" w:lineRule="exact"/>
      </w:pPr>
      <w:r>
        <w:rPr>
          <w:rFonts w:ascii="Arial" w:eastAsia="Arial"/>
        </w:rPr>
        <w:t>37.</w:t>
      </w:r>
      <w:r>
        <w:rPr/>
        <w:t>象皮病</w:t>
      </w:r>
    </w:p>
    <w:p>
      <w:pPr>
        <w:pStyle w:val="BodyText"/>
        <w:spacing w:line="237" w:lineRule="auto"/>
        <w:ind w:right="222"/>
        <w:jc w:val="both"/>
      </w:pPr>
      <w:r>
        <w:rPr>
          <w:spacing w:val="-10"/>
        </w:rPr>
        <w:t>指末期丝虫病，按国际淋巴学会分级为三度淋巴液肿，其临床表现为肢体非凹陷性</w:t>
      </w:r>
      <w:r>
        <w:rPr>
          <w:spacing w:val="-13"/>
        </w:rPr>
        <w:t>水肿伴畸形增大、硬皮症和疣状增生。此病症须经本公司认可的专科医生根据临床</w:t>
      </w:r>
      <w:r>
        <w:rPr>
          <w:spacing w:val="-6"/>
        </w:rPr>
        <w:t>表现和微丝蚴的化验结果确诊。</w:t>
      </w:r>
    </w:p>
    <w:p>
      <w:pPr>
        <w:pStyle w:val="BodyText"/>
        <w:ind w:left="0"/>
        <w:rPr>
          <w:sz w:val="14"/>
        </w:rPr>
      </w:pPr>
    </w:p>
    <w:p>
      <w:pPr>
        <w:pStyle w:val="Heading3"/>
        <w:spacing w:line="352" w:lineRule="exact"/>
      </w:pPr>
      <w:r>
        <w:rPr>
          <w:rFonts w:ascii="Arial" w:eastAsia="Arial"/>
        </w:rPr>
        <w:t>38.</w:t>
      </w:r>
      <w:r>
        <w:rPr/>
        <w:t>溶血性链球菌引起的坏疽</w:t>
      </w:r>
    </w:p>
    <w:p>
      <w:pPr>
        <w:pStyle w:val="BodyText"/>
        <w:spacing w:line="230" w:lineRule="auto"/>
        <w:ind w:right="222"/>
        <w:jc w:val="both"/>
      </w:pPr>
      <w:r>
        <w:rPr/>
        <w:t>包围肢体或躯干的浅筋膜和</w:t>
      </w:r>
      <w:r>
        <w:rPr>
          <w:rFonts w:ascii="Arial" w:eastAsia="Arial"/>
        </w:rPr>
        <w:t>/</w:t>
      </w:r>
      <w:r>
        <w:rPr/>
        <w:t>或深筋膜受到溶血性链球菌的感染，病情在短时间内</w:t>
      </w:r>
      <w:r>
        <w:rPr>
          <w:spacing w:val="-10"/>
        </w:rPr>
        <w:t>急剧恶化，已经立刻进行了手术及清创术。最后的诊断必须由微生物或病理学专家</w:t>
      </w:r>
      <w:r>
        <w:rPr>
          <w:spacing w:val="-5"/>
        </w:rPr>
        <w:t>进行相关检查后证实。</w:t>
      </w:r>
    </w:p>
    <w:p>
      <w:pPr>
        <w:pStyle w:val="Heading3"/>
        <w:spacing w:before="174"/>
        <w:jc w:val="both"/>
      </w:pPr>
      <w:r>
        <w:rPr>
          <w:rFonts w:ascii="Arial" w:eastAsia="Arial"/>
        </w:rPr>
        <w:t>39.</w:t>
      </w:r>
      <w:r>
        <w:rPr/>
        <w:t>坏死性筋膜炎</w:t>
      </w:r>
    </w:p>
    <w:p>
      <w:pPr>
        <w:pStyle w:val="BodyText"/>
        <w:spacing w:before="51"/>
        <w:jc w:val="both"/>
      </w:pPr>
      <w:r>
        <w:rPr/>
        <w:t>坏死性筋膜炎的诊断须同时符合下列要求：</w:t>
      </w:r>
    </w:p>
    <w:p>
      <w:pPr>
        <w:pStyle w:val="ListParagraph"/>
        <w:numPr>
          <w:ilvl w:val="0"/>
          <w:numId w:val="16"/>
        </w:numPr>
        <w:tabs>
          <w:tab w:pos="2946" w:val="left" w:leader="none"/>
        </w:tabs>
        <w:spacing w:line="240" w:lineRule="auto" w:before="75" w:after="0"/>
        <w:ind w:left="2199" w:right="0" w:firstLine="0"/>
        <w:jc w:val="both"/>
        <w:rPr>
          <w:sz w:val="21"/>
        </w:rPr>
      </w:pPr>
      <w:r>
        <w:rPr>
          <w:spacing w:val="-3"/>
          <w:sz w:val="21"/>
        </w:rPr>
        <w:t>符合坏死性筋膜炎的一般临床表现；</w:t>
      </w:r>
    </w:p>
    <w:p>
      <w:pPr>
        <w:pStyle w:val="ListParagraph"/>
        <w:numPr>
          <w:ilvl w:val="0"/>
          <w:numId w:val="16"/>
        </w:numPr>
        <w:tabs>
          <w:tab w:pos="2946" w:val="left" w:leader="none"/>
        </w:tabs>
        <w:spacing w:line="282" w:lineRule="exact" w:before="60" w:after="0"/>
        <w:ind w:left="2199" w:right="0" w:firstLine="0"/>
        <w:jc w:val="both"/>
        <w:rPr>
          <w:sz w:val="21"/>
        </w:rPr>
      </w:pPr>
      <w:r>
        <w:rPr>
          <w:spacing w:val="-3"/>
          <w:sz w:val="21"/>
        </w:rPr>
        <w:t>细菌培养检出致病菌；</w:t>
      </w:r>
    </w:p>
    <w:p>
      <w:pPr>
        <w:pStyle w:val="ListParagraph"/>
        <w:numPr>
          <w:ilvl w:val="0"/>
          <w:numId w:val="16"/>
        </w:numPr>
        <w:tabs>
          <w:tab w:pos="2896" w:val="left" w:leader="none"/>
        </w:tabs>
        <w:spacing w:line="225" w:lineRule="auto" w:before="9" w:after="0"/>
        <w:ind w:left="2199" w:right="117" w:firstLine="0"/>
        <w:jc w:val="left"/>
        <w:rPr>
          <w:sz w:val="21"/>
        </w:rPr>
      </w:pPr>
      <w:r>
        <w:rPr>
          <w:spacing w:val="-7"/>
          <w:sz w:val="21"/>
        </w:rPr>
        <w:t>出现广泛性肌肉及软组织坏死，并导致身体受影响部位永久完全失去功能。所谓永久完全失去功能是指受影响部位的全部功能完全丧失超过 </w:t>
      </w:r>
      <w:r>
        <w:rPr>
          <w:rFonts w:ascii="Arial" w:eastAsia="Arial"/>
          <w:sz w:val="21"/>
        </w:rPr>
        <w:t>180</w:t>
      </w:r>
      <w:r>
        <w:rPr>
          <w:rFonts w:ascii="Arial" w:eastAsia="Arial"/>
          <w:spacing w:val="6"/>
          <w:sz w:val="21"/>
        </w:rPr>
        <w:t> </w:t>
      </w:r>
      <w:r>
        <w:rPr>
          <w:spacing w:val="-2"/>
          <w:sz w:val="21"/>
        </w:rPr>
        <w:t>天者。</w:t>
      </w:r>
    </w:p>
    <w:p>
      <w:pPr>
        <w:pStyle w:val="Heading3"/>
        <w:spacing w:before="157"/>
      </w:pPr>
      <w:r>
        <w:rPr>
          <w:rFonts w:ascii="Arial" w:eastAsia="Arial"/>
        </w:rPr>
        <w:t>40.</w:t>
      </w:r>
      <w:r>
        <w:rPr/>
        <w:t>严重克隆病</w:t>
      </w:r>
    </w:p>
    <w:p>
      <w:pPr>
        <w:pStyle w:val="BodyText"/>
        <w:spacing w:line="237" w:lineRule="auto" w:before="54"/>
        <w:ind w:right="222"/>
        <w:jc w:val="both"/>
      </w:pPr>
      <w:r>
        <w:rPr>
          <w:spacing w:val="-8"/>
        </w:rPr>
        <w:t>克隆病是一种慢性肉芽肿性肠炎，具有特征性的克隆病病理组织学变化。诊断必须</w:t>
      </w:r>
      <w:r>
        <w:rPr>
          <w:spacing w:val="-12"/>
        </w:rPr>
        <w:t>由病理检查结果证实。被保险人所患的克隆病必须已经造成瘘管形成并伴有肠梗阻</w:t>
      </w:r>
      <w:r>
        <w:rPr>
          <w:spacing w:val="-6"/>
        </w:rPr>
        <w:t>或肠穿孔。</w:t>
      </w:r>
    </w:p>
    <w:p>
      <w:pPr>
        <w:spacing w:after="0" w:line="237" w:lineRule="auto"/>
        <w:jc w:val="both"/>
        <w:sectPr>
          <w:pgSz w:w="11900" w:h="16840"/>
          <w:pgMar w:header="892" w:footer="549" w:top="1080" w:bottom="760" w:left="1000" w:right="1000"/>
        </w:sectPr>
      </w:pPr>
    </w:p>
    <w:p>
      <w:pPr>
        <w:pStyle w:val="BodyText"/>
        <w:spacing w:before="10"/>
        <w:ind w:left="0"/>
        <w:rPr>
          <w:sz w:val="18"/>
        </w:rPr>
      </w:pPr>
    </w:p>
    <w:p>
      <w:pPr>
        <w:pStyle w:val="Heading3"/>
        <w:numPr>
          <w:ilvl w:val="0"/>
          <w:numId w:val="17"/>
        </w:numPr>
        <w:tabs>
          <w:tab w:pos="2581" w:val="left" w:leader="none"/>
        </w:tabs>
        <w:spacing w:line="332" w:lineRule="exact" w:before="0" w:after="0"/>
        <w:ind w:left="2580" w:right="0" w:hanging="381"/>
        <w:jc w:val="left"/>
      </w:pPr>
      <w:r>
        <w:rPr>
          <w:spacing w:val="-1"/>
        </w:rPr>
        <w:t>严重的胰岛素依赖型糖尿病</w:t>
      </w:r>
      <w:r>
        <w:rPr/>
        <w:t>（Ｉ</w:t>
      </w:r>
      <w:r>
        <w:rPr>
          <w:spacing w:val="-1"/>
        </w:rPr>
        <w:t>型糖尿病</w:t>
      </w:r>
      <w:r>
        <w:rPr/>
        <w:t>）</w:t>
      </w:r>
    </w:p>
    <w:p>
      <w:pPr>
        <w:pStyle w:val="BodyText"/>
        <w:spacing w:line="260" w:lineRule="exact"/>
        <w:ind w:left="2201"/>
      </w:pPr>
      <w:r>
        <w:rPr/>
        <w:t>经内分泌专科医生明确诊断为Ｉ型糖尿病，且须同时满足下列条件：</w:t>
      </w:r>
    </w:p>
    <w:p>
      <w:pPr>
        <w:pStyle w:val="ListParagraph"/>
        <w:numPr>
          <w:ilvl w:val="0"/>
          <w:numId w:val="18"/>
        </w:numPr>
        <w:tabs>
          <w:tab w:pos="2845" w:val="left" w:leader="none"/>
        </w:tabs>
        <w:spacing w:line="280" w:lineRule="exact" w:before="0" w:after="0"/>
        <w:ind w:left="2844" w:right="0" w:hanging="643"/>
        <w:jc w:val="left"/>
        <w:rPr>
          <w:sz w:val="21"/>
        </w:rPr>
      </w:pPr>
      <w:r>
        <w:rPr>
          <w:spacing w:val="-5"/>
          <w:sz w:val="21"/>
        </w:rPr>
        <w:t>必须持续性地依赖外源性胰岛素维持生命至少 </w:t>
      </w:r>
      <w:r>
        <w:rPr>
          <w:rFonts w:ascii="Arial" w:eastAsia="Arial"/>
          <w:sz w:val="21"/>
        </w:rPr>
        <w:t>180</w:t>
      </w:r>
      <w:r>
        <w:rPr>
          <w:rFonts w:ascii="Arial" w:eastAsia="Arial"/>
          <w:spacing w:val="5"/>
          <w:sz w:val="21"/>
        </w:rPr>
        <w:t> </w:t>
      </w:r>
      <w:r>
        <w:rPr>
          <w:spacing w:val="-3"/>
          <w:sz w:val="21"/>
        </w:rPr>
        <w:t>天以上。</w:t>
      </w:r>
    </w:p>
    <w:p>
      <w:pPr>
        <w:pStyle w:val="ListParagraph"/>
        <w:numPr>
          <w:ilvl w:val="0"/>
          <w:numId w:val="18"/>
        </w:numPr>
        <w:tabs>
          <w:tab w:pos="2845" w:val="left" w:leader="none"/>
        </w:tabs>
        <w:spacing w:line="272" w:lineRule="exact" w:before="0" w:after="0"/>
        <w:ind w:left="2844" w:right="0" w:hanging="643"/>
        <w:jc w:val="left"/>
        <w:rPr>
          <w:sz w:val="21"/>
        </w:rPr>
      </w:pPr>
      <w:r>
        <w:rPr>
          <w:spacing w:val="-9"/>
          <w:sz w:val="21"/>
        </w:rPr>
        <w:t>血胰岛素测定、血 </w:t>
      </w:r>
      <w:r>
        <w:rPr>
          <w:rFonts w:ascii="Arial" w:eastAsia="Arial"/>
          <w:sz w:val="21"/>
        </w:rPr>
        <w:t>C</w:t>
      </w:r>
      <w:r>
        <w:rPr>
          <w:rFonts w:ascii="Arial" w:eastAsia="Arial"/>
          <w:spacing w:val="0"/>
          <w:sz w:val="21"/>
        </w:rPr>
        <w:t> </w:t>
      </w:r>
      <w:r>
        <w:rPr>
          <w:spacing w:val="-11"/>
          <w:sz w:val="21"/>
        </w:rPr>
        <w:t>肽测定或尿 </w:t>
      </w:r>
      <w:r>
        <w:rPr>
          <w:rFonts w:ascii="Arial" w:eastAsia="Arial"/>
          <w:sz w:val="21"/>
        </w:rPr>
        <w:t>C</w:t>
      </w:r>
      <w:r>
        <w:rPr>
          <w:rFonts w:ascii="Arial" w:eastAsia="Arial"/>
          <w:spacing w:val="-1"/>
          <w:sz w:val="21"/>
        </w:rPr>
        <w:t> </w:t>
      </w:r>
      <w:r>
        <w:rPr>
          <w:spacing w:val="-3"/>
          <w:sz w:val="21"/>
        </w:rPr>
        <w:t>肽测定结果异常。</w:t>
      </w:r>
    </w:p>
    <w:p>
      <w:pPr>
        <w:pStyle w:val="ListParagraph"/>
        <w:numPr>
          <w:ilvl w:val="0"/>
          <w:numId w:val="18"/>
        </w:numPr>
        <w:tabs>
          <w:tab w:pos="2845" w:val="left" w:leader="none"/>
        </w:tabs>
        <w:spacing w:line="272" w:lineRule="exact" w:before="0" w:after="0"/>
        <w:ind w:left="2844" w:right="0" w:hanging="643"/>
        <w:jc w:val="left"/>
        <w:rPr>
          <w:sz w:val="21"/>
        </w:rPr>
      </w:pPr>
      <w:r>
        <w:rPr>
          <w:spacing w:val="-3"/>
          <w:sz w:val="21"/>
        </w:rPr>
        <w:t>出现下述三种并发症之一或一种以上：</w:t>
      </w:r>
    </w:p>
    <w:p>
      <w:pPr>
        <w:pStyle w:val="BodyText"/>
        <w:spacing w:line="265" w:lineRule="exact"/>
        <w:ind w:left="2830"/>
      </w:pPr>
      <w:r>
        <w:rPr/>
        <w:t>① 并发增殖性视网膜病变；</w:t>
      </w:r>
    </w:p>
    <w:p>
      <w:pPr>
        <w:pStyle w:val="BodyText"/>
        <w:spacing w:line="272" w:lineRule="exact"/>
        <w:ind w:left="2830"/>
      </w:pPr>
      <w:r>
        <w:rPr/>
        <w:t>② 并发心脏病变，并须植入心脏起搏器进行治疗；</w:t>
      </w:r>
    </w:p>
    <w:p>
      <w:pPr>
        <w:pStyle w:val="BodyText"/>
        <w:spacing w:line="273" w:lineRule="exact"/>
        <w:ind w:left="2830"/>
      </w:pPr>
      <w:r>
        <w:rPr/>
        <w:t>③ 至少一个脚趾发生坏疽并已达到手术切除指征。</w:t>
      </w:r>
    </w:p>
    <w:p>
      <w:pPr>
        <w:pStyle w:val="BodyText"/>
        <w:spacing w:before="2"/>
        <w:ind w:left="0"/>
        <w:rPr>
          <w:sz w:val="19"/>
        </w:rPr>
      </w:pPr>
    </w:p>
    <w:p>
      <w:pPr>
        <w:pStyle w:val="Heading3"/>
        <w:numPr>
          <w:ilvl w:val="0"/>
          <w:numId w:val="17"/>
        </w:numPr>
        <w:tabs>
          <w:tab w:pos="2581" w:val="left" w:leader="none"/>
        </w:tabs>
        <w:spacing w:line="240" w:lineRule="auto" w:before="0" w:after="0"/>
        <w:ind w:left="2580" w:right="0" w:hanging="381"/>
        <w:jc w:val="left"/>
      </w:pPr>
      <w:r>
        <w:rPr/>
        <w:t>脊髓灰质炎</w:t>
      </w:r>
    </w:p>
    <w:p>
      <w:pPr>
        <w:pStyle w:val="BodyText"/>
        <w:spacing w:line="235" w:lineRule="auto" w:before="54"/>
        <w:ind w:right="222"/>
      </w:pPr>
      <w:r>
        <w:rPr>
          <w:spacing w:val="-8"/>
        </w:rPr>
        <w:t>是由于脊髓灰质炎病毒感染所致的瘫痪性疾病，临床表现为运动功能损害或呼吸无</w:t>
      </w:r>
      <w:r>
        <w:rPr>
          <w:spacing w:val="-12"/>
        </w:rPr>
        <w:t>力。脊髓灰质炎必须明确诊断。本保单仅对脊髓灰质炎造成的神经系统功能损害导</w:t>
      </w:r>
      <w:r>
        <w:rPr>
          <w:spacing w:val="-9"/>
        </w:rPr>
        <w:t>致被保险人一肢或一肢以上肢体机能永久完全丧失的情况予以理赔。肢体机能永久完全丧失，指疾病确诊 </w:t>
      </w:r>
      <w:r>
        <w:rPr>
          <w:rFonts w:ascii="Arial" w:eastAsia="Arial"/>
        </w:rPr>
        <w:t>180 </w:t>
      </w:r>
      <w:r>
        <w:rPr>
          <w:spacing w:val="-3"/>
        </w:rPr>
        <w:t>天后，每肢三大关节中的两大关节仍然完全僵硬，或不能随意识活动。</w:t>
      </w:r>
    </w:p>
    <w:p>
      <w:pPr>
        <w:pStyle w:val="BodyText"/>
        <w:spacing w:before="12"/>
        <w:ind w:left="0"/>
        <w:rPr>
          <w:sz w:val="18"/>
        </w:rPr>
      </w:pPr>
    </w:p>
    <w:p>
      <w:pPr>
        <w:pStyle w:val="Heading3"/>
        <w:numPr>
          <w:ilvl w:val="0"/>
          <w:numId w:val="17"/>
        </w:numPr>
        <w:tabs>
          <w:tab w:pos="2581" w:val="left" w:leader="none"/>
        </w:tabs>
        <w:spacing w:line="240" w:lineRule="auto" w:before="1" w:after="0"/>
        <w:ind w:left="2580" w:right="0" w:hanging="381"/>
        <w:jc w:val="left"/>
      </w:pPr>
      <w:r>
        <w:rPr/>
        <w:t>严重溃疡性结肠炎</w:t>
      </w:r>
    </w:p>
    <w:p>
      <w:pPr>
        <w:pStyle w:val="BodyText"/>
        <w:spacing w:line="237" w:lineRule="auto" w:before="54"/>
        <w:ind w:right="222"/>
        <w:jc w:val="both"/>
      </w:pPr>
      <w:r>
        <w:rPr>
          <w:spacing w:val="-6"/>
        </w:rPr>
        <w:t>溃疡性结肠炎是指伴有致命性电解质紊乱的急性暴发性溃疡性结肠炎，病变累及全</w:t>
      </w:r>
      <w:r>
        <w:rPr>
          <w:spacing w:val="-11"/>
        </w:rPr>
        <w:t>结肠，表现为严重的血便和系统性症状体征，治疗通常采取全结肠切除和回肠造瘘术。溃疡性结肠炎必须根据组织病理学特点诊断，并且被保险人已经接受了结肠切</w:t>
      </w:r>
      <w:r>
        <w:rPr>
          <w:spacing w:val="-6"/>
        </w:rPr>
        <w:t>除和回肠造瘘术。</w:t>
      </w:r>
    </w:p>
    <w:p>
      <w:pPr>
        <w:pStyle w:val="BodyText"/>
        <w:spacing w:before="12"/>
        <w:ind w:left="0"/>
        <w:rPr>
          <w:sz w:val="18"/>
        </w:rPr>
      </w:pPr>
    </w:p>
    <w:p>
      <w:pPr>
        <w:pStyle w:val="Heading3"/>
        <w:numPr>
          <w:ilvl w:val="0"/>
          <w:numId w:val="17"/>
        </w:numPr>
        <w:tabs>
          <w:tab w:pos="2596" w:val="left" w:leader="none"/>
        </w:tabs>
        <w:spacing w:line="353" w:lineRule="exact" w:before="0" w:after="0"/>
        <w:ind w:left="2595" w:right="0" w:hanging="396"/>
        <w:jc w:val="left"/>
      </w:pPr>
      <w:r>
        <w:rPr/>
        <w:t>植物人</w:t>
      </w:r>
    </w:p>
    <w:p>
      <w:pPr>
        <w:pStyle w:val="BodyText"/>
        <w:spacing w:line="225" w:lineRule="auto" w:before="4"/>
        <w:ind w:right="117"/>
      </w:pPr>
      <w:r>
        <w:rPr/>
        <w:t>指脑皮质广泛性坏死而导致对自身及周边的认知能力完全丧失</w:t>
      </w:r>
      <w:r>
        <w:rPr>
          <w:rFonts w:ascii="Arial" w:eastAsia="Arial"/>
        </w:rPr>
        <w:t>,</w:t>
      </w:r>
      <w:r>
        <w:rPr/>
        <w:t>但脑干功能依然存</w:t>
      </w:r>
      <w:r>
        <w:rPr>
          <w:spacing w:val="-8"/>
          <w:w w:val="100"/>
        </w:rPr>
        <w:t>在。必须由神经专科医生明确诊断</w:t>
      </w:r>
      <w:r>
        <w:rPr>
          <w:rFonts w:ascii="Arial" w:eastAsia="Arial"/>
          <w:spacing w:val="-2"/>
          <w:w w:val="100"/>
        </w:rPr>
        <w:t>,</w:t>
      </w:r>
      <w:r>
        <w:rPr>
          <w:spacing w:val="-9"/>
          <w:w w:val="100"/>
        </w:rPr>
        <w:t>并有头颅断层扫描</w:t>
      </w:r>
      <w:r>
        <w:rPr>
          <w:spacing w:val="-3"/>
          <w:w w:val="100"/>
        </w:rPr>
        <w:t>（</w:t>
      </w:r>
      <w:r>
        <w:rPr>
          <w:rFonts w:ascii="Arial" w:eastAsia="Arial"/>
          <w:spacing w:val="0"/>
          <w:w w:val="100"/>
        </w:rPr>
        <w:t>C</w:t>
      </w:r>
      <w:r>
        <w:rPr>
          <w:rFonts w:ascii="Arial" w:eastAsia="Arial"/>
          <w:w w:val="100"/>
        </w:rPr>
        <w:t>T</w:t>
      </w:r>
      <w:r>
        <w:rPr>
          <w:spacing w:val="-108"/>
          <w:w w:val="100"/>
        </w:rPr>
        <w:t>）</w:t>
      </w:r>
      <w:r>
        <w:rPr>
          <w:spacing w:val="-16"/>
          <w:w w:val="100"/>
        </w:rPr>
        <w:t>，核磁共振检查</w:t>
      </w:r>
      <w:r>
        <w:rPr>
          <w:spacing w:val="-3"/>
          <w:w w:val="100"/>
        </w:rPr>
        <w:t>（</w:t>
      </w:r>
      <w:r>
        <w:rPr>
          <w:rFonts w:ascii="Arial" w:eastAsia="Arial"/>
          <w:spacing w:val="-1"/>
          <w:w w:val="100"/>
        </w:rPr>
        <w:t>M</w:t>
      </w:r>
      <w:r>
        <w:rPr>
          <w:rFonts w:ascii="Arial" w:eastAsia="Arial"/>
          <w:spacing w:val="0"/>
          <w:w w:val="100"/>
        </w:rPr>
        <w:t>R</w:t>
      </w:r>
      <w:r>
        <w:rPr>
          <w:rFonts w:ascii="Arial" w:eastAsia="Arial"/>
          <w:spacing w:val="-2"/>
          <w:w w:val="100"/>
        </w:rPr>
        <w:t>I</w:t>
      </w:r>
      <w:r>
        <w:rPr>
          <w:w w:val="100"/>
        </w:rPr>
        <w:t>）</w:t>
      </w:r>
      <w:r>
        <w:rPr>
          <w:spacing w:val="-3"/>
        </w:rPr>
        <w:t>或正电子发射断层扫描</w:t>
      </w:r>
      <w:r>
        <w:rPr>
          <w:spacing w:val="-1"/>
        </w:rPr>
        <w:t>（</w:t>
      </w:r>
      <w:r>
        <w:rPr>
          <w:rFonts w:ascii="Arial" w:eastAsia="Arial"/>
          <w:spacing w:val="-1"/>
        </w:rPr>
        <w:t>PET</w:t>
      </w:r>
      <w:r>
        <w:rPr>
          <w:spacing w:val="-1"/>
        </w:rPr>
        <w:t>）</w:t>
      </w:r>
      <w:r>
        <w:rPr>
          <w:spacing w:val="-3"/>
        </w:rPr>
        <w:t>等影像学检查证实。</w:t>
      </w:r>
    </w:p>
    <w:p>
      <w:pPr>
        <w:pStyle w:val="Heading3"/>
        <w:spacing w:line="180" w:lineRule="auto" w:before="82"/>
        <w:ind w:right="321"/>
      </w:pPr>
      <w:r>
        <w:rPr/>
        <w:t>上述情况必须有至少一个月的病历记录加以证实。由于酗酒或滥用药物所致的植物人状态不在保障范围内。</w:t>
      </w:r>
    </w:p>
    <w:p>
      <w:pPr>
        <w:pStyle w:val="BodyText"/>
        <w:spacing w:before="8"/>
        <w:ind w:left="0"/>
        <w:rPr>
          <w:rFonts w:ascii="Microsoft JhengHei"/>
          <w:b/>
          <w:sz w:val="12"/>
        </w:rPr>
      </w:pPr>
    </w:p>
    <w:p>
      <w:pPr>
        <w:pStyle w:val="ListParagraph"/>
        <w:numPr>
          <w:ilvl w:val="0"/>
          <w:numId w:val="17"/>
        </w:numPr>
        <w:tabs>
          <w:tab w:pos="2596" w:val="left" w:leader="none"/>
        </w:tabs>
        <w:spacing w:line="240" w:lineRule="auto" w:before="0" w:after="0"/>
        <w:ind w:left="2595" w:right="0" w:hanging="396"/>
        <w:jc w:val="left"/>
        <w:rPr>
          <w:rFonts w:ascii="Microsoft JhengHei" w:eastAsia="Microsoft JhengHei" w:hint="eastAsia"/>
          <w:b/>
          <w:sz w:val="21"/>
        </w:rPr>
      </w:pPr>
      <w:r>
        <w:rPr>
          <w:rFonts w:ascii="Microsoft JhengHei" w:eastAsia="Microsoft JhengHei" w:hint="eastAsia"/>
          <w:b/>
          <w:sz w:val="21"/>
        </w:rPr>
        <w:t>严重肌营养不良症</w:t>
      </w:r>
    </w:p>
    <w:p>
      <w:pPr>
        <w:pStyle w:val="BodyText"/>
        <w:spacing w:before="51"/>
        <w:ind w:right="222"/>
      </w:pPr>
      <w:r>
        <w:rPr>
          <w:spacing w:val="-8"/>
        </w:rPr>
        <w:t>是一组原发于肌肉的遗传性的肌肉病变。主要临床特征为受累骨骼肌肉的无力和肌</w:t>
      </w:r>
      <w:r>
        <w:rPr>
          <w:spacing w:val="-5"/>
        </w:rPr>
        <w:t>肉萎缩。经我们认可的神经专科医生确认符合以下四项诊断指标中的三项：</w:t>
      </w:r>
    </w:p>
    <w:p>
      <w:pPr>
        <w:pStyle w:val="BodyText"/>
        <w:spacing w:before="72"/>
      </w:pPr>
      <w:r>
        <w:rPr/>
        <w:t>（</w:t>
      </w:r>
      <w:r>
        <w:rPr>
          <w:rFonts w:ascii="Arial" w:eastAsia="Arial"/>
        </w:rPr>
        <w:t>1</w:t>
      </w:r>
      <w:r>
        <w:rPr/>
        <w:t>）家族史中有其他成员患相同疾病；</w:t>
      </w:r>
    </w:p>
    <w:p>
      <w:pPr>
        <w:pStyle w:val="BodyText"/>
        <w:spacing w:before="60"/>
      </w:pPr>
      <w:r>
        <w:rPr/>
        <w:t>（</w:t>
      </w:r>
      <w:r>
        <w:rPr>
          <w:rFonts w:ascii="Arial" w:eastAsia="Arial"/>
        </w:rPr>
        <w:t>2</w:t>
      </w:r>
      <w:r>
        <w:rPr/>
        <w:t>）临床表现包括：无感觉神经紊乱，正常脑脊液及轻微腱反射的减退；</w:t>
      </w:r>
    </w:p>
    <w:p>
      <w:pPr>
        <w:pStyle w:val="BodyText"/>
        <w:spacing w:before="60"/>
      </w:pPr>
      <w:r>
        <w:rPr/>
        <w:t>（</w:t>
      </w:r>
      <w:r>
        <w:rPr>
          <w:rFonts w:ascii="Arial" w:eastAsia="Arial"/>
        </w:rPr>
        <w:t>3</w:t>
      </w:r>
      <w:r>
        <w:rPr/>
        <w:t>）典型的肌电图；</w:t>
      </w:r>
    </w:p>
    <w:p>
      <w:pPr>
        <w:pStyle w:val="BodyText"/>
        <w:spacing w:before="60"/>
      </w:pPr>
      <w:r>
        <w:rPr/>
        <w:t>（</w:t>
      </w:r>
      <w:r>
        <w:rPr>
          <w:rFonts w:ascii="Arial" w:eastAsia="Arial"/>
        </w:rPr>
        <w:t>4</w:t>
      </w:r>
      <w:r>
        <w:rPr/>
        <w:t>）临床推测必须有肌肉或组织检查加以证实。</w:t>
      </w:r>
    </w:p>
    <w:p>
      <w:pPr>
        <w:pStyle w:val="BodyText"/>
        <w:spacing w:before="6"/>
        <w:ind w:left="0"/>
        <w:rPr>
          <w:sz w:val="17"/>
        </w:rPr>
      </w:pPr>
    </w:p>
    <w:p>
      <w:pPr>
        <w:pStyle w:val="Heading3"/>
        <w:numPr>
          <w:ilvl w:val="0"/>
          <w:numId w:val="17"/>
        </w:numPr>
        <w:tabs>
          <w:tab w:pos="2596" w:val="left" w:leader="none"/>
        </w:tabs>
        <w:spacing w:line="240" w:lineRule="auto" w:before="0" w:after="0"/>
        <w:ind w:left="2595" w:right="0" w:hanging="396"/>
        <w:jc w:val="left"/>
      </w:pPr>
      <w:r>
        <w:rPr/>
        <w:t>严重哮喘</w:t>
      </w:r>
    </w:p>
    <w:p>
      <w:pPr>
        <w:pStyle w:val="BodyText"/>
        <w:spacing w:before="48"/>
        <w:ind w:right="222"/>
      </w:pPr>
      <w:r>
        <w:rPr>
          <w:spacing w:val="-8"/>
        </w:rPr>
        <w:t>指一种反复发作的严重支气管阻塞性疾病，经我们认可的专科医生确诊，且必须同</w:t>
      </w:r>
      <w:r>
        <w:rPr>
          <w:spacing w:val="-5"/>
        </w:rPr>
        <w:t>时符合下列标准：</w:t>
      </w:r>
    </w:p>
    <w:p>
      <w:pPr>
        <w:pStyle w:val="ListParagraph"/>
        <w:numPr>
          <w:ilvl w:val="0"/>
          <w:numId w:val="19"/>
        </w:numPr>
        <w:tabs>
          <w:tab w:pos="2560" w:val="left" w:leader="none"/>
        </w:tabs>
        <w:spacing w:line="240" w:lineRule="auto" w:before="75" w:after="0"/>
        <w:ind w:left="2559" w:right="0" w:hanging="360"/>
        <w:jc w:val="left"/>
        <w:rPr>
          <w:sz w:val="21"/>
        </w:rPr>
      </w:pPr>
      <w:r>
        <w:rPr>
          <w:spacing w:val="-3"/>
          <w:sz w:val="21"/>
        </w:rPr>
        <w:t>过去两年曾因哮喘持续状态住院治疗，并提供完整住院记录；</w:t>
      </w:r>
    </w:p>
    <w:p>
      <w:pPr>
        <w:pStyle w:val="ListParagraph"/>
        <w:numPr>
          <w:ilvl w:val="0"/>
          <w:numId w:val="19"/>
        </w:numPr>
        <w:tabs>
          <w:tab w:pos="2560" w:val="left" w:leader="none"/>
        </w:tabs>
        <w:spacing w:line="240" w:lineRule="auto" w:before="61" w:after="0"/>
        <w:ind w:left="2559" w:right="0" w:hanging="360"/>
        <w:jc w:val="left"/>
        <w:rPr>
          <w:sz w:val="21"/>
        </w:rPr>
      </w:pPr>
      <w:r>
        <w:rPr>
          <w:spacing w:val="-3"/>
          <w:sz w:val="21"/>
        </w:rPr>
        <w:t>因慢性过度换气导致胸廓畸形；</w:t>
      </w:r>
    </w:p>
    <w:p>
      <w:pPr>
        <w:pStyle w:val="ListParagraph"/>
        <w:numPr>
          <w:ilvl w:val="0"/>
          <w:numId w:val="19"/>
        </w:numPr>
        <w:tabs>
          <w:tab w:pos="2560" w:val="left" w:leader="none"/>
        </w:tabs>
        <w:spacing w:line="240" w:lineRule="auto" w:before="61" w:after="0"/>
        <w:ind w:left="2559" w:right="0" w:hanging="360"/>
        <w:jc w:val="left"/>
        <w:rPr>
          <w:sz w:val="21"/>
        </w:rPr>
      </w:pPr>
      <w:r>
        <w:rPr>
          <w:spacing w:val="-3"/>
          <w:sz w:val="21"/>
        </w:rPr>
        <w:t>在家中需要医生处方的氧气治疗法；</w:t>
      </w:r>
    </w:p>
    <w:p>
      <w:pPr>
        <w:pStyle w:val="ListParagraph"/>
        <w:numPr>
          <w:ilvl w:val="0"/>
          <w:numId w:val="19"/>
        </w:numPr>
        <w:tabs>
          <w:tab w:pos="2560" w:val="left" w:leader="none"/>
        </w:tabs>
        <w:spacing w:line="240" w:lineRule="auto" w:before="61" w:after="0"/>
        <w:ind w:left="2559" w:right="0" w:hanging="360"/>
        <w:jc w:val="left"/>
        <w:rPr>
          <w:sz w:val="21"/>
        </w:rPr>
      </w:pPr>
      <w:r>
        <w:rPr>
          <w:spacing w:val="-3"/>
          <w:sz w:val="21"/>
        </w:rPr>
        <w:t>持续日常服用口服类固醇激素治疗持续至少六个月。</w:t>
      </w:r>
    </w:p>
    <w:p>
      <w:pPr>
        <w:pStyle w:val="BodyText"/>
        <w:ind w:left="0"/>
        <w:rPr>
          <w:sz w:val="18"/>
        </w:rPr>
      </w:pPr>
    </w:p>
    <w:p>
      <w:pPr>
        <w:pStyle w:val="Heading3"/>
        <w:numPr>
          <w:ilvl w:val="0"/>
          <w:numId w:val="17"/>
        </w:numPr>
        <w:tabs>
          <w:tab w:pos="2596" w:val="left" w:leader="none"/>
        </w:tabs>
        <w:spacing w:line="240" w:lineRule="auto" w:before="1" w:after="0"/>
        <w:ind w:left="2595" w:right="0" w:hanging="396"/>
        <w:jc w:val="left"/>
      </w:pPr>
      <w:r>
        <w:rPr>
          <w:spacing w:val="-1"/>
        </w:rPr>
        <w:t>慢性肾上腺皮质功能衰竭</w:t>
      </w:r>
    </w:p>
    <w:p>
      <w:pPr>
        <w:pStyle w:val="BodyText"/>
        <w:spacing w:before="49"/>
        <w:ind w:right="119"/>
      </w:pPr>
      <w:r>
        <w:rPr>
          <w:spacing w:val="-9"/>
        </w:rPr>
        <w:t>因为自身免疫功能紊乱，使肾上腺组织逐渐受损，而需要长期接受糖皮质激素及肾</w:t>
      </w:r>
      <w:r>
        <w:rPr>
          <w:spacing w:val="-17"/>
        </w:rPr>
        <w:t>上腺皮质激素替代疗法。该病必须经内分泌专科医生确诊，并有以下报告作为证据：</w:t>
      </w:r>
    </w:p>
    <w:p>
      <w:pPr>
        <w:spacing w:after="0"/>
        <w:sectPr>
          <w:pgSz w:w="11900" w:h="16840"/>
          <w:pgMar w:header="892" w:footer="549" w:top="1080" w:bottom="760" w:left="1000" w:right="1000"/>
        </w:sectPr>
      </w:pPr>
    </w:p>
    <w:p>
      <w:pPr>
        <w:pStyle w:val="BodyText"/>
        <w:spacing w:before="9"/>
        <w:ind w:left="0"/>
        <w:rPr>
          <w:sz w:val="24"/>
        </w:rPr>
      </w:pPr>
    </w:p>
    <w:p>
      <w:pPr>
        <w:pStyle w:val="ListParagraph"/>
        <w:numPr>
          <w:ilvl w:val="0"/>
          <w:numId w:val="20"/>
        </w:numPr>
        <w:tabs>
          <w:tab w:pos="2560" w:val="left" w:leader="none"/>
        </w:tabs>
        <w:spacing w:line="240" w:lineRule="auto" w:before="46" w:after="0"/>
        <w:ind w:left="2559" w:right="0" w:hanging="360"/>
        <w:jc w:val="left"/>
        <w:rPr>
          <w:sz w:val="21"/>
        </w:rPr>
      </w:pPr>
      <w:r>
        <w:rPr>
          <w:spacing w:val="-2"/>
          <w:sz w:val="21"/>
        </w:rPr>
        <w:t>促肾上腺皮质激素</w:t>
      </w:r>
      <w:r>
        <w:rPr>
          <w:rFonts w:ascii="Arial" w:eastAsia="Arial"/>
          <w:spacing w:val="-2"/>
          <w:sz w:val="21"/>
        </w:rPr>
        <w:t>(ACTH)</w:t>
      </w:r>
      <w:r>
        <w:rPr>
          <w:spacing w:val="-3"/>
          <w:sz w:val="21"/>
        </w:rPr>
        <w:t>刺激试验；</w:t>
      </w:r>
    </w:p>
    <w:p>
      <w:pPr>
        <w:pStyle w:val="ListParagraph"/>
        <w:numPr>
          <w:ilvl w:val="0"/>
          <w:numId w:val="20"/>
        </w:numPr>
        <w:tabs>
          <w:tab w:pos="2560" w:val="left" w:leader="none"/>
        </w:tabs>
        <w:spacing w:line="240" w:lineRule="auto" w:before="60" w:after="0"/>
        <w:ind w:left="2559" w:right="0" w:hanging="360"/>
        <w:jc w:val="left"/>
        <w:rPr>
          <w:sz w:val="21"/>
        </w:rPr>
      </w:pPr>
      <w:r>
        <w:rPr>
          <w:spacing w:val="-3"/>
          <w:sz w:val="21"/>
        </w:rPr>
        <w:t>胰岛素血糖减少测试；</w:t>
      </w:r>
    </w:p>
    <w:p>
      <w:pPr>
        <w:pStyle w:val="ListParagraph"/>
        <w:numPr>
          <w:ilvl w:val="0"/>
          <w:numId w:val="20"/>
        </w:numPr>
        <w:tabs>
          <w:tab w:pos="2560" w:val="left" w:leader="none"/>
        </w:tabs>
        <w:spacing w:line="240" w:lineRule="auto" w:before="60" w:after="0"/>
        <w:ind w:left="2559" w:right="0" w:hanging="360"/>
        <w:jc w:val="left"/>
        <w:rPr>
          <w:sz w:val="21"/>
        </w:rPr>
      </w:pPr>
      <w:r>
        <w:rPr>
          <w:spacing w:val="-3"/>
          <w:sz w:val="21"/>
        </w:rPr>
        <w:t>血浆促肾上腺皮质激素</w:t>
      </w:r>
      <w:r>
        <w:rPr>
          <w:rFonts w:ascii="Arial" w:eastAsia="Arial"/>
          <w:sz w:val="21"/>
        </w:rPr>
        <w:t>(ACTH)</w:t>
      </w:r>
      <w:r>
        <w:rPr>
          <w:spacing w:val="-3"/>
          <w:sz w:val="21"/>
        </w:rPr>
        <w:t>水平测定；</w:t>
      </w:r>
    </w:p>
    <w:p>
      <w:pPr>
        <w:pStyle w:val="ListParagraph"/>
        <w:numPr>
          <w:ilvl w:val="0"/>
          <w:numId w:val="20"/>
        </w:numPr>
        <w:tabs>
          <w:tab w:pos="2560" w:val="left" w:leader="none"/>
        </w:tabs>
        <w:spacing w:line="287" w:lineRule="exact" w:before="60" w:after="0"/>
        <w:ind w:left="2559" w:right="0" w:hanging="360"/>
        <w:jc w:val="left"/>
        <w:rPr>
          <w:sz w:val="21"/>
        </w:rPr>
      </w:pPr>
      <w:r>
        <w:rPr>
          <w:spacing w:val="-2"/>
          <w:sz w:val="21"/>
        </w:rPr>
        <w:t>血浆肾素活性</w:t>
      </w:r>
      <w:r>
        <w:rPr>
          <w:rFonts w:ascii="Arial" w:eastAsia="Arial"/>
          <w:spacing w:val="-1"/>
          <w:sz w:val="21"/>
        </w:rPr>
        <w:t>(PRA)</w:t>
      </w:r>
      <w:r>
        <w:rPr>
          <w:spacing w:val="-2"/>
          <w:sz w:val="21"/>
        </w:rPr>
        <w:t>测定</w:t>
      </w:r>
    </w:p>
    <w:p>
      <w:pPr>
        <w:pStyle w:val="Heading3"/>
        <w:spacing w:line="180" w:lineRule="auto" w:before="87"/>
        <w:ind w:right="321"/>
      </w:pPr>
      <w:r>
        <w:rPr/>
        <w:t>慢性肾上腺皮质功能衰竭只对由自身免疫功能紊乱引起的承担保险责任，其他原因引起的除外。</w:t>
      </w:r>
    </w:p>
    <w:p>
      <w:pPr>
        <w:pStyle w:val="BodyText"/>
        <w:spacing w:before="15"/>
        <w:ind w:left="0"/>
        <w:rPr>
          <w:rFonts w:ascii="Microsoft JhengHei"/>
          <w:b/>
          <w:sz w:val="12"/>
        </w:rPr>
      </w:pPr>
    </w:p>
    <w:p>
      <w:pPr>
        <w:pStyle w:val="ListParagraph"/>
        <w:numPr>
          <w:ilvl w:val="0"/>
          <w:numId w:val="17"/>
        </w:numPr>
        <w:tabs>
          <w:tab w:pos="2596" w:val="left" w:leader="none"/>
        </w:tabs>
        <w:spacing w:line="240" w:lineRule="auto" w:before="0" w:after="0"/>
        <w:ind w:left="2595" w:right="0" w:hanging="396"/>
        <w:jc w:val="left"/>
        <w:rPr>
          <w:rFonts w:ascii="Microsoft JhengHei" w:eastAsia="Microsoft JhengHei" w:hint="eastAsia"/>
          <w:b/>
          <w:sz w:val="21"/>
        </w:rPr>
      </w:pPr>
      <w:r>
        <w:rPr>
          <w:rFonts w:ascii="Microsoft JhengHei" w:eastAsia="Microsoft JhengHei" w:hint="eastAsia"/>
          <w:b/>
          <w:spacing w:val="-1"/>
          <w:sz w:val="21"/>
        </w:rPr>
        <w:t>非阿尔茨海默病所致严重痴呆</w:t>
      </w:r>
    </w:p>
    <w:p>
      <w:pPr>
        <w:pStyle w:val="BodyText"/>
        <w:spacing w:line="237" w:lineRule="auto" w:before="54"/>
        <w:ind w:right="134"/>
      </w:pPr>
      <w:r>
        <w:rPr>
          <w:spacing w:val="-3"/>
        </w:rPr>
        <w:t>指因阿尔茨海默病以外的脑的器质性疾病造成脑功能衰竭导致永久不可逆性的严 </w:t>
      </w:r>
      <w:r>
        <w:rPr>
          <w:spacing w:val="-10"/>
        </w:rPr>
        <w:t>重痴呆，临床表现为明显的认知能力障碍、行为异常和社交能力减退。被保险人自</w:t>
      </w:r>
      <w:r>
        <w:rPr>
          <w:spacing w:val="-5"/>
        </w:rPr>
        <w:t>主生活能力完全丧失，无法独立完成六项基本日常生活活动中的三项或三项以上，</w:t>
      </w:r>
    </w:p>
    <w:p>
      <w:pPr>
        <w:spacing w:line="189" w:lineRule="auto" w:before="56"/>
        <w:ind w:left="2199" w:right="222" w:firstLine="0"/>
        <w:jc w:val="left"/>
        <w:rPr>
          <w:rFonts w:ascii="Microsoft JhengHei" w:eastAsia="Microsoft JhengHei" w:hint="eastAsia"/>
          <w:b/>
          <w:sz w:val="21"/>
        </w:rPr>
      </w:pPr>
      <w:r>
        <w:rPr>
          <w:spacing w:val="-8"/>
          <w:sz w:val="21"/>
        </w:rPr>
        <w:t>日常生活必须持续受到他人监护。导致痴呆的疾病必须明确诊断，并且由完整的临</w:t>
      </w:r>
      <w:r>
        <w:rPr>
          <w:spacing w:val="-5"/>
          <w:sz w:val="21"/>
        </w:rPr>
        <w:t>床、实验室和影像学检查结果证实。</w:t>
      </w:r>
      <w:r>
        <w:rPr>
          <w:rFonts w:ascii="Microsoft JhengHei" w:eastAsia="Microsoft JhengHei" w:hint="eastAsia"/>
          <w:b/>
          <w:spacing w:val="-3"/>
          <w:sz w:val="21"/>
        </w:rPr>
        <w:t>神经官能症和精神疾病不在保障范围内。</w:t>
      </w:r>
    </w:p>
    <w:p>
      <w:pPr>
        <w:pStyle w:val="BodyText"/>
        <w:ind w:left="0"/>
        <w:rPr>
          <w:rFonts w:ascii="Microsoft JhengHei"/>
          <w:b/>
          <w:sz w:val="13"/>
        </w:rPr>
      </w:pPr>
    </w:p>
    <w:p>
      <w:pPr>
        <w:pStyle w:val="Heading3"/>
        <w:numPr>
          <w:ilvl w:val="0"/>
          <w:numId w:val="17"/>
        </w:numPr>
        <w:tabs>
          <w:tab w:pos="2596" w:val="left" w:leader="none"/>
        </w:tabs>
        <w:spacing w:line="352" w:lineRule="exact" w:before="0" w:after="0"/>
        <w:ind w:left="2595" w:right="0" w:hanging="396"/>
        <w:jc w:val="left"/>
      </w:pPr>
      <w:r>
        <w:rPr/>
        <w:t>主动脉夹层血肿</w:t>
      </w:r>
    </w:p>
    <w:p>
      <w:pPr>
        <w:pStyle w:val="BodyText"/>
        <w:spacing w:line="235" w:lineRule="auto"/>
        <w:ind w:right="117"/>
      </w:pPr>
      <w:r>
        <w:rPr>
          <w:spacing w:val="-8"/>
        </w:rPr>
        <w:t>是指主动脉壁在受到某些病理因素的破坏后，高速、高压的主动脉血流将其内膜撕</w:t>
      </w:r>
      <w:r>
        <w:rPr>
          <w:spacing w:val="-5"/>
        </w:rPr>
        <w:t>裂，以致主动脉腔内的血流通过主动脉内膜的破裂口进入主动脉内壁而形成血肿。</w:t>
      </w:r>
      <w:r>
        <w:rPr>
          <w:spacing w:val="-4"/>
          <w:w w:val="100"/>
        </w:rPr>
        <w:t>被保险人需通过</w:t>
      </w:r>
      <w:r>
        <w:rPr>
          <w:rFonts w:ascii="Arial" w:eastAsia="Arial"/>
          <w:spacing w:val="-4"/>
          <w:w w:val="100"/>
        </w:rPr>
        <w:t>X</w:t>
      </w:r>
      <w:r>
        <w:rPr>
          <w:spacing w:val="-20"/>
          <w:w w:val="100"/>
        </w:rPr>
        <w:t>线断层扫描</w:t>
      </w:r>
      <w:r>
        <w:rPr>
          <w:w w:val="100"/>
        </w:rPr>
        <w:t>（</w:t>
      </w:r>
      <w:r>
        <w:rPr>
          <w:rFonts w:ascii="Arial" w:eastAsia="Arial"/>
          <w:spacing w:val="-2"/>
          <w:w w:val="100"/>
        </w:rPr>
        <w:t>C</w:t>
      </w:r>
      <w:r>
        <w:rPr>
          <w:rFonts w:ascii="Arial" w:eastAsia="Arial"/>
          <w:w w:val="100"/>
        </w:rPr>
        <w:t>T</w:t>
      </w:r>
      <w:r>
        <w:rPr>
          <w:spacing w:val="-106"/>
          <w:w w:val="100"/>
        </w:rPr>
        <w:t>）</w:t>
      </w:r>
      <w:r>
        <w:rPr>
          <w:spacing w:val="-31"/>
          <w:w w:val="100"/>
        </w:rPr>
        <w:t>、磁共振扫描</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106"/>
          <w:w w:val="100"/>
        </w:rPr>
        <w:t>）</w:t>
      </w:r>
      <w:r>
        <w:rPr>
          <w:spacing w:val="-22"/>
          <w:w w:val="100"/>
        </w:rPr>
        <w:t>、磁共振血管检验法</w:t>
      </w:r>
      <w:r>
        <w:rPr>
          <w:w w:val="100"/>
        </w:rPr>
        <w:t>（</w:t>
      </w:r>
      <w:r>
        <w:rPr>
          <w:rFonts w:ascii="Arial" w:eastAsia="Arial"/>
          <w:spacing w:val="-4"/>
          <w:w w:val="100"/>
        </w:rPr>
        <w:t>M</w:t>
      </w:r>
      <w:r>
        <w:rPr>
          <w:rFonts w:ascii="Arial" w:eastAsia="Arial"/>
          <w:spacing w:val="-2"/>
          <w:w w:val="100"/>
        </w:rPr>
        <w:t>R</w:t>
      </w:r>
      <w:r>
        <w:rPr>
          <w:rFonts w:ascii="Arial" w:eastAsia="Arial"/>
          <w:w w:val="100"/>
        </w:rPr>
        <w:t>A</w:t>
      </w:r>
      <w:r>
        <w:rPr>
          <w:w w:val="100"/>
        </w:rPr>
        <w:t>）</w:t>
      </w:r>
      <w:r>
        <w:rPr>
          <w:spacing w:val="-3"/>
        </w:rPr>
        <w:t>或血管扫描等检查，并且实施了胸腹切开的直视主动脉手术。</w:t>
      </w:r>
    </w:p>
    <w:p>
      <w:pPr>
        <w:pStyle w:val="Heading3"/>
        <w:numPr>
          <w:ilvl w:val="0"/>
          <w:numId w:val="17"/>
        </w:numPr>
        <w:tabs>
          <w:tab w:pos="2596" w:val="left" w:leader="none"/>
        </w:tabs>
        <w:spacing w:line="240" w:lineRule="auto" w:before="171" w:after="0"/>
        <w:ind w:left="2595" w:right="0" w:hanging="396"/>
        <w:jc w:val="left"/>
      </w:pPr>
      <w:r>
        <w:rPr/>
        <w:t>原发性硬化性胆管炎</w:t>
      </w:r>
    </w:p>
    <w:p>
      <w:pPr>
        <w:pStyle w:val="BodyText"/>
        <w:spacing w:line="237" w:lineRule="auto" w:before="54"/>
        <w:ind w:right="225" w:hanging="1"/>
      </w:pPr>
      <w:r>
        <w:rPr>
          <w:spacing w:val="-9"/>
        </w:rPr>
        <w:t>指一种胆汁淤积综合征，其特征是肝内、肝外胆道因纤维化性炎症逐渐狭窄，并最</w:t>
      </w:r>
      <w:r>
        <w:rPr>
          <w:spacing w:val="-5"/>
        </w:rPr>
        <w:t>终导致完全阻塞而发展为肝硬化。本病须经内镜逆行胰胆管造影等影像学检查证</w:t>
      </w:r>
      <w:r>
        <w:rPr>
          <w:spacing w:val="-4"/>
        </w:rPr>
        <w:t>实，并须满足下列全部条件：</w:t>
      </w:r>
    </w:p>
    <w:p>
      <w:pPr>
        <w:pStyle w:val="ListParagraph"/>
        <w:numPr>
          <w:ilvl w:val="0"/>
          <w:numId w:val="21"/>
        </w:numPr>
        <w:tabs>
          <w:tab w:pos="2843" w:val="left" w:leader="none"/>
        </w:tabs>
        <w:spacing w:line="240" w:lineRule="auto" w:before="75" w:after="0"/>
        <w:ind w:left="2842" w:right="0" w:hanging="643"/>
        <w:jc w:val="left"/>
        <w:rPr>
          <w:sz w:val="21"/>
        </w:rPr>
      </w:pPr>
      <w:r>
        <w:rPr>
          <w:spacing w:val="-5"/>
          <w:sz w:val="21"/>
        </w:rPr>
        <w:t>总胆红素和直接胆红素同时升高，血清 </w:t>
      </w:r>
      <w:r>
        <w:rPr>
          <w:rFonts w:ascii="Arial" w:eastAsia="Arial"/>
          <w:sz w:val="21"/>
        </w:rPr>
        <w:t>ALP&gt;200U/L</w:t>
      </w:r>
      <w:r>
        <w:rPr>
          <w:sz w:val="21"/>
        </w:rPr>
        <w:t>；</w:t>
      </w:r>
    </w:p>
    <w:p>
      <w:pPr>
        <w:pStyle w:val="ListParagraph"/>
        <w:numPr>
          <w:ilvl w:val="0"/>
          <w:numId w:val="21"/>
        </w:numPr>
        <w:tabs>
          <w:tab w:pos="2843" w:val="left" w:leader="none"/>
        </w:tabs>
        <w:spacing w:line="240" w:lineRule="auto" w:before="60" w:after="0"/>
        <w:ind w:left="2842" w:right="0" w:hanging="643"/>
        <w:jc w:val="left"/>
        <w:rPr>
          <w:sz w:val="21"/>
        </w:rPr>
      </w:pPr>
      <w:r>
        <w:rPr>
          <w:spacing w:val="-3"/>
          <w:sz w:val="21"/>
        </w:rPr>
        <w:t>持续性黄疸病史；</w:t>
      </w:r>
    </w:p>
    <w:p>
      <w:pPr>
        <w:pStyle w:val="ListParagraph"/>
        <w:numPr>
          <w:ilvl w:val="0"/>
          <w:numId w:val="21"/>
        </w:numPr>
        <w:tabs>
          <w:tab w:pos="2843" w:val="left" w:leader="none"/>
        </w:tabs>
        <w:spacing w:line="248" w:lineRule="exact" w:before="60" w:after="0"/>
        <w:ind w:left="2842" w:right="0" w:hanging="643"/>
        <w:jc w:val="left"/>
        <w:rPr>
          <w:sz w:val="21"/>
        </w:rPr>
      </w:pPr>
      <w:r>
        <w:rPr>
          <w:spacing w:val="-3"/>
          <w:sz w:val="21"/>
        </w:rPr>
        <w:t>出现胆汁性肝硬化或门脉高压。</w:t>
      </w:r>
    </w:p>
    <w:p>
      <w:pPr>
        <w:pStyle w:val="Heading3"/>
        <w:spacing w:line="310" w:lineRule="exact"/>
      </w:pPr>
      <w:r>
        <w:rPr/>
        <w:t>因肿瘤或胆管损伤等继发性的硬化性胆管炎不在保障范围内。</w:t>
      </w:r>
    </w:p>
    <w:p>
      <w:pPr>
        <w:pStyle w:val="BodyText"/>
        <w:tabs>
          <w:tab w:pos="2199" w:val="left" w:leader="none"/>
        </w:tabs>
        <w:spacing w:line="225" w:lineRule="auto" w:before="4"/>
        <w:ind w:left="2410" w:right="225" w:hanging="2168"/>
        <w:jc w:val="both"/>
      </w:pPr>
      <w:r>
        <w:rPr>
          <w:w w:val="100"/>
        </w:rPr>
        <w:t>专科</w:t>
      </w:r>
      <w:r>
        <w:rPr>
          <w:spacing w:val="-3"/>
          <w:w w:val="100"/>
        </w:rPr>
        <w:t>医</w:t>
      </w:r>
      <w:r>
        <w:rPr>
          <w:w w:val="100"/>
        </w:rPr>
        <w:t>生</w:t>
      </w:r>
      <w:r>
        <w:rPr>
          <w:w w:val="100"/>
          <w:position w:val="11"/>
          <w:sz w:val="11"/>
        </w:rPr>
        <w:t>（4）</w:t>
      </w:r>
      <w:r>
        <w:rPr>
          <w:position w:val="11"/>
          <w:sz w:val="11"/>
        </w:rPr>
        <w:tab/>
      </w:r>
      <w:r>
        <w:rPr>
          <w:spacing w:val="-22"/>
          <w:w w:val="100"/>
        </w:rPr>
        <w:t>：</w:t>
      </w:r>
      <w:r>
        <w:rPr>
          <w:spacing w:val="-3"/>
          <w:w w:val="100"/>
        </w:rPr>
        <w:t>专</w:t>
      </w:r>
      <w:r>
        <w:rPr>
          <w:w w:val="100"/>
        </w:rPr>
        <w:t>科</w:t>
      </w:r>
      <w:r>
        <w:rPr>
          <w:spacing w:val="-3"/>
          <w:w w:val="100"/>
        </w:rPr>
        <w:t>医</w:t>
      </w:r>
      <w:r>
        <w:rPr>
          <w:w w:val="100"/>
        </w:rPr>
        <w:t>生</w:t>
      </w:r>
      <w:r>
        <w:rPr>
          <w:spacing w:val="-3"/>
          <w:w w:val="100"/>
        </w:rPr>
        <w:t>应</w:t>
      </w:r>
      <w:r>
        <w:rPr>
          <w:w w:val="100"/>
        </w:rPr>
        <w:t>当</w:t>
      </w:r>
      <w:r>
        <w:rPr>
          <w:spacing w:val="-3"/>
          <w:w w:val="100"/>
        </w:rPr>
        <w:t>同</w:t>
      </w:r>
      <w:r>
        <w:rPr>
          <w:w w:val="100"/>
        </w:rPr>
        <w:t>时</w:t>
      </w:r>
      <w:r>
        <w:rPr>
          <w:spacing w:val="-3"/>
          <w:w w:val="100"/>
        </w:rPr>
        <w:t>满足</w:t>
      </w:r>
      <w:r>
        <w:rPr>
          <w:w w:val="100"/>
        </w:rPr>
        <w:t>以下</w:t>
      </w:r>
      <w:r>
        <w:rPr>
          <w:spacing w:val="-3"/>
          <w:w w:val="100"/>
        </w:rPr>
        <w:t>四</w:t>
      </w:r>
      <w:r>
        <w:rPr>
          <w:w w:val="100"/>
        </w:rPr>
        <w:t>项</w:t>
      </w:r>
      <w:r>
        <w:rPr>
          <w:spacing w:val="-3"/>
          <w:w w:val="100"/>
        </w:rPr>
        <w:t>资</w:t>
      </w:r>
      <w:r>
        <w:rPr>
          <w:w w:val="100"/>
        </w:rPr>
        <w:t>格</w:t>
      </w:r>
      <w:r>
        <w:rPr>
          <w:spacing w:val="-3"/>
          <w:w w:val="100"/>
        </w:rPr>
        <w:t>条</w:t>
      </w:r>
      <w:r>
        <w:rPr>
          <w:w w:val="100"/>
        </w:rPr>
        <w:t>件</w:t>
      </w:r>
      <w:r>
        <w:rPr>
          <w:spacing w:val="-130"/>
          <w:w w:val="100"/>
        </w:rPr>
        <w:t>：</w:t>
      </w:r>
      <w:r>
        <w:rPr>
          <w:w w:val="100"/>
        </w:rPr>
        <w:t>（</w:t>
      </w:r>
      <w:r>
        <w:rPr>
          <w:rFonts w:ascii="Times New Roman" w:eastAsia="Times New Roman"/>
          <w:spacing w:val="-3"/>
          <w:w w:val="100"/>
        </w:rPr>
        <w:t>1</w:t>
      </w:r>
      <w:r>
        <w:rPr>
          <w:spacing w:val="-24"/>
          <w:w w:val="100"/>
        </w:rPr>
        <w:t>）</w:t>
      </w:r>
      <w:r>
        <w:rPr>
          <w:w w:val="100"/>
        </w:rPr>
        <w:t>具有</w:t>
      </w:r>
      <w:r>
        <w:rPr>
          <w:spacing w:val="-3"/>
          <w:w w:val="100"/>
        </w:rPr>
        <w:t>有</w:t>
      </w:r>
      <w:r>
        <w:rPr>
          <w:w w:val="100"/>
        </w:rPr>
        <w:t>效</w:t>
      </w:r>
      <w:r>
        <w:rPr>
          <w:spacing w:val="-3"/>
          <w:w w:val="100"/>
        </w:rPr>
        <w:t>的</w:t>
      </w:r>
      <w:r>
        <w:rPr>
          <w:w w:val="100"/>
        </w:rPr>
        <w:t>中</w:t>
      </w:r>
      <w:r>
        <w:rPr>
          <w:spacing w:val="-3"/>
          <w:w w:val="100"/>
        </w:rPr>
        <w:t>华</w:t>
      </w:r>
      <w:r>
        <w:rPr>
          <w:w w:val="100"/>
        </w:rPr>
        <w:t>人</w:t>
      </w:r>
      <w:r>
        <w:rPr>
          <w:spacing w:val="-3"/>
          <w:w w:val="100"/>
        </w:rPr>
        <w:t>民</w:t>
      </w:r>
      <w:r>
        <w:rPr>
          <w:w w:val="100"/>
        </w:rPr>
        <w:t>共</w:t>
      </w:r>
      <w:r>
        <w:rPr>
          <w:spacing w:val="-3"/>
          <w:w w:val="100"/>
        </w:rPr>
        <w:t>和</w:t>
      </w:r>
      <w:r>
        <w:rPr>
          <w:spacing w:val="-22"/>
          <w:w w:val="100"/>
        </w:rPr>
        <w:t>国</w:t>
      </w:r>
      <w:r>
        <w:rPr>
          <w:spacing w:val="-3"/>
          <w:w w:val="100"/>
        </w:rPr>
        <w:t>《</w:t>
      </w:r>
      <w:r>
        <w:rPr>
          <w:w w:val="100"/>
        </w:rPr>
        <w:t>医师资</w:t>
      </w:r>
      <w:r>
        <w:rPr>
          <w:spacing w:val="-3"/>
          <w:w w:val="100"/>
        </w:rPr>
        <w:t>格</w:t>
      </w:r>
      <w:r>
        <w:rPr>
          <w:w w:val="100"/>
        </w:rPr>
        <w:t>证</w:t>
      </w:r>
      <w:r>
        <w:rPr>
          <w:spacing w:val="-3"/>
          <w:w w:val="100"/>
        </w:rPr>
        <w:t>书</w:t>
      </w:r>
      <w:r>
        <w:rPr>
          <w:spacing w:val="-106"/>
          <w:w w:val="100"/>
        </w:rPr>
        <w:t>》</w:t>
      </w:r>
      <w:r>
        <w:rPr>
          <w:spacing w:val="-130"/>
          <w:w w:val="100"/>
        </w:rPr>
        <w:t>；</w:t>
      </w:r>
      <w:r>
        <w:rPr>
          <w:w w:val="100"/>
        </w:rPr>
        <w:t>（</w:t>
      </w:r>
      <w:r>
        <w:rPr>
          <w:rFonts w:ascii="Times New Roman" w:eastAsia="Times New Roman"/>
          <w:spacing w:val="-3"/>
          <w:w w:val="100"/>
        </w:rPr>
        <w:t>2</w:t>
      </w:r>
      <w:r>
        <w:rPr>
          <w:spacing w:val="-22"/>
          <w:w w:val="100"/>
        </w:rPr>
        <w:t>）</w:t>
      </w:r>
      <w:r>
        <w:rPr>
          <w:spacing w:val="-3"/>
          <w:w w:val="100"/>
        </w:rPr>
        <w:t>具</w:t>
      </w:r>
      <w:r>
        <w:rPr>
          <w:w w:val="100"/>
        </w:rPr>
        <w:t>有</w:t>
      </w:r>
      <w:r>
        <w:rPr>
          <w:spacing w:val="-3"/>
          <w:w w:val="100"/>
        </w:rPr>
        <w:t>有</w:t>
      </w:r>
      <w:r>
        <w:rPr>
          <w:w w:val="100"/>
        </w:rPr>
        <w:t>效的</w:t>
      </w:r>
      <w:r>
        <w:rPr>
          <w:spacing w:val="-3"/>
          <w:w w:val="100"/>
        </w:rPr>
        <w:t>中</w:t>
      </w:r>
      <w:r>
        <w:rPr>
          <w:w w:val="100"/>
        </w:rPr>
        <w:t>华</w:t>
      </w:r>
      <w:r>
        <w:rPr>
          <w:spacing w:val="-3"/>
          <w:w w:val="100"/>
        </w:rPr>
        <w:t>人</w:t>
      </w:r>
      <w:r>
        <w:rPr>
          <w:w w:val="100"/>
        </w:rPr>
        <w:t>民</w:t>
      </w:r>
      <w:r>
        <w:rPr>
          <w:spacing w:val="-3"/>
          <w:w w:val="100"/>
        </w:rPr>
        <w:t>共</w:t>
      </w:r>
      <w:r>
        <w:rPr>
          <w:w w:val="100"/>
        </w:rPr>
        <w:t>和</w:t>
      </w:r>
      <w:r>
        <w:rPr>
          <w:spacing w:val="-24"/>
          <w:w w:val="100"/>
        </w:rPr>
        <w:t>国</w:t>
      </w:r>
      <w:r>
        <w:rPr>
          <w:spacing w:val="-3"/>
          <w:w w:val="100"/>
        </w:rPr>
        <w:t>《医</w:t>
      </w:r>
      <w:r>
        <w:rPr>
          <w:w w:val="100"/>
        </w:rPr>
        <w:t>师执</w:t>
      </w:r>
      <w:r>
        <w:rPr>
          <w:spacing w:val="-3"/>
          <w:w w:val="100"/>
        </w:rPr>
        <w:t>业</w:t>
      </w:r>
      <w:r>
        <w:rPr>
          <w:w w:val="100"/>
        </w:rPr>
        <w:t>证</w:t>
      </w:r>
      <w:r>
        <w:rPr>
          <w:spacing w:val="-3"/>
          <w:w w:val="100"/>
        </w:rPr>
        <w:t>书</w:t>
      </w:r>
      <w:r>
        <w:rPr>
          <w:spacing w:val="-106"/>
          <w:w w:val="100"/>
        </w:rPr>
        <w:t>》</w:t>
      </w:r>
      <w:r>
        <w:rPr>
          <w:spacing w:val="-24"/>
          <w:w w:val="100"/>
        </w:rPr>
        <w:t>，</w:t>
      </w:r>
      <w:r>
        <w:rPr>
          <w:w w:val="100"/>
        </w:rPr>
        <w:t>并</w:t>
      </w:r>
      <w:r>
        <w:rPr>
          <w:spacing w:val="-3"/>
          <w:w w:val="100"/>
        </w:rPr>
        <w:t>按</w:t>
      </w:r>
      <w:r>
        <w:rPr>
          <w:w w:val="100"/>
        </w:rPr>
        <w:t>期</w:t>
      </w:r>
      <w:r>
        <w:rPr>
          <w:spacing w:val="-3"/>
          <w:w w:val="100"/>
        </w:rPr>
        <w:t>到相</w:t>
      </w:r>
      <w:r>
        <w:rPr>
          <w:w w:val="100"/>
        </w:rPr>
        <w:t>关部门</w:t>
      </w:r>
      <w:r>
        <w:rPr>
          <w:spacing w:val="-3"/>
          <w:w w:val="100"/>
        </w:rPr>
        <w:t>登</w:t>
      </w:r>
      <w:r>
        <w:rPr>
          <w:w w:val="100"/>
        </w:rPr>
        <w:t>记</w:t>
      </w:r>
      <w:r>
        <w:rPr>
          <w:spacing w:val="-3"/>
          <w:w w:val="100"/>
        </w:rPr>
        <w:t>注</w:t>
      </w:r>
      <w:r>
        <w:rPr>
          <w:w w:val="100"/>
        </w:rPr>
        <w:t>册</w:t>
      </w:r>
      <w:r>
        <w:rPr>
          <w:spacing w:val="-152"/>
          <w:w w:val="100"/>
        </w:rPr>
        <w:t>；</w:t>
      </w:r>
      <w:r>
        <w:rPr>
          <w:w w:val="100"/>
        </w:rPr>
        <w:t>（</w:t>
      </w:r>
      <w:r>
        <w:rPr>
          <w:rFonts w:ascii="Times New Roman" w:eastAsia="Times New Roman"/>
          <w:spacing w:val="-3"/>
          <w:w w:val="100"/>
        </w:rPr>
        <w:t>3</w:t>
      </w:r>
      <w:r>
        <w:rPr>
          <w:spacing w:val="-46"/>
          <w:w w:val="100"/>
        </w:rPr>
        <w:t>）</w:t>
      </w:r>
      <w:r>
        <w:rPr>
          <w:w w:val="100"/>
        </w:rPr>
        <w:t>具</w:t>
      </w:r>
      <w:r>
        <w:rPr>
          <w:spacing w:val="-3"/>
          <w:w w:val="100"/>
        </w:rPr>
        <w:t>有有</w:t>
      </w:r>
      <w:r>
        <w:rPr>
          <w:w w:val="100"/>
        </w:rPr>
        <w:t>效的</w:t>
      </w:r>
      <w:r>
        <w:rPr>
          <w:spacing w:val="-3"/>
          <w:w w:val="100"/>
        </w:rPr>
        <w:t>中</w:t>
      </w:r>
      <w:r>
        <w:rPr>
          <w:w w:val="100"/>
        </w:rPr>
        <w:t>华</w:t>
      </w:r>
      <w:r>
        <w:rPr>
          <w:spacing w:val="-3"/>
          <w:w w:val="100"/>
        </w:rPr>
        <w:t>人</w:t>
      </w:r>
      <w:r>
        <w:rPr>
          <w:w w:val="100"/>
        </w:rPr>
        <w:t>民</w:t>
      </w:r>
      <w:r>
        <w:rPr>
          <w:spacing w:val="-3"/>
          <w:w w:val="100"/>
        </w:rPr>
        <w:t>共</w:t>
      </w:r>
      <w:r>
        <w:rPr>
          <w:w w:val="100"/>
        </w:rPr>
        <w:t>和</w:t>
      </w:r>
      <w:r>
        <w:rPr>
          <w:spacing w:val="-3"/>
          <w:w w:val="100"/>
        </w:rPr>
        <w:t>国</w:t>
      </w:r>
      <w:r>
        <w:rPr>
          <w:w w:val="100"/>
        </w:rPr>
        <w:t>主</w:t>
      </w:r>
      <w:r>
        <w:rPr>
          <w:spacing w:val="-3"/>
          <w:w w:val="100"/>
        </w:rPr>
        <w:t>治</w:t>
      </w:r>
      <w:r>
        <w:rPr>
          <w:w w:val="100"/>
        </w:rPr>
        <w:t>医师</w:t>
      </w:r>
      <w:r>
        <w:rPr>
          <w:spacing w:val="-3"/>
          <w:w w:val="100"/>
        </w:rPr>
        <w:t>或</w:t>
      </w:r>
      <w:r>
        <w:rPr>
          <w:w w:val="100"/>
        </w:rPr>
        <w:t>主</w:t>
      </w:r>
      <w:r>
        <w:rPr>
          <w:spacing w:val="-3"/>
          <w:w w:val="100"/>
        </w:rPr>
        <w:t>治</w:t>
      </w:r>
      <w:r>
        <w:rPr>
          <w:w w:val="100"/>
        </w:rPr>
        <w:t>医</w:t>
      </w:r>
      <w:r>
        <w:rPr>
          <w:spacing w:val="-3"/>
          <w:w w:val="100"/>
        </w:rPr>
        <w:t>师</w:t>
      </w:r>
      <w:r>
        <w:rPr>
          <w:w w:val="100"/>
        </w:rPr>
        <w:t>以</w:t>
      </w:r>
      <w:r>
        <w:rPr>
          <w:spacing w:val="-3"/>
          <w:w w:val="100"/>
        </w:rPr>
        <w:t>上职称</w:t>
      </w:r>
      <w:r>
        <w:rPr>
          <w:w w:val="100"/>
        </w:rPr>
        <w:t>的</w:t>
      </w:r>
    </w:p>
    <w:p>
      <w:pPr>
        <w:pStyle w:val="BodyText"/>
        <w:spacing w:line="223" w:lineRule="auto" w:before="3"/>
        <w:ind w:left="2410" w:right="225"/>
      </w:pPr>
      <w:r>
        <w:rPr>
          <w:spacing w:val="-26"/>
          <w:w w:val="100"/>
        </w:rPr>
        <w:t>《医师职称证书》；</w:t>
      </w:r>
      <w:r>
        <w:rPr>
          <w:w w:val="100"/>
        </w:rPr>
        <w:t>（</w:t>
      </w:r>
      <w:r>
        <w:rPr>
          <w:rFonts w:ascii="Times New Roman" w:eastAsia="Times New Roman"/>
          <w:spacing w:val="-3"/>
          <w:w w:val="100"/>
        </w:rPr>
        <w:t>4</w:t>
      </w:r>
      <w:r>
        <w:rPr>
          <w:w w:val="100"/>
        </w:rPr>
        <w:t>）</w:t>
      </w:r>
      <w:r>
        <w:rPr>
          <w:spacing w:val="-3"/>
          <w:w w:val="100"/>
        </w:rPr>
        <w:t>在二级或二级以上医院的相应科室从事临床工作三年以</w:t>
      </w:r>
      <w:r>
        <w:rPr>
          <w:spacing w:val="-3"/>
        </w:rPr>
        <w:t>上。</w:t>
      </w:r>
    </w:p>
    <w:p>
      <w:pPr>
        <w:spacing w:after="0" w:line="223" w:lineRule="auto"/>
        <w:sectPr>
          <w:pgSz w:w="11900" w:h="16840"/>
          <w:pgMar w:header="892" w:footer="549" w:top="1080" w:bottom="740" w:left="1000" w:right="1000"/>
        </w:sectPr>
      </w:pPr>
    </w:p>
    <w:p>
      <w:pPr>
        <w:spacing w:line="151" w:lineRule="auto" w:before="67"/>
        <w:ind w:left="243" w:right="0" w:firstLine="0"/>
        <w:jc w:val="left"/>
        <w:rPr>
          <w:rFonts w:ascii="Microsoft JhengHei" w:eastAsia="Microsoft JhengHei" w:hint="eastAsia"/>
          <w:b/>
          <w:sz w:val="11"/>
        </w:rPr>
      </w:pPr>
      <w:r>
        <w:rPr>
          <w:rFonts w:ascii="Microsoft JhengHei" w:eastAsia="Microsoft JhengHei" w:hint="eastAsia"/>
          <w:b/>
          <w:sz w:val="21"/>
        </w:rPr>
        <w:t>符合条件的医疗机</w:t>
      </w:r>
      <w:r>
        <w:rPr>
          <w:rFonts w:ascii="Microsoft JhengHei" w:eastAsia="Microsoft JhengHei" w:hint="eastAsia"/>
          <w:b/>
          <w:w w:val="95"/>
          <w:position w:val="-10"/>
          <w:sz w:val="21"/>
        </w:rPr>
        <w:t>构</w:t>
      </w:r>
      <w:r>
        <w:rPr>
          <w:rFonts w:ascii="Microsoft JhengHei" w:eastAsia="Microsoft JhengHei" w:hint="eastAsia"/>
          <w:b/>
          <w:w w:val="95"/>
          <w:sz w:val="11"/>
        </w:rPr>
        <w:t>（5）</w:t>
      </w:r>
    </w:p>
    <w:p>
      <w:pPr>
        <w:pStyle w:val="Heading3"/>
        <w:spacing w:line="250" w:lineRule="exact"/>
        <w:ind w:left="173"/>
      </w:pPr>
      <w:r>
        <w:rPr>
          <w:b w:val="0"/>
        </w:rPr>
        <w:br w:type="column"/>
      </w:r>
      <w:r>
        <w:rPr/>
        <w:t>：是指符合下列所有条件之中国境内机构：</w:t>
      </w:r>
    </w:p>
    <w:p>
      <w:pPr>
        <w:spacing w:line="272" w:lineRule="exact" w:before="0"/>
        <w:ind w:left="372" w:right="0" w:firstLine="0"/>
        <w:jc w:val="left"/>
        <w:rPr>
          <w:rFonts w:ascii="Microsoft JhengHei" w:eastAsia="Microsoft JhengHei" w:hint="eastAsia"/>
          <w:b/>
          <w:sz w:val="21"/>
        </w:rPr>
      </w:pPr>
      <w:r>
        <w:rPr>
          <w:rFonts w:ascii="Microsoft JhengHei" w:eastAsia="Microsoft JhengHei" w:hint="eastAsia"/>
          <w:b/>
          <w:w w:val="95"/>
          <w:sz w:val="21"/>
        </w:rPr>
        <w:t>1．拥有合法经营执照；</w:t>
      </w:r>
    </w:p>
    <w:p>
      <w:pPr>
        <w:spacing w:line="272" w:lineRule="exact" w:before="0"/>
        <w:ind w:left="372" w:right="0" w:firstLine="0"/>
        <w:jc w:val="left"/>
        <w:rPr>
          <w:rFonts w:ascii="Microsoft JhengHei" w:eastAsia="Microsoft JhengHei" w:hint="eastAsia"/>
          <w:b/>
          <w:sz w:val="21"/>
        </w:rPr>
      </w:pPr>
      <w:r>
        <w:rPr>
          <w:rFonts w:ascii="Microsoft JhengHei" w:eastAsia="Microsoft JhengHei" w:hint="eastAsia"/>
          <w:b/>
          <w:sz w:val="21"/>
        </w:rPr>
        <w:t>2．设立的主要目的为向受伤者和患病者提供住院治疗；</w:t>
      </w:r>
    </w:p>
    <w:p>
      <w:pPr>
        <w:spacing w:line="272" w:lineRule="exact" w:before="0"/>
        <w:ind w:left="372" w:right="0" w:firstLine="0"/>
        <w:jc w:val="left"/>
        <w:rPr>
          <w:rFonts w:ascii="Microsoft JhengHei" w:eastAsia="Microsoft JhengHei" w:hint="eastAsia"/>
          <w:b/>
          <w:sz w:val="21"/>
        </w:rPr>
      </w:pPr>
      <w:r>
        <w:rPr>
          <w:rFonts w:ascii="Microsoft JhengHei" w:eastAsia="Microsoft JhengHei" w:hint="eastAsia"/>
          <w:b/>
          <w:sz w:val="21"/>
        </w:rPr>
        <w:t>3．有合格的医生和护士提供全日 24 小时的医疗和护理服务；</w:t>
      </w:r>
    </w:p>
    <w:p>
      <w:pPr>
        <w:spacing w:line="272" w:lineRule="exact" w:before="0"/>
        <w:ind w:left="372" w:right="0" w:firstLine="0"/>
        <w:jc w:val="left"/>
        <w:rPr>
          <w:rFonts w:ascii="Microsoft JhengHei" w:eastAsia="Microsoft JhengHei" w:hint="eastAsia"/>
          <w:b/>
          <w:sz w:val="21"/>
        </w:rPr>
      </w:pPr>
      <w:r>
        <w:rPr>
          <w:rFonts w:ascii="Microsoft JhengHei" w:eastAsia="Microsoft JhengHei" w:hint="eastAsia"/>
          <w:b/>
          <w:sz w:val="21"/>
        </w:rPr>
        <w:t>4．非主要作为康复、护理、疗养、戒酒、戒毒、或类似的医疗机构；</w:t>
      </w:r>
    </w:p>
    <w:p>
      <w:pPr>
        <w:spacing w:line="177" w:lineRule="auto" w:before="48"/>
        <w:ind w:left="684" w:right="227" w:hanging="312"/>
        <w:jc w:val="left"/>
        <w:rPr>
          <w:rFonts w:ascii="Microsoft JhengHei" w:eastAsia="Microsoft JhengHei" w:hint="eastAsia"/>
          <w:b/>
          <w:sz w:val="21"/>
        </w:rPr>
      </w:pPr>
      <w:r>
        <w:rPr>
          <w:rFonts w:ascii="Microsoft JhengHei" w:eastAsia="Microsoft JhengHei" w:hint="eastAsia"/>
          <w:b/>
          <w:sz w:val="21"/>
        </w:rPr>
        <w:t>5．为当地社会（基本）医疗保险机构指定或认可的二级或二级以上及同等级别的医院。</w:t>
      </w:r>
    </w:p>
    <w:p>
      <w:pPr>
        <w:spacing w:after="0" w:line="177" w:lineRule="auto"/>
        <w:jc w:val="left"/>
        <w:rPr>
          <w:rFonts w:ascii="Microsoft JhengHei" w:eastAsia="Microsoft JhengHei" w:hint="eastAsia"/>
          <w:sz w:val="21"/>
        </w:rPr>
        <w:sectPr>
          <w:type w:val="continuous"/>
          <w:pgSz w:w="11900" w:h="16840"/>
          <w:pgMar w:top="800" w:bottom="700" w:left="1000" w:right="1000"/>
          <w:cols w:num="2" w:equalWidth="0">
            <w:col w:w="1986" w:space="40"/>
            <w:col w:w="7874"/>
          </w:cols>
        </w:sectPr>
      </w:pPr>
    </w:p>
    <w:p>
      <w:pPr>
        <w:pStyle w:val="BodyText"/>
        <w:tabs>
          <w:tab w:pos="2199" w:val="left" w:leader="none"/>
        </w:tabs>
        <w:spacing w:line="250" w:lineRule="exact"/>
        <w:ind w:left="243"/>
      </w:pPr>
      <w:r>
        <w:rPr/>
        <w:t>意外</w:t>
      </w:r>
      <w:r>
        <w:rPr>
          <w:spacing w:val="-3"/>
        </w:rPr>
        <w:t>伤</w:t>
      </w:r>
      <w:r>
        <w:rPr/>
        <w:t>害</w:t>
      </w:r>
      <w:r>
        <w:rPr>
          <w:position w:val="11"/>
          <w:sz w:val="11"/>
        </w:rPr>
        <w:t>（6）</w:t>
        <w:tab/>
      </w:r>
      <w:r>
        <w:rPr>
          <w:spacing w:val="-22"/>
        </w:rPr>
        <w:t>：</w:t>
      </w:r>
      <w:r>
        <w:rPr>
          <w:spacing w:val="-3"/>
        </w:rPr>
        <w:t>是</w:t>
      </w:r>
      <w:r>
        <w:rPr/>
        <w:t>指</w:t>
      </w:r>
      <w:r>
        <w:rPr>
          <w:spacing w:val="-3"/>
        </w:rPr>
        <w:t>遭</w:t>
      </w:r>
      <w:r>
        <w:rPr/>
        <w:t>受</w:t>
      </w:r>
      <w:r>
        <w:rPr>
          <w:spacing w:val="-3"/>
        </w:rPr>
        <w:t>外</w:t>
      </w:r>
      <w:r>
        <w:rPr/>
        <w:t>来</w:t>
      </w:r>
      <w:r>
        <w:rPr>
          <w:spacing w:val="-3"/>
        </w:rPr>
        <w:t>的</w:t>
      </w:r>
      <w:r>
        <w:rPr>
          <w:spacing w:val="-22"/>
        </w:rPr>
        <w:t>、</w:t>
      </w:r>
      <w:r>
        <w:rPr>
          <w:spacing w:val="-3"/>
        </w:rPr>
        <w:t>突发</w:t>
      </w:r>
      <w:r>
        <w:rPr/>
        <w:t>的</w:t>
      </w:r>
      <w:r>
        <w:rPr>
          <w:spacing w:val="-24"/>
        </w:rPr>
        <w:t>、</w:t>
      </w:r>
      <w:r>
        <w:rPr/>
        <w:t>非</w:t>
      </w:r>
      <w:r>
        <w:rPr>
          <w:spacing w:val="-3"/>
        </w:rPr>
        <w:t>本</w:t>
      </w:r>
      <w:r>
        <w:rPr/>
        <w:t>意</w:t>
      </w:r>
      <w:r>
        <w:rPr>
          <w:spacing w:val="-3"/>
        </w:rPr>
        <w:t>的</w:t>
      </w:r>
      <w:r>
        <w:rPr>
          <w:spacing w:val="-22"/>
        </w:rPr>
        <w:t>、</w:t>
      </w:r>
      <w:r>
        <w:rPr>
          <w:spacing w:val="-3"/>
        </w:rPr>
        <w:t>非</w:t>
      </w:r>
      <w:r>
        <w:rPr/>
        <w:t>疾</w:t>
      </w:r>
      <w:r>
        <w:rPr>
          <w:spacing w:val="-3"/>
        </w:rPr>
        <w:t>病的</w:t>
      </w:r>
      <w:r>
        <w:rPr/>
        <w:t>使身</w:t>
      </w:r>
      <w:r>
        <w:rPr>
          <w:spacing w:val="-3"/>
        </w:rPr>
        <w:t>体</w:t>
      </w:r>
      <w:r>
        <w:rPr/>
        <w:t>受</w:t>
      </w:r>
      <w:r>
        <w:rPr>
          <w:spacing w:val="-3"/>
        </w:rPr>
        <w:t>到</w:t>
      </w:r>
      <w:r>
        <w:rPr/>
        <w:t>伤</w:t>
      </w:r>
      <w:r>
        <w:rPr>
          <w:spacing w:val="-3"/>
        </w:rPr>
        <w:t>害</w:t>
      </w:r>
      <w:r>
        <w:rPr/>
        <w:t>且</w:t>
      </w:r>
      <w:r>
        <w:rPr>
          <w:spacing w:val="-3"/>
        </w:rPr>
        <w:t>作</w:t>
      </w:r>
      <w:r>
        <w:rPr/>
        <w:t>为</w:t>
      </w:r>
      <w:r>
        <w:rPr>
          <w:spacing w:val="-3"/>
        </w:rPr>
        <w:t>直</w:t>
      </w:r>
      <w:r>
        <w:rPr/>
        <w:t>接且单</w:t>
      </w:r>
    </w:p>
    <w:p>
      <w:pPr>
        <w:pStyle w:val="BodyText"/>
        <w:spacing w:before="51"/>
        <w:ind w:left="2410"/>
      </w:pPr>
      <w:r>
        <w:rPr/>
        <w:t>独原因导致被保险人身故或伤残的客观事件。</w:t>
      </w:r>
    </w:p>
    <w:p>
      <w:pPr>
        <w:spacing w:after="0"/>
        <w:sectPr>
          <w:type w:val="continuous"/>
          <w:pgSz w:w="11900" w:h="16840"/>
          <w:pgMar w:top="800" w:bottom="700" w:left="1000" w:right="1000"/>
        </w:sectPr>
      </w:pPr>
    </w:p>
    <w:p>
      <w:pPr>
        <w:pStyle w:val="BodyText"/>
        <w:spacing w:before="51"/>
        <w:ind w:left="243"/>
      </w:pPr>
      <w:r>
        <w:rPr/>
        <w:t>八种特定重大疾病</w:t>
      </w:r>
    </w:p>
    <w:p>
      <w:pPr>
        <w:spacing w:before="5"/>
        <w:ind w:left="243" w:right="0" w:firstLine="0"/>
        <w:jc w:val="left"/>
        <w:rPr>
          <w:sz w:val="11"/>
        </w:rPr>
      </w:pPr>
      <w:r>
        <w:rPr>
          <w:sz w:val="11"/>
        </w:rPr>
        <w:t>（7）</w:t>
      </w:r>
    </w:p>
    <w:p>
      <w:pPr>
        <w:tabs>
          <w:tab w:pos="1023" w:val="left" w:leader="none"/>
        </w:tabs>
        <w:spacing w:line="341" w:lineRule="exact" w:before="0"/>
        <w:ind w:left="173" w:right="0" w:firstLine="0"/>
        <w:jc w:val="left"/>
        <w:rPr>
          <w:rFonts w:ascii="Microsoft JhengHei" w:eastAsia="Microsoft JhengHei" w:hint="eastAsia"/>
          <w:b/>
          <w:sz w:val="24"/>
        </w:rPr>
      </w:pPr>
      <w:r>
        <w:rPr/>
        <w:br w:type="column"/>
      </w:r>
      <w:r>
        <w:rPr>
          <w:rFonts w:ascii="Microsoft JhengHei" w:eastAsia="Microsoft JhengHei" w:hint="eastAsia"/>
          <w:b/>
          <w:sz w:val="24"/>
        </w:rPr>
        <w:t>一、</w:t>
        <w:tab/>
        <w:t>以下三种特定重大疾病仅限男性被保险人</w:t>
      </w:r>
    </w:p>
    <w:p>
      <w:pPr>
        <w:pStyle w:val="Heading3"/>
        <w:numPr>
          <w:ilvl w:val="0"/>
          <w:numId w:val="22"/>
        </w:numPr>
        <w:tabs>
          <w:tab w:pos="455" w:val="left" w:leader="none"/>
        </w:tabs>
        <w:spacing w:line="307" w:lineRule="exact" w:before="0" w:after="0"/>
        <w:ind w:left="454" w:right="0" w:hanging="281"/>
        <w:jc w:val="left"/>
      </w:pPr>
      <w:r>
        <w:rPr/>
        <w:t>肝癌：</w:t>
      </w:r>
    </w:p>
    <w:p>
      <w:pPr>
        <w:spacing w:line="184" w:lineRule="auto" w:before="53"/>
        <w:ind w:left="173" w:right="2784" w:firstLine="0"/>
        <w:jc w:val="left"/>
        <w:rPr>
          <w:rFonts w:ascii="Microsoft JhengHei" w:eastAsia="Microsoft JhengHei" w:hint="eastAsia"/>
          <w:b/>
          <w:sz w:val="21"/>
        </w:rPr>
      </w:pPr>
      <w:r>
        <w:rPr>
          <w:sz w:val="21"/>
        </w:rPr>
        <w:t>原发于肝组织的恶性肿瘤，国际疾病分类码为 </w:t>
      </w:r>
      <w:r>
        <w:rPr>
          <w:rFonts w:ascii="Arial" w:eastAsia="Arial"/>
          <w:sz w:val="21"/>
        </w:rPr>
        <w:t>C22</w:t>
      </w:r>
      <w:r>
        <w:rPr>
          <w:sz w:val="21"/>
        </w:rPr>
        <w:t>。</w:t>
      </w:r>
      <w:r>
        <w:rPr>
          <w:rFonts w:ascii="Microsoft JhengHei" w:eastAsia="Microsoft JhengHei" w:hint="eastAsia"/>
          <w:b/>
          <w:sz w:val="21"/>
        </w:rPr>
        <w:t>下列疾病不在保障范围内：</w:t>
      </w:r>
    </w:p>
    <w:p>
      <w:pPr>
        <w:pStyle w:val="BodyText"/>
        <w:spacing w:line="254" w:lineRule="exact"/>
        <w:ind w:left="173"/>
      </w:pPr>
      <w:r>
        <w:rPr/>
        <w:t>（</w:t>
      </w:r>
      <w:r>
        <w:rPr>
          <w:rFonts w:ascii="Arial" w:eastAsia="Arial"/>
        </w:rPr>
        <w:t>1</w:t>
      </w:r>
      <w:r>
        <w:rPr/>
        <w:t>）原位癌；</w:t>
      </w:r>
    </w:p>
    <w:p>
      <w:pPr>
        <w:pStyle w:val="BodyText"/>
        <w:spacing w:line="272" w:lineRule="exact"/>
        <w:ind w:left="173"/>
      </w:pPr>
      <w:r>
        <w:rPr/>
        <w:t>（</w:t>
      </w:r>
      <w:r>
        <w:rPr>
          <w:rFonts w:ascii="Arial" w:eastAsia="Arial"/>
        </w:rPr>
        <w:t>2</w:t>
      </w:r>
      <w:r>
        <w:rPr/>
        <w:t>）转移至肝的其他恶性肿瘤；</w:t>
      </w:r>
    </w:p>
    <w:p>
      <w:pPr>
        <w:pStyle w:val="BodyText"/>
        <w:spacing w:line="239" w:lineRule="exact"/>
        <w:ind w:left="173"/>
      </w:pPr>
      <w:r>
        <w:rPr/>
        <w:t>（</w:t>
      </w:r>
      <w:r>
        <w:rPr>
          <w:rFonts w:ascii="Arial" w:eastAsia="Arial"/>
        </w:rPr>
        <w:t>3</w:t>
      </w:r>
      <w:r>
        <w:rPr/>
        <w:t>）感染艾滋病病毒或患艾滋病期间所患恶性肿瘤。</w:t>
      </w:r>
    </w:p>
    <w:p>
      <w:pPr>
        <w:pStyle w:val="Heading3"/>
        <w:numPr>
          <w:ilvl w:val="0"/>
          <w:numId w:val="22"/>
        </w:numPr>
        <w:tabs>
          <w:tab w:pos="455" w:val="left" w:leader="none"/>
        </w:tabs>
        <w:spacing w:line="324" w:lineRule="exact" w:before="0" w:after="0"/>
        <w:ind w:left="454" w:right="0" w:hanging="281"/>
        <w:jc w:val="left"/>
      </w:pPr>
      <w:r>
        <w:rPr/>
        <w:t>肺癌：</w:t>
      </w:r>
    </w:p>
    <w:p>
      <w:pPr>
        <w:spacing w:after="0" w:line="324" w:lineRule="exact"/>
        <w:jc w:val="left"/>
        <w:sectPr>
          <w:type w:val="continuous"/>
          <w:pgSz w:w="11900" w:h="16840"/>
          <w:pgMar w:top="800" w:bottom="700" w:left="1000" w:right="1000"/>
          <w:cols w:num="2" w:equalWidth="0">
            <w:col w:w="1986" w:space="40"/>
            <w:col w:w="7874"/>
          </w:cols>
        </w:sectPr>
      </w:pPr>
    </w:p>
    <w:p>
      <w:pPr>
        <w:pStyle w:val="BodyText"/>
        <w:spacing w:before="2"/>
        <w:ind w:left="0"/>
        <w:rPr>
          <w:rFonts w:ascii="Microsoft JhengHei"/>
          <w:b/>
          <w:sz w:val="14"/>
        </w:rPr>
      </w:pPr>
    </w:p>
    <w:p>
      <w:pPr>
        <w:spacing w:line="182" w:lineRule="auto" w:before="116"/>
        <w:ind w:left="2199" w:right="2784" w:firstLine="0"/>
        <w:jc w:val="left"/>
        <w:rPr>
          <w:rFonts w:ascii="Microsoft JhengHei" w:eastAsia="Microsoft JhengHei" w:hint="eastAsia"/>
          <w:b/>
          <w:sz w:val="21"/>
        </w:rPr>
      </w:pPr>
      <w:r>
        <w:rPr>
          <w:sz w:val="21"/>
        </w:rPr>
        <w:t>原发于肺组织的恶性肿瘤，国际疾病分类码为 </w:t>
      </w:r>
      <w:r>
        <w:rPr>
          <w:rFonts w:ascii="Arial" w:eastAsia="Arial"/>
          <w:sz w:val="21"/>
        </w:rPr>
        <w:t>C34</w:t>
      </w:r>
      <w:r>
        <w:rPr>
          <w:sz w:val="21"/>
        </w:rPr>
        <w:t>。</w:t>
      </w:r>
      <w:r>
        <w:rPr>
          <w:rFonts w:ascii="Microsoft JhengHei" w:eastAsia="Microsoft JhengHei" w:hint="eastAsia"/>
          <w:b/>
          <w:sz w:val="21"/>
        </w:rPr>
        <w:t>下列疾病不在保障范围内：</w:t>
      </w:r>
    </w:p>
    <w:p>
      <w:pPr>
        <w:pStyle w:val="BodyText"/>
        <w:spacing w:line="255" w:lineRule="exact"/>
      </w:pPr>
      <w:r>
        <w:rPr/>
        <w:t>（</w:t>
      </w:r>
      <w:r>
        <w:rPr>
          <w:rFonts w:ascii="Arial" w:eastAsia="Arial"/>
        </w:rPr>
        <w:t>1</w:t>
      </w:r>
      <w:r>
        <w:rPr/>
        <w:t>）原位癌；</w:t>
      </w:r>
    </w:p>
    <w:p>
      <w:pPr>
        <w:pStyle w:val="BodyText"/>
        <w:spacing w:line="272" w:lineRule="exact"/>
      </w:pPr>
      <w:r>
        <w:rPr/>
        <w:t>（</w:t>
      </w:r>
      <w:r>
        <w:rPr>
          <w:rFonts w:ascii="Arial" w:eastAsia="Arial"/>
        </w:rPr>
        <w:t>2</w:t>
      </w:r>
      <w:r>
        <w:rPr/>
        <w:t>）转移至肺的其他恶性肿瘤；</w:t>
      </w:r>
    </w:p>
    <w:p>
      <w:pPr>
        <w:pStyle w:val="BodyText"/>
        <w:spacing w:line="239" w:lineRule="exact"/>
      </w:pPr>
      <w:r>
        <w:rPr/>
        <w:t>（</w:t>
      </w:r>
      <w:r>
        <w:rPr>
          <w:rFonts w:ascii="Arial" w:eastAsia="Arial"/>
        </w:rPr>
        <w:t>3</w:t>
      </w:r>
      <w:r>
        <w:rPr/>
        <w:t>）感染艾滋病病毒或患艾滋病期间所患恶性肿瘤。</w:t>
      </w:r>
    </w:p>
    <w:p>
      <w:pPr>
        <w:pStyle w:val="Heading3"/>
        <w:spacing w:line="310" w:lineRule="exact"/>
      </w:pPr>
      <w:r>
        <w:rPr>
          <w:rFonts w:ascii="Arial" w:eastAsia="Arial"/>
        </w:rPr>
        <w:t>3.</w:t>
      </w:r>
      <w:r>
        <w:rPr/>
        <w:t>前列腺癌：</w:t>
      </w:r>
    </w:p>
    <w:p>
      <w:pPr>
        <w:spacing w:line="182" w:lineRule="auto" w:before="56"/>
        <w:ind w:left="2199" w:right="2364" w:firstLine="0"/>
        <w:jc w:val="left"/>
        <w:rPr>
          <w:rFonts w:ascii="Microsoft JhengHei" w:eastAsia="Microsoft JhengHei" w:hint="eastAsia"/>
          <w:b/>
          <w:sz w:val="21"/>
        </w:rPr>
      </w:pPr>
      <w:r>
        <w:rPr>
          <w:sz w:val="21"/>
        </w:rPr>
        <w:t>原发于前列腺组织的恶性肿瘤，国际疾病分类码为 </w:t>
      </w:r>
      <w:r>
        <w:rPr>
          <w:rFonts w:ascii="Arial" w:eastAsia="Arial"/>
          <w:sz w:val="21"/>
        </w:rPr>
        <w:t>C61</w:t>
      </w:r>
      <w:r>
        <w:rPr>
          <w:sz w:val="21"/>
        </w:rPr>
        <w:t>。</w:t>
      </w:r>
      <w:r>
        <w:rPr>
          <w:rFonts w:ascii="Microsoft JhengHei" w:eastAsia="Microsoft JhengHei" w:hint="eastAsia"/>
          <w:b/>
          <w:sz w:val="21"/>
        </w:rPr>
        <w:t>下列疾病不在保障范围内：</w:t>
      </w:r>
    </w:p>
    <w:p>
      <w:pPr>
        <w:pStyle w:val="BodyText"/>
        <w:spacing w:line="255" w:lineRule="exact"/>
      </w:pPr>
      <w:r>
        <w:rPr/>
        <w:t>（</w:t>
      </w:r>
      <w:r>
        <w:rPr>
          <w:rFonts w:ascii="Arial" w:eastAsia="Arial"/>
        </w:rPr>
        <w:t>1</w:t>
      </w:r>
      <w:r>
        <w:rPr/>
        <w:t>）</w:t>
      </w:r>
      <w:r>
        <w:rPr>
          <w:rFonts w:ascii="Arial" w:eastAsia="Arial"/>
        </w:rPr>
        <w:t>TNM </w:t>
      </w:r>
      <w:r>
        <w:rPr/>
        <w:t>分期为 </w:t>
      </w:r>
      <w:r>
        <w:rPr>
          <w:rFonts w:ascii="Arial" w:eastAsia="Arial"/>
        </w:rPr>
        <w:t>T1N0M0 </w:t>
      </w:r>
      <w:r>
        <w:rPr/>
        <w:t>期或更轻分期的前列腺癌；</w:t>
      </w:r>
    </w:p>
    <w:p>
      <w:pPr>
        <w:pStyle w:val="BodyText"/>
        <w:spacing w:line="272" w:lineRule="exact"/>
      </w:pPr>
      <w:r>
        <w:rPr/>
        <w:t>（</w:t>
      </w:r>
      <w:r>
        <w:rPr>
          <w:rFonts w:ascii="Arial" w:eastAsia="Arial"/>
        </w:rPr>
        <w:t>2</w:t>
      </w:r>
      <w:r>
        <w:rPr/>
        <w:t>）转移至前列腺的其他恶性肿瘤；</w:t>
      </w:r>
    </w:p>
    <w:p>
      <w:pPr>
        <w:pStyle w:val="BodyText"/>
        <w:spacing w:line="282" w:lineRule="exact"/>
      </w:pPr>
      <w:r>
        <w:rPr/>
        <w:t>（</w:t>
      </w:r>
      <w:r>
        <w:rPr>
          <w:rFonts w:ascii="Arial" w:eastAsia="Arial"/>
        </w:rPr>
        <w:t>3</w:t>
      </w:r>
      <w:r>
        <w:rPr/>
        <w:t>）感染艾滋病病毒或患艾滋病期间所患恶性肿瘤。</w:t>
      </w:r>
    </w:p>
    <w:p>
      <w:pPr>
        <w:pStyle w:val="Heading2"/>
        <w:tabs>
          <w:tab w:pos="3048" w:val="left" w:leader="none"/>
        </w:tabs>
        <w:spacing w:line="372" w:lineRule="exact" w:before="142"/>
        <w:ind w:left="2199"/>
      </w:pPr>
      <w:r>
        <w:rPr/>
        <w:t>二、</w:t>
        <w:tab/>
        <w:t>以下三种特定重大疾病仅限女性被保险人</w:t>
      </w:r>
    </w:p>
    <w:p>
      <w:pPr>
        <w:pStyle w:val="Heading3"/>
        <w:spacing w:line="307" w:lineRule="exact"/>
      </w:pPr>
      <w:r>
        <w:rPr>
          <w:rFonts w:ascii="Arial" w:eastAsia="Arial"/>
        </w:rPr>
        <w:t>1. </w:t>
      </w:r>
      <w:r>
        <w:rPr/>
        <w:t>乳腺癌：</w:t>
      </w:r>
    </w:p>
    <w:p>
      <w:pPr>
        <w:pStyle w:val="BodyText"/>
        <w:spacing w:line="235" w:lineRule="exact"/>
        <w:rPr>
          <w:rFonts w:ascii="Arial" w:eastAsia="Arial"/>
        </w:rPr>
      </w:pPr>
      <w:r>
        <w:rPr/>
        <w:t>原发于乳腺组织的恶性肿瘤， 国际疾病分类码为 </w:t>
      </w:r>
      <w:r>
        <w:rPr>
          <w:rFonts w:ascii="Arial" w:eastAsia="Arial"/>
        </w:rPr>
        <w:t>C50</w:t>
      </w:r>
    </w:p>
    <w:p>
      <w:pPr>
        <w:pStyle w:val="Heading3"/>
        <w:spacing w:line="310" w:lineRule="exact"/>
      </w:pPr>
      <w:r>
        <w:rPr/>
        <w:t>下列疾病不在保障范围内：</w:t>
      </w:r>
    </w:p>
    <w:p>
      <w:pPr>
        <w:pStyle w:val="BodyText"/>
        <w:spacing w:line="268" w:lineRule="exact"/>
      </w:pPr>
      <w:r>
        <w:rPr/>
        <w:t>（</w:t>
      </w:r>
      <w:r>
        <w:rPr>
          <w:rFonts w:ascii="Arial" w:eastAsia="Arial"/>
        </w:rPr>
        <w:t>1</w:t>
      </w:r>
      <w:r>
        <w:rPr/>
        <w:t>）原位癌或导管内癌；</w:t>
      </w:r>
    </w:p>
    <w:p>
      <w:pPr>
        <w:pStyle w:val="BodyText"/>
        <w:spacing w:line="272" w:lineRule="exact"/>
      </w:pPr>
      <w:r>
        <w:rPr/>
        <w:t>（</w:t>
      </w:r>
      <w:r>
        <w:rPr>
          <w:rFonts w:ascii="Arial" w:eastAsia="Arial"/>
        </w:rPr>
        <w:t>2</w:t>
      </w:r>
      <w:r>
        <w:rPr/>
        <w:t>）转移至乳腺的其他恶性肿瘤；</w:t>
      </w:r>
    </w:p>
    <w:p>
      <w:pPr>
        <w:pStyle w:val="BodyText"/>
        <w:spacing w:line="239" w:lineRule="exact"/>
      </w:pPr>
      <w:r>
        <w:rPr/>
        <w:t>（</w:t>
      </w:r>
      <w:r>
        <w:rPr>
          <w:rFonts w:ascii="Arial" w:eastAsia="Arial"/>
        </w:rPr>
        <w:t>3</w:t>
      </w:r>
      <w:r>
        <w:rPr/>
        <w:t>）感染艾滋病病毒或患艾滋病期间所患的恶性肿瘤。</w:t>
      </w:r>
    </w:p>
    <w:p>
      <w:pPr>
        <w:pStyle w:val="Heading3"/>
        <w:spacing w:line="310" w:lineRule="exact"/>
      </w:pPr>
      <w:r>
        <w:rPr>
          <w:rFonts w:ascii="Arial" w:eastAsia="Arial"/>
        </w:rPr>
        <w:t>2.</w:t>
      </w:r>
      <w:r>
        <w:rPr/>
        <w:t>子宫癌</w:t>
      </w:r>
    </w:p>
    <w:p>
      <w:pPr>
        <w:spacing w:line="182" w:lineRule="auto" w:before="57"/>
        <w:ind w:left="2199" w:right="1936" w:hanging="1"/>
        <w:jc w:val="left"/>
        <w:rPr>
          <w:rFonts w:ascii="Microsoft JhengHei" w:eastAsia="Microsoft JhengHei" w:hint="eastAsia"/>
          <w:b/>
          <w:sz w:val="21"/>
        </w:rPr>
      </w:pPr>
      <w:r>
        <w:rPr>
          <w:spacing w:val="-6"/>
          <w:sz w:val="21"/>
        </w:rPr>
        <w:t>原发于子宫组织的恶性肿瘤，国际疾病分类码为 </w:t>
      </w:r>
      <w:r>
        <w:rPr>
          <w:rFonts w:ascii="Arial" w:eastAsia="Arial"/>
          <w:sz w:val="21"/>
        </w:rPr>
        <w:t>C53 </w:t>
      </w:r>
      <w:r>
        <w:rPr>
          <w:spacing w:val="-24"/>
          <w:sz w:val="21"/>
        </w:rPr>
        <w:t>或 </w:t>
      </w:r>
      <w:r>
        <w:rPr>
          <w:rFonts w:ascii="Arial" w:eastAsia="Arial"/>
          <w:sz w:val="21"/>
        </w:rPr>
        <w:t>C54</w:t>
      </w:r>
      <w:r>
        <w:rPr>
          <w:sz w:val="21"/>
        </w:rPr>
        <w:t>。</w:t>
      </w:r>
      <w:r>
        <w:rPr>
          <w:rFonts w:ascii="Microsoft JhengHei" w:eastAsia="Microsoft JhengHei" w:hint="eastAsia"/>
          <w:b/>
          <w:spacing w:val="-2"/>
          <w:sz w:val="21"/>
        </w:rPr>
        <w:t>下列疾病不在保障范围内：</w:t>
      </w:r>
    </w:p>
    <w:p>
      <w:pPr>
        <w:pStyle w:val="BodyText"/>
        <w:spacing w:line="255" w:lineRule="exact"/>
      </w:pPr>
      <w:r>
        <w:rPr/>
        <w:t>（</w:t>
      </w:r>
      <w:r>
        <w:rPr>
          <w:rFonts w:ascii="Arial" w:eastAsia="Arial"/>
        </w:rPr>
        <w:t>1</w:t>
      </w:r>
      <w:r>
        <w:rPr/>
        <w:t>）原位癌；</w:t>
      </w:r>
    </w:p>
    <w:p>
      <w:pPr>
        <w:pStyle w:val="BodyText"/>
        <w:spacing w:line="272" w:lineRule="exact"/>
      </w:pPr>
      <w:r>
        <w:rPr/>
        <w:t>（</w:t>
      </w:r>
      <w:r>
        <w:rPr>
          <w:rFonts w:ascii="Arial" w:eastAsia="Arial"/>
        </w:rPr>
        <w:t>2</w:t>
      </w:r>
      <w:r>
        <w:rPr/>
        <w:t>）转移至子宫的其他恶性肿瘤；</w:t>
      </w:r>
    </w:p>
    <w:p>
      <w:pPr>
        <w:pStyle w:val="BodyText"/>
        <w:spacing w:line="239" w:lineRule="exact"/>
      </w:pPr>
      <w:r>
        <w:rPr/>
        <w:t>（</w:t>
      </w:r>
      <w:r>
        <w:rPr>
          <w:rFonts w:ascii="Arial" w:eastAsia="Arial"/>
        </w:rPr>
        <w:t>3</w:t>
      </w:r>
      <w:r>
        <w:rPr/>
        <w:t>）感染艾滋病病毒或患艾滋病期间所患恶性肿瘤。</w:t>
      </w:r>
    </w:p>
    <w:p>
      <w:pPr>
        <w:pStyle w:val="Heading3"/>
        <w:spacing w:line="310" w:lineRule="exact"/>
      </w:pPr>
      <w:r>
        <w:rPr>
          <w:rFonts w:ascii="Arial" w:eastAsia="Arial"/>
        </w:rPr>
        <w:t>3. </w:t>
      </w:r>
      <w:r>
        <w:rPr/>
        <w:t>卵巢癌：</w:t>
      </w:r>
    </w:p>
    <w:p>
      <w:pPr>
        <w:pStyle w:val="BodyText"/>
        <w:spacing w:line="235" w:lineRule="exact"/>
        <w:rPr>
          <w:rFonts w:ascii="Arial" w:eastAsia="Arial"/>
        </w:rPr>
      </w:pPr>
      <w:r>
        <w:rPr/>
        <w:t>原发于卵巢组织的恶性肿瘤，国际疾病分类码为 </w:t>
      </w:r>
      <w:r>
        <w:rPr>
          <w:rFonts w:ascii="Arial" w:eastAsia="Arial"/>
        </w:rPr>
        <w:t>C56</w:t>
      </w:r>
    </w:p>
    <w:p>
      <w:pPr>
        <w:pStyle w:val="Heading3"/>
        <w:spacing w:line="310" w:lineRule="exact"/>
      </w:pPr>
      <w:r>
        <w:rPr/>
        <w:t>下列疾病不在保障范围内：</w:t>
      </w:r>
    </w:p>
    <w:p>
      <w:pPr>
        <w:pStyle w:val="BodyText"/>
        <w:spacing w:line="268" w:lineRule="exact"/>
      </w:pPr>
      <w:r>
        <w:rPr/>
        <w:t>（</w:t>
      </w:r>
      <w:r>
        <w:rPr>
          <w:rFonts w:ascii="Arial" w:eastAsia="Arial"/>
        </w:rPr>
        <w:t>1</w:t>
      </w:r>
      <w:r>
        <w:rPr/>
        <w:t>）原位癌；</w:t>
      </w:r>
    </w:p>
    <w:p>
      <w:pPr>
        <w:pStyle w:val="BodyText"/>
        <w:spacing w:line="271" w:lineRule="exact"/>
      </w:pPr>
      <w:r>
        <w:rPr/>
        <w:t>（</w:t>
      </w:r>
      <w:r>
        <w:rPr>
          <w:rFonts w:ascii="Arial" w:eastAsia="Arial"/>
        </w:rPr>
        <w:t>2</w:t>
      </w:r>
      <w:r>
        <w:rPr/>
        <w:t>）转移至卵巢的其他恶性肿瘤；</w:t>
      </w:r>
    </w:p>
    <w:p>
      <w:pPr>
        <w:pStyle w:val="BodyText"/>
        <w:spacing w:line="231" w:lineRule="exact"/>
      </w:pPr>
      <w:r>
        <w:rPr/>
        <w:t>（</w:t>
      </w:r>
      <w:r>
        <w:rPr>
          <w:rFonts w:ascii="Arial" w:eastAsia="Arial"/>
        </w:rPr>
        <w:t>3</w:t>
      </w:r>
      <w:r>
        <w:rPr/>
        <w:t>）感染艾滋病病毒或患艾滋病期间所患的恶性肿瘤。</w:t>
      </w:r>
    </w:p>
    <w:p>
      <w:pPr>
        <w:pStyle w:val="Heading2"/>
        <w:tabs>
          <w:tab w:pos="3048" w:val="left" w:leader="none"/>
        </w:tabs>
        <w:spacing w:line="180" w:lineRule="auto" w:before="55"/>
        <w:ind w:left="2199" w:right="196"/>
      </w:pPr>
      <w:r>
        <w:rPr/>
        <w:t>三、</w:t>
        <w:tab/>
        <w:t>以下两种特定重大疾病仅限</w:t>
      </w:r>
      <w:r>
        <w:rPr>
          <w:spacing w:val="8"/>
        </w:rPr>
        <w:t> </w:t>
      </w:r>
      <w:r>
        <w:rPr>
          <w:rFonts w:ascii="Arial" w:eastAsia="Arial"/>
        </w:rPr>
        <w:t>17 </w:t>
      </w:r>
      <w:r>
        <w:rPr/>
        <w:t>周岁及以下（初次确诊时年龄）的少儿被保险人</w:t>
      </w:r>
    </w:p>
    <w:p>
      <w:pPr>
        <w:pStyle w:val="Heading3"/>
        <w:spacing w:line="261" w:lineRule="exact"/>
      </w:pPr>
      <w:r>
        <w:rPr>
          <w:rFonts w:ascii="Arial" w:eastAsia="Arial"/>
        </w:rPr>
        <w:t>1.</w:t>
      </w:r>
      <w:r>
        <w:rPr/>
        <w:t>白血病</w:t>
      </w:r>
    </w:p>
    <w:p>
      <w:pPr>
        <w:pStyle w:val="BodyText"/>
        <w:spacing w:line="237" w:lineRule="auto"/>
        <w:ind w:right="222"/>
      </w:pPr>
      <w:r>
        <w:rPr>
          <w:spacing w:val="-10"/>
        </w:rPr>
        <w:t>是一种造血系统的恶性肿瘤，其主要表现为白血病细胞在骨髓或其他造血组织中大</w:t>
      </w:r>
      <w:r>
        <w:rPr>
          <w:spacing w:val="-12"/>
        </w:rPr>
        <w:t>量克隆、异常增生，大量聚集的白细胞抑制正常造血并浸润全身器官和组织。周围</w:t>
      </w:r>
    </w:p>
    <w:p>
      <w:pPr>
        <w:spacing w:line="177" w:lineRule="auto" w:before="36"/>
        <w:ind w:left="2199" w:right="248" w:firstLine="0"/>
        <w:jc w:val="left"/>
        <w:rPr>
          <w:rFonts w:ascii="Microsoft JhengHei" w:eastAsia="Microsoft JhengHei" w:hint="eastAsia"/>
          <w:b/>
          <w:sz w:val="21"/>
        </w:rPr>
      </w:pPr>
      <w:r>
        <w:rPr>
          <w:sz w:val="21"/>
        </w:rPr>
        <w:t>白细胞有质和量的变化，出现相应临床表现。</w:t>
      </w:r>
      <w:r>
        <w:rPr>
          <w:rFonts w:ascii="Microsoft JhengHei" w:eastAsia="Microsoft JhengHei" w:hint="eastAsia"/>
          <w:b/>
          <w:sz w:val="21"/>
        </w:rPr>
        <w:t>相当于 </w:t>
      </w:r>
      <w:r>
        <w:rPr>
          <w:rFonts w:ascii="Arial" w:eastAsia="Arial"/>
          <w:b/>
          <w:sz w:val="21"/>
        </w:rPr>
        <w:t>Binet </w:t>
      </w:r>
      <w:r>
        <w:rPr>
          <w:rFonts w:ascii="Microsoft JhengHei" w:eastAsia="Microsoft JhengHei" w:hint="eastAsia"/>
          <w:b/>
          <w:sz w:val="21"/>
        </w:rPr>
        <w:t>分期方案 </w:t>
      </w:r>
      <w:r>
        <w:rPr>
          <w:rFonts w:ascii="Arial" w:eastAsia="Arial"/>
          <w:b/>
          <w:sz w:val="21"/>
        </w:rPr>
        <w:t>A </w:t>
      </w:r>
      <w:r>
        <w:rPr>
          <w:rFonts w:ascii="Microsoft JhengHei" w:eastAsia="Microsoft JhengHei" w:hint="eastAsia"/>
          <w:b/>
          <w:sz w:val="21"/>
        </w:rPr>
        <w:t>期程度的慢性淋巴细胞白血病不在保障范围内。</w:t>
      </w:r>
    </w:p>
    <w:p>
      <w:pPr>
        <w:pStyle w:val="Heading3"/>
        <w:spacing w:line="274" w:lineRule="exact"/>
      </w:pPr>
      <w:r>
        <w:rPr>
          <w:rFonts w:ascii="Arial" w:eastAsia="Arial"/>
        </w:rPr>
        <w:t>2.  </w:t>
      </w:r>
      <w:r>
        <w:rPr/>
        <w:t>脑炎后遗症或脑膜炎后遗症</w:t>
      </w:r>
    </w:p>
    <w:p>
      <w:pPr>
        <w:pStyle w:val="BodyText"/>
        <w:spacing w:before="33"/>
        <w:ind w:right="222"/>
      </w:pPr>
      <w:r>
        <w:rPr>
          <w:spacing w:val="-7"/>
        </w:rPr>
        <w:t>指因患脑炎或脑膜炎导致的神经系统永久性的功能障碍。神经系统永久性的功能障</w:t>
      </w:r>
      <w:r>
        <w:rPr>
          <w:spacing w:val="-5"/>
        </w:rPr>
        <w:t>碍，指疾病确诊</w:t>
      </w:r>
      <w:r>
        <w:rPr>
          <w:rFonts w:ascii="Arial" w:eastAsia="Arial"/>
        </w:rPr>
        <w:t>180</w:t>
      </w:r>
      <w:r>
        <w:rPr>
          <w:rFonts w:ascii="Arial" w:eastAsia="Arial"/>
          <w:spacing w:val="5"/>
        </w:rPr>
        <w:t>  </w:t>
      </w:r>
      <w:r>
        <w:rPr>
          <w:spacing w:val="-3"/>
        </w:rPr>
        <w:t>天后，仍遗留下列一种或一种以上障碍：</w:t>
      </w:r>
    </w:p>
    <w:p>
      <w:pPr>
        <w:pStyle w:val="BodyText"/>
        <w:spacing w:before="41"/>
      </w:pPr>
      <w:r>
        <w:rPr/>
        <w:t>（</w:t>
      </w:r>
      <w:r>
        <w:rPr>
          <w:rFonts w:ascii="Arial" w:eastAsia="Arial"/>
        </w:rPr>
        <w:t>1</w:t>
      </w:r>
      <w:r>
        <w:rPr/>
        <w:t>）一肢或一肢以上肢体机能完全丧失；</w:t>
      </w:r>
    </w:p>
    <w:p>
      <w:pPr>
        <w:pStyle w:val="BodyText"/>
        <w:spacing w:before="43"/>
      </w:pPr>
      <w:r>
        <w:rPr/>
        <w:t>（</w:t>
      </w:r>
      <w:r>
        <w:rPr>
          <w:rFonts w:ascii="Arial" w:eastAsia="Arial"/>
        </w:rPr>
        <w:t>2</w:t>
      </w:r>
      <w:r>
        <w:rPr/>
        <w:t>）语言能力或咀嚼吞咽能力完全丧失；</w:t>
      </w:r>
    </w:p>
    <w:p>
      <w:pPr>
        <w:pStyle w:val="BodyText"/>
        <w:spacing w:line="225" w:lineRule="auto" w:before="58"/>
        <w:ind w:right="227" w:hanging="1"/>
      </w:pPr>
      <w:r>
        <w:rPr/>
        <w:t>（</w:t>
      </w:r>
      <w:r>
        <w:rPr>
          <w:rFonts w:ascii="Arial" w:eastAsia="Arial"/>
        </w:rPr>
        <w:t>3</w:t>
      </w:r>
      <w:r>
        <w:rPr/>
        <w:t>）自主生活能力完全丧失，无法独立完成六项基本日常生活活动中的三项或三项以上。</w:t>
      </w:r>
    </w:p>
    <w:p>
      <w:pPr>
        <w:tabs>
          <w:tab w:pos="1955" w:val="left" w:leader="none"/>
        </w:tabs>
        <w:spacing w:line="283" w:lineRule="exact" w:before="0"/>
        <w:ind w:left="0" w:right="4712" w:firstLine="0"/>
        <w:jc w:val="center"/>
        <w:rPr>
          <w:rFonts w:ascii="Microsoft JhengHei" w:eastAsia="Microsoft JhengHei" w:hint="eastAsia"/>
          <w:b/>
          <w:sz w:val="21"/>
        </w:rPr>
      </w:pPr>
      <w:r>
        <w:rPr>
          <w:w w:val="100"/>
          <w:sz w:val="21"/>
        </w:rPr>
        <w:t>十二</w:t>
      </w:r>
      <w:r>
        <w:rPr>
          <w:spacing w:val="-3"/>
          <w:w w:val="100"/>
          <w:sz w:val="21"/>
        </w:rPr>
        <w:t>种</w:t>
      </w:r>
      <w:r>
        <w:rPr>
          <w:w w:val="100"/>
          <w:sz w:val="21"/>
        </w:rPr>
        <w:t>轻</w:t>
      </w:r>
      <w:r>
        <w:rPr>
          <w:spacing w:val="-3"/>
          <w:w w:val="100"/>
          <w:sz w:val="21"/>
        </w:rPr>
        <w:t>症</w:t>
      </w:r>
      <w:r>
        <w:rPr>
          <w:w w:val="100"/>
          <w:position w:val="11"/>
          <w:sz w:val="11"/>
        </w:rPr>
        <w:t>（8）</w:t>
      </w:r>
      <w:r>
        <w:rPr>
          <w:position w:val="11"/>
          <w:sz w:val="11"/>
        </w:rPr>
        <w:tab/>
      </w:r>
      <w:r>
        <w:rPr>
          <w:rFonts w:ascii="Microsoft JhengHei" w:eastAsia="Microsoft JhengHei" w:hint="eastAsia"/>
          <w:b/>
          <w:w w:val="84"/>
          <w:sz w:val="21"/>
        </w:rPr>
        <w:t>1</w:t>
      </w:r>
      <w:r>
        <w:rPr>
          <w:rFonts w:ascii="Microsoft JhengHei" w:eastAsia="Microsoft JhengHei" w:hint="eastAsia"/>
          <w:b/>
          <w:w w:val="197"/>
          <w:sz w:val="21"/>
        </w:rPr>
        <w:t>.</w:t>
      </w:r>
      <w:r>
        <w:rPr>
          <w:rFonts w:ascii="Microsoft JhengHei" w:eastAsia="Microsoft JhengHei" w:hint="eastAsia"/>
          <w:b/>
          <w:w w:val="100"/>
          <w:sz w:val="21"/>
        </w:rPr>
        <w:t>极早期恶性肿瘤或恶</w:t>
      </w:r>
      <w:r>
        <w:rPr>
          <w:rFonts w:ascii="Microsoft JhengHei" w:eastAsia="Microsoft JhengHei" w:hint="eastAsia"/>
          <w:b/>
          <w:spacing w:val="-3"/>
          <w:w w:val="100"/>
          <w:sz w:val="21"/>
        </w:rPr>
        <w:t>性</w:t>
      </w:r>
      <w:r>
        <w:rPr>
          <w:rFonts w:ascii="Microsoft JhengHei" w:eastAsia="Microsoft JhengHei" w:hint="eastAsia"/>
          <w:b/>
          <w:w w:val="100"/>
          <w:sz w:val="21"/>
        </w:rPr>
        <w:t>病变</w:t>
      </w:r>
    </w:p>
    <w:p>
      <w:pPr>
        <w:pStyle w:val="BodyText"/>
        <w:spacing w:line="227" w:lineRule="exact"/>
      </w:pPr>
      <w:r>
        <w:rPr/>
        <w:t>指经组织病理学检查被明确诊断为下列恶性病变，并且接受了相应的治疗。</w:t>
      </w:r>
    </w:p>
    <w:p>
      <w:pPr>
        <w:spacing w:line="317" w:lineRule="exact" w:before="0"/>
        <w:ind w:left="2199" w:right="0" w:firstLine="0"/>
        <w:jc w:val="left"/>
        <w:rPr>
          <w:sz w:val="21"/>
        </w:rPr>
      </w:pPr>
      <w:r>
        <w:rPr>
          <w:sz w:val="21"/>
        </w:rPr>
        <w:t>（1）</w:t>
      </w:r>
      <w:r>
        <w:rPr>
          <w:rFonts w:ascii="Microsoft JhengHei" w:eastAsia="Microsoft JhengHei" w:hint="eastAsia"/>
          <w:b/>
          <w:sz w:val="21"/>
        </w:rPr>
        <w:t>原位癌</w:t>
      </w:r>
      <w:r>
        <w:rPr>
          <w:sz w:val="21"/>
        </w:rPr>
        <w:t>；</w:t>
      </w:r>
    </w:p>
    <w:p>
      <w:pPr>
        <w:pStyle w:val="BodyText"/>
        <w:spacing w:line="260" w:lineRule="exact"/>
      </w:pPr>
      <w:r>
        <w:rPr/>
        <w:t>（2）相当于Binet分期方案A 期程度的慢性淋巴细胞白血病；</w:t>
      </w:r>
    </w:p>
    <w:p>
      <w:pPr>
        <w:pStyle w:val="BodyText"/>
        <w:spacing w:line="272" w:lineRule="exact"/>
      </w:pPr>
      <w:r>
        <w:rPr/>
        <w:t>（3）相当于Ann Arbor分期方案I期程度的何杰金氏病；</w:t>
      </w:r>
    </w:p>
    <w:p>
      <w:pPr>
        <w:pStyle w:val="BodyText"/>
        <w:spacing w:line="272" w:lineRule="exact"/>
      </w:pPr>
      <w:r>
        <w:rPr/>
        <w:t>（4）皮肤癌（不包括恶性黑色素瘤及已发生转移的皮肤癌）；</w:t>
      </w:r>
    </w:p>
    <w:p>
      <w:pPr>
        <w:pStyle w:val="BodyText"/>
        <w:spacing w:line="274" w:lineRule="exact"/>
      </w:pPr>
      <w:r>
        <w:rPr/>
        <w:t>（5）TNM分期为T1N0M0期或更轻分期的前列腺癌。</w:t>
      </w:r>
    </w:p>
    <w:p>
      <w:pPr>
        <w:spacing w:after="0" w:line="274" w:lineRule="exact"/>
        <w:sectPr>
          <w:pgSz w:w="11900" w:h="16840"/>
          <w:pgMar w:header="892" w:footer="549" w:top="1080" w:bottom="760" w:left="1000" w:right="1000"/>
        </w:sectPr>
      </w:pPr>
    </w:p>
    <w:p>
      <w:pPr>
        <w:pStyle w:val="BodyText"/>
        <w:ind w:left="0"/>
        <w:rPr>
          <w:sz w:val="20"/>
        </w:rPr>
      </w:pPr>
    </w:p>
    <w:p>
      <w:pPr>
        <w:pStyle w:val="BodyText"/>
        <w:spacing w:before="3"/>
        <w:ind w:left="0"/>
        <w:rPr>
          <w:sz w:val="20"/>
        </w:rPr>
      </w:pPr>
    </w:p>
    <w:p>
      <w:pPr>
        <w:pStyle w:val="Heading3"/>
        <w:spacing w:line="326" w:lineRule="exact"/>
      </w:pPr>
      <w:r>
        <w:rPr>
          <w:w w:val="84"/>
        </w:rPr>
        <w:t>2</w:t>
      </w:r>
      <w:r>
        <w:rPr>
          <w:w w:val="197"/>
        </w:rPr>
        <w:t>.</w:t>
      </w:r>
      <w:r>
        <w:rPr>
          <w:w w:val="100"/>
        </w:rPr>
        <w:t>较小面积</w:t>
      </w:r>
      <w:r>
        <w:rPr>
          <w:w w:val="163"/>
        </w:rPr>
        <w:t>III</w:t>
      </w:r>
      <w:r>
        <w:rPr>
          <w:w w:val="100"/>
        </w:rPr>
        <w:t>度烧伤</w:t>
      </w:r>
    </w:p>
    <w:p>
      <w:pPr>
        <w:pStyle w:val="BodyText"/>
        <w:spacing w:line="232" w:lineRule="auto"/>
        <w:ind w:right="222"/>
      </w:pPr>
      <w:r>
        <w:rPr/>
        <w:t>指烧</w:t>
      </w:r>
      <w:r>
        <w:rPr>
          <w:spacing w:val="-3"/>
        </w:rPr>
        <w:t>伤</w:t>
      </w:r>
      <w:r>
        <w:rPr/>
        <w:t>程</w:t>
      </w:r>
      <w:r>
        <w:rPr>
          <w:spacing w:val="-3"/>
        </w:rPr>
        <w:t>度</w:t>
      </w:r>
      <w:r>
        <w:rPr/>
        <w:t>为</w:t>
      </w:r>
      <w:r>
        <w:rPr>
          <w:spacing w:val="-3"/>
        </w:rPr>
        <w:t>Ⅲ度</w:t>
      </w:r>
      <w:r>
        <w:rPr>
          <w:spacing w:val="-44"/>
        </w:rPr>
        <w:t>，</w:t>
      </w:r>
      <w:r>
        <w:rPr>
          <w:spacing w:val="-3"/>
        </w:rPr>
        <w:t>且Ⅲ</w:t>
      </w:r>
      <w:r>
        <w:rPr/>
        <w:t>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26"/>
        </w:rPr>
        <w:t> </w:t>
      </w:r>
      <w:r>
        <w:rPr/>
        <w:t>15％但</w:t>
      </w:r>
      <w:r>
        <w:rPr>
          <w:spacing w:val="-3"/>
        </w:rPr>
        <w:t>不</w:t>
      </w:r>
      <w:r>
        <w:rPr/>
        <w:t>足</w:t>
      </w:r>
      <w:r>
        <w:rPr>
          <w:spacing w:val="-53"/>
        </w:rPr>
        <w:t> </w:t>
      </w:r>
      <w:r>
        <w:rPr>
          <w:spacing w:val="5"/>
          <w:w w:val="100"/>
        </w:rPr>
        <w:drawing>
          <wp:inline distT="0" distB="0" distL="0" distR="0">
            <wp:extent cx="60324"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60324" cy="104775"/>
                    </a:xfrm>
                    <a:prstGeom prst="rect">
                      <a:avLst/>
                    </a:prstGeom>
                  </pic:spPr>
                </pic:pic>
              </a:graphicData>
            </a:graphic>
          </wp:inline>
        </w:drawing>
      </w:r>
      <w:r>
        <w:rPr>
          <w:spacing w:val="5"/>
          <w:w w:val="100"/>
        </w:rPr>
      </w:r>
      <w:r>
        <w:rPr>
          <w:spacing w:val="-44"/>
        </w:rPr>
        <w:t>。</w:t>
      </w:r>
      <w:r>
        <w:rPr>
          <w:spacing w:val="-3"/>
        </w:rPr>
        <w:t>体</w:t>
      </w:r>
      <w:r>
        <w:rPr/>
        <w:t>表 </w:t>
      </w:r>
      <w:r>
        <w:rPr>
          <w:spacing w:val="-3"/>
        </w:rPr>
        <w:t>面积根据《中国新九分法》计算。</w:t>
      </w:r>
    </w:p>
    <w:p>
      <w:pPr>
        <w:pStyle w:val="BodyText"/>
        <w:spacing w:before="8"/>
        <w:ind w:left="0"/>
        <w:rPr>
          <w:sz w:val="15"/>
        </w:rPr>
      </w:pPr>
    </w:p>
    <w:p>
      <w:pPr>
        <w:pStyle w:val="Heading3"/>
        <w:spacing w:line="353" w:lineRule="exact"/>
      </w:pPr>
      <w:r>
        <w:rPr>
          <w:w w:val="84"/>
        </w:rPr>
        <w:t>3</w:t>
      </w:r>
      <w:r>
        <w:rPr>
          <w:w w:val="197"/>
        </w:rPr>
        <w:t>.</w:t>
      </w:r>
      <w:r>
        <w:rPr>
          <w:w w:val="100"/>
        </w:rPr>
        <w:t>轻微脑中风</w:t>
      </w:r>
    </w:p>
    <w:p>
      <w:pPr>
        <w:pStyle w:val="BodyText"/>
        <w:spacing w:line="237" w:lineRule="auto"/>
        <w:ind w:right="119"/>
      </w:pPr>
      <w:r>
        <w:rPr>
          <w:spacing w:val="-7"/>
        </w:rPr>
        <w:t>实际发生了脑血管的突发病变出现神经系统功能障碍表现，并接受住院治疗，头颅</w:t>
      </w:r>
      <w:r>
        <w:rPr>
          <w:spacing w:val="-15"/>
          <w:w w:val="100"/>
        </w:rPr>
        <w:t>断层扫描</w:t>
      </w:r>
      <w:r>
        <w:rPr>
          <w:w w:val="100"/>
        </w:rPr>
        <w:t>（CT</w:t>
      </w:r>
      <w:r>
        <w:rPr>
          <w:spacing w:val="-108"/>
          <w:w w:val="100"/>
        </w:rPr>
        <w:t>）</w:t>
      </w:r>
      <w:r>
        <w:rPr>
          <w:spacing w:val="-18"/>
          <w:w w:val="100"/>
        </w:rPr>
        <w:t>、核磁共振</w:t>
      </w:r>
      <w:r>
        <w:rPr>
          <w:w w:val="100"/>
        </w:rPr>
        <w:t>（MR</w:t>
      </w:r>
      <w:r>
        <w:rPr>
          <w:spacing w:val="-3"/>
          <w:w w:val="100"/>
        </w:rPr>
        <w:t>I</w:t>
      </w:r>
      <w:r>
        <w:rPr>
          <w:spacing w:val="-39"/>
          <w:w w:val="100"/>
        </w:rPr>
        <w:t>）</w:t>
      </w:r>
      <w:r>
        <w:rPr>
          <w:spacing w:val="-6"/>
          <w:w w:val="100"/>
        </w:rPr>
        <w:t>等影像学检查证实存在对应病灶，确诊为脑出血、</w:t>
      </w:r>
      <w:r>
        <w:rPr>
          <w:spacing w:val="-12"/>
        </w:rPr>
        <w:t>脑栓塞或脑梗塞，在确诊 </w:t>
      </w:r>
      <w:r>
        <w:rPr/>
        <w:t>180</w:t>
      </w:r>
      <w:r>
        <w:rPr>
          <w:spacing w:val="-12"/>
        </w:rPr>
        <w:t> 天后仍然遗留一肢或一肢以上肢体肌力 </w:t>
      </w:r>
      <w:r>
        <w:rPr/>
        <w:t>III</w:t>
      </w:r>
      <w:r>
        <w:rPr>
          <w:spacing w:val="-27"/>
        </w:rPr>
        <w:t> 级或 </w:t>
      </w:r>
      <w:r>
        <w:rPr/>
        <w:t>III </w:t>
      </w:r>
      <w:r>
        <w:rPr>
          <w:spacing w:val="-3"/>
        </w:rPr>
        <w:t>级以下的运动功能障碍，但尚未达到重大疾病“脑中风后遗症”的给付标准。</w:t>
      </w:r>
    </w:p>
    <w:p>
      <w:pPr>
        <w:pStyle w:val="BodyText"/>
        <w:spacing w:before="4"/>
        <w:ind w:left="0"/>
        <w:rPr>
          <w:sz w:val="16"/>
        </w:rPr>
      </w:pPr>
    </w:p>
    <w:p>
      <w:pPr>
        <w:pStyle w:val="Heading3"/>
        <w:spacing w:line="353" w:lineRule="exact"/>
      </w:pPr>
      <w:r>
        <w:rPr>
          <w:w w:val="84"/>
        </w:rPr>
        <w:t>4</w:t>
      </w:r>
      <w:r>
        <w:rPr>
          <w:w w:val="197"/>
        </w:rPr>
        <w:t>.</w:t>
      </w:r>
      <w:r>
        <w:rPr>
          <w:w w:val="100"/>
        </w:rPr>
        <w:t>冠状动脉介入手术（</w:t>
      </w:r>
      <w:r>
        <w:rPr>
          <w:spacing w:val="-2"/>
          <w:w w:val="100"/>
        </w:rPr>
        <w:t>非开胸手术</w:t>
      </w:r>
      <w:r>
        <w:rPr>
          <w:w w:val="100"/>
        </w:rPr>
        <w:t>）</w:t>
      </w:r>
    </w:p>
    <w:p>
      <w:pPr>
        <w:pStyle w:val="BodyText"/>
        <w:spacing w:line="237" w:lineRule="auto"/>
        <w:ind w:right="134"/>
      </w:pPr>
      <w:r>
        <w:rPr>
          <w:spacing w:val="-3"/>
        </w:rPr>
        <w:t>为了治疗明显的冠状动脉狭窄性疾病，首次实际实施了冠状动脉球囊扩张成形术、</w:t>
      </w:r>
      <w:r>
        <w:rPr>
          <w:spacing w:val="-10"/>
        </w:rPr>
        <w:t>冠状脉支架植入术、冠状动脉粥肿斑块切除术或激光冠状动脉成形术。如果被保险</w:t>
      </w:r>
      <w:r>
        <w:rPr>
          <w:spacing w:val="-9"/>
        </w:rPr>
        <w:t>人在冠状动脉介入治疗时发生不典型的急性心肌梗塞，本合同只给予在本疾病项下</w:t>
      </w:r>
      <w:r>
        <w:rPr>
          <w:spacing w:val="-12"/>
        </w:rPr>
        <w:t>的理赔，不再给予不典型的急性心肌梗塞理赔。理赔后不典型的急性心肌梗塞和冠</w:t>
      </w:r>
      <w:r>
        <w:rPr>
          <w:spacing w:val="-6"/>
        </w:rPr>
        <w:t>状动脉介入手术保障同时终止。</w:t>
      </w:r>
    </w:p>
    <w:p>
      <w:pPr>
        <w:pStyle w:val="BodyText"/>
        <w:spacing w:before="3"/>
        <w:ind w:left="0"/>
        <w:rPr>
          <w:sz w:val="16"/>
        </w:rPr>
      </w:pPr>
    </w:p>
    <w:p>
      <w:pPr>
        <w:pStyle w:val="Heading3"/>
        <w:spacing w:line="353" w:lineRule="exact" w:before="1"/>
      </w:pPr>
      <w:r>
        <w:rPr>
          <w:w w:val="84"/>
        </w:rPr>
        <w:t>5</w:t>
      </w:r>
      <w:r>
        <w:rPr>
          <w:w w:val="197"/>
        </w:rPr>
        <w:t>.</w:t>
      </w:r>
      <w:r>
        <w:rPr>
          <w:w w:val="100"/>
        </w:rPr>
        <w:t>心脏瓣膜介入手术（</w:t>
      </w:r>
      <w:r>
        <w:rPr>
          <w:spacing w:val="-2"/>
          <w:w w:val="100"/>
        </w:rPr>
        <w:t>非开胸手术</w:t>
      </w:r>
      <w:r>
        <w:rPr>
          <w:w w:val="100"/>
        </w:rPr>
        <w:t>）</w:t>
      </w:r>
    </w:p>
    <w:p>
      <w:pPr>
        <w:pStyle w:val="BodyText"/>
        <w:spacing w:line="237" w:lineRule="auto"/>
        <w:ind w:right="222"/>
      </w:pPr>
      <w:r>
        <w:rPr>
          <w:spacing w:val="-12"/>
        </w:rPr>
        <w:t>为了治疗心脏瓣膜疾病，实际实施了非开胸的经胸壁打孔内镜手术或经皮经导管介</w:t>
      </w:r>
      <w:r>
        <w:rPr>
          <w:spacing w:val="-6"/>
        </w:rPr>
        <w:t>入手术进行的心脏瓣膜置换或修复手术。</w:t>
      </w:r>
    </w:p>
    <w:p>
      <w:pPr>
        <w:pStyle w:val="BodyText"/>
        <w:spacing w:before="3"/>
        <w:ind w:left="0"/>
        <w:rPr>
          <w:sz w:val="16"/>
        </w:rPr>
      </w:pPr>
    </w:p>
    <w:p>
      <w:pPr>
        <w:pStyle w:val="Heading3"/>
        <w:spacing w:line="353" w:lineRule="exact"/>
      </w:pPr>
      <w:r>
        <w:rPr>
          <w:w w:val="84"/>
        </w:rPr>
        <w:t>6</w:t>
      </w:r>
      <w:r>
        <w:rPr>
          <w:w w:val="197"/>
        </w:rPr>
        <w:t>.</w:t>
      </w:r>
      <w:r>
        <w:rPr>
          <w:w w:val="100"/>
        </w:rPr>
        <w:t>视力严重受损</w:t>
      </w:r>
    </w:p>
    <w:p>
      <w:pPr>
        <w:pStyle w:val="BodyText"/>
        <w:spacing w:line="237" w:lineRule="auto"/>
        <w:ind w:right="222"/>
      </w:pPr>
      <w:r>
        <w:rPr>
          <w:spacing w:val="-7"/>
        </w:rPr>
        <w:t>指因疾病或意外伤害导致双目视力永久不可逆性丧失，虽然未达到重大疾病“双目</w:t>
      </w:r>
      <w:r>
        <w:rPr>
          <w:spacing w:val="-5"/>
        </w:rPr>
        <w:t>失明”的给付标准，但满足下列全部条件：</w:t>
      </w:r>
    </w:p>
    <w:p>
      <w:pPr>
        <w:pStyle w:val="BodyText"/>
        <w:spacing w:line="237" w:lineRule="auto" w:before="12"/>
        <w:ind w:right="222"/>
      </w:pPr>
      <w:r>
        <w:rPr/>
        <w:t>（1）</w:t>
      </w:r>
      <w:r>
        <w:rPr>
          <w:spacing w:val="-1"/>
        </w:rPr>
        <w:t>双眼中较好眼矫正视力低于 </w:t>
      </w:r>
      <w:r>
        <w:rPr/>
        <w:t>0.1（</w:t>
      </w:r>
      <w:r>
        <w:rPr>
          <w:spacing w:val="-3"/>
        </w:rPr>
        <w:t>采用国际标准视力表，如果使用其他视力</w:t>
      </w:r>
      <w:r>
        <w:rPr>
          <w:spacing w:val="-3"/>
          <w:w w:val="100"/>
        </w:rPr>
        <w:t>表应进行换算</w:t>
      </w:r>
      <w:r>
        <w:rPr>
          <w:spacing w:val="-108"/>
          <w:w w:val="100"/>
        </w:rPr>
        <w:t>）</w:t>
      </w:r>
      <w:r>
        <w:rPr>
          <w:w w:val="100"/>
        </w:rPr>
        <w:t>；</w:t>
      </w:r>
    </w:p>
    <w:p>
      <w:pPr>
        <w:pStyle w:val="BodyText"/>
        <w:spacing w:line="272" w:lineRule="exact"/>
      </w:pPr>
      <w:r>
        <w:rPr/>
        <w:t>（2）双眼中较好眼视野半径小于 20 度。</w:t>
      </w:r>
    </w:p>
    <w:p>
      <w:pPr>
        <w:pStyle w:val="BodyText"/>
        <w:ind w:right="222"/>
      </w:pPr>
      <w:r>
        <w:rPr>
          <w:spacing w:val="-10"/>
        </w:rPr>
        <w:t>申请理赔时，被保险人年龄必须在 </w:t>
      </w:r>
      <w:r>
        <w:rPr/>
        <w:t>3</w:t>
      </w:r>
      <w:r>
        <w:rPr>
          <w:spacing w:val="-11"/>
        </w:rPr>
        <w:t> 周岁以上，并且须提供理赔当时的视力丧失诊</w:t>
      </w:r>
      <w:r>
        <w:rPr>
          <w:spacing w:val="-6"/>
        </w:rPr>
        <w:t>断及检查证据。</w:t>
      </w:r>
    </w:p>
    <w:p>
      <w:pPr>
        <w:pStyle w:val="BodyText"/>
        <w:spacing w:before="8"/>
        <w:ind w:left="0"/>
        <w:rPr>
          <w:sz w:val="15"/>
        </w:rPr>
      </w:pPr>
    </w:p>
    <w:p>
      <w:pPr>
        <w:pStyle w:val="Heading3"/>
        <w:spacing w:line="352" w:lineRule="exact" w:before="1"/>
      </w:pPr>
      <w:r>
        <w:rPr>
          <w:w w:val="84"/>
        </w:rPr>
        <w:t>7</w:t>
      </w:r>
      <w:r>
        <w:rPr>
          <w:w w:val="197"/>
        </w:rPr>
        <w:t>.</w:t>
      </w:r>
      <w:r>
        <w:rPr>
          <w:w w:val="100"/>
        </w:rPr>
        <w:t>主动脉内手术（</w:t>
      </w:r>
      <w:r>
        <w:rPr>
          <w:spacing w:val="-1"/>
          <w:w w:val="100"/>
        </w:rPr>
        <w:t>非开胸手术</w:t>
      </w:r>
      <w:r>
        <w:rPr>
          <w:w w:val="100"/>
        </w:rPr>
        <w:t>）</w:t>
      </w:r>
    </w:p>
    <w:p>
      <w:pPr>
        <w:pStyle w:val="BodyText"/>
        <w:spacing w:line="274" w:lineRule="exact" w:before="12"/>
        <w:ind w:right="222"/>
      </w:pPr>
      <w:r>
        <w:rPr>
          <w:spacing w:val="-7"/>
        </w:rPr>
        <w:t>为了治疗主动脉疾病实际实施了经皮经导管进行的动脉内手术。主动脉指胸主动脉</w:t>
      </w:r>
      <w:r>
        <w:rPr>
          <w:spacing w:val="-5"/>
        </w:rPr>
        <w:t>和腹主动脉，不包括胸主动脉和腹主动脉的分支血管。</w:t>
      </w:r>
    </w:p>
    <w:p>
      <w:pPr>
        <w:pStyle w:val="Heading3"/>
        <w:spacing w:line="352" w:lineRule="exact" w:before="177"/>
      </w:pPr>
      <w:r>
        <w:rPr>
          <w:w w:val="84"/>
        </w:rPr>
        <w:t>8</w:t>
      </w:r>
      <w:r>
        <w:rPr>
          <w:w w:val="197"/>
        </w:rPr>
        <w:t>.</w:t>
      </w:r>
      <w:r>
        <w:rPr>
          <w:spacing w:val="-1"/>
          <w:w w:val="100"/>
        </w:rPr>
        <w:t>脑垂体瘤、脑囊肿、脑动脉瘤及脑血管瘤</w:t>
      </w:r>
    </w:p>
    <w:p>
      <w:pPr>
        <w:pStyle w:val="BodyText"/>
        <w:spacing w:line="237" w:lineRule="auto"/>
        <w:ind w:right="136" w:hanging="1"/>
      </w:pPr>
      <w:r>
        <w:rPr>
          <w:spacing w:val="-3"/>
          <w:w w:val="100"/>
        </w:rPr>
        <w:t>指经头颅断层扫描（</w:t>
      </w:r>
      <w:r>
        <w:rPr>
          <w:w w:val="100"/>
        </w:rPr>
        <w:t>CT</w:t>
      </w:r>
      <w:r>
        <w:rPr>
          <w:spacing w:val="-108"/>
          <w:w w:val="100"/>
        </w:rPr>
        <w:t>）</w:t>
      </w:r>
      <w:r>
        <w:rPr>
          <w:spacing w:val="-3"/>
          <w:w w:val="100"/>
        </w:rPr>
        <w:t>、核磁共振（</w:t>
      </w:r>
      <w:r>
        <w:rPr>
          <w:w w:val="100"/>
        </w:rPr>
        <w:t>MR</w:t>
      </w:r>
      <w:r>
        <w:rPr>
          <w:spacing w:val="-3"/>
          <w:w w:val="100"/>
        </w:rPr>
        <w:t>I</w:t>
      </w:r>
      <w:r>
        <w:rPr>
          <w:w w:val="100"/>
        </w:rPr>
        <w:t>）</w:t>
      </w:r>
      <w:r>
        <w:rPr>
          <w:spacing w:val="-3"/>
          <w:w w:val="100"/>
        </w:rPr>
        <w:t>或其他影像学检查被确诊为下列病变，</w:t>
      </w:r>
      <w:r>
        <w:rPr>
          <w:spacing w:val="-3"/>
        </w:rPr>
        <w:t>并实际接受了手术或放射治疗。</w:t>
      </w:r>
    </w:p>
    <w:p>
      <w:pPr>
        <w:pStyle w:val="BodyText"/>
        <w:spacing w:line="272" w:lineRule="exact" w:before="11"/>
      </w:pPr>
      <w:r>
        <w:rPr/>
        <w:t>（1）脑垂体瘤；</w:t>
      </w:r>
    </w:p>
    <w:p>
      <w:pPr>
        <w:pStyle w:val="BodyText"/>
        <w:spacing w:line="272" w:lineRule="exact"/>
      </w:pPr>
      <w:r>
        <w:rPr/>
        <w:t>（2）脑囊肿；</w:t>
      </w:r>
    </w:p>
    <w:p>
      <w:pPr>
        <w:pStyle w:val="BodyText"/>
        <w:spacing w:line="274" w:lineRule="exact"/>
      </w:pPr>
      <w:r>
        <w:rPr/>
        <w:t>（3）脑动脉瘤、脑血管瘤。</w:t>
      </w:r>
    </w:p>
    <w:p>
      <w:pPr>
        <w:pStyle w:val="BodyText"/>
        <w:spacing w:before="6"/>
        <w:ind w:left="0"/>
        <w:rPr>
          <w:sz w:val="15"/>
        </w:rPr>
      </w:pPr>
    </w:p>
    <w:p>
      <w:pPr>
        <w:pStyle w:val="Heading3"/>
        <w:spacing w:line="352" w:lineRule="exact"/>
      </w:pPr>
      <w:r>
        <w:rPr>
          <w:w w:val="84"/>
        </w:rPr>
        <w:t>9</w:t>
      </w:r>
      <w:r>
        <w:rPr>
          <w:w w:val="197"/>
        </w:rPr>
        <w:t>.</w:t>
      </w:r>
      <w:r>
        <w:rPr>
          <w:w w:val="100"/>
        </w:rPr>
        <w:t>不典型心肌梗塞</w:t>
      </w:r>
    </w:p>
    <w:p>
      <w:pPr>
        <w:pStyle w:val="BodyText"/>
        <w:spacing w:line="274" w:lineRule="exact" w:before="12"/>
        <w:ind w:right="222"/>
      </w:pPr>
      <w:r>
        <w:rPr>
          <w:spacing w:val="-6"/>
        </w:rPr>
        <w:t>指被临床诊断为急性心肌梗塞并接受了急性心肌梗塞治疗虽然未达到重大疾病“急</w:t>
      </w:r>
      <w:r>
        <w:rPr>
          <w:spacing w:val="-4"/>
        </w:rPr>
        <w:t>性心肌梗塞”的给付标准，但满足下列全部条件：</w:t>
      </w:r>
    </w:p>
    <w:p>
      <w:pPr>
        <w:pStyle w:val="BodyText"/>
        <w:spacing w:line="245" w:lineRule="exact"/>
      </w:pPr>
      <w:r>
        <w:rPr/>
        <w:t>（1）肌钙蛋白有诊断意义的升高；</w:t>
      </w:r>
    </w:p>
    <w:p>
      <w:pPr>
        <w:pStyle w:val="BodyText"/>
        <w:spacing w:line="272" w:lineRule="exact"/>
      </w:pPr>
      <w:r>
        <w:rPr/>
        <w:t>（2）心电图有损伤性的 ST 段改变但未出现病理 Q 波。</w:t>
      </w:r>
    </w:p>
    <w:p>
      <w:pPr>
        <w:pStyle w:val="BodyText"/>
        <w:ind w:right="222"/>
      </w:pPr>
      <w:r>
        <w:rPr>
          <w:spacing w:val="-6"/>
        </w:rPr>
        <w:t>如果被保险人在出现不典型的急性心肌梗塞以后接受冠状动脉介入手术治疗，我们</w:t>
      </w:r>
      <w:r>
        <w:rPr>
          <w:spacing w:val="-4"/>
        </w:rPr>
        <w:t>仅就其中一种疾病给付轻症疾病保险金。</w:t>
      </w:r>
    </w:p>
    <w:p>
      <w:pPr>
        <w:pStyle w:val="BodyText"/>
        <w:spacing w:before="8"/>
        <w:ind w:left="0"/>
        <w:rPr>
          <w:sz w:val="15"/>
        </w:rPr>
      </w:pPr>
    </w:p>
    <w:p>
      <w:pPr>
        <w:pStyle w:val="Heading3"/>
        <w:spacing w:line="352" w:lineRule="exact"/>
      </w:pPr>
      <w:r>
        <w:rPr>
          <w:w w:val="84"/>
        </w:rPr>
        <w:t>10</w:t>
      </w:r>
      <w:r>
        <w:rPr>
          <w:w w:val="197"/>
        </w:rPr>
        <w:t>.</w:t>
      </w:r>
      <w:r>
        <w:rPr>
          <w:w w:val="100"/>
        </w:rPr>
        <w:t>重度头部外伤</w:t>
      </w:r>
    </w:p>
    <w:p>
      <w:pPr>
        <w:pStyle w:val="BodyText"/>
        <w:spacing w:line="274" w:lineRule="exact" w:before="11"/>
        <w:ind w:right="117"/>
      </w:pPr>
      <w:r>
        <w:rPr>
          <w:spacing w:val="-15"/>
        </w:rPr>
        <w:t>指因头部遭受机械性外力，引起脑重要部位损伤，导致神经系统永久性的功能障碍。</w:t>
      </w:r>
      <w:r>
        <w:rPr>
          <w:spacing w:val="-10"/>
          <w:w w:val="100"/>
        </w:rPr>
        <w:t>须由头颅断层扫描</w:t>
      </w:r>
      <w:r>
        <w:rPr>
          <w:w w:val="100"/>
        </w:rPr>
        <w:t>（CT</w:t>
      </w:r>
      <w:r>
        <w:rPr>
          <w:spacing w:val="-106"/>
          <w:w w:val="100"/>
        </w:rPr>
        <w:t>）</w:t>
      </w:r>
      <w:r>
        <w:rPr>
          <w:spacing w:val="-3"/>
          <w:w w:val="100"/>
        </w:rPr>
        <w:t>、核磁共振检查</w:t>
      </w:r>
      <w:r>
        <w:rPr>
          <w:w w:val="100"/>
        </w:rPr>
        <w:t>（M</w:t>
      </w:r>
      <w:r>
        <w:rPr>
          <w:spacing w:val="-3"/>
          <w:w w:val="100"/>
        </w:rPr>
        <w:t>R</w:t>
      </w:r>
      <w:r>
        <w:rPr>
          <w:w w:val="100"/>
        </w:rPr>
        <w:t>I）</w:t>
      </w:r>
      <w:r>
        <w:rPr>
          <w:spacing w:val="-3"/>
          <w:w w:val="100"/>
        </w:rPr>
        <w:t>或正电子发射断层扫描</w:t>
      </w:r>
      <w:r>
        <w:rPr>
          <w:w w:val="100"/>
        </w:rPr>
        <w:t>（PE</w:t>
      </w:r>
      <w:r>
        <w:rPr>
          <w:spacing w:val="-3"/>
          <w:w w:val="100"/>
        </w:rPr>
        <w:t>T）</w:t>
      </w:r>
      <w:r>
        <w:rPr>
          <w:w w:val="100"/>
        </w:rPr>
        <w:t>等</w:t>
      </w:r>
    </w:p>
    <w:p>
      <w:pPr>
        <w:spacing w:after="0" w:line="274" w:lineRule="exact"/>
        <w:sectPr>
          <w:pgSz w:w="11900" w:h="16840"/>
          <w:pgMar w:header="892" w:footer="549" w:top="1080" w:bottom="760" w:left="1000" w:right="1000"/>
        </w:sectPr>
      </w:pPr>
    </w:p>
    <w:p>
      <w:pPr>
        <w:pStyle w:val="BodyText"/>
        <w:spacing w:before="7"/>
        <w:ind w:left="0"/>
        <w:rPr>
          <w:sz w:val="19"/>
        </w:rPr>
      </w:pPr>
    </w:p>
    <w:p>
      <w:pPr>
        <w:pStyle w:val="BodyText"/>
        <w:spacing w:line="237" w:lineRule="auto" w:before="39"/>
        <w:ind w:right="222"/>
        <w:jc w:val="both"/>
      </w:pPr>
      <w:r>
        <w:rPr>
          <w:spacing w:val="-11"/>
        </w:rPr>
        <w:t>影像学检查证实。神经系统永久性的功能障碍，指脑损伤 </w:t>
      </w:r>
      <w:r>
        <w:rPr/>
        <w:t>180</w:t>
      </w:r>
      <w:r>
        <w:rPr>
          <w:spacing w:val="-10"/>
        </w:rPr>
        <w:t> 天后，仍完全丧失自</w:t>
      </w:r>
      <w:r>
        <w:rPr>
          <w:spacing w:val="-12"/>
        </w:rPr>
        <w:t>主生活能力，无法独立完成六项基本日常生活活动中的二项或以上，但尚未达到重</w:t>
      </w:r>
      <w:r>
        <w:rPr>
          <w:spacing w:val="-6"/>
        </w:rPr>
        <w:t>大疾病“严重脑损伤”的给付标准。</w:t>
      </w:r>
    </w:p>
    <w:p>
      <w:pPr>
        <w:pStyle w:val="BodyText"/>
        <w:spacing w:before="6"/>
        <w:ind w:left="0"/>
        <w:rPr>
          <w:sz w:val="15"/>
        </w:rPr>
      </w:pPr>
    </w:p>
    <w:p>
      <w:pPr>
        <w:pStyle w:val="Heading3"/>
        <w:spacing w:line="352" w:lineRule="exact"/>
      </w:pPr>
      <w:r>
        <w:rPr>
          <w:w w:val="84"/>
        </w:rPr>
        <w:t>11</w:t>
      </w:r>
      <w:r>
        <w:rPr>
          <w:w w:val="197"/>
        </w:rPr>
        <w:t>.</w:t>
      </w:r>
      <w:r>
        <w:rPr>
          <w:w w:val="100"/>
        </w:rPr>
        <w:t>糖尿病（</w:t>
      </w:r>
      <w:r>
        <w:rPr>
          <w:spacing w:val="-3"/>
          <w:w w:val="100"/>
        </w:rPr>
        <w:t>至少已发生一项或以上合同约定的并发症</w:t>
      </w:r>
      <w:r>
        <w:rPr>
          <w:w w:val="100"/>
        </w:rPr>
        <w:t>）</w:t>
      </w:r>
    </w:p>
    <w:p>
      <w:pPr>
        <w:pStyle w:val="BodyText"/>
        <w:spacing w:line="260" w:lineRule="exact"/>
      </w:pPr>
      <w:r>
        <w:rPr/>
        <w:t>指被保险人被确诊为糖尿病，并且出现以下任意一项并发症：</w:t>
      </w:r>
    </w:p>
    <w:p>
      <w:pPr>
        <w:pStyle w:val="BodyText"/>
        <w:spacing w:line="272" w:lineRule="exact"/>
      </w:pPr>
      <w:r>
        <w:rPr/>
        <w:t>1．糖尿病导致肢体坏疽，并实施了脚趾切除手术；</w:t>
      </w:r>
    </w:p>
    <w:p>
      <w:pPr>
        <w:pStyle w:val="BodyText"/>
        <w:ind w:right="225"/>
      </w:pPr>
      <w:r>
        <w:rPr/>
        <w:t>2．</w:t>
      </w:r>
      <w:r>
        <w:rPr>
          <w:spacing w:val="-6"/>
        </w:rPr>
        <w:t>糖尿病导致糖尿病肾病，出现持续 </w:t>
      </w:r>
      <w:r>
        <w:rPr/>
        <w:t>180</w:t>
      </w:r>
      <w:r>
        <w:rPr>
          <w:spacing w:val="-11"/>
        </w:rPr>
        <w:t> 天以上的血肌酐值大于 </w:t>
      </w:r>
      <w:r>
        <w:rPr/>
        <w:t>450umol/L</w:t>
      </w:r>
      <w:r>
        <w:rPr>
          <w:spacing w:val="-15"/>
        </w:rPr>
        <w:t> 或肌</w:t>
      </w:r>
      <w:r>
        <w:rPr>
          <w:spacing w:val="-14"/>
        </w:rPr>
        <w:t>酐清除率小于 </w:t>
      </w:r>
      <w:r>
        <w:rPr/>
        <w:t>20ml/min</w:t>
      </w:r>
      <w:r>
        <w:rPr>
          <w:spacing w:val="-9"/>
        </w:rPr>
        <w:t> 或肾小球滤过率</w:t>
      </w:r>
      <w:r>
        <w:rPr/>
        <w:t>（GFR）&lt;25ml/min。</w:t>
      </w:r>
    </w:p>
    <w:p>
      <w:pPr>
        <w:pStyle w:val="BodyText"/>
        <w:spacing w:before="9"/>
        <w:ind w:left="0"/>
        <w:rPr>
          <w:sz w:val="15"/>
        </w:rPr>
      </w:pPr>
    </w:p>
    <w:p>
      <w:pPr>
        <w:pStyle w:val="Heading3"/>
        <w:spacing w:line="352" w:lineRule="exact"/>
      </w:pPr>
      <w:r>
        <w:rPr>
          <w:w w:val="84"/>
        </w:rPr>
        <w:t>12</w:t>
      </w:r>
      <w:r>
        <w:rPr>
          <w:w w:val="197"/>
        </w:rPr>
        <w:t>.</w:t>
      </w:r>
      <w:r>
        <w:rPr>
          <w:w w:val="100"/>
        </w:rPr>
        <w:t>轻度颅脑手术</w:t>
      </w:r>
    </w:p>
    <w:p>
      <w:pPr>
        <w:pStyle w:val="BodyText"/>
        <w:spacing w:line="274" w:lineRule="exact" w:before="12"/>
        <w:ind w:right="222"/>
      </w:pPr>
      <w:r>
        <w:rPr>
          <w:spacing w:val="-7"/>
        </w:rPr>
        <w:t>被保险人确已实施全麻下的颅骨钻孔手术或经鼻蝶窦入颅手术。因外伤而实施的脑</w:t>
      </w:r>
      <w:r>
        <w:rPr>
          <w:spacing w:val="-5"/>
        </w:rPr>
        <w:t>外科手术不在保障范围内。</w:t>
      </w:r>
    </w:p>
    <w:p>
      <w:pPr>
        <w:pStyle w:val="BodyText"/>
        <w:tabs>
          <w:tab w:pos="2199" w:val="left" w:leader="none"/>
        </w:tabs>
        <w:spacing w:line="246" w:lineRule="exact"/>
        <w:ind w:left="243"/>
      </w:pPr>
      <w:r>
        <w:rPr/>
        <w:t>毒品</w:t>
      </w:r>
      <w:r>
        <w:rPr>
          <w:position w:val="11"/>
          <w:sz w:val="11"/>
        </w:rPr>
        <w:t>（9）</w:t>
        <w:tab/>
      </w:r>
      <w:r>
        <w:rPr>
          <w:spacing w:val="-15"/>
        </w:rPr>
        <w:t>：</w:t>
      </w:r>
      <w:r>
        <w:rPr>
          <w:spacing w:val="-3"/>
        </w:rPr>
        <w:t>指</w:t>
      </w:r>
      <w:r>
        <w:rPr/>
        <w:t>中</w:t>
      </w:r>
      <w:r>
        <w:rPr>
          <w:spacing w:val="-3"/>
        </w:rPr>
        <w:t>华</w:t>
      </w:r>
      <w:r>
        <w:rPr/>
        <w:t>人</w:t>
      </w:r>
      <w:r>
        <w:rPr>
          <w:spacing w:val="-3"/>
        </w:rPr>
        <w:t>民</w:t>
      </w:r>
      <w:r>
        <w:rPr/>
        <w:t>共</w:t>
      </w:r>
      <w:r>
        <w:rPr>
          <w:spacing w:val="-3"/>
        </w:rPr>
        <w:t>和</w:t>
      </w:r>
      <w:r>
        <w:rPr/>
        <w:t>国</w:t>
      </w:r>
      <w:r>
        <w:rPr>
          <w:spacing w:val="-3"/>
        </w:rPr>
        <w:t>刑法</w:t>
      </w:r>
      <w:r>
        <w:rPr/>
        <w:t>规定</w:t>
      </w:r>
      <w:r>
        <w:rPr>
          <w:spacing w:val="-3"/>
        </w:rPr>
        <w:t>的</w:t>
      </w:r>
      <w:r>
        <w:rPr/>
        <w:t>鸦</w:t>
      </w:r>
      <w:r>
        <w:rPr>
          <w:spacing w:val="-3"/>
        </w:rPr>
        <w:t>片</w:t>
      </w:r>
      <w:r>
        <w:rPr>
          <w:spacing w:val="-17"/>
        </w:rPr>
        <w:t>、</w:t>
      </w:r>
      <w:r>
        <w:rPr/>
        <w:t>海</w:t>
      </w:r>
      <w:r>
        <w:rPr>
          <w:spacing w:val="-3"/>
        </w:rPr>
        <w:t>洛</w:t>
      </w:r>
      <w:r>
        <w:rPr/>
        <w:t>因</w:t>
      </w:r>
      <w:r>
        <w:rPr>
          <w:spacing w:val="-17"/>
        </w:rPr>
        <w:t>、</w:t>
      </w:r>
      <w:r>
        <w:rPr>
          <w:spacing w:val="-3"/>
        </w:rPr>
        <w:t>甲</w:t>
      </w:r>
      <w:r>
        <w:rPr/>
        <w:t>基苯</w:t>
      </w:r>
      <w:r>
        <w:rPr>
          <w:spacing w:val="-3"/>
        </w:rPr>
        <w:t>丙</w:t>
      </w:r>
      <w:r>
        <w:rPr>
          <w:spacing w:val="-17"/>
        </w:rPr>
        <w:t>胺</w:t>
      </w:r>
      <w:r>
        <w:rPr/>
        <w:t>（</w:t>
      </w:r>
      <w:r>
        <w:rPr>
          <w:spacing w:val="-3"/>
        </w:rPr>
        <w:t>冰</w:t>
      </w:r>
      <w:r>
        <w:rPr/>
        <w:t>毒</w:t>
      </w:r>
      <w:r>
        <w:rPr>
          <w:spacing w:val="-106"/>
        </w:rPr>
        <w:t>）</w:t>
      </w:r>
      <w:r>
        <w:rPr>
          <w:spacing w:val="-17"/>
        </w:rPr>
        <w:t>、</w:t>
      </w:r>
      <w:r>
        <w:rPr/>
        <w:t>吗</w:t>
      </w:r>
      <w:r>
        <w:rPr>
          <w:spacing w:val="-3"/>
        </w:rPr>
        <w:t>啡</w:t>
      </w:r>
      <w:r>
        <w:rPr>
          <w:spacing w:val="-17"/>
        </w:rPr>
        <w:t>、</w:t>
      </w:r>
      <w:r>
        <w:rPr/>
        <w:t>大麻、</w:t>
      </w:r>
    </w:p>
    <w:p>
      <w:pPr>
        <w:pStyle w:val="BodyText"/>
        <w:spacing w:line="285" w:lineRule="auto" w:before="51"/>
        <w:ind w:left="2410" w:right="225"/>
      </w:pPr>
      <w:r>
        <w:rPr>
          <w:spacing w:val="-6"/>
        </w:rPr>
        <w:t>可卡因以及国家规定管制的其他能够使人形成瘾癖的麻醉药品和精神药品，但不</w:t>
      </w:r>
      <w:r>
        <w:rPr>
          <w:spacing w:val="-4"/>
        </w:rPr>
        <w:t>包括由医生开具并遵医嘱使用的用于治疗疾病但含有毒品成分的处方药品。</w:t>
      </w:r>
    </w:p>
    <w:p>
      <w:pPr>
        <w:pStyle w:val="BodyText"/>
        <w:tabs>
          <w:tab w:pos="2199" w:val="left" w:leader="none"/>
        </w:tabs>
        <w:spacing w:line="285" w:lineRule="auto" w:before="13"/>
        <w:ind w:left="2410" w:right="222" w:hanging="2168"/>
        <w:jc w:val="both"/>
      </w:pPr>
      <w:r>
        <w:rPr/>
        <w:t>酒后</w:t>
      </w:r>
      <w:r>
        <w:rPr>
          <w:spacing w:val="-3"/>
        </w:rPr>
        <w:t>驾</w:t>
      </w:r>
      <w:r>
        <w:rPr/>
        <w:t>驶</w:t>
      </w:r>
      <w:r>
        <w:rPr>
          <w:position w:val="11"/>
          <w:sz w:val="11"/>
        </w:rPr>
        <w:t>（10）</w:t>
        <w:tab/>
      </w:r>
      <w:r>
        <w:rPr>
          <w:spacing w:val="-44"/>
        </w:rPr>
        <w:t>：</w:t>
      </w:r>
      <w:r>
        <w:rPr>
          <w:spacing w:val="-3"/>
        </w:rPr>
        <w:t>指</w:t>
      </w:r>
      <w:r>
        <w:rPr/>
        <w:t>经</w:t>
      </w:r>
      <w:r>
        <w:rPr>
          <w:spacing w:val="-3"/>
        </w:rPr>
        <w:t>检</w:t>
      </w:r>
      <w:r>
        <w:rPr/>
        <w:t>测</w:t>
      </w:r>
      <w:r>
        <w:rPr>
          <w:spacing w:val="-3"/>
        </w:rPr>
        <w:t>或</w:t>
      </w:r>
      <w:r>
        <w:rPr/>
        <w:t>鉴</w:t>
      </w:r>
      <w:r>
        <w:rPr>
          <w:spacing w:val="-3"/>
        </w:rPr>
        <w:t>定</w:t>
      </w:r>
      <w:r>
        <w:rPr>
          <w:spacing w:val="-46"/>
        </w:rPr>
        <w:t>，</w:t>
      </w:r>
      <w:r>
        <w:rPr/>
        <w:t>发</w:t>
      </w:r>
      <w:r>
        <w:rPr>
          <w:spacing w:val="-3"/>
        </w:rPr>
        <w:t>生事</w:t>
      </w:r>
      <w:r>
        <w:rPr/>
        <w:t>故时</w:t>
      </w:r>
      <w:r>
        <w:rPr>
          <w:spacing w:val="-3"/>
        </w:rPr>
        <w:t>车</w:t>
      </w:r>
      <w:r>
        <w:rPr/>
        <w:t>辆</w:t>
      </w:r>
      <w:r>
        <w:rPr>
          <w:spacing w:val="-3"/>
        </w:rPr>
        <w:t>驾</w:t>
      </w:r>
      <w:r>
        <w:rPr/>
        <w:t>驶</w:t>
      </w:r>
      <w:r>
        <w:rPr>
          <w:spacing w:val="-3"/>
        </w:rPr>
        <w:t>人</w:t>
      </w:r>
      <w:r>
        <w:rPr/>
        <w:t>员</w:t>
      </w:r>
      <w:r>
        <w:rPr>
          <w:spacing w:val="-3"/>
        </w:rPr>
        <w:t>每</w:t>
      </w:r>
      <w:r>
        <w:rPr/>
        <w:t>百</w:t>
      </w:r>
      <w:r>
        <w:rPr>
          <w:spacing w:val="-3"/>
        </w:rPr>
        <w:t>毫</w:t>
      </w:r>
      <w:r>
        <w:rPr/>
        <w:t>升血</w:t>
      </w:r>
      <w:r>
        <w:rPr>
          <w:spacing w:val="-3"/>
        </w:rPr>
        <w:t>液</w:t>
      </w:r>
      <w:r>
        <w:rPr/>
        <w:t>中</w:t>
      </w:r>
      <w:r>
        <w:rPr>
          <w:spacing w:val="-3"/>
        </w:rPr>
        <w:t>的</w:t>
      </w:r>
      <w:r>
        <w:rPr/>
        <w:t>酒</w:t>
      </w:r>
      <w:r>
        <w:rPr>
          <w:spacing w:val="-3"/>
        </w:rPr>
        <w:t>精</w:t>
      </w:r>
      <w:r>
        <w:rPr/>
        <w:t>含</w:t>
      </w:r>
      <w:r>
        <w:rPr>
          <w:spacing w:val="-3"/>
        </w:rPr>
        <w:t>量</w:t>
      </w:r>
      <w:r>
        <w:rPr/>
        <w:t>达</w:t>
      </w:r>
      <w:r>
        <w:rPr>
          <w:spacing w:val="-3"/>
        </w:rPr>
        <w:t>到</w:t>
      </w:r>
      <w:r>
        <w:rPr/>
        <w:t>或超 过一</w:t>
      </w:r>
      <w:r>
        <w:rPr>
          <w:spacing w:val="-3"/>
        </w:rPr>
        <w:t>定</w:t>
      </w:r>
      <w:r>
        <w:rPr/>
        <w:t>的</w:t>
      </w:r>
      <w:r>
        <w:rPr>
          <w:spacing w:val="-3"/>
        </w:rPr>
        <w:t>标准</w:t>
      </w:r>
      <w:r>
        <w:rPr>
          <w:spacing w:val="-29"/>
        </w:rPr>
        <w:t>，</w:t>
      </w:r>
      <w:r>
        <w:rPr>
          <w:spacing w:val="-3"/>
        </w:rPr>
        <w:t>公</w:t>
      </w:r>
      <w:r>
        <w:rPr/>
        <w:t>安</w:t>
      </w:r>
      <w:r>
        <w:rPr>
          <w:spacing w:val="-3"/>
        </w:rPr>
        <w:t>机关</w:t>
      </w:r>
      <w:r>
        <w:rPr/>
        <w:t>交通</w:t>
      </w:r>
      <w:r>
        <w:rPr>
          <w:spacing w:val="-3"/>
        </w:rPr>
        <w:t>管</w:t>
      </w:r>
      <w:r>
        <w:rPr/>
        <w:t>理</w:t>
      </w:r>
      <w:r>
        <w:rPr>
          <w:spacing w:val="-3"/>
        </w:rPr>
        <w:t>部</w:t>
      </w:r>
      <w:r>
        <w:rPr/>
        <w:t>门</w:t>
      </w:r>
      <w:r>
        <w:rPr>
          <w:spacing w:val="-3"/>
        </w:rPr>
        <w:t>依</w:t>
      </w:r>
      <w:r>
        <w:rPr>
          <w:spacing w:val="-32"/>
        </w:rPr>
        <w:t>据</w:t>
      </w:r>
      <w:r>
        <w:rPr/>
        <w:t>《</w:t>
      </w:r>
      <w:r>
        <w:rPr>
          <w:spacing w:val="-3"/>
        </w:rPr>
        <w:t>道路</w:t>
      </w:r>
      <w:r>
        <w:rPr/>
        <w:t>交通</w:t>
      </w:r>
      <w:r>
        <w:rPr>
          <w:spacing w:val="-3"/>
        </w:rPr>
        <w:t>安</w:t>
      </w:r>
      <w:r>
        <w:rPr/>
        <w:t>全</w:t>
      </w:r>
      <w:r>
        <w:rPr>
          <w:spacing w:val="-3"/>
        </w:rPr>
        <w:t>法</w:t>
      </w:r>
      <w:r>
        <w:rPr>
          <w:spacing w:val="-32"/>
        </w:rPr>
        <w:t>》</w:t>
      </w:r>
      <w:r>
        <w:rPr/>
        <w:t>的</w:t>
      </w:r>
      <w:r>
        <w:rPr>
          <w:spacing w:val="-3"/>
        </w:rPr>
        <w:t>规</w:t>
      </w:r>
      <w:r>
        <w:rPr/>
        <w:t>定</w:t>
      </w:r>
      <w:r>
        <w:rPr>
          <w:spacing w:val="-3"/>
        </w:rPr>
        <w:t>认定</w:t>
      </w:r>
      <w:r>
        <w:rPr/>
        <w:t>为饮酒后</w:t>
      </w:r>
      <w:r>
        <w:rPr>
          <w:spacing w:val="-3"/>
        </w:rPr>
        <w:t>驾</w:t>
      </w:r>
      <w:r>
        <w:rPr/>
        <w:t>驶</w:t>
      </w:r>
      <w:r>
        <w:rPr>
          <w:spacing w:val="-3"/>
        </w:rPr>
        <w:t>或</w:t>
      </w:r>
      <w:r>
        <w:rPr/>
        <w:t>醉</w:t>
      </w:r>
      <w:r>
        <w:rPr>
          <w:spacing w:val="-3"/>
        </w:rPr>
        <w:t>酒</w:t>
      </w:r>
      <w:r>
        <w:rPr/>
        <w:t>后</w:t>
      </w:r>
      <w:r>
        <w:rPr>
          <w:spacing w:val="-3"/>
        </w:rPr>
        <w:t>驾</w:t>
      </w:r>
      <w:r>
        <w:rPr/>
        <w:t>驶。</w:t>
      </w:r>
    </w:p>
    <w:p>
      <w:pPr>
        <w:spacing w:after="0" w:line="285" w:lineRule="auto"/>
        <w:jc w:val="both"/>
        <w:sectPr>
          <w:pgSz w:w="11900" w:h="16840"/>
          <w:pgMar w:header="892" w:footer="549" w:top="1080" w:bottom="760" w:left="1000" w:right="1000"/>
        </w:sectPr>
      </w:pPr>
    </w:p>
    <w:p>
      <w:pPr>
        <w:spacing w:line="285" w:lineRule="auto" w:before="11"/>
        <w:ind w:left="243" w:right="0" w:firstLine="0"/>
        <w:jc w:val="left"/>
        <w:rPr>
          <w:sz w:val="11"/>
        </w:rPr>
      </w:pPr>
      <w:r>
        <w:rPr>
          <w:sz w:val="21"/>
        </w:rPr>
        <w:t>无合法有效驾驶证</w:t>
      </w:r>
      <w:r>
        <w:rPr>
          <w:position w:val="-10"/>
          <w:sz w:val="21"/>
        </w:rPr>
        <w:t>驾驶</w:t>
      </w:r>
      <w:r>
        <w:rPr>
          <w:sz w:val="11"/>
        </w:rPr>
        <w:t>（11）</w:t>
      </w:r>
    </w:p>
    <w:p>
      <w:pPr>
        <w:pStyle w:val="BodyText"/>
        <w:spacing w:line="274" w:lineRule="exact" w:before="11"/>
        <w:ind w:left="173"/>
      </w:pPr>
      <w:r>
        <w:rPr/>
        <w:br w:type="column"/>
      </w:r>
      <w:r>
        <w:rPr/>
        <w:t>：指下列情形之一：</w:t>
      </w:r>
    </w:p>
    <w:p>
      <w:pPr>
        <w:pStyle w:val="BodyText"/>
        <w:spacing w:line="272" w:lineRule="exact"/>
        <w:ind w:left="173"/>
      </w:pPr>
      <w:r>
        <w:rPr/>
        <w:t>（1）没有取得驾驶资格；</w:t>
      </w:r>
    </w:p>
    <w:p>
      <w:pPr>
        <w:pStyle w:val="BodyText"/>
        <w:spacing w:line="271" w:lineRule="exact"/>
        <w:ind w:left="173"/>
      </w:pPr>
      <w:r>
        <w:rPr/>
        <w:t>（2）驾驶与驾驶证准驾车型不相符合的车辆；</w:t>
      </w:r>
    </w:p>
    <w:p>
      <w:pPr>
        <w:pStyle w:val="BodyText"/>
        <w:spacing w:line="272" w:lineRule="exact"/>
        <w:ind w:left="173"/>
      </w:pPr>
      <w:r>
        <w:rPr/>
        <w:t>（3）持审验不合格的驾驶证驾驶；</w:t>
      </w:r>
    </w:p>
    <w:p>
      <w:pPr>
        <w:pStyle w:val="BodyText"/>
        <w:spacing w:line="285" w:lineRule="auto"/>
        <w:ind w:left="699" w:right="222" w:hanging="526"/>
      </w:pPr>
      <w:r>
        <w:rPr/>
        <w:t>（4）持学习驾驶证学习驾车时，无教练员随车指导，或不按指定时间、路线学习驾车。</w:t>
      </w:r>
    </w:p>
    <w:p>
      <w:pPr>
        <w:spacing w:after="0" w:line="285" w:lineRule="auto"/>
        <w:sectPr>
          <w:type w:val="continuous"/>
          <w:pgSz w:w="11900" w:h="16840"/>
          <w:pgMar w:top="800" w:bottom="700" w:left="1000" w:right="1000"/>
          <w:cols w:num="2" w:equalWidth="0">
            <w:col w:w="1986" w:space="40"/>
            <w:col w:w="7874"/>
          </w:cols>
        </w:sectPr>
      </w:pPr>
    </w:p>
    <w:p>
      <w:pPr>
        <w:tabs>
          <w:tab w:pos="2199" w:val="left" w:leader="none"/>
        </w:tabs>
        <w:spacing w:line="274" w:lineRule="exact" w:before="12"/>
        <w:ind w:left="243" w:right="0" w:firstLine="0"/>
        <w:jc w:val="left"/>
        <w:rPr>
          <w:sz w:val="21"/>
        </w:rPr>
      </w:pPr>
      <w:r>
        <w:rPr>
          <w:sz w:val="21"/>
        </w:rPr>
        <w:t>无有</w:t>
      </w:r>
      <w:r>
        <w:rPr>
          <w:spacing w:val="-3"/>
          <w:sz w:val="21"/>
        </w:rPr>
        <w:t>效</w:t>
      </w:r>
      <w:r>
        <w:rPr>
          <w:sz w:val="21"/>
        </w:rPr>
        <w:t>行</w:t>
      </w:r>
      <w:r>
        <w:rPr>
          <w:spacing w:val="-3"/>
          <w:sz w:val="21"/>
        </w:rPr>
        <w:t>驶</w:t>
      </w:r>
      <w:r>
        <w:rPr>
          <w:sz w:val="21"/>
        </w:rPr>
        <w:t>证</w:t>
      </w:r>
      <w:r>
        <w:rPr>
          <w:position w:val="11"/>
          <w:sz w:val="11"/>
        </w:rPr>
        <w:t>（12）</w:t>
        <w:tab/>
      </w:r>
      <w:r>
        <w:rPr>
          <w:sz w:val="21"/>
        </w:rPr>
        <w:t>：指</w:t>
      </w:r>
      <w:r>
        <w:rPr>
          <w:spacing w:val="-3"/>
          <w:sz w:val="21"/>
        </w:rPr>
        <w:t>下</w:t>
      </w:r>
      <w:r>
        <w:rPr>
          <w:sz w:val="21"/>
        </w:rPr>
        <w:t>列</w:t>
      </w:r>
      <w:r>
        <w:rPr>
          <w:spacing w:val="-3"/>
          <w:sz w:val="21"/>
        </w:rPr>
        <w:t>情</w:t>
      </w:r>
      <w:r>
        <w:rPr>
          <w:sz w:val="21"/>
        </w:rPr>
        <w:t>形</w:t>
      </w:r>
      <w:r>
        <w:rPr>
          <w:spacing w:val="-3"/>
          <w:sz w:val="21"/>
        </w:rPr>
        <w:t>之</w:t>
      </w:r>
      <w:r>
        <w:rPr>
          <w:sz w:val="21"/>
        </w:rPr>
        <w:t>一：</w:t>
      </w:r>
    </w:p>
    <w:p>
      <w:pPr>
        <w:pStyle w:val="BodyText"/>
        <w:spacing w:line="272" w:lineRule="exact"/>
      </w:pPr>
      <w:r>
        <w:rPr/>
        <w:t>（1）机动车被依法注销登记的；</w:t>
      </w:r>
    </w:p>
    <w:p>
      <w:pPr>
        <w:pStyle w:val="BodyText"/>
        <w:spacing w:line="273" w:lineRule="exact"/>
      </w:pPr>
      <w:r>
        <w:rPr/>
        <w:t>（2）未依法按时进行或通过机动车安全技术检验。</w:t>
      </w:r>
    </w:p>
    <w:p>
      <w:pPr>
        <w:spacing w:after="0" w:line="273" w:lineRule="exact"/>
        <w:sectPr>
          <w:type w:val="continuous"/>
          <w:pgSz w:w="11900" w:h="16840"/>
          <w:pgMar w:top="800" w:bottom="700" w:left="1000" w:right="1000"/>
        </w:sectPr>
      </w:pPr>
    </w:p>
    <w:p>
      <w:pPr>
        <w:spacing w:line="288" w:lineRule="auto" w:before="51"/>
        <w:ind w:left="243" w:right="0" w:firstLine="0"/>
        <w:jc w:val="left"/>
        <w:rPr>
          <w:sz w:val="11"/>
        </w:rPr>
      </w:pPr>
      <w:r>
        <w:rPr>
          <w:sz w:val="21"/>
        </w:rPr>
        <w:t>感染艾滋病病毒或</w:t>
      </w:r>
      <w:r>
        <w:rPr>
          <w:position w:val="-10"/>
          <w:sz w:val="21"/>
        </w:rPr>
        <w:t>患艾滋病</w:t>
      </w:r>
      <w:r>
        <w:rPr>
          <w:sz w:val="11"/>
        </w:rPr>
        <w:t>（13）</w:t>
      </w:r>
    </w:p>
    <w:p>
      <w:pPr>
        <w:pStyle w:val="BodyText"/>
        <w:spacing w:line="276" w:lineRule="auto" w:before="51"/>
        <w:ind w:left="384" w:right="222" w:hanging="212"/>
        <w:jc w:val="both"/>
      </w:pPr>
      <w:r>
        <w:rPr/>
        <w:br w:type="column"/>
      </w:r>
      <w:r>
        <w:rPr>
          <w:spacing w:val="-10"/>
        </w:rPr>
        <w:t>：艾滋病病毒指人类免疫缺陷病毒，英文缩写为 </w:t>
      </w:r>
      <w:r>
        <w:rPr>
          <w:rFonts w:ascii="Times New Roman" w:eastAsia="Times New Roman"/>
        </w:rPr>
        <w:t>HIV</w:t>
      </w:r>
      <w:r>
        <w:rPr>
          <w:spacing w:val="-7"/>
        </w:rPr>
        <w:t>。艾滋病指人类免疫缺陷病毒引起的获得性免疫缺陷综合征，英文缩写为 </w:t>
      </w:r>
      <w:r>
        <w:rPr>
          <w:rFonts w:ascii="Times New Roman" w:eastAsia="Times New Roman"/>
        </w:rPr>
        <w:t>AIDS</w:t>
      </w:r>
      <w:r>
        <w:rPr>
          <w:spacing w:val="-3"/>
        </w:rPr>
        <w:t>。在人体血液或其它样本中检</w:t>
      </w:r>
      <w:r>
        <w:rPr>
          <w:spacing w:val="-8"/>
        </w:rPr>
        <w:t>测到艾滋病病毒或其抗体呈阳性，没有出现临床症状或体征的，为感染艾滋病病</w:t>
      </w:r>
      <w:r>
        <w:rPr>
          <w:spacing w:val="-5"/>
        </w:rPr>
        <w:t>毒；如果同时出现了明显临床症状或体征的，为患艾滋病。</w:t>
      </w:r>
    </w:p>
    <w:p>
      <w:pPr>
        <w:spacing w:after="0" w:line="276" w:lineRule="auto"/>
        <w:jc w:val="both"/>
        <w:sectPr>
          <w:type w:val="continuous"/>
          <w:pgSz w:w="11900" w:h="16840"/>
          <w:pgMar w:top="800" w:bottom="700" w:left="1000" w:right="1000"/>
          <w:cols w:num="2" w:equalWidth="0">
            <w:col w:w="1986" w:space="40"/>
            <w:col w:w="7874"/>
          </w:cols>
        </w:sectPr>
      </w:pPr>
    </w:p>
    <w:p>
      <w:pPr>
        <w:pStyle w:val="BodyText"/>
        <w:tabs>
          <w:tab w:pos="2199" w:val="left" w:leader="none"/>
        </w:tabs>
        <w:spacing w:before="19"/>
        <w:ind w:left="2410" w:right="119" w:hanging="2168"/>
      </w:pPr>
      <w:r>
        <w:rPr/>
        <w:t>遗传</w:t>
      </w:r>
      <w:r>
        <w:rPr>
          <w:spacing w:val="-3"/>
        </w:rPr>
        <w:t>性</w:t>
      </w:r>
      <w:r>
        <w:rPr/>
        <w:t>疾</w:t>
      </w:r>
      <w:r>
        <w:rPr>
          <w:spacing w:val="-3"/>
        </w:rPr>
        <w:t>病</w:t>
      </w:r>
      <w:r>
        <w:rPr>
          <w:position w:val="11"/>
          <w:sz w:val="11"/>
        </w:rPr>
        <w:t>（14）</w:t>
        <w:tab/>
      </w:r>
      <w:r>
        <w:rPr>
          <w:spacing w:val="-65"/>
        </w:rPr>
        <w:t>：</w:t>
      </w:r>
      <w:r>
        <w:rPr/>
        <w:t>指</w:t>
      </w:r>
      <w:r>
        <w:rPr>
          <w:spacing w:val="-3"/>
        </w:rPr>
        <w:t>生</w:t>
      </w:r>
      <w:r>
        <w:rPr/>
        <w:t>殖</w:t>
      </w:r>
      <w:r>
        <w:rPr>
          <w:spacing w:val="-3"/>
        </w:rPr>
        <w:t>细</w:t>
      </w:r>
      <w:r>
        <w:rPr/>
        <w:t>胞</w:t>
      </w:r>
      <w:r>
        <w:rPr>
          <w:spacing w:val="-3"/>
        </w:rPr>
        <w:t>或</w:t>
      </w:r>
      <w:r>
        <w:rPr/>
        <w:t>受</w:t>
      </w:r>
      <w:r>
        <w:rPr>
          <w:spacing w:val="-3"/>
        </w:rPr>
        <w:t>精</w:t>
      </w:r>
      <w:r>
        <w:rPr/>
        <w:t>卵</w:t>
      </w:r>
      <w:r>
        <w:rPr>
          <w:spacing w:val="-3"/>
        </w:rPr>
        <w:t>的遗</w:t>
      </w:r>
      <w:r>
        <w:rPr/>
        <w:t>传物</w:t>
      </w:r>
      <w:r>
        <w:rPr>
          <w:spacing w:val="-68"/>
        </w:rPr>
        <w:t>质</w:t>
      </w:r>
      <w:r>
        <w:rPr/>
        <w:t>（</w:t>
      </w:r>
      <w:r>
        <w:rPr>
          <w:spacing w:val="-3"/>
        </w:rPr>
        <w:t>染</w:t>
      </w:r>
      <w:r>
        <w:rPr/>
        <w:t>色</w:t>
      </w:r>
      <w:r>
        <w:rPr>
          <w:spacing w:val="-3"/>
        </w:rPr>
        <w:t>体</w:t>
      </w:r>
      <w:r>
        <w:rPr/>
        <w:t>和</w:t>
      </w:r>
      <w:r>
        <w:rPr>
          <w:spacing w:val="-3"/>
        </w:rPr>
        <w:t>基</w:t>
      </w:r>
      <w:r>
        <w:rPr/>
        <w:t>因</w:t>
      </w:r>
      <w:r>
        <w:rPr>
          <w:spacing w:val="-68"/>
        </w:rPr>
        <w:t>）</w:t>
      </w:r>
      <w:r>
        <w:rPr>
          <w:spacing w:val="-3"/>
        </w:rPr>
        <w:t>发</w:t>
      </w:r>
      <w:r>
        <w:rPr/>
        <w:t>生突</w:t>
      </w:r>
      <w:r>
        <w:rPr>
          <w:spacing w:val="-3"/>
        </w:rPr>
        <w:t>变</w:t>
      </w:r>
      <w:r>
        <w:rPr/>
        <w:t>或</w:t>
      </w:r>
      <w:r>
        <w:rPr>
          <w:spacing w:val="-3"/>
        </w:rPr>
        <w:t>畸</w:t>
      </w:r>
      <w:r>
        <w:rPr/>
        <w:t>变</w:t>
      </w:r>
      <w:r>
        <w:rPr>
          <w:spacing w:val="-3"/>
        </w:rPr>
        <w:t>所</w:t>
      </w:r>
      <w:r>
        <w:rPr/>
        <w:t>引</w:t>
      </w:r>
      <w:r>
        <w:rPr>
          <w:spacing w:val="-3"/>
        </w:rPr>
        <w:t>起</w:t>
      </w:r>
      <w:r>
        <w:rPr/>
        <w:t>的</w:t>
      </w:r>
      <w:r>
        <w:rPr>
          <w:spacing w:val="-3"/>
        </w:rPr>
        <w:t>疾</w:t>
      </w:r>
      <w:r>
        <w:rPr/>
        <w:t>病， 通常</w:t>
      </w:r>
      <w:r>
        <w:rPr>
          <w:spacing w:val="-3"/>
        </w:rPr>
        <w:t>具</w:t>
      </w:r>
      <w:r>
        <w:rPr/>
        <w:t>有</w:t>
      </w:r>
      <w:r>
        <w:rPr>
          <w:spacing w:val="-3"/>
        </w:rPr>
        <w:t>由</w:t>
      </w:r>
      <w:r>
        <w:rPr/>
        <w:t>亲</w:t>
      </w:r>
      <w:r>
        <w:rPr>
          <w:spacing w:val="-3"/>
        </w:rPr>
        <w:t>代</w:t>
      </w:r>
      <w:r>
        <w:rPr/>
        <w:t>传</w:t>
      </w:r>
      <w:r>
        <w:rPr>
          <w:spacing w:val="-3"/>
        </w:rPr>
        <w:t>至</w:t>
      </w:r>
      <w:r>
        <w:rPr/>
        <w:t>后</w:t>
      </w:r>
      <w:r>
        <w:rPr>
          <w:spacing w:val="-3"/>
        </w:rPr>
        <w:t>代</w:t>
      </w:r>
      <w:r>
        <w:rPr/>
        <w:t>的垂</w:t>
      </w:r>
      <w:r>
        <w:rPr>
          <w:spacing w:val="-3"/>
        </w:rPr>
        <w:t>直</w:t>
      </w:r>
      <w:r>
        <w:rPr/>
        <w:t>传</w:t>
      </w:r>
      <w:r>
        <w:rPr>
          <w:spacing w:val="-3"/>
        </w:rPr>
        <w:t>递</w:t>
      </w:r>
      <w:r>
        <w:rPr/>
        <w:t>的</w:t>
      </w:r>
      <w:r>
        <w:rPr>
          <w:spacing w:val="-3"/>
        </w:rPr>
        <w:t>特</w:t>
      </w:r>
      <w:r>
        <w:rPr/>
        <w:t>征。</w:t>
      </w:r>
    </w:p>
    <w:p>
      <w:pPr>
        <w:spacing w:after="0"/>
        <w:sectPr>
          <w:type w:val="continuous"/>
          <w:pgSz w:w="11900" w:h="16840"/>
          <w:pgMar w:top="800" w:bottom="700" w:left="1000" w:right="1000"/>
        </w:sectPr>
      </w:pPr>
    </w:p>
    <w:p>
      <w:pPr>
        <w:spacing w:line="240" w:lineRule="auto" w:before="0"/>
        <w:ind w:left="267" w:right="0" w:firstLine="0"/>
        <w:jc w:val="left"/>
        <w:rPr>
          <w:sz w:val="11"/>
        </w:rPr>
      </w:pPr>
      <w:r>
        <w:rPr>
          <w:sz w:val="21"/>
        </w:rPr>
        <w:t>先天性畸形、变形或染色体异常</w:t>
      </w:r>
      <w:r>
        <w:rPr>
          <w:position w:val="11"/>
          <w:sz w:val="11"/>
        </w:rPr>
        <w:t>（15）</w:t>
      </w:r>
    </w:p>
    <w:p>
      <w:pPr>
        <w:pStyle w:val="BodyText"/>
        <w:spacing w:line="230" w:lineRule="auto" w:before="7"/>
        <w:ind w:left="384" w:right="225" w:hanging="212"/>
        <w:jc w:val="both"/>
      </w:pPr>
      <w:r>
        <w:rPr/>
        <w:br w:type="column"/>
      </w:r>
      <w:r>
        <w:rPr>
          <w:spacing w:val="-9"/>
        </w:rPr>
        <w:t>：指被保险人出生时就具有的畸形、变形或染色体异常。先天性畸形、变形和染色体异常依照世界卫生组织《疾病和有关健康问题的国际统计分类》</w:t>
      </w:r>
      <w:r>
        <w:rPr/>
        <w:t>（</w:t>
      </w:r>
      <w:r>
        <w:rPr>
          <w:rFonts w:ascii="Times New Roman" w:eastAsia="Times New Roman"/>
        </w:rPr>
        <w:t>ICD-10</w:t>
      </w:r>
      <w:r>
        <w:rPr/>
        <w:t>）确定。</w:t>
      </w:r>
    </w:p>
    <w:p>
      <w:pPr>
        <w:spacing w:after="0" w:line="230" w:lineRule="auto"/>
        <w:jc w:val="both"/>
        <w:sectPr>
          <w:type w:val="continuous"/>
          <w:pgSz w:w="11900" w:h="16840"/>
          <w:pgMar w:top="800" w:bottom="700" w:left="1000" w:right="1000"/>
          <w:cols w:num="2" w:equalWidth="0">
            <w:col w:w="1986" w:space="40"/>
            <w:col w:w="7874"/>
          </w:cols>
        </w:sectPr>
      </w:pPr>
    </w:p>
    <w:p>
      <w:pPr>
        <w:pStyle w:val="BodyText"/>
        <w:tabs>
          <w:tab w:pos="2199" w:val="left" w:leader="none"/>
        </w:tabs>
        <w:spacing w:line="288" w:lineRule="auto"/>
        <w:ind w:left="2410" w:right="225" w:hanging="2168"/>
      </w:pPr>
      <w:r>
        <w:rPr/>
        <w:t>现金</w:t>
      </w:r>
      <w:r>
        <w:rPr>
          <w:spacing w:val="-3"/>
        </w:rPr>
        <w:t>价</w:t>
      </w:r>
      <w:r>
        <w:rPr/>
        <w:t>值</w:t>
      </w:r>
      <w:r>
        <w:rPr>
          <w:position w:val="11"/>
          <w:sz w:val="11"/>
        </w:rPr>
        <w:t>（16）</w:t>
        <w:tab/>
      </w:r>
      <w:r>
        <w:rPr>
          <w:spacing w:val="-22"/>
        </w:rPr>
        <w:t>：</w:t>
      </w:r>
      <w:r>
        <w:rPr>
          <w:spacing w:val="-3"/>
        </w:rPr>
        <w:t>指</w:t>
      </w:r>
      <w:r>
        <w:rPr/>
        <w:t>保</w:t>
      </w:r>
      <w:r>
        <w:rPr>
          <w:spacing w:val="-3"/>
        </w:rPr>
        <w:t>险</w:t>
      </w:r>
      <w:r>
        <w:rPr/>
        <w:t>单</w:t>
      </w:r>
      <w:r>
        <w:rPr>
          <w:spacing w:val="-3"/>
        </w:rPr>
        <w:t>所</w:t>
      </w:r>
      <w:r>
        <w:rPr/>
        <w:t>具</w:t>
      </w:r>
      <w:r>
        <w:rPr>
          <w:spacing w:val="-3"/>
        </w:rPr>
        <w:t>有</w:t>
      </w:r>
      <w:r>
        <w:rPr/>
        <w:t>的</w:t>
      </w:r>
      <w:r>
        <w:rPr>
          <w:spacing w:val="-3"/>
        </w:rPr>
        <w:t>价值</w:t>
      </w:r>
      <w:r>
        <w:rPr>
          <w:spacing w:val="-22"/>
        </w:rPr>
        <w:t>，</w:t>
      </w:r>
      <w:r>
        <w:rPr>
          <w:spacing w:val="-3"/>
        </w:rPr>
        <w:t>通</w:t>
      </w:r>
      <w:r>
        <w:rPr/>
        <w:t>常</w:t>
      </w:r>
      <w:r>
        <w:rPr>
          <w:spacing w:val="-3"/>
        </w:rPr>
        <w:t>体</w:t>
      </w:r>
      <w:r>
        <w:rPr/>
        <w:t>现</w:t>
      </w:r>
      <w:r>
        <w:rPr>
          <w:spacing w:val="-3"/>
        </w:rPr>
        <w:t>为</w:t>
      </w:r>
      <w:r>
        <w:rPr/>
        <w:t>解</w:t>
      </w:r>
      <w:r>
        <w:rPr>
          <w:spacing w:val="-3"/>
        </w:rPr>
        <w:t>除</w:t>
      </w:r>
      <w:r>
        <w:rPr/>
        <w:t>合</w:t>
      </w:r>
      <w:r>
        <w:rPr>
          <w:spacing w:val="-3"/>
        </w:rPr>
        <w:t>同时</w:t>
      </w:r>
      <w:r>
        <w:rPr>
          <w:spacing w:val="-22"/>
        </w:rPr>
        <w:t>，</w:t>
      </w:r>
      <w:r>
        <w:rPr>
          <w:spacing w:val="-3"/>
        </w:rPr>
        <w:t>根</w:t>
      </w:r>
      <w:r>
        <w:rPr/>
        <w:t>据</w:t>
      </w:r>
      <w:r>
        <w:rPr>
          <w:spacing w:val="-3"/>
        </w:rPr>
        <w:t>精</w:t>
      </w:r>
      <w:r>
        <w:rPr/>
        <w:t>算</w:t>
      </w:r>
      <w:r>
        <w:rPr>
          <w:spacing w:val="-3"/>
        </w:rPr>
        <w:t>原</w:t>
      </w:r>
      <w:r>
        <w:rPr/>
        <w:t>理</w:t>
      </w:r>
      <w:r>
        <w:rPr>
          <w:spacing w:val="-3"/>
        </w:rPr>
        <w:t>计</w:t>
      </w:r>
      <w:r>
        <w:rPr/>
        <w:t>算</w:t>
      </w:r>
      <w:r>
        <w:rPr>
          <w:spacing w:val="-3"/>
        </w:rPr>
        <w:t>的</w:t>
      </w:r>
      <w:r>
        <w:rPr>
          <w:spacing w:val="-24"/>
        </w:rPr>
        <w:t>，</w:t>
      </w:r>
      <w:r>
        <w:rPr/>
        <w:t>由我们 退还</w:t>
      </w:r>
      <w:r>
        <w:rPr>
          <w:spacing w:val="-3"/>
        </w:rPr>
        <w:t>的</w:t>
      </w:r>
      <w:r>
        <w:rPr/>
        <w:t>那</w:t>
      </w:r>
      <w:r>
        <w:rPr>
          <w:spacing w:val="-3"/>
        </w:rPr>
        <w:t>部</w:t>
      </w:r>
      <w:r>
        <w:rPr/>
        <w:t>分</w:t>
      </w:r>
      <w:r>
        <w:rPr>
          <w:spacing w:val="-3"/>
        </w:rPr>
        <w:t>金</w:t>
      </w:r>
      <w:r>
        <w:rPr/>
        <w:t>额。</w:t>
      </w:r>
    </w:p>
    <w:p>
      <w:pPr>
        <w:pStyle w:val="BodyText"/>
        <w:tabs>
          <w:tab w:pos="2199" w:val="left" w:leader="none"/>
        </w:tabs>
        <w:spacing w:before="13"/>
        <w:ind w:left="243"/>
      </w:pPr>
      <w:r>
        <w:rPr/>
        <w:t>保险</w:t>
      </w:r>
      <w:r>
        <w:rPr>
          <w:spacing w:val="-3"/>
        </w:rPr>
        <w:t>事</w:t>
      </w:r>
      <w:r>
        <w:rPr/>
        <w:t>故</w:t>
      </w:r>
      <w:r>
        <w:rPr>
          <w:position w:val="11"/>
          <w:sz w:val="11"/>
        </w:rPr>
        <w:t>（17）</w:t>
        <w:tab/>
      </w:r>
      <w:r>
        <w:rPr/>
        <w:t>：是</w:t>
      </w:r>
      <w:r>
        <w:rPr>
          <w:spacing w:val="-3"/>
        </w:rPr>
        <w:t>指</w:t>
      </w:r>
      <w:r>
        <w:rPr/>
        <w:t>保</w:t>
      </w:r>
      <w:r>
        <w:rPr>
          <w:spacing w:val="-3"/>
        </w:rPr>
        <w:t>险</w:t>
      </w:r>
      <w:r>
        <w:rPr/>
        <w:t>合</w:t>
      </w:r>
      <w:r>
        <w:rPr>
          <w:spacing w:val="-3"/>
        </w:rPr>
        <w:t>同</w:t>
      </w:r>
      <w:r>
        <w:rPr/>
        <w:t>约</w:t>
      </w:r>
      <w:r>
        <w:rPr>
          <w:spacing w:val="-3"/>
        </w:rPr>
        <w:t>定</w:t>
      </w:r>
      <w:r>
        <w:rPr/>
        <w:t>的</w:t>
      </w:r>
      <w:r>
        <w:rPr>
          <w:spacing w:val="-3"/>
        </w:rPr>
        <w:t>保</w:t>
      </w:r>
      <w:r>
        <w:rPr/>
        <w:t>险责</w:t>
      </w:r>
      <w:r>
        <w:rPr>
          <w:spacing w:val="-3"/>
        </w:rPr>
        <w:t>任</w:t>
      </w:r>
      <w:r>
        <w:rPr/>
        <w:t>范</w:t>
      </w:r>
      <w:r>
        <w:rPr>
          <w:spacing w:val="-3"/>
        </w:rPr>
        <w:t>围</w:t>
      </w:r>
      <w:r>
        <w:rPr/>
        <w:t>内</w:t>
      </w:r>
      <w:r>
        <w:rPr>
          <w:spacing w:val="-3"/>
        </w:rPr>
        <w:t>的</w:t>
      </w:r>
      <w:r>
        <w:rPr/>
        <w:t>事</w:t>
      </w:r>
      <w:r>
        <w:rPr>
          <w:spacing w:val="-3"/>
        </w:rPr>
        <w:t>故</w:t>
      </w:r>
      <w:r>
        <w:rPr/>
        <w:t>。</w:t>
      </w:r>
    </w:p>
    <w:p>
      <w:pPr>
        <w:pStyle w:val="BodyText"/>
        <w:tabs>
          <w:tab w:pos="2199" w:val="left" w:leader="none"/>
        </w:tabs>
        <w:spacing w:line="237" w:lineRule="auto" w:before="42"/>
        <w:ind w:left="2410" w:right="119" w:hanging="2168"/>
        <w:jc w:val="both"/>
      </w:pPr>
      <w:r>
        <w:rPr/>
        <w:t>原位</w:t>
      </w:r>
      <w:r>
        <w:rPr>
          <w:spacing w:val="-3"/>
        </w:rPr>
        <w:t>癌</w:t>
      </w:r>
      <w:r>
        <w:rPr>
          <w:position w:val="11"/>
          <w:sz w:val="11"/>
        </w:rPr>
        <w:t>（18）</w:t>
        <w:tab/>
      </w:r>
      <w:r>
        <w:rPr>
          <w:spacing w:val="-44"/>
        </w:rPr>
        <w:t>：</w:t>
      </w:r>
      <w:r>
        <w:rPr>
          <w:spacing w:val="-3"/>
        </w:rPr>
        <w:t>指</w:t>
      </w:r>
      <w:r>
        <w:rPr/>
        <w:t>恶</w:t>
      </w:r>
      <w:r>
        <w:rPr>
          <w:spacing w:val="-3"/>
        </w:rPr>
        <w:t>性</w:t>
      </w:r>
      <w:r>
        <w:rPr/>
        <w:t>细</w:t>
      </w:r>
      <w:r>
        <w:rPr>
          <w:spacing w:val="-3"/>
        </w:rPr>
        <w:t>胞</w:t>
      </w:r>
      <w:r>
        <w:rPr/>
        <w:t>局</w:t>
      </w:r>
      <w:r>
        <w:rPr>
          <w:spacing w:val="-3"/>
        </w:rPr>
        <w:t>限</w:t>
      </w:r>
      <w:r>
        <w:rPr/>
        <w:t>于</w:t>
      </w:r>
      <w:r>
        <w:rPr>
          <w:spacing w:val="-3"/>
        </w:rPr>
        <w:t>上皮</w:t>
      </w:r>
      <w:r>
        <w:rPr/>
        <w:t>内尚</w:t>
      </w:r>
      <w:r>
        <w:rPr>
          <w:spacing w:val="-3"/>
        </w:rPr>
        <w:t>未</w:t>
      </w:r>
      <w:r>
        <w:rPr/>
        <w:t>穿</w:t>
      </w:r>
      <w:r>
        <w:rPr>
          <w:spacing w:val="-3"/>
        </w:rPr>
        <w:t>破</w:t>
      </w:r>
      <w:r>
        <w:rPr/>
        <w:t>基</w:t>
      </w:r>
      <w:r>
        <w:rPr>
          <w:spacing w:val="-3"/>
        </w:rPr>
        <w:t>底</w:t>
      </w:r>
      <w:r>
        <w:rPr/>
        <w:t>膜</w:t>
      </w:r>
      <w:r>
        <w:rPr>
          <w:spacing w:val="-3"/>
        </w:rPr>
        <w:t>浸</w:t>
      </w:r>
      <w:r>
        <w:rPr/>
        <w:t>润</w:t>
      </w:r>
      <w:r>
        <w:rPr>
          <w:spacing w:val="-3"/>
        </w:rPr>
        <w:t>周</w:t>
      </w:r>
      <w:r>
        <w:rPr/>
        <w:t>围正</w:t>
      </w:r>
      <w:r>
        <w:rPr>
          <w:spacing w:val="-3"/>
        </w:rPr>
        <w:t>常</w:t>
      </w:r>
      <w:r>
        <w:rPr/>
        <w:t>组</w:t>
      </w:r>
      <w:r>
        <w:rPr>
          <w:spacing w:val="-3"/>
        </w:rPr>
        <w:t>织</w:t>
      </w:r>
      <w:r>
        <w:rPr/>
        <w:t>的</w:t>
      </w:r>
      <w:r>
        <w:rPr>
          <w:spacing w:val="-3"/>
        </w:rPr>
        <w:t>癌</w:t>
      </w:r>
      <w:r>
        <w:rPr/>
        <w:t>细</w:t>
      </w:r>
      <w:r>
        <w:rPr>
          <w:spacing w:val="-3"/>
        </w:rPr>
        <w:t>胞</w:t>
      </w:r>
      <w:r>
        <w:rPr/>
        <w:t>新</w:t>
      </w:r>
      <w:r>
        <w:rPr>
          <w:spacing w:val="-3"/>
        </w:rPr>
        <w:t>生</w:t>
      </w:r>
      <w:r>
        <w:rPr/>
        <w:t>物</w:t>
      </w:r>
      <w:r>
        <w:rPr>
          <w:spacing w:val="-46"/>
        </w:rPr>
        <w:t>。</w:t>
      </w:r>
      <w:r>
        <w:rPr/>
        <w:t>原 位癌</w:t>
      </w:r>
      <w:r>
        <w:rPr>
          <w:spacing w:val="-3"/>
        </w:rPr>
        <w:t>必</w:t>
      </w:r>
      <w:r>
        <w:rPr/>
        <w:t>须</w:t>
      </w:r>
      <w:r>
        <w:rPr>
          <w:spacing w:val="-3"/>
        </w:rPr>
        <w:t>经</w:t>
      </w:r>
      <w:r>
        <w:rPr/>
        <w:t>对</w:t>
      </w:r>
      <w:r>
        <w:rPr>
          <w:spacing w:val="-3"/>
        </w:rPr>
        <w:t>固</w:t>
      </w:r>
      <w:r>
        <w:rPr/>
        <w:t>定</w:t>
      </w:r>
      <w:r>
        <w:rPr>
          <w:spacing w:val="-3"/>
        </w:rPr>
        <w:t>活</w:t>
      </w:r>
      <w:r>
        <w:rPr/>
        <w:t>组</w:t>
      </w:r>
      <w:r>
        <w:rPr>
          <w:spacing w:val="-3"/>
        </w:rPr>
        <w:t>织</w:t>
      </w:r>
      <w:r>
        <w:rPr/>
        <w:t>的组</w:t>
      </w:r>
      <w:r>
        <w:rPr>
          <w:spacing w:val="-3"/>
        </w:rPr>
        <w:t>织</w:t>
      </w:r>
      <w:r>
        <w:rPr/>
        <w:t>病</w:t>
      </w:r>
      <w:r>
        <w:rPr>
          <w:spacing w:val="-3"/>
        </w:rPr>
        <w:t>理</w:t>
      </w:r>
      <w:r>
        <w:rPr/>
        <w:t>学</w:t>
      </w:r>
      <w:r>
        <w:rPr>
          <w:spacing w:val="-3"/>
        </w:rPr>
        <w:t>检</w:t>
      </w:r>
      <w:r>
        <w:rPr/>
        <w:t>查</w:t>
      </w:r>
      <w:r>
        <w:rPr>
          <w:spacing w:val="-3"/>
        </w:rPr>
        <w:t>明</w:t>
      </w:r>
      <w:r>
        <w:rPr/>
        <w:t>确</w:t>
      </w:r>
      <w:r>
        <w:rPr>
          <w:spacing w:val="-3"/>
        </w:rPr>
        <w:t>诊</w:t>
      </w:r>
      <w:r>
        <w:rPr/>
        <w:t>断</w:t>
      </w:r>
      <w:r>
        <w:rPr>
          <w:spacing w:val="-89"/>
        </w:rPr>
        <w:t>。</w:t>
      </w:r>
      <w:r>
        <w:rPr>
          <w:spacing w:val="-3"/>
        </w:rPr>
        <w:t>被</w:t>
      </w:r>
      <w:r>
        <w:rPr/>
        <w:t>保</w:t>
      </w:r>
      <w:r>
        <w:rPr>
          <w:spacing w:val="-3"/>
        </w:rPr>
        <w:t>险</w:t>
      </w:r>
      <w:r>
        <w:rPr/>
        <w:t>人</w:t>
      </w:r>
      <w:r>
        <w:rPr>
          <w:spacing w:val="-3"/>
        </w:rPr>
        <w:t>必</w:t>
      </w:r>
      <w:r>
        <w:rPr/>
        <w:t>须</w:t>
      </w:r>
      <w:r>
        <w:rPr>
          <w:spacing w:val="-3"/>
        </w:rPr>
        <w:t>已经接受</w:t>
      </w:r>
      <w:r>
        <w:rPr/>
        <w:t>了针对</w:t>
      </w:r>
      <w:r>
        <w:rPr>
          <w:spacing w:val="-3"/>
        </w:rPr>
        <w:t>原</w:t>
      </w:r>
      <w:r>
        <w:rPr/>
        <w:t>位</w:t>
      </w:r>
      <w:r>
        <w:rPr>
          <w:spacing w:val="-3"/>
        </w:rPr>
        <w:t>癌</w:t>
      </w:r>
      <w:r>
        <w:rPr/>
        <w:t>病</w:t>
      </w:r>
      <w:r>
        <w:rPr>
          <w:spacing w:val="-3"/>
        </w:rPr>
        <w:t>灶</w:t>
      </w:r>
      <w:r>
        <w:rPr/>
        <w:t>的</w:t>
      </w:r>
      <w:r>
        <w:rPr>
          <w:spacing w:val="-3"/>
        </w:rPr>
        <w:t>积</w:t>
      </w:r>
      <w:r>
        <w:rPr/>
        <w:t>极</w:t>
      </w:r>
      <w:r>
        <w:rPr>
          <w:spacing w:val="-3"/>
        </w:rPr>
        <w:t>治</w:t>
      </w:r>
      <w:r>
        <w:rPr/>
        <w:t>疗</w:t>
      </w:r>
      <w:r>
        <w:rPr>
          <w:spacing w:val="-99"/>
        </w:rPr>
        <w:t>，</w:t>
      </w:r>
      <w:r>
        <w:rPr/>
        <w:t>所</w:t>
      </w:r>
      <w:r>
        <w:rPr>
          <w:spacing w:val="-3"/>
        </w:rPr>
        <w:t>谓</w:t>
      </w:r>
      <w:r>
        <w:rPr/>
        <w:t>的</w:t>
      </w:r>
      <w:r>
        <w:rPr>
          <w:spacing w:val="-3"/>
        </w:rPr>
        <w:t>积</w:t>
      </w:r>
      <w:r>
        <w:rPr/>
        <w:t>极</w:t>
      </w:r>
      <w:r>
        <w:rPr>
          <w:spacing w:val="-3"/>
        </w:rPr>
        <w:t>治</w:t>
      </w:r>
      <w:r>
        <w:rPr/>
        <w:t>疗</w:t>
      </w:r>
      <w:r>
        <w:rPr>
          <w:spacing w:val="-3"/>
        </w:rPr>
        <w:t>包</w:t>
      </w:r>
      <w:r>
        <w:rPr/>
        <w:t>含</w:t>
      </w:r>
      <w:r>
        <w:rPr>
          <w:spacing w:val="-3"/>
        </w:rPr>
        <w:t>手</w:t>
      </w:r>
      <w:r>
        <w:rPr/>
        <w:t>术</w:t>
      </w:r>
      <w:r>
        <w:rPr>
          <w:spacing w:val="-99"/>
        </w:rPr>
        <w:t>、</w:t>
      </w:r>
      <w:r>
        <w:rPr/>
        <w:t>化</w:t>
      </w:r>
      <w:r>
        <w:rPr>
          <w:spacing w:val="-3"/>
        </w:rPr>
        <w:t>疗</w:t>
      </w:r>
      <w:r>
        <w:rPr/>
        <w:t>或</w:t>
      </w:r>
      <w:r>
        <w:rPr>
          <w:spacing w:val="-3"/>
        </w:rPr>
        <w:t>放</w:t>
      </w:r>
      <w:r>
        <w:rPr/>
        <w:t>疗</w:t>
      </w:r>
      <w:r>
        <w:rPr>
          <w:spacing w:val="-3"/>
        </w:rPr>
        <w:t>等</w:t>
      </w:r>
      <w:r>
        <w:rPr/>
        <w:t>治</w:t>
      </w:r>
      <w:r>
        <w:rPr>
          <w:spacing w:val="-3"/>
        </w:rPr>
        <w:t>疗方式</w:t>
      </w:r>
      <w:r>
        <w:rPr/>
        <w:t>。</w:t>
      </w:r>
    </w:p>
    <w:p>
      <w:pPr>
        <w:spacing w:after="0" w:line="237" w:lineRule="auto"/>
        <w:jc w:val="both"/>
        <w:sectPr>
          <w:type w:val="continuous"/>
          <w:pgSz w:w="11900" w:h="16840"/>
          <w:pgMar w:top="800" w:bottom="700" w:left="1000" w:right="1000"/>
        </w:sectPr>
      </w:pPr>
    </w:p>
    <w:p>
      <w:pPr>
        <w:pStyle w:val="BodyText"/>
        <w:spacing w:line="273" w:lineRule="exact"/>
        <w:ind w:left="243"/>
      </w:pPr>
      <w:r>
        <w:rPr/>
        <w:t>肢体机能完全丧失</w:t>
      </w:r>
    </w:p>
    <w:p>
      <w:pPr>
        <w:spacing w:before="2"/>
        <w:ind w:left="243" w:right="0" w:firstLine="0"/>
        <w:jc w:val="left"/>
        <w:rPr>
          <w:sz w:val="11"/>
        </w:rPr>
      </w:pPr>
      <w:r>
        <w:rPr>
          <w:sz w:val="11"/>
        </w:rPr>
        <w:t>（19）</w:t>
      </w:r>
    </w:p>
    <w:p>
      <w:pPr>
        <w:pStyle w:val="BodyText"/>
        <w:spacing w:before="2"/>
        <w:ind w:left="0"/>
        <w:rPr>
          <w:sz w:val="9"/>
        </w:rPr>
      </w:pPr>
    </w:p>
    <w:p>
      <w:pPr>
        <w:spacing w:before="0"/>
        <w:ind w:left="243" w:right="0" w:firstLine="0"/>
        <w:jc w:val="left"/>
        <w:rPr>
          <w:sz w:val="11"/>
        </w:rPr>
      </w:pPr>
      <w:r>
        <w:rPr>
          <w:spacing w:val="5"/>
          <w:sz w:val="21"/>
        </w:rPr>
        <w:t>语言能力或咀嚼吞</w:t>
      </w:r>
      <w:r>
        <w:rPr>
          <w:spacing w:val="-4"/>
          <w:sz w:val="21"/>
        </w:rPr>
        <w:t>咽能力完全丧失</w:t>
      </w:r>
      <w:r>
        <w:rPr>
          <w:position w:val="11"/>
          <w:sz w:val="11"/>
        </w:rPr>
        <w:t>（20）</w:t>
      </w:r>
    </w:p>
    <w:p>
      <w:pPr>
        <w:pStyle w:val="BodyText"/>
        <w:spacing w:line="237" w:lineRule="auto" w:before="1"/>
        <w:ind w:left="329" w:right="225" w:hanging="212"/>
      </w:pPr>
      <w:r>
        <w:rPr/>
        <w:br w:type="column"/>
      </w:r>
      <w:r>
        <w:rPr>
          <w:spacing w:val="-10"/>
        </w:rPr>
        <w:t>：指肢体的三大关节中的两大关节僵硬，或不能随意识活动。肢体是指包括肩关节</w:t>
      </w:r>
      <w:r>
        <w:rPr>
          <w:spacing w:val="-5"/>
        </w:rPr>
        <w:t>的整个上肢或包括髋关节的整个下肢。</w:t>
      </w:r>
    </w:p>
    <w:p>
      <w:pPr>
        <w:pStyle w:val="BodyText"/>
        <w:spacing w:line="237" w:lineRule="auto"/>
        <w:ind w:left="317" w:right="222" w:hanging="200"/>
      </w:pPr>
      <w:r>
        <w:rPr>
          <w:spacing w:val="-8"/>
        </w:rPr>
        <w:t>：语言能力完全丧失，指无法发出四种语音</w:t>
      </w:r>
      <w:r>
        <w:rPr/>
        <w:t>（</w:t>
      </w:r>
      <w:r>
        <w:rPr>
          <w:spacing w:val="-8"/>
        </w:rPr>
        <w:t>包括口唇音、齿舌音、口盖音和喉头音）</w:t>
      </w:r>
      <w:r>
        <w:rPr>
          <w:spacing w:val="-3"/>
        </w:rPr>
        <w:t>中的任何三种、或声带全部切除，或因大脑语言中枢受伤害而患失语症。</w:t>
      </w:r>
      <w:r>
        <w:rPr>
          <w:spacing w:val="-8"/>
        </w:rPr>
        <w:t>咀嚼吞咽能力完全丧失，指因牙齿以外的原因导致器质障碍或机能障碍，以致不</w:t>
      </w:r>
      <w:r>
        <w:rPr>
          <w:spacing w:val="-5"/>
        </w:rPr>
        <w:t>能作咀嚼吞咽运动，除流质食物外不能摄取或吞咽的状态。</w:t>
      </w:r>
    </w:p>
    <w:p>
      <w:pPr>
        <w:spacing w:after="0" w:line="237" w:lineRule="auto"/>
        <w:sectPr>
          <w:type w:val="continuous"/>
          <w:pgSz w:w="11900" w:h="16840"/>
          <w:pgMar w:top="800" w:bottom="700" w:left="1000" w:right="1000"/>
          <w:cols w:num="2" w:equalWidth="0">
            <w:col w:w="2041" w:space="40"/>
            <w:col w:w="7819"/>
          </w:cols>
        </w:sectPr>
      </w:pPr>
    </w:p>
    <w:p>
      <w:pPr>
        <w:pStyle w:val="BodyText"/>
        <w:tabs>
          <w:tab w:pos="2199" w:val="left" w:leader="none"/>
        </w:tabs>
        <w:spacing w:line="272" w:lineRule="exact"/>
        <w:ind w:left="243"/>
      </w:pPr>
      <w:r>
        <w:rPr>
          <w:spacing w:val="6"/>
          <w:w w:val="100"/>
        </w:rPr>
        <w:t>六项</w:t>
      </w:r>
      <w:r>
        <w:rPr>
          <w:spacing w:val="8"/>
          <w:w w:val="100"/>
        </w:rPr>
        <w:t>基</w:t>
      </w:r>
      <w:r>
        <w:rPr>
          <w:spacing w:val="6"/>
          <w:w w:val="100"/>
        </w:rPr>
        <w:t>本日常生</w:t>
      </w:r>
      <w:r>
        <w:rPr>
          <w:w w:val="100"/>
        </w:rPr>
        <w:t>活</w:t>
      </w:r>
      <w:r>
        <w:rPr/>
        <w:tab/>
      </w:r>
      <w:r>
        <w:rPr>
          <w:spacing w:val="-120"/>
          <w:w w:val="100"/>
        </w:rPr>
        <w:t>：</w:t>
      </w:r>
      <w:r>
        <w:rPr>
          <w:w w:val="100"/>
        </w:rPr>
        <w:t>（</w:t>
      </w:r>
      <w:r>
        <w:rPr>
          <w:spacing w:val="-3"/>
          <w:w w:val="100"/>
        </w:rPr>
        <w:t>1</w:t>
      </w:r>
      <w:r>
        <w:rPr>
          <w:spacing w:val="-15"/>
          <w:w w:val="100"/>
        </w:rPr>
        <w:t>）</w:t>
      </w:r>
      <w:r>
        <w:rPr>
          <w:spacing w:val="-3"/>
          <w:w w:val="100"/>
        </w:rPr>
        <w:t>六</w:t>
      </w:r>
      <w:r>
        <w:rPr>
          <w:w w:val="100"/>
        </w:rPr>
        <w:t>项</w:t>
      </w:r>
      <w:r>
        <w:rPr>
          <w:spacing w:val="-3"/>
          <w:w w:val="100"/>
        </w:rPr>
        <w:t>基</w:t>
      </w:r>
      <w:r>
        <w:rPr>
          <w:w w:val="100"/>
        </w:rPr>
        <w:t>本</w:t>
      </w:r>
      <w:r>
        <w:rPr>
          <w:spacing w:val="-3"/>
          <w:w w:val="100"/>
        </w:rPr>
        <w:t>日</w:t>
      </w:r>
      <w:r>
        <w:rPr>
          <w:w w:val="100"/>
        </w:rPr>
        <w:t>常</w:t>
      </w:r>
      <w:r>
        <w:rPr>
          <w:spacing w:val="-3"/>
          <w:w w:val="100"/>
        </w:rPr>
        <w:t>生活</w:t>
      </w:r>
      <w:r>
        <w:rPr>
          <w:w w:val="100"/>
        </w:rPr>
        <w:t>活动</w:t>
      </w:r>
      <w:r>
        <w:rPr>
          <w:spacing w:val="-3"/>
          <w:w w:val="100"/>
        </w:rPr>
        <w:t>是指</w:t>
      </w:r>
      <w:r>
        <w:rPr>
          <w:spacing w:val="-15"/>
          <w:w w:val="100"/>
        </w:rPr>
        <w:t>：</w:t>
      </w:r>
      <w:r>
        <w:rPr>
          <w:spacing w:val="-3"/>
          <w:w w:val="100"/>
        </w:rPr>
        <w:t>①</w:t>
      </w:r>
      <w:r>
        <w:rPr>
          <w:w w:val="100"/>
        </w:rPr>
        <w:t>穿</w:t>
      </w:r>
      <w:r>
        <w:rPr>
          <w:spacing w:val="-3"/>
          <w:w w:val="100"/>
        </w:rPr>
        <w:t>衣</w:t>
      </w:r>
      <w:r>
        <w:rPr>
          <w:spacing w:val="-15"/>
          <w:w w:val="100"/>
        </w:rPr>
        <w:t>：</w:t>
      </w:r>
      <w:r>
        <w:rPr>
          <w:spacing w:val="-3"/>
          <w:w w:val="100"/>
        </w:rPr>
        <w:t>自己</w:t>
      </w:r>
      <w:r>
        <w:rPr>
          <w:w w:val="100"/>
        </w:rPr>
        <w:t>能够</w:t>
      </w:r>
      <w:r>
        <w:rPr>
          <w:spacing w:val="-3"/>
          <w:w w:val="100"/>
        </w:rPr>
        <w:t>穿</w:t>
      </w:r>
      <w:r>
        <w:rPr>
          <w:w w:val="100"/>
        </w:rPr>
        <w:t>衣</w:t>
      </w:r>
      <w:r>
        <w:rPr>
          <w:spacing w:val="-3"/>
          <w:w w:val="100"/>
        </w:rPr>
        <w:t>及</w:t>
      </w:r>
      <w:r>
        <w:rPr>
          <w:w w:val="100"/>
        </w:rPr>
        <w:t>脱</w:t>
      </w:r>
      <w:r>
        <w:rPr>
          <w:spacing w:val="-3"/>
          <w:w w:val="100"/>
        </w:rPr>
        <w:t>衣</w:t>
      </w:r>
      <w:r>
        <w:rPr>
          <w:spacing w:val="-17"/>
          <w:w w:val="100"/>
        </w:rPr>
        <w:t>；</w:t>
      </w:r>
      <w:r>
        <w:rPr>
          <w:w w:val="100"/>
        </w:rPr>
        <w:t>②</w:t>
      </w:r>
      <w:r>
        <w:rPr>
          <w:spacing w:val="-3"/>
          <w:w w:val="100"/>
        </w:rPr>
        <w:t>移动</w:t>
      </w:r>
      <w:r>
        <w:rPr>
          <w:spacing w:val="-15"/>
          <w:w w:val="100"/>
        </w:rPr>
        <w:t>：</w:t>
      </w:r>
      <w:r>
        <w:rPr>
          <w:spacing w:val="-3"/>
          <w:w w:val="100"/>
        </w:rPr>
        <w:t>自</w:t>
      </w:r>
      <w:r>
        <w:rPr>
          <w:w w:val="100"/>
        </w:rPr>
        <w:t>己</w:t>
      </w:r>
    </w:p>
    <w:p>
      <w:pPr>
        <w:spacing w:after="0" w:line="272" w:lineRule="exact"/>
        <w:sectPr>
          <w:type w:val="continuous"/>
          <w:pgSz w:w="11900" w:h="16840"/>
          <w:pgMar w:top="800" w:bottom="700" w:left="1000" w:right="1000"/>
        </w:sectPr>
      </w:pPr>
    </w:p>
    <w:p>
      <w:pPr>
        <w:pStyle w:val="BodyText"/>
        <w:spacing w:before="9"/>
        <w:ind w:left="0"/>
        <w:rPr>
          <w:sz w:val="17"/>
        </w:rPr>
      </w:pPr>
    </w:p>
    <w:p>
      <w:pPr>
        <w:pStyle w:val="BodyText"/>
        <w:tabs>
          <w:tab w:pos="2410" w:val="left" w:leader="none"/>
        </w:tabs>
        <w:spacing w:line="237" w:lineRule="auto" w:before="63"/>
        <w:ind w:left="2410" w:right="222" w:hanging="2168"/>
        <w:jc w:val="both"/>
      </w:pPr>
      <w:r>
        <w:rPr/>
        <w:t>活动</w:t>
      </w:r>
      <w:r>
        <w:rPr>
          <w:position w:val="11"/>
          <w:sz w:val="11"/>
        </w:rPr>
        <w:t>（21）</w:t>
        <w:tab/>
      </w:r>
      <w:r>
        <w:rPr/>
        <w:t>从一</w:t>
      </w:r>
      <w:r>
        <w:rPr>
          <w:spacing w:val="-3"/>
        </w:rPr>
        <w:t>个</w:t>
      </w:r>
      <w:r>
        <w:rPr/>
        <w:t>房</w:t>
      </w:r>
      <w:r>
        <w:rPr>
          <w:spacing w:val="-3"/>
        </w:rPr>
        <w:t>间</w:t>
      </w:r>
      <w:r>
        <w:rPr/>
        <w:t>到</w:t>
      </w:r>
      <w:r>
        <w:rPr>
          <w:spacing w:val="-3"/>
        </w:rPr>
        <w:t>另</w:t>
      </w:r>
      <w:r>
        <w:rPr/>
        <w:t>一</w:t>
      </w:r>
      <w:r>
        <w:rPr>
          <w:spacing w:val="-3"/>
        </w:rPr>
        <w:t>个</w:t>
      </w:r>
      <w:r>
        <w:rPr/>
        <w:t>房</w:t>
      </w:r>
      <w:r>
        <w:rPr>
          <w:spacing w:val="-3"/>
        </w:rPr>
        <w:t>间</w:t>
      </w:r>
      <w:r>
        <w:rPr>
          <w:spacing w:val="-13"/>
        </w:rPr>
        <w:t>；③</w:t>
      </w:r>
      <w:r>
        <w:rPr/>
        <w:t>行</w:t>
      </w:r>
      <w:r>
        <w:rPr>
          <w:spacing w:val="-3"/>
        </w:rPr>
        <w:t>动</w:t>
      </w:r>
      <w:r>
        <w:rPr>
          <w:spacing w:val="-22"/>
        </w:rPr>
        <w:t>：</w:t>
      </w:r>
      <w:r>
        <w:rPr>
          <w:spacing w:val="-3"/>
        </w:rPr>
        <w:t>自</w:t>
      </w:r>
      <w:r>
        <w:rPr/>
        <w:t>己</w:t>
      </w:r>
      <w:r>
        <w:rPr>
          <w:spacing w:val="-3"/>
        </w:rPr>
        <w:t>上</w:t>
      </w:r>
      <w:r>
        <w:rPr/>
        <w:t>下</w:t>
      </w:r>
      <w:r>
        <w:rPr>
          <w:spacing w:val="-3"/>
        </w:rPr>
        <w:t>床或</w:t>
      </w:r>
      <w:r>
        <w:rPr/>
        <w:t>上下</w:t>
      </w:r>
      <w:r>
        <w:rPr>
          <w:spacing w:val="-3"/>
        </w:rPr>
        <w:t>轮椅</w:t>
      </w:r>
      <w:r>
        <w:rPr>
          <w:spacing w:val="-13"/>
        </w:rPr>
        <w:t>；④</w:t>
      </w:r>
      <w:r>
        <w:rPr/>
        <w:t>如</w:t>
      </w:r>
      <w:r>
        <w:rPr>
          <w:spacing w:val="-3"/>
        </w:rPr>
        <w:t>厕</w:t>
      </w:r>
      <w:r>
        <w:rPr>
          <w:spacing w:val="-22"/>
        </w:rPr>
        <w:t>：</w:t>
      </w:r>
      <w:r>
        <w:rPr>
          <w:spacing w:val="-3"/>
        </w:rPr>
        <w:t>自己</w:t>
      </w:r>
      <w:r>
        <w:rPr/>
        <w:t>控制 进行</w:t>
      </w:r>
      <w:r>
        <w:rPr>
          <w:spacing w:val="-3"/>
        </w:rPr>
        <w:t>大</w:t>
      </w:r>
      <w:r>
        <w:rPr/>
        <w:t>小</w:t>
      </w:r>
      <w:r>
        <w:rPr>
          <w:spacing w:val="-3"/>
        </w:rPr>
        <w:t>便</w:t>
      </w:r>
      <w:r>
        <w:rPr>
          <w:spacing w:val="-12"/>
        </w:rPr>
        <w:t>；⑤</w:t>
      </w:r>
      <w:r>
        <w:rPr>
          <w:spacing w:val="-3"/>
        </w:rPr>
        <w:t>进</w:t>
      </w:r>
      <w:r>
        <w:rPr/>
        <w:t>食</w:t>
      </w:r>
      <w:r>
        <w:rPr>
          <w:spacing w:val="-24"/>
        </w:rPr>
        <w:t>：</w:t>
      </w:r>
      <w:r>
        <w:rPr>
          <w:spacing w:val="-3"/>
        </w:rPr>
        <w:t>自</w:t>
      </w:r>
      <w:r>
        <w:rPr/>
        <w:t>己从</w:t>
      </w:r>
      <w:r>
        <w:rPr>
          <w:spacing w:val="-3"/>
        </w:rPr>
        <w:t>已</w:t>
      </w:r>
      <w:r>
        <w:rPr/>
        <w:t>准</w:t>
      </w:r>
      <w:r>
        <w:rPr>
          <w:spacing w:val="-3"/>
        </w:rPr>
        <w:t>备</w:t>
      </w:r>
      <w:r>
        <w:rPr/>
        <w:t>好</w:t>
      </w:r>
      <w:r>
        <w:rPr>
          <w:spacing w:val="-3"/>
        </w:rPr>
        <w:t>的</w:t>
      </w:r>
      <w:r>
        <w:rPr/>
        <w:t>碗</w:t>
      </w:r>
      <w:r>
        <w:rPr>
          <w:spacing w:val="-3"/>
        </w:rPr>
        <w:t>或</w:t>
      </w:r>
      <w:r>
        <w:rPr/>
        <w:t>碟</w:t>
      </w:r>
      <w:r>
        <w:rPr>
          <w:spacing w:val="-3"/>
        </w:rPr>
        <w:t>中</w:t>
      </w:r>
      <w:r>
        <w:rPr/>
        <w:t>取食</w:t>
      </w:r>
      <w:r>
        <w:rPr>
          <w:spacing w:val="-3"/>
        </w:rPr>
        <w:t>物</w:t>
      </w:r>
      <w:r>
        <w:rPr/>
        <w:t>放</w:t>
      </w:r>
      <w:r>
        <w:rPr>
          <w:spacing w:val="-3"/>
        </w:rPr>
        <w:t>入</w:t>
      </w:r>
      <w:r>
        <w:rPr/>
        <w:t>口</w:t>
      </w:r>
      <w:r>
        <w:rPr>
          <w:spacing w:val="-3"/>
        </w:rPr>
        <w:t>中</w:t>
      </w:r>
      <w:r>
        <w:rPr>
          <w:spacing w:val="-12"/>
        </w:rPr>
        <w:t>；⑥</w:t>
      </w:r>
      <w:r>
        <w:rPr>
          <w:spacing w:val="-3"/>
        </w:rPr>
        <w:t>洗澡</w:t>
      </w:r>
      <w:r>
        <w:rPr>
          <w:spacing w:val="-22"/>
        </w:rPr>
        <w:t>：</w:t>
      </w:r>
      <w:r>
        <w:rPr/>
        <w:t>自己进</w:t>
      </w:r>
      <w:r>
        <w:rPr>
          <w:spacing w:val="-3"/>
        </w:rPr>
        <w:t>行</w:t>
      </w:r>
      <w:r>
        <w:rPr/>
        <w:t>淋</w:t>
      </w:r>
      <w:r>
        <w:rPr>
          <w:spacing w:val="-3"/>
        </w:rPr>
        <w:t>浴</w:t>
      </w:r>
      <w:r>
        <w:rPr/>
        <w:t>或</w:t>
      </w:r>
      <w:r>
        <w:rPr>
          <w:spacing w:val="-3"/>
        </w:rPr>
        <w:t>盆</w:t>
      </w:r>
      <w:r>
        <w:rPr/>
        <w:t>浴。</w:t>
      </w:r>
    </w:p>
    <w:p>
      <w:pPr>
        <w:pStyle w:val="BodyText"/>
        <w:ind w:left="2410" w:right="225" w:hanging="2168"/>
        <w:jc w:val="both"/>
      </w:pPr>
      <w:r>
        <w:rPr>
          <w:spacing w:val="-2"/>
        </w:rPr>
        <w:t>永久不可逆</w:t>
      </w:r>
      <w:r>
        <w:rPr>
          <w:position w:val="11"/>
          <w:sz w:val="11"/>
        </w:rPr>
        <w:t>（22）        </w:t>
      </w:r>
      <w:r>
        <w:rPr>
          <w:spacing w:val="-11"/>
        </w:rPr>
        <w:t>：永久不可逆系指自疾病确诊或意外伤害发生之日起，经过积极治疗 </w:t>
      </w:r>
      <w:r>
        <w:rPr/>
        <w:t>180</w:t>
      </w:r>
      <w:r>
        <w:rPr>
          <w:spacing w:val="-19"/>
        </w:rPr>
        <w:t> 天后，仍</w:t>
      </w:r>
      <w:r>
        <w:rPr>
          <w:spacing w:val="-8"/>
        </w:rPr>
        <w:t>无法通过现有医疗手段恢复。</w:t>
      </w:r>
    </w:p>
    <w:p>
      <w:pPr>
        <w:pStyle w:val="BodyText"/>
        <w:spacing w:before="7"/>
        <w:ind w:left="0"/>
        <w:rPr>
          <w:sz w:val="17"/>
        </w:rPr>
      </w:pPr>
    </w:p>
    <w:p>
      <w:pPr>
        <w:pStyle w:val="Heading2"/>
        <w:ind w:left="1"/>
        <w:jc w:val="center"/>
      </w:pPr>
      <w:r>
        <w:rPr/>
        <w:t>[本页内容结束]</w:t>
      </w:r>
    </w:p>
    <w:sectPr>
      <w:footerReference w:type="default" r:id="rId10"/>
      <w:pgSz w:w="11900" w:h="16840"/>
      <w:pgMar w:footer="574" w:header="892" w:top="1080" w:bottom="760" w:left="1000" w:right="1000"/>
      <w:pgNumType w:star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type id="_x0000_t202" o:spt="202" coordsize="21600,21600" path="m,l,21600r21600,l21600,xe">
          <v:stroke joinstyle="miter"/>
          <v:path gradientshapeok="t" o:connecttype="rect"/>
        </v:shapetype>
        <v:shape style="position:absolute;margin-left:475.039795pt;margin-top:802.299011pt;width:38.5pt;height:12pt;mso-position-horizontal-relative:page;mso-position-vertical-relative:page;z-index:-19552" type="#_x0000_t202" filled="false" stroked="false">
          <v:textbox inset="0,0,0,0">
            <w:txbxContent>
              <w:p>
                <w:pPr>
                  <w:spacing w:before="12"/>
                  <w:ind w:left="20" w:right="0" w:firstLine="0"/>
                  <w:jc w:val="left"/>
                  <w:rPr>
                    <w:rFonts w:ascii="Times New Roman"/>
                    <w:sz w:val="18"/>
                  </w:rPr>
                </w:pPr>
                <w:r>
                  <w:rPr>
                    <w:rFonts w:ascii="Times New Roman"/>
                    <w:sz w:val="18"/>
                  </w:rPr>
                  <w:t>TRCIR </w:t>
                </w: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7"/>
      </w:rPr>
    </w:pPr>
    <w:r>
      <w:rPr/>
      <w:pict>
        <v:shape style="position:absolute;margin-left:470.599823pt;margin-top:802.299377pt;width:43.05pt;height:12pt;mso-position-horizontal-relative:page;mso-position-vertical-relative:page;z-index:-19504" type="#_x0000_t202" filled="false" stroked="false">
          <v:textbox inset="0,0,0,0">
            <w:txbxContent>
              <w:p>
                <w:pPr>
                  <w:spacing w:before="12"/>
                  <w:ind w:left="20" w:right="0" w:firstLine="0"/>
                  <w:jc w:val="left"/>
                  <w:rPr>
                    <w:rFonts w:ascii="Times New Roman"/>
                    <w:sz w:val="18"/>
                  </w:rPr>
                </w:pPr>
                <w:r>
                  <w:rPr>
                    <w:rFonts w:ascii="Times New Roman"/>
                    <w:sz w:val="18"/>
                  </w:rPr>
                  <w:t>TRCIR </w:t>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70.599823pt;margin-top:802.299377pt;width:43.05pt;height:12pt;mso-position-horizontal-relative:page;mso-position-vertical-relative:page;z-index:-19480" type="#_x0000_t202" filled="false" stroked="false">
          <v:textbox inset="0,0,0,0">
            <w:txbxContent>
              <w:p>
                <w:pPr>
                  <w:spacing w:before="12"/>
                  <w:ind w:left="20" w:right="0" w:firstLine="0"/>
                  <w:jc w:val="left"/>
                  <w:rPr>
                    <w:rFonts w:ascii="Times New Roman"/>
                    <w:sz w:val="18"/>
                  </w:rPr>
                </w:pPr>
                <w:r>
                  <w:rPr>
                    <w:rFonts w:ascii="Times New Roman"/>
                    <w:sz w:val="18"/>
                  </w:rPr>
                  <w:t>TRCIR </w:t>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528" from="55.19952pt,54.238651pt" to="539.999509pt,54.238651pt" stroked="true" strokeweight=".719531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72" w:hanging="428"/>
        <w:jc w:val="left"/>
      </w:pPr>
      <w:rPr>
        <w:rFonts w:hint="default" w:ascii="宋体" w:hAnsi="宋体" w:eastAsia="宋体" w:cs="宋体"/>
        <w:w w:val="100"/>
        <w:sz w:val="21"/>
        <w:szCs w:val="21"/>
      </w:rPr>
    </w:lvl>
    <w:lvl w:ilvl="1">
      <w:start w:val="1"/>
      <w:numFmt w:val="decimal"/>
      <w:lvlText w:val="%2."/>
      <w:lvlJc w:val="left"/>
      <w:pPr>
        <w:ind w:left="1841" w:hanging="516"/>
        <w:jc w:val="left"/>
      </w:pPr>
      <w:rPr>
        <w:rFonts w:hint="default" w:ascii="宋体" w:hAnsi="宋体" w:eastAsia="宋体" w:cs="宋体"/>
        <w:w w:val="100"/>
        <w:sz w:val="21"/>
        <w:szCs w:val="21"/>
      </w:rPr>
    </w:lvl>
    <w:lvl w:ilvl="2">
      <w:start w:val="2"/>
      <w:numFmt w:val="decimal"/>
      <w:lvlText w:val="（%3）"/>
      <w:lvlJc w:val="left"/>
      <w:pPr>
        <w:ind w:left="2947" w:hanging="749"/>
        <w:jc w:val="left"/>
      </w:pPr>
      <w:rPr>
        <w:rFonts w:hint="default" w:ascii="Microsoft JhengHei" w:hAnsi="Microsoft JhengHei" w:eastAsia="Microsoft JhengHei" w:cs="Microsoft JhengHei"/>
        <w:b/>
        <w:bCs/>
        <w:spacing w:val="-3"/>
        <w:w w:val="100"/>
        <w:sz w:val="21"/>
        <w:szCs w:val="21"/>
      </w:rPr>
    </w:lvl>
    <w:lvl w:ilvl="3">
      <w:start w:val="0"/>
      <w:numFmt w:val="bullet"/>
      <w:lvlText w:val="•"/>
      <w:lvlJc w:val="left"/>
      <w:pPr>
        <w:ind w:left="3810" w:hanging="749"/>
      </w:pPr>
      <w:rPr>
        <w:rFonts w:hint="default"/>
      </w:rPr>
    </w:lvl>
    <w:lvl w:ilvl="4">
      <w:start w:val="0"/>
      <w:numFmt w:val="bullet"/>
      <w:lvlText w:val="•"/>
      <w:lvlJc w:val="left"/>
      <w:pPr>
        <w:ind w:left="4680" w:hanging="749"/>
      </w:pPr>
      <w:rPr>
        <w:rFonts w:hint="default"/>
      </w:rPr>
    </w:lvl>
    <w:lvl w:ilvl="5">
      <w:start w:val="0"/>
      <w:numFmt w:val="bullet"/>
      <w:lvlText w:val="•"/>
      <w:lvlJc w:val="left"/>
      <w:pPr>
        <w:ind w:left="5550" w:hanging="749"/>
      </w:pPr>
      <w:rPr>
        <w:rFonts w:hint="default"/>
      </w:rPr>
    </w:lvl>
    <w:lvl w:ilvl="6">
      <w:start w:val="0"/>
      <w:numFmt w:val="bullet"/>
      <w:lvlText w:val="•"/>
      <w:lvlJc w:val="left"/>
      <w:pPr>
        <w:ind w:left="6420" w:hanging="749"/>
      </w:pPr>
      <w:rPr>
        <w:rFonts w:hint="default"/>
      </w:rPr>
    </w:lvl>
    <w:lvl w:ilvl="7">
      <w:start w:val="0"/>
      <w:numFmt w:val="bullet"/>
      <w:lvlText w:val="•"/>
      <w:lvlJc w:val="left"/>
      <w:pPr>
        <w:ind w:left="7290" w:hanging="749"/>
      </w:pPr>
      <w:rPr>
        <w:rFonts w:hint="default"/>
      </w:rPr>
    </w:lvl>
    <w:lvl w:ilvl="8">
      <w:start w:val="0"/>
      <w:numFmt w:val="bullet"/>
      <w:lvlText w:val="•"/>
      <w:lvlJc w:val="left"/>
      <w:pPr>
        <w:ind w:left="8160" w:hanging="749"/>
      </w:pPr>
      <w:rPr>
        <w:rFonts w:hint="default"/>
      </w:rPr>
    </w:lvl>
  </w:abstractNum>
  <w:abstractNum w:abstractNumId="21">
    <w:multiLevelType w:val="hybridMultilevel"/>
    <w:lvl w:ilvl="0">
      <w:start w:val="1"/>
      <w:numFmt w:val="decimal"/>
      <w:lvlText w:val="%1."/>
      <w:lvlJc w:val="left"/>
      <w:pPr>
        <w:ind w:left="454" w:hanging="281"/>
        <w:jc w:val="left"/>
      </w:pPr>
      <w:rPr>
        <w:rFonts w:hint="default" w:ascii="Arial" w:hAnsi="Arial" w:eastAsia="Arial" w:cs="Arial"/>
        <w:b/>
        <w:bCs/>
        <w:w w:val="100"/>
        <w:sz w:val="21"/>
        <w:szCs w:val="21"/>
      </w:rPr>
    </w:lvl>
    <w:lvl w:ilvl="1">
      <w:start w:val="0"/>
      <w:numFmt w:val="bullet"/>
      <w:lvlText w:val="•"/>
      <w:lvlJc w:val="left"/>
      <w:pPr>
        <w:ind w:left="2740" w:hanging="281"/>
      </w:pPr>
      <w:rPr>
        <w:rFonts w:hint="default"/>
      </w:rPr>
    </w:lvl>
    <w:lvl w:ilvl="2">
      <w:start w:val="0"/>
      <w:numFmt w:val="bullet"/>
      <w:lvlText w:val="•"/>
      <w:lvlJc w:val="left"/>
      <w:pPr>
        <w:ind w:left="3310" w:hanging="281"/>
      </w:pPr>
      <w:rPr>
        <w:rFonts w:hint="default"/>
      </w:rPr>
    </w:lvl>
    <w:lvl w:ilvl="3">
      <w:start w:val="0"/>
      <w:numFmt w:val="bullet"/>
      <w:lvlText w:val="•"/>
      <w:lvlJc w:val="left"/>
      <w:pPr>
        <w:ind w:left="3881" w:hanging="281"/>
      </w:pPr>
      <w:rPr>
        <w:rFonts w:hint="default"/>
      </w:rPr>
    </w:lvl>
    <w:lvl w:ilvl="4">
      <w:start w:val="0"/>
      <w:numFmt w:val="bullet"/>
      <w:lvlText w:val="•"/>
      <w:lvlJc w:val="left"/>
      <w:pPr>
        <w:ind w:left="4451" w:hanging="281"/>
      </w:pPr>
      <w:rPr>
        <w:rFonts w:hint="default"/>
      </w:rPr>
    </w:lvl>
    <w:lvl w:ilvl="5">
      <w:start w:val="0"/>
      <w:numFmt w:val="bullet"/>
      <w:lvlText w:val="•"/>
      <w:lvlJc w:val="left"/>
      <w:pPr>
        <w:ind w:left="5022" w:hanging="281"/>
      </w:pPr>
      <w:rPr>
        <w:rFonts w:hint="default"/>
      </w:rPr>
    </w:lvl>
    <w:lvl w:ilvl="6">
      <w:start w:val="0"/>
      <w:numFmt w:val="bullet"/>
      <w:lvlText w:val="•"/>
      <w:lvlJc w:val="left"/>
      <w:pPr>
        <w:ind w:left="5592" w:hanging="281"/>
      </w:pPr>
      <w:rPr>
        <w:rFonts w:hint="default"/>
      </w:rPr>
    </w:lvl>
    <w:lvl w:ilvl="7">
      <w:start w:val="0"/>
      <w:numFmt w:val="bullet"/>
      <w:lvlText w:val="•"/>
      <w:lvlJc w:val="left"/>
      <w:pPr>
        <w:ind w:left="6163" w:hanging="281"/>
      </w:pPr>
      <w:rPr>
        <w:rFonts w:hint="default"/>
      </w:rPr>
    </w:lvl>
    <w:lvl w:ilvl="8">
      <w:start w:val="0"/>
      <w:numFmt w:val="bullet"/>
      <w:lvlText w:val="•"/>
      <w:lvlJc w:val="left"/>
      <w:pPr>
        <w:ind w:left="6733" w:hanging="281"/>
      </w:pPr>
      <w:rPr>
        <w:rFonts w:hint="default"/>
      </w:rPr>
    </w:lvl>
  </w:abstractNum>
  <w:abstractNum w:abstractNumId="20">
    <w:multiLevelType w:val="hybridMultilevel"/>
    <w:lvl w:ilvl="0">
      <w:start w:val="1"/>
      <w:numFmt w:val="decimal"/>
      <w:lvlText w:val="（%1）"/>
      <w:lvlJc w:val="left"/>
      <w:pPr>
        <w:ind w:left="2842" w:hanging="644"/>
        <w:jc w:val="left"/>
      </w:pPr>
      <w:rPr>
        <w:rFonts w:hint="default" w:ascii="宋体" w:hAnsi="宋体" w:eastAsia="宋体" w:cs="宋体"/>
        <w:w w:val="100"/>
        <w:sz w:val="21"/>
        <w:szCs w:val="21"/>
      </w:rPr>
    </w:lvl>
    <w:lvl w:ilvl="1">
      <w:start w:val="0"/>
      <w:numFmt w:val="bullet"/>
      <w:lvlText w:val="•"/>
      <w:lvlJc w:val="left"/>
      <w:pPr>
        <w:ind w:left="3546" w:hanging="644"/>
      </w:pPr>
      <w:rPr>
        <w:rFonts w:hint="default"/>
      </w:rPr>
    </w:lvl>
    <w:lvl w:ilvl="2">
      <w:start w:val="0"/>
      <w:numFmt w:val="bullet"/>
      <w:lvlText w:val="•"/>
      <w:lvlJc w:val="left"/>
      <w:pPr>
        <w:ind w:left="4252" w:hanging="644"/>
      </w:pPr>
      <w:rPr>
        <w:rFonts w:hint="default"/>
      </w:rPr>
    </w:lvl>
    <w:lvl w:ilvl="3">
      <w:start w:val="0"/>
      <w:numFmt w:val="bullet"/>
      <w:lvlText w:val="•"/>
      <w:lvlJc w:val="left"/>
      <w:pPr>
        <w:ind w:left="4958" w:hanging="644"/>
      </w:pPr>
      <w:rPr>
        <w:rFonts w:hint="default"/>
      </w:rPr>
    </w:lvl>
    <w:lvl w:ilvl="4">
      <w:start w:val="0"/>
      <w:numFmt w:val="bullet"/>
      <w:lvlText w:val="•"/>
      <w:lvlJc w:val="left"/>
      <w:pPr>
        <w:ind w:left="5664" w:hanging="644"/>
      </w:pPr>
      <w:rPr>
        <w:rFonts w:hint="default"/>
      </w:rPr>
    </w:lvl>
    <w:lvl w:ilvl="5">
      <w:start w:val="0"/>
      <w:numFmt w:val="bullet"/>
      <w:lvlText w:val="•"/>
      <w:lvlJc w:val="left"/>
      <w:pPr>
        <w:ind w:left="6370" w:hanging="644"/>
      </w:pPr>
      <w:rPr>
        <w:rFonts w:hint="default"/>
      </w:rPr>
    </w:lvl>
    <w:lvl w:ilvl="6">
      <w:start w:val="0"/>
      <w:numFmt w:val="bullet"/>
      <w:lvlText w:val="•"/>
      <w:lvlJc w:val="left"/>
      <w:pPr>
        <w:ind w:left="7076" w:hanging="644"/>
      </w:pPr>
      <w:rPr>
        <w:rFonts w:hint="default"/>
      </w:rPr>
    </w:lvl>
    <w:lvl w:ilvl="7">
      <w:start w:val="0"/>
      <w:numFmt w:val="bullet"/>
      <w:lvlText w:val="•"/>
      <w:lvlJc w:val="left"/>
      <w:pPr>
        <w:ind w:left="7782" w:hanging="644"/>
      </w:pPr>
      <w:rPr>
        <w:rFonts w:hint="default"/>
      </w:rPr>
    </w:lvl>
    <w:lvl w:ilvl="8">
      <w:start w:val="0"/>
      <w:numFmt w:val="bullet"/>
      <w:lvlText w:val="•"/>
      <w:lvlJc w:val="left"/>
      <w:pPr>
        <w:ind w:left="8488" w:hanging="644"/>
      </w:pPr>
      <w:rPr>
        <w:rFonts w:hint="default"/>
      </w:rPr>
    </w:lvl>
  </w:abstractNum>
  <w:abstractNum w:abstractNumId="19">
    <w:multiLevelType w:val="hybridMultilevel"/>
    <w:lvl w:ilvl="0">
      <w:start w:val="1"/>
      <w:numFmt w:val="decimal"/>
      <w:lvlText w:val="(%1)"/>
      <w:lvlJc w:val="left"/>
      <w:pPr>
        <w:ind w:left="2559" w:hanging="360"/>
        <w:jc w:val="left"/>
      </w:pPr>
      <w:rPr>
        <w:rFonts w:hint="default" w:ascii="Arial" w:hAnsi="Arial" w:eastAsia="Arial" w:cs="Arial"/>
        <w:spacing w:val="-1"/>
        <w:w w:val="100"/>
        <w:sz w:val="21"/>
        <w:szCs w:val="21"/>
      </w:rPr>
    </w:lvl>
    <w:lvl w:ilvl="1">
      <w:start w:val="0"/>
      <w:numFmt w:val="bullet"/>
      <w:lvlText w:val="•"/>
      <w:lvlJc w:val="left"/>
      <w:pPr>
        <w:ind w:left="3294" w:hanging="360"/>
      </w:pPr>
      <w:rPr>
        <w:rFonts w:hint="default"/>
      </w:rPr>
    </w:lvl>
    <w:lvl w:ilvl="2">
      <w:start w:val="0"/>
      <w:numFmt w:val="bullet"/>
      <w:lvlText w:val="•"/>
      <w:lvlJc w:val="left"/>
      <w:pPr>
        <w:ind w:left="4028" w:hanging="360"/>
      </w:pPr>
      <w:rPr>
        <w:rFonts w:hint="default"/>
      </w:rPr>
    </w:lvl>
    <w:lvl w:ilvl="3">
      <w:start w:val="0"/>
      <w:numFmt w:val="bullet"/>
      <w:lvlText w:val="•"/>
      <w:lvlJc w:val="left"/>
      <w:pPr>
        <w:ind w:left="4762" w:hanging="360"/>
      </w:pPr>
      <w:rPr>
        <w:rFonts w:hint="default"/>
      </w:rPr>
    </w:lvl>
    <w:lvl w:ilvl="4">
      <w:start w:val="0"/>
      <w:numFmt w:val="bullet"/>
      <w:lvlText w:val="•"/>
      <w:lvlJc w:val="left"/>
      <w:pPr>
        <w:ind w:left="5496" w:hanging="360"/>
      </w:pPr>
      <w:rPr>
        <w:rFonts w:hint="default"/>
      </w:rPr>
    </w:lvl>
    <w:lvl w:ilvl="5">
      <w:start w:val="0"/>
      <w:numFmt w:val="bullet"/>
      <w:lvlText w:val="•"/>
      <w:lvlJc w:val="left"/>
      <w:pPr>
        <w:ind w:left="6230" w:hanging="360"/>
      </w:pPr>
      <w:rPr>
        <w:rFonts w:hint="default"/>
      </w:rPr>
    </w:lvl>
    <w:lvl w:ilvl="6">
      <w:start w:val="0"/>
      <w:numFmt w:val="bullet"/>
      <w:lvlText w:val="•"/>
      <w:lvlJc w:val="left"/>
      <w:pPr>
        <w:ind w:left="6964" w:hanging="360"/>
      </w:pPr>
      <w:rPr>
        <w:rFonts w:hint="default"/>
      </w:rPr>
    </w:lvl>
    <w:lvl w:ilvl="7">
      <w:start w:val="0"/>
      <w:numFmt w:val="bullet"/>
      <w:lvlText w:val="•"/>
      <w:lvlJc w:val="left"/>
      <w:pPr>
        <w:ind w:left="7698" w:hanging="360"/>
      </w:pPr>
      <w:rPr>
        <w:rFonts w:hint="default"/>
      </w:rPr>
    </w:lvl>
    <w:lvl w:ilvl="8">
      <w:start w:val="0"/>
      <w:numFmt w:val="bullet"/>
      <w:lvlText w:val="•"/>
      <w:lvlJc w:val="left"/>
      <w:pPr>
        <w:ind w:left="8432" w:hanging="360"/>
      </w:pPr>
      <w:rPr>
        <w:rFonts w:hint="default"/>
      </w:rPr>
    </w:lvl>
  </w:abstractNum>
  <w:abstractNum w:abstractNumId="18">
    <w:multiLevelType w:val="hybridMultilevel"/>
    <w:lvl w:ilvl="0">
      <w:start w:val="1"/>
      <w:numFmt w:val="decimal"/>
      <w:lvlText w:val="(%1)"/>
      <w:lvlJc w:val="left"/>
      <w:pPr>
        <w:ind w:left="2559" w:hanging="360"/>
        <w:jc w:val="left"/>
      </w:pPr>
      <w:rPr>
        <w:rFonts w:hint="default" w:ascii="Arial" w:hAnsi="Arial" w:eastAsia="Arial" w:cs="Arial"/>
        <w:spacing w:val="-1"/>
        <w:w w:val="100"/>
        <w:sz w:val="21"/>
        <w:szCs w:val="21"/>
      </w:rPr>
    </w:lvl>
    <w:lvl w:ilvl="1">
      <w:start w:val="0"/>
      <w:numFmt w:val="bullet"/>
      <w:lvlText w:val="•"/>
      <w:lvlJc w:val="left"/>
      <w:pPr>
        <w:ind w:left="3294" w:hanging="360"/>
      </w:pPr>
      <w:rPr>
        <w:rFonts w:hint="default"/>
      </w:rPr>
    </w:lvl>
    <w:lvl w:ilvl="2">
      <w:start w:val="0"/>
      <w:numFmt w:val="bullet"/>
      <w:lvlText w:val="•"/>
      <w:lvlJc w:val="left"/>
      <w:pPr>
        <w:ind w:left="4028" w:hanging="360"/>
      </w:pPr>
      <w:rPr>
        <w:rFonts w:hint="default"/>
      </w:rPr>
    </w:lvl>
    <w:lvl w:ilvl="3">
      <w:start w:val="0"/>
      <w:numFmt w:val="bullet"/>
      <w:lvlText w:val="•"/>
      <w:lvlJc w:val="left"/>
      <w:pPr>
        <w:ind w:left="4762" w:hanging="360"/>
      </w:pPr>
      <w:rPr>
        <w:rFonts w:hint="default"/>
      </w:rPr>
    </w:lvl>
    <w:lvl w:ilvl="4">
      <w:start w:val="0"/>
      <w:numFmt w:val="bullet"/>
      <w:lvlText w:val="•"/>
      <w:lvlJc w:val="left"/>
      <w:pPr>
        <w:ind w:left="5496" w:hanging="360"/>
      </w:pPr>
      <w:rPr>
        <w:rFonts w:hint="default"/>
      </w:rPr>
    </w:lvl>
    <w:lvl w:ilvl="5">
      <w:start w:val="0"/>
      <w:numFmt w:val="bullet"/>
      <w:lvlText w:val="•"/>
      <w:lvlJc w:val="left"/>
      <w:pPr>
        <w:ind w:left="6230" w:hanging="360"/>
      </w:pPr>
      <w:rPr>
        <w:rFonts w:hint="default"/>
      </w:rPr>
    </w:lvl>
    <w:lvl w:ilvl="6">
      <w:start w:val="0"/>
      <w:numFmt w:val="bullet"/>
      <w:lvlText w:val="•"/>
      <w:lvlJc w:val="left"/>
      <w:pPr>
        <w:ind w:left="6964" w:hanging="360"/>
      </w:pPr>
      <w:rPr>
        <w:rFonts w:hint="default"/>
      </w:rPr>
    </w:lvl>
    <w:lvl w:ilvl="7">
      <w:start w:val="0"/>
      <w:numFmt w:val="bullet"/>
      <w:lvlText w:val="•"/>
      <w:lvlJc w:val="left"/>
      <w:pPr>
        <w:ind w:left="7698" w:hanging="360"/>
      </w:pPr>
      <w:rPr>
        <w:rFonts w:hint="default"/>
      </w:rPr>
    </w:lvl>
    <w:lvl w:ilvl="8">
      <w:start w:val="0"/>
      <w:numFmt w:val="bullet"/>
      <w:lvlText w:val="•"/>
      <w:lvlJc w:val="left"/>
      <w:pPr>
        <w:ind w:left="8432" w:hanging="360"/>
      </w:pPr>
      <w:rPr>
        <w:rFonts w:hint="default"/>
      </w:rPr>
    </w:lvl>
  </w:abstractNum>
  <w:abstractNum w:abstractNumId="17">
    <w:multiLevelType w:val="hybridMultilevel"/>
    <w:lvl w:ilvl="0">
      <w:start w:val="1"/>
      <w:numFmt w:val="decimal"/>
      <w:lvlText w:val="（%1）"/>
      <w:lvlJc w:val="left"/>
      <w:pPr>
        <w:ind w:left="2844" w:hanging="644"/>
        <w:jc w:val="left"/>
      </w:pPr>
      <w:rPr>
        <w:rFonts w:hint="default" w:ascii="宋体" w:hAnsi="宋体" w:eastAsia="宋体" w:cs="宋体"/>
        <w:w w:val="100"/>
        <w:sz w:val="21"/>
        <w:szCs w:val="21"/>
      </w:rPr>
    </w:lvl>
    <w:lvl w:ilvl="1">
      <w:start w:val="0"/>
      <w:numFmt w:val="bullet"/>
      <w:lvlText w:val="•"/>
      <w:lvlJc w:val="left"/>
      <w:pPr>
        <w:ind w:left="3546" w:hanging="644"/>
      </w:pPr>
      <w:rPr>
        <w:rFonts w:hint="default"/>
      </w:rPr>
    </w:lvl>
    <w:lvl w:ilvl="2">
      <w:start w:val="0"/>
      <w:numFmt w:val="bullet"/>
      <w:lvlText w:val="•"/>
      <w:lvlJc w:val="left"/>
      <w:pPr>
        <w:ind w:left="4252" w:hanging="644"/>
      </w:pPr>
      <w:rPr>
        <w:rFonts w:hint="default"/>
      </w:rPr>
    </w:lvl>
    <w:lvl w:ilvl="3">
      <w:start w:val="0"/>
      <w:numFmt w:val="bullet"/>
      <w:lvlText w:val="•"/>
      <w:lvlJc w:val="left"/>
      <w:pPr>
        <w:ind w:left="4958" w:hanging="644"/>
      </w:pPr>
      <w:rPr>
        <w:rFonts w:hint="default"/>
      </w:rPr>
    </w:lvl>
    <w:lvl w:ilvl="4">
      <w:start w:val="0"/>
      <w:numFmt w:val="bullet"/>
      <w:lvlText w:val="•"/>
      <w:lvlJc w:val="left"/>
      <w:pPr>
        <w:ind w:left="5664" w:hanging="644"/>
      </w:pPr>
      <w:rPr>
        <w:rFonts w:hint="default"/>
      </w:rPr>
    </w:lvl>
    <w:lvl w:ilvl="5">
      <w:start w:val="0"/>
      <w:numFmt w:val="bullet"/>
      <w:lvlText w:val="•"/>
      <w:lvlJc w:val="left"/>
      <w:pPr>
        <w:ind w:left="6370" w:hanging="644"/>
      </w:pPr>
      <w:rPr>
        <w:rFonts w:hint="default"/>
      </w:rPr>
    </w:lvl>
    <w:lvl w:ilvl="6">
      <w:start w:val="0"/>
      <w:numFmt w:val="bullet"/>
      <w:lvlText w:val="•"/>
      <w:lvlJc w:val="left"/>
      <w:pPr>
        <w:ind w:left="7076" w:hanging="644"/>
      </w:pPr>
      <w:rPr>
        <w:rFonts w:hint="default"/>
      </w:rPr>
    </w:lvl>
    <w:lvl w:ilvl="7">
      <w:start w:val="0"/>
      <w:numFmt w:val="bullet"/>
      <w:lvlText w:val="•"/>
      <w:lvlJc w:val="left"/>
      <w:pPr>
        <w:ind w:left="7782" w:hanging="644"/>
      </w:pPr>
      <w:rPr>
        <w:rFonts w:hint="default"/>
      </w:rPr>
    </w:lvl>
    <w:lvl w:ilvl="8">
      <w:start w:val="0"/>
      <w:numFmt w:val="bullet"/>
      <w:lvlText w:val="•"/>
      <w:lvlJc w:val="left"/>
      <w:pPr>
        <w:ind w:left="8488" w:hanging="644"/>
      </w:pPr>
      <w:rPr>
        <w:rFonts w:hint="default"/>
      </w:rPr>
    </w:lvl>
  </w:abstractNum>
  <w:abstractNum w:abstractNumId="16">
    <w:multiLevelType w:val="hybridMultilevel"/>
    <w:lvl w:ilvl="0">
      <w:start w:val="41"/>
      <w:numFmt w:val="decimal"/>
      <w:lvlText w:val="%1."/>
      <w:lvlJc w:val="left"/>
      <w:pPr>
        <w:ind w:left="2580" w:hanging="382"/>
        <w:jc w:val="left"/>
      </w:pPr>
      <w:rPr>
        <w:rFonts w:hint="default" w:ascii="Arial" w:hAnsi="Arial" w:eastAsia="Arial" w:cs="Arial"/>
        <w:b/>
        <w:bCs/>
        <w:w w:val="100"/>
        <w:sz w:val="21"/>
        <w:szCs w:val="21"/>
      </w:rPr>
    </w:lvl>
    <w:lvl w:ilvl="1">
      <w:start w:val="0"/>
      <w:numFmt w:val="bullet"/>
      <w:lvlText w:val="•"/>
      <w:lvlJc w:val="left"/>
      <w:pPr>
        <w:ind w:left="3312" w:hanging="382"/>
      </w:pPr>
      <w:rPr>
        <w:rFonts w:hint="default"/>
      </w:rPr>
    </w:lvl>
    <w:lvl w:ilvl="2">
      <w:start w:val="0"/>
      <w:numFmt w:val="bullet"/>
      <w:lvlText w:val="•"/>
      <w:lvlJc w:val="left"/>
      <w:pPr>
        <w:ind w:left="4044" w:hanging="382"/>
      </w:pPr>
      <w:rPr>
        <w:rFonts w:hint="default"/>
      </w:rPr>
    </w:lvl>
    <w:lvl w:ilvl="3">
      <w:start w:val="0"/>
      <w:numFmt w:val="bullet"/>
      <w:lvlText w:val="•"/>
      <w:lvlJc w:val="left"/>
      <w:pPr>
        <w:ind w:left="4776" w:hanging="382"/>
      </w:pPr>
      <w:rPr>
        <w:rFonts w:hint="default"/>
      </w:rPr>
    </w:lvl>
    <w:lvl w:ilvl="4">
      <w:start w:val="0"/>
      <w:numFmt w:val="bullet"/>
      <w:lvlText w:val="•"/>
      <w:lvlJc w:val="left"/>
      <w:pPr>
        <w:ind w:left="5508" w:hanging="382"/>
      </w:pPr>
      <w:rPr>
        <w:rFonts w:hint="default"/>
      </w:rPr>
    </w:lvl>
    <w:lvl w:ilvl="5">
      <w:start w:val="0"/>
      <w:numFmt w:val="bullet"/>
      <w:lvlText w:val="•"/>
      <w:lvlJc w:val="left"/>
      <w:pPr>
        <w:ind w:left="6240" w:hanging="382"/>
      </w:pPr>
      <w:rPr>
        <w:rFonts w:hint="default"/>
      </w:rPr>
    </w:lvl>
    <w:lvl w:ilvl="6">
      <w:start w:val="0"/>
      <w:numFmt w:val="bullet"/>
      <w:lvlText w:val="•"/>
      <w:lvlJc w:val="left"/>
      <w:pPr>
        <w:ind w:left="6972" w:hanging="382"/>
      </w:pPr>
      <w:rPr>
        <w:rFonts w:hint="default"/>
      </w:rPr>
    </w:lvl>
    <w:lvl w:ilvl="7">
      <w:start w:val="0"/>
      <w:numFmt w:val="bullet"/>
      <w:lvlText w:val="•"/>
      <w:lvlJc w:val="left"/>
      <w:pPr>
        <w:ind w:left="7704" w:hanging="382"/>
      </w:pPr>
      <w:rPr>
        <w:rFonts w:hint="default"/>
      </w:rPr>
    </w:lvl>
    <w:lvl w:ilvl="8">
      <w:start w:val="0"/>
      <w:numFmt w:val="bullet"/>
      <w:lvlText w:val="•"/>
      <w:lvlJc w:val="left"/>
      <w:pPr>
        <w:ind w:left="8436" w:hanging="382"/>
      </w:pPr>
      <w:rPr>
        <w:rFonts w:hint="default"/>
      </w:rPr>
    </w:lvl>
  </w:abstractNum>
  <w:abstractNum w:abstractNumId="15">
    <w:multiLevelType w:val="hybridMultilevel"/>
    <w:lvl w:ilvl="0">
      <w:start w:val="1"/>
      <w:numFmt w:val="decimal"/>
      <w:lvlText w:val="（%1）"/>
      <w:lvlJc w:val="left"/>
      <w:pPr>
        <w:ind w:left="2199" w:hanging="747"/>
        <w:jc w:val="left"/>
      </w:pPr>
      <w:rPr>
        <w:rFonts w:hint="default" w:ascii="宋体" w:hAnsi="宋体" w:eastAsia="宋体" w:cs="宋体"/>
        <w:w w:val="100"/>
        <w:sz w:val="21"/>
        <w:szCs w:val="21"/>
      </w:rPr>
    </w:lvl>
    <w:lvl w:ilvl="1">
      <w:start w:val="0"/>
      <w:numFmt w:val="bullet"/>
      <w:lvlText w:val="•"/>
      <w:lvlJc w:val="left"/>
      <w:pPr>
        <w:ind w:left="2970" w:hanging="747"/>
      </w:pPr>
      <w:rPr>
        <w:rFonts w:hint="default"/>
      </w:rPr>
    </w:lvl>
    <w:lvl w:ilvl="2">
      <w:start w:val="0"/>
      <w:numFmt w:val="bullet"/>
      <w:lvlText w:val="•"/>
      <w:lvlJc w:val="left"/>
      <w:pPr>
        <w:ind w:left="3740" w:hanging="747"/>
      </w:pPr>
      <w:rPr>
        <w:rFonts w:hint="default"/>
      </w:rPr>
    </w:lvl>
    <w:lvl w:ilvl="3">
      <w:start w:val="0"/>
      <w:numFmt w:val="bullet"/>
      <w:lvlText w:val="•"/>
      <w:lvlJc w:val="left"/>
      <w:pPr>
        <w:ind w:left="4510" w:hanging="747"/>
      </w:pPr>
      <w:rPr>
        <w:rFonts w:hint="default"/>
      </w:rPr>
    </w:lvl>
    <w:lvl w:ilvl="4">
      <w:start w:val="0"/>
      <w:numFmt w:val="bullet"/>
      <w:lvlText w:val="•"/>
      <w:lvlJc w:val="left"/>
      <w:pPr>
        <w:ind w:left="5280" w:hanging="747"/>
      </w:pPr>
      <w:rPr>
        <w:rFonts w:hint="default"/>
      </w:rPr>
    </w:lvl>
    <w:lvl w:ilvl="5">
      <w:start w:val="0"/>
      <w:numFmt w:val="bullet"/>
      <w:lvlText w:val="•"/>
      <w:lvlJc w:val="left"/>
      <w:pPr>
        <w:ind w:left="6050" w:hanging="747"/>
      </w:pPr>
      <w:rPr>
        <w:rFonts w:hint="default"/>
      </w:rPr>
    </w:lvl>
    <w:lvl w:ilvl="6">
      <w:start w:val="0"/>
      <w:numFmt w:val="bullet"/>
      <w:lvlText w:val="•"/>
      <w:lvlJc w:val="left"/>
      <w:pPr>
        <w:ind w:left="6820" w:hanging="747"/>
      </w:pPr>
      <w:rPr>
        <w:rFonts w:hint="default"/>
      </w:rPr>
    </w:lvl>
    <w:lvl w:ilvl="7">
      <w:start w:val="0"/>
      <w:numFmt w:val="bullet"/>
      <w:lvlText w:val="•"/>
      <w:lvlJc w:val="left"/>
      <w:pPr>
        <w:ind w:left="7590" w:hanging="747"/>
      </w:pPr>
      <w:rPr>
        <w:rFonts w:hint="default"/>
      </w:rPr>
    </w:lvl>
    <w:lvl w:ilvl="8">
      <w:start w:val="0"/>
      <w:numFmt w:val="bullet"/>
      <w:lvlText w:val="•"/>
      <w:lvlJc w:val="left"/>
      <w:pPr>
        <w:ind w:left="8360" w:hanging="747"/>
      </w:pPr>
      <w:rPr>
        <w:rFonts w:hint="default"/>
      </w:rPr>
    </w:lvl>
  </w:abstractNum>
  <w:abstractNum w:abstractNumId="14">
    <w:multiLevelType w:val="hybridMultilevel"/>
    <w:lvl w:ilvl="0">
      <w:start w:val="1"/>
      <w:numFmt w:val="decimal"/>
      <w:lvlText w:val="（%1）"/>
      <w:lvlJc w:val="left"/>
      <w:pPr>
        <w:ind w:left="2933" w:hanging="747"/>
        <w:jc w:val="left"/>
      </w:pPr>
      <w:rPr>
        <w:rFonts w:hint="default" w:ascii="宋体" w:hAnsi="宋体" w:eastAsia="宋体" w:cs="宋体"/>
        <w:w w:val="100"/>
        <w:sz w:val="21"/>
        <w:szCs w:val="21"/>
      </w:rPr>
    </w:lvl>
    <w:lvl w:ilvl="1">
      <w:start w:val="0"/>
      <w:numFmt w:val="bullet"/>
      <w:lvlText w:val="•"/>
      <w:lvlJc w:val="left"/>
      <w:pPr>
        <w:ind w:left="3636" w:hanging="747"/>
      </w:pPr>
      <w:rPr>
        <w:rFonts w:hint="default"/>
      </w:rPr>
    </w:lvl>
    <w:lvl w:ilvl="2">
      <w:start w:val="0"/>
      <w:numFmt w:val="bullet"/>
      <w:lvlText w:val="•"/>
      <w:lvlJc w:val="left"/>
      <w:pPr>
        <w:ind w:left="4332" w:hanging="747"/>
      </w:pPr>
      <w:rPr>
        <w:rFonts w:hint="default"/>
      </w:rPr>
    </w:lvl>
    <w:lvl w:ilvl="3">
      <w:start w:val="0"/>
      <w:numFmt w:val="bullet"/>
      <w:lvlText w:val="•"/>
      <w:lvlJc w:val="left"/>
      <w:pPr>
        <w:ind w:left="5028" w:hanging="747"/>
      </w:pPr>
      <w:rPr>
        <w:rFonts w:hint="default"/>
      </w:rPr>
    </w:lvl>
    <w:lvl w:ilvl="4">
      <w:start w:val="0"/>
      <w:numFmt w:val="bullet"/>
      <w:lvlText w:val="•"/>
      <w:lvlJc w:val="left"/>
      <w:pPr>
        <w:ind w:left="5724" w:hanging="747"/>
      </w:pPr>
      <w:rPr>
        <w:rFonts w:hint="default"/>
      </w:rPr>
    </w:lvl>
    <w:lvl w:ilvl="5">
      <w:start w:val="0"/>
      <w:numFmt w:val="bullet"/>
      <w:lvlText w:val="•"/>
      <w:lvlJc w:val="left"/>
      <w:pPr>
        <w:ind w:left="6420" w:hanging="747"/>
      </w:pPr>
      <w:rPr>
        <w:rFonts w:hint="default"/>
      </w:rPr>
    </w:lvl>
    <w:lvl w:ilvl="6">
      <w:start w:val="0"/>
      <w:numFmt w:val="bullet"/>
      <w:lvlText w:val="•"/>
      <w:lvlJc w:val="left"/>
      <w:pPr>
        <w:ind w:left="7116" w:hanging="747"/>
      </w:pPr>
      <w:rPr>
        <w:rFonts w:hint="default"/>
      </w:rPr>
    </w:lvl>
    <w:lvl w:ilvl="7">
      <w:start w:val="0"/>
      <w:numFmt w:val="bullet"/>
      <w:lvlText w:val="•"/>
      <w:lvlJc w:val="left"/>
      <w:pPr>
        <w:ind w:left="7812" w:hanging="747"/>
      </w:pPr>
      <w:rPr>
        <w:rFonts w:hint="default"/>
      </w:rPr>
    </w:lvl>
    <w:lvl w:ilvl="8">
      <w:start w:val="0"/>
      <w:numFmt w:val="bullet"/>
      <w:lvlText w:val="•"/>
      <w:lvlJc w:val="left"/>
      <w:pPr>
        <w:ind w:left="8508" w:hanging="747"/>
      </w:pPr>
      <w:rPr>
        <w:rFonts w:hint="default"/>
      </w:rPr>
    </w:lvl>
  </w:abstractNum>
  <w:abstractNum w:abstractNumId="13">
    <w:multiLevelType w:val="hybridMultilevel"/>
    <w:lvl w:ilvl="0">
      <w:start w:val="1"/>
      <w:numFmt w:val="decimal"/>
      <w:lvlText w:val="（%1）"/>
      <w:lvlJc w:val="left"/>
      <w:pPr>
        <w:ind w:left="2945" w:hanging="747"/>
        <w:jc w:val="left"/>
      </w:pPr>
      <w:rPr>
        <w:rFonts w:hint="default" w:ascii="宋体" w:hAnsi="宋体" w:eastAsia="宋体" w:cs="宋体"/>
        <w:w w:val="100"/>
        <w:sz w:val="21"/>
        <w:szCs w:val="21"/>
      </w:rPr>
    </w:lvl>
    <w:lvl w:ilvl="1">
      <w:start w:val="0"/>
      <w:numFmt w:val="bullet"/>
      <w:lvlText w:val="•"/>
      <w:lvlJc w:val="left"/>
      <w:pPr>
        <w:ind w:left="3636" w:hanging="747"/>
      </w:pPr>
      <w:rPr>
        <w:rFonts w:hint="default"/>
      </w:rPr>
    </w:lvl>
    <w:lvl w:ilvl="2">
      <w:start w:val="0"/>
      <w:numFmt w:val="bullet"/>
      <w:lvlText w:val="•"/>
      <w:lvlJc w:val="left"/>
      <w:pPr>
        <w:ind w:left="4332" w:hanging="747"/>
      </w:pPr>
      <w:rPr>
        <w:rFonts w:hint="default"/>
      </w:rPr>
    </w:lvl>
    <w:lvl w:ilvl="3">
      <w:start w:val="0"/>
      <w:numFmt w:val="bullet"/>
      <w:lvlText w:val="•"/>
      <w:lvlJc w:val="left"/>
      <w:pPr>
        <w:ind w:left="5028" w:hanging="747"/>
      </w:pPr>
      <w:rPr>
        <w:rFonts w:hint="default"/>
      </w:rPr>
    </w:lvl>
    <w:lvl w:ilvl="4">
      <w:start w:val="0"/>
      <w:numFmt w:val="bullet"/>
      <w:lvlText w:val="•"/>
      <w:lvlJc w:val="left"/>
      <w:pPr>
        <w:ind w:left="5724" w:hanging="747"/>
      </w:pPr>
      <w:rPr>
        <w:rFonts w:hint="default"/>
      </w:rPr>
    </w:lvl>
    <w:lvl w:ilvl="5">
      <w:start w:val="0"/>
      <w:numFmt w:val="bullet"/>
      <w:lvlText w:val="•"/>
      <w:lvlJc w:val="left"/>
      <w:pPr>
        <w:ind w:left="6420" w:hanging="747"/>
      </w:pPr>
      <w:rPr>
        <w:rFonts w:hint="default"/>
      </w:rPr>
    </w:lvl>
    <w:lvl w:ilvl="6">
      <w:start w:val="0"/>
      <w:numFmt w:val="bullet"/>
      <w:lvlText w:val="•"/>
      <w:lvlJc w:val="left"/>
      <w:pPr>
        <w:ind w:left="7116" w:hanging="747"/>
      </w:pPr>
      <w:rPr>
        <w:rFonts w:hint="default"/>
      </w:rPr>
    </w:lvl>
    <w:lvl w:ilvl="7">
      <w:start w:val="0"/>
      <w:numFmt w:val="bullet"/>
      <w:lvlText w:val="•"/>
      <w:lvlJc w:val="left"/>
      <w:pPr>
        <w:ind w:left="7812" w:hanging="747"/>
      </w:pPr>
      <w:rPr>
        <w:rFonts w:hint="default"/>
      </w:rPr>
    </w:lvl>
    <w:lvl w:ilvl="8">
      <w:start w:val="0"/>
      <w:numFmt w:val="bullet"/>
      <w:lvlText w:val="•"/>
      <w:lvlJc w:val="left"/>
      <w:pPr>
        <w:ind w:left="8508" w:hanging="747"/>
      </w:pPr>
      <w:rPr>
        <w:rFonts w:hint="default"/>
      </w:rPr>
    </w:lvl>
  </w:abstractNum>
  <w:abstractNum w:abstractNumId="12">
    <w:multiLevelType w:val="hybridMultilevel"/>
    <w:lvl w:ilvl="0">
      <w:start w:val="30"/>
      <w:numFmt w:val="decimal"/>
      <w:lvlText w:val="%1."/>
      <w:lvlJc w:val="left"/>
      <w:pPr>
        <w:ind w:left="2595" w:hanging="396"/>
        <w:jc w:val="left"/>
      </w:pPr>
      <w:rPr>
        <w:rFonts w:hint="default" w:ascii="Arial" w:hAnsi="Arial" w:eastAsia="Arial" w:cs="Arial"/>
        <w:b/>
        <w:bCs/>
        <w:w w:val="100"/>
        <w:sz w:val="21"/>
        <w:szCs w:val="21"/>
      </w:rPr>
    </w:lvl>
    <w:lvl w:ilvl="1">
      <w:start w:val="1"/>
      <w:numFmt w:val="upperRoman"/>
      <w:lvlText w:val="%2"/>
      <w:lvlJc w:val="left"/>
      <w:pPr>
        <w:ind w:left="3605" w:hanging="111"/>
        <w:jc w:val="left"/>
      </w:pPr>
      <w:rPr>
        <w:rFonts w:hint="default" w:ascii="Arial" w:hAnsi="Arial" w:eastAsia="Arial" w:cs="Arial"/>
        <w:w w:val="100"/>
        <w:sz w:val="21"/>
        <w:szCs w:val="21"/>
      </w:rPr>
    </w:lvl>
    <w:lvl w:ilvl="2">
      <w:start w:val="0"/>
      <w:numFmt w:val="bullet"/>
      <w:lvlText w:val="•"/>
      <w:lvlJc w:val="left"/>
      <w:pPr>
        <w:ind w:left="4300" w:hanging="111"/>
      </w:pPr>
      <w:rPr>
        <w:rFonts w:hint="default"/>
      </w:rPr>
    </w:lvl>
    <w:lvl w:ilvl="3">
      <w:start w:val="0"/>
      <w:numFmt w:val="bullet"/>
      <w:lvlText w:val="•"/>
      <w:lvlJc w:val="left"/>
      <w:pPr>
        <w:ind w:left="5000" w:hanging="111"/>
      </w:pPr>
      <w:rPr>
        <w:rFonts w:hint="default"/>
      </w:rPr>
    </w:lvl>
    <w:lvl w:ilvl="4">
      <w:start w:val="0"/>
      <w:numFmt w:val="bullet"/>
      <w:lvlText w:val="•"/>
      <w:lvlJc w:val="left"/>
      <w:pPr>
        <w:ind w:left="5700" w:hanging="111"/>
      </w:pPr>
      <w:rPr>
        <w:rFonts w:hint="default"/>
      </w:rPr>
    </w:lvl>
    <w:lvl w:ilvl="5">
      <w:start w:val="0"/>
      <w:numFmt w:val="bullet"/>
      <w:lvlText w:val="•"/>
      <w:lvlJc w:val="left"/>
      <w:pPr>
        <w:ind w:left="6400" w:hanging="111"/>
      </w:pPr>
      <w:rPr>
        <w:rFonts w:hint="default"/>
      </w:rPr>
    </w:lvl>
    <w:lvl w:ilvl="6">
      <w:start w:val="0"/>
      <w:numFmt w:val="bullet"/>
      <w:lvlText w:val="•"/>
      <w:lvlJc w:val="left"/>
      <w:pPr>
        <w:ind w:left="7100" w:hanging="111"/>
      </w:pPr>
      <w:rPr>
        <w:rFonts w:hint="default"/>
      </w:rPr>
    </w:lvl>
    <w:lvl w:ilvl="7">
      <w:start w:val="0"/>
      <w:numFmt w:val="bullet"/>
      <w:lvlText w:val="•"/>
      <w:lvlJc w:val="left"/>
      <w:pPr>
        <w:ind w:left="7800" w:hanging="111"/>
      </w:pPr>
      <w:rPr>
        <w:rFonts w:hint="default"/>
      </w:rPr>
    </w:lvl>
    <w:lvl w:ilvl="8">
      <w:start w:val="0"/>
      <w:numFmt w:val="bullet"/>
      <w:lvlText w:val="•"/>
      <w:lvlJc w:val="left"/>
      <w:pPr>
        <w:ind w:left="8500" w:hanging="111"/>
      </w:pPr>
      <w:rPr>
        <w:rFonts w:hint="default"/>
      </w:rPr>
    </w:lvl>
  </w:abstractNum>
  <w:abstractNum w:abstractNumId="11">
    <w:multiLevelType w:val="hybridMultilevel"/>
    <w:lvl w:ilvl="0">
      <w:start w:val="1"/>
      <w:numFmt w:val="decimal"/>
      <w:lvlText w:val="（%1）"/>
      <w:lvlJc w:val="left"/>
      <w:pPr>
        <w:ind w:left="2945" w:hanging="747"/>
        <w:jc w:val="left"/>
      </w:pPr>
      <w:rPr>
        <w:rFonts w:hint="default" w:ascii="宋体" w:hAnsi="宋体" w:eastAsia="宋体" w:cs="宋体"/>
        <w:w w:val="100"/>
        <w:sz w:val="21"/>
        <w:szCs w:val="21"/>
      </w:rPr>
    </w:lvl>
    <w:lvl w:ilvl="1">
      <w:start w:val="0"/>
      <w:numFmt w:val="bullet"/>
      <w:lvlText w:val="•"/>
      <w:lvlJc w:val="left"/>
      <w:pPr>
        <w:ind w:left="3636" w:hanging="747"/>
      </w:pPr>
      <w:rPr>
        <w:rFonts w:hint="default"/>
      </w:rPr>
    </w:lvl>
    <w:lvl w:ilvl="2">
      <w:start w:val="0"/>
      <w:numFmt w:val="bullet"/>
      <w:lvlText w:val="•"/>
      <w:lvlJc w:val="left"/>
      <w:pPr>
        <w:ind w:left="4332" w:hanging="747"/>
      </w:pPr>
      <w:rPr>
        <w:rFonts w:hint="default"/>
      </w:rPr>
    </w:lvl>
    <w:lvl w:ilvl="3">
      <w:start w:val="0"/>
      <w:numFmt w:val="bullet"/>
      <w:lvlText w:val="•"/>
      <w:lvlJc w:val="left"/>
      <w:pPr>
        <w:ind w:left="5028" w:hanging="747"/>
      </w:pPr>
      <w:rPr>
        <w:rFonts w:hint="default"/>
      </w:rPr>
    </w:lvl>
    <w:lvl w:ilvl="4">
      <w:start w:val="0"/>
      <w:numFmt w:val="bullet"/>
      <w:lvlText w:val="•"/>
      <w:lvlJc w:val="left"/>
      <w:pPr>
        <w:ind w:left="5724" w:hanging="747"/>
      </w:pPr>
      <w:rPr>
        <w:rFonts w:hint="default"/>
      </w:rPr>
    </w:lvl>
    <w:lvl w:ilvl="5">
      <w:start w:val="0"/>
      <w:numFmt w:val="bullet"/>
      <w:lvlText w:val="•"/>
      <w:lvlJc w:val="left"/>
      <w:pPr>
        <w:ind w:left="6420" w:hanging="747"/>
      </w:pPr>
      <w:rPr>
        <w:rFonts w:hint="default"/>
      </w:rPr>
    </w:lvl>
    <w:lvl w:ilvl="6">
      <w:start w:val="0"/>
      <w:numFmt w:val="bullet"/>
      <w:lvlText w:val="•"/>
      <w:lvlJc w:val="left"/>
      <w:pPr>
        <w:ind w:left="7116" w:hanging="747"/>
      </w:pPr>
      <w:rPr>
        <w:rFonts w:hint="default"/>
      </w:rPr>
    </w:lvl>
    <w:lvl w:ilvl="7">
      <w:start w:val="0"/>
      <w:numFmt w:val="bullet"/>
      <w:lvlText w:val="•"/>
      <w:lvlJc w:val="left"/>
      <w:pPr>
        <w:ind w:left="7812" w:hanging="747"/>
      </w:pPr>
      <w:rPr>
        <w:rFonts w:hint="default"/>
      </w:rPr>
    </w:lvl>
    <w:lvl w:ilvl="8">
      <w:start w:val="0"/>
      <w:numFmt w:val="bullet"/>
      <w:lvlText w:val="•"/>
      <w:lvlJc w:val="left"/>
      <w:pPr>
        <w:ind w:left="8508" w:hanging="747"/>
      </w:pPr>
      <w:rPr>
        <w:rFonts w:hint="default"/>
      </w:rPr>
    </w:lvl>
  </w:abstractNum>
  <w:abstractNum w:abstractNumId="10">
    <w:multiLevelType w:val="hybridMultilevel"/>
    <w:lvl w:ilvl="0">
      <w:start w:val="1"/>
      <w:numFmt w:val="decimal"/>
      <w:lvlText w:val="（%1）"/>
      <w:lvlJc w:val="left"/>
      <w:pPr>
        <w:ind w:left="2919" w:hanging="747"/>
        <w:jc w:val="left"/>
      </w:pPr>
      <w:rPr>
        <w:rFonts w:hint="default" w:ascii="宋体" w:hAnsi="宋体" w:eastAsia="宋体" w:cs="宋体"/>
        <w:w w:val="100"/>
        <w:sz w:val="21"/>
        <w:szCs w:val="21"/>
      </w:rPr>
    </w:lvl>
    <w:lvl w:ilvl="1">
      <w:start w:val="0"/>
      <w:numFmt w:val="bullet"/>
      <w:lvlText w:val="•"/>
      <w:lvlJc w:val="left"/>
      <w:pPr>
        <w:ind w:left="3618" w:hanging="747"/>
      </w:pPr>
      <w:rPr>
        <w:rFonts w:hint="default"/>
      </w:rPr>
    </w:lvl>
    <w:lvl w:ilvl="2">
      <w:start w:val="0"/>
      <w:numFmt w:val="bullet"/>
      <w:lvlText w:val="•"/>
      <w:lvlJc w:val="left"/>
      <w:pPr>
        <w:ind w:left="4316" w:hanging="747"/>
      </w:pPr>
      <w:rPr>
        <w:rFonts w:hint="default"/>
      </w:rPr>
    </w:lvl>
    <w:lvl w:ilvl="3">
      <w:start w:val="0"/>
      <w:numFmt w:val="bullet"/>
      <w:lvlText w:val="•"/>
      <w:lvlJc w:val="left"/>
      <w:pPr>
        <w:ind w:left="5014" w:hanging="747"/>
      </w:pPr>
      <w:rPr>
        <w:rFonts w:hint="default"/>
      </w:rPr>
    </w:lvl>
    <w:lvl w:ilvl="4">
      <w:start w:val="0"/>
      <w:numFmt w:val="bullet"/>
      <w:lvlText w:val="•"/>
      <w:lvlJc w:val="left"/>
      <w:pPr>
        <w:ind w:left="5712" w:hanging="747"/>
      </w:pPr>
      <w:rPr>
        <w:rFonts w:hint="default"/>
      </w:rPr>
    </w:lvl>
    <w:lvl w:ilvl="5">
      <w:start w:val="0"/>
      <w:numFmt w:val="bullet"/>
      <w:lvlText w:val="•"/>
      <w:lvlJc w:val="left"/>
      <w:pPr>
        <w:ind w:left="6410" w:hanging="747"/>
      </w:pPr>
      <w:rPr>
        <w:rFonts w:hint="default"/>
      </w:rPr>
    </w:lvl>
    <w:lvl w:ilvl="6">
      <w:start w:val="0"/>
      <w:numFmt w:val="bullet"/>
      <w:lvlText w:val="•"/>
      <w:lvlJc w:val="left"/>
      <w:pPr>
        <w:ind w:left="7108" w:hanging="747"/>
      </w:pPr>
      <w:rPr>
        <w:rFonts w:hint="default"/>
      </w:rPr>
    </w:lvl>
    <w:lvl w:ilvl="7">
      <w:start w:val="0"/>
      <w:numFmt w:val="bullet"/>
      <w:lvlText w:val="•"/>
      <w:lvlJc w:val="left"/>
      <w:pPr>
        <w:ind w:left="7806" w:hanging="747"/>
      </w:pPr>
      <w:rPr>
        <w:rFonts w:hint="default"/>
      </w:rPr>
    </w:lvl>
    <w:lvl w:ilvl="8">
      <w:start w:val="0"/>
      <w:numFmt w:val="bullet"/>
      <w:lvlText w:val="•"/>
      <w:lvlJc w:val="left"/>
      <w:pPr>
        <w:ind w:left="8504" w:hanging="747"/>
      </w:pPr>
      <w:rPr>
        <w:rFonts w:hint="default"/>
      </w:rPr>
    </w:lvl>
  </w:abstractNum>
  <w:abstractNum w:abstractNumId="9">
    <w:multiLevelType w:val="hybridMultilevel"/>
    <w:lvl w:ilvl="0">
      <w:start w:val="1"/>
      <w:numFmt w:val="decimal"/>
      <w:lvlText w:val="（%1）"/>
      <w:lvlJc w:val="left"/>
      <w:pPr>
        <w:ind w:left="2933" w:hanging="747"/>
        <w:jc w:val="left"/>
      </w:pPr>
      <w:rPr>
        <w:rFonts w:hint="default" w:ascii="宋体" w:hAnsi="宋体" w:eastAsia="宋体" w:cs="宋体"/>
        <w:w w:val="100"/>
        <w:sz w:val="21"/>
        <w:szCs w:val="21"/>
      </w:rPr>
    </w:lvl>
    <w:lvl w:ilvl="1">
      <w:start w:val="0"/>
      <w:numFmt w:val="bullet"/>
      <w:lvlText w:val="•"/>
      <w:lvlJc w:val="left"/>
      <w:pPr>
        <w:ind w:left="3636" w:hanging="747"/>
      </w:pPr>
      <w:rPr>
        <w:rFonts w:hint="default"/>
      </w:rPr>
    </w:lvl>
    <w:lvl w:ilvl="2">
      <w:start w:val="0"/>
      <w:numFmt w:val="bullet"/>
      <w:lvlText w:val="•"/>
      <w:lvlJc w:val="left"/>
      <w:pPr>
        <w:ind w:left="4332" w:hanging="747"/>
      </w:pPr>
      <w:rPr>
        <w:rFonts w:hint="default"/>
      </w:rPr>
    </w:lvl>
    <w:lvl w:ilvl="3">
      <w:start w:val="0"/>
      <w:numFmt w:val="bullet"/>
      <w:lvlText w:val="•"/>
      <w:lvlJc w:val="left"/>
      <w:pPr>
        <w:ind w:left="5028" w:hanging="747"/>
      </w:pPr>
      <w:rPr>
        <w:rFonts w:hint="default"/>
      </w:rPr>
    </w:lvl>
    <w:lvl w:ilvl="4">
      <w:start w:val="0"/>
      <w:numFmt w:val="bullet"/>
      <w:lvlText w:val="•"/>
      <w:lvlJc w:val="left"/>
      <w:pPr>
        <w:ind w:left="5724" w:hanging="747"/>
      </w:pPr>
      <w:rPr>
        <w:rFonts w:hint="default"/>
      </w:rPr>
    </w:lvl>
    <w:lvl w:ilvl="5">
      <w:start w:val="0"/>
      <w:numFmt w:val="bullet"/>
      <w:lvlText w:val="•"/>
      <w:lvlJc w:val="left"/>
      <w:pPr>
        <w:ind w:left="6420" w:hanging="747"/>
      </w:pPr>
      <w:rPr>
        <w:rFonts w:hint="default"/>
      </w:rPr>
    </w:lvl>
    <w:lvl w:ilvl="6">
      <w:start w:val="0"/>
      <w:numFmt w:val="bullet"/>
      <w:lvlText w:val="•"/>
      <w:lvlJc w:val="left"/>
      <w:pPr>
        <w:ind w:left="7116" w:hanging="747"/>
      </w:pPr>
      <w:rPr>
        <w:rFonts w:hint="default"/>
      </w:rPr>
    </w:lvl>
    <w:lvl w:ilvl="7">
      <w:start w:val="0"/>
      <w:numFmt w:val="bullet"/>
      <w:lvlText w:val="•"/>
      <w:lvlJc w:val="left"/>
      <w:pPr>
        <w:ind w:left="7812" w:hanging="747"/>
      </w:pPr>
      <w:rPr>
        <w:rFonts w:hint="default"/>
      </w:rPr>
    </w:lvl>
    <w:lvl w:ilvl="8">
      <w:start w:val="0"/>
      <w:numFmt w:val="bullet"/>
      <w:lvlText w:val="•"/>
      <w:lvlJc w:val="left"/>
      <w:pPr>
        <w:ind w:left="8508" w:hanging="747"/>
      </w:pPr>
      <w:rPr>
        <w:rFonts w:hint="default"/>
      </w:rPr>
    </w:lvl>
  </w:abstractNum>
  <w:abstractNum w:abstractNumId="8">
    <w:multiLevelType w:val="hybridMultilevel"/>
    <w:lvl w:ilvl="0">
      <w:start w:val="1"/>
      <w:numFmt w:val="decimal"/>
      <w:lvlText w:val="（%1）"/>
      <w:lvlJc w:val="left"/>
      <w:pPr>
        <w:ind w:left="2919" w:hanging="747"/>
        <w:jc w:val="left"/>
      </w:pPr>
      <w:rPr>
        <w:rFonts w:hint="default" w:ascii="宋体" w:hAnsi="宋体" w:eastAsia="宋体" w:cs="宋体"/>
        <w:w w:val="100"/>
        <w:sz w:val="21"/>
        <w:szCs w:val="21"/>
      </w:rPr>
    </w:lvl>
    <w:lvl w:ilvl="1">
      <w:start w:val="0"/>
      <w:numFmt w:val="bullet"/>
      <w:lvlText w:val="•"/>
      <w:lvlJc w:val="left"/>
      <w:pPr>
        <w:ind w:left="3618" w:hanging="747"/>
      </w:pPr>
      <w:rPr>
        <w:rFonts w:hint="default"/>
      </w:rPr>
    </w:lvl>
    <w:lvl w:ilvl="2">
      <w:start w:val="0"/>
      <w:numFmt w:val="bullet"/>
      <w:lvlText w:val="•"/>
      <w:lvlJc w:val="left"/>
      <w:pPr>
        <w:ind w:left="4316" w:hanging="747"/>
      </w:pPr>
      <w:rPr>
        <w:rFonts w:hint="default"/>
      </w:rPr>
    </w:lvl>
    <w:lvl w:ilvl="3">
      <w:start w:val="0"/>
      <w:numFmt w:val="bullet"/>
      <w:lvlText w:val="•"/>
      <w:lvlJc w:val="left"/>
      <w:pPr>
        <w:ind w:left="5014" w:hanging="747"/>
      </w:pPr>
      <w:rPr>
        <w:rFonts w:hint="default"/>
      </w:rPr>
    </w:lvl>
    <w:lvl w:ilvl="4">
      <w:start w:val="0"/>
      <w:numFmt w:val="bullet"/>
      <w:lvlText w:val="•"/>
      <w:lvlJc w:val="left"/>
      <w:pPr>
        <w:ind w:left="5712" w:hanging="747"/>
      </w:pPr>
      <w:rPr>
        <w:rFonts w:hint="default"/>
      </w:rPr>
    </w:lvl>
    <w:lvl w:ilvl="5">
      <w:start w:val="0"/>
      <w:numFmt w:val="bullet"/>
      <w:lvlText w:val="•"/>
      <w:lvlJc w:val="left"/>
      <w:pPr>
        <w:ind w:left="6410" w:hanging="747"/>
      </w:pPr>
      <w:rPr>
        <w:rFonts w:hint="default"/>
      </w:rPr>
    </w:lvl>
    <w:lvl w:ilvl="6">
      <w:start w:val="0"/>
      <w:numFmt w:val="bullet"/>
      <w:lvlText w:val="•"/>
      <w:lvlJc w:val="left"/>
      <w:pPr>
        <w:ind w:left="7108" w:hanging="747"/>
      </w:pPr>
      <w:rPr>
        <w:rFonts w:hint="default"/>
      </w:rPr>
    </w:lvl>
    <w:lvl w:ilvl="7">
      <w:start w:val="0"/>
      <w:numFmt w:val="bullet"/>
      <w:lvlText w:val="•"/>
      <w:lvlJc w:val="left"/>
      <w:pPr>
        <w:ind w:left="7806" w:hanging="747"/>
      </w:pPr>
      <w:rPr>
        <w:rFonts w:hint="default"/>
      </w:rPr>
    </w:lvl>
    <w:lvl w:ilvl="8">
      <w:start w:val="0"/>
      <w:numFmt w:val="bullet"/>
      <w:lvlText w:val="•"/>
      <w:lvlJc w:val="left"/>
      <w:pPr>
        <w:ind w:left="8504" w:hanging="747"/>
      </w:pPr>
      <w:rPr>
        <w:rFonts w:hint="default"/>
      </w:rPr>
    </w:lvl>
  </w:abstractNum>
  <w:abstractNum w:abstractNumId="7">
    <w:multiLevelType w:val="hybridMultilevel"/>
    <w:lvl w:ilvl="0">
      <w:start w:val="1"/>
      <w:numFmt w:val="decimal"/>
      <w:lvlText w:val="（%1）"/>
      <w:lvlJc w:val="left"/>
      <w:pPr>
        <w:ind w:left="2933" w:hanging="747"/>
        <w:jc w:val="left"/>
      </w:pPr>
      <w:rPr>
        <w:rFonts w:hint="default" w:ascii="宋体" w:hAnsi="宋体" w:eastAsia="宋体" w:cs="宋体"/>
        <w:w w:val="100"/>
        <w:sz w:val="21"/>
        <w:szCs w:val="21"/>
      </w:rPr>
    </w:lvl>
    <w:lvl w:ilvl="1">
      <w:start w:val="0"/>
      <w:numFmt w:val="bullet"/>
      <w:lvlText w:val="•"/>
      <w:lvlJc w:val="left"/>
      <w:pPr>
        <w:ind w:left="3636" w:hanging="747"/>
      </w:pPr>
      <w:rPr>
        <w:rFonts w:hint="default"/>
      </w:rPr>
    </w:lvl>
    <w:lvl w:ilvl="2">
      <w:start w:val="0"/>
      <w:numFmt w:val="bullet"/>
      <w:lvlText w:val="•"/>
      <w:lvlJc w:val="left"/>
      <w:pPr>
        <w:ind w:left="4332" w:hanging="747"/>
      </w:pPr>
      <w:rPr>
        <w:rFonts w:hint="default"/>
      </w:rPr>
    </w:lvl>
    <w:lvl w:ilvl="3">
      <w:start w:val="0"/>
      <w:numFmt w:val="bullet"/>
      <w:lvlText w:val="•"/>
      <w:lvlJc w:val="left"/>
      <w:pPr>
        <w:ind w:left="5028" w:hanging="747"/>
      </w:pPr>
      <w:rPr>
        <w:rFonts w:hint="default"/>
      </w:rPr>
    </w:lvl>
    <w:lvl w:ilvl="4">
      <w:start w:val="0"/>
      <w:numFmt w:val="bullet"/>
      <w:lvlText w:val="•"/>
      <w:lvlJc w:val="left"/>
      <w:pPr>
        <w:ind w:left="5724" w:hanging="747"/>
      </w:pPr>
      <w:rPr>
        <w:rFonts w:hint="default"/>
      </w:rPr>
    </w:lvl>
    <w:lvl w:ilvl="5">
      <w:start w:val="0"/>
      <w:numFmt w:val="bullet"/>
      <w:lvlText w:val="•"/>
      <w:lvlJc w:val="left"/>
      <w:pPr>
        <w:ind w:left="6420" w:hanging="747"/>
      </w:pPr>
      <w:rPr>
        <w:rFonts w:hint="default"/>
      </w:rPr>
    </w:lvl>
    <w:lvl w:ilvl="6">
      <w:start w:val="0"/>
      <w:numFmt w:val="bullet"/>
      <w:lvlText w:val="•"/>
      <w:lvlJc w:val="left"/>
      <w:pPr>
        <w:ind w:left="7116" w:hanging="747"/>
      </w:pPr>
      <w:rPr>
        <w:rFonts w:hint="default"/>
      </w:rPr>
    </w:lvl>
    <w:lvl w:ilvl="7">
      <w:start w:val="0"/>
      <w:numFmt w:val="bullet"/>
      <w:lvlText w:val="•"/>
      <w:lvlJc w:val="left"/>
      <w:pPr>
        <w:ind w:left="7812" w:hanging="747"/>
      </w:pPr>
      <w:rPr>
        <w:rFonts w:hint="default"/>
      </w:rPr>
    </w:lvl>
    <w:lvl w:ilvl="8">
      <w:start w:val="0"/>
      <w:numFmt w:val="bullet"/>
      <w:lvlText w:val="•"/>
      <w:lvlJc w:val="left"/>
      <w:pPr>
        <w:ind w:left="8508" w:hanging="747"/>
      </w:pPr>
      <w:rPr>
        <w:rFonts w:hint="default"/>
      </w:rPr>
    </w:lvl>
  </w:abstractNum>
  <w:abstractNum w:abstractNumId="6">
    <w:multiLevelType w:val="hybridMultilevel"/>
    <w:lvl w:ilvl="0">
      <w:start w:val="1"/>
      <w:numFmt w:val="decimal"/>
      <w:lvlText w:val="（%1）"/>
      <w:lvlJc w:val="left"/>
      <w:pPr>
        <w:ind w:left="2945" w:hanging="747"/>
        <w:jc w:val="left"/>
      </w:pPr>
      <w:rPr>
        <w:rFonts w:hint="default" w:ascii="宋体" w:hAnsi="宋体" w:eastAsia="宋体" w:cs="宋体"/>
        <w:w w:val="100"/>
        <w:sz w:val="21"/>
        <w:szCs w:val="21"/>
      </w:rPr>
    </w:lvl>
    <w:lvl w:ilvl="1">
      <w:start w:val="0"/>
      <w:numFmt w:val="bullet"/>
      <w:lvlText w:val="•"/>
      <w:lvlJc w:val="left"/>
      <w:pPr>
        <w:ind w:left="3636" w:hanging="747"/>
      </w:pPr>
      <w:rPr>
        <w:rFonts w:hint="default"/>
      </w:rPr>
    </w:lvl>
    <w:lvl w:ilvl="2">
      <w:start w:val="0"/>
      <w:numFmt w:val="bullet"/>
      <w:lvlText w:val="•"/>
      <w:lvlJc w:val="left"/>
      <w:pPr>
        <w:ind w:left="4332" w:hanging="747"/>
      </w:pPr>
      <w:rPr>
        <w:rFonts w:hint="default"/>
      </w:rPr>
    </w:lvl>
    <w:lvl w:ilvl="3">
      <w:start w:val="0"/>
      <w:numFmt w:val="bullet"/>
      <w:lvlText w:val="•"/>
      <w:lvlJc w:val="left"/>
      <w:pPr>
        <w:ind w:left="5028" w:hanging="747"/>
      </w:pPr>
      <w:rPr>
        <w:rFonts w:hint="default"/>
      </w:rPr>
    </w:lvl>
    <w:lvl w:ilvl="4">
      <w:start w:val="0"/>
      <w:numFmt w:val="bullet"/>
      <w:lvlText w:val="•"/>
      <w:lvlJc w:val="left"/>
      <w:pPr>
        <w:ind w:left="5724" w:hanging="747"/>
      </w:pPr>
      <w:rPr>
        <w:rFonts w:hint="default"/>
      </w:rPr>
    </w:lvl>
    <w:lvl w:ilvl="5">
      <w:start w:val="0"/>
      <w:numFmt w:val="bullet"/>
      <w:lvlText w:val="•"/>
      <w:lvlJc w:val="left"/>
      <w:pPr>
        <w:ind w:left="6420" w:hanging="747"/>
      </w:pPr>
      <w:rPr>
        <w:rFonts w:hint="default"/>
      </w:rPr>
    </w:lvl>
    <w:lvl w:ilvl="6">
      <w:start w:val="0"/>
      <w:numFmt w:val="bullet"/>
      <w:lvlText w:val="•"/>
      <w:lvlJc w:val="left"/>
      <w:pPr>
        <w:ind w:left="7116" w:hanging="747"/>
      </w:pPr>
      <w:rPr>
        <w:rFonts w:hint="default"/>
      </w:rPr>
    </w:lvl>
    <w:lvl w:ilvl="7">
      <w:start w:val="0"/>
      <w:numFmt w:val="bullet"/>
      <w:lvlText w:val="•"/>
      <w:lvlJc w:val="left"/>
      <w:pPr>
        <w:ind w:left="7812" w:hanging="747"/>
      </w:pPr>
      <w:rPr>
        <w:rFonts w:hint="default"/>
      </w:rPr>
    </w:lvl>
    <w:lvl w:ilvl="8">
      <w:start w:val="0"/>
      <w:numFmt w:val="bullet"/>
      <w:lvlText w:val="•"/>
      <w:lvlJc w:val="left"/>
      <w:pPr>
        <w:ind w:left="8508" w:hanging="747"/>
      </w:pPr>
      <w:rPr>
        <w:rFonts w:hint="default"/>
      </w:rPr>
    </w:lvl>
  </w:abstractNum>
  <w:abstractNum w:abstractNumId="5">
    <w:multiLevelType w:val="hybridMultilevel"/>
    <w:lvl w:ilvl="0">
      <w:start w:val="1"/>
      <w:numFmt w:val="decimal"/>
      <w:lvlText w:val="（%1）"/>
      <w:lvlJc w:val="left"/>
      <w:pPr>
        <w:ind w:left="2945" w:hanging="747"/>
        <w:jc w:val="left"/>
      </w:pPr>
      <w:rPr>
        <w:rFonts w:hint="default" w:ascii="宋体" w:hAnsi="宋体" w:eastAsia="宋体" w:cs="宋体"/>
        <w:w w:val="100"/>
        <w:sz w:val="21"/>
        <w:szCs w:val="21"/>
      </w:rPr>
    </w:lvl>
    <w:lvl w:ilvl="1">
      <w:start w:val="0"/>
      <w:numFmt w:val="bullet"/>
      <w:lvlText w:val="•"/>
      <w:lvlJc w:val="left"/>
      <w:pPr>
        <w:ind w:left="3636" w:hanging="747"/>
      </w:pPr>
      <w:rPr>
        <w:rFonts w:hint="default"/>
      </w:rPr>
    </w:lvl>
    <w:lvl w:ilvl="2">
      <w:start w:val="0"/>
      <w:numFmt w:val="bullet"/>
      <w:lvlText w:val="•"/>
      <w:lvlJc w:val="left"/>
      <w:pPr>
        <w:ind w:left="4332" w:hanging="747"/>
      </w:pPr>
      <w:rPr>
        <w:rFonts w:hint="default"/>
      </w:rPr>
    </w:lvl>
    <w:lvl w:ilvl="3">
      <w:start w:val="0"/>
      <w:numFmt w:val="bullet"/>
      <w:lvlText w:val="•"/>
      <w:lvlJc w:val="left"/>
      <w:pPr>
        <w:ind w:left="5028" w:hanging="747"/>
      </w:pPr>
      <w:rPr>
        <w:rFonts w:hint="default"/>
      </w:rPr>
    </w:lvl>
    <w:lvl w:ilvl="4">
      <w:start w:val="0"/>
      <w:numFmt w:val="bullet"/>
      <w:lvlText w:val="•"/>
      <w:lvlJc w:val="left"/>
      <w:pPr>
        <w:ind w:left="5724" w:hanging="747"/>
      </w:pPr>
      <w:rPr>
        <w:rFonts w:hint="default"/>
      </w:rPr>
    </w:lvl>
    <w:lvl w:ilvl="5">
      <w:start w:val="0"/>
      <w:numFmt w:val="bullet"/>
      <w:lvlText w:val="•"/>
      <w:lvlJc w:val="left"/>
      <w:pPr>
        <w:ind w:left="6420" w:hanging="747"/>
      </w:pPr>
      <w:rPr>
        <w:rFonts w:hint="default"/>
      </w:rPr>
    </w:lvl>
    <w:lvl w:ilvl="6">
      <w:start w:val="0"/>
      <w:numFmt w:val="bullet"/>
      <w:lvlText w:val="•"/>
      <w:lvlJc w:val="left"/>
      <w:pPr>
        <w:ind w:left="7116" w:hanging="747"/>
      </w:pPr>
      <w:rPr>
        <w:rFonts w:hint="default"/>
      </w:rPr>
    </w:lvl>
    <w:lvl w:ilvl="7">
      <w:start w:val="0"/>
      <w:numFmt w:val="bullet"/>
      <w:lvlText w:val="•"/>
      <w:lvlJc w:val="left"/>
      <w:pPr>
        <w:ind w:left="7812" w:hanging="747"/>
      </w:pPr>
      <w:rPr>
        <w:rFonts w:hint="default"/>
      </w:rPr>
    </w:lvl>
    <w:lvl w:ilvl="8">
      <w:start w:val="0"/>
      <w:numFmt w:val="bullet"/>
      <w:lvlText w:val="•"/>
      <w:lvlJc w:val="left"/>
      <w:pPr>
        <w:ind w:left="8508" w:hanging="747"/>
      </w:pPr>
      <w:rPr>
        <w:rFonts w:hint="default"/>
      </w:rPr>
    </w:lvl>
  </w:abstractNum>
  <w:abstractNum w:abstractNumId="4">
    <w:multiLevelType w:val="hybridMultilevel"/>
    <w:lvl w:ilvl="0">
      <w:start w:val="1"/>
      <w:numFmt w:val="decimal"/>
      <w:lvlText w:val="（%1）"/>
      <w:lvlJc w:val="left"/>
      <w:pPr>
        <w:ind w:left="2945" w:hanging="747"/>
        <w:jc w:val="left"/>
      </w:pPr>
      <w:rPr>
        <w:rFonts w:hint="default" w:ascii="宋体" w:hAnsi="宋体" w:eastAsia="宋体" w:cs="宋体"/>
        <w:w w:val="100"/>
        <w:sz w:val="21"/>
        <w:szCs w:val="21"/>
      </w:rPr>
    </w:lvl>
    <w:lvl w:ilvl="1">
      <w:start w:val="0"/>
      <w:numFmt w:val="bullet"/>
      <w:lvlText w:val="•"/>
      <w:lvlJc w:val="left"/>
      <w:pPr>
        <w:ind w:left="3636" w:hanging="747"/>
      </w:pPr>
      <w:rPr>
        <w:rFonts w:hint="default"/>
      </w:rPr>
    </w:lvl>
    <w:lvl w:ilvl="2">
      <w:start w:val="0"/>
      <w:numFmt w:val="bullet"/>
      <w:lvlText w:val="•"/>
      <w:lvlJc w:val="left"/>
      <w:pPr>
        <w:ind w:left="4332" w:hanging="747"/>
      </w:pPr>
      <w:rPr>
        <w:rFonts w:hint="default"/>
      </w:rPr>
    </w:lvl>
    <w:lvl w:ilvl="3">
      <w:start w:val="0"/>
      <w:numFmt w:val="bullet"/>
      <w:lvlText w:val="•"/>
      <w:lvlJc w:val="left"/>
      <w:pPr>
        <w:ind w:left="5028" w:hanging="747"/>
      </w:pPr>
      <w:rPr>
        <w:rFonts w:hint="default"/>
      </w:rPr>
    </w:lvl>
    <w:lvl w:ilvl="4">
      <w:start w:val="0"/>
      <w:numFmt w:val="bullet"/>
      <w:lvlText w:val="•"/>
      <w:lvlJc w:val="left"/>
      <w:pPr>
        <w:ind w:left="5724" w:hanging="747"/>
      </w:pPr>
      <w:rPr>
        <w:rFonts w:hint="default"/>
      </w:rPr>
    </w:lvl>
    <w:lvl w:ilvl="5">
      <w:start w:val="0"/>
      <w:numFmt w:val="bullet"/>
      <w:lvlText w:val="•"/>
      <w:lvlJc w:val="left"/>
      <w:pPr>
        <w:ind w:left="6420" w:hanging="747"/>
      </w:pPr>
      <w:rPr>
        <w:rFonts w:hint="default"/>
      </w:rPr>
    </w:lvl>
    <w:lvl w:ilvl="6">
      <w:start w:val="0"/>
      <w:numFmt w:val="bullet"/>
      <w:lvlText w:val="•"/>
      <w:lvlJc w:val="left"/>
      <w:pPr>
        <w:ind w:left="7116" w:hanging="747"/>
      </w:pPr>
      <w:rPr>
        <w:rFonts w:hint="default"/>
      </w:rPr>
    </w:lvl>
    <w:lvl w:ilvl="7">
      <w:start w:val="0"/>
      <w:numFmt w:val="bullet"/>
      <w:lvlText w:val="•"/>
      <w:lvlJc w:val="left"/>
      <w:pPr>
        <w:ind w:left="7812" w:hanging="747"/>
      </w:pPr>
      <w:rPr>
        <w:rFonts w:hint="default"/>
      </w:rPr>
    </w:lvl>
    <w:lvl w:ilvl="8">
      <w:start w:val="0"/>
      <w:numFmt w:val="bullet"/>
      <w:lvlText w:val="•"/>
      <w:lvlJc w:val="left"/>
      <w:pPr>
        <w:ind w:left="8508" w:hanging="747"/>
      </w:pPr>
      <w:rPr>
        <w:rFonts w:hint="default"/>
      </w:rPr>
    </w:lvl>
  </w:abstractNum>
  <w:abstractNum w:abstractNumId="3">
    <w:multiLevelType w:val="hybridMultilevel"/>
    <w:lvl w:ilvl="0">
      <w:start w:val="1"/>
      <w:numFmt w:val="decimal"/>
      <w:lvlText w:val="（%1）"/>
      <w:lvlJc w:val="left"/>
      <w:pPr>
        <w:ind w:left="2919" w:hanging="747"/>
        <w:jc w:val="left"/>
      </w:pPr>
      <w:rPr>
        <w:rFonts w:hint="default"/>
        <w:w w:val="100"/>
      </w:rPr>
    </w:lvl>
    <w:lvl w:ilvl="1">
      <w:start w:val="0"/>
      <w:numFmt w:val="bullet"/>
      <w:lvlText w:val="•"/>
      <w:lvlJc w:val="left"/>
      <w:pPr>
        <w:ind w:left="3618" w:hanging="747"/>
      </w:pPr>
      <w:rPr>
        <w:rFonts w:hint="default"/>
      </w:rPr>
    </w:lvl>
    <w:lvl w:ilvl="2">
      <w:start w:val="0"/>
      <w:numFmt w:val="bullet"/>
      <w:lvlText w:val="•"/>
      <w:lvlJc w:val="left"/>
      <w:pPr>
        <w:ind w:left="4316" w:hanging="747"/>
      </w:pPr>
      <w:rPr>
        <w:rFonts w:hint="default"/>
      </w:rPr>
    </w:lvl>
    <w:lvl w:ilvl="3">
      <w:start w:val="0"/>
      <w:numFmt w:val="bullet"/>
      <w:lvlText w:val="•"/>
      <w:lvlJc w:val="left"/>
      <w:pPr>
        <w:ind w:left="5014" w:hanging="747"/>
      </w:pPr>
      <w:rPr>
        <w:rFonts w:hint="default"/>
      </w:rPr>
    </w:lvl>
    <w:lvl w:ilvl="4">
      <w:start w:val="0"/>
      <w:numFmt w:val="bullet"/>
      <w:lvlText w:val="•"/>
      <w:lvlJc w:val="left"/>
      <w:pPr>
        <w:ind w:left="5712" w:hanging="747"/>
      </w:pPr>
      <w:rPr>
        <w:rFonts w:hint="default"/>
      </w:rPr>
    </w:lvl>
    <w:lvl w:ilvl="5">
      <w:start w:val="0"/>
      <w:numFmt w:val="bullet"/>
      <w:lvlText w:val="•"/>
      <w:lvlJc w:val="left"/>
      <w:pPr>
        <w:ind w:left="6410" w:hanging="747"/>
      </w:pPr>
      <w:rPr>
        <w:rFonts w:hint="default"/>
      </w:rPr>
    </w:lvl>
    <w:lvl w:ilvl="6">
      <w:start w:val="0"/>
      <w:numFmt w:val="bullet"/>
      <w:lvlText w:val="•"/>
      <w:lvlJc w:val="left"/>
      <w:pPr>
        <w:ind w:left="7108" w:hanging="747"/>
      </w:pPr>
      <w:rPr>
        <w:rFonts w:hint="default"/>
      </w:rPr>
    </w:lvl>
    <w:lvl w:ilvl="7">
      <w:start w:val="0"/>
      <w:numFmt w:val="bullet"/>
      <w:lvlText w:val="•"/>
      <w:lvlJc w:val="left"/>
      <w:pPr>
        <w:ind w:left="7806" w:hanging="747"/>
      </w:pPr>
      <w:rPr>
        <w:rFonts w:hint="default"/>
      </w:rPr>
    </w:lvl>
    <w:lvl w:ilvl="8">
      <w:start w:val="0"/>
      <w:numFmt w:val="bullet"/>
      <w:lvlText w:val="•"/>
      <w:lvlJc w:val="left"/>
      <w:pPr>
        <w:ind w:left="8504" w:hanging="747"/>
      </w:pPr>
      <w:rPr>
        <w:rFonts w:hint="default"/>
      </w:rPr>
    </w:lvl>
  </w:abstractNum>
  <w:abstractNum w:abstractNumId="2">
    <w:multiLevelType w:val="hybridMultilevel"/>
    <w:lvl w:ilvl="0">
      <w:start w:val="1"/>
      <w:numFmt w:val="decimal"/>
      <w:lvlText w:val="（%1）"/>
      <w:lvlJc w:val="left"/>
      <w:pPr>
        <w:ind w:left="2899" w:hanging="747"/>
        <w:jc w:val="left"/>
      </w:pPr>
      <w:rPr>
        <w:rFonts w:hint="default" w:ascii="宋体" w:hAnsi="宋体" w:eastAsia="宋体" w:cs="宋体"/>
        <w:w w:val="100"/>
        <w:sz w:val="21"/>
        <w:szCs w:val="21"/>
      </w:rPr>
    </w:lvl>
    <w:lvl w:ilvl="1">
      <w:start w:val="0"/>
      <w:numFmt w:val="bullet"/>
      <w:lvlText w:val="•"/>
      <w:lvlJc w:val="left"/>
      <w:pPr>
        <w:ind w:left="3600" w:hanging="747"/>
      </w:pPr>
      <w:rPr>
        <w:rFonts w:hint="default"/>
      </w:rPr>
    </w:lvl>
    <w:lvl w:ilvl="2">
      <w:start w:val="0"/>
      <w:numFmt w:val="bullet"/>
      <w:lvlText w:val="•"/>
      <w:lvlJc w:val="left"/>
      <w:pPr>
        <w:ind w:left="4300" w:hanging="747"/>
      </w:pPr>
      <w:rPr>
        <w:rFonts w:hint="default"/>
      </w:rPr>
    </w:lvl>
    <w:lvl w:ilvl="3">
      <w:start w:val="0"/>
      <w:numFmt w:val="bullet"/>
      <w:lvlText w:val="•"/>
      <w:lvlJc w:val="left"/>
      <w:pPr>
        <w:ind w:left="5000" w:hanging="747"/>
      </w:pPr>
      <w:rPr>
        <w:rFonts w:hint="default"/>
      </w:rPr>
    </w:lvl>
    <w:lvl w:ilvl="4">
      <w:start w:val="0"/>
      <w:numFmt w:val="bullet"/>
      <w:lvlText w:val="•"/>
      <w:lvlJc w:val="left"/>
      <w:pPr>
        <w:ind w:left="5700" w:hanging="747"/>
      </w:pPr>
      <w:rPr>
        <w:rFonts w:hint="default"/>
      </w:rPr>
    </w:lvl>
    <w:lvl w:ilvl="5">
      <w:start w:val="0"/>
      <w:numFmt w:val="bullet"/>
      <w:lvlText w:val="•"/>
      <w:lvlJc w:val="left"/>
      <w:pPr>
        <w:ind w:left="6400" w:hanging="747"/>
      </w:pPr>
      <w:rPr>
        <w:rFonts w:hint="default"/>
      </w:rPr>
    </w:lvl>
    <w:lvl w:ilvl="6">
      <w:start w:val="0"/>
      <w:numFmt w:val="bullet"/>
      <w:lvlText w:val="•"/>
      <w:lvlJc w:val="left"/>
      <w:pPr>
        <w:ind w:left="7100" w:hanging="747"/>
      </w:pPr>
      <w:rPr>
        <w:rFonts w:hint="default"/>
      </w:rPr>
    </w:lvl>
    <w:lvl w:ilvl="7">
      <w:start w:val="0"/>
      <w:numFmt w:val="bullet"/>
      <w:lvlText w:val="•"/>
      <w:lvlJc w:val="left"/>
      <w:pPr>
        <w:ind w:left="7800" w:hanging="747"/>
      </w:pPr>
      <w:rPr>
        <w:rFonts w:hint="default"/>
      </w:rPr>
    </w:lvl>
    <w:lvl w:ilvl="8">
      <w:start w:val="0"/>
      <w:numFmt w:val="bullet"/>
      <w:lvlText w:val="•"/>
      <w:lvlJc w:val="left"/>
      <w:pPr>
        <w:ind w:left="8500" w:hanging="747"/>
      </w:pPr>
      <w:rPr>
        <w:rFonts w:hint="default"/>
      </w:rPr>
    </w:lvl>
  </w:abstractNum>
  <w:abstractNum w:abstractNumId="0">
    <w:multiLevelType w:val="hybridMultilevel"/>
    <w:lvl w:ilvl="0">
      <w:start w:val="1"/>
      <w:numFmt w:val="decimal"/>
      <w:lvlText w:val="%1."/>
      <w:lvlJc w:val="left"/>
      <w:pPr>
        <w:ind w:left="972" w:hanging="420"/>
        <w:jc w:val="left"/>
      </w:pPr>
      <w:rPr>
        <w:rFonts w:hint="default" w:ascii="宋体" w:hAnsi="宋体" w:eastAsia="宋体" w:cs="宋体"/>
        <w:w w:val="100"/>
        <w:sz w:val="21"/>
        <w:szCs w:val="21"/>
      </w:rPr>
    </w:lvl>
    <w:lvl w:ilvl="1">
      <w:start w:val="0"/>
      <w:numFmt w:val="bullet"/>
      <w:lvlText w:val="•"/>
      <w:lvlJc w:val="left"/>
      <w:pPr>
        <w:ind w:left="1882" w:hanging="420"/>
      </w:pPr>
      <w:rPr>
        <w:rFonts w:hint="default"/>
      </w:rPr>
    </w:lvl>
    <w:lvl w:ilvl="2">
      <w:start w:val="0"/>
      <w:numFmt w:val="bullet"/>
      <w:lvlText w:val="•"/>
      <w:lvlJc w:val="left"/>
      <w:pPr>
        <w:ind w:left="2784" w:hanging="420"/>
      </w:pPr>
      <w:rPr>
        <w:rFonts w:hint="default"/>
      </w:rPr>
    </w:lvl>
    <w:lvl w:ilvl="3">
      <w:start w:val="0"/>
      <w:numFmt w:val="bullet"/>
      <w:lvlText w:val="•"/>
      <w:lvlJc w:val="left"/>
      <w:pPr>
        <w:ind w:left="3686" w:hanging="420"/>
      </w:pPr>
      <w:rPr>
        <w:rFonts w:hint="default"/>
      </w:rPr>
    </w:lvl>
    <w:lvl w:ilvl="4">
      <w:start w:val="0"/>
      <w:numFmt w:val="bullet"/>
      <w:lvlText w:val="•"/>
      <w:lvlJc w:val="left"/>
      <w:pPr>
        <w:ind w:left="4588" w:hanging="420"/>
      </w:pPr>
      <w:rPr>
        <w:rFonts w:hint="default"/>
      </w:rPr>
    </w:lvl>
    <w:lvl w:ilvl="5">
      <w:start w:val="0"/>
      <w:numFmt w:val="bullet"/>
      <w:lvlText w:val="•"/>
      <w:lvlJc w:val="left"/>
      <w:pPr>
        <w:ind w:left="5490" w:hanging="420"/>
      </w:pPr>
      <w:rPr>
        <w:rFonts w:hint="default"/>
      </w:rPr>
    </w:lvl>
    <w:lvl w:ilvl="6">
      <w:start w:val="0"/>
      <w:numFmt w:val="bullet"/>
      <w:lvlText w:val="•"/>
      <w:lvlJc w:val="left"/>
      <w:pPr>
        <w:ind w:left="6392" w:hanging="420"/>
      </w:pPr>
      <w:rPr>
        <w:rFonts w:hint="default"/>
      </w:rPr>
    </w:lvl>
    <w:lvl w:ilvl="7">
      <w:start w:val="0"/>
      <w:numFmt w:val="bullet"/>
      <w:lvlText w:val="•"/>
      <w:lvlJc w:val="left"/>
      <w:pPr>
        <w:ind w:left="7294" w:hanging="420"/>
      </w:pPr>
      <w:rPr>
        <w:rFonts w:hint="default"/>
      </w:rPr>
    </w:lvl>
    <w:lvl w:ilvl="8">
      <w:start w:val="0"/>
      <w:numFmt w:val="bullet"/>
      <w:lvlText w:val="•"/>
      <w:lvlJc w:val="left"/>
      <w:pPr>
        <w:ind w:left="8196" w:hanging="420"/>
      </w:pPr>
      <w:rPr>
        <w:rFonts w:hint="default"/>
      </w:rPr>
    </w:lvl>
  </w:abstractNum>
  <w:num w:numId="2">
    <w:abstractNumId w:val="1"/>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199"/>
    </w:pPr>
    <w:rPr>
      <w:rFonts w:ascii="宋体" w:hAnsi="宋体" w:eastAsia="宋体" w:cs="宋体"/>
      <w:sz w:val="21"/>
      <w:szCs w:val="21"/>
    </w:rPr>
  </w:style>
  <w:style w:styleId="Heading1" w:type="paragraph">
    <w:name w:val="Heading 1"/>
    <w:basedOn w:val="Normal"/>
    <w:uiPriority w:val="1"/>
    <w:qFormat/>
    <w:pPr>
      <w:jc w:val="center"/>
      <w:outlineLvl w:val="1"/>
    </w:pPr>
    <w:rPr>
      <w:rFonts w:ascii="Microsoft JhengHei" w:hAnsi="Microsoft JhengHei" w:eastAsia="Microsoft JhengHei" w:cs="Microsoft JhengHei"/>
      <w:b/>
      <w:bCs/>
      <w:sz w:val="28"/>
      <w:szCs w:val="28"/>
    </w:rPr>
  </w:style>
  <w:style w:styleId="Heading2" w:type="paragraph">
    <w:name w:val="Heading 2"/>
    <w:basedOn w:val="Normal"/>
    <w:uiPriority w:val="1"/>
    <w:qFormat/>
    <w:pPr>
      <w:ind w:left="132"/>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199"/>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2945" w:hanging="74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工银安盛人寿附加盛世如意重大疾病保险条款_TRCIR - 二维码0122-13</dc:title>
  <dcterms:created xsi:type="dcterms:W3CDTF">2018-10-20T04:24:40Z</dcterms:created>
  <dcterms:modified xsi:type="dcterms:W3CDTF">2018-10-20T04:24:40Z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2014-07-28T00:00:00Z</vt:filetime>
  </property>
  <property fmtid="{D5CDD505-2E9C-101B-9397-08002B2CF9AE}" pid="3" name="Creator">
    <vt:lpwstr>PDF reDirect v2</vt:lpwstr>
  </property>
  <property fmtid="{D5CDD505-2E9C-101B-9397-08002B2CF9AE}" pid="4" name="LastSaved">
    <vt:filetime>2018-10-19T00:00:00Z</vt:filetime>
  </property>
</Properties>
</file>